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4C60" w:rsidR="00576FD0" w:rsidP="00FE73D0" w:rsidRDefault="00576FD0" w14:paraId="0801A9CE" w14:textId="7966B1E5">
      <w:pPr>
        <w:spacing w:after="0" w:line="360" w:lineRule="auto"/>
        <w:rPr>
          <w:rFonts w:eastAsia="Times New Roman" w:cs="Tahoma"/>
          <w:bCs/>
          <w:color w:val="auto"/>
          <w:lang w:eastAsia="es-ES"/>
        </w:rPr>
      </w:pPr>
      <w:r w:rsidRPr="000D4C60">
        <w:rPr>
          <w:rFonts w:eastAsia="Calibri" w:cs="Tahoma"/>
          <w:bCs/>
          <w:color w:val="000000"/>
        </w:rPr>
        <w:t xml:space="preserve">Resolución del Pleno del Instituto de Transparencia, Acceso a la Información Pública y </w:t>
      </w:r>
      <w:r w:rsidRPr="000D4C60">
        <w:rPr>
          <w:rFonts w:eastAsia="Times New Roman" w:cs="Tahoma"/>
          <w:bCs/>
          <w:color w:val="auto"/>
          <w:lang w:eastAsia="es-ES"/>
        </w:rPr>
        <w:t xml:space="preserve">Protección de Datos Personales del Estado de México y Municipios, con domicilio en Metepec, Estado de México, de fecha </w:t>
      </w:r>
      <w:r w:rsidR="00D8537F">
        <w:rPr>
          <w:rFonts w:eastAsia="Times New Roman" w:cs="Tahoma"/>
          <w:bCs/>
          <w:color w:val="auto"/>
          <w:lang w:eastAsia="es-ES"/>
        </w:rPr>
        <w:t>d</w:t>
      </w:r>
      <w:r w:rsidR="00C36CBB">
        <w:rPr>
          <w:rFonts w:eastAsia="Times New Roman" w:cs="Tahoma"/>
          <w:bCs/>
          <w:color w:val="auto"/>
          <w:lang w:eastAsia="es-ES"/>
        </w:rPr>
        <w:t xml:space="preserve">iecinueve </w:t>
      </w:r>
      <w:r w:rsidR="00D8537F">
        <w:rPr>
          <w:rFonts w:eastAsia="Times New Roman" w:cs="Tahoma"/>
          <w:bCs/>
          <w:color w:val="auto"/>
          <w:lang w:eastAsia="es-ES"/>
        </w:rPr>
        <w:t>de enero</w:t>
      </w:r>
      <w:r w:rsidR="00FD218F">
        <w:rPr>
          <w:rFonts w:eastAsia="Times New Roman" w:cs="Tahoma"/>
          <w:bCs/>
          <w:color w:val="auto"/>
          <w:lang w:eastAsia="es-ES"/>
        </w:rPr>
        <w:t xml:space="preserve"> de </w:t>
      </w:r>
      <w:r w:rsidRPr="000D4C60">
        <w:rPr>
          <w:rFonts w:eastAsia="Times New Roman" w:cs="Tahoma"/>
          <w:bCs/>
          <w:color w:val="auto"/>
          <w:lang w:eastAsia="es-ES"/>
        </w:rPr>
        <w:t>dos mil veinti</w:t>
      </w:r>
      <w:r w:rsidR="00D8537F">
        <w:rPr>
          <w:rFonts w:eastAsia="Times New Roman" w:cs="Tahoma"/>
          <w:bCs/>
          <w:color w:val="auto"/>
          <w:lang w:eastAsia="es-ES"/>
        </w:rPr>
        <w:t>dós</w:t>
      </w:r>
      <w:r w:rsidRPr="000D4C60">
        <w:rPr>
          <w:rFonts w:eastAsia="Times New Roman" w:cs="Tahoma"/>
          <w:bCs/>
          <w:color w:val="auto"/>
          <w:lang w:eastAsia="es-ES"/>
        </w:rPr>
        <w:t>.</w:t>
      </w:r>
    </w:p>
    <w:p w:rsidRPr="000D4C60" w:rsidR="00576FD0" w:rsidP="00FE73D0" w:rsidRDefault="00576FD0" w14:paraId="42DBF01E" w14:textId="77777777">
      <w:pPr>
        <w:tabs>
          <w:tab w:val="left" w:pos="2839"/>
        </w:tabs>
        <w:spacing w:after="0" w:line="360" w:lineRule="auto"/>
        <w:rPr>
          <w:rFonts w:eastAsia="Times New Roman" w:cs="Tahoma"/>
          <w:bCs/>
          <w:color w:val="auto"/>
          <w:lang w:eastAsia="es-ES"/>
        </w:rPr>
      </w:pPr>
    </w:p>
    <w:p w:rsidRPr="000D4C60" w:rsidR="00576FD0" w:rsidP="624ABABF" w:rsidRDefault="00576FD0" w14:paraId="0A979627" w14:textId="4D749412">
      <w:pPr>
        <w:spacing w:after="0" w:line="360" w:lineRule="auto"/>
        <w:rPr>
          <w:rFonts w:eastAsia="Calibri" w:cs="Tahoma"/>
          <w:color w:val="0D0D0D"/>
        </w:rPr>
      </w:pPr>
      <w:r w:rsidRPr="624ABABF" w:rsidR="624ABABF">
        <w:rPr>
          <w:rFonts w:eastAsia="Times New Roman" w:cs="Tahoma"/>
          <w:b w:val="1"/>
          <w:bCs w:val="1"/>
          <w:color w:val="auto"/>
          <w:lang w:eastAsia="es-ES"/>
        </w:rPr>
        <w:t>VISTO</w:t>
      </w:r>
      <w:r w:rsidRPr="624ABABF" w:rsidR="624ABABF">
        <w:rPr>
          <w:rFonts w:eastAsia="Calibri" w:cs="Tahoma"/>
          <w:color w:val="0D0D0D" w:themeColor="text1" w:themeTint="F2" w:themeShade="FF"/>
        </w:rPr>
        <w:t xml:space="preserve"> </w:t>
      </w:r>
      <w:r w:rsidRPr="624ABABF" w:rsidR="624ABABF">
        <w:rPr>
          <w:rFonts w:eastAsia="Calibri" w:cs="Tahoma"/>
          <w:color w:val="0D0D0D" w:themeColor="text1" w:themeTint="F2" w:themeShade="FF"/>
        </w:rPr>
        <w:t xml:space="preserve">el expediente conformado con motivo del Recurso de Revisión </w:t>
      </w:r>
      <w:r w:rsidRPr="624ABABF" w:rsidR="624ABABF">
        <w:rPr>
          <w:rFonts w:eastAsia="Calibri" w:cs="Tahoma"/>
        </w:rPr>
        <w:t xml:space="preserve">05401/INFOEM/IP/RR/2021, interpuesto por </w:t>
      </w:r>
      <w:r w:rsidRPr="624ABABF" w:rsidR="624ABABF">
        <w:rPr>
          <w:rFonts w:eastAsia="Calibri" w:cs="Tahoma"/>
          <w:highlight w:val="black"/>
        </w:rPr>
        <w:t>XXXXX</w:t>
      </w:r>
      <w:r w:rsidRPr="624ABABF" w:rsidR="624ABABF">
        <w:rPr>
          <w:rFonts w:eastAsia="Calibri" w:cs="Tahoma"/>
          <w:color w:val="0D0D0D" w:themeColor="text1" w:themeTint="F2" w:themeShade="FF"/>
        </w:rPr>
        <w:t xml:space="preserve">, en lo sucesivo Recurrente o Particular, en contra de la respuesta del Sujeto Obligado, </w:t>
      </w:r>
      <w:r w:rsidRPr="624ABABF" w:rsidR="624ABABF">
        <w:rPr>
          <w:rFonts w:eastAsia="Calibri" w:cs="Tahoma"/>
          <w:color w:val="000000" w:themeColor="text1" w:themeTint="FF" w:themeShade="FF"/>
        </w:rPr>
        <w:t>Comisión del Agua del Estado de México, a la solicitud de acceso a la información 00204/CAEM/IP/2021, se emite la presente Resolución, con base en los Antecedentes y Considerandos que se exponen a continuación:</w:t>
      </w:r>
      <w:r w:rsidRPr="624ABABF" w:rsidR="624ABABF">
        <w:rPr>
          <w:rFonts w:eastAsia="Calibri" w:cs="Tahoma"/>
          <w:color w:val="000000" w:themeColor="text1" w:themeTint="FF" w:themeShade="FF"/>
        </w:rPr>
        <w:t xml:space="preserve">  </w:t>
      </w:r>
    </w:p>
    <w:p w:rsidRPr="000D4C60" w:rsidR="00576FD0" w:rsidP="00FE73D0" w:rsidRDefault="00950CBF" w14:paraId="7468152E" w14:textId="22EB43A2">
      <w:pPr>
        <w:spacing w:after="0" w:line="360" w:lineRule="auto"/>
      </w:pPr>
      <w:r w:rsidRPr="000D4C60">
        <w:t xml:space="preserve"> </w:t>
      </w:r>
    </w:p>
    <w:p w:rsidRPr="000D4C60" w:rsidR="00576FD0" w:rsidP="00FE73D0" w:rsidRDefault="00576FD0" w14:paraId="58017CB2" w14:textId="77777777">
      <w:pPr>
        <w:tabs>
          <w:tab w:val="center" w:pos="4522"/>
          <w:tab w:val="left" w:pos="7245"/>
        </w:tabs>
        <w:spacing w:after="0" w:line="360" w:lineRule="auto"/>
        <w:jc w:val="center"/>
        <w:rPr>
          <w:rFonts w:eastAsia="Calibri" w:cs="Tahoma"/>
          <w:b/>
          <w:color w:val="000000"/>
        </w:rPr>
      </w:pPr>
      <w:r w:rsidRPr="000D4C60">
        <w:rPr>
          <w:rFonts w:eastAsia="Calibri" w:cs="Tahoma"/>
          <w:b/>
          <w:color w:val="000000"/>
        </w:rPr>
        <w:t>A N T E C E D E N T E S:</w:t>
      </w:r>
    </w:p>
    <w:p w:rsidRPr="000D4C60" w:rsidR="00576FD0" w:rsidP="00FE73D0" w:rsidRDefault="00576FD0" w14:paraId="4C19A396" w14:textId="77777777">
      <w:pPr>
        <w:spacing w:after="0" w:line="360" w:lineRule="auto"/>
      </w:pPr>
    </w:p>
    <w:p w:rsidRPr="000D4C60" w:rsidR="00576FD0" w:rsidP="00FE73D0" w:rsidRDefault="00576FD0" w14:paraId="0EA5930D" w14:textId="6D02F9B6">
      <w:pPr>
        <w:tabs>
          <w:tab w:val="left" w:pos="567"/>
        </w:tabs>
        <w:spacing w:after="0" w:line="360" w:lineRule="auto"/>
        <w:rPr>
          <w:rFonts w:eastAsia="Times New Roman" w:cs="Tahoma"/>
          <w:b/>
          <w:color w:val="auto"/>
          <w:lang w:eastAsia="es-ES"/>
        </w:rPr>
      </w:pPr>
      <w:r w:rsidRPr="000D4C60">
        <w:rPr>
          <w:rFonts w:eastAsia="Times New Roman" w:cs="Tahoma"/>
          <w:b/>
          <w:color w:val="auto"/>
          <w:lang w:eastAsia="es-ES"/>
        </w:rPr>
        <w:t>I. Presentación de la solicitud de información:</w:t>
      </w:r>
    </w:p>
    <w:p w:rsidRPr="000D4C60" w:rsidR="00576FD0" w:rsidP="00FE73D0" w:rsidRDefault="00576FD0" w14:paraId="0107203C" w14:textId="77777777">
      <w:pPr>
        <w:tabs>
          <w:tab w:val="left" w:pos="567"/>
        </w:tabs>
        <w:spacing w:after="0" w:line="360" w:lineRule="auto"/>
        <w:rPr>
          <w:rFonts w:eastAsia="Times New Roman" w:cs="Tahoma"/>
          <w:color w:val="auto"/>
          <w:lang w:eastAsia="es-ES"/>
        </w:rPr>
      </w:pPr>
    </w:p>
    <w:p w:rsidRPr="000D4C60" w:rsidR="003D4F92" w:rsidP="00FE73D0" w:rsidRDefault="003D4F92" w14:paraId="492DD3C9" w14:textId="4733C12B">
      <w:pPr>
        <w:widowControl w:val="0"/>
        <w:spacing w:after="0" w:line="360" w:lineRule="auto"/>
        <w:rPr>
          <w:rFonts w:eastAsia="Batang" w:cs="Tahoma"/>
          <w:color w:val="auto"/>
          <w:lang w:val="es-ES" w:eastAsia="es-ES"/>
        </w:rPr>
      </w:pPr>
      <w:r w:rsidRPr="000D4C60">
        <w:rPr>
          <w:rFonts w:eastAsia="Times New Roman" w:cs="Tahoma"/>
          <w:color w:val="auto"/>
          <w:lang w:eastAsia="es-ES"/>
        </w:rPr>
        <w:t xml:space="preserve">Con fecha </w:t>
      </w:r>
      <w:r w:rsidR="00FD218F">
        <w:rPr>
          <w:rFonts w:eastAsia="Times New Roman" w:cs="Tahoma"/>
          <w:color w:val="auto"/>
          <w:lang w:eastAsia="es-ES"/>
        </w:rPr>
        <w:t>veintinueve de septiembre</w:t>
      </w:r>
      <w:r w:rsidRPr="000D4C60">
        <w:rPr>
          <w:rFonts w:eastAsia="Times New Roman" w:cs="Tahoma"/>
          <w:color w:val="auto"/>
          <w:lang w:eastAsia="es-ES"/>
        </w:rPr>
        <w:t xml:space="preserve"> de dos mil veintiuno, </w:t>
      </w:r>
      <w:r w:rsidR="00B73E1B">
        <w:rPr>
          <w:rFonts w:eastAsia="Times New Roman" w:cs="Tahoma"/>
          <w:color w:val="auto"/>
          <w:lang w:eastAsia="es-ES"/>
        </w:rPr>
        <w:t>el</w:t>
      </w:r>
      <w:r w:rsidRPr="000D4C60" w:rsidR="00C441FE">
        <w:rPr>
          <w:rFonts w:eastAsia="Times New Roman" w:cs="Tahoma"/>
          <w:color w:val="auto"/>
          <w:lang w:eastAsia="es-ES"/>
        </w:rPr>
        <w:t xml:space="preserve"> Particular Present</w:t>
      </w:r>
      <w:r w:rsidR="00FD218F">
        <w:rPr>
          <w:rFonts w:eastAsia="Times New Roman" w:cs="Tahoma"/>
          <w:color w:val="auto"/>
          <w:lang w:eastAsia="es-ES"/>
        </w:rPr>
        <w:t xml:space="preserve">ó </w:t>
      </w:r>
      <w:r w:rsidRPr="000D4C60">
        <w:rPr>
          <w:rFonts w:eastAsia="Times New Roman" w:cs="Tahoma"/>
          <w:color w:val="auto"/>
          <w:lang w:eastAsia="es-ES"/>
        </w:rPr>
        <w:t xml:space="preserve">una solicitud de acceso a la información pública, </w:t>
      </w:r>
      <w:r w:rsidRPr="000D4C60">
        <w:rPr>
          <w:rFonts w:eastAsia="Times New Roman" w:cs="Tahoma"/>
          <w:color w:val="auto"/>
          <w:lang w:val="es-ES" w:eastAsia="es-ES"/>
        </w:rPr>
        <w:t>a través de la Plataforma Nacional de Transparencia (PNT)</w:t>
      </w:r>
      <w:r w:rsidRPr="000D4C60">
        <w:rPr>
          <w:rFonts w:eastAsia="Times New Roman" w:cs="Tahoma"/>
          <w:color w:val="auto"/>
          <w:lang w:eastAsia="es-ES"/>
        </w:rPr>
        <w:t xml:space="preserve">, ante </w:t>
      </w:r>
      <w:r w:rsidR="00FD218F">
        <w:rPr>
          <w:rFonts w:eastAsia="Times New Roman" w:cs="Tahoma"/>
          <w:color w:val="auto"/>
          <w:lang w:eastAsia="es-ES"/>
        </w:rPr>
        <w:t xml:space="preserve">la </w:t>
      </w:r>
      <w:r w:rsidRPr="00FD218F" w:rsidR="00FD218F">
        <w:rPr>
          <w:rFonts w:eastAsia="Times New Roman" w:cs="Tahoma"/>
          <w:color w:val="auto"/>
          <w:lang w:eastAsia="es-ES"/>
        </w:rPr>
        <w:t>Comisión del Agua del Estado de México</w:t>
      </w:r>
      <w:r w:rsidRPr="000D4C60" w:rsidR="007D4386">
        <w:rPr>
          <w:rFonts w:eastAsia="Times New Roman" w:cs="Tahoma"/>
          <w:bCs/>
          <w:color w:val="auto"/>
          <w:lang w:eastAsia="es-ES"/>
        </w:rPr>
        <w:t>,</w:t>
      </w:r>
      <w:r w:rsidRPr="000D4C60">
        <w:rPr>
          <w:rFonts w:eastAsia="Batang" w:cs="Tahoma"/>
          <w:color w:val="auto"/>
          <w:lang w:val="es-ES" w:eastAsia="es-ES"/>
        </w:rPr>
        <w:t xml:space="preserve"> </w:t>
      </w:r>
      <w:r w:rsidRPr="000D4C60" w:rsidR="00C441FE">
        <w:rPr>
          <w:rFonts w:eastAsia="Times New Roman" w:cs="Tahoma"/>
          <w:iCs/>
          <w:color w:val="0D0D0D"/>
          <w:lang w:eastAsia="es-ES"/>
        </w:rPr>
        <w:t>en donde requirió lo siguiente</w:t>
      </w:r>
      <w:r w:rsidRPr="000D4C60">
        <w:rPr>
          <w:rFonts w:eastAsia="Times New Roman" w:cs="Tahoma"/>
          <w:iCs/>
          <w:color w:val="0D0D0D"/>
          <w:lang w:eastAsia="es-ES"/>
        </w:rPr>
        <w:t>:</w:t>
      </w:r>
    </w:p>
    <w:p w:rsidRPr="000D4C60" w:rsidR="003D4F92" w:rsidP="00FE73D0" w:rsidRDefault="003D4F92" w14:paraId="7E22A83F" w14:textId="77777777">
      <w:pPr>
        <w:tabs>
          <w:tab w:val="left" w:pos="567"/>
        </w:tabs>
        <w:spacing w:after="0" w:line="360" w:lineRule="auto"/>
        <w:contextualSpacing/>
        <w:rPr>
          <w:rFonts w:eastAsia="Batang" w:cs="Tahoma"/>
          <w:color w:val="auto"/>
          <w:lang w:val="es-ES" w:eastAsia="es-ES"/>
        </w:rPr>
      </w:pPr>
    </w:p>
    <w:p w:rsidRPr="000D4C60" w:rsidR="003D4F92" w:rsidP="00FE73D0" w:rsidRDefault="003D4F92" w14:paraId="129D7E1D" w14:textId="77777777">
      <w:pPr>
        <w:tabs>
          <w:tab w:val="left" w:pos="4667"/>
        </w:tabs>
        <w:spacing w:after="0" w:line="360" w:lineRule="auto"/>
        <w:ind w:left="567" w:right="567"/>
        <w:rPr>
          <w:rFonts w:eastAsia="Times New Roman" w:cs="Tahoma"/>
          <w:b/>
          <w:bCs/>
          <w:i/>
          <w:iCs/>
          <w:color w:val="auto"/>
          <w:sz w:val="20"/>
          <w:szCs w:val="20"/>
          <w:lang w:eastAsia="es-ES"/>
        </w:rPr>
      </w:pPr>
      <w:r w:rsidRPr="000D4C60">
        <w:rPr>
          <w:rFonts w:eastAsia="Times New Roman" w:cs="Tahoma"/>
          <w:b/>
          <w:bCs/>
          <w:i/>
          <w:iCs/>
          <w:color w:val="auto"/>
          <w:sz w:val="20"/>
          <w:szCs w:val="20"/>
          <w:lang w:eastAsia="es-ES"/>
        </w:rPr>
        <w:t>“DESCRIPCIÓN CLARA Y PRECISA DE LA INFORMACIÓN SOLICITADA</w:t>
      </w:r>
    </w:p>
    <w:p w:rsidRPr="000D4C60" w:rsidR="003D4F92" w:rsidP="00FE73D0" w:rsidRDefault="00FD218F" w14:paraId="3EFBD083" w14:textId="7C1178AB">
      <w:pPr>
        <w:tabs>
          <w:tab w:val="left" w:pos="4667"/>
        </w:tabs>
        <w:spacing w:after="0" w:line="360" w:lineRule="auto"/>
        <w:ind w:left="567" w:right="567"/>
        <w:rPr>
          <w:rFonts w:eastAsia="Times New Roman" w:cs="Tahoma"/>
          <w:b/>
          <w:bCs/>
          <w:i/>
          <w:iCs/>
          <w:color w:val="auto"/>
          <w:sz w:val="20"/>
          <w:lang w:eastAsia="es-ES"/>
        </w:rPr>
      </w:pPr>
      <w:r w:rsidRPr="00FD218F">
        <w:rPr>
          <w:rFonts w:eastAsia="Times New Roman" w:cs="Times New Roman"/>
          <w:i/>
          <w:iCs/>
          <w:color w:val="000000"/>
          <w:sz w:val="20"/>
          <w:szCs w:val="20"/>
          <w:lang w:eastAsia="es-ES"/>
        </w:rPr>
        <w:t xml:space="preserve">Solicito se informe si actualmente se encuentra autorizado y/o registrado ante la Comisión Nacional de Seguros y Fianzas y/o Secretaria de Salud y/o Comisión Nacional del Agua y/o Comisión del Agua del Estado de México y/o Comisión Técnica del Agua del Estado de México, algún producto ya sea de seguro o fianza en el que se tenga por objeto garantizar el pago de daños a terceros por la distribución de agua potable que no cumpla con la calidad que establece la norma oficial NOM-127-SSA1-1994. SALUD AMBIENTAL. AGUA PARA USO Y CONSUMO HUMANO. LÍMITES PERMISIBLES DE CALIDAD Y TRATAMIENTO A QUE DEBE SOMETERSE EL AGUA PARA SU POTABILIZACIÓN; y en caso de que exista algún seguro o fianza registrado ante dicha </w:t>
      </w:r>
      <w:r w:rsidRPr="00FD218F">
        <w:rPr>
          <w:rFonts w:eastAsia="Times New Roman" w:cs="Times New Roman"/>
          <w:i/>
          <w:iCs/>
          <w:color w:val="000000"/>
          <w:sz w:val="20"/>
          <w:szCs w:val="20"/>
          <w:lang w:eastAsia="es-ES"/>
        </w:rPr>
        <w:lastRenderedPageBreak/>
        <w:t>dependencia, con el objeto mencionado, informe cuál o cuáles instituciones ofrecen dicho producto.</w:t>
      </w:r>
      <w:r>
        <w:rPr>
          <w:rFonts w:eastAsia="Times New Roman" w:cs="Tahoma"/>
          <w:bCs/>
          <w:i/>
          <w:iCs/>
          <w:color w:val="auto"/>
          <w:sz w:val="20"/>
          <w:szCs w:val="20"/>
          <w:lang w:eastAsia="es-ES"/>
        </w:rPr>
        <w:t>” (</w:t>
      </w:r>
      <w:r w:rsidRPr="000D4C60">
        <w:rPr>
          <w:rFonts w:eastAsia="Times New Roman" w:cs="Tahoma"/>
          <w:bCs/>
          <w:i/>
          <w:iCs/>
          <w:color w:val="auto"/>
          <w:sz w:val="20"/>
          <w:szCs w:val="20"/>
          <w:lang w:eastAsia="es-ES"/>
        </w:rPr>
        <w:t>Sic</w:t>
      </w:r>
      <w:r w:rsidRPr="000D4C60" w:rsidR="003D4F92">
        <w:rPr>
          <w:rFonts w:eastAsia="Times New Roman" w:cs="Tahoma"/>
          <w:bCs/>
          <w:i/>
          <w:iCs/>
          <w:color w:val="auto"/>
          <w:sz w:val="20"/>
          <w:szCs w:val="20"/>
          <w:lang w:eastAsia="es-ES"/>
        </w:rPr>
        <w:t xml:space="preserve">)  </w:t>
      </w:r>
    </w:p>
    <w:p w:rsidRPr="000D4C60" w:rsidR="003D4F92" w:rsidP="00FE73D0" w:rsidRDefault="003D4F92" w14:paraId="5555626A" w14:textId="2E3270E2">
      <w:pPr>
        <w:tabs>
          <w:tab w:val="left" w:pos="4667"/>
        </w:tabs>
        <w:spacing w:after="0" w:line="360" w:lineRule="auto"/>
        <w:ind w:left="567" w:right="567"/>
        <w:rPr>
          <w:rFonts w:eastAsia="Times New Roman" w:cs="Tahoma"/>
          <w:b/>
          <w:bCs/>
          <w:color w:val="auto"/>
          <w:sz w:val="20"/>
          <w:lang w:eastAsia="es-ES"/>
        </w:rPr>
      </w:pPr>
      <w:r w:rsidRPr="000D4C60">
        <w:rPr>
          <w:rFonts w:eastAsia="Times New Roman" w:cs="Tahoma"/>
          <w:b/>
          <w:bCs/>
          <w:color w:val="auto"/>
          <w:sz w:val="20"/>
          <w:lang w:eastAsia="es-ES"/>
        </w:rPr>
        <w:t xml:space="preserve"> </w:t>
      </w:r>
      <w:r w:rsidRPr="000D4C60" w:rsidR="007D4386">
        <w:rPr>
          <w:rFonts w:eastAsia="Times New Roman" w:cs="Tahoma"/>
          <w:b/>
          <w:bCs/>
          <w:color w:val="auto"/>
          <w:sz w:val="20"/>
          <w:lang w:eastAsia="es-ES"/>
        </w:rPr>
        <w:t xml:space="preserve"> </w:t>
      </w:r>
    </w:p>
    <w:p w:rsidRPr="000D4C60" w:rsidR="003D4F92" w:rsidP="00FE73D0" w:rsidRDefault="003D4F92" w14:paraId="47AD699A" w14:textId="77777777">
      <w:pPr>
        <w:tabs>
          <w:tab w:val="left" w:pos="4667"/>
        </w:tabs>
        <w:spacing w:after="0" w:line="360" w:lineRule="auto"/>
        <w:ind w:left="567" w:right="567"/>
        <w:rPr>
          <w:rFonts w:eastAsia="Calibri" w:cs="Tahoma"/>
          <w:b/>
          <w:bCs/>
          <w:i/>
          <w:iCs/>
          <w:color w:val="000000"/>
          <w:sz w:val="20"/>
          <w:szCs w:val="20"/>
          <w:lang w:val="es-ES"/>
        </w:rPr>
      </w:pPr>
      <w:r w:rsidRPr="000D4C60">
        <w:rPr>
          <w:rFonts w:eastAsia="Calibri" w:cs="Tahoma"/>
          <w:b/>
          <w:bCs/>
          <w:i/>
          <w:iCs/>
          <w:color w:val="000000"/>
          <w:sz w:val="20"/>
          <w:szCs w:val="20"/>
          <w:lang w:val="es-ES"/>
        </w:rPr>
        <w:t xml:space="preserve">“MODALIDAD DE ENTREGA: </w:t>
      </w:r>
    </w:p>
    <w:p w:rsidRPr="000D4C60" w:rsidR="003D4F92" w:rsidP="00FE73D0" w:rsidRDefault="003D4F92" w14:paraId="62B924C4" w14:textId="77777777">
      <w:pPr>
        <w:tabs>
          <w:tab w:val="left" w:pos="4667"/>
        </w:tabs>
        <w:spacing w:after="0" w:line="360" w:lineRule="auto"/>
        <w:ind w:left="567" w:right="567"/>
        <w:rPr>
          <w:rFonts w:eastAsia="Calibri" w:cs="Tahoma"/>
          <w:b/>
          <w:bCs/>
          <w:i/>
          <w:color w:val="000000"/>
          <w:sz w:val="20"/>
          <w:szCs w:val="20"/>
          <w:lang w:val="es-ES"/>
        </w:rPr>
      </w:pPr>
      <w:r w:rsidRPr="000D4C60">
        <w:rPr>
          <w:rFonts w:eastAsia="Calibri" w:cs="Tahoma"/>
          <w:b/>
          <w:bCs/>
          <w:i/>
          <w:color w:val="000000"/>
          <w:sz w:val="20"/>
          <w:szCs w:val="20"/>
          <w:lang w:val="es-ES"/>
        </w:rPr>
        <w:t>Medio para recibir información o notificaciones</w:t>
      </w:r>
    </w:p>
    <w:p w:rsidRPr="000D4C60" w:rsidR="003D4F92" w:rsidP="00FE73D0" w:rsidRDefault="003D4F92" w14:paraId="73C45BA6" w14:textId="77777777">
      <w:pPr>
        <w:spacing w:after="0" w:line="360" w:lineRule="auto"/>
        <w:ind w:left="567"/>
        <w:rPr>
          <w:rFonts w:eastAsia="Calibri" w:cs="Tahoma"/>
          <w:bCs/>
          <w:i/>
          <w:color w:val="000000"/>
          <w:sz w:val="20"/>
          <w:szCs w:val="20"/>
          <w:lang w:val="es-ES"/>
        </w:rPr>
      </w:pPr>
      <w:r w:rsidRPr="000D4C60">
        <w:rPr>
          <w:rFonts w:eastAsia="Calibri" w:cs="Tahoma"/>
          <w:bCs/>
          <w:i/>
          <w:color w:val="000000"/>
          <w:sz w:val="20"/>
          <w:szCs w:val="20"/>
          <w:lang w:val="es-ES"/>
        </w:rPr>
        <w:t>Entrega por el sistema de solicitudes de acceso a la información de la PNT</w:t>
      </w:r>
    </w:p>
    <w:p w:rsidRPr="000D4C60" w:rsidR="003D4F92" w:rsidP="00FE73D0" w:rsidRDefault="003D4F92" w14:paraId="4EFCF773" w14:textId="77777777">
      <w:pPr>
        <w:spacing w:after="0" w:line="360" w:lineRule="auto"/>
        <w:ind w:left="567"/>
        <w:rPr>
          <w:rFonts w:eastAsia="Calibri" w:cs="Tahoma"/>
          <w:bCs/>
          <w:i/>
          <w:color w:val="000000"/>
          <w:sz w:val="20"/>
          <w:szCs w:val="20"/>
          <w:lang w:val="es-ES"/>
        </w:rPr>
      </w:pPr>
    </w:p>
    <w:p w:rsidRPr="000D4C60" w:rsidR="003D4F92" w:rsidP="00FE73D0" w:rsidRDefault="003D4F92" w14:paraId="59ADD243" w14:textId="77777777">
      <w:pPr>
        <w:spacing w:after="0" w:line="360" w:lineRule="auto"/>
        <w:ind w:left="567"/>
        <w:rPr>
          <w:rFonts w:eastAsia="Calibri" w:cs="Tahoma"/>
          <w:b/>
          <w:i/>
          <w:color w:val="000000"/>
          <w:sz w:val="20"/>
          <w:szCs w:val="20"/>
          <w:lang w:val="es-ES"/>
        </w:rPr>
      </w:pPr>
      <w:r w:rsidRPr="000D4C60">
        <w:rPr>
          <w:rFonts w:eastAsia="Calibri" w:cs="Tahoma"/>
          <w:b/>
          <w:i/>
          <w:color w:val="000000"/>
          <w:sz w:val="20"/>
          <w:szCs w:val="20"/>
          <w:lang w:val="es-ES"/>
        </w:rPr>
        <w:t>Indique cómo desea recibir la información</w:t>
      </w:r>
    </w:p>
    <w:p w:rsidRPr="000D4C60" w:rsidR="003D4F92" w:rsidP="00856D4F" w:rsidRDefault="003D4F92" w14:paraId="48411886" w14:textId="7A4A0137">
      <w:pPr>
        <w:spacing w:after="0" w:line="360" w:lineRule="auto"/>
        <w:ind w:left="567"/>
        <w:rPr>
          <w:rFonts w:eastAsia="Calibri" w:cs="Tahoma"/>
          <w:bCs/>
          <w:i/>
          <w:color w:val="000000"/>
          <w:sz w:val="20"/>
          <w:szCs w:val="20"/>
          <w:lang w:val="es-ES"/>
        </w:rPr>
      </w:pPr>
      <w:r w:rsidRPr="000D4C60">
        <w:rPr>
          <w:rFonts w:eastAsia="Calibri" w:cs="Tahoma"/>
          <w:bCs/>
          <w:i/>
          <w:color w:val="000000"/>
          <w:sz w:val="20"/>
          <w:szCs w:val="20"/>
          <w:lang w:val="es-ES"/>
        </w:rPr>
        <w:t>Electrónico a través del sistema de solicitudes de acceso</w:t>
      </w:r>
      <w:r w:rsidR="00856D4F">
        <w:rPr>
          <w:rFonts w:eastAsia="Calibri" w:cs="Tahoma"/>
          <w:bCs/>
          <w:i/>
          <w:color w:val="000000"/>
          <w:sz w:val="20"/>
          <w:szCs w:val="20"/>
          <w:lang w:val="es-ES"/>
        </w:rPr>
        <w:t xml:space="preserve"> la</w:t>
      </w:r>
      <w:r w:rsidRPr="000D4C60">
        <w:rPr>
          <w:rFonts w:eastAsia="Calibri" w:cs="Tahoma"/>
          <w:bCs/>
          <w:i/>
          <w:color w:val="000000"/>
          <w:sz w:val="20"/>
          <w:szCs w:val="20"/>
          <w:lang w:val="es-ES"/>
        </w:rPr>
        <w:t>”</w:t>
      </w:r>
    </w:p>
    <w:p w:rsidRPr="000D4C60" w:rsidR="003D4F92" w:rsidP="00FE73D0" w:rsidRDefault="003D4F92" w14:paraId="0456A33A" w14:textId="77777777">
      <w:pPr>
        <w:spacing w:after="0" w:line="360" w:lineRule="auto"/>
        <w:rPr>
          <w:rFonts w:eastAsia="Calibri" w:cs="Tahoma"/>
          <w:b/>
          <w:bCs/>
          <w:color w:val="auto"/>
        </w:rPr>
      </w:pPr>
    </w:p>
    <w:p w:rsidRPr="000D4C60" w:rsidR="003D4F92" w:rsidP="00FE73D0" w:rsidRDefault="003D4F92" w14:paraId="0AC093AF" w14:textId="32DD6F34">
      <w:pPr>
        <w:spacing w:after="0" w:line="360" w:lineRule="auto"/>
        <w:rPr>
          <w:rFonts w:eastAsia="Times New Roman" w:cs="Arial"/>
          <w:bCs/>
          <w:color w:val="000000"/>
          <w:lang w:eastAsia="es-ES"/>
        </w:rPr>
      </w:pPr>
      <w:r w:rsidRPr="000D4C60">
        <w:rPr>
          <w:rFonts w:eastAsia="Times New Roman" w:cs="Arial"/>
          <w:bCs/>
          <w:color w:val="000000"/>
          <w:lang w:eastAsia="es-ES"/>
        </w:rPr>
        <w:t xml:space="preserve">Cabe señalar que el sistema de solicitudes de acceso a la información de la Plataforma Nacional de Transparencia (PNT), se encuentra vinculado al Sistema de Acceso a la Información Mexiquense (SAIMEX), por lo que, se tiene como modalidad de recibir notificaciones y entrega de la información </w:t>
      </w:r>
      <w:r w:rsidRPr="000D4C60">
        <w:rPr>
          <w:rFonts w:eastAsia="Times New Roman" w:cs="Arial"/>
          <w:bCs/>
          <w:i/>
          <w:iCs/>
          <w:color w:val="000000"/>
          <w:lang w:eastAsia="es-ES"/>
        </w:rPr>
        <w:t>“A través del SAIMEX”</w:t>
      </w:r>
      <w:r w:rsidRPr="000D4C60">
        <w:rPr>
          <w:rFonts w:eastAsia="Times New Roman" w:cs="Arial"/>
          <w:bCs/>
          <w:color w:val="000000"/>
          <w:lang w:eastAsia="es-ES"/>
        </w:rPr>
        <w:t>.</w:t>
      </w:r>
    </w:p>
    <w:p w:rsidRPr="000D4C60" w:rsidR="00C956DC" w:rsidP="00FE73D0" w:rsidRDefault="00C956DC" w14:paraId="71CE4D3F" w14:textId="77777777">
      <w:pPr>
        <w:spacing w:after="0" w:line="360" w:lineRule="auto"/>
        <w:ind w:left="567" w:right="567"/>
        <w:jc w:val="center"/>
        <w:rPr>
          <w:rFonts w:cs="Tahoma"/>
          <w:bCs/>
          <w:i/>
          <w:iCs/>
          <w:color w:val="0D0D0D" w:themeColor="text1" w:themeTint="F2"/>
        </w:rPr>
      </w:pPr>
    </w:p>
    <w:p w:rsidRPr="000D4C60" w:rsidR="00576FD0" w:rsidP="00FE73D0" w:rsidRDefault="00062DD1" w14:paraId="152D92BB" w14:textId="65F8F7C2">
      <w:pPr>
        <w:tabs>
          <w:tab w:val="left" w:pos="567"/>
        </w:tabs>
        <w:spacing w:after="0" w:line="360" w:lineRule="auto"/>
        <w:rPr>
          <w:rFonts w:eastAsia="Times New Roman" w:cs="Tahoma"/>
          <w:b/>
          <w:color w:val="auto"/>
          <w:szCs w:val="24"/>
          <w:lang w:eastAsia="es-ES"/>
        </w:rPr>
      </w:pPr>
      <w:r w:rsidRPr="000D4C60">
        <w:rPr>
          <w:rFonts w:eastAsia="Times New Roman" w:cs="Tahoma"/>
          <w:b/>
          <w:color w:val="auto"/>
          <w:szCs w:val="24"/>
          <w:lang w:eastAsia="es-ES"/>
        </w:rPr>
        <w:t xml:space="preserve">II. </w:t>
      </w:r>
      <w:r w:rsidRPr="000D4C60" w:rsidR="00576FD0">
        <w:rPr>
          <w:rFonts w:eastAsia="Times New Roman" w:cs="Tahoma"/>
          <w:b/>
          <w:color w:val="auto"/>
          <w:szCs w:val="24"/>
          <w:lang w:eastAsia="es-ES"/>
        </w:rPr>
        <w:t>Respuesta del Sujeto Obligado.</w:t>
      </w:r>
    </w:p>
    <w:p w:rsidRPr="000D4C60" w:rsidR="00717A04" w:rsidP="00FE73D0" w:rsidRDefault="00717A04" w14:paraId="491B77DF" w14:textId="77777777">
      <w:pPr>
        <w:spacing w:after="0" w:line="360" w:lineRule="auto"/>
        <w:rPr>
          <w:rFonts w:cs="Tahoma"/>
        </w:rPr>
      </w:pPr>
    </w:p>
    <w:p w:rsidRPr="000D4C60" w:rsidR="00E60C06" w:rsidP="00FE73D0" w:rsidRDefault="00576FD0" w14:paraId="7507D679" w14:textId="0BBB2628">
      <w:pPr>
        <w:spacing w:after="0" w:line="360" w:lineRule="auto"/>
        <w:rPr>
          <w:rFonts w:cs="Tahoma"/>
        </w:rPr>
      </w:pPr>
      <w:r w:rsidRPr="000D4C60">
        <w:rPr>
          <w:rFonts w:cs="Tahoma"/>
        </w:rPr>
        <w:t xml:space="preserve">Con fecha </w:t>
      </w:r>
      <w:r w:rsidR="00FD218F">
        <w:rPr>
          <w:rFonts w:cs="Tahoma"/>
        </w:rPr>
        <w:t>veinte de octubre</w:t>
      </w:r>
      <w:r w:rsidRPr="000D4C60">
        <w:rPr>
          <w:rFonts w:cs="Tahoma"/>
        </w:rPr>
        <w:t xml:space="preserve"> de dos mil veintiuno, </w:t>
      </w:r>
      <w:r w:rsidRPr="00FD218F" w:rsidR="00FD218F">
        <w:rPr>
          <w:rFonts w:cs="Tahoma"/>
        </w:rPr>
        <w:t>la Comisión del Agua del Estado de México</w:t>
      </w:r>
      <w:r w:rsidRPr="000D4C60">
        <w:rPr>
          <w:rFonts w:cs="Tahoma"/>
          <w:bCs/>
        </w:rPr>
        <w:t>,</w:t>
      </w:r>
      <w:r w:rsidRPr="000D4C60">
        <w:rPr>
          <w:rFonts w:cs="Tahoma"/>
        </w:rPr>
        <w:t xml:space="preserve"> notificó a la Solicitante, a través el Sistema de Acceso a la Información Mexiquense (SAIMEX), la respuesta a la solicitud de información, </w:t>
      </w:r>
      <w:r w:rsidRPr="000D4C60" w:rsidR="00E60C06">
        <w:rPr>
          <w:rFonts w:cs="Tahoma"/>
        </w:rPr>
        <w:t>por medio del</w:t>
      </w:r>
      <w:r w:rsidR="00FD218F">
        <w:rPr>
          <w:rFonts w:cs="Tahoma"/>
        </w:rPr>
        <w:t xml:space="preserve"> oficio número 219C0117L/1624/2021 </w:t>
      </w:r>
      <w:r w:rsidR="00856D4F">
        <w:rPr>
          <w:rFonts w:cs="Tahoma"/>
        </w:rPr>
        <w:t>del trece de dicho mes y año</w:t>
      </w:r>
      <w:r w:rsidR="00FD218F">
        <w:rPr>
          <w:rFonts w:cs="Tahoma"/>
        </w:rPr>
        <w:t xml:space="preserve">, </w:t>
      </w:r>
      <w:r w:rsidRPr="000D4C60" w:rsidR="0026239A">
        <w:rPr>
          <w:rFonts w:cs="Tahoma"/>
        </w:rPr>
        <w:t xml:space="preserve">signado por el </w:t>
      </w:r>
      <w:r w:rsidR="00FD218F">
        <w:rPr>
          <w:rFonts w:cs="Tahoma"/>
        </w:rPr>
        <w:t>D</w:t>
      </w:r>
      <w:r w:rsidRPr="000D4C60" w:rsidR="0026239A">
        <w:rPr>
          <w:rFonts w:cs="Tahoma"/>
        </w:rPr>
        <w:t xml:space="preserve">irector </w:t>
      </w:r>
      <w:r w:rsidR="00FD218F">
        <w:rPr>
          <w:rFonts w:cs="Tahoma"/>
        </w:rPr>
        <w:t>General de Administración y Finanzas</w:t>
      </w:r>
      <w:r w:rsidRPr="000D4C60" w:rsidR="0026239A">
        <w:rPr>
          <w:rFonts w:cs="Tahoma"/>
        </w:rPr>
        <w:t xml:space="preserve"> y dirigido al </w:t>
      </w:r>
      <w:r w:rsidR="00FD218F">
        <w:rPr>
          <w:rFonts w:cs="Tahoma"/>
        </w:rPr>
        <w:t>Jefe de la Unidad de Información, Planeación, Programación y Evaluación y Titular de la Unidad de Transparencia de la Comisión del Agua del Estado de México</w:t>
      </w:r>
      <w:r w:rsidRPr="000D4C60" w:rsidR="0026239A">
        <w:rPr>
          <w:rFonts w:cs="Tahoma"/>
        </w:rPr>
        <w:t>, en los siguientes términos:</w:t>
      </w:r>
    </w:p>
    <w:p w:rsidRPr="000D4C60" w:rsidR="0026239A" w:rsidP="00FE73D0" w:rsidRDefault="0026239A" w14:paraId="4110A838" w14:textId="77777777">
      <w:pPr>
        <w:spacing w:after="0" w:line="360" w:lineRule="auto"/>
        <w:rPr>
          <w:rFonts w:cs="Tahoma"/>
        </w:rPr>
      </w:pPr>
    </w:p>
    <w:p w:rsidRPr="000D4C60" w:rsidR="0026239A" w:rsidP="00FE73D0" w:rsidRDefault="0026239A" w14:paraId="6245EF42" w14:textId="723A598E">
      <w:pPr>
        <w:spacing w:after="0" w:line="360" w:lineRule="auto"/>
        <w:ind w:left="567" w:right="567"/>
        <w:rPr>
          <w:rFonts w:eastAsia="Times New Roman" w:cs="Times New Roman"/>
          <w:i/>
          <w:iCs/>
          <w:color w:val="000000"/>
          <w:sz w:val="20"/>
          <w:szCs w:val="20"/>
          <w:lang w:eastAsia="es-ES"/>
        </w:rPr>
      </w:pPr>
      <w:r w:rsidRPr="000D4C60">
        <w:rPr>
          <w:rFonts w:eastAsia="Times New Roman" w:cs="Times New Roman"/>
          <w:i/>
          <w:iCs/>
          <w:color w:val="000000"/>
          <w:sz w:val="20"/>
          <w:szCs w:val="20"/>
          <w:lang w:eastAsia="es-ES"/>
        </w:rPr>
        <w:t>“...</w:t>
      </w:r>
    </w:p>
    <w:p w:rsidRPr="000D4C60" w:rsidR="000E6290" w:rsidP="00FE73D0" w:rsidRDefault="00FD218F" w14:paraId="461BF1C2" w14:textId="6C086EC0">
      <w:pPr>
        <w:spacing w:after="0" w:line="360" w:lineRule="auto"/>
        <w:ind w:left="567" w:right="567"/>
        <w:rPr>
          <w:rFonts w:eastAsia="Times New Roman" w:cs="Times New Roman"/>
          <w:i/>
          <w:iCs/>
          <w:color w:val="000000"/>
          <w:sz w:val="20"/>
          <w:szCs w:val="20"/>
          <w:lang w:eastAsia="es-ES"/>
        </w:rPr>
      </w:pPr>
      <w:r>
        <w:rPr>
          <w:rFonts w:eastAsia="Times New Roman" w:cs="Times New Roman"/>
          <w:i/>
          <w:iCs/>
          <w:color w:val="000000"/>
          <w:sz w:val="20"/>
          <w:szCs w:val="20"/>
          <w:lang w:eastAsia="es-ES"/>
        </w:rPr>
        <w:lastRenderedPageBreak/>
        <w:t xml:space="preserve">Al respecto se informa que, todo lo relacionado con la organización, coordinación y control de acciones legales que inciden en el ámbito de competencia de esta Comisión, así como el asesoramiento y validación </w:t>
      </w:r>
      <w:r w:rsidR="00F17C71">
        <w:rPr>
          <w:rFonts w:eastAsia="Times New Roman" w:cs="Times New Roman"/>
          <w:i/>
          <w:iCs/>
          <w:color w:val="000000"/>
          <w:sz w:val="20"/>
          <w:szCs w:val="20"/>
          <w:lang w:eastAsia="es-ES"/>
        </w:rPr>
        <w:t>de en la suscripción de contratos, convenios, acuerdos y actos legales celebrados con instituciones, autoridades, personas jurídicas colectivas o físicas, como lo es la validación de pólizas de seguro o fianza que garantice el pago de daños a terceros, por la distribución de agua que no cumpla con la calidad establecida en Norma Oficial Mexicana 127-SSA1-1994, no forman parte de las funciones conferidas a esta Dirección General de Administración y Finanzas, de conformidad con lo establecido en el Manual General de Organización de la Comisión del Agua del Estado de México.</w:t>
      </w:r>
    </w:p>
    <w:p w:rsidRPr="000D4C60" w:rsidR="00D84D7E" w:rsidP="00FE73D0" w:rsidRDefault="00D84D7E" w14:paraId="2BB3057E" w14:textId="27B1AFB3">
      <w:pPr>
        <w:spacing w:after="0" w:line="360" w:lineRule="auto"/>
        <w:ind w:left="567" w:right="567"/>
        <w:rPr>
          <w:rFonts w:eastAsia="Times New Roman" w:cs="Times New Roman"/>
          <w:i/>
          <w:iCs/>
          <w:color w:val="000000"/>
          <w:sz w:val="20"/>
          <w:szCs w:val="20"/>
          <w:lang w:eastAsia="es-ES"/>
        </w:rPr>
      </w:pPr>
      <w:r w:rsidRPr="000D4C60">
        <w:rPr>
          <w:rFonts w:eastAsia="Times New Roman" w:cs="Times New Roman"/>
          <w:i/>
          <w:iCs/>
          <w:color w:val="000000"/>
          <w:sz w:val="20"/>
          <w:szCs w:val="20"/>
          <w:lang w:eastAsia="es-ES"/>
        </w:rPr>
        <w:t>...</w:t>
      </w:r>
      <w:r w:rsidRPr="000D4C60" w:rsidR="0026239A">
        <w:rPr>
          <w:rFonts w:eastAsia="Times New Roman" w:cs="Times New Roman"/>
          <w:i/>
          <w:iCs/>
          <w:color w:val="000000"/>
          <w:sz w:val="20"/>
          <w:szCs w:val="20"/>
          <w:lang w:eastAsia="es-ES"/>
        </w:rPr>
        <w:t>” (Sic)</w:t>
      </w:r>
    </w:p>
    <w:p w:rsidRPr="000D4C60" w:rsidR="00024ECD" w:rsidP="00FE73D0" w:rsidRDefault="00024ECD" w14:paraId="53C34C45" w14:textId="66AE2E2E">
      <w:pPr>
        <w:spacing w:after="0" w:line="360" w:lineRule="auto"/>
        <w:rPr>
          <w:rFonts w:cs="Tahoma"/>
        </w:rPr>
      </w:pPr>
    </w:p>
    <w:p w:rsidRPr="000D4C60" w:rsidR="00576FD0" w:rsidP="00FE73D0" w:rsidRDefault="00576FD0" w14:paraId="4F404171" w14:textId="04155AB4">
      <w:pPr>
        <w:autoSpaceDE w:val="0"/>
        <w:autoSpaceDN w:val="0"/>
        <w:adjustRightInd w:val="0"/>
        <w:spacing w:after="0" w:line="360" w:lineRule="auto"/>
        <w:rPr>
          <w:rFonts w:eastAsia="Times New Roman" w:cs="Tahoma"/>
          <w:b/>
          <w:color w:val="auto"/>
          <w:lang w:eastAsia="es-ES"/>
        </w:rPr>
      </w:pPr>
      <w:r w:rsidRPr="000D4C60">
        <w:rPr>
          <w:rFonts w:eastAsia="Times New Roman" w:cs="Tahoma"/>
          <w:b/>
          <w:color w:val="auto"/>
          <w:lang w:eastAsia="es-ES"/>
        </w:rPr>
        <w:t>I</w:t>
      </w:r>
      <w:r w:rsidRPr="000D4C60" w:rsidR="00A32F07">
        <w:rPr>
          <w:rFonts w:eastAsia="Times New Roman" w:cs="Tahoma"/>
          <w:b/>
          <w:color w:val="auto"/>
          <w:lang w:eastAsia="es-ES"/>
        </w:rPr>
        <w:t>II</w:t>
      </w:r>
      <w:r w:rsidRPr="000D4C60">
        <w:rPr>
          <w:rFonts w:eastAsia="Times New Roman" w:cs="Tahoma"/>
          <w:b/>
          <w:color w:val="auto"/>
          <w:lang w:eastAsia="es-ES"/>
        </w:rPr>
        <w:t xml:space="preserve">. Interposición del Recurso de Revisión. </w:t>
      </w:r>
    </w:p>
    <w:p w:rsidRPr="000D4C60" w:rsidR="00024ECD" w:rsidP="00FE73D0" w:rsidRDefault="00024ECD" w14:paraId="0651DFCB" w14:textId="77777777">
      <w:pPr>
        <w:autoSpaceDE w:val="0"/>
        <w:autoSpaceDN w:val="0"/>
        <w:adjustRightInd w:val="0"/>
        <w:spacing w:after="0" w:line="360" w:lineRule="auto"/>
        <w:rPr>
          <w:rFonts w:eastAsia="Times New Roman" w:cs="Tahoma"/>
          <w:b/>
          <w:color w:val="auto"/>
          <w:lang w:eastAsia="es-ES"/>
        </w:rPr>
      </w:pPr>
    </w:p>
    <w:p w:rsidRPr="000D4C60" w:rsidR="00576FD0" w:rsidP="00FE73D0" w:rsidRDefault="00576FD0" w14:paraId="0C441965" w14:textId="2E424EA5">
      <w:pPr>
        <w:widowControl w:val="0"/>
        <w:autoSpaceDE w:val="0"/>
        <w:autoSpaceDN w:val="0"/>
        <w:adjustRightInd w:val="0"/>
        <w:spacing w:after="0" w:line="360" w:lineRule="auto"/>
        <w:rPr>
          <w:rFonts w:eastAsia="Times New Roman" w:cs="Tahoma"/>
          <w:color w:val="auto"/>
          <w:lang w:eastAsia="es-ES"/>
        </w:rPr>
      </w:pPr>
      <w:r w:rsidRPr="000D4C60">
        <w:rPr>
          <w:rFonts w:eastAsia="Times New Roman" w:cs="Tahoma"/>
          <w:color w:val="auto"/>
          <w:lang w:eastAsia="es-ES"/>
        </w:rPr>
        <w:t xml:space="preserve">Con fecha </w:t>
      </w:r>
      <w:r w:rsidR="00A13A83">
        <w:rPr>
          <w:rFonts w:eastAsia="Times New Roman" w:cs="Tahoma"/>
          <w:color w:val="auto"/>
          <w:lang w:eastAsia="es-ES"/>
        </w:rPr>
        <w:t>cuatro de noviembre</w:t>
      </w:r>
      <w:r w:rsidRPr="000D4C60" w:rsidR="00350036">
        <w:rPr>
          <w:rFonts w:eastAsia="Times New Roman" w:cs="Tahoma"/>
          <w:color w:val="auto"/>
          <w:lang w:eastAsia="es-ES"/>
        </w:rPr>
        <w:t xml:space="preserve"> </w:t>
      </w:r>
      <w:r w:rsidRPr="000D4C60" w:rsidR="00777BCA">
        <w:rPr>
          <w:rFonts w:eastAsia="Times New Roman" w:cs="Tahoma"/>
          <w:color w:val="auto"/>
          <w:lang w:eastAsia="es-ES"/>
        </w:rPr>
        <w:t>de dos mil veintiuno, se recibi</w:t>
      </w:r>
      <w:r w:rsidRPr="000D4C60" w:rsidR="00A32F07">
        <w:rPr>
          <w:rFonts w:eastAsia="Times New Roman" w:cs="Tahoma"/>
          <w:color w:val="auto"/>
          <w:lang w:eastAsia="es-ES"/>
        </w:rPr>
        <w:t>ó</w:t>
      </w:r>
      <w:r w:rsidRPr="000D4C60">
        <w:rPr>
          <w:rFonts w:eastAsia="Times New Roman" w:cs="Tahoma"/>
          <w:color w:val="auto"/>
          <w:lang w:eastAsia="es-ES"/>
        </w:rPr>
        <w:t xml:space="preserve"> en este </w:t>
      </w:r>
      <w:r w:rsidRPr="000D4C60">
        <w:rPr>
          <w:rFonts w:eastAsia="Calibri" w:cs="Tahoma"/>
          <w:color w:val="auto"/>
        </w:rPr>
        <w:t xml:space="preserve">Instituto, a través del </w:t>
      </w:r>
      <w:r w:rsidRPr="000D4C60">
        <w:rPr>
          <w:rFonts w:eastAsia="Times New Roman" w:cs="Tahoma"/>
          <w:color w:val="auto"/>
          <w:lang w:val="es-ES" w:eastAsia="es-ES"/>
        </w:rPr>
        <w:t>Sistema de Acceso a la Información Mexiquense (SAIMEX)</w:t>
      </w:r>
      <w:r w:rsidRPr="000D4C60">
        <w:rPr>
          <w:rFonts w:eastAsia="Times New Roman" w:cs="Tahoma"/>
          <w:color w:val="auto"/>
          <w:lang w:eastAsia="es-ES"/>
        </w:rPr>
        <w:t xml:space="preserve">, </w:t>
      </w:r>
      <w:r w:rsidRPr="000D4C60" w:rsidR="00A32F07">
        <w:rPr>
          <w:rFonts w:eastAsia="Times New Roman" w:cs="Tahoma"/>
          <w:color w:val="auto"/>
          <w:lang w:eastAsia="es-ES"/>
        </w:rPr>
        <w:t>el</w:t>
      </w:r>
      <w:r w:rsidRPr="000D4C60" w:rsidR="00777BCA">
        <w:rPr>
          <w:rFonts w:eastAsia="Times New Roman" w:cs="Tahoma"/>
          <w:color w:val="auto"/>
          <w:lang w:eastAsia="es-ES"/>
        </w:rPr>
        <w:t xml:space="preserve"> </w:t>
      </w:r>
      <w:r w:rsidRPr="000D4C60">
        <w:rPr>
          <w:rFonts w:eastAsia="Times New Roman" w:cs="Tahoma"/>
          <w:color w:val="auto"/>
          <w:lang w:eastAsia="es-ES"/>
        </w:rPr>
        <w:t>Recurso de Revisión</w:t>
      </w:r>
      <w:r w:rsidRPr="000D4C60" w:rsidR="009B1252">
        <w:rPr>
          <w:rFonts w:eastAsia="Times New Roman" w:cs="Tahoma"/>
          <w:color w:val="auto"/>
          <w:lang w:eastAsia="es-ES"/>
        </w:rPr>
        <w:t>,</w:t>
      </w:r>
      <w:r w:rsidRPr="000D4C60">
        <w:rPr>
          <w:rFonts w:eastAsia="Times New Roman" w:cs="Tahoma"/>
          <w:color w:val="auto"/>
          <w:lang w:eastAsia="es-ES"/>
        </w:rPr>
        <w:t xml:space="preserve"> interpuesto por la parte Recurrente, en contra de la respuesta del Sujeto Obligado, en </w:t>
      </w:r>
      <w:r w:rsidRPr="000D4C60" w:rsidR="00A32F07">
        <w:rPr>
          <w:rFonts w:eastAsia="Times New Roman" w:cs="Tahoma"/>
          <w:color w:val="auto"/>
          <w:lang w:eastAsia="es-ES"/>
        </w:rPr>
        <w:t>e</w:t>
      </w:r>
      <w:r w:rsidRPr="000D4C60">
        <w:rPr>
          <w:rFonts w:eastAsia="Times New Roman" w:cs="Tahoma"/>
          <w:color w:val="auto"/>
          <w:lang w:eastAsia="es-ES"/>
        </w:rPr>
        <w:t xml:space="preserve">l </w:t>
      </w:r>
      <w:r w:rsidRPr="000D4C60" w:rsidR="00777BCA">
        <w:rPr>
          <w:rFonts w:eastAsia="Times New Roman" w:cs="Tahoma"/>
          <w:color w:val="auto"/>
          <w:lang w:eastAsia="es-ES"/>
        </w:rPr>
        <w:t xml:space="preserve">que se advierte lo </w:t>
      </w:r>
      <w:r w:rsidRPr="000D4C60">
        <w:rPr>
          <w:rFonts w:eastAsia="Times New Roman" w:cs="Tahoma"/>
          <w:color w:val="auto"/>
          <w:lang w:eastAsia="es-ES"/>
        </w:rPr>
        <w:t>siguiente:</w:t>
      </w:r>
    </w:p>
    <w:p w:rsidRPr="000D4C60" w:rsidR="00576FD0" w:rsidP="00FE73D0" w:rsidRDefault="00576FD0" w14:paraId="2B8EED44" w14:textId="77777777">
      <w:pPr>
        <w:widowControl w:val="0"/>
        <w:autoSpaceDE w:val="0"/>
        <w:autoSpaceDN w:val="0"/>
        <w:adjustRightInd w:val="0"/>
        <w:spacing w:after="0" w:line="360" w:lineRule="auto"/>
        <w:rPr>
          <w:rFonts w:eastAsia="Times New Roman" w:cs="Tahoma"/>
          <w:color w:val="auto"/>
          <w:lang w:eastAsia="es-ES"/>
        </w:rPr>
      </w:pPr>
    </w:p>
    <w:p w:rsidRPr="000D4C60" w:rsidR="00576FD0" w:rsidP="00FE73D0" w:rsidRDefault="00A32F07" w14:paraId="25311EAC" w14:textId="11D152D0">
      <w:pPr>
        <w:tabs>
          <w:tab w:val="left" w:pos="4667"/>
        </w:tabs>
        <w:spacing w:after="0" w:line="360" w:lineRule="auto"/>
        <w:ind w:left="567" w:right="567"/>
        <w:rPr>
          <w:rFonts w:eastAsia="Times New Roman" w:cs="Tahoma"/>
          <w:bCs/>
          <w:i/>
          <w:color w:val="auto"/>
          <w:sz w:val="20"/>
          <w:szCs w:val="20"/>
          <w:lang w:eastAsia="es-ES"/>
        </w:rPr>
      </w:pPr>
      <w:r w:rsidRPr="000D4C60">
        <w:rPr>
          <w:rFonts w:eastAsia="Times New Roman" w:cs="Tahoma"/>
          <w:b/>
          <w:bCs/>
          <w:i/>
          <w:color w:val="auto"/>
          <w:sz w:val="20"/>
          <w:szCs w:val="20"/>
          <w:lang w:eastAsia="es-ES"/>
        </w:rPr>
        <w:t xml:space="preserve"> </w:t>
      </w:r>
      <w:r w:rsidRPr="000D4C60" w:rsidR="00576FD0">
        <w:rPr>
          <w:rFonts w:eastAsia="Times New Roman" w:cs="Tahoma"/>
          <w:b/>
          <w:bCs/>
          <w:i/>
          <w:color w:val="auto"/>
          <w:sz w:val="20"/>
          <w:szCs w:val="20"/>
          <w:lang w:eastAsia="es-ES"/>
        </w:rPr>
        <w:t>“ACTO IMPUGNADO</w:t>
      </w:r>
    </w:p>
    <w:p w:rsidRPr="000D4C60" w:rsidR="00576FD0" w:rsidP="00FE73D0" w:rsidRDefault="00A13A83" w14:paraId="68728592" w14:textId="4D90CD46">
      <w:pPr>
        <w:autoSpaceDE w:val="0"/>
        <w:autoSpaceDN w:val="0"/>
        <w:adjustRightInd w:val="0"/>
        <w:spacing w:after="0" w:line="360" w:lineRule="auto"/>
        <w:ind w:left="567" w:right="567"/>
        <w:rPr>
          <w:rFonts w:eastAsia="Times New Roman" w:cs="Tahoma"/>
          <w:i/>
          <w:color w:val="auto"/>
          <w:sz w:val="20"/>
          <w:szCs w:val="20"/>
          <w:lang w:eastAsia="es-ES"/>
        </w:rPr>
      </w:pPr>
      <w:r w:rsidRPr="00A13A83">
        <w:rPr>
          <w:rFonts w:eastAsia="Times New Roman" w:cs="Tahoma"/>
          <w:i/>
          <w:color w:val="auto"/>
          <w:sz w:val="20"/>
          <w:szCs w:val="20"/>
          <w:lang w:eastAsia="es-ES"/>
        </w:rPr>
        <w:t xml:space="preserve">La respuesta otorgada por la Comisión del Agua del Estado de México no se apega a lo establecido a la Ley de Transparencia y Acceso a la Información Pública del Estado de México, puesto que la misma no es clara, ni precisa, ni señala el fundamento legal en el </w:t>
      </w:r>
      <w:proofErr w:type="spellStart"/>
      <w:r w:rsidRPr="00A13A83">
        <w:rPr>
          <w:rFonts w:eastAsia="Times New Roman" w:cs="Tahoma"/>
          <w:i/>
          <w:color w:val="auto"/>
          <w:sz w:val="20"/>
          <w:szCs w:val="20"/>
          <w:lang w:eastAsia="es-ES"/>
        </w:rPr>
        <w:t>cuál</w:t>
      </w:r>
      <w:proofErr w:type="spellEnd"/>
      <w:r w:rsidRPr="00A13A83">
        <w:rPr>
          <w:rFonts w:eastAsia="Times New Roman" w:cs="Tahoma"/>
          <w:i/>
          <w:color w:val="auto"/>
          <w:sz w:val="20"/>
          <w:szCs w:val="20"/>
          <w:lang w:eastAsia="es-ES"/>
        </w:rPr>
        <w:t xml:space="preserve"> está sustentando dicha respuesta, máxime cuando es una vaga respuesta de la Dirección de Administración y Finanzas, quien no constituye el todo de la Comisión del Agua del Estado de México, con la que pretende justificar, sin dar una respuesta concreta y apegada a la ley, que no </w:t>
      </w:r>
      <w:proofErr w:type="spellStart"/>
      <w:r w:rsidRPr="00A13A83">
        <w:rPr>
          <w:rFonts w:eastAsia="Times New Roman" w:cs="Tahoma"/>
          <w:i/>
          <w:color w:val="auto"/>
          <w:sz w:val="20"/>
          <w:szCs w:val="20"/>
          <w:lang w:eastAsia="es-ES"/>
        </w:rPr>
        <w:t>esta</w:t>
      </w:r>
      <w:proofErr w:type="spellEnd"/>
      <w:r w:rsidRPr="00A13A83">
        <w:rPr>
          <w:rFonts w:eastAsia="Times New Roman" w:cs="Tahoma"/>
          <w:i/>
          <w:color w:val="auto"/>
          <w:sz w:val="20"/>
          <w:szCs w:val="20"/>
          <w:lang w:eastAsia="es-ES"/>
        </w:rPr>
        <w:t xml:space="preserve"> en sus funciones la validación de las pólizas de seguro o fianza que garantice el pago de pago de daños a terceros por la distribución de agua potable que no cumpla con la calidad que establece la norma oficial NOM-127-SSA1-1994, cuando es evidente que eso no es lo que solicitó.</w:t>
      </w:r>
      <w:r w:rsidRPr="000D4C60" w:rsidR="00576FD0">
        <w:rPr>
          <w:rFonts w:eastAsia="Times New Roman" w:cs="Tahoma"/>
          <w:i/>
          <w:color w:val="auto"/>
          <w:sz w:val="20"/>
          <w:szCs w:val="20"/>
          <w:lang w:eastAsia="es-ES"/>
        </w:rPr>
        <w:t>” (Sic.)</w:t>
      </w:r>
    </w:p>
    <w:p w:rsidRPr="000D4C60" w:rsidR="00576FD0" w:rsidP="00FE73D0" w:rsidRDefault="00576FD0" w14:paraId="0C7B311F" w14:textId="77777777">
      <w:pPr>
        <w:autoSpaceDE w:val="0"/>
        <w:autoSpaceDN w:val="0"/>
        <w:adjustRightInd w:val="0"/>
        <w:spacing w:after="0" w:line="360" w:lineRule="auto"/>
        <w:ind w:left="567" w:right="567"/>
        <w:rPr>
          <w:rFonts w:eastAsia="Times New Roman" w:cs="Tahoma"/>
          <w:i/>
          <w:color w:val="auto"/>
          <w:sz w:val="20"/>
          <w:szCs w:val="20"/>
          <w:lang w:eastAsia="es-ES"/>
        </w:rPr>
      </w:pPr>
    </w:p>
    <w:p w:rsidRPr="00BF716D" w:rsidR="00BF716D" w:rsidP="00FE73D0" w:rsidRDefault="005B7014" w14:paraId="3CD22851" w14:textId="18311F28">
      <w:pPr>
        <w:spacing w:after="0" w:line="360" w:lineRule="auto"/>
        <w:rPr>
          <w:rFonts w:eastAsia="Times New Roman" w:cs="Tahoma"/>
          <w:color w:val="auto"/>
          <w:lang w:eastAsia="es-ES"/>
        </w:rPr>
      </w:pPr>
      <w:r>
        <w:rPr>
          <w:rFonts w:eastAsia="Times New Roman" w:cs="Tahoma"/>
          <w:color w:val="auto"/>
          <w:lang w:eastAsia="es-ES"/>
        </w:rPr>
        <w:t>El Particular adjuntó la digitalización d</w:t>
      </w:r>
      <w:r w:rsidR="00BF716D">
        <w:rPr>
          <w:rFonts w:eastAsia="Times New Roman" w:cs="Tahoma"/>
          <w:color w:val="auto"/>
          <w:lang w:eastAsia="es-ES"/>
        </w:rPr>
        <w:t xml:space="preserve">el oficio </w:t>
      </w:r>
      <w:r w:rsidRPr="00BF716D" w:rsidR="00BF716D">
        <w:rPr>
          <w:rFonts w:eastAsia="Times New Roman" w:cs="Tahoma"/>
          <w:color w:val="auto"/>
          <w:lang w:eastAsia="es-ES"/>
        </w:rPr>
        <w:t>número 219C0117L/1624/2021</w:t>
      </w:r>
      <w:r w:rsidR="00BF716D">
        <w:rPr>
          <w:rFonts w:eastAsia="Times New Roman" w:cs="Tahoma"/>
          <w:color w:val="auto"/>
          <w:lang w:eastAsia="es-ES"/>
        </w:rPr>
        <w:t>,</w:t>
      </w:r>
      <w:r w:rsidRPr="00BF716D" w:rsidR="00BF716D">
        <w:rPr>
          <w:rFonts w:eastAsia="Times New Roman" w:cs="Tahoma"/>
          <w:color w:val="auto"/>
          <w:lang w:eastAsia="es-ES"/>
        </w:rPr>
        <w:t xml:space="preserve"> </w:t>
      </w:r>
      <w:r>
        <w:rPr>
          <w:rFonts w:eastAsia="Times New Roman" w:cs="Tahoma"/>
          <w:color w:val="auto"/>
          <w:lang w:eastAsia="es-ES"/>
        </w:rPr>
        <w:t>el cual fue referido en el Antecedente II.</w:t>
      </w:r>
    </w:p>
    <w:p w:rsidR="00BF716D" w:rsidP="00FE73D0" w:rsidRDefault="00BF716D" w14:paraId="656188DC" w14:textId="77777777">
      <w:pPr>
        <w:spacing w:after="0" w:line="360" w:lineRule="auto"/>
        <w:rPr>
          <w:rFonts w:eastAsia="Times New Roman" w:cs="Tahoma"/>
          <w:b/>
          <w:color w:val="auto"/>
          <w:lang w:eastAsia="es-ES"/>
        </w:rPr>
      </w:pPr>
    </w:p>
    <w:p w:rsidRPr="000D4C60" w:rsidR="00576FD0" w:rsidP="00FE73D0" w:rsidRDefault="007670AE" w14:paraId="35786686" w14:textId="72A1B5F7">
      <w:pPr>
        <w:spacing w:after="0" w:line="360" w:lineRule="auto"/>
        <w:rPr>
          <w:rFonts w:eastAsia="Batang" w:cs="Tahoma"/>
          <w:b/>
          <w:bCs/>
          <w:color w:val="auto"/>
          <w:lang w:eastAsia="es-ES"/>
        </w:rPr>
      </w:pPr>
      <w:r w:rsidRPr="000D4C60">
        <w:rPr>
          <w:rFonts w:eastAsia="Times New Roman" w:cs="Tahoma"/>
          <w:b/>
          <w:color w:val="auto"/>
          <w:lang w:eastAsia="es-ES"/>
        </w:rPr>
        <w:t>I</w:t>
      </w:r>
      <w:r w:rsidRPr="000D4C60" w:rsidR="00576FD0">
        <w:rPr>
          <w:rFonts w:eastAsia="Times New Roman" w:cs="Tahoma"/>
          <w:b/>
          <w:color w:val="auto"/>
          <w:lang w:eastAsia="es-ES"/>
        </w:rPr>
        <w:t xml:space="preserve">V. </w:t>
      </w:r>
      <w:r w:rsidRPr="000D4C60" w:rsidR="00576FD0">
        <w:rPr>
          <w:rFonts w:eastAsia="Batang" w:cs="Tahoma"/>
          <w:b/>
          <w:bCs/>
          <w:color w:val="auto"/>
          <w:lang w:eastAsia="es-ES"/>
        </w:rPr>
        <w:t xml:space="preserve">Trámite del </w:t>
      </w:r>
      <w:r w:rsidRPr="000D4C60" w:rsidR="00576FD0">
        <w:rPr>
          <w:rFonts w:eastAsia="Times New Roman" w:cs="Tahoma"/>
          <w:b/>
          <w:color w:val="auto"/>
          <w:lang w:eastAsia="es-ES"/>
        </w:rPr>
        <w:t xml:space="preserve">Recurso de Revisión </w:t>
      </w:r>
      <w:r w:rsidRPr="000D4C60" w:rsidR="00576FD0">
        <w:rPr>
          <w:rFonts w:eastAsia="Batang" w:cs="Tahoma"/>
          <w:b/>
          <w:bCs/>
          <w:color w:val="auto"/>
          <w:lang w:eastAsia="es-ES"/>
        </w:rPr>
        <w:t>ante el Instituto.</w:t>
      </w:r>
    </w:p>
    <w:p w:rsidRPr="000D4C60" w:rsidR="008E7375" w:rsidP="00FE73D0" w:rsidRDefault="008E7375" w14:paraId="0F7D627E" w14:textId="77777777">
      <w:pPr>
        <w:spacing w:after="0" w:line="360" w:lineRule="auto"/>
        <w:rPr>
          <w:rFonts w:eastAsia="Batang" w:cs="Tahoma"/>
          <w:b/>
          <w:bCs/>
          <w:color w:val="auto"/>
          <w:lang w:eastAsia="es-ES"/>
        </w:rPr>
      </w:pPr>
    </w:p>
    <w:p w:rsidRPr="000D4C60" w:rsidR="00B4339E" w:rsidP="00FE73D0" w:rsidRDefault="00576FD0" w14:paraId="7A95D603" w14:textId="2E9BB6DB">
      <w:pPr>
        <w:spacing w:after="0" w:line="360" w:lineRule="auto"/>
        <w:rPr>
          <w:rFonts w:eastAsia="Batang" w:cs="Tahoma"/>
          <w:bCs/>
        </w:rPr>
      </w:pPr>
      <w:r w:rsidRPr="000D4C60">
        <w:rPr>
          <w:rFonts w:eastAsia="Batang" w:cs="Tahoma"/>
          <w:b/>
          <w:bCs/>
          <w:color w:val="auto"/>
          <w:lang w:eastAsia="es-ES"/>
        </w:rPr>
        <w:t xml:space="preserve">a) Turno del </w:t>
      </w:r>
      <w:r w:rsidRPr="000D4C60">
        <w:rPr>
          <w:rFonts w:eastAsia="Times New Roman" w:cs="Tahoma"/>
          <w:b/>
          <w:color w:val="auto"/>
          <w:lang w:eastAsia="es-ES"/>
        </w:rPr>
        <w:t>Recurso de Revisión</w:t>
      </w:r>
      <w:r w:rsidRPr="000D4C60">
        <w:rPr>
          <w:rFonts w:eastAsia="Batang" w:cs="Tahoma"/>
          <w:b/>
          <w:bCs/>
          <w:color w:val="auto"/>
          <w:lang w:eastAsia="es-ES"/>
        </w:rPr>
        <w:t xml:space="preserve">. </w:t>
      </w:r>
      <w:r w:rsidRPr="000D4C60" w:rsidR="007670AE">
        <w:rPr>
          <w:rFonts w:eastAsia="Batang" w:cs="Tahoma"/>
          <w:bCs/>
        </w:rPr>
        <w:t xml:space="preserve">El </w:t>
      </w:r>
      <w:r w:rsidR="00BF716D">
        <w:rPr>
          <w:rFonts w:eastAsia="Batang" w:cs="Tahoma"/>
          <w:bCs/>
        </w:rPr>
        <w:t>cuatro de noviembre</w:t>
      </w:r>
      <w:r w:rsidRPr="000D4C60" w:rsidR="007670AE">
        <w:rPr>
          <w:rFonts w:eastAsia="Batang" w:cs="Tahoma"/>
          <w:bCs/>
        </w:rPr>
        <w:t xml:space="preserve"> de dos mil veintiuno, el </w:t>
      </w:r>
      <w:r w:rsidRPr="000D4C60" w:rsidR="007670AE">
        <w:rPr>
          <w:rFonts w:cs="Tahoma"/>
          <w:lang w:val="es-ES"/>
        </w:rPr>
        <w:t>Sistema de Acceso a la Información Mexiquense (SAIMEX),</w:t>
      </w:r>
      <w:r w:rsidRPr="000D4C60" w:rsidR="007670AE">
        <w:rPr>
          <w:rFonts w:eastAsia="Batang" w:cs="Tahoma"/>
          <w:bCs/>
        </w:rPr>
        <w:t xml:space="preserve"> asignó el número de expediente </w:t>
      </w:r>
      <w:r w:rsidRPr="000D4C60" w:rsidR="007670AE">
        <w:rPr>
          <w:rFonts w:eastAsia="Batang" w:cs="Tahoma"/>
          <w:b/>
          <w:bCs/>
        </w:rPr>
        <w:t>0</w:t>
      </w:r>
      <w:r w:rsidR="00BF716D">
        <w:rPr>
          <w:rFonts w:eastAsia="Batang" w:cs="Tahoma"/>
          <w:b/>
          <w:bCs/>
        </w:rPr>
        <w:t>5401</w:t>
      </w:r>
      <w:r w:rsidRPr="000D4C60" w:rsidR="007670AE">
        <w:rPr>
          <w:rFonts w:eastAsia="Batang" w:cs="Tahoma"/>
          <w:b/>
          <w:bCs/>
        </w:rPr>
        <w:t>/INFOEM/IP/RR/2021</w:t>
      </w:r>
      <w:r w:rsidRPr="000D4C60" w:rsidR="007670AE">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0D4C60" w:rsidR="00B4339E" w:rsidP="00FE73D0" w:rsidRDefault="00B4339E" w14:paraId="78416023" w14:textId="77777777">
      <w:pPr>
        <w:widowControl w:val="0"/>
        <w:spacing w:after="0" w:line="360" w:lineRule="auto"/>
        <w:rPr>
          <w:rFonts w:eastAsia="Batang" w:cs="Tahoma"/>
          <w:bCs/>
          <w:color w:val="auto"/>
          <w:lang w:eastAsia="es-ES"/>
        </w:rPr>
      </w:pPr>
    </w:p>
    <w:p w:rsidRPr="000D4C60" w:rsidR="00576FD0" w:rsidP="00FE73D0" w:rsidRDefault="00576FD0" w14:paraId="5D6B5CAA" w14:textId="619FF23D">
      <w:pPr>
        <w:spacing w:after="0" w:line="360" w:lineRule="auto"/>
        <w:rPr>
          <w:rFonts w:eastAsia="Times New Roman" w:cs="Tahoma"/>
          <w:bCs/>
          <w:color w:val="auto"/>
          <w:lang w:eastAsia="es-ES"/>
        </w:rPr>
      </w:pPr>
      <w:r w:rsidRPr="000D4C60">
        <w:rPr>
          <w:rFonts w:eastAsia="Batang" w:cs="Tahoma"/>
          <w:b/>
          <w:bCs/>
          <w:color w:val="auto"/>
          <w:lang w:eastAsia="es-ES"/>
        </w:rPr>
        <w:t>b) Admisión de</w:t>
      </w:r>
      <w:r w:rsidRPr="000D4C60" w:rsidR="00211C04">
        <w:rPr>
          <w:rFonts w:eastAsia="Batang" w:cs="Tahoma"/>
          <w:b/>
          <w:bCs/>
          <w:color w:val="auto"/>
          <w:lang w:eastAsia="es-ES"/>
        </w:rPr>
        <w:t xml:space="preserve"> </w:t>
      </w:r>
      <w:r w:rsidRPr="000D4C60">
        <w:rPr>
          <w:rFonts w:eastAsia="Batang" w:cs="Tahoma"/>
          <w:b/>
          <w:bCs/>
          <w:color w:val="auto"/>
          <w:lang w:eastAsia="es-ES"/>
        </w:rPr>
        <w:t>l</w:t>
      </w:r>
      <w:r w:rsidRPr="000D4C60" w:rsidR="00211C04">
        <w:rPr>
          <w:rFonts w:eastAsia="Batang" w:cs="Tahoma"/>
          <w:b/>
          <w:bCs/>
          <w:color w:val="auto"/>
          <w:lang w:eastAsia="es-ES"/>
        </w:rPr>
        <w:t>os</w:t>
      </w:r>
      <w:r w:rsidRPr="000D4C60">
        <w:rPr>
          <w:rFonts w:eastAsia="Batang" w:cs="Tahoma"/>
          <w:b/>
          <w:bCs/>
          <w:color w:val="auto"/>
          <w:lang w:eastAsia="es-ES"/>
        </w:rPr>
        <w:t xml:space="preserve"> </w:t>
      </w:r>
      <w:r w:rsidRPr="000D4C60">
        <w:rPr>
          <w:rFonts w:eastAsia="Times New Roman" w:cs="Tahoma"/>
          <w:b/>
          <w:color w:val="auto"/>
          <w:lang w:eastAsia="es-ES"/>
        </w:rPr>
        <w:t>Recurso</w:t>
      </w:r>
      <w:r w:rsidRPr="000D4C60" w:rsidR="00211C04">
        <w:rPr>
          <w:rFonts w:eastAsia="Times New Roman" w:cs="Tahoma"/>
          <w:b/>
          <w:color w:val="auto"/>
          <w:lang w:eastAsia="es-ES"/>
        </w:rPr>
        <w:t>s</w:t>
      </w:r>
      <w:r w:rsidRPr="000D4C60">
        <w:rPr>
          <w:rFonts w:eastAsia="Times New Roman" w:cs="Tahoma"/>
          <w:b/>
          <w:color w:val="auto"/>
          <w:lang w:eastAsia="es-ES"/>
        </w:rPr>
        <w:t xml:space="preserve"> de Revisión</w:t>
      </w:r>
      <w:r w:rsidRPr="000D4C60">
        <w:rPr>
          <w:rFonts w:eastAsia="Batang" w:cs="Tahoma"/>
          <w:b/>
          <w:bCs/>
          <w:color w:val="auto"/>
          <w:lang w:val="es-ES_tradnl" w:eastAsia="es-ES"/>
        </w:rPr>
        <w:t xml:space="preserve">. </w:t>
      </w:r>
      <w:r w:rsidRPr="000D4C60">
        <w:rPr>
          <w:rFonts w:eastAsia="Batang" w:cs="Tahoma"/>
          <w:bCs/>
          <w:color w:val="auto"/>
          <w:lang w:val="es-ES_tradnl" w:eastAsia="es-ES"/>
        </w:rPr>
        <w:t xml:space="preserve">El </w:t>
      </w:r>
      <w:r w:rsidR="00DA2070">
        <w:rPr>
          <w:rFonts w:eastAsia="Batang" w:cs="Tahoma"/>
          <w:bCs/>
          <w:color w:val="auto"/>
          <w:lang w:val="es-ES_tradnl" w:eastAsia="es-ES"/>
        </w:rPr>
        <w:t xml:space="preserve">nueve de noviembre </w:t>
      </w:r>
      <w:r w:rsidRPr="000D4C60">
        <w:rPr>
          <w:rFonts w:eastAsia="Batang" w:cs="Tahoma"/>
          <w:bCs/>
          <w:color w:val="auto"/>
          <w:lang w:val="es-ES_tradnl" w:eastAsia="es-ES"/>
        </w:rPr>
        <w:t xml:space="preserve">de dos mil veintiuno, se acordó la admisión del Recurso de Revisión interpuesto por la Recurrente en contra del Sujeto Obligado, en términos del artículo 185, fracciones I y II de la Ley de Transparencia y Acceso a la Información Pública del Estado de México y Municipios, </w:t>
      </w:r>
      <w:r w:rsidRPr="000D4C60" w:rsidR="00F22BFB">
        <w:rPr>
          <w:rFonts w:eastAsia="Batang" w:cs="Tahoma"/>
          <w:bCs/>
          <w:color w:val="auto"/>
          <w:lang w:val="es-ES_tradnl" w:eastAsia="es-ES"/>
        </w:rPr>
        <w:t>los cuales</w:t>
      </w:r>
      <w:r w:rsidRPr="000D4C60">
        <w:rPr>
          <w:rFonts w:eastAsia="Batang" w:cs="Tahoma"/>
          <w:bCs/>
          <w:color w:val="auto"/>
          <w:lang w:val="es-ES_tradnl" w:eastAsia="es-ES"/>
        </w:rPr>
        <w:t xml:space="preserve"> fue</w:t>
      </w:r>
      <w:r w:rsidRPr="000D4C60" w:rsidR="00F22BFB">
        <w:rPr>
          <w:rFonts w:eastAsia="Batang" w:cs="Tahoma"/>
          <w:bCs/>
          <w:color w:val="auto"/>
          <w:lang w:val="es-ES_tradnl" w:eastAsia="es-ES"/>
        </w:rPr>
        <w:t>ron</w:t>
      </w:r>
      <w:r w:rsidRPr="000D4C60">
        <w:rPr>
          <w:rFonts w:eastAsia="Batang" w:cs="Tahoma"/>
          <w:bCs/>
          <w:color w:val="auto"/>
          <w:lang w:val="es-ES_tradnl" w:eastAsia="es-ES"/>
        </w:rPr>
        <w:t xml:space="preserve"> notificado</w:t>
      </w:r>
      <w:r w:rsidRPr="000D4C60" w:rsidR="00F22BFB">
        <w:rPr>
          <w:rFonts w:eastAsia="Batang" w:cs="Tahoma"/>
          <w:bCs/>
          <w:color w:val="auto"/>
          <w:lang w:val="es-ES_tradnl" w:eastAsia="es-ES"/>
        </w:rPr>
        <w:t>s</w:t>
      </w:r>
      <w:r w:rsidRPr="000D4C60">
        <w:rPr>
          <w:rFonts w:eastAsia="Batang" w:cs="Tahoma"/>
          <w:bCs/>
          <w:color w:val="auto"/>
          <w:lang w:val="es-ES_tradnl" w:eastAsia="es-ES"/>
        </w:rPr>
        <w:t xml:space="preserve"> a las partes</w:t>
      </w:r>
      <w:r w:rsidRPr="000D4C60" w:rsidR="003C407B">
        <w:rPr>
          <w:rFonts w:eastAsia="Batang" w:cs="Tahoma"/>
          <w:bCs/>
          <w:color w:val="auto"/>
          <w:lang w:val="es-ES_tradnl" w:eastAsia="es-ES"/>
        </w:rPr>
        <w:t>,</w:t>
      </w:r>
      <w:r w:rsidRPr="000D4C60">
        <w:rPr>
          <w:rFonts w:eastAsia="Batang" w:cs="Tahoma"/>
          <w:bCs/>
          <w:color w:val="auto"/>
          <w:lang w:val="es-ES_tradnl" w:eastAsia="es-ES"/>
        </w:rPr>
        <w:t xml:space="preserve"> el</w:t>
      </w:r>
      <w:r w:rsidRPr="000D4C60" w:rsidR="003C407B">
        <w:rPr>
          <w:rFonts w:eastAsia="Batang" w:cs="Tahoma"/>
          <w:bCs/>
          <w:color w:val="auto"/>
          <w:lang w:val="es-ES_tradnl" w:eastAsia="es-ES"/>
        </w:rPr>
        <w:t xml:space="preserve"> </w:t>
      </w:r>
      <w:r w:rsidRPr="000D4C60" w:rsidR="00351452">
        <w:rPr>
          <w:rFonts w:eastAsia="Batang" w:cs="Tahoma"/>
          <w:bCs/>
          <w:color w:val="auto"/>
          <w:lang w:val="es-ES_tradnl" w:eastAsia="es-ES"/>
        </w:rPr>
        <w:t>día</w:t>
      </w:r>
      <w:r w:rsidR="00DA2070">
        <w:rPr>
          <w:rFonts w:eastAsia="Batang" w:cs="Tahoma"/>
          <w:bCs/>
          <w:color w:val="auto"/>
          <w:lang w:val="es-ES_tradnl" w:eastAsia="es-ES"/>
        </w:rPr>
        <w:t xml:space="preserve"> diez </w:t>
      </w:r>
      <w:r w:rsidR="005B7014">
        <w:rPr>
          <w:rFonts w:eastAsia="Batang" w:cs="Tahoma"/>
          <w:bCs/>
          <w:color w:val="auto"/>
          <w:lang w:val="es-ES_tradnl" w:eastAsia="es-ES"/>
        </w:rPr>
        <w:t>de dicho mes y año,</w:t>
      </w:r>
      <w:r w:rsidRPr="000D4C60">
        <w:rPr>
          <w:rFonts w:eastAsia="Batang"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w:t>
      </w:r>
    </w:p>
    <w:p w:rsidRPr="000D4C60" w:rsidR="00576FD0" w:rsidP="00FE73D0" w:rsidRDefault="00576FD0" w14:paraId="7ACEE0DD" w14:textId="77777777">
      <w:pPr>
        <w:spacing w:after="0" w:line="360" w:lineRule="auto"/>
        <w:rPr>
          <w:b/>
          <w:bCs/>
        </w:rPr>
      </w:pPr>
    </w:p>
    <w:p w:rsidRPr="000D4C60" w:rsidR="00F52A4A" w:rsidP="00FE73D0" w:rsidRDefault="00576FD0" w14:paraId="64DD7455" w14:textId="29487AD3">
      <w:pPr>
        <w:spacing w:after="0" w:line="360" w:lineRule="auto"/>
        <w:ind w:right="-28"/>
        <w:contextualSpacing/>
        <w:rPr>
          <w:rFonts w:cs="Tahoma"/>
          <w:lang w:val="es-ES_tradnl"/>
        </w:rPr>
      </w:pPr>
      <w:r w:rsidRPr="00970772">
        <w:rPr>
          <w:b/>
          <w:bCs/>
        </w:rPr>
        <w:t xml:space="preserve">c) </w:t>
      </w:r>
      <w:r w:rsidRPr="00970772">
        <w:rPr>
          <w:b/>
          <w:lang w:val="es-ES_tradnl"/>
        </w:rPr>
        <w:t>Informe Justificado.</w:t>
      </w:r>
      <w:r w:rsidRPr="000D4C60">
        <w:rPr>
          <w:b/>
          <w:lang w:val="es-ES_tradnl"/>
        </w:rPr>
        <w:t xml:space="preserve"> </w:t>
      </w:r>
      <w:r w:rsidRPr="000D4C60" w:rsidR="00BF6B49">
        <w:rPr>
          <w:rFonts w:cs="Tahoma"/>
        </w:rPr>
        <w:t xml:space="preserve">El </w:t>
      </w:r>
      <w:r w:rsidR="00970772">
        <w:rPr>
          <w:rFonts w:cs="Tahoma"/>
        </w:rPr>
        <w:t>diecinueve de noviembre</w:t>
      </w:r>
      <w:r w:rsidRPr="000D4C60" w:rsidR="00BF6B49">
        <w:rPr>
          <w:rFonts w:cs="Tahoma"/>
        </w:rPr>
        <w:t xml:space="preserve"> de dos mil veintiuno, se recibió, a través del Sistema de Acceso a la Información Mexiquense (SAIMEX)</w:t>
      </w:r>
      <w:r w:rsidR="005B7014">
        <w:rPr>
          <w:rFonts w:cs="Tahoma"/>
        </w:rPr>
        <w:t xml:space="preserve"> y en las Oficinas de este Instituto, el Informe Justificado con</w:t>
      </w:r>
      <w:r w:rsidRPr="000D4C60" w:rsidR="00BF6B49">
        <w:rPr>
          <w:rFonts w:cs="Tahoma"/>
        </w:rPr>
        <w:t xml:space="preserve"> número </w:t>
      </w:r>
      <w:r w:rsidR="00970772">
        <w:rPr>
          <w:rFonts w:cs="Tahoma"/>
        </w:rPr>
        <w:t>219C0110000301S/0404/2021</w:t>
      </w:r>
      <w:r w:rsidRPr="000D4C60" w:rsidR="00BF6B49">
        <w:rPr>
          <w:rFonts w:cs="Tahoma"/>
        </w:rPr>
        <w:t xml:space="preserve">, </w:t>
      </w:r>
      <w:r w:rsidR="005B7014">
        <w:rPr>
          <w:rFonts w:cs="Tahoma"/>
        </w:rPr>
        <w:t>del dieciséis de dicho mes y año</w:t>
      </w:r>
      <w:r w:rsidRPr="000D4C60" w:rsidR="00BF6B49">
        <w:rPr>
          <w:rFonts w:cs="Tahoma"/>
        </w:rPr>
        <w:t xml:space="preserve">, </w:t>
      </w:r>
      <w:r w:rsidRPr="000D4C60" w:rsidR="00BF6B49">
        <w:rPr>
          <w:rFonts w:cs="Tahoma"/>
          <w:bCs/>
        </w:rPr>
        <w:t>suscrito por el Titular</w:t>
      </w:r>
      <w:r w:rsidRPr="000D4C60" w:rsidR="00BF6B49">
        <w:rPr>
          <w:rFonts w:cs="Tahoma"/>
        </w:rPr>
        <w:t xml:space="preserve"> de la Unidad de Transparencia y </w:t>
      </w:r>
      <w:r w:rsidR="00970772">
        <w:rPr>
          <w:rFonts w:cs="Tahoma"/>
        </w:rPr>
        <w:t>dirigido al Comisionado Ponente</w:t>
      </w:r>
      <w:r w:rsidRPr="000D4C60" w:rsidR="00BF6B49">
        <w:rPr>
          <w:rFonts w:cs="Tahoma"/>
        </w:rPr>
        <w:t>, cuyo contenido es el siguiente:</w:t>
      </w:r>
      <w:r w:rsidRPr="000D4C60" w:rsidR="00F52A4A">
        <w:rPr>
          <w:rFonts w:cs="Tahoma"/>
          <w:lang w:val="es-ES_tradnl"/>
        </w:rPr>
        <w:t xml:space="preserve"> </w:t>
      </w:r>
    </w:p>
    <w:p w:rsidRPr="000D4C60" w:rsidR="0030145C" w:rsidP="00FE73D0" w:rsidRDefault="0030145C" w14:paraId="67DC880D" w14:textId="77777777">
      <w:pPr>
        <w:spacing w:after="0" w:line="360" w:lineRule="auto"/>
        <w:ind w:right="-28"/>
        <w:contextualSpacing/>
        <w:rPr>
          <w:rFonts w:eastAsia="Times New Roman" w:cs="Tahoma"/>
          <w:bCs/>
          <w:iCs/>
          <w:color w:val="auto"/>
          <w:lang w:val="es-ES" w:eastAsia="es-ES"/>
        </w:rPr>
      </w:pPr>
    </w:p>
    <w:p w:rsidRPr="000D4C60" w:rsidR="0030145C" w:rsidP="00FE73D0" w:rsidRDefault="0030145C" w14:paraId="2303B3B3"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0D4C60">
        <w:rPr>
          <w:rFonts w:eastAsia="Times New Roman" w:cs="Tahoma"/>
          <w:i/>
          <w:color w:val="auto"/>
          <w:sz w:val="20"/>
          <w:szCs w:val="20"/>
          <w:lang w:eastAsia="es-ES"/>
        </w:rPr>
        <w:t>“...</w:t>
      </w:r>
    </w:p>
    <w:p w:rsidR="00970772" w:rsidP="00FE73D0" w:rsidRDefault="00970772" w14:paraId="5D93F472"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Al respecto, mediante oficio 219C0117L/1843/2021, el Servidor Público Habilitado de la Dirección General de Administración y Finanzas, envía la información solicitada, la cual se agrega al presente informe a manera de anexo I.</w:t>
      </w:r>
    </w:p>
    <w:p w:rsidR="00970772" w:rsidP="00FE73D0" w:rsidRDefault="00970772" w14:paraId="2AE9664F"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970772" w:rsidP="00FE73D0" w:rsidRDefault="00970772" w14:paraId="40E2D483" w14:textId="4105B1D2">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Cabe señalar que la Ley de Transparencia  y Acceso a la Información Pública del Estado de México y Municipios, señala en la Sección Segunda, de los Principios en Materia de Transparencia y Acceso a la Información Pública, en su artículo 12, segundo párrafo lo siguiente:</w:t>
      </w:r>
    </w:p>
    <w:p w:rsidR="00970772" w:rsidP="00FE73D0" w:rsidRDefault="00970772" w14:paraId="20E2E033" w14:textId="2D449EDE">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w:t>
      </w:r>
    </w:p>
    <w:p w:rsidR="00970772" w:rsidP="00FE73D0" w:rsidRDefault="00970772" w14:paraId="3ABFB934" w14:textId="0F38C0FC">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De esta forma debido a que se confirma la primera respuesta emitida por este Sujeto Obligado, las Unidad de Transparencia estima que el Recurso de Revisión </w:t>
      </w:r>
      <w:r>
        <w:rPr>
          <w:rFonts w:eastAsia="Times New Roman" w:cs="Tahoma"/>
          <w:b/>
          <w:i/>
          <w:color w:val="auto"/>
          <w:sz w:val="20"/>
          <w:szCs w:val="20"/>
          <w:lang w:eastAsia="es-ES"/>
        </w:rPr>
        <w:t xml:space="preserve">005401/INFOEM/IP/RR/2021, </w:t>
      </w:r>
      <w:r>
        <w:rPr>
          <w:rFonts w:eastAsia="Times New Roman" w:cs="Tahoma"/>
          <w:i/>
          <w:color w:val="auto"/>
          <w:sz w:val="20"/>
          <w:szCs w:val="20"/>
          <w:lang w:eastAsia="es-ES"/>
        </w:rPr>
        <w:t>debe sobreseerse por parte del INFOEM, como se indica en el artículo 192, fracción III de la Ley de la materia, ya que el ac</w:t>
      </w:r>
      <w:r w:rsidR="002F014D">
        <w:rPr>
          <w:rFonts w:eastAsia="Times New Roman" w:cs="Tahoma"/>
          <w:i/>
          <w:color w:val="auto"/>
          <w:sz w:val="20"/>
          <w:szCs w:val="20"/>
          <w:lang w:eastAsia="es-ES"/>
        </w:rPr>
        <w:t>to impugnado ha sido modificado:</w:t>
      </w:r>
    </w:p>
    <w:p w:rsidR="00646311" w:rsidP="00FE73D0" w:rsidRDefault="00646311" w14:paraId="600075DE" w14:textId="72ADC6DC">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w:t>
      </w:r>
    </w:p>
    <w:p w:rsidR="00646311" w:rsidP="00FE73D0" w:rsidRDefault="00646311" w14:paraId="0FB2E8C0" w14:textId="4688B8CE">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Con base en lo antes expuesto, a este H. Instituto de Transparencia, Acceso a la Información Pública y Protección de Datos Personales del Estado de México y Municipios (INFOEM) pido se sirva:</w:t>
      </w:r>
    </w:p>
    <w:p w:rsidR="00646311" w:rsidP="00FE73D0" w:rsidRDefault="00646311" w14:paraId="602863E6"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Pr="00131E05" w:rsidR="00646311" w:rsidP="00FE73D0" w:rsidRDefault="00646311" w14:paraId="088D5356" w14:textId="549BB9CF">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646311">
        <w:rPr>
          <w:rFonts w:eastAsia="Times New Roman" w:cs="Tahoma"/>
          <w:b/>
          <w:i/>
          <w:color w:val="auto"/>
          <w:sz w:val="20"/>
          <w:szCs w:val="20"/>
          <w:lang w:eastAsia="es-ES"/>
        </w:rPr>
        <w:t xml:space="preserve">ÚNICO.- </w:t>
      </w:r>
      <w:r>
        <w:rPr>
          <w:rFonts w:eastAsia="Times New Roman" w:cs="Tahoma"/>
          <w:i/>
          <w:color w:val="auto"/>
          <w:sz w:val="20"/>
          <w:szCs w:val="20"/>
          <w:lang w:eastAsia="es-ES"/>
        </w:rPr>
        <w:t xml:space="preserve">Previos los trámites de ley, emitir la resolución sujeta al Recurso de Revisión </w:t>
      </w:r>
      <w:r w:rsidRPr="00646311">
        <w:rPr>
          <w:rFonts w:eastAsia="Times New Roman" w:cs="Tahoma"/>
          <w:i/>
          <w:color w:val="auto"/>
          <w:sz w:val="20"/>
          <w:szCs w:val="20"/>
          <w:lang w:eastAsia="es-ES"/>
        </w:rPr>
        <w:t>05401/INFOEM/IP/RR/2021</w:t>
      </w:r>
      <w:r w:rsidR="00131E05">
        <w:rPr>
          <w:rFonts w:eastAsia="Times New Roman" w:cs="Tahoma"/>
          <w:i/>
          <w:color w:val="auto"/>
          <w:sz w:val="20"/>
          <w:szCs w:val="20"/>
          <w:lang w:eastAsia="es-ES"/>
        </w:rPr>
        <w:t xml:space="preserve">, </w:t>
      </w:r>
      <w:r w:rsidRPr="00131E05" w:rsidR="00131E05">
        <w:rPr>
          <w:rFonts w:eastAsia="Times New Roman" w:cs="Tahoma"/>
          <w:i/>
          <w:color w:val="auto"/>
          <w:sz w:val="20"/>
          <w:szCs w:val="20"/>
          <w:lang w:eastAsia="es-ES"/>
        </w:rPr>
        <w:t>determinando su sobreseimiento, como lo marca el artículo 186, fracción</w:t>
      </w:r>
      <w:r w:rsidR="00131E05">
        <w:rPr>
          <w:rFonts w:eastAsia="Times New Roman" w:cs="Tahoma"/>
          <w:i/>
          <w:color w:val="auto"/>
          <w:sz w:val="20"/>
          <w:szCs w:val="20"/>
          <w:lang w:eastAsia="es-ES"/>
        </w:rPr>
        <w:t xml:space="preserve"> I, de la Ley de Transparencia y Acceso a la Información Pública del Estado de México y Municipios, ya que estamos en el supuesto del Artículo 192, fracción III, de esta misma Ley, al revocar el recurso de revisión y dejarlo sin materia.</w:t>
      </w:r>
      <w:r w:rsidRPr="00131E05" w:rsidR="00131E05">
        <w:rPr>
          <w:rFonts w:eastAsia="Times New Roman" w:cs="Tahoma"/>
          <w:i/>
          <w:color w:val="auto"/>
          <w:sz w:val="20"/>
          <w:szCs w:val="20"/>
          <w:lang w:eastAsia="es-ES"/>
        </w:rPr>
        <w:t xml:space="preserve"> </w:t>
      </w:r>
    </w:p>
    <w:p w:rsidRPr="00131E05" w:rsidR="0030145C" w:rsidP="00FE73D0" w:rsidRDefault="001B75DC" w14:paraId="0DEEECBE" w14:textId="28D515D6">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131E05">
        <w:rPr>
          <w:rFonts w:eastAsia="Times New Roman" w:cs="Tahoma"/>
          <w:i/>
          <w:color w:val="auto"/>
          <w:sz w:val="20"/>
          <w:szCs w:val="20"/>
          <w:lang w:eastAsia="es-ES"/>
        </w:rPr>
        <w:t>…</w:t>
      </w:r>
      <w:r w:rsidRPr="00131E05" w:rsidR="0030145C">
        <w:rPr>
          <w:rFonts w:eastAsia="Times New Roman" w:cs="Tahoma"/>
          <w:i/>
          <w:color w:val="auto"/>
          <w:sz w:val="20"/>
          <w:szCs w:val="20"/>
          <w:lang w:eastAsia="es-ES"/>
        </w:rPr>
        <w:t>” (Sic.)</w:t>
      </w:r>
    </w:p>
    <w:p w:rsidRPr="000D4C60" w:rsidR="001B75DC" w:rsidP="00FE73D0" w:rsidRDefault="001B75DC" w14:paraId="0D5E8B6D"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D4176F" w:rsidP="00FE73D0" w:rsidRDefault="00131E05" w14:paraId="3BD24C11" w14:textId="64A99999">
      <w:pPr>
        <w:spacing w:after="0" w:line="360" w:lineRule="auto"/>
        <w:rPr>
          <w:rFonts w:cs="Tahoma"/>
        </w:rPr>
      </w:pPr>
      <w:r>
        <w:rPr>
          <w:rFonts w:cs="Tahoma"/>
        </w:rPr>
        <w:t>El Sujeto Obligado adjuntó los siguientes documentos:</w:t>
      </w:r>
    </w:p>
    <w:p w:rsidR="00D4176F" w:rsidP="00FE73D0" w:rsidRDefault="00D4176F" w14:paraId="60E813A1" w14:textId="77777777">
      <w:pPr>
        <w:spacing w:after="0" w:line="360" w:lineRule="auto"/>
        <w:rPr>
          <w:rFonts w:cs="Tahoma"/>
        </w:rPr>
      </w:pPr>
    </w:p>
    <w:p w:rsidR="00D4176F" w:rsidP="00FE73D0" w:rsidRDefault="00D4176F" w14:paraId="4245DF9B" w14:textId="218AC623">
      <w:pPr>
        <w:spacing w:after="0" w:line="360" w:lineRule="auto"/>
        <w:rPr>
          <w:rFonts w:cs="Tahoma"/>
        </w:rPr>
      </w:pPr>
      <w:r>
        <w:rPr>
          <w:rFonts w:cs="Tahoma"/>
        </w:rPr>
        <w:lastRenderedPageBreak/>
        <w:t xml:space="preserve">i) Oficio 219C0117L/1843/2021, </w:t>
      </w:r>
      <w:r w:rsidR="00131E05">
        <w:rPr>
          <w:rFonts w:cs="Tahoma"/>
        </w:rPr>
        <w:t>del</w:t>
      </w:r>
      <w:r>
        <w:rPr>
          <w:rFonts w:cs="Tahoma"/>
        </w:rPr>
        <w:t xml:space="preserve"> dieciséis de noviembre de dos mil veintiuno, signado por el Director General de Administración y Finanzas y dirigido al Titular de la Unidad de Transparencia, mediante el cual señaló lo siguiente: </w:t>
      </w:r>
    </w:p>
    <w:p w:rsidR="00D4176F" w:rsidP="00FE73D0" w:rsidRDefault="00D4176F" w14:paraId="30673D91" w14:textId="77777777">
      <w:pPr>
        <w:spacing w:after="0" w:line="360" w:lineRule="auto"/>
        <w:rPr>
          <w:rFonts w:cs="Tahoma"/>
        </w:rPr>
      </w:pPr>
    </w:p>
    <w:p w:rsidRPr="000D4C60" w:rsidR="00D4176F" w:rsidP="00FE73D0" w:rsidRDefault="00D4176F" w14:paraId="10B88EFA"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0D4C60">
        <w:rPr>
          <w:rFonts w:eastAsia="Times New Roman" w:cs="Tahoma"/>
          <w:i/>
          <w:color w:val="auto"/>
          <w:sz w:val="20"/>
          <w:szCs w:val="20"/>
          <w:lang w:eastAsia="es-ES"/>
        </w:rPr>
        <w:t>“...</w:t>
      </w:r>
    </w:p>
    <w:p w:rsidRPr="00D4176F" w:rsidR="00D4176F" w:rsidP="00FE73D0" w:rsidRDefault="00D4176F" w14:paraId="1351B49C" w14:textId="2AFABA1C">
      <w:pPr>
        <w:widowControl w:val="0"/>
        <w:tabs>
          <w:tab w:val="left" w:pos="1843"/>
        </w:tabs>
        <w:autoSpaceDE w:val="0"/>
        <w:autoSpaceDN w:val="0"/>
        <w:adjustRightInd w:val="0"/>
        <w:spacing w:after="0" w:line="360" w:lineRule="auto"/>
        <w:ind w:left="567" w:right="567"/>
        <w:rPr>
          <w:rFonts w:eastAsia="Times New Roman" w:cs="Tahoma"/>
          <w:b/>
          <w:i/>
          <w:color w:val="auto"/>
          <w:sz w:val="20"/>
          <w:szCs w:val="20"/>
          <w:lang w:eastAsia="es-ES"/>
        </w:rPr>
      </w:pPr>
      <w:r>
        <w:rPr>
          <w:rFonts w:eastAsia="Times New Roman" w:cs="Tahoma"/>
          <w:i/>
          <w:color w:val="auto"/>
          <w:sz w:val="20"/>
          <w:szCs w:val="20"/>
          <w:lang w:eastAsia="es-ES"/>
        </w:rPr>
        <w:t xml:space="preserve">Por otro lado, el Manual General de Organización de la Comisión del Agua del Estado de México, prevé las funciones conferidas a esta Dirección General de Administración y Finanzas, resaltando que, dentro de ellas, no se encuentra la de poseer información o validar lo relativo a </w:t>
      </w:r>
      <w:r>
        <w:rPr>
          <w:rFonts w:eastAsia="Times New Roman" w:cs="Tahoma"/>
          <w:b/>
          <w:i/>
          <w:color w:val="auto"/>
          <w:sz w:val="20"/>
          <w:szCs w:val="20"/>
          <w:lang w:eastAsia="es-ES"/>
        </w:rPr>
        <w:t xml:space="preserve">“seguro o fianza en el que se tenga por objeto garantizar el pago de daños a terceros por la distribución de agua potable que no cumpla con la calidad que establece la norma oficial NOM-127-SSA-1994. SALUD AMBIENTAL. AGUA PARA USO Y CONSUMO HUMANO. LÍMITES PERMISIBLES DE CALIDAD Y TRATAMIENTO A QUE DEBE SOMETERSE EL AGUA PARA SU POTABILIZACIÓN” (sic), </w:t>
      </w:r>
      <w:r>
        <w:rPr>
          <w:rFonts w:eastAsia="Times New Roman" w:cs="Tahoma"/>
          <w:i/>
          <w:color w:val="auto"/>
          <w:sz w:val="20"/>
          <w:szCs w:val="20"/>
          <w:lang w:eastAsia="es-ES"/>
        </w:rPr>
        <w:t xml:space="preserve">como refiere el requirente en el folio </w:t>
      </w:r>
      <w:r>
        <w:rPr>
          <w:rFonts w:eastAsia="Times New Roman" w:cs="Tahoma"/>
          <w:b/>
          <w:i/>
          <w:color w:val="auto"/>
          <w:sz w:val="20"/>
          <w:szCs w:val="20"/>
          <w:lang w:eastAsia="es-ES"/>
        </w:rPr>
        <w:t>00204/CAEM/IP/2021.</w:t>
      </w:r>
    </w:p>
    <w:p w:rsidR="00D4176F" w:rsidP="00FE73D0" w:rsidRDefault="00D4176F" w14:paraId="408A8975"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D4176F" w:rsidP="00FE73D0" w:rsidRDefault="00D4176F" w14:paraId="6FC280DC" w14:textId="16278BFC">
      <w:pPr>
        <w:widowControl w:val="0"/>
        <w:autoSpaceDE w:val="0"/>
        <w:autoSpaceDN w:val="0"/>
        <w:adjustRightInd w:val="0"/>
        <w:spacing w:after="0" w:line="360" w:lineRule="auto"/>
        <w:ind w:left="567" w:right="567"/>
        <w:rPr>
          <w:rFonts w:eastAsia="Times New Roman" w:cs="Tahoma"/>
          <w:b/>
          <w:i/>
          <w:color w:val="auto"/>
          <w:sz w:val="20"/>
          <w:szCs w:val="20"/>
          <w:lang w:eastAsia="es-ES"/>
        </w:rPr>
      </w:pPr>
      <w:r>
        <w:rPr>
          <w:rFonts w:eastAsia="Times New Roman" w:cs="Tahoma"/>
          <w:i/>
          <w:color w:val="auto"/>
          <w:sz w:val="20"/>
          <w:szCs w:val="20"/>
          <w:lang w:eastAsia="es-ES"/>
        </w:rPr>
        <w:t>De manera informativa y,</w:t>
      </w:r>
      <w:r w:rsidR="00697065">
        <w:rPr>
          <w:rFonts w:eastAsia="Times New Roman" w:cs="Tahoma"/>
          <w:i/>
          <w:color w:val="auto"/>
          <w:sz w:val="20"/>
          <w:szCs w:val="20"/>
          <w:lang w:eastAsia="es-ES"/>
        </w:rPr>
        <w:t xml:space="preserve"> conforme al artículo 3 fracción II de la Ley Estatal en la materia se entenderá por </w:t>
      </w:r>
      <w:r w:rsidR="00697065">
        <w:rPr>
          <w:rFonts w:eastAsia="Times New Roman" w:cs="Tahoma"/>
          <w:b/>
          <w:i/>
          <w:color w:val="auto"/>
          <w:sz w:val="20"/>
          <w:szCs w:val="20"/>
          <w:lang w:eastAsia="es-ES"/>
        </w:rPr>
        <w:t>áreas:</w:t>
      </w:r>
    </w:p>
    <w:p w:rsidR="00697065" w:rsidP="00FE73D0" w:rsidRDefault="00697065" w14:paraId="0631F08F" w14:textId="77777777">
      <w:pPr>
        <w:widowControl w:val="0"/>
        <w:autoSpaceDE w:val="0"/>
        <w:autoSpaceDN w:val="0"/>
        <w:adjustRightInd w:val="0"/>
        <w:spacing w:after="0" w:line="360" w:lineRule="auto"/>
        <w:ind w:left="567" w:right="567"/>
        <w:rPr>
          <w:rFonts w:eastAsia="Times New Roman" w:cs="Tahoma"/>
          <w:b/>
          <w:i/>
          <w:color w:val="auto"/>
          <w:sz w:val="20"/>
          <w:szCs w:val="20"/>
          <w:lang w:eastAsia="es-ES"/>
        </w:rPr>
      </w:pPr>
    </w:p>
    <w:p w:rsidR="00697065" w:rsidP="00FE73D0" w:rsidRDefault="00697065" w14:paraId="44E63F4B" w14:textId="10C57046">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b/>
          <w:i/>
          <w:color w:val="auto"/>
          <w:sz w:val="20"/>
          <w:szCs w:val="20"/>
          <w:lang w:eastAsia="es-ES"/>
        </w:rPr>
        <w:t>“</w:t>
      </w:r>
      <w:r>
        <w:rPr>
          <w:rFonts w:eastAsia="Times New Roman" w:cs="Tahoma"/>
          <w:i/>
          <w:color w:val="auto"/>
          <w:sz w:val="20"/>
          <w:szCs w:val="20"/>
          <w:lang w:eastAsia="es-ES"/>
        </w:rPr>
        <w:t>las instancias que cuentan o pueden contar con la información. Tratándose del sector público, serán aquellas que estén previstas en el Reglamento Interior, Estatuto Orgánico respectivo o equivalentes”</w:t>
      </w:r>
    </w:p>
    <w:p w:rsidR="00697065" w:rsidP="00FE73D0" w:rsidRDefault="00697065" w14:paraId="0170F404"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697065" w:rsidP="00FE73D0" w:rsidRDefault="00697065" w14:paraId="654DF4F9" w14:textId="3D8CE6D4">
      <w:pPr>
        <w:widowControl w:val="0"/>
        <w:autoSpaceDE w:val="0"/>
        <w:autoSpaceDN w:val="0"/>
        <w:adjustRightInd w:val="0"/>
        <w:spacing w:after="0" w:line="360" w:lineRule="auto"/>
        <w:ind w:left="567" w:right="567"/>
        <w:rPr>
          <w:rFonts w:eastAsia="Times New Roman" w:cs="Tahoma"/>
          <w:b/>
          <w:i/>
          <w:color w:val="auto"/>
          <w:sz w:val="20"/>
          <w:szCs w:val="20"/>
          <w:lang w:eastAsia="es-ES"/>
        </w:rPr>
      </w:pPr>
      <w:r>
        <w:rPr>
          <w:rFonts w:eastAsia="Times New Roman" w:cs="Tahoma"/>
          <w:i/>
          <w:color w:val="auto"/>
          <w:sz w:val="20"/>
          <w:szCs w:val="20"/>
          <w:lang w:eastAsia="es-ES"/>
        </w:rPr>
        <w:t xml:space="preserve">En este sentido, los artículos 51 y 53 fracción </w:t>
      </w:r>
      <w:r>
        <w:rPr>
          <w:rFonts w:eastAsia="Times New Roman" w:cs="Tahoma"/>
          <w:i/>
          <w:color w:val="auto"/>
          <w:sz w:val="20"/>
          <w:szCs w:val="20"/>
          <w:lang w:eastAsia="es-ES"/>
        </w:rPr>
        <w:tab/>
      </w:r>
      <w:r>
        <w:rPr>
          <w:rFonts w:eastAsia="Times New Roman" w:cs="Tahoma"/>
          <w:i/>
          <w:color w:val="auto"/>
          <w:sz w:val="20"/>
          <w:szCs w:val="20"/>
          <w:lang w:eastAsia="es-ES"/>
        </w:rPr>
        <w:t xml:space="preserve">IV del mismo ordenamiento, disponen que, las solicitudes de acceso a la Información, son </w:t>
      </w:r>
      <w:r>
        <w:rPr>
          <w:rFonts w:eastAsia="Times New Roman" w:cs="Tahoma"/>
          <w:b/>
          <w:i/>
          <w:color w:val="auto"/>
          <w:sz w:val="20"/>
          <w:szCs w:val="20"/>
          <w:lang w:eastAsia="es-ES"/>
        </w:rPr>
        <w:t>turnadas internamente por la Unidad de Transparencia a los servidores públicos habilitados,</w:t>
      </w:r>
      <w:r>
        <w:rPr>
          <w:rFonts w:eastAsia="Times New Roman" w:cs="Tahoma"/>
          <w:i/>
          <w:color w:val="auto"/>
          <w:sz w:val="20"/>
          <w:szCs w:val="20"/>
          <w:lang w:eastAsia="es-ES"/>
        </w:rPr>
        <w:t xml:space="preserve"> quienes representan en materia de transparencia a las diferentes Direcciones Generales integrantes de esta Comisión del Agua del Estado de México, siendo las áreas que probablemente puedan poseer la información. En consecuencia, </w:t>
      </w:r>
      <w:r>
        <w:rPr>
          <w:rFonts w:eastAsia="Times New Roman" w:cs="Tahoma"/>
          <w:b/>
          <w:i/>
          <w:color w:val="auto"/>
          <w:sz w:val="20"/>
          <w:szCs w:val="20"/>
          <w:lang w:eastAsia="es-ES"/>
        </w:rPr>
        <w:t>esta Dirección General de Administración y Finanzas únicamente se manifestó respecto a los archivos que derivado de sus funciones genera y posee.</w:t>
      </w:r>
    </w:p>
    <w:p w:rsidR="00697065" w:rsidP="00FE73D0" w:rsidRDefault="00697065" w14:paraId="44604D93" w14:textId="77777777">
      <w:pPr>
        <w:widowControl w:val="0"/>
        <w:autoSpaceDE w:val="0"/>
        <w:autoSpaceDN w:val="0"/>
        <w:adjustRightInd w:val="0"/>
        <w:spacing w:after="0" w:line="360" w:lineRule="auto"/>
        <w:ind w:left="567" w:right="567"/>
        <w:rPr>
          <w:rFonts w:eastAsia="Times New Roman" w:cs="Tahoma"/>
          <w:b/>
          <w:i/>
          <w:color w:val="auto"/>
          <w:sz w:val="20"/>
          <w:szCs w:val="20"/>
          <w:lang w:eastAsia="es-ES"/>
        </w:rPr>
      </w:pPr>
    </w:p>
    <w:p w:rsidR="00697065" w:rsidP="00FE73D0" w:rsidRDefault="00697065" w14:paraId="61803878" w14:textId="2DDB704E">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Ahora bien, a fin de brindar la información necesaria sobre el folio que nos ocupa, el punto dos del Acuerdo delegatorio al Titular de la Dirección General de Operaciones y Atención a Emergencias de la Comisión del Agua del Estado de México, publicado en la Gaceta del Gobierno del Estado de México el 07 de enero de 2019, señala que dicho servidor público, </w:t>
      </w:r>
      <w:r>
        <w:rPr>
          <w:rFonts w:eastAsia="Times New Roman" w:cs="Tahoma"/>
          <w:b/>
          <w:i/>
          <w:color w:val="auto"/>
          <w:sz w:val="20"/>
          <w:szCs w:val="20"/>
          <w:lang w:eastAsia="es-ES"/>
        </w:rPr>
        <w:t xml:space="preserve">debe atender las solicitudes del permiso para la distribución de agua a través de pipas, conforme a la normatividad aplicable; </w:t>
      </w:r>
      <w:r>
        <w:rPr>
          <w:rFonts w:eastAsia="Times New Roman" w:cs="Tahoma"/>
          <w:i/>
          <w:color w:val="auto"/>
          <w:sz w:val="20"/>
          <w:szCs w:val="20"/>
          <w:lang w:eastAsia="es-ES"/>
        </w:rPr>
        <w:t>es decir, para que los peticionarios obtengan el “Permiso de Distr</w:t>
      </w:r>
      <w:r w:rsidR="001E505A">
        <w:rPr>
          <w:rFonts w:eastAsia="Times New Roman" w:cs="Tahoma"/>
          <w:i/>
          <w:color w:val="auto"/>
          <w:sz w:val="20"/>
          <w:szCs w:val="20"/>
          <w:lang w:eastAsia="es-ES"/>
        </w:rPr>
        <w:t>ibución de Agua Potable en Pipa” el titular de dicha unidad administrativa, debe vigilar y revisar que los requisitos previstos en el artículo 150 Quáter de la Ley del Agua del Estado de México y Municipios y, demás relativos se satisfagan, acciones que, adicionalmente, se puntualizan en el Manual de Procedimientos para el Permiso de Distribución , Venta y Suministro de Agua Potable en Pipas a Permisionarios de fecha noviembre de 2019, del cual se adjunta copia simple para pronta referencia.</w:t>
      </w:r>
    </w:p>
    <w:p w:rsidR="001E505A" w:rsidP="00FE73D0" w:rsidRDefault="001E505A" w14:paraId="56701C47"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1E505A" w:rsidP="00FE73D0" w:rsidRDefault="001E505A" w14:paraId="25F9B59F" w14:textId="523DC9C9">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Adicionalmente, la Dirección General de Operaciones y Atención a Emergencias dispone que Departamentos Técnicos y Especializados para  verificar la aplicabilidad, de alguna póliza de seguro o fianza que garantice, el pago de daños a terceros por la distribución de agua potable que no cumpla con la calidad que establece la Norma Oficial NOM-127-SSAA1-1994, “Salud Ambiental, Agua para Uso y Consumo Humano, Límites Permisibles de Calidad y Tratamientos a que debe someterse el Agua para su Potabilización”, como resultado, el titular de dicha Dirección General emite, en su caso, el Permiso de Distribución señalado.</w:t>
      </w:r>
    </w:p>
    <w:p w:rsidR="001E505A" w:rsidP="00FE73D0" w:rsidRDefault="001E505A" w14:paraId="06C86E58"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1E505A" w:rsidP="00FE73D0" w:rsidRDefault="001E505A" w14:paraId="2772F71E" w14:textId="457683D1">
      <w:pPr>
        <w:widowControl w:val="0"/>
        <w:autoSpaceDE w:val="0"/>
        <w:autoSpaceDN w:val="0"/>
        <w:adjustRightInd w:val="0"/>
        <w:spacing w:after="0" w:line="360" w:lineRule="auto"/>
        <w:ind w:left="567" w:right="567"/>
        <w:rPr>
          <w:rFonts w:eastAsia="Times New Roman" w:cs="Tahoma"/>
          <w:b/>
          <w:i/>
          <w:color w:val="auto"/>
          <w:sz w:val="20"/>
          <w:szCs w:val="20"/>
          <w:lang w:eastAsia="es-ES"/>
        </w:rPr>
      </w:pPr>
      <w:r>
        <w:rPr>
          <w:rFonts w:eastAsia="Times New Roman" w:cs="Tahoma"/>
          <w:i/>
          <w:color w:val="auto"/>
          <w:sz w:val="20"/>
          <w:szCs w:val="20"/>
          <w:lang w:eastAsia="es-ES"/>
        </w:rPr>
        <w:t xml:space="preserve">Por otro lado, mediante oficio número </w:t>
      </w:r>
      <w:r>
        <w:rPr>
          <w:rFonts w:eastAsia="Times New Roman" w:cs="Tahoma"/>
          <w:b/>
          <w:i/>
          <w:color w:val="auto"/>
          <w:sz w:val="20"/>
          <w:szCs w:val="20"/>
          <w:lang w:eastAsia="es-ES"/>
        </w:rPr>
        <w:t xml:space="preserve">219C0117010000L/1675/2021 de fecha 12 de noviembre de 2021, </w:t>
      </w:r>
      <w:r>
        <w:rPr>
          <w:rFonts w:eastAsia="Times New Roman" w:cs="Tahoma"/>
          <w:i/>
          <w:color w:val="auto"/>
          <w:sz w:val="20"/>
          <w:szCs w:val="20"/>
          <w:lang w:eastAsia="es-ES"/>
        </w:rPr>
        <w:t>se adjunta copia simple, el titular de la Subdirección de Adquisiciones informó que, previa búsqueda exhaustiva realizada de los ejercicios fiscales 2020 y 2021, dicha Subdirección</w:t>
      </w:r>
      <w:r>
        <w:rPr>
          <w:rFonts w:eastAsia="Times New Roman" w:cs="Tahoma"/>
          <w:b/>
          <w:i/>
          <w:color w:val="auto"/>
          <w:sz w:val="20"/>
          <w:szCs w:val="20"/>
          <w:lang w:eastAsia="es-ES"/>
        </w:rPr>
        <w:t xml:space="preserve"> no efectuó licitaciones, concursos, invitaciones restringidas y/o compras directas, a solicitud de la Dirección General de Operaciones y Atención a Emergencias, con las características señaladas.</w:t>
      </w:r>
    </w:p>
    <w:p w:rsidR="00CF48D2" w:rsidP="00FE73D0" w:rsidRDefault="00CF48D2" w14:paraId="5921C458" w14:textId="77777777">
      <w:pPr>
        <w:widowControl w:val="0"/>
        <w:autoSpaceDE w:val="0"/>
        <w:autoSpaceDN w:val="0"/>
        <w:adjustRightInd w:val="0"/>
        <w:spacing w:after="0" w:line="360" w:lineRule="auto"/>
        <w:ind w:left="567" w:right="567"/>
        <w:rPr>
          <w:rFonts w:eastAsia="Times New Roman" w:cs="Tahoma"/>
          <w:b/>
          <w:i/>
          <w:color w:val="auto"/>
          <w:sz w:val="20"/>
          <w:szCs w:val="20"/>
          <w:lang w:eastAsia="es-ES"/>
        </w:rPr>
      </w:pPr>
    </w:p>
    <w:p w:rsidR="00CF48D2" w:rsidP="00FE73D0" w:rsidRDefault="00CF48D2" w14:paraId="7F76594E" w14:textId="7E2B7730">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lastRenderedPageBreak/>
        <w:t xml:space="preserve">Por lo que hace al procedimiento de distribución de agua potable en pipa o camiones cisterna, </w:t>
      </w:r>
      <w:r>
        <w:rPr>
          <w:rFonts w:eastAsia="Times New Roman" w:cs="Tahoma"/>
          <w:b/>
          <w:i/>
          <w:color w:val="auto"/>
          <w:sz w:val="20"/>
          <w:szCs w:val="20"/>
          <w:lang w:eastAsia="es-ES"/>
        </w:rPr>
        <w:t xml:space="preserve">las Unidades de Apoyo Administrativo, adheridas organizacionalmente a la Dirección General de Administración y Finanzas, conforme al Manual General de Organización en comento, </w:t>
      </w:r>
      <w:r>
        <w:rPr>
          <w:rFonts w:eastAsia="Times New Roman" w:cs="Tahoma"/>
          <w:i/>
          <w:color w:val="auto"/>
          <w:sz w:val="20"/>
          <w:szCs w:val="20"/>
          <w:lang w:eastAsia="es-ES"/>
        </w:rPr>
        <w:t>únicamente tiene las funciones de:</w:t>
      </w:r>
    </w:p>
    <w:p w:rsidR="00CF48D2" w:rsidP="00FE73D0" w:rsidRDefault="00CF48D2" w14:paraId="648879FA"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CF48D2" w:rsidP="00FE73D0" w:rsidRDefault="00CF48D2" w14:paraId="62BC4A4E" w14:textId="7695918A">
      <w:pPr>
        <w:pStyle w:val="Prrafodelista"/>
        <w:widowControl w:val="0"/>
        <w:numPr>
          <w:ilvl w:val="0"/>
          <w:numId w:val="4"/>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Llevar el control y registro de los pagos obtenidos por el suministro de agua potable en camión cisterna.</w:t>
      </w:r>
    </w:p>
    <w:p w:rsidR="00CF48D2" w:rsidP="00FE73D0" w:rsidRDefault="00CF48D2" w14:paraId="679913B2" w14:textId="7B7E69F7">
      <w:pPr>
        <w:pStyle w:val="Prrafodelista"/>
        <w:widowControl w:val="0"/>
        <w:numPr>
          <w:ilvl w:val="0"/>
          <w:numId w:val="4"/>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Supervisar los depósitos bancarios y enviar a la Dirección de Finanzas el reporte correspondiente por concepto de servicios diversos y venta de agua potable en pipas a los permisionarios y ayuntamientos de las regiones.</w:t>
      </w:r>
    </w:p>
    <w:p w:rsidRPr="00CF48D2" w:rsidR="00CF48D2" w:rsidP="00FE73D0" w:rsidRDefault="00CF48D2" w14:paraId="3BB41B5F" w14:textId="77777777">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p>
    <w:p w:rsidR="00697065" w:rsidP="00FE73D0" w:rsidRDefault="00CF48D2" w14:paraId="25F03E08" w14:textId="34D61C2B">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Sin embargo, el Manual de Procedimientos para el Permiso de Distribución, Venta y Suministro de Agua Potable en Pipas a Permisionarios (noviembre 2019), señala como obligaciones del Jefe de la Unidad de Apoyo Administrativo de la Gerencia Regional: </w:t>
      </w:r>
    </w:p>
    <w:p w:rsidR="008C6B84" w:rsidP="00FE73D0" w:rsidRDefault="008C6B84" w14:paraId="655BB42B"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D916DA" w:rsidP="00FE73D0" w:rsidRDefault="00C94BDB" w14:paraId="69EAE0FB" w14:textId="3A5508B6">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Revisar el formato: “Solicitud de Autorización de Permiso de Distribución de Agua Potable en Pipa” y verificar que la documentación soporte cumpla con la normatividad y que esté vigente.</w:t>
      </w:r>
    </w:p>
    <w:p w:rsidR="00C94BDB" w:rsidP="00FE73D0" w:rsidRDefault="00C94BDB" w14:paraId="5BBE9B34" w14:textId="25A8AE8D">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Devolver los originales del formato de “Solicitud de Autorización de Permiso de Distribución de Agua Potable en Pipa” y de la documentación soporte para su actualización y corrección, en su caso.</w:t>
      </w:r>
    </w:p>
    <w:p w:rsidR="00C94BDB" w:rsidP="00FE73D0" w:rsidRDefault="00C94BDB" w14:paraId="23FFC155" w14:textId="0048D3F4">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Elaborar el formato “Verificación de Requisitos para la Autorización del Permiso de Distribución de Agua Potable en Pipa”.</w:t>
      </w:r>
    </w:p>
    <w:p w:rsidR="00C94BDB" w:rsidP="00FE73D0" w:rsidRDefault="00C94BDB" w14:paraId="04F7F589" w14:textId="3AC07533">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Abrir expediente y archivar un juego de las copias de la documentación soporte revisada.</w:t>
      </w:r>
    </w:p>
    <w:p w:rsidR="00C94BDB" w:rsidP="00FE73D0" w:rsidRDefault="00C94BDB" w14:paraId="3451A1FF" w14:textId="6DEB4822">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 xml:space="preserve">Actualizar, con base en la copia del formato “Permiso de Distribución de Agua Potable en Pipa”, el “Padrón de </w:t>
      </w:r>
      <w:r w:rsidR="001C4A50">
        <w:rPr>
          <w:rFonts w:eastAsia="Times New Roman" w:cs="Tahoma"/>
          <w:i/>
          <w:color w:val="auto"/>
          <w:sz w:val="20"/>
          <w:szCs w:val="20"/>
          <w:lang w:eastAsia="es-ES"/>
        </w:rPr>
        <w:t>P</w:t>
      </w:r>
      <w:r>
        <w:rPr>
          <w:rFonts w:eastAsia="Times New Roman" w:cs="Tahoma"/>
          <w:i/>
          <w:color w:val="auto"/>
          <w:sz w:val="20"/>
          <w:szCs w:val="20"/>
          <w:lang w:eastAsia="es-ES"/>
        </w:rPr>
        <w:t>ermisionarios con Permiso de Distribución de Agua en Pipa y determinar su registro en el SIAF.</w:t>
      </w:r>
    </w:p>
    <w:p w:rsidR="00C94BDB" w:rsidP="00FE73D0" w:rsidRDefault="001C4A50" w14:paraId="1C076198" w14:textId="701C80C1">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 xml:space="preserve">Registrar y cotejar los datos en el “Padrón de Permisionarios con Permiso de Distribución </w:t>
      </w:r>
      <w:r>
        <w:rPr>
          <w:rFonts w:eastAsia="Times New Roman" w:cs="Tahoma"/>
          <w:i/>
          <w:color w:val="auto"/>
          <w:sz w:val="20"/>
          <w:szCs w:val="20"/>
          <w:lang w:eastAsia="es-ES"/>
        </w:rPr>
        <w:lastRenderedPageBreak/>
        <w:t>de Agua en Pipa” en el SIAF, capturando los datos referentes al nombre, Registro Federal de Contribuyentes, placas de pipa, etc.</w:t>
      </w:r>
    </w:p>
    <w:p w:rsidR="001C4A50" w:rsidP="00FE73D0" w:rsidRDefault="001C4A50" w14:paraId="10845192" w14:textId="54DABCA1">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 xml:space="preserve">Enviar impreso el formato de </w:t>
      </w:r>
      <w:r w:rsidRPr="001C4A50">
        <w:rPr>
          <w:rFonts w:eastAsia="Times New Roman" w:cs="Tahoma"/>
          <w:i/>
          <w:color w:val="auto"/>
          <w:sz w:val="20"/>
          <w:szCs w:val="20"/>
          <w:lang w:eastAsia="es-ES"/>
        </w:rPr>
        <w:t>“Padrón de Permisionarios con Permiso de Distribución de Agua en Pipa”</w:t>
      </w:r>
      <w:r>
        <w:rPr>
          <w:rFonts w:eastAsia="Times New Roman" w:cs="Tahoma"/>
          <w:i/>
          <w:color w:val="auto"/>
          <w:sz w:val="20"/>
          <w:szCs w:val="20"/>
          <w:lang w:eastAsia="es-ES"/>
        </w:rPr>
        <w:t>, a la Subdirección de Finanzas para su publicación.</w:t>
      </w:r>
    </w:p>
    <w:p w:rsidR="00D558C6" w:rsidP="00FE73D0" w:rsidRDefault="001C4A50" w14:paraId="0A9C57D7" w14:textId="77777777">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Elaborar oficio para solicitar al Subdirector de Finanzas, los formatos</w:t>
      </w:r>
      <w:r w:rsidR="00D558C6">
        <w:rPr>
          <w:rFonts w:eastAsia="Times New Roman" w:cs="Tahoma"/>
          <w:i/>
          <w:color w:val="auto"/>
          <w:sz w:val="20"/>
          <w:szCs w:val="20"/>
          <w:lang w:eastAsia="es-ES"/>
        </w:rPr>
        <w:t xml:space="preserve"> “Cupón para la Venta de Agua Potable en Pipa”.</w:t>
      </w:r>
    </w:p>
    <w:p w:rsidR="001C4A50" w:rsidP="00FE73D0" w:rsidRDefault="00D558C6" w14:paraId="6329C796" w14:textId="45BB62E0">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 xml:space="preserve">Distribuir los formatos “Cupón para la Venta de Agua Potable en Pipa” y las copias del </w:t>
      </w:r>
      <w:r w:rsidRPr="00D558C6">
        <w:rPr>
          <w:rFonts w:eastAsia="Times New Roman" w:cs="Tahoma"/>
          <w:i/>
          <w:color w:val="auto"/>
          <w:sz w:val="20"/>
          <w:szCs w:val="20"/>
          <w:lang w:eastAsia="es-ES"/>
        </w:rPr>
        <w:t>“Padrón de Permisionarios con Permiso de Distribución de Agua en Pipa”</w:t>
      </w:r>
      <w:r>
        <w:rPr>
          <w:rFonts w:eastAsia="Times New Roman" w:cs="Tahoma"/>
          <w:i/>
          <w:color w:val="auto"/>
          <w:sz w:val="20"/>
          <w:szCs w:val="20"/>
          <w:lang w:eastAsia="es-ES"/>
        </w:rPr>
        <w:t>.</w:t>
      </w:r>
    </w:p>
    <w:p w:rsidR="00D558C6" w:rsidP="00FE73D0" w:rsidRDefault="00D558C6" w14:paraId="3C5C8DDE" w14:textId="5FF632B1">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Confirmar con el Departamento de Tesorería vía correo electrónico, el depósito en Bancos de la venta de cupones de agua potable en pipa.</w:t>
      </w:r>
    </w:p>
    <w:p w:rsidR="00D558C6" w:rsidP="00FE73D0" w:rsidRDefault="00D558C6" w14:paraId="40F3B1BB" w14:textId="602DC23D">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Elaborar y firmar los oficios de la venta mensual de agua potable en pipa y enviar cada mes con la póliza de ingresos y la documentación soporte de la venta de cupones, y en su caso por el pago de los derechos por la expedición o renovación anual del permiso de Distribución de Agua en Pipa, a los Departamentos de Ingresos, de tesorería y de Contabilidad para verificar la afectación contable, así como para guarda y custodia de los documentos.</w:t>
      </w:r>
    </w:p>
    <w:p w:rsidR="00D558C6" w:rsidP="00FE73D0" w:rsidRDefault="00D558C6" w14:paraId="18267DD8" w14:textId="4080A2B0">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Revisar cada mes el expediente y verificar la vigencia de la documentación soporte.</w:t>
      </w:r>
    </w:p>
    <w:p w:rsidR="00D558C6" w:rsidP="00FE73D0" w:rsidRDefault="00D558C6" w14:paraId="21EE1AF9" w14:textId="4D47E036">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El pago de la tarifa por los derechos por la expedición y renovación del “</w:t>
      </w:r>
      <w:r w:rsidRPr="00D558C6">
        <w:rPr>
          <w:rFonts w:eastAsia="Times New Roman" w:cs="Tahoma"/>
          <w:i/>
          <w:color w:val="auto"/>
          <w:sz w:val="20"/>
          <w:szCs w:val="20"/>
          <w:lang w:eastAsia="es-ES"/>
        </w:rPr>
        <w:t xml:space="preserve">Permiso de Distribución de Agua </w:t>
      </w:r>
      <w:r>
        <w:rPr>
          <w:rFonts w:eastAsia="Times New Roman" w:cs="Tahoma"/>
          <w:i/>
          <w:color w:val="auto"/>
          <w:sz w:val="20"/>
          <w:szCs w:val="20"/>
          <w:lang w:eastAsia="es-ES"/>
        </w:rPr>
        <w:t xml:space="preserve">Potable </w:t>
      </w:r>
      <w:r w:rsidRPr="00D558C6">
        <w:rPr>
          <w:rFonts w:eastAsia="Times New Roman" w:cs="Tahoma"/>
          <w:i/>
          <w:color w:val="auto"/>
          <w:sz w:val="20"/>
          <w:szCs w:val="20"/>
          <w:lang w:eastAsia="es-ES"/>
        </w:rPr>
        <w:t>en Pipa”</w:t>
      </w:r>
      <w:r>
        <w:rPr>
          <w:rFonts w:eastAsia="Times New Roman" w:cs="Tahoma"/>
          <w:i/>
          <w:color w:val="auto"/>
          <w:sz w:val="20"/>
          <w:szCs w:val="20"/>
          <w:lang w:eastAsia="es-ES"/>
        </w:rPr>
        <w:t xml:space="preserve"> que realizan los permisionarios se efectuará anualmente, conforme lo establezca el Código Financiero del Estado de México y Municipios-.</w:t>
      </w:r>
    </w:p>
    <w:p w:rsidR="00D558C6" w:rsidP="00FE73D0" w:rsidRDefault="00D558C6" w14:paraId="79DDCE7F" w14:textId="284AB027">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 xml:space="preserve">Los formatos </w:t>
      </w:r>
      <w:r w:rsidRPr="00D558C6">
        <w:rPr>
          <w:rFonts w:eastAsia="Times New Roman" w:cs="Tahoma"/>
          <w:i/>
          <w:color w:val="auto"/>
          <w:sz w:val="20"/>
          <w:szCs w:val="20"/>
          <w:lang w:eastAsia="es-ES"/>
        </w:rPr>
        <w:t>“Cupón para la Venta de Agua Potable en Pipa”</w:t>
      </w:r>
      <w:r>
        <w:rPr>
          <w:rFonts w:eastAsia="Times New Roman" w:cs="Tahoma"/>
          <w:i/>
          <w:color w:val="auto"/>
          <w:sz w:val="20"/>
          <w:szCs w:val="20"/>
          <w:lang w:eastAsia="es-ES"/>
        </w:rPr>
        <w:t>, tendrán los siguientes requisitos:</w:t>
      </w:r>
    </w:p>
    <w:p w:rsidR="00D558C6" w:rsidP="00FE73D0" w:rsidRDefault="00294F82" w14:paraId="54547E44" w14:textId="5EBCAA0E">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-Registro Federal de Contribuyentes de la CAEM</w:t>
      </w:r>
    </w:p>
    <w:p w:rsidR="00294F82" w:rsidP="00FE73D0" w:rsidRDefault="00294F82" w14:paraId="1B4F2319" w14:textId="7E87AC29">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-Número de folio</w:t>
      </w:r>
    </w:p>
    <w:p w:rsidR="00294F82" w:rsidP="00FE73D0" w:rsidRDefault="00294F82" w14:paraId="43ADD315" w14:textId="208F53F8">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-La leyenda “Comisión del Agua del Estado de México”.</w:t>
      </w:r>
    </w:p>
    <w:p w:rsidR="00294F82" w:rsidP="00FE73D0" w:rsidRDefault="00294F82" w14:paraId="6C70057C" w14:textId="46FDF530">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-Valor nominativo en m3.</w:t>
      </w:r>
    </w:p>
    <w:p w:rsidR="00294F82" w:rsidP="00FE73D0" w:rsidRDefault="00294F82" w14:paraId="16654B14" w14:textId="52B9165B">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-El logotipo impreso (gota)</w:t>
      </w:r>
    </w:p>
    <w:p w:rsidR="002828FE" w:rsidP="00FE73D0" w:rsidRDefault="002828FE" w14:paraId="54A078B1" w14:textId="624FEF6B">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-Fecha.</w:t>
      </w:r>
    </w:p>
    <w:p w:rsidR="002828FE" w:rsidP="00FE73D0" w:rsidRDefault="002828FE" w14:paraId="37235A67" w14:textId="0CF684D3">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lastRenderedPageBreak/>
        <w:t>-Espacio para anotar las placas, la clave de identificación única y/o el número económico de la pipa.</w:t>
      </w:r>
    </w:p>
    <w:p w:rsidR="002828FE" w:rsidP="00FE73D0" w:rsidRDefault="002828FE" w14:paraId="785C6E0B" w14:textId="1BAC1015">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-La leyenda “Este cupón vence a los cinco días posteriores al mes corriente de vigencia”</w:t>
      </w:r>
    </w:p>
    <w:p w:rsidRPr="00294F82" w:rsidR="002828FE" w:rsidP="00FE73D0" w:rsidRDefault="002828FE" w14:paraId="32F1B219" w14:textId="242B22F5">
      <w:pPr>
        <w:pStyle w:val="Prrafodelista"/>
        <w:widowControl w:val="0"/>
        <w:autoSpaceDE w:val="0"/>
        <w:autoSpaceDN w:val="0"/>
        <w:adjustRightInd w:val="0"/>
        <w:spacing w:after="0" w:line="360" w:lineRule="auto"/>
        <w:ind w:left="1287" w:right="567"/>
        <w:rPr>
          <w:rFonts w:eastAsia="Times New Roman" w:cs="Tahoma"/>
          <w:i/>
          <w:color w:val="auto"/>
          <w:sz w:val="20"/>
          <w:szCs w:val="20"/>
          <w:lang w:eastAsia="es-ES"/>
        </w:rPr>
      </w:pPr>
      <w:r>
        <w:rPr>
          <w:rFonts w:eastAsia="Times New Roman" w:cs="Tahoma"/>
          <w:i/>
          <w:color w:val="auto"/>
          <w:sz w:val="20"/>
          <w:szCs w:val="20"/>
          <w:lang w:eastAsia="es-ES"/>
        </w:rPr>
        <w:t>-El color de los cupones lo determinará la CAEM y por ningún motivo será idéntico de una Gerencia Regional con otra.</w:t>
      </w:r>
    </w:p>
    <w:p w:rsidR="00D916DA" w:rsidP="00FE73D0" w:rsidRDefault="00D916DA" w14:paraId="561B27B4"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D916DA" w:rsidP="00FE73D0" w:rsidRDefault="002828FE" w14:paraId="6ACF183A" w14:textId="0B6EAD8D">
      <w:pPr>
        <w:pStyle w:val="Prrafodelista"/>
        <w:widowControl w:val="0"/>
        <w:numPr>
          <w:ilvl w:val="0"/>
          <w:numId w:val="5"/>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Los permisionarios que requieran de la compra de los formatos “Cupón para la Venta de Agua Potable en Pipa”, deberán de cumplir con los requisitos establecidos en el artículo 150 Quáter de la Ley del Agua para el Estado de México y Municipios, especificación 5.3.2.3 y la especificación 5,4 de la Norma Técnica NTE-001-CTAEM-APP-2016, que se indican a continuación:</w:t>
      </w:r>
    </w:p>
    <w:p w:rsidR="002828FE" w:rsidP="00FE73D0" w:rsidRDefault="002828FE" w14:paraId="3383099A" w14:textId="77777777">
      <w:pPr>
        <w:widowControl w:val="0"/>
        <w:autoSpaceDE w:val="0"/>
        <w:autoSpaceDN w:val="0"/>
        <w:adjustRightInd w:val="0"/>
        <w:spacing w:after="0" w:line="360" w:lineRule="auto"/>
        <w:ind w:left="927" w:right="567"/>
        <w:rPr>
          <w:rFonts w:eastAsia="Times New Roman" w:cs="Tahoma"/>
          <w:i/>
          <w:color w:val="auto"/>
          <w:sz w:val="20"/>
          <w:szCs w:val="20"/>
          <w:lang w:eastAsia="es-ES"/>
        </w:rPr>
      </w:pPr>
    </w:p>
    <w:p w:rsidR="002828FE" w:rsidP="00FE73D0" w:rsidRDefault="002828FE" w14:paraId="33F89516" w14:textId="00325DC5">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1.- Presentar la “Solicitud de Autorización de Permiso de Distribución de Agua Potable en Pipa” en formato físico o electrónico que contenga:</w:t>
      </w:r>
    </w:p>
    <w:p w:rsidR="002828FE" w:rsidP="00FE73D0" w:rsidRDefault="002828FE" w14:paraId="2743EBB7" w14:textId="367A5BFB">
      <w:pPr>
        <w:pStyle w:val="Prrafodelista"/>
        <w:widowControl w:val="0"/>
        <w:numPr>
          <w:ilvl w:val="0"/>
          <w:numId w:val="6"/>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Nombre y domicilio del permisionario y en su caso de su representante legal.</w:t>
      </w:r>
    </w:p>
    <w:p w:rsidR="002828FE" w:rsidP="00FE73D0" w:rsidRDefault="002828FE" w14:paraId="5053B602" w14:textId="38516319">
      <w:pPr>
        <w:pStyle w:val="Prrafodelista"/>
        <w:widowControl w:val="0"/>
        <w:numPr>
          <w:ilvl w:val="0"/>
          <w:numId w:val="6"/>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Datos de identificación y características de la pipa.</w:t>
      </w:r>
    </w:p>
    <w:p w:rsidR="002828FE" w:rsidP="00FE73D0" w:rsidRDefault="002828FE" w14:paraId="77FCCD00" w14:textId="7D4C40BE">
      <w:pPr>
        <w:pStyle w:val="Prrafodelista"/>
        <w:widowControl w:val="0"/>
        <w:numPr>
          <w:ilvl w:val="0"/>
          <w:numId w:val="6"/>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Documento que acredite la propiedad de la pipa.</w:t>
      </w:r>
    </w:p>
    <w:p w:rsidR="002828FE" w:rsidP="00FE73D0" w:rsidRDefault="002828FE" w14:paraId="5FC4004C" w14:textId="37ADD6CD">
      <w:pPr>
        <w:pStyle w:val="Prrafodelista"/>
        <w:widowControl w:val="0"/>
        <w:numPr>
          <w:ilvl w:val="0"/>
          <w:numId w:val="6"/>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Prever la probable fuente de abastecimiento.</w:t>
      </w:r>
    </w:p>
    <w:p w:rsidR="002828FE" w:rsidP="00FE73D0" w:rsidRDefault="002828FE" w14:paraId="48607679" w14:textId="588106FD">
      <w:pPr>
        <w:pStyle w:val="Prrafodelista"/>
        <w:widowControl w:val="0"/>
        <w:numPr>
          <w:ilvl w:val="0"/>
          <w:numId w:val="6"/>
        </w:numPr>
        <w:autoSpaceDE w:val="0"/>
        <w:autoSpaceDN w:val="0"/>
        <w:adjustRightInd w:val="0"/>
        <w:spacing w:after="0" w:line="360" w:lineRule="auto"/>
        <w:ind w:right="567"/>
        <w:rPr>
          <w:rFonts w:eastAsia="Times New Roman" w:cs="Tahoma"/>
          <w:i/>
          <w:color w:val="auto"/>
          <w:sz w:val="20"/>
          <w:szCs w:val="20"/>
          <w:lang w:eastAsia="es-ES"/>
        </w:rPr>
      </w:pPr>
      <w:r>
        <w:rPr>
          <w:rFonts w:eastAsia="Times New Roman" w:cs="Tahoma"/>
          <w:i/>
          <w:color w:val="auto"/>
          <w:sz w:val="20"/>
          <w:szCs w:val="20"/>
          <w:lang w:eastAsia="es-ES"/>
        </w:rPr>
        <w:t>Señalar las zonas de distribución.</w:t>
      </w:r>
    </w:p>
    <w:p w:rsidR="002828FE" w:rsidP="00FE73D0" w:rsidRDefault="002828FE" w14:paraId="3A5B6B73" w14:textId="77777777">
      <w:pPr>
        <w:widowControl w:val="0"/>
        <w:autoSpaceDE w:val="0"/>
        <w:autoSpaceDN w:val="0"/>
        <w:adjustRightInd w:val="0"/>
        <w:spacing w:after="0" w:line="360" w:lineRule="auto"/>
        <w:ind w:right="567"/>
        <w:rPr>
          <w:rFonts w:eastAsia="Times New Roman" w:cs="Tahoma"/>
          <w:i/>
          <w:color w:val="auto"/>
          <w:sz w:val="20"/>
          <w:szCs w:val="20"/>
          <w:lang w:eastAsia="es-ES"/>
        </w:rPr>
      </w:pPr>
    </w:p>
    <w:p w:rsidR="002828FE" w:rsidP="00FE73D0" w:rsidRDefault="002828FE" w14:paraId="4C530F35" w14:textId="3742A210">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2</w:t>
      </w:r>
      <w:r w:rsidRPr="002828FE">
        <w:rPr>
          <w:rFonts w:eastAsia="Times New Roman" w:cs="Tahoma"/>
          <w:i/>
          <w:color w:val="auto"/>
          <w:sz w:val="20"/>
          <w:szCs w:val="20"/>
          <w:lang w:eastAsia="es-ES"/>
        </w:rPr>
        <w:t xml:space="preserve">.- </w:t>
      </w:r>
      <w:r w:rsidR="002E4BB1">
        <w:rPr>
          <w:rFonts w:eastAsia="Times New Roman" w:cs="Tahoma"/>
          <w:i/>
          <w:color w:val="auto"/>
          <w:sz w:val="20"/>
          <w:szCs w:val="20"/>
          <w:lang w:eastAsia="es-ES"/>
        </w:rPr>
        <w:t>Contar con permiso expedido por la autoridad de salubridad correspondiente.</w:t>
      </w:r>
    </w:p>
    <w:p w:rsidR="002E4BB1" w:rsidP="00FE73D0" w:rsidRDefault="002E4BB1" w14:paraId="464DF1D0" w14:textId="34AC32CD">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3.- Acreditar que la pipa con la que se pretende prestar el servicio de distribución de agua potable a que se refieren este capítulo, se encuentra debidamente matriculada ante la autoridad competente y cumple con las normas técnicas correspondientes (tarjeta de circulación, verificación vigente).</w:t>
      </w:r>
    </w:p>
    <w:p w:rsidR="002E4BB1" w:rsidP="00FE73D0" w:rsidRDefault="002E4BB1" w14:paraId="3486DBD4" w14:textId="4D80B061">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4.- Copia de la “Bitácora de Mantenimiento y Limpieza” por pipa</w:t>
      </w:r>
    </w:p>
    <w:p w:rsidR="002E4BB1" w:rsidP="00FE73D0" w:rsidRDefault="002E4BB1" w14:paraId="5CFB6103" w14:textId="29B56E12">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5.- Exhibir póliza de seguro de fianza que garantice el pago de daños a terceros, por la distribución de agua que no cumpla con la calidad que establece la Norma Oficial Mexicana;</w:t>
      </w:r>
    </w:p>
    <w:p w:rsidR="002E4BB1" w:rsidP="00FE73D0" w:rsidRDefault="002E4BB1" w14:paraId="30C00447" w14:textId="719BE097">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6.- </w:t>
      </w:r>
      <w:r w:rsidR="0027587E">
        <w:rPr>
          <w:rFonts w:eastAsia="Times New Roman" w:cs="Tahoma"/>
          <w:i/>
          <w:color w:val="auto"/>
          <w:sz w:val="20"/>
          <w:szCs w:val="20"/>
          <w:lang w:eastAsia="es-ES"/>
        </w:rPr>
        <w:t>Cubrir</w:t>
      </w:r>
      <w:r>
        <w:rPr>
          <w:rFonts w:eastAsia="Times New Roman" w:cs="Tahoma"/>
          <w:i/>
          <w:color w:val="auto"/>
          <w:sz w:val="20"/>
          <w:szCs w:val="20"/>
          <w:lang w:eastAsia="es-ES"/>
        </w:rPr>
        <w:t xml:space="preserve"> los derechos por el Permiso de </w:t>
      </w:r>
      <w:r w:rsidR="0027587E">
        <w:rPr>
          <w:rFonts w:eastAsia="Times New Roman" w:cs="Tahoma"/>
          <w:i/>
          <w:color w:val="auto"/>
          <w:sz w:val="20"/>
          <w:szCs w:val="20"/>
          <w:lang w:eastAsia="es-ES"/>
        </w:rPr>
        <w:t>Distribución</w:t>
      </w:r>
      <w:r>
        <w:rPr>
          <w:rFonts w:eastAsia="Times New Roman" w:cs="Tahoma"/>
          <w:i/>
          <w:color w:val="auto"/>
          <w:sz w:val="20"/>
          <w:szCs w:val="20"/>
          <w:lang w:eastAsia="es-ES"/>
        </w:rPr>
        <w:t xml:space="preserve"> de Agua Potable en Pipa; y</w:t>
      </w:r>
    </w:p>
    <w:p w:rsidR="0027587E" w:rsidP="00FE73D0" w:rsidRDefault="0027587E" w14:paraId="0403E6FD" w14:textId="54CBA521">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lastRenderedPageBreak/>
        <w:t>7.-</w:t>
      </w:r>
      <w:r w:rsidR="000D28A7">
        <w:rPr>
          <w:rFonts w:eastAsia="Times New Roman" w:cs="Tahoma"/>
          <w:i/>
          <w:color w:val="auto"/>
          <w:sz w:val="20"/>
          <w:szCs w:val="20"/>
          <w:lang w:eastAsia="es-ES"/>
        </w:rPr>
        <w:t xml:space="preserve"> Los demás que establezca la normatividad en la materia.</w:t>
      </w:r>
    </w:p>
    <w:p w:rsidR="009F5AF7" w:rsidP="00FE73D0" w:rsidRDefault="009F5AF7" w14:paraId="02093067"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9F5AF7" w:rsidP="00FE73D0" w:rsidRDefault="009F5AF7" w14:paraId="35929631" w14:textId="09E74E8F">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 xml:space="preserve">Como ha quedado fehacientemente demostrado, </w:t>
      </w:r>
      <w:r>
        <w:rPr>
          <w:rFonts w:eastAsia="Times New Roman" w:cs="Tahoma"/>
          <w:b/>
          <w:i/>
          <w:color w:val="auto"/>
          <w:sz w:val="20"/>
          <w:szCs w:val="20"/>
          <w:lang w:eastAsia="es-ES"/>
        </w:rPr>
        <w:t xml:space="preserve">esta Dirección General de Administración y Finanzas no debe ostentar la póliza o seguro de referencia, </w:t>
      </w:r>
      <w:r>
        <w:rPr>
          <w:rFonts w:eastAsia="Times New Roman" w:cs="Tahoma"/>
          <w:i/>
          <w:color w:val="auto"/>
          <w:sz w:val="20"/>
          <w:szCs w:val="20"/>
          <w:lang w:eastAsia="es-ES"/>
        </w:rPr>
        <w:t xml:space="preserve">sin embargo, en aras de </w:t>
      </w:r>
      <w:r>
        <w:rPr>
          <w:rFonts w:eastAsia="Times New Roman" w:cs="Tahoma"/>
          <w:b/>
          <w:i/>
          <w:color w:val="auto"/>
          <w:sz w:val="20"/>
          <w:szCs w:val="20"/>
          <w:lang w:eastAsia="es-ES"/>
        </w:rPr>
        <w:t xml:space="preserve">privilegiar el principio de máxima publicidad </w:t>
      </w:r>
      <w:r>
        <w:rPr>
          <w:rFonts w:eastAsia="Times New Roman" w:cs="Tahoma"/>
          <w:i/>
          <w:color w:val="auto"/>
          <w:sz w:val="20"/>
          <w:szCs w:val="20"/>
          <w:lang w:eastAsia="es-ES"/>
        </w:rPr>
        <w:t xml:space="preserve">de la información, se requirió asistencia vía correo electrónico, al Jefe de la Unidad de Apoyo Administrativo de la Gerencia Regional Texcoco quien, conforme al Manual de Procedimientos para el Permiso de Distribución, Venta y Suministro de Agua potable en Pipas a Permisionarios (noviembre 2019) debe poseer lo requerido en el folio </w:t>
      </w:r>
      <w:r w:rsidRPr="009F5AF7">
        <w:rPr>
          <w:rFonts w:eastAsia="Times New Roman" w:cs="Tahoma"/>
          <w:b/>
          <w:i/>
          <w:color w:val="auto"/>
          <w:sz w:val="20"/>
          <w:szCs w:val="20"/>
          <w:lang w:eastAsia="es-ES"/>
        </w:rPr>
        <w:t>00204</w:t>
      </w:r>
      <w:r>
        <w:rPr>
          <w:rFonts w:eastAsia="Times New Roman" w:cs="Tahoma"/>
          <w:b/>
          <w:i/>
          <w:color w:val="auto"/>
          <w:sz w:val="20"/>
          <w:szCs w:val="20"/>
          <w:lang w:eastAsia="es-ES"/>
        </w:rPr>
        <w:t>/CAEM/IP/2021</w:t>
      </w:r>
      <w:r>
        <w:rPr>
          <w:rFonts w:eastAsia="Times New Roman" w:cs="Tahoma"/>
          <w:i/>
          <w:color w:val="auto"/>
          <w:sz w:val="20"/>
          <w:szCs w:val="20"/>
          <w:lang w:eastAsia="es-ES"/>
        </w:rPr>
        <w:t>:</w:t>
      </w:r>
    </w:p>
    <w:p w:rsidR="009F5AF7" w:rsidP="00FE73D0" w:rsidRDefault="009F5AF7" w14:paraId="09BD74BB"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9F5AF7" w:rsidP="00FE73D0" w:rsidRDefault="009F5AF7" w14:paraId="4433E6ED" w14:textId="5C109BC8">
      <w:pPr>
        <w:widowControl w:val="0"/>
        <w:autoSpaceDE w:val="0"/>
        <w:autoSpaceDN w:val="0"/>
        <w:adjustRightInd w:val="0"/>
        <w:spacing w:after="0" w:line="360" w:lineRule="auto"/>
        <w:ind w:left="567" w:right="567"/>
        <w:jc w:val="center"/>
        <w:rPr>
          <w:rFonts w:eastAsia="Times New Roman" w:cs="Tahoma"/>
          <w:i/>
          <w:color w:val="auto"/>
          <w:sz w:val="20"/>
          <w:szCs w:val="20"/>
          <w:lang w:eastAsia="es-ES"/>
        </w:rPr>
      </w:pPr>
      <w:r>
        <w:rPr>
          <w:rFonts w:eastAsia="Times New Roman" w:cs="Tahoma"/>
          <w:i/>
          <w:color w:val="auto"/>
          <w:sz w:val="20"/>
          <w:szCs w:val="20"/>
          <w:lang w:eastAsia="es-ES"/>
        </w:rPr>
        <w:t>(Transcripción de la solicitud de información)</w:t>
      </w:r>
    </w:p>
    <w:p w:rsidR="009F5AF7" w:rsidP="00FE73D0" w:rsidRDefault="009F5AF7" w14:paraId="04353954"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9F5AF7" w:rsidP="00FE73D0" w:rsidRDefault="009F5AF7" w14:paraId="08E4EDB0" w14:textId="52C57CDE">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Resultando, la siguiente respuesta por parte de  esta Dirección General de Administración y Finanzas:</w:t>
      </w:r>
    </w:p>
    <w:p w:rsidR="009F5AF7" w:rsidP="00FE73D0" w:rsidRDefault="009F5AF7" w14:paraId="7D5443F6"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p>
    <w:p w:rsidR="009F5AF7" w:rsidP="00FE73D0" w:rsidRDefault="009F5AF7" w14:paraId="24C0231D" w14:textId="078CAC5E">
      <w:pPr>
        <w:widowControl w:val="0"/>
        <w:autoSpaceDE w:val="0"/>
        <w:autoSpaceDN w:val="0"/>
        <w:adjustRightInd w:val="0"/>
        <w:spacing w:after="0" w:line="360" w:lineRule="auto"/>
        <w:ind w:left="567" w:right="567"/>
        <w:rPr>
          <w:rFonts w:eastAsia="Times New Roman" w:cs="Tahoma"/>
          <w:i/>
          <w:color w:val="auto"/>
          <w:sz w:val="20"/>
          <w:szCs w:val="20"/>
          <w:lang w:eastAsia="es-ES"/>
        </w:rPr>
      </w:pPr>
      <w:r>
        <w:rPr>
          <w:rFonts w:eastAsia="Times New Roman" w:cs="Tahoma"/>
          <w:i/>
          <w:color w:val="auto"/>
          <w:sz w:val="20"/>
          <w:szCs w:val="20"/>
          <w:lang w:eastAsia="es-ES"/>
        </w:rPr>
        <w:t>Sí, se encuentra registrado ante esta Comisión del Agua del Estado de México fianza con Aseguradora Aserta S.A. de C.V., la cual tiene por objeto garantizar el pago de daños a terceros por la distribución de agua potable que no cumpla con la calidad que establece la NOM-127-SSAI-1994.</w:t>
      </w:r>
    </w:p>
    <w:p w:rsidRPr="000D4C60" w:rsidR="00D4176F" w:rsidP="00FE73D0" w:rsidRDefault="00D4176F" w14:paraId="71E37792" w14:textId="77777777">
      <w:pPr>
        <w:widowControl w:val="0"/>
        <w:autoSpaceDE w:val="0"/>
        <w:autoSpaceDN w:val="0"/>
        <w:adjustRightInd w:val="0"/>
        <w:spacing w:after="0" w:line="360" w:lineRule="auto"/>
        <w:ind w:left="567" w:right="567"/>
        <w:rPr>
          <w:rFonts w:eastAsia="Times New Roman" w:cs="Tahoma"/>
          <w:i/>
          <w:color w:val="auto"/>
          <w:sz w:val="20"/>
          <w:szCs w:val="20"/>
          <w:lang w:eastAsia="es-ES"/>
        </w:rPr>
      </w:pPr>
      <w:r w:rsidRPr="000D4C60">
        <w:rPr>
          <w:rFonts w:eastAsia="Times New Roman" w:cs="Tahoma"/>
          <w:i/>
          <w:color w:val="auto"/>
          <w:sz w:val="20"/>
          <w:szCs w:val="20"/>
          <w:lang w:eastAsia="es-ES"/>
        </w:rPr>
        <w:t>…” (Sic.)</w:t>
      </w:r>
    </w:p>
    <w:p w:rsidRPr="00D4176F" w:rsidR="00D4176F" w:rsidP="00FE73D0" w:rsidRDefault="00D4176F" w14:paraId="54810578" w14:textId="77777777">
      <w:pPr>
        <w:spacing w:after="0" w:line="360" w:lineRule="auto"/>
        <w:rPr>
          <w:rFonts w:cs="Tahoma"/>
        </w:rPr>
      </w:pPr>
    </w:p>
    <w:p w:rsidR="00D4176F" w:rsidP="00FE73D0" w:rsidRDefault="0084426E" w14:paraId="0DBCEB2A" w14:textId="6F87CFB3">
      <w:pPr>
        <w:spacing w:after="0" w:line="360" w:lineRule="auto"/>
        <w:rPr>
          <w:rFonts w:cs="Tahoma"/>
        </w:rPr>
      </w:pPr>
      <w:r>
        <w:rPr>
          <w:rFonts w:cs="Tahoma"/>
        </w:rPr>
        <w:t>ii</w:t>
      </w:r>
      <w:r w:rsidR="00E91892">
        <w:rPr>
          <w:rFonts w:cs="Tahoma"/>
        </w:rPr>
        <w:t>)</w:t>
      </w:r>
      <w:r>
        <w:rPr>
          <w:rFonts w:cs="Tahoma"/>
        </w:rPr>
        <w:t xml:space="preserve"> </w:t>
      </w:r>
      <w:r w:rsidR="001F33D3">
        <w:rPr>
          <w:rFonts w:cs="Tahoma"/>
        </w:rPr>
        <w:t xml:space="preserve">Oficio número 219C0117L/1833/2021, de fecha once de noviembre de dos mil veintiuno mediante el cual el Director General de Administración y Finanzas requirió a la Directora de Administración instruyera a la Subdirección de Adquisiciones para que generara un informe respecto a los años dos mil veinte y dos mil veintiuno sí recibió alguna solicitud de la Dirección General de Operaciones y Atención de Emergencias para efectuar licitaciones </w:t>
      </w:r>
      <w:r w:rsidR="00E14455">
        <w:rPr>
          <w:rFonts w:cs="Tahoma"/>
        </w:rPr>
        <w:t>o</w:t>
      </w:r>
      <w:r w:rsidR="001F33D3">
        <w:rPr>
          <w:rFonts w:cs="Tahoma"/>
        </w:rPr>
        <w:t xml:space="preserve"> concursos para la prestación del servicio de seguro yo fianza que garantice el pago de daños a terceros, por la distribución de agua que no cumpla con la calidad que establece la Norma Oficial Mexicana.</w:t>
      </w:r>
    </w:p>
    <w:p w:rsidR="001F33D3" w:rsidP="00FE73D0" w:rsidRDefault="001F33D3" w14:paraId="4C91B253" w14:textId="77777777">
      <w:pPr>
        <w:spacing w:after="0" w:line="360" w:lineRule="auto"/>
        <w:rPr>
          <w:rFonts w:cs="Tahoma"/>
        </w:rPr>
      </w:pPr>
    </w:p>
    <w:p w:rsidR="0007600F" w:rsidP="00FE73D0" w:rsidRDefault="00E91892" w14:paraId="790ABE14" w14:textId="1BDF8AC5">
      <w:pPr>
        <w:spacing w:after="0" w:line="360" w:lineRule="auto"/>
        <w:rPr>
          <w:rFonts w:cs="Tahoma"/>
        </w:rPr>
      </w:pPr>
      <w:r>
        <w:rPr>
          <w:rFonts w:cs="Tahoma"/>
        </w:rPr>
        <w:lastRenderedPageBreak/>
        <w:t>iii)</w:t>
      </w:r>
      <w:r w:rsidR="001F33D3">
        <w:rPr>
          <w:rFonts w:cs="Tahoma"/>
        </w:rPr>
        <w:t xml:space="preserve"> Oficio número 219C0117010000L/1675/2021, de fecha doce noviembre de dos mil veintiuno mediante el cual la Directora de Administración y el Subdirector de Adquisiciones hacen del conocimiento al Director General de Administración y Finanzas, que después de una búsqueda exhaustiva del periodo solicitado, no se efectuaron licitaciones, concursos, invitaciones restringidas y/o compras directas, a solicitud de la Dirección Ge</w:t>
      </w:r>
      <w:r w:rsidR="0007600F">
        <w:rPr>
          <w:rFonts w:cs="Tahoma"/>
        </w:rPr>
        <w:t>neral</w:t>
      </w:r>
      <w:r w:rsidR="001F33D3">
        <w:rPr>
          <w:rFonts w:cs="Tahoma"/>
        </w:rPr>
        <w:t xml:space="preserve"> de Operaciones </w:t>
      </w:r>
      <w:r w:rsidR="0007600F">
        <w:rPr>
          <w:rFonts w:cs="Tahoma"/>
        </w:rPr>
        <w:t>y Atención a Emergencias, con las características señaladas.</w:t>
      </w:r>
    </w:p>
    <w:p w:rsidR="00E91892" w:rsidP="00FE73D0" w:rsidRDefault="00E91892" w14:paraId="4D5A0D82" w14:textId="77777777">
      <w:pPr>
        <w:spacing w:after="0" w:line="360" w:lineRule="auto"/>
        <w:rPr>
          <w:rFonts w:cs="Tahoma"/>
        </w:rPr>
      </w:pPr>
    </w:p>
    <w:p w:rsidR="00E91892" w:rsidP="00FE73D0" w:rsidRDefault="00E91892" w14:paraId="12C5029B" w14:textId="1C495DC4">
      <w:pPr>
        <w:spacing w:after="0" w:line="360" w:lineRule="auto"/>
        <w:rPr>
          <w:rFonts w:cs="Tahoma"/>
        </w:rPr>
      </w:pPr>
      <w:r>
        <w:rPr>
          <w:rFonts w:cs="Tahoma"/>
        </w:rPr>
        <w:t>iv) Manual de Procedimientos para el Permiso de Distribución, Venta y Suministro de Agua Potable en Pipa a Permisionarios, dos mil diecinueve.</w:t>
      </w:r>
    </w:p>
    <w:p w:rsidR="0007600F" w:rsidP="00FE73D0" w:rsidRDefault="0007600F" w14:paraId="09B71BC2" w14:textId="77777777">
      <w:pPr>
        <w:spacing w:after="0" w:line="360" w:lineRule="auto"/>
        <w:rPr>
          <w:rFonts w:cs="Tahoma"/>
        </w:rPr>
      </w:pPr>
    </w:p>
    <w:p w:rsidRPr="000D4C60" w:rsidR="00953D1A" w:rsidP="00FE73D0" w:rsidRDefault="001F33D3" w14:paraId="2E02E881" w14:textId="5437E6E1">
      <w:pPr>
        <w:spacing w:after="0" w:line="360" w:lineRule="auto"/>
        <w:rPr>
          <w:rFonts w:eastAsia="Palatino Linotype" w:cs="Palatino Linotype"/>
          <w:b/>
          <w:bCs/>
          <w:lang w:val="es-ES"/>
        </w:rPr>
      </w:pPr>
      <w:r>
        <w:rPr>
          <w:rFonts w:cs="Tahoma"/>
        </w:rPr>
        <w:t xml:space="preserve"> </w:t>
      </w:r>
      <w:r w:rsidRPr="000D4C60" w:rsidR="00953D1A">
        <w:rPr>
          <w:rFonts w:cs="Tahoma"/>
          <w:b/>
        </w:rPr>
        <w:t>d</w:t>
      </w:r>
      <w:r w:rsidRPr="000D4C60" w:rsidR="001912B0">
        <w:rPr>
          <w:rFonts w:cs="Tahoma"/>
          <w:b/>
        </w:rPr>
        <w:t xml:space="preserve">) </w:t>
      </w:r>
      <w:r w:rsidRPr="000D4C60" w:rsidR="00953D1A">
        <w:rPr>
          <w:rFonts w:cs="Tahoma"/>
          <w:b/>
        </w:rPr>
        <w:t>V</w:t>
      </w:r>
      <w:r w:rsidRPr="000D4C60" w:rsidR="00953D1A">
        <w:rPr>
          <w:rFonts w:cs="Tahoma"/>
          <w:b/>
          <w:color w:val="000000"/>
        </w:rPr>
        <w:t xml:space="preserve">ista de Informe Justificado. </w:t>
      </w:r>
      <w:r w:rsidRPr="000D4C60" w:rsidR="00953D1A">
        <w:rPr>
          <w:rFonts w:cs="Tahoma"/>
          <w:color w:val="000000"/>
        </w:rPr>
        <w:t xml:space="preserve">El </w:t>
      </w:r>
      <w:r w:rsidR="00E91892">
        <w:rPr>
          <w:rFonts w:cs="Tahoma"/>
          <w:color w:val="000000"/>
        </w:rPr>
        <w:t>siete de diciembre</w:t>
      </w:r>
      <w:r w:rsidRPr="000D4C60" w:rsidR="00953D1A">
        <w:rPr>
          <w:rFonts w:cs="Tahoma"/>
          <w:color w:val="000000"/>
        </w:rPr>
        <w:t xml:space="preserve"> de dos mil veintiuno, se dictó acuerdo mediante el cual se puso a la vista del Particular, el Informe Justificado, entregado por el Sujeto Obligado, el cual fue notificado al Recurrente, a través del Sistema de Acceso a la Información Mexiquense (SAIMEX)</w:t>
      </w:r>
      <w:r w:rsidR="00781AEE">
        <w:rPr>
          <w:rFonts w:cs="Tahoma"/>
          <w:color w:val="000000"/>
        </w:rPr>
        <w:t>,</w:t>
      </w:r>
      <w:r w:rsidRPr="000D4C60" w:rsidR="002E5265">
        <w:rPr>
          <w:rFonts w:cs="Tahoma"/>
          <w:color w:val="000000"/>
        </w:rPr>
        <w:t xml:space="preserve"> </w:t>
      </w:r>
      <w:r w:rsidRPr="000D4C60" w:rsidR="00953D1A">
        <w:rPr>
          <w:rFonts w:cs="Tahoma"/>
          <w:color w:val="000000"/>
        </w:rPr>
        <w:t>el mismo día</w:t>
      </w:r>
      <w:r w:rsidRPr="000D4C60" w:rsidR="001B75DC">
        <w:rPr>
          <w:rFonts w:cs="Tahoma"/>
          <w:color w:val="000000"/>
        </w:rPr>
        <w:t>.</w:t>
      </w:r>
    </w:p>
    <w:p w:rsidRPr="000D4C60" w:rsidR="004C0784" w:rsidP="00FE73D0" w:rsidRDefault="004C0784" w14:paraId="243274A9" w14:textId="77777777">
      <w:pPr>
        <w:autoSpaceDE w:val="0"/>
        <w:autoSpaceDN w:val="0"/>
        <w:adjustRightInd w:val="0"/>
        <w:spacing w:after="0" w:line="360" w:lineRule="auto"/>
        <w:rPr>
          <w:bCs/>
          <w:lang w:val="es-ES_tradnl"/>
        </w:rPr>
      </w:pPr>
    </w:p>
    <w:p w:rsidRPr="000D4C60" w:rsidR="00576FD0" w:rsidP="00FE73D0" w:rsidRDefault="00781AEE" w14:paraId="7010EABF" w14:textId="39A3996B">
      <w:pPr>
        <w:spacing w:after="0" w:line="360" w:lineRule="auto"/>
        <w:rPr>
          <w:rFonts w:eastAsia="Times New Roman" w:cs="Tahoma"/>
          <w:color w:val="auto"/>
          <w:szCs w:val="24"/>
          <w:lang w:val="es-ES" w:eastAsia="es-ES"/>
        </w:rPr>
      </w:pPr>
      <w:r>
        <w:rPr>
          <w:rFonts w:eastAsia="Times New Roman" w:cs="Tahoma"/>
          <w:b/>
          <w:color w:val="auto"/>
          <w:szCs w:val="24"/>
          <w:lang w:eastAsia="es-ES"/>
        </w:rPr>
        <w:t>e</w:t>
      </w:r>
      <w:r w:rsidRPr="000D4C60" w:rsidR="00576FD0">
        <w:rPr>
          <w:rFonts w:eastAsia="Times New Roman" w:cs="Tahoma"/>
          <w:b/>
          <w:color w:val="auto"/>
          <w:szCs w:val="24"/>
          <w:lang w:eastAsia="es-ES"/>
        </w:rPr>
        <w:t>) Cierre de instrucción.</w:t>
      </w:r>
      <w:r w:rsidRPr="000D4C60" w:rsidR="00576FD0">
        <w:rPr>
          <w:rFonts w:eastAsia="Times New Roman" w:cs="Tahoma"/>
          <w:color w:val="auto"/>
          <w:szCs w:val="24"/>
          <w:lang w:eastAsia="es-ES"/>
        </w:rPr>
        <w:t xml:space="preserve"> El </w:t>
      </w:r>
      <w:r>
        <w:rPr>
          <w:rFonts w:eastAsia="Palatino Linotype" w:cs="Palatino Linotype"/>
          <w:lang w:val="es-ES"/>
        </w:rPr>
        <w:t>trece de diciembre</w:t>
      </w:r>
      <w:r w:rsidRPr="000D4C60" w:rsidR="00485998">
        <w:rPr>
          <w:rFonts w:eastAsia="Palatino Linotype" w:cs="Palatino Linotype"/>
          <w:lang w:val="es-ES"/>
        </w:rPr>
        <w:t xml:space="preserve"> </w:t>
      </w:r>
      <w:r w:rsidRPr="000D4C60" w:rsidR="00576FD0">
        <w:rPr>
          <w:rFonts w:eastAsia="Times New Roman" w:cs="Tahoma"/>
          <w:color w:val="auto"/>
          <w:szCs w:val="24"/>
          <w:lang w:val="es-ES" w:eastAsia="es-ES"/>
        </w:rPr>
        <w:t>de dos mil veintiuno</w:t>
      </w:r>
      <w:r w:rsidRPr="000D4C60" w:rsidR="00576FD0">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0D4C60" w:rsidR="00576FD0">
        <w:rPr>
          <w:rFonts w:eastAsia="Times New Roman" w:cs="Tahoma"/>
          <w:color w:val="auto"/>
          <w:szCs w:val="20"/>
          <w:lang w:val="es-ES" w:eastAsia="es-ES"/>
        </w:rPr>
        <w:t>Sistema de Acceso a la Información Mexiquense (SAIMEX)</w:t>
      </w:r>
      <w:r w:rsidRPr="000D4C60" w:rsidR="00576FD0">
        <w:rPr>
          <w:rFonts w:eastAsia="Times New Roman" w:cs="Tahoma"/>
          <w:color w:val="auto"/>
          <w:szCs w:val="24"/>
          <w:lang w:eastAsia="es-ES"/>
        </w:rPr>
        <w:t>.</w:t>
      </w:r>
      <w:r w:rsidRPr="000D4C60" w:rsidR="00F03F2C">
        <w:rPr>
          <w:rFonts w:eastAsia="Times New Roman" w:cs="Tahoma"/>
          <w:color w:val="auto"/>
          <w:szCs w:val="24"/>
          <w:lang w:eastAsia="es-ES"/>
        </w:rPr>
        <w:t xml:space="preserve"> </w:t>
      </w:r>
    </w:p>
    <w:p w:rsidR="00576FD0" w:rsidP="00FE73D0" w:rsidRDefault="00576FD0" w14:paraId="540A97B3" w14:textId="77777777">
      <w:pPr>
        <w:spacing w:after="0" w:line="360" w:lineRule="auto"/>
        <w:rPr>
          <w:rFonts w:eastAsia="Times New Roman" w:cs="Tahoma"/>
          <w:color w:val="auto"/>
          <w:szCs w:val="24"/>
          <w:lang w:eastAsia="es-ES"/>
        </w:rPr>
      </w:pPr>
    </w:p>
    <w:p w:rsidRPr="00412D1E" w:rsidR="00412D1E" w:rsidP="00412D1E" w:rsidRDefault="00412D1E" w14:paraId="07256FEE" w14:textId="45F5C3A9">
      <w:pPr>
        <w:spacing w:after="0" w:line="360" w:lineRule="auto"/>
        <w:rPr>
          <w:rFonts w:eastAsia="Times New Roman" w:cs="Tahoma"/>
          <w:color w:val="auto"/>
          <w:szCs w:val="24"/>
          <w:lang w:eastAsia="es-ES"/>
        </w:rPr>
      </w:pPr>
      <w:r w:rsidRPr="00412D1E">
        <w:rPr>
          <w:rFonts w:eastAsia="Times New Roman" w:cs="Tahoma"/>
          <w:b/>
          <w:bCs/>
          <w:color w:val="auto"/>
          <w:szCs w:val="24"/>
          <w:lang w:val="es-ES" w:eastAsia="es-ES"/>
        </w:rPr>
        <w:t xml:space="preserve">f) Ampliación del plazo para resolver. </w:t>
      </w:r>
      <w:r w:rsidRPr="00412D1E">
        <w:rPr>
          <w:rFonts w:eastAsia="Times New Roman" w:cs="Tahoma"/>
          <w:color w:val="auto"/>
          <w:szCs w:val="24"/>
          <w:lang w:val="es-ES" w:eastAsia="es-ES"/>
        </w:rPr>
        <w:t xml:space="preserve">El </w:t>
      </w:r>
      <w:r w:rsidR="00D34891">
        <w:rPr>
          <w:rFonts w:eastAsia="Times New Roman" w:cs="Tahoma"/>
          <w:color w:val="auto"/>
          <w:szCs w:val="24"/>
          <w:lang w:val="es-ES" w:eastAsia="es-ES"/>
        </w:rPr>
        <w:t>diecisiete</w:t>
      </w:r>
      <w:r w:rsidRPr="00412D1E">
        <w:rPr>
          <w:rFonts w:eastAsia="Times New Roman" w:cs="Tahoma"/>
          <w:color w:val="auto"/>
          <w:szCs w:val="24"/>
          <w:lang w:val="es-ES" w:eastAsia="es-ES"/>
        </w:rPr>
        <w:t xml:space="preserve"> de diciembre de dos mil veintiuno, el Comisionado Ponente, con fundamento en lo dispuesto por el artículo 181, párrafo tercero, de la Ley de Transparencia y Acceso a la Información Pública del Estado de México y Municipios, </w:t>
      </w:r>
      <w:r w:rsidRPr="00412D1E">
        <w:rPr>
          <w:rFonts w:eastAsia="Times New Roman" w:cs="Tahoma"/>
          <w:color w:val="auto"/>
          <w:szCs w:val="24"/>
          <w:lang w:val="es-ES" w:eastAsia="es-ES"/>
        </w:rPr>
        <w:lastRenderedPageBreak/>
        <w:t>acordó ampliar por un periodo de quince días hábiles, el plazo para resolver el Recurso de Revisión que nos ocupa; acto que fue notificado a las partes, mediante el Sistema de Acceso a la Información Mexiquense (SAIMEX), el mismo día de su emisión.</w:t>
      </w:r>
    </w:p>
    <w:p w:rsidRPr="000D4C60" w:rsidR="00412D1E" w:rsidP="00FE73D0" w:rsidRDefault="00412D1E" w14:paraId="6B250B0A" w14:textId="77777777">
      <w:pPr>
        <w:spacing w:after="0" w:line="360" w:lineRule="auto"/>
        <w:rPr>
          <w:rFonts w:eastAsia="Times New Roman" w:cs="Tahoma"/>
          <w:color w:val="auto"/>
          <w:szCs w:val="24"/>
          <w:lang w:eastAsia="es-ES"/>
        </w:rPr>
      </w:pPr>
    </w:p>
    <w:p w:rsidRPr="000D4C60" w:rsidR="00576FD0" w:rsidP="00FE73D0" w:rsidRDefault="00576FD0" w14:paraId="356A80AD" w14:textId="77777777">
      <w:pPr>
        <w:spacing w:after="0" w:line="360" w:lineRule="auto"/>
        <w:rPr>
          <w:rFonts w:eastAsia="Times New Roman" w:cs="Tahoma"/>
          <w:color w:val="000000"/>
          <w:szCs w:val="24"/>
          <w:lang w:eastAsia="es-ES"/>
        </w:rPr>
      </w:pPr>
      <w:r w:rsidRPr="000D4C60">
        <w:rPr>
          <w:rFonts w:eastAsia="Times New Roman" w:cs="Tahoma"/>
          <w:color w:val="000000"/>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0D4C60" w:rsidR="00576FD0" w:rsidP="00FE73D0" w:rsidRDefault="00576FD0" w14:paraId="51D72DBC" w14:textId="77777777">
      <w:pPr>
        <w:spacing w:after="0" w:line="360" w:lineRule="auto"/>
      </w:pPr>
    </w:p>
    <w:p w:rsidRPr="006678F5" w:rsidR="006678F5" w:rsidP="00FE73D0" w:rsidRDefault="006678F5" w14:paraId="07E48DC7" w14:textId="77777777">
      <w:pPr>
        <w:spacing w:after="0" w:line="360" w:lineRule="auto"/>
        <w:jc w:val="center"/>
        <w:rPr>
          <w:rFonts w:eastAsia="Times New Roman" w:cs="Tahoma"/>
          <w:b/>
          <w:color w:val="auto"/>
          <w:lang w:val="es-ES" w:eastAsia="es-ES"/>
        </w:rPr>
      </w:pPr>
      <w:r w:rsidRPr="006678F5">
        <w:rPr>
          <w:rFonts w:eastAsia="Times New Roman" w:cs="Tahoma"/>
          <w:b/>
          <w:color w:val="auto"/>
          <w:lang w:val="es-ES" w:eastAsia="es-ES"/>
        </w:rPr>
        <w:t>C O N S I D E R A N D O S:</w:t>
      </w:r>
    </w:p>
    <w:p w:rsidRPr="006678F5" w:rsidR="006678F5" w:rsidP="00FE73D0" w:rsidRDefault="006678F5" w14:paraId="661FCAFB" w14:textId="77777777">
      <w:pPr>
        <w:spacing w:after="0" w:line="360" w:lineRule="auto"/>
        <w:jc w:val="left"/>
        <w:rPr>
          <w:rFonts w:eastAsia="Times New Roman" w:cs="Tahoma"/>
          <w:b/>
          <w:color w:val="auto"/>
          <w:szCs w:val="24"/>
          <w:lang w:val="es-ES" w:eastAsia="es-ES"/>
        </w:rPr>
      </w:pPr>
    </w:p>
    <w:p w:rsidRPr="006678F5" w:rsidR="006678F5" w:rsidP="00FE73D0" w:rsidRDefault="006678F5" w14:paraId="6CBAE828" w14:textId="77777777">
      <w:pPr>
        <w:autoSpaceDE w:val="0"/>
        <w:autoSpaceDN w:val="0"/>
        <w:adjustRightInd w:val="0"/>
        <w:spacing w:after="0" w:line="360" w:lineRule="auto"/>
        <w:rPr>
          <w:rFonts w:eastAsia="Times New Roman" w:cs="Tahoma"/>
          <w:b/>
          <w:color w:val="auto"/>
          <w:szCs w:val="24"/>
          <w:lang w:val="es-ES" w:eastAsia="es-ES"/>
        </w:rPr>
      </w:pPr>
      <w:r w:rsidRPr="006678F5">
        <w:rPr>
          <w:rFonts w:eastAsia="Calibri" w:cs="Tahoma"/>
          <w:b/>
          <w:color w:val="000000"/>
          <w:szCs w:val="24"/>
          <w:lang w:val="es-ES" w:eastAsia="es-MX"/>
        </w:rPr>
        <w:t>PRIMERO</w:t>
      </w:r>
      <w:r w:rsidRPr="006678F5">
        <w:rPr>
          <w:rFonts w:eastAsia="Calibri" w:cs="Tahoma"/>
          <w:color w:val="000000"/>
          <w:szCs w:val="24"/>
          <w:lang w:val="es-ES" w:eastAsia="es-MX"/>
        </w:rPr>
        <w:t xml:space="preserve">. </w:t>
      </w:r>
      <w:r w:rsidRPr="006678F5">
        <w:rPr>
          <w:rFonts w:eastAsia="Times New Roman" w:cs="Tahoma"/>
          <w:b/>
          <w:color w:val="auto"/>
          <w:szCs w:val="24"/>
          <w:lang w:val="es-ES" w:eastAsia="es-ES"/>
        </w:rPr>
        <w:t>Competencia.</w:t>
      </w:r>
    </w:p>
    <w:p w:rsidRPr="006678F5" w:rsidR="006678F5" w:rsidP="00FE73D0" w:rsidRDefault="006678F5" w14:paraId="596932BA" w14:textId="77777777">
      <w:pPr>
        <w:autoSpaceDE w:val="0"/>
        <w:autoSpaceDN w:val="0"/>
        <w:adjustRightInd w:val="0"/>
        <w:spacing w:after="0" w:line="360" w:lineRule="auto"/>
        <w:rPr>
          <w:rFonts w:eastAsia="Times New Roman" w:cs="Tahoma"/>
          <w:b/>
          <w:color w:val="auto"/>
          <w:szCs w:val="24"/>
          <w:lang w:val="es-ES" w:eastAsia="es-ES"/>
        </w:rPr>
      </w:pPr>
    </w:p>
    <w:p w:rsidRPr="006678F5" w:rsidR="006678F5" w:rsidP="00FE73D0" w:rsidRDefault="006678F5" w14:paraId="33CBEE80" w14:textId="77777777">
      <w:pPr>
        <w:spacing w:after="0" w:line="360" w:lineRule="auto"/>
        <w:rPr>
          <w:rFonts w:eastAsia="Times New Roman" w:cs="Tahoma"/>
          <w:bCs/>
          <w:color w:val="auto"/>
          <w:lang w:val="es-ES" w:eastAsia="es-ES"/>
        </w:rPr>
      </w:pPr>
      <w:bookmarkStart w:name="_Hlk63334754" w:id="0"/>
      <w:r w:rsidRPr="006678F5">
        <w:rPr>
          <w:rFonts w:eastAsia="Times New Roman" w:cs="Tahoma"/>
          <w:bCs/>
          <w:color w:val="auto"/>
          <w:lang w:val="es-ES"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678F5">
        <w:rPr>
          <w:rFonts w:eastAsia="Times New Roman" w:cs="Times New Roman"/>
          <w:bCs/>
          <w:color w:val="auto"/>
          <w:lang w:val="es-ES" w:eastAsia="es-ES"/>
        </w:rPr>
        <w:t xml:space="preserve"> 7°, </w:t>
      </w:r>
      <w:r w:rsidRPr="006678F5">
        <w:rPr>
          <w:rFonts w:eastAsia="Times New Roman" w:cs="Tahoma"/>
          <w:bCs/>
          <w:color w:val="auto"/>
          <w:lang w:val="es-ES" w:eastAsia="es-ES"/>
        </w:rPr>
        <w:t>9°, fracciones I y XXIV y 11 del Reglamento Interior del Instituto de Transparencia, Acceso a la Información Pública y Protección de Datos Personales del Estado de México y Municipios.</w:t>
      </w:r>
    </w:p>
    <w:bookmarkEnd w:id="0"/>
    <w:p w:rsidRPr="006678F5" w:rsidR="006678F5" w:rsidP="00FE73D0" w:rsidRDefault="006678F5" w14:paraId="318971AD" w14:textId="77777777">
      <w:pPr>
        <w:autoSpaceDE w:val="0"/>
        <w:autoSpaceDN w:val="0"/>
        <w:adjustRightInd w:val="0"/>
        <w:spacing w:after="0" w:line="360" w:lineRule="auto"/>
        <w:rPr>
          <w:rFonts w:eastAsia="Calibri" w:cs="Tahoma"/>
          <w:b/>
          <w:color w:val="000000"/>
          <w:szCs w:val="24"/>
          <w:lang w:val="es-ES" w:eastAsia="es-MX"/>
        </w:rPr>
      </w:pPr>
    </w:p>
    <w:p w:rsidRPr="00E050A4" w:rsidR="00E050A4" w:rsidP="00E050A4" w:rsidRDefault="00E050A4" w14:paraId="65A6EBAF" w14:textId="77777777">
      <w:pPr>
        <w:spacing w:after="0" w:line="360" w:lineRule="auto"/>
        <w:rPr>
          <w:rFonts w:eastAsia="Times New Roman" w:cs="Tahoma"/>
          <w:b/>
          <w:bCs/>
          <w:color w:val="auto"/>
          <w:lang w:eastAsia="es-ES"/>
        </w:rPr>
      </w:pPr>
      <w:r w:rsidRPr="00E050A4">
        <w:rPr>
          <w:rFonts w:eastAsia="Times New Roman" w:cs="Tahoma"/>
          <w:b/>
          <w:bCs/>
          <w:color w:val="auto"/>
          <w:lang w:eastAsia="es-ES"/>
        </w:rPr>
        <w:t xml:space="preserve">SEGUNDO. Causales de procedencia y sobreseimiento. </w:t>
      </w:r>
    </w:p>
    <w:p w:rsidRPr="00E050A4" w:rsidR="00E050A4" w:rsidP="00E050A4" w:rsidRDefault="00E050A4" w14:paraId="4FAC7962" w14:textId="77777777">
      <w:pPr>
        <w:spacing w:after="0" w:line="360" w:lineRule="auto"/>
        <w:rPr>
          <w:rFonts w:eastAsia="Times New Roman" w:cs="Tahoma"/>
          <w:bCs/>
          <w:color w:val="auto"/>
          <w:lang w:eastAsia="es-ES"/>
        </w:rPr>
      </w:pPr>
      <w:r w:rsidRPr="00E050A4">
        <w:rPr>
          <w:rFonts w:eastAsia="Times New Roman" w:cs="Tahoma"/>
          <w:bCs/>
          <w:color w:val="auto"/>
          <w:lang w:eastAsia="es-ES"/>
        </w:rPr>
        <w:lastRenderedPageBreak/>
        <w:t> </w:t>
      </w:r>
    </w:p>
    <w:p w:rsidRPr="00E050A4" w:rsidR="00E050A4" w:rsidP="00E050A4" w:rsidRDefault="00E050A4" w14:paraId="26B97227" w14:textId="77777777">
      <w:pPr>
        <w:shd w:val="clear" w:color="auto" w:fill="FFFFFF"/>
        <w:spacing w:after="0" w:line="360" w:lineRule="auto"/>
        <w:rPr>
          <w:rFonts w:eastAsia="Times New Roman" w:cs="Tahoma"/>
          <w:bCs/>
          <w:color w:val="auto"/>
          <w:lang w:eastAsia="es-ES"/>
        </w:rPr>
      </w:pPr>
      <w:r w:rsidRPr="00E050A4">
        <w:rPr>
          <w:rFonts w:eastAsia="Times New Roman" w:cs="Tahoma"/>
          <w:bCs/>
          <w:color w:val="auto"/>
          <w:lang w:eastAsia="es-ES"/>
        </w:rPr>
        <w:t>De las constancias que forman parte de los Recursos de Revisión que se analizan, se advierte que previo al estudio del fondo de la litis, es necesario estudiar las causales de improcedencia y sobreseimiento que se adviertan, para determinar lo que en Derecho proceda.</w:t>
      </w:r>
    </w:p>
    <w:p w:rsidRPr="00E050A4" w:rsidR="00E050A4" w:rsidP="00E050A4" w:rsidRDefault="00E050A4" w14:paraId="335D1BEF" w14:textId="77777777">
      <w:pPr>
        <w:shd w:val="clear" w:color="auto" w:fill="FFFFFF"/>
        <w:spacing w:after="0" w:line="360" w:lineRule="auto"/>
        <w:rPr>
          <w:rFonts w:eastAsia="Times New Roman" w:cs="Tahoma"/>
          <w:bCs/>
          <w:color w:val="auto"/>
          <w:lang w:eastAsia="es-ES"/>
        </w:rPr>
      </w:pPr>
    </w:p>
    <w:p w:rsidRPr="00E050A4" w:rsidR="00E050A4" w:rsidP="00E050A4" w:rsidRDefault="00E050A4" w14:paraId="16056A88" w14:textId="77777777">
      <w:pPr>
        <w:shd w:val="clear" w:color="auto" w:fill="FFFFFF"/>
        <w:spacing w:after="0" w:line="360" w:lineRule="auto"/>
        <w:rPr>
          <w:rFonts w:eastAsia="Times New Roman" w:cs="Tahoma"/>
          <w:b/>
          <w:bCs/>
          <w:color w:val="auto"/>
          <w:lang w:eastAsia="es-ES"/>
        </w:rPr>
      </w:pPr>
      <w:r w:rsidRPr="00E050A4">
        <w:rPr>
          <w:rFonts w:eastAsia="Times New Roman" w:cs="Tahoma"/>
          <w:b/>
          <w:bCs/>
          <w:color w:val="auto"/>
          <w:lang w:eastAsia="es-ES"/>
        </w:rPr>
        <w:t>Causales de improcedencia.</w:t>
      </w:r>
    </w:p>
    <w:p w:rsidRPr="00E050A4" w:rsidR="00E050A4" w:rsidP="00E050A4" w:rsidRDefault="00E050A4" w14:paraId="68D49A8D" w14:textId="77777777">
      <w:pPr>
        <w:shd w:val="clear" w:color="auto" w:fill="FFFFFF"/>
        <w:spacing w:after="0" w:line="360" w:lineRule="auto"/>
        <w:rPr>
          <w:rFonts w:eastAsia="Times New Roman" w:cs="Times New Roman"/>
          <w:color w:val="222222"/>
          <w:sz w:val="20"/>
          <w:szCs w:val="20"/>
          <w:lang w:eastAsia="es-ES"/>
        </w:rPr>
      </w:pPr>
      <w:r w:rsidRPr="00E050A4">
        <w:rPr>
          <w:rFonts w:eastAsia="Times New Roman" w:cs="Times New Roman"/>
          <w:color w:val="000000"/>
          <w:lang w:eastAsia="es-ES"/>
        </w:rPr>
        <w:t> </w:t>
      </w:r>
    </w:p>
    <w:p w:rsidRPr="00E050A4" w:rsidR="00E050A4" w:rsidP="00E050A4" w:rsidRDefault="00E050A4" w14:paraId="3F3A0770" w14:textId="77777777">
      <w:pPr>
        <w:spacing w:after="0" w:line="360" w:lineRule="auto"/>
        <w:rPr>
          <w:rFonts w:eastAsia="Times New Roman" w:cs="Tahoma"/>
          <w:bCs/>
          <w:color w:val="000000"/>
          <w:lang w:eastAsia="es-ES"/>
        </w:rPr>
      </w:pPr>
      <w:r w:rsidRPr="00E050A4">
        <w:rPr>
          <w:rFonts w:eastAsia="Times New Roman" w:cs="Tahoma"/>
          <w:bCs/>
          <w:color w:val="000000"/>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050A4" w:rsidP="00E050A4" w:rsidRDefault="00E050A4" w14:paraId="7B871306" w14:textId="77777777">
      <w:pPr>
        <w:spacing w:after="0" w:line="360" w:lineRule="auto"/>
        <w:rPr>
          <w:rFonts w:eastAsia="Times New Roman" w:cs="Tahoma"/>
          <w:bCs/>
          <w:color w:val="000000"/>
          <w:lang w:eastAsia="es-ES"/>
        </w:rPr>
      </w:pPr>
      <w:r w:rsidRPr="00E050A4">
        <w:rPr>
          <w:rFonts w:eastAsia="Times New Roman" w:cs="Tahoma"/>
          <w:bCs/>
          <w:color w:val="000000"/>
          <w:lang w:eastAsia="es-ES"/>
        </w:rPr>
        <w:t> </w:t>
      </w:r>
    </w:p>
    <w:p w:rsidRPr="00E050A4" w:rsidR="00E050A4" w:rsidP="00E050A4" w:rsidRDefault="00E050A4" w14:paraId="0E1617F4" w14:textId="55A6D004">
      <w:pPr>
        <w:spacing w:after="0" w:line="360" w:lineRule="auto"/>
        <w:rPr>
          <w:rFonts w:eastAsia="Times New Roman" w:cs="Tahoma"/>
          <w:bCs/>
          <w:color w:val="000000"/>
          <w:lang w:eastAsia="es-ES"/>
        </w:rPr>
      </w:pPr>
      <w:r w:rsidRPr="00E050A4">
        <w:rPr>
          <w:rFonts w:eastAsia="Times New Roman" w:cs="Tahoma"/>
          <w:bCs/>
          <w:color w:val="000000"/>
          <w:lang w:eastAsia="es-ES"/>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Pr="00E050A4" w:rsidR="00E050A4" w:rsidP="00E050A4" w:rsidRDefault="00E050A4" w14:paraId="00A1A44A" w14:textId="77777777">
      <w:pPr>
        <w:spacing w:after="0" w:line="360" w:lineRule="auto"/>
        <w:rPr>
          <w:rFonts w:eastAsia="Times New Roman" w:cs="Times New Roman"/>
          <w:color w:val="222222"/>
          <w:sz w:val="20"/>
          <w:szCs w:val="20"/>
          <w:lang w:eastAsia="es-ES"/>
        </w:rPr>
      </w:pPr>
      <w:r w:rsidRPr="00E050A4">
        <w:rPr>
          <w:rFonts w:eastAsia="Times New Roman" w:cs="Times New Roman"/>
          <w:color w:val="000000"/>
          <w:lang w:eastAsia="es-ES"/>
        </w:rPr>
        <w:t> </w:t>
      </w:r>
    </w:p>
    <w:p w:rsidRPr="00E050A4" w:rsidR="00E050A4" w:rsidP="00E050A4" w:rsidRDefault="00E050A4" w14:paraId="54286AA5" w14:textId="47D590DB">
      <w:pPr>
        <w:widowControl w:val="0"/>
        <w:spacing w:after="0" w:line="360" w:lineRule="auto"/>
        <w:rPr>
          <w:rFonts w:eastAsia="Times New Roman" w:cs="Times New Roman"/>
          <w:color w:val="222222"/>
          <w:sz w:val="20"/>
          <w:szCs w:val="20"/>
          <w:lang w:eastAsia="es-ES"/>
        </w:rPr>
      </w:pPr>
      <w:r w:rsidRPr="00E050A4">
        <w:rPr>
          <w:rFonts w:eastAsia="Times New Roman" w:cs="Tahoma"/>
          <w:color w:val="auto"/>
          <w:lang w:eastAsia="es-ES"/>
        </w:rPr>
        <w:t xml:space="preserve">Asimismo, se actualiza la causal de procedencia del Recurso de Revisión señalada en el artículo </w:t>
      </w:r>
      <w:r w:rsidRPr="00E050A4">
        <w:rPr>
          <w:rFonts w:eastAsia="Times New Roman" w:cs="Tahoma"/>
          <w:color w:val="auto"/>
          <w:lang w:eastAsia="es-ES"/>
        </w:rPr>
        <w:lastRenderedPageBreak/>
        <w:t xml:space="preserve">179, fracción III, de la Ley en cita, </w:t>
      </w:r>
      <w:r w:rsidRPr="00E050A4">
        <w:rPr>
          <w:rFonts w:eastAsia="Calibri" w:cs="Tahoma"/>
          <w:color w:val="000000"/>
          <w:lang w:eastAsia="es-MX"/>
        </w:rPr>
        <w:t xml:space="preserve">pues la Recurrente se inconformó con </w:t>
      </w:r>
      <w:r>
        <w:rPr>
          <w:rFonts w:eastAsia="Times New Roman" w:cs="Tahoma"/>
          <w:color w:val="auto"/>
          <w:lang w:eastAsia="es-ES"/>
        </w:rPr>
        <w:t>la inexistencia de la información</w:t>
      </w:r>
      <w:r w:rsidRPr="00E050A4">
        <w:rPr>
          <w:rFonts w:eastAsia="Calibri" w:cs="Tahoma"/>
          <w:color w:val="000000"/>
          <w:lang w:eastAsia="es-ES"/>
        </w:rPr>
        <w:t>.</w:t>
      </w:r>
    </w:p>
    <w:p w:rsidRPr="00E050A4" w:rsidR="00E050A4" w:rsidP="00E050A4" w:rsidRDefault="00E050A4" w14:paraId="2D902BE3" w14:textId="77777777">
      <w:pPr>
        <w:spacing w:after="0" w:line="360" w:lineRule="auto"/>
        <w:rPr>
          <w:rFonts w:eastAsia="Times New Roman" w:cs="Tahoma"/>
          <w:b/>
          <w:bCs/>
          <w:color w:val="0D0D0D" w:themeColor="text1" w:themeTint="F2"/>
          <w:lang w:eastAsia="es-ES"/>
        </w:rPr>
      </w:pPr>
    </w:p>
    <w:p w:rsidRPr="00E050A4" w:rsidR="00E050A4" w:rsidP="00E050A4" w:rsidRDefault="00E050A4" w14:paraId="0EF070A5" w14:textId="77777777">
      <w:pPr>
        <w:spacing w:after="0" w:line="360" w:lineRule="auto"/>
        <w:rPr>
          <w:rFonts w:eastAsia="Times New Roman" w:cs="Tahoma"/>
          <w:bCs/>
          <w:color w:val="0D0D0D" w:themeColor="text1" w:themeTint="F2"/>
          <w:lang w:eastAsia="es-ES"/>
        </w:rPr>
      </w:pPr>
      <w:r w:rsidRPr="00E050A4">
        <w:rPr>
          <w:rFonts w:eastAsia="Times New Roman" w:cs="Tahoma"/>
          <w:b/>
          <w:bCs/>
          <w:color w:val="0D0D0D" w:themeColor="text1" w:themeTint="F2"/>
          <w:lang w:eastAsia="es-ES"/>
        </w:rPr>
        <w:t>Causales de sobreseimiento.</w:t>
      </w:r>
    </w:p>
    <w:p w:rsidRPr="001C208C" w:rsidR="001C208C" w:rsidP="001C208C" w:rsidRDefault="001C208C" w14:paraId="0E469844" w14:textId="77777777">
      <w:pPr>
        <w:spacing w:after="0" w:line="360" w:lineRule="auto"/>
        <w:rPr>
          <w:rFonts w:eastAsia="Times New Roman" w:cs="Tahoma"/>
          <w:bCs/>
          <w:color w:val="0D0D0D" w:themeColor="text1" w:themeTint="F2"/>
          <w:lang w:eastAsia="es-ES"/>
        </w:rPr>
      </w:pPr>
    </w:p>
    <w:p w:rsidRPr="001C208C" w:rsidR="001C208C" w:rsidP="001C208C" w:rsidRDefault="001C208C" w14:paraId="454C10DD" w14:textId="77777777">
      <w:pPr>
        <w:spacing w:after="0" w:line="360" w:lineRule="auto"/>
        <w:rPr>
          <w:rFonts w:eastAsia="Times New Roman" w:cs="Tahoma"/>
          <w:bCs/>
          <w:color w:val="0D0D0D" w:themeColor="text1" w:themeTint="F2"/>
          <w:lang w:eastAsia="es-ES"/>
        </w:rPr>
      </w:pPr>
      <w:r w:rsidRPr="001C208C">
        <w:rPr>
          <w:rFonts w:eastAsia="Times New Roman" w:cs="Tahoma"/>
          <w:bCs/>
          <w:color w:val="0D0D0D" w:themeColor="text1" w:themeTint="F2"/>
          <w:lang w:eastAsia="es-ES"/>
        </w:rPr>
        <w:t>Por ser de previo y especial pronunciamiento, este Instituto analiza si se actualiza alguna causal de sobreseimiento.</w:t>
      </w:r>
    </w:p>
    <w:p w:rsidRPr="001C208C" w:rsidR="001C208C" w:rsidP="001C208C" w:rsidRDefault="001C208C" w14:paraId="122FD5EA" w14:textId="77777777">
      <w:pPr>
        <w:spacing w:after="0" w:line="360" w:lineRule="auto"/>
        <w:rPr>
          <w:rFonts w:eastAsia="Times New Roman" w:cs="Tahoma"/>
          <w:bCs/>
          <w:color w:val="0D0D0D" w:themeColor="text1" w:themeTint="F2"/>
          <w:lang w:eastAsia="es-ES"/>
        </w:rPr>
      </w:pPr>
    </w:p>
    <w:p w:rsidRPr="001C208C" w:rsidR="001C208C" w:rsidP="001C208C" w:rsidRDefault="001C208C" w14:paraId="502E2D80" w14:textId="77777777">
      <w:pPr>
        <w:spacing w:after="0" w:line="360" w:lineRule="auto"/>
        <w:rPr>
          <w:rFonts w:eastAsia="Times New Roman" w:cs="Tahoma"/>
          <w:color w:val="auto"/>
          <w:szCs w:val="24"/>
          <w:lang w:eastAsia="es-ES"/>
        </w:rPr>
      </w:pPr>
      <w:r w:rsidRPr="001C208C">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1C208C" w:rsidR="001C208C" w:rsidP="001C208C" w:rsidRDefault="001C208C" w14:paraId="169469E2" w14:textId="77777777">
      <w:pPr>
        <w:spacing w:after="0" w:line="360" w:lineRule="auto"/>
        <w:rPr>
          <w:rFonts w:eastAsia="Times New Roman" w:cs="Tahoma"/>
          <w:bCs/>
          <w:color w:val="0D0D0D" w:themeColor="text1" w:themeTint="F2"/>
          <w:lang w:eastAsia="es-ES"/>
        </w:rPr>
      </w:pPr>
    </w:p>
    <w:p w:rsidR="001C208C" w:rsidP="001C208C" w:rsidRDefault="001C208C" w14:paraId="56AEC988" w14:textId="73E76DAA">
      <w:pPr>
        <w:spacing w:after="0" w:line="360" w:lineRule="auto"/>
        <w:rPr>
          <w:rFonts w:eastAsia="Times New Roman" w:cs="Tahoma"/>
          <w:bCs/>
          <w:color w:val="0D0D0D" w:themeColor="text1" w:themeTint="F2"/>
          <w:lang w:eastAsia="es-ES"/>
        </w:rPr>
      </w:pPr>
      <w:r w:rsidRPr="001C208C">
        <w:rPr>
          <w:rFonts w:eastAsia="Times New Roman" w:cs="Tahoma"/>
          <w:bCs/>
          <w:color w:val="0D0D0D" w:themeColor="text1" w:themeTint="F2"/>
          <w:lang w:eastAsia="es-ES"/>
        </w:rPr>
        <w:t xml:space="preserve">Por tales motivos, se considera procedente entrar al fondo del presente asunto. </w:t>
      </w:r>
    </w:p>
    <w:p w:rsidRPr="001C208C" w:rsidR="001C208C" w:rsidP="001C208C" w:rsidRDefault="001C208C" w14:paraId="1067094C" w14:textId="77777777">
      <w:pPr>
        <w:spacing w:after="0" w:line="360" w:lineRule="auto"/>
        <w:rPr>
          <w:rFonts w:eastAsia="Times New Roman" w:cs="Tahoma"/>
          <w:bCs/>
          <w:color w:val="0D0D0D" w:themeColor="text1" w:themeTint="F2"/>
          <w:lang w:eastAsia="es-ES"/>
        </w:rPr>
      </w:pPr>
    </w:p>
    <w:p w:rsidRPr="001C208C" w:rsidR="001C208C" w:rsidP="001C208C" w:rsidRDefault="001C208C" w14:paraId="0A765CB9" w14:textId="77777777">
      <w:pPr>
        <w:spacing w:after="0" w:line="360" w:lineRule="auto"/>
        <w:rPr>
          <w:rFonts w:eastAsia="Times New Roman" w:cs="Tahoma"/>
          <w:b/>
          <w:bCs/>
          <w:iCs/>
          <w:color w:val="auto"/>
          <w:lang w:eastAsia="es-ES"/>
        </w:rPr>
      </w:pPr>
      <w:r w:rsidRPr="001C208C">
        <w:rPr>
          <w:rFonts w:eastAsia="Times New Roman" w:cs="Tahoma"/>
          <w:b/>
          <w:bCs/>
          <w:iCs/>
          <w:color w:val="auto"/>
          <w:lang w:eastAsia="es-ES"/>
        </w:rPr>
        <w:t xml:space="preserve">TERCERO. Determinación de la Controversia. </w:t>
      </w:r>
    </w:p>
    <w:p w:rsidRPr="001C208C" w:rsidR="001C208C" w:rsidP="001C208C" w:rsidRDefault="001C208C" w14:paraId="79CFD169" w14:textId="77777777">
      <w:pPr>
        <w:autoSpaceDE w:val="0"/>
        <w:autoSpaceDN w:val="0"/>
        <w:adjustRightInd w:val="0"/>
        <w:spacing w:after="0" w:line="360" w:lineRule="auto"/>
        <w:rPr>
          <w:rFonts w:eastAsia="Calibri" w:cs="Tahoma"/>
          <w:color w:val="000000"/>
          <w:szCs w:val="24"/>
          <w:lang w:eastAsia="es-MX"/>
        </w:rPr>
      </w:pPr>
    </w:p>
    <w:p w:rsidRPr="006678F5" w:rsidR="006678F5" w:rsidP="005A7513" w:rsidRDefault="001C208C" w14:paraId="54D7A398" w14:textId="4A52593F">
      <w:pPr>
        <w:widowControl w:val="0"/>
        <w:spacing w:after="0" w:line="360" w:lineRule="auto"/>
        <w:rPr>
          <w:rFonts w:eastAsia="Times New Roman" w:cs="Tahoma"/>
          <w:iCs/>
          <w:color w:val="auto"/>
          <w:lang w:val="es-ES" w:eastAsia="es-ES"/>
        </w:rPr>
      </w:pPr>
      <w:r w:rsidRPr="001C208C">
        <w:rPr>
          <w:rFonts w:eastAsia="Calibri" w:cs="Tahoma"/>
          <w:color w:val="000000"/>
          <w:szCs w:val="24"/>
          <w:lang w:eastAsia="es-MX"/>
        </w:rPr>
        <w:t>Con el objeto de ilustrar la controversia planteada, resulta conveniente precisar, que una vez realizado el estudio de las constancias que integran el expediente en que se actúa, se desprende que la ahora Recurrente</w:t>
      </w:r>
      <w:r w:rsidR="00E050A4">
        <w:rPr>
          <w:rFonts w:eastAsia="Calibri" w:cs="Tahoma"/>
          <w:color w:val="000000"/>
          <w:szCs w:val="24"/>
          <w:lang w:eastAsia="es-MX"/>
        </w:rPr>
        <w:t xml:space="preserve"> requirió conocer si exist</w:t>
      </w:r>
      <w:r w:rsidR="005A7513">
        <w:rPr>
          <w:rFonts w:eastAsia="Calibri" w:cs="Tahoma"/>
          <w:color w:val="000000"/>
          <w:szCs w:val="24"/>
          <w:lang w:eastAsia="es-MX"/>
        </w:rPr>
        <w:t>ía registrado o autorizado en la Comisión del Agua del Estado de México,</w:t>
      </w:r>
      <w:r w:rsidR="00E050A4">
        <w:rPr>
          <w:rFonts w:eastAsia="Calibri" w:cs="Tahoma"/>
          <w:color w:val="000000"/>
          <w:szCs w:val="24"/>
          <w:lang w:eastAsia="es-MX"/>
        </w:rPr>
        <w:t xml:space="preserve"> algún producto de seguro o fianza que tenga por objeto garantizar el pago de daños </w:t>
      </w:r>
      <w:r w:rsidRPr="00CB1E1B" w:rsidR="00CB1E1B">
        <w:rPr>
          <w:rFonts w:eastAsia="Times New Roman" w:cs="Tahoma"/>
          <w:iCs/>
          <w:color w:val="auto"/>
          <w:lang w:val="es-ES" w:eastAsia="es-ES"/>
        </w:rPr>
        <w:t xml:space="preserve">a terceros por la distribución de agua potable que no cumpla con la calidad </w:t>
      </w:r>
      <w:r w:rsidRPr="00CB1E1B" w:rsidR="00CB1E1B">
        <w:rPr>
          <w:rFonts w:eastAsia="Times New Roman" w:cs="Tahoma"/>
          <w:iCs/>
          <w:color w:val="auto"/>
          <w:lang w:val="es-ES" w:eastAsia="es-ES"/>
        </w:rPr>
        <w:lastRenderedPageBreak/>
        <w:t xml:space="preserve">que establece la </w:t>
      </w:r>
      <w:r w:rsidR="00AF022A">
        <w:rPr>
          <w:rFonts w:eastAsia="Times New Roman" w:cs="Tahoma"/>
          <w:iCs/>
          <w:color w:val="auto"/>
          <w:lang w:val="es-ES" w:eastAsia="es-ES"/>
        </w:rPr>
        <w:t>N</w:t>
      </w:r>
      <w:r w:rsidRPr="00CB1E1B" w:rsidR="00CB1E1B">
        <w:rPr>
          <w:rFonts w:eastAsia="Times New Roman" w:cs="Tahoma"/>
          <w:iCs/>
          <w:color w:val="auto"/>
          <w:lang w:val="es-ES" w:eastAsia="es-ES"/>
        </w:rPr>
        <w:t xml:space="preserve">orma </w:t>
      </w:r>
      <w:r w:rsidR="00AF022A">
        <w:rPr>
          <w:rFonts w:eastAsia="Times New Roman" w:cs="Tahoma"/>
          <w:iCs/>
          <w:color w:val="auto"/>
          <w:lang w:val="es-ES" w:eastAsia="es-ES"/>
        </w:rPr>
        <w:t>O</w:t>
      </w:r>
      <w:r w:rsidRPr="00CB1E1B" w:rsidR="00CB1E1B">
        <w:rPr>
          <w:rFonts w:eastAsia="Times New Roman" w:cs="Tahoma"/>
          <w:iCs/>
          <w:color w:val="auto"/>
          <w:lang w:val="es-ES" w:eastAsia="es-ES"/>
        </w:rPr>
        <w:t>ficial</w:t>
      </w:r>
      <w:r w:rsidR="00AF022A">
        <w:rPr>
          <w:rFonts w:eastAsia="Times New Roman" w:cs="Tahoma"/>
          <w:iCs/>
          <w:color w:val="auto"/>
          <w:lang w:val="es-ES" w:eastAsia="es-ES"/>
        </w:rPr>
        <w:t xml:space="preserve"> Mexicana</w:t>
      </w:r>
      <w:r w:rsidRPr="00CB1E1B" w:rsidR="00CB1E1B">
        <w:rPr>
          <w:rFonts w:eastAsia="Times New Roman" w:cs="Tahoma"/>
          <w:iCs/>
          <w:color w:val="auto"/>
          <w:lang w:val="es-ES" w:eastAsia="es-ES"/>
        </w:rPr>
        <w:t xml:space="preserve"> NOM-127-SSA1-1994</w:t>
      </w:r>
      <w:r w:rsidR="005A7513">
        <w:rPr>
          <w:rFonts w:eastAsia="Times New Roman" w:cs="Tahoma"/>
          <w:iCs/>
          <w:color w:val="auto"/>
          <w:lang w:val="es-ES" w:eastAsia="es-ES"/>
        </w:rPr>
        <w:t>, así como, el nombre de las instituciones con dichos productos.</w:t>
      </w:r>
    </w:p>
    <w:p w:rsidRPr="006678F5" w:rsidR="006678F5" w:rsidP="00FE73D0" w:rsidRDefault="006678F5" w14:paraId="6FABD37C" w14:textId="77777777">
      <w:pPr>
        <w:spacing w:after="0" w:line="360" w:lineRule="auto"/>
        <w:rPr>
          <w:rFonts w:eastAsia="Times New Roman" w:cs="Tahoma"/>
          <w:iCs/>
          <w:color w:val="auto"/>
          <w:lang w:val="es-ES" w:eastAsia="es-ES"/>
        </w:rPr>
      </w:pPr>
    </w:p>
    <w:p w:rsidRPr="006678F5" w:rsidR="006678F5" w:rsidP="00FE73D0" w:rsidRDefault="006678F5" w14:paraId="2DDD3103" w14:textId="36038B0E">
      <w:pPr>
        <w:spacing w:after="0" w:line="360" w:lineRule="auto"/>
        <w:rPr>
          <w:rFonts w:eastAsia="Calibri" w:cs="Tahoma"/>
          <w:iCs/>
          <w:color w:val="auto"/>
          <w:lang w:val="es-ES" w:eastAsia="es-ES_tradnl"/>
        </w:rPr>
      </w:pPr>
      <w:r w:rsidRPr="006678F5">
        <w:rPr>
          <w:rFonts w:eastAsia="Calibri" w:cs="Tahoma"/>
          <w:iCs/>
          <w:color w:val="auto"/>
          <w:lang w:val="es-ES" w:eastAsia="es-ES_tradnl"/>
        </w:rPr>
        <w:t>En respuesta, el Sujeto Obligado,</w:t>
      </w:r>
      <w:r w:rsidR="00AF022A">
        <w:rPr>
          <w:rFonts w:eastAsia="Calibri" w:cs="Tahoma"/>
          <w:iCs/>
          <w:color w:val="auto"/>
          <w:lang w:val="es-ES" w:eastAsia="es-ES_tradnl"/>
        </w:rPr>
        <w:t xml:space="preserve"> a través </w:t>
      </w:r>
      <w:r w:rsidR="005A7513">
        <w:rPr>
          <w:rFonts w:eastAsia="Calibri" w:cs="Tahoma"/>
          <w:iCs/>
          <w:color w:val="auto"/>
          <w:lang w:val="es-ES" w:eastAsia="es-ES_tradnl"/>
        </w:rPr>
        <w:t>de la Dirección</w:t>
      </w:r>
      <w:r w:rsidRPr="000A0E3B" w:rsidR="000A0E3B">
        <w:rPr>
          <w:rFonts w:eastAsia="Calibri" w:cs="Tahoma"/>
          <w:iCs/>
          <w:color w:val="auto"/>
          <w:lang w:val="x-none" w:eastAsia="es-ES_tradnl"/>
        </w:rPr>
        <w:t xml:space="preserve"> General de Administración y Finanzas</w:t>
      </w:r>
      <w:r w:rsidR="000A0E3B">
        <w:rPr>
          <w:rFonts w:eastAsia="Calibri" w:cs="Tahoma"/>
          <w:iCs/>
          <w:color w:val="auto"/>
          <w:lang w:eastAsia="es-ES_tradnl"/>
        </w:rPr>
        <w:t xml:space="preserve">, señaló </w:t>
      </w:r>
      <w:r w:rsidR="005A7513">
        <w:rPr>
          <w:rFonts w:eastAsia="Calibri" w:cs="Tahoma"/>
          <w:iCs/>
          <w:color w:val="auto"/>
          <w:lang w:eastAsia="es-ES_tradnl"/>
        </w:rPr>
        <w:t>que no contaba con la información solicitada, toda vez que no formaba</w:t>
      </w:r>
      <w:r w:rsidRPr="000A0E3B" w:rsidR="000A0E3B">
        <w:rPr>
          <w:rFonts w:eastAsia="Calibri" w:cs="Tahoma"/>
          <w:iCs/>
          <w:color w:val="auto"/>
          <w:lang w:eastAsia="es-ES_tradnl"/>
        </w:rPr>
        <w:t xml:space="preserve"> parte de las funciones </w:t>
      </w:r>
      <w:r w:rsidR="005A7513">
        <w:rPr>
          <w:rFonts w:eastAsia="Calibri" w:cs="Tahoma"/>
          <w:iCs/>
          <w:color w:val="auto"/>
          <w:lang w:eastAsia="es-ES_tradnl"/>
        </w:rPr>
        <w:t>conforme al</w:t>
      </w:r>
      <w:r w:rsidRPr="000A0E3B" w:rsidR="000A0E3B">
        <w:rPr>
          <w:rFonts w:eastAsia="Calibri" w:cs="Tahoma"/>
          <w:iCs/>
          <w:color w:val="auto"/>
          <w:lang w:eastAsia="es-ES_tradnl"/>
        </w:rPr>
        <w:t xml:space="preserve"> Manual General de Organización de la Comisión del Agua del Estado de México</w:t>
      </w:r>
      <w:r w:rsidRPr="006678F5">
        <w:rPr>
          <w:rFonts w:eastAsia="Calibri" w:cs="Tahoma"/>
          <w:iCs/>
          <w:color w:val="auto"/>
          <w:lang w:val="x-none" w:eastAsia="es-ES_tradnl"/>
        </w:rPr>
        <w:t xml:space="preserve">; </w:t>
      </w:r>
      <w:r w:rsidRPr="006678F5">
        <w:rPr>
          <w:rFonts w:eastAsia="Calibri" w:cs="Tahoma"/>
          <w:iCs/>
          <w:color w:val="auto"/>
          <w:lang w:val="es-ES" w:eastAsia="es-ES_tradnl"/>
        </w:rPr>
        <w:t xml:space="preserve">ante tal circunstancia, el Particular se agravió </w:t>
      </w:r>
      <w:r w:rsidR="000A0E3B">
        <w:rPr>
          <w:rFonts w:eastAsia="Calibri" w:cs="Tahoma"/>
          <w:iCs/>
          <w:color w:val="auto"/>
          <w:lang w:val="es-ES" w:eastAsia="es-ES_tradnl"/>
        </w:rPr>
        <w:t>por la declaración de i</w:t>
      </w:r>
      <w:r w:rsidR="005A7513">
        <w:rPr>
          <w:rFonts w:eastAsia="Calibri" w:cs="Tahoma"/>
          <w:iCs/>
          <w:color w:val="auto"/>
          <w:lang w:val="es-ES" w:eastAsia="es-ES_tradnl"/>
        </w:rPr>
        <w:t>nexistencia</w:t>
      </w:r>
      <w:r w:rsidRPr="006678F5">
        <w:rPr>
          <w:rFonts w:eastAsia="Calibri" w:cs="Tahoma"/>
          <w:iCs/>
          <w:color w:val="auto"/>
          <w:lang w:val="es-ES" w:eastAsia="es-ES_tradnl"/>
        </w:rPr>
        <w:t xml:space="preserve">, </w:t>
      </w:r>
      <w:r w:rsidRPr="006678F5">
        <w:rPr>
          <w:rFonts w:eastAsia="Calibri" w:cs="Tahoma"/>
          <w:bCs/>
          <w:iCs/>
          <w:color w:val="auto"/>
          <w:lang w:val="es-ES" w:eastAsia="es-ES_tradnl"/>
        </w:rPr>
        <w:t>lo cual constituye la</w:t>
      </w:r>
      <w:r w:rsidRPr="006678F5">
        <w:rPr>
          <w:rFonts w:eastAsia="Calibri" w:cs="Tahoma"/>
          <w:iCs/>
          <w:color w:val="auto"/>
          <w:lang w:val="es-ES" w:eastAsia="es-ES_tradnl"/>
        </w:rPr>
        <w:t xml:space="preserve"> causal de procedencia del Recurso de Revisión, en términos del artículo 179, fracción </w:t>
      </w:r>
      <w:r w:rsidR="000A0E3B">
        <w:rPr>
          <w:rFonts w:eastAsia="Calibri" w:cs="Tahoma"/>
          <w:iCs/>
          <w:color w:val="auto"/>
          <w:lang w:val="es-ES" w:eastAsia="es-ES_tradnl"/>
        </w:rPr>
        <w:t>I</w:t>
      </w:r>
      <w:r w:rsidR="005A7513">
        <w:rPr>
          <w:rFonts w:eastAsia="Calibri" w:cs="Tahoma"/>
          <w:iCs/>
          <w:color w:val="auto"/>
          <w:lang w:val="es-ES" w:eastAsia="es-ES_tradnl"/>
        </w:rPr>
        <w:t>II</w:t>
      </w:r>
      <w:r w:rsidRPr="006678F5">
        <w:rPr>
          <w:rFonts w:eastAsia="Calibri" w:cs="Tahoma"/>
          <w:iCs/>
          <w:color w:val="auto"/>
          <w:lang w:val="es-ES" w:eastAsia="es-ES_tradnl"/>
        </w:rPr>
        <w:t xml:space="preserve">, de la Ley de Transparencia y Acceso a la Información Pública del Estado de México. </w:t>
      </w:r>
    </w:p>
    <w:p w:rsidRPr="006678F5" w:rsidR="006678F5" w:rsidP="00FE73D0" w:rsidRDefault="006678F5" w14:paraId="19AE0866" w14:textId="77777777">
      <w:pPr>
        <w:spacing w:after="0" w:line="360" w:lineRule="auto"/>
        <w:rPr>
          <w:rFonts w:eastAsia="Times New Roman" w:cs="Tahoma"/>
          <w:bCs/>
          <w:iCs/>
          <w:color w:val="000000"/>
          <w:lang w:val="es-ES" w:eastAsia="es-ES"/>
        </w:rPr>
      </w:pPr>
    </w:p>
    <w:p w:rsidR="00CE6C83" w:rsidP="00FE73D0" w:rsidRDefault="006678F5" w14:paraId="2A619ECB" w14:textId="6601DBF2">
      <w:pPr>
        <w:spacing w:after="0" w:line="360" w:lineRule="auto"/>
        <w:rPr>
          <w:rFonts w:eastAsia="Times New Roman" w:cs="Tahoma"/>
          <w:bCs/>
          <w:iCs/>
          <w:color w:val="000000"/>
          <w:lang w:val="es-ES" w:eastAsia="es-ES"/>
        </w:rPr>
      </w:pPr>
      <w:r w:rsidRPr="006678F5">
        <w:rPr>
          <w:rFonts w:eastAsia="Times New Roman" w:cs="Tahoma"/>
          <w:bCs/>
          <w:iCs/>
          <w:color w:val="000000"/>
          <w:lang w:val="es-ES" w:eastAsia="es-ES"/>
        </w:rPr>
        <w:t xml:space="preserve">Así las cosas, una vez interpuesto y notificado el Recurso de Revisión a las partes, el Sujeto Obligado mediante el </w:t>
      </w:r>
      <w:r w:rsidR="00CE6C83">
        <w:rPr>
          <w:rFonts w:eastAsia="Times New Roman" w:cs="Tahoma"/>
          <w:bCs/>
          <w:iCs/>
          <w:color w:val="000000"/>
          <w:lang w:val="es-ES" w:eastAsia="es-ES"/>
        </w:rPr>
        <w:t>Informe Justificado</w:t>
      </w:r>
      <w:r w:rsidR="00976E2D">
        <w:rPr>
          <w:rFonts w:eastAsia="Times New Roman" w:cs="Tahoma"/>
          <w:bCs/>
          <w:iCs/>
          <w:color w:val="000000"/>
          <w:lang w:val="es-ES" w:eastAsia="es-ES"/>
        </w:rPr>
        <w:t>,</w:t>
      </w:r>
      <w:r w:rsidR="00CE6C83">
        <w:rPr>
          <w:rFonts w:eastAsia="Times New Roman" w:cs="Tahoma"/>
          <w:bCs/>
          <w:iCs/>
          <w:color w:val="000000"/>
          <w:lang w:val="es-ES" w:eastAsia="es-ES"/>
        </w:rPr>
        <w:t xml:space="preserve"> modificó su respuesta primigenia</w:t>
      </w:r>
      <w:r w:rsidR="005A7513">
        <w:rPr>
          <w:rFonts w:eastAsia="Times New Roman" w:cs="Tahoma"/>
          <w:bCs/>
          <w:iCs/>
          <w:color w:val="000000"/>
          <w:lang w:val="es-ES" w:eastAsia="es-ES"/>
        </w:rPr>
        <w:t xml:space="preserve"> y precisó lo siguiente:</w:t>
      </w:r>
    </w:p>
    <w:p w:rsidR="00CE6C83" w:rsidP="00FE73D0" w:rsidRDefault="00CE6C83" w14:paraId="20AF27CE" w14:textId="77777777">
      <w:pPr>
        <w:spacing w:after="0" w:line="360" w:lineRule="auto"/>
        <w:rPr>
          <w:rFonts w:eastAsia="Times New Roman" w:cs="Tahoma"/>
          <w:bCs/>
          <w:iCs/>
          <w:color w:val="000000"/>
          <w:lang w:val="es-ES" w:eastAsia="es-ES"/>
        </w:rPr>
      </w:pPr>
    </w:p>
    <w:p w:rsidR="00976E2D" w:rsidP="00FE73D0" w:rsidRDefault="005A7513" w14:paraId="562885E9" w14:textId="5D031377">
      <w:pPr>
        <w:pStyle w:val="Prrafodelista"/>
        <w:numPr>
          <w:ilvl w:val="0"/>
          <w:numId w:val="5"/>
        </w:numPr>
        <w:spacing w:after="0" w:line="360" w:lineRule="auto"/>
        <w:rPr>
          <w:rFonts w:eastAsia="Times New Roman" w:cs="Tahoma"/>
          <w:bCs/>
          <w:iCs/>
          <w:color w:val="000000"/>
          <w:lang w:val="es-ES" w:eastAsia="es-ES"/>
        </w:rPr>
      </w:pPr>
      <w:r>
        <w:rPr>
          <w:rFonts w:eastAsia="Times New Roman" w:cs="Tahoma"/>
          <w:bCs/>
          <w:iCs/>
          <w:color w:val="000000"/>
          <w:lang w:val="es-ES" w:eastAsia="es-ES"/>
        </w:rPr>
        <w:t>Que e</w:t>
      </w:r>
      <w:r w:rsidRPr="00CE6C83" w:rsidR="00CE6C83">
        <w:rPr>
          <w:rFonts w:eastAsia="Times New Roman" w:cs="Tahoma"/>
          <w:bCs/>
          <w:iCs/>
          <w:color w:val="000000"/>
          <w:lang w:val="es-ES" w:eastAsia="es-ES"/>
        </w:rPr>
        <w:t xml:space="preserve">l Manual General de Organización de la Comisión del Agua del Estado de México, </w:t>
      </w:r>
      <w:r w:rsidRPr="00CE6C83" w:rsidR="00142A36">
        <w:rPr>
          <w:rFonts w:eastAsia="Times New Roman" w:cs="Tahoma"/>
          <w:bCs/>
          <w:iCs/>
          <w:color w:val="000000"/>
          <w:lang w:val="es-ES" w:eastAsia="es-ES"/>
        </w:rPr>
        <w:t>prev</w:t>
      </w:r>
      <w:r w:rsidR="00142A36">
        <w:rPr>
          <w:rFonts w:eastAsia="Times New Roman" w:cs="Tahoma"/>
          <w:bCs/>
          <w:iCs/>
          <w:color w:val="000000"/>
          <w:lang w:val="es-ES" w:eastAsia="es-ES"/>
        </w:rPr>
        <w:t>ia</w:t>
      </w:r>
      <w:r w:rsidRPr="00CE6C83" w:rsidR="00CE6C83">
        <w:rPr>
          <w:rFonts w:eastAsia="Times New Roman" w:cs="Tahoma"/>
          <w:bCs/>
          <w:iCs/>
          <w:color w:val="000000"/>
          <w:lang w:val="es-ES" w:eastAsia="es-ES"/>
        </w:rPr>
        <w:t xml:space="preserve"> las funciones </w:t>
      </w:r>
      <w:r w:rsidR="00142A36">
        <w:rPr>
          <w:rFonts w:eastAsia="Times New Roman" w:cs="Tahoma"/>
          <w:bCs/>
          <w:iCs/>
          <w:color w:val="000000"/>
          <w:lang w:val="es-ES" w:eastAsia="es-ES"/>
        </w:rPr>
        <w:t>de la</w:t>
      </w:r>
      <w:r w:rsidRPr="00CE6C83" w:rsidR="00CE6C83">
        <w:rPr>
          <w:rFonts w:eastAsia="Times New Roman" w:cs="Tahoma"/>
          <w:bCs/>
          <w:iCs/>
          <w:color w:val="000000"/>
          <w:lang w:val="es-ES" w:eastAsia="es-ES"/>
        </w:rPr>
        <w:t xml:space="preserve"> Dirección General de Administración y Finanzas, resaltando que, dentro de ellas, no se encuentra la de poseer información o validar lo relativo al seguro o fianza para garantizar el pago de daños a terceros por la distribución de agua potable que no cumpla con la calidad que establece la norma oficial NOM-127-</w:t>
      </w:r>
      <w:r w:rsidR="00976E2D">
        <w:rPr>
          <w:rFonts w:eastAsia="Times New Roman" w:cs="Tahoma"/>
          <w:bCs/>
          <w:iCs/>
          <w:color w:val="000000"/>
          <w:lang w:val="es-ES" w:eastAsia="es-ES"/>
        </w:rPr>
        <w:t>SSA-1994.</w:t>
      </w:r>
    </w:p>
    <w:p w:rsidR="005A7513" w:rsidP="005A7513" w:rsidRDefault="005A7513" w14:paraId="222291E6" w14:textId="77777777">
      <w:pPr>
        <w:pStyle w:val="Prrafodelista"/>
        <w:spacing w:after="0" w:line="360" w:lineRule="auto"/>
        <w:ind w:left="1287"/>
        <w:rPr>
          <w:rFonts w:eastAsia="Times New Roman" w:cs="Tahoma"/>
          <w:bCs/>
          <w:iCs/>
          <w:color w:val="000000"/>
          <w:lang w:val="es-ES" w:eastAsia="es-ES"/>
        </w:rPr>
      </w:pPr>
    </w:p>
    <w:p w:rsidR="00976E2D" w:rsidP="00FE73D0" w:rsidRDefault="00142A36" w14:paraId="46F77E26" w14:textId="75ED53E4">
      <w:pPr>
        <w:pStyle w:val="Prrafodelista"/>
        <w:numPr>
          <w:ilvl w:val="0"/>
          <w:numId w:val="5"/>
        </w:numPr>
        <w:spacing w:after="0" w:line="360" w:lineRule="auto"/>
        <w:rPr>
          <w:rFonts w:eastAsia="Times New Roman" w:cs="Tahoma"/>
          <w:bCs/>
          <w:iCs/>
          <w:color w:val="000000"/>
          <w:lang w:val="es-ES" w:eastAsia="es-ES"/>
        </w:rPr>
      </w:pPr>
      <w:r>
        <w:rPr>
          <w:rFonts w:eastAsia="Times New Roman" w:cs="Tahoma"/>
          <w:bCs/>
          <w:iCs/>
          <w:color w:val="000000"/>
          <w:lang w:val="es-ES" w:eastAsia="es-ES"/>
        </w:rPr>
        <w:t>Que el</w:t>
      </w:r>
      <w:r w:rsidRPr="00976E2D" w:rsidR="00CE6C83">
        <w:rPr>
          <w:rFonts w:eastAsia="Times New Roman" w:cs="Tahoma"/>
          <w:bCs/>
          <w:iCs/>
          <w:color w:val="000000"/>
          <w:lang w:val="es-ES" w:eastAsia="es-ES"/>
        </w:rPr>
        <w:t xml:space="preserve"> Manual de Procedimientos para el Permiso de Distribución, Venta y Suministro de Agua Potable en Pipas a Permisionarios</w:t>
      </w:r>
      <w:r>
        <w:rPr>
          <w:rFonts w:eastAsia="Times New Roman" w:cs="Tahoma"/>
          <w:bCs/>
          <w:iCs/>
          <w:color w:val="000000"/>
          <w:lang w:val="es-ES" w:eastAsia="es-ES"/>
        </w:rPr>
        <w:t xml:space="preserve">, indicaba </w:t>
      </w:r>
      <w:r w:rsidRPr="00976E2D" w:rsidR="00CE6C83">
        <w:rPr>
          <w:rFonts w:eastAsia="Times New Roman" w:cs="Tahoma"/>
          <w:bCs/>
          <w:iCs/>
          <w:color w:val="000000"/>
          <w:lang w:val="es-ES" w:eastAsia="es-ES"/>
        </w:rPr>
        <w:t xml:space="preserve">como obligaciones del Jefe de la Unidad de Apoyo Administrativo de la Gerencia </w:t>
      </w:r>
      <w:r w:rsidRPr="00976E2D" w:rsidR="00CE6C83">
        <w:rPr>
          <w:rFonts w:eastAsia="Times New Roman" w:cs="Tahoma"/>
          <w:bCs/>
          <w:iCs/>
          <w:color w:val="000000"/>
          <w:lang w:val="es-ES" w:eastAsia="es-ES"/>
        </w:rPr>
        <w:lastRenderedPageBreak/>
        <w:t xml:space="preserve">Regional, entre otras, </w:t>
      </w:r>
      <w:r w:rsidR="00976E2D">
        <w:rPr>
          <w:rFonts w:eastAsia="Times New Roman" w:cs="Tahoma"/>
          <w:bCs/>
          <w:iCs/>
          <w:color w:val="000000"/>
          <w:lang w:val="es-ES" w:eastAsia="es-ES"/>
        </w:rPr>
        <w:t>e</w:t>
      </w:r>
      <w:r w:rsidRPr="00976E2D" w:rsidR="00976E2D">
        <w:rPr>
          <w:rFonts w:eastAsia="Times New Roman" w:cs="Tahoma"/>
          <w:bCs/>
          <w:iCs/>
          <w:color w:val="000000"/>
          <w:lang w:val="es-ES" w:eastAsia="es-ES"/>
        </w:rPr>
        <w:t>laborar oficio para solicitar al Subdirector de Finanzas, los formatos “Cupón para la Venta de Agua Potable en Pipa”</w:t>
      </w:r>
      <w:r w:rsidR="00976E2D">
        <w:rPr>
          <w:rFonts w:eastAsia="Times New Roman" w:cs="Tahoma"/>
          <w:bCs/>
          <w:iCs/>
          <w:color w:val="000000"/>
          <w:lang w:val="es-ES" w:eastAsia="es-ES"/>
        </w:rPr>
        <w:t xml:space="preserve"> y distribuirlos.</w:t>
      </w:r>
    </w:p>
    <w:p w:rsidRPr="00142A36" w:rsidR="00142A36" w:rsidP="00142A36" w:rsidRDefault="00142A36" w14:paraId="3369CE86" w14:textId="77777777">
      <w:pPr>
        <w:pStyle w:val="Prrafodelista"/>
        <w:rPr>
          <w:rFonts w:eastAsia="Times New Roman" w:cs="Tahoma"/>
          <w:bCs/>
          <w:iCs/>
          <w:color w:val="000000"/>
          <w:lang w:val="es-ES" w:eastAsia="es-ES"/>
        </w:rPr>
      </w:pPr>
    </w:p>
    <w:p w:rsidRPr="00943F9F" w:rsidR="00CE6C83" w:rsidP="00FE73D0" w:rsidRDefault="00142A36" w14:paraId="1916CA8E" w14:textId="72BB5DC7">
      <w:pPr>
        <w:pStyle w:val="Prrafodelista"/>
        <w:numPr>
          <w:ilvl w:val="0"/>
          <w:numId w:val="5"/>
        </w:numPr>
        <w:spacing w:after="0" w:line="360" w:lineRule="auto"/>
        <w:rPr>
          <w:rFonts w:eastAsia="Times New Roman" w:cs="Tahoma"/>
          <w:bCs/>
          <w:iCs/>
          <w:color w:val="000000"/>
          <w:lang w:val="es-ES" w:eastAsia="es-ES"/>
        </w:rPr>
      </w:pPr>
      <w:r>
        <w:rPr>
          <w:rFonts w:eastAsia="Times New Roman" w:cs="Tahoma"/>
          <w:bCs/>
          <w:iCs/>
          <w:color w:val="000000"/>
          <w:lang w:val="es-ES" w:eastAsia="es-ES"/>
        </w:rPr>
        <w:t>Que l</w:t>
      </w:r>
      <w:r w:rsidRPr="00976E2D" w:rsidR="00976E2D">
        <w:rPr>
          <w:rFonts w:eastAsia="Times New Roman" w:cs="Tahoma"/>
          <w:bCs/>
          <w:iCs/>
          <w:color w:val="000000"/>
          <w:lang w:val="es-ES" w:eastAsia="es-ES"/>
        </w:rPr>
        <w:t xml:space="preserve">os </w:t>
      </w:r>
      <w:r w:rsidR="00976E2D">
        <w:rPr>
          <w:rFonts w:eastAsia="Times New Roman" w:cs="Tahoma"/>
          <w:bCs/>
          <w:iCs/>
          <w:color w:val="000000"/>
          <w:lang w:val="es-ES" w:eastAsia="es-ES"/>
        </w:rPr>
        <w:t>P</w:t>
      </w:r>
      <w:r w:rsidRPr="00976E2D" w:rsidR="00976E2D">
        <w:rPr>
          <w:rFonts w:eastAsia="Times New Roman" w:cs="Tahoma"/>
          <w:bCs/>
          <w:iCs/>
          <w:color w:val="000000"/>
          <w:lang w:val="es-ES" w:eastAsia="es-ES"/>
        </w:rPr>
        <w:t xml:space="preserve">ermisionarios que requieran de la compra de los formatos “Cupón para la Venta de Agua Potable en Pipa”, deberán de cumplir con los requisitos establecidos en el artículo 150 </w:t>
      </w:r>
      <w:proofErr w:type="spellStart"/>
      <w:r w:rsidRPr="00976E2D" w:rsidR="00976E2D">
        <w:rPr>
          <w:rFonts w:eastAsia="Times New Roman" w:cs="Tahoma"/>
          <w:bCs/>
          <w:iCs/>
          <w:color w:val="000000"/>
          <w:lang w:val="es-ES" w:eastAsia="es-ES"/>
        </w:rPr>
        <w:t>Quáter</w:t>
      </w:r>
      <w:proofErr w:type="spellEnd"/>
      <w:r w:rsidRPr="00976E2D" w:rsidR="00976E2D">
        <w:rPr>
          <w:rFonts w:eastAsia="Times New Roman" w:cs="Tahoma"/>
          <w:bCs/>
          <w:iCs/>
          <w:color w:val="000000"/>
          <w:lang w:val="es-ES" w:eastAsia="es-ES"/>
        </w:rPr>
        <w:t xml:space="preserve"> de la Ley del Agua para el Estado de México y Municipios, </w:t>
      </w:r>
      <w:r>
        <w:rPr>
          <w:rFonts w:eastAsia="Times New Roman" w:cs="Tahoma"/>
          <w:bCs/>
          <w:iCs/>
          <w:color w:val="000000"/>
          <w:lang w:val="es-ES" w:eastAsia="es-ES"/>
        </w:rPr>
        <w:t xml:space="preserve">y </w:t>
      </w:r>
      <w:r w:rsidRPr="00976E2D" w:rsidR="00976E2D">
        <w:rPr>
          <w:rFonts w:eastAsia="Times New Roman" w:cs="Tahoma"/>
          <w:bCs/>
          <w:iCs/>
          <w:color w:val="000000"/>
          <w:lang w:val="es-ES" w:eastAsia="es-ES"/>
        </w:rPr>
        <w:t>de la Norma Técnica NTE-001-CTAEM-APP-2016</w:t>
      </w:r>
      <w:r w:rsidR="00976E2D">
        <w:rPr>
          <w:rFonts w:eastAsia="Times New Roman" w:cs="Tahoma"/>
          <w:bCs/>
          <w:iCs/>
          <w:color w:val="000000"/>
          <w:lang w:val="es-ES" w:eastAsia="es-ES"/>
        </w:rPr>
        <w:t xml:space="preserve">, entre ellos, </w:t>
      </w:r>
      <w:r w:rsidRPr="00976E2D" w:rsidR="00976E2D">
        <w:rPr>
          <w:rFonts w:eastAsia="Times New Roman" w:cs="Tahoma"/>
          <w:b/>
          <w:bCs/>
          <w:iCs/>
          <w:color w:val="000000"/>
          <w:lang w:val="es-ES" w:eastAsia="es-ES"/>
        </w:rPr>
        <w:t>exhibir póliza de seguro de fianza que garantice el pago de daños a tercero</w:t>
      </w:r>
      <w:r w:rsidR="00976E2D">
        <w:rPr>
          <w:rFonts w:eastAsia="Times New Roman" w:cs="Tahoma"/>
          <w:b/>
          <w:bCs/>
          <w:iCs/>
          <w:color w:val="000000"/>
          <w:lang w:val="es-ES" w:eastAsia="es-ES"/>
        </w:rPr>
        <w:t>s, por la distribución de agua</w:t>
      </w:r>
      <w:r w:rsidRPr="00976E2D" w:rsidR="00976E2D">
        <w:rPr>
          <w:rFonts w:eastAsia="Times New Roman" w:cs="Tahoma"/>
          <w:b/>
          <w:bCs/>
          <w:iCs/>
          <w:color w:val="000000"/>
          <w:lang w:val="es-ES" w:eastAsia="es-ES"/>
        </w:rPr>
        <w:t xml:space="preserve"> que no cumpla con la calidad que esta</w:t>
      </w:r>
      <w:r w:rsidR="00976E2D">
        <w:rPr>
          <w:rFonts w:eastAsia="Times New Roman" w:cs="Tahoma"/>
          <w:b/>
          <w:bCs/>
          <w:iCs/>
          <w:color w:val="000000"/>
          <w:lang w:val="es-ES" w:eastAsia="es-ES"/>
        </w:rPr>
        <w:t>blece la Norma Oficial Mexicana</w:t>
      </w:r>
      <w:r>
        <w:rPr>
          <w:rFonts w:eastAsia="Times New Roman" w:cs="Tahoma"/>
          <w:b/>
          <w:bCs/>
          <w:iCs/>
          <w:color w:val="000000"/>
          <w:lang w:val="es-ES" w:eastAsia="es-ES"/>
        </w:rPr>
        <w:t xml:space="preserve"> </w:t>
      </w:r>
      <w:r w:rsidRPr="00142A36">
        <w:rPr>
          <w:rFonts w:eastAsia="Times New Roman" w:cs="Tahoma"/>
          <w:b/>
          <w:bCs/>
          <w:iCs/>
          <w:color w:val="000000"/>
          <w:lang w:eastAsia="es-ES"/>
        </w:rPr>
        <w:t>NOM-127-SSA1-1994</w:t>
      </w:r>
      <w:r w:rsidR="00976E2D">
        <w:rPr>
          <w:rFonts w:eastAsia="Times New Roman" w:cs="Tahoma"/>
          <w:b/>
          <w:bCs/>
          <w:iCs/>
          <w:color w:val="000000"/>
          <w:lang w:val="es-ES" w:eastAsia="es-ES"/>
        </w:rPr>
        <w:t>.</w:t>
      </w:r>
    </w:p>
    <w:p w:rsidRPr="00943F9F" w:rsidR="00943F9F" w:rsidP="00943F9F" w:rsidRDefault="00943F9F" w14:paraId="1D327068" w14:textId="77777777">
      <w:pPr>
        <w:pStyle w:val="Prrafodelista"/>
        <w:rPr>
          <w:rFonts w:eastAsia="Times New Roman" w:cs="Tahoma"/>
          <w:bCs/>
          <w:iCs/>
          <w:color w:val="000000"/>
          <w:lang w:val="es-ES" w:eastAsia="es-ES"/>
        </w:rPr>
      </w:pPr>
    </w:p>
    <w:p w:rsidRPr="00943F9F" w:rsidR="006678F5" w:rsidP="009617AE" w:rsidRDefault="00943F9F" w14:paraId="5E3E5DCD" w14:textId="145A06C7">
      <w:pPr>
        <w:pStyle w:val="Prrafodelista"/>
        <w:numPr>
          <w:ilvl w:val="0"/>
          <w:numId w:val="5"/>
        </w:numPr>
        <w:spacing w:after="0" w:line="360" w:lineRule="auto"/>
        <w:rPr>
          <w:rFonts w:eastAsia="Calibri" w:cs="Tahoma"/>
          <w:iCs/>
          <w:color w:val="auto"/>
          <w:lang w:val="es-ES" w:eastAsia="es-ES_tradnl"/>
        </w:rPr>
      </w:pPr>
      <w:r w:rsidRPr="00943F9F">
        <w:rPr>
          <w:rFonts w:eastAsia="Times New Roman" w:cs="Tahoma"/>
          <w:bCs/>
          <w:iCs/>
          <w:color w:val="000000"/>
          <w:lang w:val="es-ES" w:eastAsia="es-ES"/>
        </w:rPr>
        <w:t xml:space="preserve">Que </w:t>
      </w:r>
      <w:r>
        <w:rPr>
          <w:rFonts w:eastAsia="Times New Roman" w:cs="Tahoma"/>
          <w:bCs/>
          <w:iCs/>
          <w:color w:val="000000"/>
          <w:lang w:val="es-ES" w:eastAsia="es-ES"/>
        </w:rPr>
        <w:t>se</w:t>
      </w:r>
      <w:r>
        <w:rPr>
          <w:rFonts w:eastAsia="Times New Roman" w:cs="Tahoma"/>
          <w:bCs/>
          <w:iCs/>
          <w:color w:val="000000"/>
          <w:lang w:eastAsia="es-ES"/>
        </w:rPr>
        <w:t xml:space="preserve"> tenía </w:t>
      </w:r>
      <w:r w:rsidRPr="00943F9F">
        <w:rPr>
          <w:rFonts w:eastAsia="Times New Roman" w:cs="Tahoma"/>
          <w:b/>
          <w:iCs/>
          <w:color w:val="000000"/>
          <w:lang w:eastAsia="es-ES"/>
        </w:rPr>
        <w:t>registrado</w:t>
      </w:r>
      <w:r w:rsidRPr="00943F9F" w:rsidR="00661E07">
        <w:rPr>
          <w:rFonts w:eastAsia="Times New Roman" w:cs="Tahoma"/>
          <w:b/>
          <w:iCs/>
          <w:color w:val="000000"/>
          <w:lang w:eastAsia="es-ES"/>
        </w:rPr>
        <w:t xml:space="preserve"> ante </w:t>
      </w:r>
      <w:r>
        <w:rPr>
          <w:rFonts w:eastAsia="Times New Roman" w:cs="Tahoma"/>
          <w:b/>
          <w:iCs/>
          <w:color w:val="000000"/>
          <w:lang w:eastAsia="es-ES"/>
        </w:rPr>
        <w:t xml:space="preserve">la </w:t>
      </w:r>
      <w:r w:rsidRPr="00943F9F">
        <w:rPr>
          <w:rFonts w:eastAsia="Times New Roman" w:cs="Tahoma"/>
          <w:b/>
          <w:bCs/>
          <w:iCs/>
          <w:color w:val="000000"/>
          <w:lang w:val="x-none" w:eastAsia="es-ES"/>
        </w:rPr>
        <w:t>Gerencia Regional Texcoco</w:t>
      </w:r>
      <w:r>
        <w:rPr>
          <w:rFonts w:eastAsia="Times New Roman" w:cs="Tahoma"/>
          <w:b/>
          <w:bCs/>
          <w:iCs/>
          <w:color w:val="000000"/>
          <w:lang w:eastAsia="es-ES"/>
        </w:rPr>
        <w:t xml:space="preserve"> de la</w:t>
      </w:r>
      <w:r w:rsidRPr="00943F9F" w:rsidR="00661E07">
        <w:rPr>
          <w:rFonts w:eastAsia="Times New Roman" w:cs="Tahoma"/>
          <w:b/>
          <w:bCs/>
          <w:iCs/>
          <w:color w:val="000000"/>
          <w:lang w:eastAsia="es-ES"/>
        </w:rPr>
        <w:t xml:space="preserve"> Comisión del Agua del Estado de México</w:t>
      </w:r>
      <w:r>
        <w:rPr>
          <w:rFonts w:eastAsia="Times New Roman" w:cs="Tahoma"/>
          <w:b/>
          <w:bCs/>
          <w:iCs/>
          <w:color w:val="000000"/>
          <w:lang w:eastAsia="es-ES"/>
        </w:rPr>
        <w:t>, un</w:t>
      </w:r>
      <w:r w:rsidRPr="00943F9F" w:rsidR="00661E07">
        <w:rPr>
          <w:rFonts w:eastAsia="Times New Roman" w:cs="Tahoma"/>
          <w:b/>
          <w:bCs/>
          <w:iCs/>
          <w:color w:val="000000"/>
          <w:lang w:eastAsia="es-ES"/>
        </w:rPr>
        <w:t>a fianza con Aseguradora Aserta S.A. de C.V., la cual t</w:t>
      </w:r>
      <w:r>
        <w:rPr>
          <w:rFonts w:eastAsia="Times New Roman" w:cs="Tahoma"/>
          <w:b/>
          <w:bCs/>
          <w:iCs/>
          <w:color w:val="000000"/>
          <w:lang w:eastAsia="es-ES"/>
        </w:rPr>
        <w:t>enía</w:t>
      </w:r>
      <w:r w:rsidRPr="00943F9F" w:rsidR="00661E07">
        <w:rPr>
          <w:rFonts w:eastAsia="Times New Roman" w:cs="Tahoma"/>
          <w:b/>
          <w:bCs/>
          <w:iCs/>
          <w:color w:val="000000"/>
          <w:lang w:eastAsia="es-ES"/>
        </w:rPr>
        <w:t xml:space="preserve"> por objeto garantizar el pago de daños a terceros por la distribución de agua potable que no cumpla con la calidad que establece la NOM-127-SSAI-1994.</w:t>
      </w:r>
    </w:p>
    <w:p w:rsidRPr="006678F5" w:rsidR="006678F5" w:rsidP="00FE73D0" w:rsidRDefault="006678F5" w14:paraId="7FB1E250" w14:textId="7DFDD1A2">
      <w:pPr>
        <w:spacing w:after="0" w:line="360" w:lineRule="auto"/>
        <w:rPr>
          <w:rFonts w:eastAsia="Calibri" w:cs="Tahoma"/>
          <w:color w:val="auto"/>
          <w:lang w:val="es-ES" w:eastAsia="es-ES_tradnl"/>
        </w:rPr>
      </w:pPr>
      <w:r w:rsidRPr="006678F5">
        <w:rPr>
          <w:rFonts w:eastAsia="Calibri" w:cs="Tahoma"/>
          <w:color w:val="auto"/>
          <w:lang w:val="es-ES" w:eastAsia="es-ES_tradnl"/>
        </w:rPr>
        <w:t>Lo anterior, se desprende de las documentales que obran en el expediente de referencia, materia del presente Medio de Impugnación, consistentes en: la solicitud de acceso a la información</w:t>
      </w:r>
      <w:r w:rsidRPr="006678F5">
        <w:rPr>
          <w:rFonts w:eastAsia="Calibri" w:cs="Tahoma"/>
          <w:bCs/>
          <w:color w:val="auto"/>
          <w:lang w:val="es-ES" w:eastAsia="es-ES_tradnl"/>
        </w:rPr>
        <w:t xml:space="preserve">; la respuesta del Sujeto Obligado; el </w:t>
      </w:r>
      <w:r w:rsidRPr="006678F5">
        <w:rPr>
          <w:rFonts w:eastAsia="Calibri" w:cs="Tahoma"/>
          <w:color w:val="auto"/>
          <w:lang w:val="es-ES" w:eastAsia="es-ES_tradnl"/>
        </w:rPr>
        <w:t>escrito recursal</w:t>
      </w:r>
      <w:r w:rsidR="00070DBD">
        <w:rPr>
          <w:rFonts w:eastAsia="Calibri" w:cs="Tahoma"/>
          <w:color w:val="auto"/>
          <w:lang w:val="es-ES" w:eastAsia="es-ES_tradnl"/>
        </w:rPr>
        <w:t xml:space="preserve"> y</w:t>
      </w:r>
      <w:r w:rsidRPr="006678F5">
        <w:rPr>
          <w:rFonts w:eastAsia="Calibri" w:cs="Tahoma"/>
          <w:color w:val="auto"/>
          <w:lang w:val="es-ES" w:eastAsia="es-ES_tradnl"/>
        </w:rPr>
        <w:t xml:space="preserve">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6678F5" w:rsidP="00FE73D0" w:rsidRDefault="006678F5" w14:paraId="664406EE" w14:textId="5CC2AB00">
      <w:pPr>
        <w:autoSpaceDE w:val="0"/>
        <w:autoSpaceDN w:val="0"/>
        <w:adjustRightInd w:val="0"/>
        <w:spacing w:after="0" w:line="360" w:lineRule="auto"/>
        <w:rPr>
          <w:rFonts w:eastAsia="Calibri" w:cs="Tahoma"/>
          <w:color w:val="000000"/>
          <w:lang w:val="es-ES" w:eastAsia="es-MX"/>
        </w:rPr>
      </w:pPr>
    </w:p>
    <w:p w:rsidRPr="00943F9F" w:rsidR="00943F9F" w:rsidP="00943F9F" w:rsidRDefault="00943F9F" w14:paraId="154F1608" w14:textId="77777777">
      <w:pPr>
        <w:spacing w:after="0" w:line="360" w:lineRule="auto"/>
        <w:rPr>
          <w:rFonts w:eastAsia="Times New Roman" w:cs="Tahoma"/>
          <w:b/>
          <w:bCs/>
          <w:iCs/>
          <w:color w:val="auto"/>
          <w:lang w:eastAsia="es-ES"/>
        </w:rPr>
      </w:pPr>
      <w:r w:rsidRPr="00943F9F">
        <w:rPr>
          <w:rFonts w:eastAsia="Times New Roman" w:cs="Tahoma"/>
          <w:b/>
          <w:bCs/>
          <w:iCs/>
          <w:color w:val="auto"/>
          <w:lang w:eastAsia="es-ES"/>
        </w:rPr>
        <w:t>CUARTO. Marco normativo aplicable en materia de transparencia y acceso a la información pública.</w:t>
      </w:r>
    </w:p>
    <w:p w:rsidRPr="00943F9F" w:rsidR="00943F9F" w:rsidP="00943F9F" w:rsidRDefault="00943F9F" w14:paraId="160CFB3D" w14:textId="77777777">
      <w:pPr>
        <w:autoSpaceDE w:val="0"/>
        <w:autoSpaceDN w:val="0"/>
        <w:adjustRightInd w:val="0"/>
        <w:spacing w:after="0" w:line="360" w:lineRule="auto"/>
        <w:rPr>
          <w:rFonts w:eastAsia="Times New Roman" w:cs="Tahoma"/>
          <w:bCs/>
          <w:iCs/>
          <w:color w:val="auto"/>
          <w:lang w:eastAsia="es-ES"/>
        </w:rPr>
      </w:pPr>
    </w:p>
    <w:p w:rsidRPr="00943F9F" w:rsidR="00943F9F" w:rsidP="00943F9F" w:rsidRDefault="00943F9F" w14:paraId="0B0F0DD5" w14:textId="77777777">
      <w:pPr>
        <w:widowControl w:val="0"/>
        <w:spacing w:after="0" w:line="360" w:lineRule="auto"/>
        <w:rPr>
          <w:rFonts w:eastAsia="Times New Roman" w:cs="Tahoma"/>
          <w:bCs/>
          <w:iCs/>
          <w:color w:val="auto"/>
          <w:lang w:eastAsia="es-ES"/>
        </w:rPr>
      </w:pPr>
      <w:r w:rsidRPr="00943F9F">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43F9F" w:rsidR="00943F9F" w:rsidP="00943F9F" w:rsidRDefault="00943F9F" w14:paraId="5B926078" w14:textId="77777777">
      <w:pPr>
        <w:spacing w:after="0" w:line="360" w:lineRule="auto"/>
        <w:rPr>
          <w:rFonts w:eastAsia="Times New Roman" w:cs="Tahoma"/>
          <w:bCs/>
          <w:iCs/>
          <w:color w:val="auto"/>
          <w:lang w:eastAsia="es-ES"/>
        </w:rPr>
      </w:pPr>
    </w:p>
    <w:p w:rsidRPr="00943F9F" w:rsidR="00943F9F" w:rsidP="00943F9F" w:rsidRDefault="00943F9F" w14:paraId="198BCF5C" w14:textId="77777777">
      <w:pPr>
        <w:spacing w:after="0" w:line="360" w:lineRule="auto"/>
        <w:rPr>
          <w:rFonts w:eastAsia="Times New Roman" w:cs="Tahoma"/>
          <w:bCs/>
          <w:iCs/>
          <w:color w:val="auto"/>
          <w:lang w:eastAsia="es-ES"/>
        </w:rPr>
      </w:pPr>
      <w:r w:rsidRPr="00943F9F">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43F9F" w:rsidR="00943F9F" w:rsidP="00943F9F" w:rsidRDefault="00943F9F" w14:paraId="239EC840" w14:textId="77777777">
      <w:pPr>
        <w:spacing w:after="0" w:line="360" w:lineRule="auto"/>
        <w:rPr>
          <w:rFonts w:eastAsia="Times New Roman" w:cs="Tahoma"/>
          <w:bCs/>
          <w:iCs/>
          <w:color w:val="auto"/>
          <w:lang w:eastAsia="es-ES"/>
        </w:rPr>
      </w:pPr>
    </w:p>
    <w:p w:rsidRPr="00943F9F" w:rsidR="00943F9F" w:rsidP="00943F9F" w:rsidRDefault="00943F9F" w14:paraId="1D751233" w14:textId="77777777">
      <w:pPr>
        <w:spacing w:after="0" w:line="360" w:lineRule="auto"/>
        <w:rPr>
          <w:rFonts w:eastAsia="Times New Roman" w:cs="Tahoma"/>
          <w:bCs/>
          <w:iCs/>
          <w:color w:val="auto"/>
          <w:lang w:eastAsia="es-ES"/>
        </w:rPr>
      </w:pPr>
      <w:r w:rsidRPr="00943F9F">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43F9F" w:rsidR="00943F9F" w:rsidP="00943F9F" w:rsidRDefault="00943F9F" w14:paraId="2F47E4ED" w14:textId="77777777">
      <w:pPr>
        <w:spacing w:after="0" w:line="360" w:lineRule="auto"/>
        <w:rPr>
          <w:rFonts w:eastAsia="Times New Roman" w:cs="Tahoma"/>
          <w:bCs/>
          <w:iCs/>
          <w:color w:val="auto"/>
          <w:lang w:eastAsia="es-ES"/>
        </w:rPr>
      </w:pPr>
    </w:p>
    <w:p w:rsidRPr="00943F9F" w:rsidR="00943F9F" w:rsidP="00943F9F" w:rsidRDefault="00943F9F" w14:paraId="74262CFD" w14:textId="77777777">
      <w:pPr>
        <w:spacing w:after="0" w:line="360" w:lineRule="auto"/>
        <w:rPr>
          <w:rFonts w:eastAsia="Times New Roman" w:cs="Tahoma"/>
          <w:bCs/>
          <w:iCs/>
          <w:color w:val="auto"/>
          <w:lang w:eastAsia="es-ES"/>
        </w:rPr>
      </w:pPr>
      <w:r w:rsidRPr="00943F9F">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943F9F" w:rsidR="00943F9F" w:rsidP="00943F9F" w:rsidRDefault="00943F9F" w14:paraId="7798DE64" w14:textId="77777777">
      <w:pPr>
        <w:spacing w:after="0" w:line="360" w:lineRule="auto"/>
        <w:rPr>
          <w:rFonts w:eastAsia="Times New Roman" w:cs="Tahoma"/>
          <w:bCs/>
          <w:iCs/>
          <w:color w:val="auto"/>
          <w:lang w:eastAsia="es-ES"/>
        </w:rPr>
      </w:pPr>
    </w:p>
    <w:p w:rsidRPr="00943F9F" w:rsidR="00943F9F" w:rsidP="00943F9F" w:rsidRDefault="00943F9F" w14:paraId="3E98A587" w14:textId="77777777">
      <w:pPr>
        <w:spacing w:after="0" w:line="360" w:lineRule="auto"/>
        <w:rPr>
          <w:rFonts w:eastAsia="Times New Roman" w:cs="Tahoma"/>
          <w:bCs/>
          <w:iCs/>
          <w:color w:val="auto"/>
          <w:lang w:eastAsia="es-ES"/>
        </w:rPr>
      </w:pPr>
      <w:r w:rsidRPr="00943F9F">
        <w:rPr>
          <w:rFonts w:eastAsia="Times New Roman" w:cs="Tahoma"/>
          <w:bCs/>
          <w:iCs/>
          <w:color w:val="auto"/>
          <w:lang w:eastAsia="es-ES"/>
        </w:rPr>
        <w:t>El artículo 12, que, quienes generen, recopilen, administren, manejen, procesen, archiven o conserven información pública serán responsables de la misma.</w:t>
      </w:r>
    </w:p>
    <w:p w:rsidRPr="00943F9F" w:rsidR="00943F9F" w:rsidP="00943F9F" w:rsidRDefault="00943F9F" w14:paraId="011307FC" w14:textId="77777777">
      <w:pPr>
        <w:spacing w:after="0" w:line="360" w:lineRule="auto"/>
        <w:rPr>
          <w:rFonts w:eastAsia="Times New Roman" w:cs="Tahoma"/>
          <w:bCs/>
          <w:iCs/>
          <w:color w:val="auto"/>
          <w:lang w:eastAsia="es-ES"/>
        </w:rPr>
      </w:pPr>
    </w:p>
    <w:p w:rsidRPr="00943F9F" w:rsidR="00943F9F" w:rsidP="00943F9F" w:rsidRDefault="00943F9F" w14:paraId="5225FD27" w14:textId="77777777">
      <w:pPr>
        <w:spacing w:after="0" w:line="360" w:lineRule="auto"/>
        <w:rPr>
          <w:rFonts w:eastAsia="Times New Roman" w:cs="Tahoma"/>
          <w:bCs/>
          <w:iCs/>
          <w:color w:val="auto"/>
          <w:lang w:eastAsia="es-ES"/>
        </w:rPr>
      </w:pPr>
      <w:r w:rsidRPr="00943F9F">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943F9F" w:rsidR="00943F9F" w:rsidP="00943F9F" w:rsidRDefault="00943F9F" w14:paraId="166D9A43" w14:textId="77777777">
      <w:pPr>
        <w:spacing w:after="0" w:line="360" w:lineRule="auto"/>
        <w:rPr>
          <w:rFonts w:eastAsia="Times New Roman" w:cs="Tahoma"/>
          <w:bCs/>
          <w:iCs/>
          <w:color w:val="auto"/>
          <w:lang w:eastAsia="es-ES"/>
        </w:rPr>
      </w:pPr>
    </w:p>
    <w:p w:rsidRPr="00943F9F" w:rsidR="00943F9F" w:rsidP="00943F9F" w:rsidRDefault="00943F9F" w14:paraId="05C3BA29" w14:textId="77777777">
      <w:pPr>
        <w:spacing w:after="0" w:line="360" w:lineRule="auto"/>
        <w:rPr>
          <w:rFonts w:eastAsia="Times New Roman" w:cs="Tahoma"/>
          <w:bCs/>
          <w:iCs/>
          <w:color w:val="auto"/>
          <w:lang w:eastAsia="es-ES"/>
        </w:rPr>
      </w:pPr>
      <w:r w:rsidRPr="00943F9F">
        <w:rPr>
          <w:rFonts w:eastAsia="Times New Roman" w:cs="Tahoma"/>
          <w:bCs/>
          <w:iCs/>
          <w:color w:val="auto"/>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43F9F" w:rsidR="00943F9F" w:rsidP="00943F9F" w:rsidRDefault="00943F9F" w14:paraId="40C964C0" w14:textId="77777777">
      <w:pPr>
        <w:spacing w:after="0" w:line="360" w:lineRule="auto"/>
        <w:rPr>
          <w:rFonts w:eastAsia="Times New Roman" w:cs="Tahoma"/>
          <w:bCs/>
          <w:iCs/>
          <w:color w:val="auto"/>
          <w:lang w:eastAsia="es-ES"/>
        </w:rPr>
      </w:pPr>
    </w:p>
    <w:p w:rsidRPr="00943F9F" w:rsidR="00943F9F" w:rsidP="00943F9F" w:rsidRDefault="00943F9F" w14:paraId="092AF9E3" w14:textId="77777777">
      <w:pPr>
        <w:spacing w:after="0" w:line="360" w:lineRule="auto"/>
        <w:rPr>
          <w:rFonts w:eastAsia="Times New Roman" w:cs="Tahoma"/>
          <w:bCs/>
          <w:iCs/>
          <w:color w:val="auto"/>
          <w:lang w:eastAsia="es-ES"/>
        </w:rPr>
      </w:pPr>
      <w:r w:rsidRPr="00943F9F">
        <w:rPr>
          <w:rFonts w:eastAsia="Calibri" w:cs="Tahoma"/>
          <w:color w:val="auto"/>
          <w:lang w:val="es-ES" w:eastAsia="es-ES_tradnl"/>
        </w:rPr>
        <w:t>El artículo 92, enlista la información que corresponde a las Obligaciones de Transparencia Comunes de las que destaca la contenida en la fracción XXIX, concerniente a la información sobre los procesos y resultados sobre procedimientos de contratación, que incluya la versión pública del expediente respectivo y de los contratos celebrados.</w:t>
      </w:r>
    </w:p>
    <w:p w:rsidRPr="00943F9F" w:rsidR="00943F9F" w:rsidP="00943F9F" w:rsidRDefault="00943F9F" w14:paraId="50C12EAA" w14:textId="77777777">
      <w:pPr>
        <w:spacing w:after="0" w:line="360" w:lineRule="auto"/>
        <w:rPr>
          <w:rFonts w:eastAsia="Times New Roman" w:cs="Tahoma"/>
          <w:bCs/>
          <w:iCs/>
          <w:color w:val="auto"/>
          <w:lang w:eastAsia="es-ES"/>
        </w:rPr>
      </w:pPr>
    </w:p>
    <w:p w:rsidRPr="00943F9F" w:rsidR="00943F9F" w:rsidP="00943F9F" w:rsidRDefault="00943F9F" w14:paraId="1E280840" w14:textId="77777777">
      <w:pPr>
        <w:spacing w:after="0" w:line="360" w:lineRule="auto"/>
        <w:rPr>
          <w:rFonts w:eastAsia="Times New Roman" w:cs="Tahoma"/>
          <w:b/>
          <w:bCs/>
          <w:iCs/>
          <w:color w:val="auto"/>
          <w:lang w:eastAsia="es-ES"/>
        </w:rPr>
      </w:pPr>
      <w:r w:rsidRPr="00943F9F">
        <w:rPr>
          <w:rFonts w:eastAsia="Times New Roman" w:cs="Tahoma"/>
          <w:b/>
          <w:bCs/>
          <w:iCs/>
          <w:color w:val="auto"/>
          <w:lang w:eastAsia="es-ES"/>
        </w:rPr>
        <w:t>Quinto. Estudio de Fondo.</w:t>
      </w:r>
    </w:p>
    <w:p w:rsidR="00943F9F" w:rsidP="00FE73D0" w:rsidRDefault="00943F9F" w14:paraId="33270D5F" w14:textId="7C38BE57">
      <w:pPr>
        <w:autoSpaceDE w:val="0"/>
        <w:autoSpaceDN w:val="0"/>
        <w:adjustRightInd w:val="0"/>
        <w:spacing w:after="0" w:line="360" w:lineRule="auto"/>
        <w:rPr>
          <w:rFonts w:eastAsia="Calibri" w:cs="Tahoma"/>
          <w:color w:val="000000"/>
          <w:lang w:val="es-ES" w:eastAsia="es-MX"/>
        </w:rPr>
      </w:pPr>
    </w:p>
    <w:p w:rsidR="00943F9F" w:rsidP="00FE73D0" w:rsidRDefault="00943F9F" w14:paraId="27EAFEBA" w14:textId="53ADA20F">
      <w:pPr>
        <w:autoSpaceDE w:val="0"/>
        <w:autoSpaceDN w:val="0"/>
        <w:adjustRightInd w:val="0"/>
        <w:spacing w:after="0" w:line="360" w:lineRule="auto"/>
        <w:rPr>
          <w:rFonts w:cs="Tahoma"/>
          <w:bCs/>
          <w:iCs/>
        </w:rPr>
      </w:pPr>
      <w:r>
        <w:rPr>
          <w:rFonts w:cs="Tahoma"/>
          <w:bCs/>
          <w:iCs/>
        </w:rPr>
        <w:t>Expuestas las posturas de las partes, resulta necesario contextualizar la solicitud de información, referente</w:t>
      </w:r>
      <w:r w:rsidR="00C444D4">
        <w:rPr>
          <w:rFonts w:cs="Tahoma"/>
          <w:bCs/>
          <w:iCs/>
        </w:rPr>
        <w:t xml:space="preserve"> a</w:t>
      </w:r>
      <w:r>
        <w:rPr>
          <w:rFonts w:cs="Tahoma"/>
          <w:bCs/>
          <w:iCs/>
        </w:rPr>
        <w:t xml:space="preserve"> </w:t>
      </w:r>
      <w:r w:rsidR="00C444D4">
        <w:rPr>
          <w:rFonts w:eastAsia="Calibri" w:cs="Tahoma"/>
          <w:color w:val="000000"/>
          <w:szCs w:val="24"/>
          <w:lang w:eastAsia="es-MX"/>
        </w:rPr>
        <w:t xml:space="preserve">productos de seguros o fianzas que tengan por objeto garantizar el pago de daños </w:t>
      </w:r>
      <w:r w:rsidRPr="00CB1E1B" w:rsidR="00C444D4">
        <w:rPr>
          <w:rFonts w:eastAsia="Times New Roman" w:cs="Tahoma"/>
          <w:iCs/>
          <w:color w:val="auto"/>
          <w:lang w:val="es-ES" w:eastAsia="es-ES"/>
        </w:rPr>
        <w:t xml:space="preserve">a terceros por la distribución de agua potable que no cumpla con la calidad que establece la </w:t>
      </w:r>
      <w:r w:rsidR="00C444D4">
        <w:rPr>
          <w:rFonts w:eastAsia="Times New Roman" w:cs="Tahoma"/>
          <w:iCs/>
          <w:color w:val="auto"/>
          <w:lang w:val="es-ES" w:eastAsia="es-ES"/>
        </w:rPr>
        <w:t>N</w:t>
      </w:r>
      <w:r w:rsidRPr="00CB1E1B" w:rsidR="00C444D4">
        <w:rPr>
          <w:rFonts w:eastAsia="Times New Roman" w:cs="Tahoma"/>
          <w:iCs/>
          <w:color w:val="auto"/>
          <w:lang w:val="es-ES" w:eastAsia="es-ES"/>
        </w:rPr>
        <w:t xml:space="preserve">orma </w:t>
      </w:r>
      <w:r w:rsidR="00C444D4">
        <w:rPr>
          <w:rFonts w:eastAsia="Times New Roman" w:cs="Tahoma"/>
          <w:iCs/>
          <w:color w:val="auto"/>
          <w:lang w:val="es-ES" w:eastAsia="es-ES"/>
        </w:rPr>
        <w:t>O</w:t>
      </w:r>
      <w:r w:rsidRPr="00CB1E1B" w:rsidR="00C444D4">
        <w:rPr>
          <w:rFonts w:eastAsia="Times New Roman" w:cs="Tahoma"/>
          <w:iCs/>
          <w:color w:val="auto"/>
          <w:lang w:val="es-ES" w:eastAsia="es-ES"/>
        </w:rPr>
        <w:t>ficial</w:t>
      </w:r>
      <w:r w:rsidR="00C444D4">
        <w:rPr>
          <w:rFonts w:eastAsia="Times New Roman" w:cs="Tahoma"/>
          <w:iCs/>
          <w:color w:val="auto"/>
          <w:lang w:val="es-ES" w:eastAsia="es-ES"/>
        </w:rPr>
        <w:t xml:space="preserve"> Mexicana</w:t>
      </w:r>
      <w:r w:rsidRPr="00CB1E1B" w:rsidR="00C444D4">
        <w:rPr>
          <w:rFonts w:eastAsia="Times New Roman" w:cs="Tahoma"/>
          <w:iCs/>
          <w:color w:val="auto"/>
          <w:lang w:val="es-ES" w:eastAsia="es-ES"/>
        </w:rPr>
        <w:t xml:space="preserve"> NOM-127-SSA1-1994</w:t>
      </w:r>
      <w:r w:rsidR="00C444D4">
        <w:rPr>
          <w:rFonts w:cs="Tahoma"/>
          <w:bCs/>
          <w:iCs/>
        </w:rPr>
        <w:t>.</w:t>
      </w:r>
    </w:p>
    <w:p w:rsidR="00C444D4" w:rsidP="00FE73D0" w:rsidRDefault="00C444D4" w14:paraId="472EFDA1" w14:textId="70C4DDB4">
      <w:pPr>
        <w:autoSpaceDE w:val="0"/>
        <w:autoSpaceDN w:val="0"/>
        <w:adjustRightInd w:val="0"/>
        <w:spacing w:after="0" w:line="360" w:lineRule="auto"/>
        <w:rPr>
          <w:rFonts w:cs="Tahoma"/>
          <w:bCs/>
          <w:iCs/>
        </w:rPr>
      </w:pPr>
    </w:p>
    <w:p w:rsidR="00C444D4" w:rsidP="00FE73D0" w:rsidRDefault="00C444D4" w14:paraId="4B7A48E3" w14:textId="563669CE">
      <w:pPr>
        <w:autoSpaceDE w:val="0"/>
        <w:autoSpaceDN w:val="0"/>
        <w:adjustRightInd w:val="0"/>
        <w:spacing w:after="0" w:line="360" w:lineRule="auto"/>
      </w:pPr>
      <w:r>
        <w:rPr>
          <w:rFonts w:eastAsia="Calibri" w:cs="Tahoma"/>
          <w:color w:val="000000"/>
          <w:lang w:val="es-ES" w:eastAsia="es-MX"/>
        </w:rPr>
        <w:t>En ese sentido, se localizó la Norma Técnica Estatal para la Prestación del Servicio de Agua Potable en Pipa “</w:t>
      </w:r>
      <w:r>
        <w:t xml:space="preserve">NTE-001-CTAEM-APP-2016”, que </w:t>
      </w:r>
      <w:r w:rsidR="00874756">
        <w:t>precisa lo siguiente:</w:t>
      </w:r>
    </w:p>
    <w:p w:rsidR="00874756" w:rsidP="00FE73D0" w:rsidRDefault="00874756" w14:paraId="0085DE94" w14:textId="2AB885F8">
      <w:pPr>
        <w:autoSpaceDE w:val="0"/>
        <w:autoSpaceDN w:val="0"/>
        <w:adjustRightInd w:val="0"/>
        <w:spacing w:after="0" w:line="360" w:lineRule="auto"/>
      </w:pPr>
    </w:p>
    <w:p w:rsidRPr="00874756" w:rsidR="00874756" w:rsidP="00874756" w:rsidRDefault="00874756" w14:paraId="03F84966" w14:textId="5AE9C052">
      <w:pPr>
        <w:pStyle w:val="Prrafodelista"/>
        <w:numPr>
          <w:ilvl w:val="0"/>
          <w:numId w:val="13"/>
        </w:numPr>
        <w:autoSpaceDE w:val="0"/>
        <w:autoSpaceDN w:val="0"/>
        <w:adjustRightInd w:val="0"/>
        <w:spacing w:after="0" w:line="360" w:lineRule="auto"/>
        <w:rPr>
          <w:rFonts w:eastAsia="Calibri" w:cs="Tahoma"/>
          <w:b/>
          <w:bCs/>
          <w:color w:val="000000"/>
          <w:lang w:val="es-ES" w:eastAsia="es-MX"/>
        </w:rPr>
      </w:pPr>
      <w:r w:rsidRPr="00874756">
        <w:rPr>
          <w:rFonts w:eastAsia="Calibri" w:cs="Tahoma"/>
          <w:b/>
          <w:bCs/>
          <w:color w:val="000000"/>
          <w:lang w:val="es-ES" w:eastAsia="es-MX"/>
        </w:rPr>
        <w:t>(4.18):</w:t>
      </w:r>
      <w:r>
        <w:rPr>
          <w:rFonts w:eastAsia="Calibri" w:cs="Tahoma"/>
          <w:b/>
          <w:bCs/>
          <w:color w:val="000000"/>
          <w:lang w:val="es-ES" w:eastAsia="es-MX"/>
        </w:rPr>
        <w:t xml:space="preserve"> </w:t>
      </w:r>
      <w:r>
        <w:rPr>
          <w:rFonts w:eastAsia="Calibri" w:cs="Tahoma"/>
          <w:color w:val="000000"/>
          <w:lang w:val="es-ES" w:eastAsia="es-MX"/>
        </w:rPr>
        <w:t xml:space="preserve">Que la fianza es el contrato mediante el cual el permisionario se compromete con </w:t>
      </w:r>
      <w:r w:rsidR="00422AF8">
        <w:rPr>
          <w:rFonts w:eastAsia="Calibri" w:cs="Tahoma"/>
          <w:color w:val="000000"/>
          <w:lang w:val="es-ES" w:eastAsia="es-MX"/>
        </w:rPr>
        <w:t>la autoridad</w:t>
      </w:r>
      <w:r>
        <w:rPr>
          <w:rFonts w:eastAsia="Calibri" w:cs="Tahoma"/>
          <w:color w:val="000000"/>
          <w:lang w:val="es-ES" w:eastAsia="es-MX"/>
        </w:rPr>
        <w:t xml:space="preserve"> del agua, al pago de daños </w:t>
      </w:r>
      <w:r>
        <w:t>a terceros por la distribución de agua que no cumpla con la calidad que establece la Norma Oficial Mexicana</w:t>
      </w:r>
      <w:r w:rsidRPr="00874756">
        <w:rPr>
          <w:rFonts w:eastAsia="Calibri" w:cs="Tahoma"/>
          <w:color w:val="000000"/>
          <w:lang w:eastAsia="es-MX"/>
        </w:rPr>
        <w:t xml:space="preserve"> NOM-127-SSA1-1994</w:t>
      </w:r>
      <w:r>
        <w:rPr>
          <w:rFonts w:eastAsia="Calibri" w:cs="Tahoma"/>
          <w:color w:val="000000"/>
          <w:lang w:eastAsia="es-MX"/>
        </w:rPr>
        <w:t>.</w:t>
      </w:r>
    </w:p>
    <w:p w:rsidR="00874756" w:rsidP="00874756" w:rsidRDefault="00874756" w14:paraId="5C833797" w14:textId="77777777">
      <w:pPr>
        <w:pStyle w:val="Prrafodelista"/>
        <w:autoSpaceDE w:val="0"/>
        <w:autoSpaceDN w:val="0"/>
        <w:adjustRightInd w:val="0"/>
        <w:spacing w:after="0" w:line="360" w:lineRule="auto"/>
        <w:rPr>
          <w:rFonts w:eastAsia="Calibri" w:cs="Tahoma"/>
          <w:color w:val="000000"/>
          <w:lang w:val="es-ES" w:eastAsia="es-MX"/>
        </w:rPr>
      </w:pPr>
    </w:p>
    <w:p w:rsidRPr="00874756" w:rsidR="00874756" w:rsidP="00874756" w:rsidRDefault="00874756" w14:paraId="65BBB8AC" w14:textId="10146FA8">
      <w:pPr>
        <w:pStyle w:val="Prrafodelista"/>
        <w:numPr>
          <w:ilvl w:val="0"/>
          <w:numId w:val="13"/>
        </w:numPr>
        <w:autoSpaceDE w:val="0"/>
        <w:autoSpaceDN w:val="0"/>
        <w:adjustRightInd w:val="0"/>
        <w:spacing w:after="0" w:line="360" w:lineRule="auto"/>
        <w:rPr>
          <w:rFonts w:eastAsia="Calibri" w:cs="Tahoma"/>
          <w:b/>
          <w:bCs/>
          <w:color w:val="000000"/>
          <w:lang w:val="es-ES" w:eastAsia="es-MX"/>
        </w:rPr>
      </w:pPr>
      <w:r w:rsidRPr="00874756">
        <w:rPr>
          <w:rFonts w:eastAsia="Calibri" w:cs="Tahoma"/>
          <w:b/>
          <w:bCs/>
          <w:color w:val="000000"/>
          <w:lang w:val="es-ES" w:eastAsia="es-MX"/>
        </w:rPr>
        <w:lastRenderedPageBreak/>
        <w:t>(5.4.4.4):</w:t>
      </w:r>
      <w:r>
        <w:rPr>
          <w:rFonts w:eastAsia="Calibri" w:cs="Tahoma"/>
          <w:b/>
          <w:bCs/>
          <w:color w:val="000000"/>
          <w:lang w:val="es-ES" w:eastAsia="es-MX"/>
        </w:rPr>
        <w:t xml:space="preserve"> </w:t>
      </w:r>
      <w:r>
        <w:rPr>
          <w:rFonts w:eastAsia="Calibri" w:cs="Tahoma"/>
          <w:color w:val="000000"/>
          <w:lang w:val="es-ES" w:eastAsia="es-MX"/>
        </w:rPr>
        <w:t xml:space="preserve">Que, para obtener el permiso de distribución de agua a través de pipas, se necesita exhibir la fianza que garantice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sidRPr="00874756">
        <w:rPr>
          <w:rFonts w:eastAsia="Calibri" w:cs="Tahoma"/>
          <w:color w:val="000000"/>
          <w:lang w:eastAsia="es-MX"/>
        </w:rPr>
        <w:t xml:space="preserve"> Salud ambiental. Agua para uso y consumo humano. Límites permisibles de calidad y tratamientos a que debe someterse el agua para su potabilización.</w:t>
      </w:r>
    </w:p>
    <w:p w:rsidR="00943F9F" w:rsidP="00FE73D0" w:rsidRDefault="00943F9F" w14:paraId="57CD5A33" w14:textId="7C0A3E73">
      <w:pPr>
        <w:autoSpaceDE w:val="0"/>
        <w:autoSpaceDN w:val="0"/>
        <w:adjustRightInd w:val="0"/>
        <w:spacing w:after="0" w:line="360" w:lineRule="auto"/>
        <w:rPr>
          <w:rFonts w:eastAsia="Calibri" w:cs="Tahoma"/>
          <w:color w:val="000000"/>
          <w:lang w:val="es-ES" w:eastAsia="es-MX"/>
        </w:rPr>
      </w:pPr>
    </w:p>
    <w:p w:rsidR="00943F9F" w:rsidP="00FE73D0" w:rsidRDefault="00874756" w14:paraId="300ABF82" w14:textId="090A935F">
      <w:p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 xml:space="preserve">En ese orden de ideas, el artículo 150 </w:t>
      </w:r>
      <w:proofErr w:type="spellStart"/>
      <w:r>
        <w:rPr>
          <w:rFonts w:eastAsia="Calibri" w:cs="Tahoma"/>
          <w:color w:val="000000"/>
          <w:lang w:val="es-ES" w:eastAsia="es-MX"/>
        </w:rPr>
        <w:t>Quáter</w:t>
      </w:r>
      <w:proofErr w:type="spellEnd"/>
      <w:r>
        <w:rPr>
          <w:rFonts w:eastAsia="Calibri" w:cs="Tahoma"/>
          <w:color w:val="000000"/>
          <w:lang w:val="es-ES" w:eastAsia="es-MX"/>
        </w:rPr>
        <w:t>, fracción IV, de la Ley del Agua para el Estado de México y Municipios, en relación con el artículo 254, fracción V, del Reglamento de la Ley del Agua para el Estado de México y Municipios</w:t>
      </w:r>
      <w:r w:rsidR="005438BC">
        <w:rPr>
          <w:rFonts w:eastAsia="Calibri" w:cs="Tahoma"/>
          <w:color w:val="000000"/>
          <w:lang w:val="es-ES" w:eastAsia="es-MX"/>
        </w:rPr>
        <w:t>, precisan que para que una persona pueda obtener el Permiso de Distribución de Agua a Través de Pipas, debe cumplir con diversos requisitos, entre los cuales, se encuentra exhibir y entregar copia de la póliza de seguro o fianza que garantice el pago de daños a terceros, por la distribución de agua que no cumpla con la calidad que establece la Norma Oficial Mexicana, previamente referida.</w:t>
      </w:r>
    </w:p>
    <w:p w:rsidR="00943F9F" w:rsidP="00FE73D0" w:rsidRDefault="00943F9F" w14:paraId="69B4434C" w14:textId="43869A98">
      <w:pPr>
        <w:autoSpaceDE w:val="0"/>
        <w:autoSpaceDN w:val="0"/>
        <w:adjustRightInd w:val="0"/>
        <w:spacing w:after="0" w:line="360" w:lineRule="auto"/>
        <w:rPr>
          <w:rFonts w:eastAsia="Calibri" w:cs="Tahoma"/>
          <w:color w:val="000000"/>
          <w:lang w:val="es-ES" w:eastAsia="es-MX"/>
        </w:rPr>
      </w:pPr>
    </w:p>
    <w:p w:rsidR="00943F9F" w:rsidP="00FE73D0" w:rsidRDefault="00B937FE" w14:paraId="1DE586D9" w14:textId="65CE69C5">
      <w:p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 xml:space="preserve">En ese orden de ideas, el Manual de Procedimientos para el Permiso de Distribución, Venta y Suministro de Agua Potable en Pipas a Permisionarios, precisa que junto a la solicitud de autorización de permiso de distribución de agua potable en pipa, se deberá presentar copia simple y original para cotejo de la Fianza que garantice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Pr>
          <w:rFonts w:eastAsia="Calibri" w:cs="Tahoma"/>
          <w:color w:val="000000"/>
          <w:lang w:eastAsia="es-MX"/>
        </w:rPr>
        <w:t>; misma que será revisada y verificada por la Unidad de Apoyo Administrativo de la Gerencia Regional</w:t>
      </w:r>
      <w:r w:rsidR="004242BD">
        <w:rPr>
          <w:rFonts w:eastAsia="Calibri" w:cs="Tahoma"/>
          <w:color w:val="000000"/>
          <w:lang w:eastAsia="es-MX"/>
        </w:rPr>
        <w:t>, tal como lo establece el formato de “Verificación de Requisitos para la Autorización del Permiso de Distribución de Agua Potable en Pipa”.</w:t>
      </w:r>
    </w:p>
    <w:p w:rsidR="00943F9F" w:rsidP="00FE73D0" w:rsidRDefault="00943F9F" w14:paraId="1902AA7A" w14:textId="5483DDC8">
      <w:pPr>
        <w:autoSpaceDE w:val="0"/>
        <w:autoSpaceDN w:val="0"/>
        <w:adjustRightInd w:val="0"/>
        <w:spacing w:after="0" w:line="360" w:lineRule="auto"/>
        <w:rPr>
          <w:rFonts w:eastAsia="Calibri" w:cs="Tahoma"/>
          <w:color w:val="000000"/>
          <w:lang w:val="es-ES" w:eastAsia="es-MX"/>
        </w:rPr>
      </w:pPr>
    </w:p>
    <w:p w:rsidR="00422AF8" w:rsidP="00FE73D0" w:rsidRDefault="00422AF8" w14:paraId="61E0333F" w14:textId="29F7784B">
      <w:p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 xml:space="preserve">Conforme a lo anterior, si bien el Particular aludió a que requería información sobre las pólizas autorizadas o registradas, lo cierto es, que no es perito en la materia y no se encuentra </w:t>
      </w:r>
      <w:r>
        <w:rPr>
          <w:rFonts w:eastAsia="Calibri" w:cs="Tahoma"/>
          <w:color w:val="000000"/>
          <w:lang w:val="es-ES" w:eastAsia="es-MX"/>
        </w:rPr>
        <w:lastRenderedPageBreak/>
        <w:t>constreñido a conocer de manera clara y precisa; por lo que, en el presente caso, se considera que quiere conocer sobre las pólizas de seguros y fianzas</w:t>
      </w:r>
      <w:r w:rsidR="00B73E1B">
        <w:rPr>
          <w:rFonts w:eastAsia="Calibri" w:cs="Tahoma"/>
          <w:color w:val="000000"/>
          <w:lang w:val="es-ES" w:eastAsia="es-MX"/>
        </w:rPr>
        <w:t>,</w:t>
      </w:r>
      <w:r>
        <w:rPr>
          <w:rFonts w:eastAsia="Calibri" w:cs="Tahoma"/>
          <w:color w:val="000000"/>
          <w:lang w:val="es-ES" w:eastAsia="es-MX"/>
        </w:rPr>
        <w:t xml:space="preserve"> entregadas por los permisionarios, para obtener una autorización para la distribución de agua potable en pipas</w:t>
      </w:r>
      <w:r w:rsidR="00B73E1B">
        <w:rPr>
          <w:rFonts w:eastAsia="Calibri" w:cs="Tahoma"/>
          <w:color w:val="000000"/>
          <w:lang w:val="es-ES" w:eastAsia="es-MX"/>
        </w:rPr>
        <w:t>. Lo anterior, al aplicar el artículo 13, de la Ley de Transparencia y Acceso a la Información Pública del Estado de México y Municipios.</w:t>
      </w:r>
    </w:p>
    <w:p w:rsidR="00B73E1B" w:rsidP="00FE73D0" w:rsidRDefault="00B73E1B" w14:paraId="15CEA606" w14:textId="33C3E050">
      <w:pPr>
        <w:autoSpaceDE w:val="0"/>
        <w:autoSpaceDN w:val="0"/>
        <w:adjustRightInd w:val="0"/>
        <w:spacing w:after="0" w:line="360" w:lineRule="auto"/>
        <w:rPr>
          <w:rFonts w:eastAsia="Calibri" w:cs="Tahoma"/>
          <w:color w:val="000000"/>
          <w:lang w:val="es-ES" w:eastAsia="es-MX"/>
        </w:rPr>
      </w:pPr>
    </w:p>
    <w:p w:rsidR="00B73E1B" w:rsidP="00FE73D0" w:rsidRDefault="00B73E1B" w14:paraId="7C813660" w14:textId="31F564A7">
      <w:p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Conforme a lo anterior, se considera que, en el presente caso, el Particular quiere conocer, respecto a los Permisos de Distribución de Agua Potable en Pipas, vigentes al veintinueve de septiembre de dos mil veintiuno, lo siguiente:</w:t>
      </w:r>
    </w:p>
    <w:p w:rsidR="00B73E1B" w:rsidP="00FE73D0" w:rsidRDefault="00B73E1B" w14:paraId="2E231CC2" w14:textId="1412F9E6">
      <w:pPr>
        <w:autoSpaceDE w:val="0"/>
        <w:autoSpaceDN w:val="0"/>
        <w:adjustRightInd w:val="0"/>
        <w:spacing w:after="0" w:line="360" w:lineRule="auto"/>
        <w:rPr>
          <w:rFonts w:eastAsia="Calibri" w:cs="Tahoma"/>
          <w:color w:val="000000"/>
          <w:lang w:val="es-ES" w:eastAsia="es-MX"/>
        </w:rPr>
      </w:pPr>
    </w:p>
    <w:p w:rsidRPr="00CF6BD1" w:rsidR="00422AF8" w:rsidP="00866135" w:rsidRDefault="00B73E1B" w14:paraId="2F0905EE" w14:textId="32DF951B">
      <w:pPr>
        <w:pStyle w:val="Prrafodelista"/>
        <w:numPr>
          <w:ilvl w:val="0"/>
          <w:numId w:val="14"/>
        </w:numPr>
        <w:autoSpaceDE w:val="0"/>
        <w:autoSpaceDN w:val="0"/>
        <w:adjustRightInd w:val="0"/>
        <w:spacing w:after="0" w:line="360" w:lineRule="auto"/>
        <w:rPr>
          <w:rFonts w:eastAsia="Calibri" w:cs="Tahoma"/>
          <w:color w:val="000000"/>
          <w:lang w:val="es-ES" w:eastAsia="es-MX"/>
        </w:rPr>
      </w:pPr>
      <w:r w:rsidRPr="00B73E1B">
        <w:rPr>
          <w:rFonts w:eastAsia="Calibri" w:cs="Tahoma"/>
          <w:color w:val="000000"/>
          <w:lang w:val="es-ES" w:eastAsia="es-MX"/>
        </w:rPr>
        <w:t>Número total de pólizas</w:t>
      </w:r>
      <w:r w:rsidR="00E656DC">
        <w:rPr>
          <w:rFonts w:eastAsia="Calibri" w:cs="Tahoma"/>
          <w:color w:val="000000"/>
          <w:lang w:val="es-ES" w:eastAsia="es-MX"/>
        </w:rPr>
        <w:t xml:space="preserve"> de seguros o fianzas</w:t>
      </w:r>
      <w:r w:rsidRPr="00B73E1B">
        <w:rPr>
          <w:rFonts w:eastAsia="Calibri" w:cs="Tahoma"/>
          <w:color w:val="000000"/>
          <w:lang w:val="es-ES" w:eastAsia="es-MX"/>
        </w:rPr>
        <w:t xml:space="preserve"> </w:t>
      </w:r>
      <w:r>
        <w:rPr>
          <w:rFonts w:eastAsia="Calibri" w:cs="Tahoma"/>
          <w:color w:val="000000"/>
          <w:lang w:val="es-ES" w:eastAsia="es-MX"/>
        </w:rPr>
        <w:t xml:space="preserve">que garanticen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sidR="00CF6BD1">
        <w:rPr>
          <w:rFonts w:eastAsia="Calibri" w:cs="Tahoma"/>
          <w:color w:val="000000"/>
          <w:lang w:eastAsia="es-MX"/>
        </w:rPr>
        <w:t>, y</w:t>
      </w:r>
    </w:p>
    <w:p w:rsidRPr="00CF6BD1" w:rsidR="00CF6BD1" w:rsidP="00CF6BD1" w:rsidRDefault="00CF6BD1" w14:paraId="53BC8B2F" w14:textId="77777777">
      <w:pPr>
        <w:pStyle w:val="Prrafodelista"/>
        <w:autoSpaceDE w:val="0"/>
        <w:autoSpaceDN w:val="0"/>
        <w:adjustRightInd w:val="0"/>
        <w:spacing w:after="0" w:line="360" w:lineRule="auto"/>
        <w:rPr>
          <w:rFonts w:eastAsia="Calibri" w:cs="Tahoma"/>
          <w:color w:val="000000"/>
          <w:lang w:val="es-ES" w:eastAsia="es-MX"/>
        </w:rPr>
      </w:pPr>
    </w:p>
    <w:p w:rsidR="00CF6BD1" w:rsidP="00866135" w:rsidRDefault="00CF6BD1" w14:paraId="242CE27B" w14:textId="1BB80F16">
      <w:pPr>
        <w:pStyle w:val="Prrafodelista"/>
        <w:numPr>
          <w:ilvl w:val="0"/>
          <w:numId w:val="14"/>
        </w:num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Nombre de las instituciones que emitieron dichas pólizas.</w:t>
      </w:r>
    </w:p>
    <w:p w:rsidRPr="00E656DC" w:rsidR="00E656DC" w:rsidP="00E656DC" w:rsidRDefault="00E656DC" w14:paraId="29CC1B55" w14:textId="77777777">
      <w:pPr>
        <w:pStyle w:val="Prrafodelista"/>
        <w:rPr>
          <w:rFonts w:eastAsia="Calibri" w:cs="Tahoma"/>
          <w:color w:val="000000"/>
          <w:lang w:val="es-ES" w:eastAsia="es-MX"/>
        </w:rPr>
      </w:pPr>
    </w:p>
    <w:p w:rsidRPr="006678F5" w:rsidR="006678F5" w:rsidP="00FE73D0" w:rsidRDefault="00CF6BD1" w14:paraId="5ACAB9A4" w14:textId="6E7AD1B0">
      <w:pPr>
        <w:spacing w:after="0" w:line="360" w:lineRule="auto"/>
        <w:rPr>
          <w:rFonts w:eastAsia="Times New Roman" w:cs="Times New Roman"/>
          <w:bCs/>
          <w:iCs/>
          <w:color w:val="auto"/>
          <w:lang w:val="es-ES" w:eastAsia="es-ES"/>
        </w:rPr>
      </w:pPr>
      <w:r>
        <w:rPr>
          <w:rFonts w:eastAsia="Calibri" w:cs="Tahoma"/>
          <w:color w:val="000000"/>
          <w:lang w:val="es-ES"/>
        </w:rPr>
        <w:t>E</w:t>
      </w:r>
      <w:r w:rsidRPr="006678F5" w:rsidR="006678F5">
        <w:rPr>
          <w:rFonts w:eastAsia="Calibri" w:cs="Tahoma"/>
          <w:color w:val="000000"/>
          <w:lang w:val="es-ES"/>
        </w:rPr>
        <w:t>stablecido lo anterior, se procede analizar la respuesta proporcionada, para lo cual en principio, es necesario señalar que el Sujeto Obligado turn</w:t>
      </w:r>
      <w:r w:rsidR="00070DBD">
        <w:rPr>
          <w:rFonts w:eastAsia="Calibri" w:cs="Tahoma"/>
          <w:color w:val="000000"/>
          <w:lang w:val="es-ES"/>
        </w:rPr>
        <w:t>ó</w:t>
      </w:r>
      <w:r w:rsidRPr="006678F5" w:rsidR="006678F5">
        <w:rPr>
          <w:rFonts w:eastAsia="Calibri" w:cs="Tahoma"/>
          <w:color w:val="000000"/>
          <w:lang w:val="es-ES"/>
        </w:rPr>
        <w:t xml:space="preserve"> la solicitud</w:t>
      </w:r>
      <w:r w:rsidRPr="006678F5" w:rsidR="006678F5">
        <w:rPr>
          <w:rFonts w:eastAsia="Times New Roman" w:cs="Tahoma"/>
          <w:bCs/>
          <w:color w:val="0D0D0D"/>
          <w:lang w:val="es-ES" w:eastAsia="es-ES"/>
        </w:rPr>
        <w:t xml:space="preserve"> de información, a la </w:t>
      </w:r>
      <w:r w:rsidR="00070DBD">
        <w:rPr>
          <w:rFonts w:eastAsia="Times New Roman" w:cs="Tahoma"/>
          <w:bCs/>
          <w:color w:val="0D0D0D"/>
          <w:lang w:val="es-ES" w:eastAsia="es-ES"/>
        </w:rPr>
        <w:t>Dirección General de Administración y Finanzas</w:t>
      </w:r>
      <w:r w:rsidRPr="006678F5" w:rsidR="006678F5">
        <w:rPr>
          <w:rFonts w:eastAsia="Calibri" w:cs="Arial"/>
          <w:bCs/>
          <w:color w:val="000000"/>
          <w:lang w:val="es-ES"/>
        </w:rPr>
        <w:t xml:space="preserve">; </w:t>
      </w:r>
      <w:r w:rsidRPr="006678F5" w:rsidR="006678F5">
        <w:rPr>
          <w:rFonts w:eastAsia="Times New Roman" w:cs="Times New Roman"/>
          <w:bCs/>
          <w:color w:val="auto"/>
          <w:lang w:val="es-ES" w:eastAsia="es-ES"/>
        </w:rPr>
        <w:t xml:space="preserve">por lo que, es oportuno hacer referencia al </w:t>
      </w:r>
      <w:r w:rsidRPr="006678F5" w:rsidR="006678F5">
        <w:rPr>
          <w:rFonts w:eastAsia="Times New Roman" w:cs="Times New Roman"/>
          <w:b/>
          <w:bCs/>
          <w:color w:val="auto"/>
          <w:lang w:val="es-ES" w:eastAsia="es-ES"/>
        </w:rPr>
        <w:t>procedimiento de búsqueda que deben de seguir los Sujetos Obligados para localizar la información</w:t>
      </w:r>
      <w:r w:rsidRPr="006678F5" w:rsidR="006678F5">
        <w:rPr>
          <w:rFonts w:eastAsia="Times New Roman" w:cs="Times New Roman"/>
          <w:bCs/>
          <w:color w:val="auto"/>
          <w:lang w:val="es-ES" w:eastAsia="es-ES"/>
        </w:rPr>
        <w:t>, el cual se encuentra previsto en los artículos 160 y 162 de la Ley de Transparencia y Acceso a la Información Pública del Estado de México y Municipios, mismo que es el siguiente:</w:t>
      </w:r>
    </w:p>
    <w:p w:rsidRPr="006678F5" w:rsidR="006678F5" w:rsidP="00FE73D0" w:rsidRDefault="006678F5" w14:paraId="2E40B8F9" w14:textId="77777777">
      <w:pPr>
        <w:spacing w:after="0" w:line="360" w:lineRule="auto"/>
        <w:rPr>
          <w:rFonts w:eastAsia="Times New Roman" w:cs="Times New Roman"/>
          <w:bCs/>
          <w:iCs/>
          <w:color w:val="auto"/>
          <w:lang w:val="es-ES" w:eastAsia="es-ES"/>
        </w:rPr>
      </w:pPr>
    </w:p>
    <w:p w:rsidRPr="006678F5" w:rsidR="006678F5" w:rsidP="00FE73D0" w:rsidRDefault="006678F5" w14:paraId="0404ED9F" w14:textId="77777777">
      <w:pPr>
        <w:numPr>
          <w:ilvl w:val="0"/>
          <w:numId w:val="7"/>
        </w:numPr>
        <w:spacing w:after="0" w:line="360" w:lineRule="auto"/>
        <w:rPr>
          <w:rFonts w:eastAsia="Times New Roman" w:cs="Times New Roman"/>
          <w:bCs/>
          <w:color w:val="auto"/>
          <w:lang w:val="es-ES" w:eastAsia="es-ES"/>
        </w:rPr>
      </w:pPr>
      <w:r w:rsidRPr="006678F5">
        <w:rPr>
          <w:rFonts w:eastAsia="Times New Roman" w:cs="Times New Roman"/>
          <w:bCs/>
          <w:color w:val="auto"/>
          <w:lang w:val="es-ES" w:eastAsia="es-ES"/>
        </w:rPr>
        <w:lastRenderedPageBreak/>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6678F5" w:rsidR="006678F5" w:rsidP="00FE73D0" w:rsidRDefault="006678F5" w14:paraId="4C1C92FA" w14:textId="77777777">
      <w:pPr>
        <w:spacing w:after="0" w:line="360" w:lineRule="auto"/>
        <w:ind w:left="720"/>
        <w:rPr>
          <w:rFonts w:eastAsia="Times New Roman" w:cs="Times New Roman"/>
          <w:bCs/>
          <w:color w:val="auto"/>
          <w:lang w:val="es-ES" w:eastAsia="es-ES"/>
        </w:rPr>
      </w:pPr>
    </w:p>
    <w:p w:rsidRPr="006678F5" w:rsidR="006678F5" w:rsidP="00FE73D0" w:rsidRDefault="006678F5" w14:paraId="7F3F4CB8" w14:textId="77777777">
      <w:pPr>
        <w:numPr>
          <w:ilvl w:val="0"/>
          <w:numId w:val="7"/>
        </w:numPr>
        <w:spacing w:after="0" w:line="360" w:lineRule="auto"/>
        <w:rPr>
          <w:rFonts w:eastAsia="Times New Roman" w:cs="Times New Roman"/>
          <w:bCs/>
          <w:color w:val="auto"/>
          <w:lang w:val="es-ES" w:eastAsia="es-ES"/>
        </w:rPr>
      </w:pPr>
      <w:r w:rsidRPr="006678F5">
        <w:rPr>
          <w:rFonts w:eastAsia="Times New Roman" w:cs="Times New Roman"/>
          <w:bCs/>
          <w:color w:val="auto"/>
          <w:lang w:val="es-ES" w:eastAsia="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6678F5" w:rsidR="006678F5" w:rsidP="00FE73D0" w:rsidRDefault="006678F5" w14:paraId="3A6F2F1F" w14:textId="77777777">
      <w:pPr>
        <w:spacing w:after="0" w:line="360" w:lineRule="auto"/>
        <w:rPr>
          <w:rFonts w:eastAsia="Calibri" w:cs="Tahoma"/>
          <w:b/>
          <w:bCs/>
          <w:color w:val="auto"/>
          <w:lang w:val="es-ES"/>
        </w:rPr>
      </w:pPr>
    </w:p>
    <w:p w:rsidR="00571B7E" w:rsidP="00FE73D0" w:rsidRDefault="006678F5" w14:paraId="0587B365" w14:textId="00635EE7">
      <w:pPr>
        <w:autoSpaceDE w:val="0"/>
        <w:autoSpaceDN w:val="0"/>
        <w:adjustRightInd w:val="0"/>
        <w:spacing w:after="0" w:line="360" w:lineRule="auto"/>
        <w:rPr>
          <w:rFonts w:eastAsia="Times New Roman" w:cs="Times New Roman"/>
          <w:bCs/>
          <w:color w:val="auto"/>
          <w:lang w:eastAsia="es-ES"/>
        </w:rPr>
      </w:pPr>
      <w:r w:rsidRPr="006678F5">
        <w:rPr>
          <w:rFonts w:eastAsia="Times New Roman" w:cs="Times New Roman"/>
          <w:bCs/>
          <w:color w:val="auto"/>
          <w:lang w:val="es-ES" w:eastAsia="es-ES"/>
        </w:rPr>
        <w:t>Atendiendo a lo dispuesto en los preceptos legales de referencia, a efecto de determinar si el Sujeto Obligado siguió el procedimiento antes descrito, es necesario traer a colaci</w:t>
      </w:r>
      <w:r w:rsidRPr="006678F5">
        <w:rPr>
          <w:rFonts w:eastAsia="Times New Roman" w:cs="Times New Roman"/>
          <w:bCs/>
          <w:color w:val="auto"/>
          <w:lang w:val="x-none" w:eastAsia="es-ES"/>
        </w:rPr>
        <w:t xml:space="preserve">ón el </w:t>
      </w:r>
      <w:r w:rsidRPr="009B36CD" w:rsidR="009B36CD">
        <w:rPr>
          <w:rFonts w:eastAsia="Times New Roman" w:cs="Times New Roman"/>
          <w:bCs/>
          <w:color w:val="auto"/>
          <w:lang w:val="x-none" w:eastAsia="es-ES"/>
        </w:rPr>
        <w:t>Manual General de Organización de la Comisión del Agua del Estado de México</w:t>
      </w:r>
      <w:r w:rsidRPr="006678F5">
        <w:rPr>
          <w:rFonts w:eastAsia="Times New Roman" w:cs="Times New Roman"/>
          <w:bCs/>
          <w:color w:val="auto"/>
          <w:lang w:val="x-none" w:eastAsia="es-ES"/>
        </w:rPr>
        <w:t>, que establece</w:t>
      </w:r>
      <w:r w:rsidR="009B36CD">
        <w:rPr>
          <w:rFonts w:eastAsia="Times New Roman" w:cs="Times New Roman"/>
          <w:bCs/>
          <w:color w:val="auto"/>
          <w:lang w:eastAsia="es-ES"/>
        </w:rPr>
        <w:t xml:space="preserve"> </w:t>
      </w:r>
      <w:r w:rsidR="00C3147F">
        <w:rPr>
          <w:rFonts w:eastAsia="Times New Roman" w:cs="Times New Roman"/>
          <w:bCs/>
          <w:color w:val="auto"/>
          <w:lang w:eastAsia="es-ES"/>
        </w:rPr>
        <w:t>que el Sujeto Obligado cuenta con diversas unidades administrativas para el ejercicio de sus funciones, entre las cuales se encuentran las siguientes:</w:t>
      </w:r>
    </w:p>
    <w:p w:rsidR="00571B7E" w:rsidP="00FE73D0" w:rsidRDefault="00571B7E" w14:paraId="2BCB9398" w14:textId="77777777">
      <w:pPr>
        <w:autoSpaceDE w:val="0"/>
        <w:autoSpaceDN w:val="0"/>
        <w:adjustRightInd w:val="0"/>
        <w:spacing w:after="0" w:line="360" w:lineRule="auto"/>
        <w:rPr>
          <w:rFonts w:eastAsia="Times New Roman" w:cs="Times New Roman"/>
          <w:bCs/>
          <w:color w:val="auto"/>
          <w:lang w:eastAsia="es-ES"/>
        </w:rPr>
      </w:pPr>
    </w:p>
    <w:p w:rsidRPr="009D6933" w:rsidR="00571B7E" w:rsidP="00FE73D0" w:rsidRDefault="009B36CD" w14:paraId="2BE4F175" w14:textId="54988981">
      <w:pPr>
        <w:pStyle w:val="Prrafodelista"/>
        <w:numPr>
          <w:ilvl w:val="0"/>
          <w:numId w:val="11"/>
        </w:numPr>
        <w:autoSpaceDE w:val="0"/>
        <w:autoSpaceDN w:val="0"/>
        <w:adjustRightInd w:val="0"/>
        <w:spacing w:after="0" w:line="360" w:lineRule="auto"/>
        <w:rPr>
          <w:rFonts w:eastAsia="Times New Roman" w:cs="Times New Roman"/>
          <w:bCs/>
          <w:color w:val="auto"/>
          <w:lang w:eastAsia="es-ES"/>
        </w:rPr>
      </w:pPr>
      <w:r w:rsidRPr="00476E76">
        <w:rPr>
          <w:rFonts w:eastAsia="Times New Roman" w:cs="Tahoma"/>
          <w:b/>
          <w:bCs/>
          <w:color w:val="0D0D0D"/>
          <w:lang w:val="es-ES" w:eastAsia="es-ES"/>
        </w:rPr>
        <w:t>Dirección General de Administración y Finanzas</w:t>
      </w:r>
      <w:r w:rsidR="00476E76">
        <w:rPr>
          <w:rFonts w:eastAsia="Times New Roman" w:cs="Tahoma"/>
          <w:b/>
          <w:bCs/>
          <w:color w:val="0D0D0D"/>
          <w:lang w:val="es-ES" w:eastAsia="es-ES"/>
        </w:rPr>
        <w:t xml:space="preserve"> (229B61000 y 229B62000)</w:t>
      </w:r>
      <w:r w:rsidRPr="00476E76" w:rsidR="00571B7E">
        <w:rPr>
          <w:rFonts w:eastAsia="Times New Roman" w:cs="Tahoma"/>
          <w:b/>
          <w:bCs/>
          <w:color w:val="0D0D0D"/>
          <w:lang w:val="es-ES" w:eastAsia="es-ES"/>
        </w:rPr>
        <w:t>:</w:t>
      </w:r>
      <w:r w:rsidRPr="00476E76" w:rsidR="00476E76">
        <w:t xml:space="preserve"> </w:t>
      </w:r>
      <w:r w:rsidR="00C3147F">
        <w:t>Encargada de p</w:t>
      </w:r>
      <w:r w:rsidRPr="00476E76" w:rsidR="00476E76">
        <w:t>lanear, organizar y dirigir las acciones necesarias para que las unidades administrativas de la Comisión cuenten con los recursos humanos, materiales y técnicos y con los servicios generales que contribuyan al eficiente y eficaz desarrollo de sus funciones</w:t>
      </w:r>
      <w:r w:rsidRPr="00476E76" w:rsidR="00476E76">
        <w:rPr>
          <w:bCs/>
        </w:rPr>
        <w:t xml:space="preserve"> </w:t>
      </w:r>
      <w:r w:rsidR="00476E76">
        <w:rPr>
          <w:bCs/>
        </w:rPr>
        <w:t>y a</w:t>
      </w:r>
      <w:r w:rsidRPr="00476E76" w:rsidR="00476E76">
        <w:rPr>
          <w:rFonts w:eastAsia="Times New Roman" w:cs="Tahoma"/>
          <w:bCs/>
          <w:color w:val="0D0D0D"/>
          <w:lang w:eastAsia="es-ES"/>
        </w:rPr>
        <w:t>dministrar los recursos financieros y presupuestales y supervisar que la información contable y financiera se integre conforme a los programas de trabajo y ejercicio del presupuesto de la Comisión, así como los ingresos y fiscalización e integrar la información correspondiente para la toma de decisiones</w:t>
      </w:r>
      <w:r w:rsidR="00476E76">
        <w:rPr>
          <w:rFonts w:eastAsia="Times New Roman" w:cs="Tahoma"/>
          <w:bCs/>
          <w:color w:val="0D0D0D"/>
          <w:lang w:eastAsia="es-ES"/>
        </w:rPr>
        <w:t>.</w:t>
      </w:r>
    </w:p>
    <w:p w:rsidR="009D6933" w:rsidP="009D6933" w:rsidRDefault="009D6933" w14:paraId="7AE00169" w14:textId="7EA31A64">
      <w:pPr>
        <w:pStyle w:val="Prrafodelista"/>
        <w:autoSpaceDE w:val="0"/>
        <w:autoSpaceDN w:val="0"/>
        <w:adjustRightInd w:val="0"/>
        <w:spacing w:after="0" w:line="360" w:lineRule="auto"/>
        <w:ind w:left="770"/>
        <w:rPr>
          <w:rFonts w:eastAsia="Times New Roman" w:cs="Times New Roman"/>
          <w:bCs/>
          <w:color w:val="auto"/>
          <w:lang w:eastAsia="es-ES"/>
        </w:rPr>
      </w:pPr>
    </w:p>
    <w:p w:rsidRPr="009D6933" w:rsidR="009D6933" w:rsidP="009D6933" w:rsidRDefault="009D6933" w14:paraId="52387B44" w14:textId="1C00DF98">
      <w:pPr>
        <w:pStyle w:val="Prrafodelista"/>
        <w:autoSpaceDE w:val="0"/>
        <w:autoSpaceDN w:val="0"/>
        <w:adjustRightInd w:val="0"/>
        <w:spacing w:after="0" w:line="360" w:lineRule="auto"/>
        <w:ind w:left="770"/>
        <w:rPr>
          <w:rFonts w:eastAsia="Times New Roman" w:cs="Times New Roman"/>
          <w:bCs/>
          <w:color w:val="auto"/>
          <w:lang w:eastAsia="es-ES"/>
        </w:rPr>
      </w:pPr>
      <w:r>
        <w:rPr>
          <w:rFonts w:eastAsia="Times New Roman" w:cs="Times New Roman"/>
          <w:bCs/>
          <w:color w:val="auto"/>
          <w:lang w:eastAsia="es-ES"/>
        </w:rPr>
        <w:t xml:space="preserve">Para lograr lo anterior, conforme al </w:t>
      </w:r>
      <w:r>
        <w:t>Manual de Procedimientos para el Permiso de Distribución, Venta y Suministro de Agua Potable en Pipas a Permisionarios, dicha área contará con las Unidades de Apoyo Administrativo de las Gerencias Regionales,</w:t>
      </w:r>
      <w:r w:rsidR="00F96A40">
        <w:t xml:space="preserve"> encargadas de revisar el soporte documental presentado por los permisionarios y emitir el formato </w:t>
      </w:r>
      <w:r w:rsidR="00F96A40">
        <w:rPr>
          <w:rFonts w:eastAsia="Calibri" w:cs="Tahoma"/>
          <w:color w:val="000000"/>
          <w:lang w:eastAsia="es-MX"/>
        </w:rPr>
        <w:t>“Verificación de Requisitos para la Autorización del Permiso de Distribución de Agua Potable en Pipa”.</w:t>
      </w:r>
    </w:p>
    <w:p w:rsidRPr="00571B7E" w:rsidR="00265C89" w:rsidP="00FE73D0" w:rsidRDefault="00265C89" w14:paraId="3D2C355D" w14:textId="77777777">
      <w:pPr>
        <w:pStyle w:val="Prrafodelista"/>
        <w:autoSpaceDE w:val="0"/>
        <w:autoSpaceDN w:val="0"/>
        <w:adjustRightInd w:val="0"/>
        <w:spacing w:after="0" w:line="360" w:lineRule="auto"/>
        <w:ind w:left="770"/>
        <w:rPr>
          <w:rFonts w:eastAsia="Times New Roman" w:cs="Times New Roman"/>
          <w:bCs/>
          <w:color w:val="auto"/>
          <w:lang w:eastAsia="es-ES"/>
        </w:rPr>
      </w:pPr>
    </w:p>
    <w:p w:rsidRPr="0099672D" w:rsidR="00571B7E" w:rsidP="00FE73D0" w:rsidRDefault="009B36CD" w14:paraId="00ED32C9" w14:textId="0704C687">
      <w:pPr>
        <w:pStyle w:val="Prrafodelista"/>
        <w:numPr>
          <w:ilvl w:val="0"/>
          <w:numId w:val="11"/>
        </w:numPr>
        <w:autoSpaceDE w:val="0"/>
        <w:autoSpaceDN w:val="0"/>
        <w:adjustRightInd w:val="0"/>
        <w:spacing w:after="0" w:line="360" w:lineRule="auto"/>
        <w:rPr>
          <w:rFonts w:eastAsia="Times New Roman" w:cs="Times New Roman"/>
          <w:b/>
          <w:bCs/>
          <w:color w:val="auto"/>
          <w:lang w:eastAsia="es-ES"/>
        </w:rPr>
      </w:pPr>
      <w:r w:rsidRPr="00476E76">
        <w:rPr>
          <w:rFonts w:eastAsia="Times New Roman" w:cs="Tahoma"/>
          <w:b/>
          <w:bCs/>
          <w:color w:val="0D0D0D"/>
          <w:lang w:val="es-ES" w:eastAsia="es-ES"/>
        </w:rPr>
        <w:t>Direc</w:t>
      </w:r>
      <w:r w:rsidRPr="00476E76" w:rsidR="00571B7E">
        <w:rPr>
          <w:rFonts w:eastAsia="Times New Roman" w:cs="Tahoma"/>
          <w:b/>
          <w:bCs/>
          <w:color w:val="0D0D0D"/>
          <w:lang w:val="es-ES" w:eastAsia="es-ES"/>
        </w:rPr>
        <w:t>ción</w:t>
      </w:r>
      <w:r w:rsidRPr="00476E76">
        <w:rPr>
          <w:rFonts w:eastAsia="Times New Roman" w:cs="Tahoma"/>
          <w:b/>
          <w:bCs/>
          <w:color w:val="0D0D0D"/>
          <w:lang w:val="es-ES" w:eastAsia="es-ES"/>
        </w:rPr>
        <w:t xml:space="preserve"> General de Operaciones y Atención a Emergencias</w:t>
      </w:r>
      <w:r w:rsidR="00476E76">
        <w:rPr>
          <w:rFonts w:eastAsia="Times New Roman" w:cs="Tahoma"/>
          <w:b/>
          <w:bCs/>
          <w:color w:val="0D0D0D"/>
          <w:lang w:val="es-ES" w:eastAsia="es-ES"/>
        </w:rPr>
        <w:t xml:space="preserve"> (objetivo 229B61000)</w:t>
      </w:r>
      <w:r w:rsidRPr="00476E76" w:rsidR="00571B7E">
        <w:rPr>
          <w:rFonts w:eastAsia="Times New Roman" w:cs="Times New Roman"/>
          <w:b/>
          <w:bCs/>
          <w:color w:val="auto"/>
          <w:lang w:eastAsia="es-ES"/>
        </w:rPr>
        <w:t>:</w:t>
      </w:r>
      <w:r w:rsidRPr="00476E76" w:rsidR="00476E76">
        <w:t xml:space="preserve"> </w:t>
      </w:r>
      <w:r w:rsidR="00C3147F">
        <w:rPr>
          <w:rFonts w:eastAsia="Times New Roman" w:cs="Times New Roman"/>
          <w:bCs/>
          <w:color w:val="auto"/>
          <w:lang w:eastAsia="es-ES"/>
        </w:rPr>
        <w:t>Encargada de p</w:t>
      </w:r>
      <w:r w:rsidRPr="00476E76" w:rsidR="00476E76">
        <w:rPr>
          <w:rFonts w:eastAsia="Times New Roman" w:cs="Times New Roman"/>
          <w:bCs/>
          <w:color w:val="auto"/>
          <w:lang w:eastAsia="es-ES"/>
        </w:rPr>
        <w:t>lanear y programar la operación y el mantenimiento preventivo o la reparación de la infraestructura hidráulica con la que se proporciona a los ayuntamientos, organismos operadores, sector social y privado los servicios de agua potable en bloque, así como la utilizada para el desalojo de aguas residuales y pluviales y su tratamiento y colaborar en la atención inmediata a las emergencias y contingencias que se presenten en materia hidráulica en el ámbito estatal y cuando se solicite en la federal y municipal, en el marco de la normatividad vigente en la materia.</w:t>
      </w:r>
    </w:p>
    <w:p w:rsidRPr="0099672D" w:rsidR="0099672D" w:rsidP="0099672D" w:rsidRDefault="0099672D" w14:paraId="1CC30735" w14:textId="77777777">
      <w:pPr>
        <w:pStyle w:val="Prrafodelista"/>
        <w:rPr>
          <w:rFonts w:eastAsia="Times New Roman" w:cs="Times New Roman"/>
          <w:b/>
          <w:bCs/>
          <w:color w:val="auto"/>
          <w:lang w:eastAsia="es-ES"/>
        </w:rPr>
      </w:pPr>
    </w:p>
    <w:p w:rsidRPr="0099672D" w:rsidR="0099672D" w:rsidP="0099672D" w:rsidRDefault="0099672D" w14:paraId="5D40DF4A" w14:textId="1132A618">
      <w:pPr>
        <w:pStyle w:val="Prrafodelista"/>
        <w:autoSpaceDE w:val="0"/>
        <w:autoSpaceDN w:val="0"/>
        <w:adjustRightInd w:val="0"/>
        <w:spacing w:after="0" w:line="360" w:lineRule="auto"/>
        <w:ind w:left="770"/>
        <w:rPr>
          <w:rFonts w:eastAsia="Times New Roman" w:cs="Times New Roman"/>
          <w:color w:val="auto"/>
          <w:lang w:eastAsia="es-ES"/>
        </w:rPr>
      </w:pPr>
      <w:r>
        <w:rPr>
          <w:rFonts w:eastAsia="Times New Roman" w:cs="Times New Roman"/>
          <w:color w:val="auto"/>
          <w:lang w:eastAsia="es-ES"/>
        </w:rPr>
        <w:t xml:space="preserve">Para lograr lo anterior, dicha área contara con las </w:t>
      </w:r>
      <w:r w:rsidRPr="00644BE2">
        <w:rPr>
          <w:rFonts w:eastAsia="Times New Roman" w:cs="Times New Roman"/>
          <w:b/>
          <w:bCs/>
          <w:color w:val="auto"/>
          <w:lang w:eastAsia="es-ES"/>
        </w:rPr>
        <w:t xml:space="preserve">Gerencias Regionales (Toluca, Cuautitlán Poniente, Cuautitlán Oriente, Atlacomulco, Coatepec Harinas, Tejupilco-Valle de Bravo y </w:t>
      </w:r>
      <w:proofErr w:type="spellStart"/>
      <w:r w:rsidRPr="00644BE2">
        <w:rPr>
          <w:rFonts w:eastAsia="Times New Roman" w:cs="Times New Roman"/>
          <w:b/>
          <w:bCs/>
          <w:color w:val="auto"/>
          <w:lang w:eastAsia="es-ES"/>
        </w:rPr>
        <w:t>Texococo</w:t>
      </w:r>
      <w:proofErr w:type="spellEnd"/>
      <w:r w:rsidRPr="00644BE2">
        <w:rPr>
          <w:rFonts w:eastAsia="Times New Roman" w:cs="Times New Roman"/>
          <w:b/>
          <w:bCs/>
          <w:color w:val="auto"/>
          <w:lang w:eastAsia="es-ES"/>
        </w:rPr>
        <w:t>),</w:t>
      </w:r>
      <w:r>
        <w:rPr>
          <w:rFonts w:eastAsia="Times New Roman" w:cs="Times New Roman"/>
          <w:color w:val="auto"/>
          <w:lang w:eastAsia="es-ES"/>
        </w:rPr>
        <w:t xml:space="preserve"> encargadas de </w:t>
      </w:r>
      <w:r>
        <w:t>organizar, coordinar y controlar la operación y mantenimiento, en su caso, de los sistemas de abastecimiento, almacenamiento, desinfección y conducción de agua potable en bloque, proveniente de fuentes federales y estatales, así como de los sistemas de drenaje, desinfección, alcantarillado, saneamiento, tratamiento y reúso de aguas tratadas que se le encomienden para su administración, además de otorgar asesorías y atender las contingencias que se presenten</w:t>
      </w:r>
      <w:r w:rsidR="009D6933">
        <w:t xml:space="preserve">; además, que conforme al Manual de Procedimientos </w:t>
      </w:r>
      <w:r w:rsidR="009D6933">
        <w:lastRenderedPageBreak/>
        <w:t>para el Permiso de Distribución, Venta y Suministro de Agua Potable en Pipas a Permisionarios, será la encargada de emitir los Permisos de Distribución de Agua Potable en Pipa.</w:t>
      </w:r>
    </w:p>
    <w:p w:rsidRPr="006678F5" w:rsidR="006678F5" w:rsidP="00FE73D0" w:rsidRDefault="006678F5" w14:paraId="1116C331" w14:textId="77777777">
      <w:pPr>
        <w:autoSpaceDE w:val="0"/>
        <w:autoSpaceDN w:val="0"/>
        <w:adjustRightInd w:val="0"/>
        <w:spacing w:after="0" w:line="360" w:lineRule="auto"/>
        <w:rPr>
          <w:rFonts w:eastAsia="Calibri" w:cs="Tahoma"/>
          <w:color w:val="000000"/>
          <w:lang w:val="es-ES"/>
        </w:rPr>
      </w:pPr>
    </w:p>
    <w:p w:rsidRPr="006678F5" w:rsidR="006678F5" w:rsidP="00FE73D0" w:rsidRDefault="006678F5" w14:paraId="314AD70A" w14:textId="00F8C7E4">
      <w:pPr>
        <w:spacing w:after="0" w:line="360" w:lineRule="auto"/>
        <w:rPr>
          <w:rFonts w:eastAsia="Calibri" w:cs="Tahoma"/>
          <w:b/>
          <w:bCs/>
          <w:color w:val="auto"/>
          <w:lang w:val="es-ES"/>
        </w:rPr>
      </w:pPr>
      <w:r w:rsidRPr="006678F5">
        <w:rPr>
          <w:rFonts w:eastAsia="Times New Roman" w:cs="Tahoma"/>
          <w:bCs/>
          <w:color w:val="0D0D0D"/>
          <w:lang w:val="es-ES" w:eastAsia="es-ES"/>
        </w:rPr>
        <w:t>Conforme a lo anterior, se logra advertir que el Sujeto Obligado cuenta con unidad</w:t>
      </w:r>
      <w:r w:rsidR="00265C89">
        <w:rPr>
          <w:rFonts w:eastAsia="Times New Roman" w:cs="Tahoma"/>
          <w:bCs/>
          <w:color w:val="0D0D0D"/>
          <w:lang w:val="es-ES" w:eastAsia="es-ES"/>
        </w:rPr>
        <w:t>es</w:t>
      </w:r>
      <w:r w:rsidRPr="006678F5">
        <w:rPr>
          <w:rFonts w:eastAsia="Times New Roman" w:cs="Tahoma"/>
          <w:bCs/>
          <w:color w:val="0D0D0D"/>
          <w:lang w:val="es-ES" w:eastAsia="es-ES"/>
        </w:rPr>
        <w:t xml:space="preserve">  administrativa</w:t>
      </w:r>
      <w:r w:rsidR="00265C89">
        <w:rPr>
          <w:rFonts w:eastAsia="Times New Roman" w:cs="Tahoma"/>
          <w:bCs/>
          <w:color w:val="0D0D0D"/>
          <w:lang w:val="es-ES" w:eastAsia="es-ES"/>
        </w:rPr>
        <w:t>s</w:t>
      </w:r>
      <w:r w:rsidRPr="006678F5">
        <w:rPr>
          <w:rFonts w:eastAsia="Times New Roman" w:cs="Tahoma"/>
          <w:bCs/>
          <w:color w:val="0D0D0D"/>
          <w:lang w:val="es-ES" w:eastAsia="es-ES"/>
        </w:rPr>
        <w:t xml:space="preserve"> idónea</w:t>
      </w:r>
      <w:r w:rsidR="00265C89">
        <w:rPr>
          <w:rFonts w:eastAsia="Times New Roman" w:cs="Tahoma"/>
          <w:bCs/>
          <w:color w:val="0D0D0D"/>
          <w:lang w:val="es-ES" w:eastAsia="es-ES"/>
        </w:rPr>
        <w:t>s</w:t>
      </w:r>
      <w:r w:rsidRPr="006678F5">
        <w:rPr>
          <w:rFonts w:eastAsia="Times New Roman" w:cs="Tahoma"/>
          <w:bCs/>
          <w:color w:val="0D0D0D"/>
          <w:lang w:val="es-ES" w:eastAsia="es-ES"/>
        </w:rPr>
        <w:t xml:space="preserve"> para conocer de la info</w:t>
      </w:r>
      <w:r w:rsidR="00265C89">
        <w:rPr>
          <w:rFonts w:eastAsia="Times New Roman" w:cs="Tahoma"/>
          <w:bCs/>
          <w:color w:val="0D0D0D"/>
          <w:lang w:val="es-ES" w:eastAsia="es-ES"/>
        </w:rPr>
        <w:t xml:space="preserve">rmación solicitada, a saber, </w:t>
      </w:r>
      <w:r w:rsidR="00F96A40">
        <w:rPr>
          <w:rFonts w:eastAsia="Times New Roman" w:cs="Times New Roman"/>
          <w:color w:val="auto"/>
          <w:lang w:eastAsia="es-ES"/>
        </w:rPr>
        <w:t xml:space="preserve">las Gerencias Regionales (Toluca, Cuautitlán Poniente, Cuautitlán Oriente, Atlacomulco, Coatepec Harinas, Tejupilco-Valle de Bravo y </w:t>
      </w:r>
      <w:r w:rsidR="00770F00">
        <w:rPr>
          <w:rFonts w:eastAsia="Times New Roman" w:cs="Times New Roman"/>
          <w:color w:val="auto"/>
          <w:lang w:eastAsia="es-ES"/>
        </w:rPr>
        <w:t>Texcoco</w:t>
      </w:r>
      <w:r w:rsidR="00F96A40">
        <w:rPr>
          <w:rFonts w:eastAsia="Times New Roman" w:cs="Times New Roman"/>
          <w:color w:val="auto"/>
          <w:lang w:eastAsia="es-ES"/>
        </w:rPr>
        <w:t>) y sus Unidades de Apoyo</w:t>
      </w:r>
      <w:r w:rsidR="00770F00">
        <w:rPr>
          <w:rFonts w:eastAsia="Times New Roman" w:cs="Times New Roman"/>
          <w:color w:val="auto"/>
          <w:lang w:eastAsia="es-ES"/>
        </w:rPr>
        <w:t xml:space="preserve"> Administrativo</w:t>
      </w:r>
      <w:r w:rsidR="00F96A40">
        <w:rPr>
          <w:rFonts w:eastAsia="Times New Roman" w:cs="Times New Roman"/>
          <w:color w:val="auto"/>
          <w:lang w:eastAsia="es-ES"/>
        </w:rPr>
        <w:t xml:space="preserve"> adscritas a la Dirección General de Administración y Fiananzas</w:t>
      </w:r>
      <w:r w:rsidRPr="006678F5">
        <w:rPr>
          <w:rFonts w:eastAsia="Times New Roman" w:cs="Tahoma"/>
          <w:bCs/>
          <w:color w:val="0D0D0D"/>
          <w:lang w:val="es-ES" w:eastAsia="es-ES"/>
        </w:rPr>
        <w:t xml:space="preserve">; por lo que, se colige </w:t>
      </w:r>
      <w:r w:rsidR="00F96A40">
        <w:rPr>
          <w:rFonts w:eastAsia="Times New Roman" w:cs="Tahoma"/>
          <w:bCs/>
          <w:color w:val="0D0D0D"/>
          <w:lang w:val="es-ES" w:eastAsia="es-ES"/>
        </w:rPr>
        <w:t>que no cumplió con el procedimiento de búsqueda previamente referido, pues no gestiono la solicitud a todas las áreas competentes</w:t>
      </w:r>
      <w:r w:rsidRPr="006678F5">
        <w:rPr>
          <w:rFonts w:eastAsia="Times New Roman" w:cs="Tahoma"/>
          <w:bCs/>
          <w:color w:val="0D0D0D"/>
          <w:lang w:val="es-ES" w:eastAsia="es-ES"/>
        </w:rPr>
        <w:t>.</w:t>
      </w:r>
    </w:p>
    <w:p w:rsidRPr="006678F5" w:rsidR="006678F5" w:rsidP="00FE73D0" w:rsidRDefault="006678F5" w14:paraId="6B659605" w14:textId="77777777">
      <w:pPr>
        <w:autoSpaceDE w:val="0"/>
        <w:autoSpaceDN w:val="0"/>
        <w:adjustRightInd w:val="0"/>
        <w:spacing w:after="0" w:line="360" w:lineRule="auto"/>
        <w:rPr>
          <w:rFonts w:eastAsia="Calibri" w:cs="Tahoma"/>
          <w:color w:val="000000"/>
          <w:lang w:val="es-ES"/>
        </w:rPr>
      </w:pPr>
    </w:p>
    <w:p w:rsidR="00093F9F" w:rsidP="00FE73D0" w:rsidRDefault="00F96A40" w14:paraId="23C12D39" w14:textId="6E3B2034">
      <w:pPr>
        <w:spacing w:after="0" w:line="360" w:lineRule="auto"/>
        <w:rPr>
          <w:rFonts w:eastAsia="Times New Roman" w:cs="Tahoma"/>
          <w:color w:val="auto"/>
          <w:lang w:val="es-ES_tradnl" w:eastAsia="es-ES"/>
        </w:rPr>
      </w:pPr>
      <w:r>
        <w:rPr>
          <w:rFonts w:eastAsia="Times New Roman" w:cs="Tahoma"/>
          <w:color w:val="auto"/>
          <w:lang w:val="es-ES_tradnl" w:eastAsia="es-ES"/>
        </w:rPr>
        <w:t xml:space="preserve">Ahora bien, la Dirección de Administración y Finanzas, precisó que carecía de funciones para conocer de lo peticionado; sin embargo, dicha situación resulta incorrecta, pues conforme a la normatividad analizada, sus Unidades de Apoyo Administrativo </w:t>
      </w:r>
      <w:r w:rsidR="00E656DC">
        <w:rPr>
          <w:rFonts w:eastAsia="Times New Roman" w:cs="Tahoma"/>
          <w:color w:val="auto"/>
          <w:lang w:val="es-ES_tradnl" w:eastAsia="es-ES"/>
        </w:rPr>
        <w:t xml:space="preserve">localizadas en las Gerencias Regionales, son las encargadas de verificar y recibir la Póliza de seguro o fianza que garantice el pago de daños a terceros, por la distribución de agua que no cumpla con la calidad que establece la </w:t>
      </w:r>
      <w:r w:rsidRPr="005438BC" w:rsidR="00E656DC">
        <w:rPr>
          <w:rFonts w:eastAsia="Calibri" w:cs="Tahoma"/>
          <w:color w:val="000000"/>
          <w:lang w:eastAsia="es-MX"/>
        </w:rPr>
        <w:t>NOM-127-SSA1-1994</w:t>
      </w:r>
      <w:r w:rsidR="00E656DC">
        <w:rPr>
          <w:rFonts w:eastAsia="Calibri" w:cs="Tahoma"/>
          <w:color w:val="000000"/>
          <w:lang w:eastAsia="es-MX"/>
        </w:rPr>
        <w:t>.</w:t>
      </w:r>
    </w:p>
    <w:p w:rsidR="00F96A40" w:rsidP="00FE73D0" w:rsidRDefault="00F96A40" w14:paraId="2155C0E2" w14:textId="71D555EC">
      <w:pPr>
        <w:spacing w:after="0" w:line="360" w:lineRule="auto"/>
        <w:rPr>
          <w:rFonts w:eastAsia="Times New Roman" w:cs="Tahoma"/>
          <w:color w:val="auto"/>
          <w:lang w:val="es-ES_tradnl" w:eastAsia="es-ES"/>
        </w:rPr>
      </w:pPr>
    </w:p>
    <w:p w:rsidR="00E656DC" w:rsidP="00E656DC" w:rsidRDefault="00E656DC" w14:paraId="4E860687" w14:textId="4CD11BB6">
      <w:pPr>
        <w:spacing w:after="0" w:line="360" w:lineRule="auto"/>
        <w:rPr>
          <w:rFonts w:eastAsia="Calibri" w:cs="Tahoma"/>
          <w:color w:val="000000"/>
          <w:lang w:val="es-ES" w:eastAsia="es-MX"/>
        </w:rPr>
      </w:pPr>
      <w:r>
        <w:rPr>
          <w:rFonts w:eastAsia="Times New Roman" w:cs="Tahoma"/>
          <w:color w:val="auto"/>
          <w:lang w:val="es-ES_tradnl" w:eastAsia="es-ES"/>
        </w:rPr>
        <w:t xml:space="preserve">Por lo que, contrario a lo señalado por dicha área, si cuenta con atribuciones para conocer de las </w:t>
      </w:r>
      <w:r w:rsidRPr="00B73E1B">
        <w:rPr>
          <w:rFonts w:eastAsia="Calibri" w:cs="Tahoma"/>
          <w:color w:val="000000"/>
          <w:lang w:val="es-ES" w:eastAsia="es-MX"/>
        </w:rPr>
        <w:t>pólizas</w:t>
      </w:r>
      <w:r>
        <w:rPr>
          <w:rFonts w:eastAsia="Calibri" w:cs="Tahoma"/>
          <w:color w:val="000000"/>
          <w:lang w:val="es-ES" w:eastAsia="es-MX"/>
        </w:rPr>
        <w:t xml:space="preserve"> de seguros o fianzas</w:t>
      </w:r>
      <w:r w:rsidRPr="00B73E1B">
        <w:rPr>
          <w:rFonts w:eastAsia="Calibri" w:cs="Tahoma"/>
          <w:color w:val="000000"/>
          <w:lang w:val="es-ES" w:eastAsia="es-MX"/>
        </w:rPr>
        <w:t xml:space="preserve"> </w:t>
      </w:r>
      <w:r>
        <w:rPr>
          <w:rFonts w:eastAsia="Calibri" w:cs="Tahoma"/>
          <w:color w:val="000000"/>
          <w:lang w:val="es-ES" w:eastAsia="es-MX"/>
        </w:rPr>
        <w:t xml:space="preserve">que garanticen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Pr>
          <w:rFonts w:eastAsia="Calibri" w:cs="Tahoma"/>
          <w:color w:val="000000"/>
          <w:lang w:eastAsia="es-MX"/>
        </w:rPr>
        <w:t>, entregadas por los permisionarios para obtener un Permiso</w:t>
      </w:r>
      <w:r>
        <w:rPr>
          <w:rFonts w:eastAsia="Calibri" w:cs="Tahoma"/>
          <w:color w:val="000000"/>
          <w:lang w:val="es-ES" w:eastAsia="es-MX"/>
        </w:rPr>
        <w:t xml:space="preserve"> de Distribución de Agua Potable en Pipas</w:t>
      </w:r>
      <w:r w:rsidR="00644BE2">
        <w:rPr>
          <w:rFonts w:eastAsia="Calibri" w:cs="Tahoma"/>
          <w:color w:val="000000"/>
          <w:lang w:val="es-ES" w:eastAsia="es-MX"/>
        </w:rPr>
        <w:t>.</w:t>
      </w:r>
    </w:p>
    <w:p w:rsidR="00644BE2" w:rsidP="00E656DC" w:rsidRDefault="00644BE2" w14:paraId="0D20ED29" w14:textId="433701C8">
      <w:pPr>
        <w:spacing w:after="0" w:line="360" w:lineRule="auto"/>
        <w:rPr>
          <w:rFonts w:eastAsia="Calibri" w:cs="Tahoma"/>
          <w:color w:val="000000"/>
          <w:lang w:val="es-ES" w:eastAsia="es-MX"/>
        </w:rPr>
      </w:pPr>
    </w:p>
    <w:p w:rsidR="00F96A40" w:rsidP="00FE73D0" w:rsidRDefault="00644BE2" w14:paraId="558A1356" w14:textId="22FDD057">
      <w:pPr>
        <w:spacing w:after="0" w:line="360" w:lineRule="auto"/>
        <w:rPr>
          <w:rFonts w:eastAsia="Calibri" w:cs="Tahoma"/>
          <w:color w:val="000000"/>
          <w:lang w:val="es-ES" w:eastAsia="es-MX"/>
        </w:rPr>
      </w:pPr>
      <w:r>
        <w:rPr>
          <w:rFonts w:eastAsia="Calibri" w:cs="Tahoma"/>
          <w:color w:val="000000"/>
          <w:lang w:val="es-ES" w:eastAsia="es-MX"/>
        </w:rPr>
        <w:lastRenderedPageBreak/>
        <w:t xml:space="preserve">Conforme a lo anterior y toda vez, que el pronunciamiento realizado por la </w:t>
      </w:r>
      <w:r w:rsidRPr="00644BE2">
        <w:rPr>
          <w:rFonts w:eastAsia="Calibri" w:cs="Tahoma"/>
          <w:color w:val="000000"/>
          <w:lang w:val="es-ES" w:eastAsia="es-MX"/>
        </w:rPr>
        <w:t>Dirección General de Administración y Finanzas</w:t>
      </w:r>
      <w:r>
        <w:rPr>
          <w:rFonts w:eastAsia="Calibri" w:cs="Tahoma"/>
          <w:color w:val="000000"/>
          <w:lang w:val="es-ES" w:eastAsia="es-MX"/>
        </w:rPr>
        <w:t xml:space="preserve"> resulta improcedente, al tener facultades para conocer de lo peticionado y que no turno la solicitud de información a las Gerencias Regionales con las que cuenta la Comisión del Agua del Estado de México, se considera que el agravio es </w:t>
      </w:r>
      <w:r>
        <w:rPr>
          <w:rFonts w:eastAsia="Calibri" w:cs="Tahoma"/>
          <w:b/>
          <w:bCs/>
          <w:color w:val="000000"/>
          <w:lang w:val="es-ES" w:eastAsia="es-MX"/>
        </w:rPr>
        <w:t xml:space="preserve">FUNDADO. </w:t>
      </w:r>
    </w:p>
    <w:p w:rsidR="00644BE2" w:rsidP="00FE73D0" w:rsidRDefault="00644BE2" w14:paraId="7E2E673A" w14:textId="553B232A">
      <w:pPr>
        <w:spacing w:after="0" w:line="360" w:lineRule="auto"/>
        <w:rPr>
          <w:rFonts w:eastAsia="Calibri" w:cs="Tahoma"/>
          <w:color w:val="000000"/>
          <w:lang w:val="es-ES" w:eastAsia="es-MX"/>
        </w:rPr>
      </w:pPr>
    </w:p>
    <w:p w:rsidRPr="00644BE2" w:rsidR="00644BE2" w:rsidP="00FE73D0" w:rsidRDefault="00644BE2" w14:paraId="58C0EF47" w14:textId="6D1B73C8">
      <w:pPr>
        <w:spacing w:after="0" w:line="360" w:lineRule="auto"/>
        <w:rPr>
          <w:rFonts w:eastAsia="Calibri" w:cs="Tahoma"/>
          <w:color w:val="000000"/>
          <w:lang w:val="es-ES" w:eastAsia="es-MX"/>
        </w:rPr>
      </w:pPr>
      <w:r>
        <w:rPr>
          <w:rFonts w:eastAsia="Calibri" w:cs="Tahoma"/>
          <w:color w:val="000000"/>
          <w:lang w:val="es-ES" w:eastAsia="es-MX"/>
        </w:rPr>
        <w:t xml:space="preserve">Situación que toma relevancia, pues durante la sustanciación del Medio de Impugnación, la Dirección General de Administración y Finanzas, precisó que turno la solicitud a la </w:t>
      </w:r>
      <w:r w:rsidR="006B089A">
        <w:rPr>
          <w:rFonts w:eastAsia="Calibri" w:cs="Tahoma"/>
          <w:color w:val="000000"/>
          <w:lang w:val="es-ES" w:eastAsia="es-MX"/>
        </w:rPr>
        <w:t xml:space="preserve">Unidad de Apoyo Administrativo de la Gerencia Regional de Texcoco, la cual había mencionado que contaba con </w:t>
      </w:r>
      <w:r w:rsidR="00DF1C8B">
        <w:rPr>
          <w:rFonts w:eastAsia="Calibri" w:cs="Tahoma"/>
          <w:color w:val="000000"/>
          <w:lang w:val="es-ES" w:eastAsia="es-MX"/>
        </w:rPr>
        <w:t xml:space="preserve">una fianza emitida por la </w:t>
      </w:r>
      <w:r w:rsidRPr="00DF1C8B" w:rsidR="00DF1C8B">
        <w:rPr>
          <w:rFonts w:eastAsia="Calibri" w:cs="Tahoma"/>
          <w:color w:val="000000"/>
          <w:lang w:val="es-ES" w:eastAsia="es-MX"/>
        </w:rPr>
        <w:t xml:space="preserve">Aseguradora Aserta S.A. de C.V., la cual </w:t>
      </w:r>
      <w:r w:rsidR="00DF1C8B">
        <w:rPr>
          <w:rFonts w:eastAsia="Calibri" w:cs="Tahoma"/>
          <w:color w:val="000000"/>
          <w:lang w:val="es-ES" w:eastAsia="es-MX"/>
        </w:rPr>
        <w:t xml:space="preserve">tenía </w:t>
      </w:r>
      <w:r w:rsidRPr="00DF1C8B" w:rsidR="00DF1C8B">
        <w:rPr>
          <w:rFonts w:eastAsia="Calibri" w:cs="Tahoma"/>
          <w:color w:val="000000"/>
          <w:lang w:val="es-ES" w:eastAsia="es-MX"/>
        </w:rPr>
        <w:t>por objeto garantizar el pago de daños a terceros por la distribución de agua potable que no cumpla con la calidad que establece la NOM-127-SSAI-1994</w:t>
      </w:r>
      <w:r w:rsidR="00DF1C8B">
        <w:rPr>
          <w:rFonts w:eastAsia="Calibri" w:cs="Tahoma"/>
          <w:color w:val="000000"/>
          <w:lang w:val="es-ES" w:eastAsia="es-MX"/>
        </w:rPr>
        <w:t>.</w:t>
      </w:r>
    </w:p>
    <w:p w:rsidRPr="00093F9F" w:rsidR="00F96A40" w:rsidP="00FE73D0" w:rsidRDefault="00F96A40" w14:paraId="0AC2587F" w14:textId="77777777">
      <w:pPr>
        <w:spacing w:after="0" w:line="360" w:lineRule="auto"/>
        <w:rPr>
          <w:rFonts w:eastAsia="Times New Roman" w:cs="Tahoma"/>
          <w:color w:val="auto"/>
          <w:lang w:val="es-ES_tradnl" w:eastAsia="es-ES"/>
        </w:rPr>
      </w:pPr>
    </w:p>
    <w:p w:rsidR="006678F5" w:rsidP="00FE73D0" w:rsidRDefault="00DF1C8B" w14:paraId="538C4666" w14:textId="1D0B9D0E">
      <w:pPr>
        <w:spacing w:after="0" w:line="360" w:lineRule="auto"/>
        <w:rPr>
          <w:rFonts w:eastAsia="Calibri" w:cs="Tahoma"/>
          <w:color w:val="000000"/>
          <w:lang w:val="es-ES" w:eastAsia="es-MX"/>
        </w:rPr>
      </w:pPr>
      <w:r>
        <w:rPr>
          <w:rFonts w:eastAsia="Times New Roman" w:cs="Tahoma"/>
          <w:color w:val="auto"/>
          <w:lang w:val="es-ES" w:eastAsia="es-ES"/>
        </w:rPr>
        <w:t xml:space="preserve">En ese contexto, si bien durante la sustanciación del Medio de Impugnación, revocó su respuesta y proporcionó el nombre de una de las instituciones que brinda la póliza requerida, lo cierto es que no se turno el requerimiento de información a todas las Unidades de Apoyo Administrativo de las Gerencias Regionales y, por lo tanto, no se tiene certeza que sea la única información que obren en sus archivos; pues de la revisión del Portal de Información Pública de Oficio Mexiquense de la Comisión del Agua del Estado de México, en específico de la fracción XXXII, se advierte que no tiene publicada la información de los permisos otorgados para la </w:t>
      </w:r>
      <w:r>
        <w:rPr>
          <w:rFonts w:eastAsia="Calibri" w:cs="Tahoma"/>
          <w:color w:val="000000"/>
          <w:lang w:val="es-ES" w:eastAsia="es-MX"/>
        </w:rPr>
        <w:t>Distribución de Agua Potable en Pipas</w:t>
      </w:r>
      <w:r w:rsidR="00770F00">
        <w:rPr>
          <w:rFonts w:eastAsia="Calibri" w:cs="Tahoma"/>
          <w:color w:val="000000"/>
          <w:lang w:val="es-ES" w:eastAsia="es-MX"/>
        </w:rPr>
        <w:t>.</w:t>
      </w:r>
    </w:p>
    <w:p w:rsidR="00770F00" w:rsidP="00FE73D0" w:rsidRDefault="00770F00" w14:paraId="6194EAFD" w14:textId="2907E200">
      <w:pPr>
        <w:spacing w:after="0" w:line="360" w:lineRule="auto"/>
        <w:rPr>
          <w:rFonts w:eastAsia="Calibri" w:cs="Tahoma"/>
          <w:color w:val="000000"/>
          <w:lang w:val="es-ES" w:eastAsia="es-MX"/>
        </w:rPr>
      </w:pPr>
    </w:p>
    <w:p w:rsidR="00770F00" w:rsidP="00770F00" w:rsidRDefault="00770F00" w14:paraId="7C2A9F0C" w14:textId="4D2376A4">
      <w:p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 xml:space="preserve">Por lo que, en el presente caso, este Instituto considera que, para atender el requerimiento de información, el Sujeto Obligado deberá de realizar una búsqueda, en términos del artículo 162 de la Ley de Transparencia y Acceso a la Información Pública del Estado de México y Municipios, en las Gerencias Regionales </w:t>
      </w:r>
      <w:r>
        <w:rPr>
          <w:rFonts w:eastAsia="Times New Roman" w:cs="Times New Roman"/>
          <w:color w:val="auto"/>
          <w:lang w:eastAsia="es-ES"/>
        </w:rPr>
        <w:t xml:space="preserve">(Toluca, Cuautitlán Poniente, Cuautitlán Oriente, </w:t>
      </w:r>
      <w:r>
        <w:rPr>
          <w:rFonts w:eastAsia="Times New Roman" w:cs="Times New Roman"/>
          <w:color w:val="auto"/>
          <w:lang w:eastAsia="es-ES"/>
        </w:rPr>
        <w:lastRenderedPageBreak/>
        <w:t xml:space="preserve">Atlacomulco, Coatepec Harinas, Tejupilco-Valle de Bravo y Texcoco) y sus Unidades de Apoyo Administrativo, a efecto de proporcionar, respecto </w:t>
      </w:r>
      <w:r>
        <w:rPr>
          <w:rFonts w:eastAsia="Calibri" w:cs="Tahoma"/>
          <w:color w:val="000000"/>
          <w:lang w:val="es-ES" w:eastAsia="es-MX"/>
        </w:rPr>
        <w:t>a los Permisos de Distribución de Agua Potable en Pipas, vigentes al veintinueve de septiembre de dos mil veintiuno, los documentos donde conste, lo siguiente:</w:t>
      </w:r>
    </w:p>
    <w:p w:rsidR="00770F00" w:rsidP="00770F00" w:rsidRDefault="00770F00" w14:paraId="0A248CA5" w14:textId="77777777">
      <w:pPr>
        <w:autoSpaceDE w:val="0"/>
        <w:autoSpaceDN w:val="0"/>
        <w:adjustRightInd w:val="0"/>
        <w:spacing w:after="0" w:line="360" w:lineRule="auto"/>
        <w:rPr>
          <w:rFonts w:eastAsia="Calibri" w:cs="Tahoma"/>
          <w:color w:val="000000"/>
          <w:lang w:val="es-ES" w:eastAsia="es-MX"/>
        </w:rPr>
      </w:pPr>
    </w:p>
    <w:p w:rsidRPr="00CF6BD1" w:rsidR="00770F00" w:rsidP="00770F00" w:rsidRDefault="00770F00" w14:paraId="37343E07" w14:textId="64219AE7">
      <w:pPr>
        <w:pStyle w:val="Prrafodelista"/>
        <w:numPr>
          <w:ilvl w:val="0"/>
          <w:numId w:val="14"/>
        </w:numPr>
        <w:autoSpaceDE w:val="0"/>
        <w:autoSpaceDN w:val="0"/>
        <w:adjustRightInd w:val="0"/>
        <w:spacing w:after="0" w:line="360" w:lineRule="auto"/>
        <w:rPr>
          <w:rFonts w:eastAsia="Calibri" w:cs="Tahoma"/>
          <w:color w:val="000000"/>
          <w:lang w:val="es-ES" w:eastAsia="es-MX"/>
        </w:rPr>
      </w:pPr>
      <w:r w:rsidRPr="00B73E1B">
        <w:rPr>
          <w:rFonts w:eastAsia="Calibri" w:cs="Tahoma"/>
          <w:color w:val="000000"/>
          <w:lang w:val="es-ES" w:eastAsia="es-MX"/>
        </w:rPr>
        <w:t>Número total de pólizas</w:t>
      </w:r>
      <w:r>
        <w:rPr>
          <w:rFonts w:eastAsia="Calibri" w:cs="Tahoma"/>
          <w:color w:val="000000"/>
          <w:lang w:val="es-ES" w:eastAsia="es-MX"/>
        </w:rPr>
        <w:t xml:space="preserve"> de seguros o fianzas</w:t>
      </w:r>
      <w:r w:rsidRPr="00B73E1B">
        <w:rPr>
          <w:rFonts w:eastAsia="Calibri" w:cs="Tahoma"/>
          <w:color w:val="000000"/>
          <w:lang w:val="es-ES" w:eastAsia="es-MX"/>
        </w:rPr>
        <w:t xml:space="preserve"> </w:t>
      </w:r>
      <w:r>
        <w:rPr>
          <w:rFonts w:eastAsia="Calibri" w:cs="Tahoma"/>
          <w:color w:val="000000"/>
          <w:lang w:val="es-ES" w:eastAsia="es-MX"/>
        </w:rPr>
        <w:t xml:space="preserve">que garanticen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Pr>
          <w:rFonts w:eastAsia="Calibri" w:cs="Tahoma"/>
          <w:color w:val="000000"/>
          <w:lang w:eastAsia="es-MX"/>
        </w:rPr>
        <w:t>, presentadas por los permisionarios, y</w:t>
      </w:r>
    </w:p>
    <w:p w:rsidRPr="00CF6BD1" w:rsidR="00770F00" w:rsidP="00770F00" w:rsidRDefault="00770F00" w14:paraId="6A3C7333" w14:textId="77777777">
      <w:pPr>
        <w:pStyle w:val="Prrafodelista"/>
        <w:autoSpaceDE w:val="0"/>
        <w:autoSpaceDN w:val="0"/>
        <w:adjustRightInd w:val="0"/>
        <w:spacing w:after="0" w:line="360" w:lineRule="auto"/>
        <w:rPr>
          <w:rFonts w:eastAsia="Calibri" w:cs="Tahoma"/>
          <w:color w:val="000000"/>
          <w:lang w:val="es-ES" w:eastAsia="es-MX"/>
        </w:rPr>
      </w:pPr>
    </w:p>
    <w:p w:rsidR="00770F00" w:rsidP="00770F00" w:rsidRDefault="00770F00" w14:paraId="2C1C5182" w14:textId="77777777">
      <w:pPr>
        <w:pStyle w:val="Prrafodelista"/>
        <w:numPr>
          <w:ilvl w:val="0"/>
          <w:numId w:val="14"/>
        </w:num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Nombre de las instituciones que emitieron dichas pólizas.</w:t>
      </w:r>
    </w:p>
    <w:p w:rsidR="00770F00" w:rsidP="00FE73D0" w:rsidRDefault="00770F00" w14:paraId="2E75D7AB" w14:textId="556FA3DE">
      <w:pPr>
        <w:spacing w:after="0" w:line="360" w:lineRule="auto"/>
        <w:rPr>
          <w:rFonts w:eastAsia="Times New Roman" w:cs="Tahoma"/>
          <w:color w:val="auto"/>
          <w:lang w:val="es-ES" w:eastAsia="es-ES"/>
        </w:rPr>
      </w:pPr>
    </w:p>
    <w:p w:rsidRPr="00CA4417" w:rsidR="00CA4417" w:rsidP="00FE73D0" w:rsidRDefault="00770F00" w14:paraId="18B4F177" w14:textId="5A65BD8F">
      <w:pPr>
        <w:spacing w:after="0" w:line="360" w:lineRule="auto"/>
        <w:rPr>
          <w:rFonts w:eastAsia="Calibri" w:cs="Tahoma"/>
          <w:color w:val="000000"/>
        </w:rPr>
      </w:pPr>
      <w:r>
        <w:rPr>
          <w:rFonts w:eastAsia="Calibri" w:cs="Tahoma"/>
          <w:color w:val="000000"/>
        </w:rPr>
        <w:t>D</w:t>
      </w:r>
      <w:r w:rsidRPr="00CA4417" w:rsidR="00CA4417">
        <w:rPr>
          <w:rFonts w:eastAsia="Calibri" w:cs="Tahoma"/>
          <w:color w:val="000000"/>
        </w:rPr>
        <w:t xml:space="preserve">icha </w:t>
      </w:r>
      <w:r>
        <w:rPr>
          <w:rFonts w:eastAsia="Calibri" w:cs="Tahoma"/>
          <w:color w:val="000000"/>
        </w:rPr>
        <w:t xml:space="preserve">determinación, </w:t>
      </w:r>
      <w:r w:rsidRPr="00CA4417" w:rsidR="00CA4417">
        <w:rPr>
          <w:rFonts w:eastAsia="Calibri" w:cs="Tahoma"/>
          <w:color w:val="000000"/>
        </w:rPr>
        <w:t>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rsidRPr="00CA4417" w:rsidR="00CA4417" w:rsidP="00FE73D0" w:rsidRDefault="00CA4417" w14:paraId="70A01D1F" w14:textId="77777777">
      <w:pPr>
        <w:spacing w:after="0" w:line="360" w:lineRule="auto"/>
        <w:rPr>
          <w:rFonts w:eastAsia="Calibri" w:cs="Tahoma"/>
          <w:color w:val="000000"/>
        </w:rPr>
      </w:pPr>
    </w:p>
    <w:p w:rsidRPr="00CA4417" w:rsidR="00CA4417" w:rsidP="00FE73D0" w:rsidRDefault="00CA4417" w14:paraId="498A259F" w14:textId="77777777">
      <w:pPr>
        <w:spacing w:after="0" w:line="360" w:lineRule="auto"/>
        <w:rPr>
          <w:rFonts w:eastAsia="Calibri" w:cs="Tahoma"/>
          <w:color w:val="000000"/>
        </w:rPr>
      </w:pPr>
      <w:r w:rsidRPr="00CA4417">
        <w:rPr>
          <w:rFonts w:eastAsia="Calibri" w:cs="Tahoma"/>
          <w:color w:val="000000"/>
        </w:rPr>
        <w:t xml:space="preserve">De esta manera, el derecho de acceso a la información pública se satisface en aquellos casos en que se entregue el soporte documental en el que conste la información solicitada, sin necesidad de elaborar documentos ad hoc; lo cual, de conformidad con en el artículo 160 de la Ley de Transparencia y Acceso a la Información Pública del Estado de México y Municipios, el cual refiere que los sujetos obligados deberán entregar la información que obre en sus archivos. </w:t>
      </w:r>
    </w:p>
    <w:p w:rsidRPr="00CA4417" w:rsidR="00CA4417" w:rsidP="00FE73D0" w:rsidRDefault="00CA4417" w14:paraId="53D22C3D" w14:textId="77777777">
      <w:pPr>
        <w:spacing w:after="0" w:line="360" w:lineRule="auto"/>
        <w:rPr>
          <w:rFonts w:eastAsia="Calibri" w:cs="Tahoma"/>
          <w:color w:val="000000"/>
        </w:rPr>
      </w:pPr>
    </w:p>
    <w:p w:rsidRPr="00CA4417" w:rsidR="00CA4417" w:rsidP="00FE73D0" w:rsidRDefault="00CA4417" w14:paraId="40F7F415" w14:textId="533D6515">
      <w:pPr>
        <w:spacing w:after="0" w:line="360" w:lineRule="auto"/>
        <w:rPr>
          <w:rFonts w:eastAsia="Calibri" w:cs="Tahoma"/>
          <w:color w:val="000000"/>
        </w:rPr>
      </w:pPr>
      <w:r w:rsidRPr="00CA4417">
        <w:rPr>
          <w:rFonts w:eastAsia="Calibri" w:cs="Tahoma"/>
          <w:color w:val="000000"/>
        </w:rPr>
        <w:t xml:space="preserve">De tales circunstancias, se concluye que los sujetos obligados únicamente se encuentran constreñidos a proporcionar los documentos que den cuenta de la información solicitada, como </w:t>
      </w:r>
      <w:r w:rsidRPr="00CA4417">
        <w:rPr>
          <w:rFonts w:eastAsia="Calibri" w:cs="Tahoma"/>
          <w:color w:val="000000"/>
        </w:rPr>
        <w:lastRenderedPageBreak/>
        <w:t xml:space="preserve">obren en sus archivos, sin tener que elaborarlos a las necesidades del Recurrente; </w:t>
      </w:r>
      <w:r w:rsidR="00770F00">
        <w:rPr>
          <w:rFonts w:eastAsia="Calibri" w:cs="Tahoma"/>
          <w:color w:val="000000"/>
        </w:rPr>
        <w:t xml:space="preserve">por lo que, en el presente caso, deberá entregar los documentos donde consten la información de las </w:t>
      </w:r>
      <w:r w:rsidRPr="00B73E1B" w:rsidR="00770F00">
        <w:rPr>
          <w:rFonts w:eastAsia="Calibri" w:cs="Tahoma"/>
          <w:color w:val="000000"/>
          <w:lang w:val="es-ES" w:eastAsia="es-MX"/>
        </w:rPr>
        <w:t>pólizas</w:t>
      </w:r>
      <w:r w:rsidR="00770F00">
        <w:rPr>
          <w:rFonts w:eastAsia="Calibri" w:cs="Tahoma"/>
          <w:color w:val="000000"/>
          <w:lang w:val="es-ES" w:eastAsia="es-MX"/>
        </w:rPr>
        <w:t xml:space="preserve"> de seguros o fianzas</w:t>
      </w:r>
      <w:r w:rsidRPr="00B73E1B" w:rsidR="00770F00">
        <w:rPr>
          <w:rFonts w:eastAsia="Calibri" w:cs="Tahoma"/>
          <w:color w:val="000000"/>
          <w:lang w:val="es-ES" w:eastAsia="es-MX"/>
        </w:rPr>
        <w:t xml:space="preserve"> </w:t>
      </w:r>
      <w:r w:rsidR="00770F00">
        <w:rPr>
          <w:rFonts w:eastAsia="Calibri" w:cs="Tahoma"/>
          <w:color w:val="000000"/>
          <w:lang w:val="es-ES" w:eastAsia="es-MX"/>
        </w:rPr>
        <w:t xml:space="preserve">que garanticen el pago de daños a </w:t>
      </w:r>
      <w:r w:rsidRPr="00874756" w:rsidR="00770F00">
        <w:rPr>
          <w:rFonts w:eastAsia="Calibri" w:cs="Tahoma"/>
          <w:color w:val="000000"/>
          <w:lang w:eastAsia="es-MX"/>
        </w:rPr>
        <w:t xml:space="preserve">a terceros por la distribución de agua que no cumpla con la calidad que establece </w:t>
      </w:r>
      <w:r w:rsidRPr="005438BC" w:rsidR="00770F00">
        <w:rPr>
          <w:rFonts w:eastAsia="Calibri" w:cs="Tahoma"/>
          <w:color w:val="000000"/>
          <w:lang w:eastAsia="es-MX"/>
        </w:rPr>
        <w:t>la NOM-127-SSA1-1994</w:t>
      </w:r>
      <w:r w:rsidR="00770F00">
        <w:rPr>
          <w:rFonts w:eastAsia="Calibri" w:cs="Tahoma"/>
          <w:color w:val="000000"/>
          <w:lang w:eastAsia="es-MX"/>
        </w:rPr>
        <w:t>, presentadas por los permisionarios</w:t>
      </w:r>
      <w:r w:rsidR="003A7605">
        <w:rPr>
          <w:rFonts w:eastAsia="Calibri" w:cs="Tahoma"/>
          <w:color w:val="000000"/>
          <w:lang w:eastAsia="es-MX"/>
        </w:rPr>
        <w:t xml:space="preserve"> para obtener la autorización de </w:t>
      </w:r>
      <w:r w:rsidR="003A7605">
        <w:rPr>
          <w:rFonts w:eastAsia="Calibri" w:cs="Tahoma"/>
          <w:color w:val="000000"/>
          <w:lang w:val="es-ES" w:eastAsia="es-MX"/>
        </w:rPr>
        <w:t>Distribución de Agua Potable en Pipas.</w:t>
      </w:r>
    </w:p>
    <w:p w:rsidR="00CA4417" w:rsidP="00FE73D0" w:rsidRDefault="00CA4417" w14:paraId="035B8DE5" w14:textId="57567CFA">
      <w:pPr>
        <w:spacing w:after="0" w:line="360" w:lineRule="auto"/>
        <w:rPr>
          <w:rFonts w:eastAsia="Calibri" w:cs="Tahoma"/>
          <w:color w:val="000000"/>
        </w:rPr>
      </w:pPr>
    </w:p>
    <w:p w:rsidRPr="003A7605" w:rsidR="003A7605" w:rsidP="003A7605" w:rsidRDefault="003A7605" w14:paraId="35AD998B" w14:textId="241DB73B">
      <w:pPr>
        <w:spacing w:after="0" w:line="360" w:lineRule="auto"/>
        <w:rPr>
          <w:rFonts w:cs="Tahoma"/>
          <w:iCs/>
          <w:lang w:val="es-ES"/>
        </w:rPr>
      </w:pPr>
      <w:r>
        <w:rPr>
          <w:rFonts w:cs="Tahoma"/>
          <w:iCs/>
          <w:lang w:val="es-ES"/>
        </w:rPr>
        <w:t>Finalmente</w:t>
      </w:r>
      <w:r w:rsidRPr="003A7605">
        <w:rPr>
          <w:rFonts w:cs="Tahoma"/>
          <w:iCs/>
          <w:lang w:val="es-ES"/>
        </w:rPr>
        <w:t>, no pasa desapercibido para este Instituto que los documentos que atiendan la solicitud,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3A7605" w:rsidR="003A7605" w:rsidP="003A7605" w:rsidRDefault="003A7605" w14:paraId="5FE83493" w14:textId="77777777">
      <w:pPr>
        <w:spacing w:after="0" w:line="360" w:lineRule="auto"/>
        <w:rPr>
          <w:rFonts w:cs="Tahoma"/>
          <w:iCs/>
          <w:lang w:val="es-ES"/>
        </w:rPr>
      </w:pPr>
    </w:p>
    <w:p w:rsidRPr="003A7605" w:rsidR="003A7605" w:rsidP="003A7605" w:rsidRDefault="003A7605" w14:paraId="6A35C564" w14:textId="77777777">
      <w:pPr>
        <w:spacing w:after="0" w:line="360" w:lineRule="auto"/>
        <w:rPr>
          <w:rFonts w:eastAsia="Calibri" w:cs="Tahoma"/>
          <w:bCs/>
          <w:color w:val="000000"/>
          <w:lang w:val="es-ES"/>
        </w:rPr>
      </w:pPr>
      <w:r w:rsidRPr="003A7605">
        <w:rPr>
          <w:rFonts w:cs="Tahoma"/>
          <w:iCs/>
          <w:lang w:val="es-ES"/>
        </w:rPr>
        <w:t>Para tal situación, el Sujeto Obligado deberá seguir el procedimiento establecido en el artículo 168</w:t>
      </w:r>
      <w:r w:rsidRPr="003A7605">
        <w:rPr>
          <w:rFonts w:eastAsia="Calibri" w:cs="Tahoma"/>
          <w:bCs/>
          <w:color w:val="000000"/>
          <w:lang w:val="es-ES"/>
        </w:rPr>
        <w:t xml:space="preserve"> de dicho ordenamiento jurídico; esto es, que el área competente deberá elaborar la versión pública, así como emitir el Acuerdo, por parte del Comité de Transparencia, donde confirme la clasificación de los datos, fundando y motivando la clasificación, con el fin de dar cumplimiento a la normatividad aplicable.</w:t>
      </w:r>
    </w:p>
    <w:p w:rsidR="00CA4417" w:rsidP="00FE73D0" w:rsidRDefault="00CA4417" w14:paraId="28E8DA7C" w14:textId="77777777">
      <w:pPr>
        <w:spacing w:after="0" w:line="360" w:lineRule="auto"/>
        <w:rPr>
          <w:rFonts w:eastAsia="Calibri" w:cs="Tahoma"/>
          <w:color w:val="000000"/>
        </w:rPr>
      </w:pPr>
    </w:p>
    <w:p w:rsidRPr="003A79F3" w:rsidR="003A7605" w:rsidP="003A7605" w:rsidRDefault="003A7605" w14:paraId="607CD1AD" w14:textId="77777777">
      <w:pPr>
        <w:spacing w:after="0" w:line="360" w:lineRule="auto"/>
        <w:rPr>
          <w:rFonts w:eastAsia="Times New Roman" w:cs="Tahoma"/>
          <w:iCs/>
          <w:color w:val="auto"/>
          <w:lang w:eastAsia="es-ES"/>
        </w:rPr>
      </w:pPr>
      <w:r w:rsidRPr="003A79F3">
        <w:rPr>
          <w:rFonts w:eastAsia="Times New Roman" w:cs="Tahoma"/>
          <w:b/>
          <w:iCs/>
          <w:color w:val="auto"/>
          <w:lang w:val="es-ES" w:eastAsia="es-ES"/>
        </w:rPr>
        <w:t>SEXTO. Decisión.</w:t>
      </w:r>
    </w:p>
    <w:p w:rsidRPr="003A79F3" w:rsidR="003A7605" w:rsidP="003A7605" w:rsidRDefault="003A7605" w14:paraId="2F84D21C" w14:textId="77777777">
      <w:pPr>
        <w:spacing w:after="0" w:line="360" w:lineRule="auto"/>
        <w:rPr>
          <w:rFonts w:eastAsia="Times New Roman" w:cs="Tahoma"/>
          <w:iCs/>
          <w:color w:val="auto"/>
          <w:lang w:eastAsia="es-ES"/>
        </w:rPr>
      </w:pPr>
    </w:p>
    <w:p w:rsidR="003A7605" w:rsidP="003A7605" w:rsidRDefault="003A7605" w14:paraId="11DBA1F5" w14:textId="77777777">
      <w:pPr>
        <w:autoSpaceDE w:val="0"/>
        <w:autoSpaceDN w:val="0"/>
        <w:adjustRightInd w:val="0"/>
        <w:spacing w:after="0" w:line="360" w:lineRule="auto"/>
        <w:rPr>
          <w:rFonts w:eastAsia="Calibri" w:cs="Tahoma"/>
          <w:color w:val="000000"/>
          <w:lang w:val="es-ES" w:eastAsia="es-MX"/>
        </w:rPr>
      </w:pPr>
      <w:r w:rsidRPr="005E242C">
        <w:rPr>
          <w:rFonts w:cs="Tahoma"/>
        </w:rPr>
        <w:t xml:space="preserve">Con fundamento en el artículo 186, fracción III, de la Ley de Transparencia y Acceso a la Información Pública del Estado de México y Municipios, este Instituto considera procedente </w:t>
      </w:r>
      <w:r>
        <w:rPr>
          <w:rFonts w:cs="Tahoma"/>
          <w:b/>
        </w:rPr>
        <w:lastRenderedPageBreak/>
        <w:t>REVOCAR</w:t>
      </w:r>
      <w:r w:rsidRPr="005E242C">
        <w:rPr>
          <w:rFonts w:cs="Tahoma"/>
          <w:b/>
        </w:rPr>
        <w:t xml:space="preserve"> </w:t>
      </w:r>
      <w:r w:rsidRPr="005E242C">
        <w:rPr>
          <w:rFonts w:cs="Tahoma"/>
        </w:rPr>
        <w:t>la repuesta otorgada por el Sujeto Obligado, a efecto de que</w:t>
      </w:r>
      <w:r>
        <w:rPr>
          <w:rFonts w:cs="Tahoma"/>
        </w:rPr>
        <w:t xml:space="preserve">, previa búsqueda exhaustiva y razonable en los archivos de las unidades administrativas competentes, </w:t>
      </w:r>
      <w:r>
        <w:rPr>
          <w:rFonts w:eastAsia="Calibri" w:cs="Tahoma"/>
          <w:color w:val="000000"/>
          <w:lang w:val="es-ES" w:eastAsia="es-MX"/>
        </w:rPr>
        <w:t xml:space="preserve">Gerencias Regionales </w:t>
      </w:r>
      <w:r>
        <w:rPr>
          <w:rFonts w:eastAsia="Times New Roman" w:cs="Times New Roman"/>
          <w:color w:val="auto"/>
          <w:lang w:eastAsia="es-ES"/>
        </w:rPr>
        <w:t>(Toluca, Cuautitlán Poniente, Cuautitlán Oriente, Atlacomulco, Coatepec Harinas, Tejupilco-Valle de Bravo y Texcoco) y sus Unidades de Apoyo Administrativo</w:t>
      </w:r>
      <w:r>
        <w:rPr>
          <w:rFonts w:cs="Tahoma"/>
        </w:rPr>
        <w:t>, entregue</w:t>
      </w:r>
      <w:r w:rsidRPr="005E242C">
        <w:rPr>
          <w:rFonts w:cs="Tahoma"/>
        </w:rPr>
        <w:t>, a través del Sistema de Acceso a la Información Mexiquense (SAIMEX)</w:t>
      </w:r>
      <w:r>
        <w:rPr>
          <w:rFonts w:eastAsia="Times New Roman" w:cs="Tahoma"/>
          <w:iCs/>
          <w:color w:val="auto"/>
          <w:lang w:eastAsia="es-ES"/>
        </w:rPr>
        <w:t xml:space="preserve">, </w:t>
      </w:r>
      <w:r w:rsidRPr="006A0A8E">
        <w:rPr>
          <w:rFonts w:eastAsia="Calibri" w:cs="Tahoma"/>
          <w:iCs/>
          <w:color w:val="auto"/>
          <w:lang w:eastAsia="es-ES_tradnl"/>
        </w:rPr>
        <w:t>en su caso</w:t>
      </w:r>
      <w:r>
        <w:rPr>
          <w:rFonts w:eastAsia="Calibri" w:cs="Tahoma"/>
          <w:iCs/>
          <w:color w:val="auto"/>
          <w:lang w:eastAsia="es-ES_tradnl"/>
        </w:rPr>
        <w:t>,</w:t>
      </w:r>
      <w:r w:rsidRPr="006A0A8E">
        <w:rPr>
          <w:rFonts w:eastAsia="Calibri" w:cs="Tahoma"/>
          <w:iCs/>
          <w:color w:val="auto"/>
          <w:lang w:eastAsia="es-ES_tradnl"/>
        </w:rPr>
        <w:t xml:space="preserve"> en versión pública, </w:t>
      </w:r>
      <w:r>
        <w:rPr>
          <w:rFonts w:eastAsia="Times New Roman" w:cs="Times New Roman"/>
          <w:color w:val="auto"/>
          <w:lang w:eastAsia="es-ES"/>
        </w:rPr>
        <w:t xml:space="preserve">respecto </w:t>
      </w:r>
      <w:r>
        <w:rPr>
          <w:rFonts w:eastAsia="Calibri" w:cs="Tahoma"/>
          <w:color w:val="000000"/>
          <w:lang w:val="es-ES" w:eastAsia="es-MX"/>
        </w:rPr>
        <w:t>a los Permisos de Distribución de Agua Potable en Pipas, vigentes al veintinueve de septiembre de dos mil veintiuno, los documentos donde conste, lo siguiente:</w:t>
      </w:r>
    </w:p>
    <w:p w:rsidR="003A7605" w:rsidP="003A7605" w:rsidRDefault="003A7605" w14:paraId="31E0E4A2" w14:textId="77777777">
      <w:pPr>
        <w:autoSpaceDE w:val="0"/>
        <w:autoSpaceDN w:val="0"/>
        <w:adjustRightInd w:val="0"/>
        <w:spacing w:after="0" w:line="360" w:lineRule="auto"/>
        <w:rPr>
          <w:rFonts w:eastAsia="Calibri" w:cs="Tahoma"/>
          <w:color w:val="000000"/>
          <w:lang w:val="es-ES" w:eastAsia="es-MX"/>
        </w:rPr>
      </w:pPr>
    </w:p>
    <w:p w:rsidRPr="00CF6BD1" w:rsidR="003A7605" w:rsidP="003A7605" w:rsidRDefault="003A7605" w14:paraId="1BAFF046" w14:textId="77777777">
      <w:pPr>
        <w:pStyle w:val="Prrafodelista"/>
        <w:numPr>
          <w:ilvl w:val="0"/>
          <w:numId w:val="14"/>
        </w:numPr>
        <w:autoSpaceDE w:val="0"/>
        <w:autoSpaceDN w:val="0"/>
        <w:adjustRightInd w:val="0"/>
        <w:spacing w:after="0" w:line="360" w:lineRule="auto"/>
        <w:rPr>
          <w:rFonts w:eastAsia="Calibri" w:cs="Tahoma"/>
          <w:color w:val="000000"/>
          <w:lang w:val="es-ES" w:eastAsia="es-MX"/>
        </w:rPr>
      </w:pPr>
      <w:r w:rsidRPr="00B73E1B">
        <w:rPr>
          <w:rFonts w:eastAsia="Calibri" w:cs="Tahoma"/>
          <w:color w:val="000000"/>
          <w:lang w:val="es-ES" w:eastAsia="es-MX"/>
        </w:rPr>
        <w:t>Número total de pólizas</w:t>
      </w:r>
      <w:r>
        <w:rPr>
          <w:rFonts w:eastAsia="Calibri" w:cs="Tahoma"/>
          <w:color w:val="000000"/>
          <w:lang w:val="es-ES" w:eastAsia="es-MX"/>
        </w:rPr>
        <w:t xml:space="preserve"> de seguros o fianzas</w:t>
      </w:r>
      <w:r w:rsidRPr="00B73E1B">
        <w:rPr>
          <w:rFonts w:eastAsia="Calibri" w:cs="Tahoma"/>
          <w:color w:val="000000"/>
          <w:lang w:val="es-ES" w:eastAsia="es-MX"/>
        </w:rPr>
        <w:t xml:space="preserve"> </w:t>
      </w:r>
      <w:r>
        <w:rPr>
          <w:rFonts w:eastAsia="Calibri" w:cs="Tahoma"/>
          <w:color w:val="000000"/>
          <w:lang w:val="es-ES" w:eastAsia="es-MX"/>
        </w:rPr>
        <w:t xml:space="preserve">que garanticen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Pr>
          <w:rFonts w:eastAsia="Calibri" w:cs="Tahoma"/>
          <w:color w:val="000000"/>
          <w:lang w:eastAsia="es-MX"/>
        </w:rPr>
        <w:t>, presentadas por los permisionarios, y</w:t>
      </w:r>
    </w:p>
    <w:p w:rsidRPr="00CF6BD1" w:rsidR="003A7605" w:rsidP="003A7605" w:rsidRDefault="003A7605" w14:paraId="47A1639A" w14:textId="77777777">
      <w:pPr>
        <w:pStyle w:val="Prrafodelista"/>
        <w:autoSpaceDE w:val="0"/>
        <w:autoSpaceDN w:val="0"/>
        <w:adjustRightInd w:val="0"/>
        <w:spacing w:after="0" w:line="360" w:lineRule="auto"/>
        <w:rPr>
          <w:rFonts w:eastAsia="Calibri" w:cs="Tahoma"/>
          <w:color w:val="000000"/>
          <w:lang w:val="es-ES" w:eastAsia="es-MX"/>
        </w:rPr>
      </w:pPr>
    </w:p>
    <w:p w:rsidR="003A7605" w:rsidP="003A7605" w:rsidRDefault="003A7605" w14:paraId="1576F14D" w14:textId="77777777">
      <w:pPr>
        <w:pStyle w:val="Prrafodelista"/>
        <w:numPr>
          <w:ilvl w:val="0"/>
          <w:numId w:val="14"/>
        </w:num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Nombre de las instituciones que emitieron dichas pólizas.</w:t>
      </w:r>
    </w:p>
    <w:p w:rsidR="003A7605" w:rsidP="003A7605" w:rsidRDefault="003A7605" w14:paraId="01AA81AD" w14:textId="0F13CF19">
      <w:pPr>
        <w:spacing w:after="0" w:line="360" w:lineRule="auto"/>
        <w:rPr>
          <w:rFonts w:eastAsia="Times New Roman" w:cs="Tahoma"/>
          <w:iCs/>
          <w:color w:val="auto"/>
          <w:lang w:val="es-ES" w:eastAsia="es-ES"/>
        </w:rPr>
      </w:pPr>
    </w:p>
    <w:p w:rsidR="003A7605" w:rsidP="003A7605" w:rsidRDefault="003A7605" w14:paraId="053D705D" w14:textId="77777777">
      <w:pPr>
        <w:spacing w:after="0" w:line="360" w:lineRule="auto"/>
        <w:rPr>
          <w:rFonts w:eastAsia="Calibri" w:cs="Tahoma"/>
          <w:bCs/>
          <w:iCs/>
          <w:color w:val="000000"/>
        </w:rPr>
      </w:pPr>
      <w:r w:rsidRPr="00201375">
        <w:rPr>
          <w:rFonts w:eastAsia="Times New Roman" w:cs="Tahoma"/>
          <w:iCs/>
          <w:color w:val="auto"/>
          <w:lang w:val="es-ES" w:eastAsia="es-ES"/>
        </w:rPr>
        <w:t>Además, de ser necesario, deberá proporcionar el Acuerdo de Clasificación donde el Comité de Transparencia, confirme la eliminación de los datos o información clasificada, en la versión pública</w:t>
      </w:r>
      <w:r w:rsidRPr="00C56E27">
        <w:rPr>
          <w:rFonts w:eastAsia="Calibri" w:cs="Tahoma"/>
          <w:bCs/>
          <w:iCs/>
          <w:color w:val="000000"/>
        </w:rPr>
        <w:t>, de conformidad con los artículos 49, fracciones II y VIII y 132, fracción II de la Ley de Transparencia y Acceso a la Información Pública del Estado de México y Municipios.</w:t>
      </w:r>
    </w:p>
    <w:p w:rsidRPr="006678F5" w:rsidR="006678F5" w:rsidP="00FE73D0" w:rsidRDefault="006678F5" w14:paraId="5B8EC924" w14:textId="77777777">
      <w:pPr>
        <w:spacing w:after="0" w:line="360" w:lineRule="auto"/>
        <w:rPr>
          <w:rFonts w:eastAsia="Times New Roman" w:cs="Tahoma"/>
          <w:color w:val="auto"/>
          <w:lang w:val="es-ES" w:eastAsia="es-ES"/>
        </w:rPr>
      </w:pPr>
    </w:p>
    <w:p w:rsidRPr="006678F5" w:rsidR="006678F5" w:rsidP="00FE73D0" w:rsidRDefault="006678F5" w14:paraId="0FC753F4" w14:textId="77777777">
      <w:pPr>
        <w:autoSpaceDE w:val="0"/>
        <w:autoSpaceDN w:val="0"/>
        <w:adjustRightInd w:val="0"/>
        <w:spacing w:after="0" w:line="360" w:lineRule="auto"/>
        <w:contextualSpacing/>
        <w:rPr>
          <w:rFonts w:eastAsia="Calibri" w:cs="Tahoma"/>
          <w:b/>
          <w:bCs/>
          <w:iCs/>
          <w:color w:val="auto"/>
          <w:lang w:val="es-ES" w:eastAsia="es-ES_tradnl"/>
        </w:rPr>
      </w:pPr>
      <w:r w:rsidRPr="006678F5">
        <w:rPr>
          <w:rFonts w:eastAsia="Calibri" w:cs="Tahoma"/>
          <w:b/>
          <w:bCs/>
          <w:iCs/>
          <w:color w:val="auto"/>
          <w:lang w:val="es-ES" w:eastAsia="es-ES_tradnl"/>
        </w:rPr>
        <w:t>Términos de la Resolución para conocimiento del Particular.</w:t>
      </w:r>
    </w:p>
    <w:p w:rsidRPr="006678F5" w:rsidR="006678F5" w:rsidP="00FE73D0" w:rsidRDefault="006678F5" w14:paraId="6CEC845D" w14:textId="77777777">
      <w:pPr>
        <w:spacing w:after="0" w:line="360" w:lineRule="auto"/>
        <w:rPr>
          <w:rFonts w:eastAsia="Times New Roman" w:cs="Tahoma"/>
          <w:color w:val="auto"/>
          <w:lang w:val="es-ES" w:eastAsia="es-ES"/>
        </w:rPr>
      </w:pPr>
    </w:p>
    <w:p w:rsidRPr="006678F5" w:rsidR="006678F5" w:rsidP="00FE73D0" w:rsidRDefault="006678F5" w14:paraId="489EE3FD" w14:textId="4FA1BC6D">
      <w:pPr>
        <w:spacing w:after="0" w:line="360" w:lineRule="auto"/>
        <w:rPr>
          <w:rFonts w:eastAsia="Times New Roman" w:cs="Tahoma"/>
          <w:color w:val="auto"/>
          <w:lang w:val="es-ES" w:eastAsia="es-ES"/>
        </w:rPr>
      </w:pPr>
      <w:r w:rsidRPr="006678F5">
        <w:rPr>
          <w:rFonts w:eastAsia="Times New Roman" w:cs="Tahoma"/>
          <w:color w:val="auto"/>
          <w:lang w:val="es-ES" w:eastAsia="es-ES"/>
        </w:rPr>
        <w:t xml:space="preserve">Se le hace del conocimiento al Particular, que en el presente caso </w:t>
      </w:r>
      <w:r w:rsidR="003A7605">
        <w:rPr>
          <w:rFonts w:eastAsia="Times New Roman" w:cs="Tahoma"/>
          <w:color w:val="auto"/>
          <w:lang w:val="es-ES" w:eastAsia="es-ES"/>
        </w:rPr>
        <w:t xml:space="preserve">se le da la razón, pues el Sujeto Obligado si cuenta con atribuciones para conocer de las pólizas de seguros o fianzas, presentadas por los permisionarios, para obtener un Permiso de Distribución de Agua Potable en Pipas, </w:t>
      </w:r>
      <w:proofErr w:type="gramStart"/>
      <w:r w:rsidR="003A7605">
        <w:rPr>
          <w:rFonts w:eastAsia="Times New Roman" w:cs="Tahoma"/>
          <w:color w:val="auto"/>
          <w:lang w:val="es-ES" w:eastAsia="es-ES"/>
        </w:rPr>
        <w:t>y</w:t>
      </w:r>
      <w:proofErr w:type="gramEnd"/>
      <w:r w:rsidR="003A7605">
        <w:rPr>
          <w:rFonts w:eastAsia="Times New Roman" w:cs="Tahoma"/>
          <w:color w:val="auto"/>
          <w:lang w:val="es-ES" w:eastAsia="es-ES"/>
        </w:rPr>
        <w:t xml:space="preserve"> por lo tanto, deberá entregarle los documentos que obren en sus archivos.</w:t>
      </w:r>
    </w:p>
    <w:p w:rsidRPr="006678F5" w:rsidR="006678F5" w:rsidP="00FE73D0" w:rsidRDefault="006678F5" w14:paraId="129D32A9" w14:textId="77777777">
      <w:pPr>
        <w:spacing w:after="0" w:line="360" w:lineRule="auto"/>
        <w:rPr>
          <w:rFonts w:eastAsia="Calibri" w:cs="Tahoma"/>
          <w:bCs/>
          <w:iCs/>
          <w:color w:val="auto"/>
          <w:lang w:val="es-ES"/>
        </w:rPr>
      </w:pPr>
    </w:p>
    <w:p w:rsidRPr="006678F5" w:rsidR="006678F5" w:rsidP="00FE73D0" w:rsidRDefault="006678F5" w14:paraId="33AD3764" w14:textId="77777777">
      <w:pPr>
        <w:spacing w:after="0" w:line="360" w:lineRule="auto"/>
        <w:rPr>
          <w:rFonts w:eastAsia="Times New Roman" w:cs="Tahoma"/>
          <w:color w:val="auto"/>
          <w:lang w:val="es-ES" w:eastAsia="es-ES"/>
        </w:rPr>
      </w:pPr>
      <w:r w:rsidRPr="006678F5">
        <w:rPr>
          <w:rFonts w:eastAsia="Calibri" w:cs="Tahoma"/>
          <w:bCs/>
          <w:iCs/>
          <w:color w:val="auto"/>
          <w:lang w:val="es-ES"/>
        </w:rPr>
        <w:t>Finalmente, la labor de este Instituto es apoyar a la población a acceder a la información pública y garantizar la protección de sus datos personales.</w:t>
      </w:r>
    </w:p>
    <w:p w:rsidRPr="006678F5" w:rsidR="006678F5" w:rsidP="00FE73D0" w:rsidRDefault="006678F5" w14:paraId="1732C16F" w14:textId="77777777">
      <w:pPr>
        <w:spacing w:after="0" w:line="360" w:lineRule="auto"/>
        <w:rPr>
          <w:rFonts w:eastAsia="Calibri" w:cs="Tahoma"/>
          <w:bCs/>
          <w:iCs/>
          <w:color w:val="auto"/>
          <w:lang w:val="es-ES"/>
        </w:rPr>
      </w:pPr>
    </w:p>
    <w:p w:rsidRPr="006678F5" w:rsidR="006678F5" w:rsidP="00FE73D0" w:rsidRDefault="006678F5" w14:paraId="11338B74" w14:textId="77777777">
      <w:pPr>
        <w:spacing w:after="0" w:line="360" w:lineRule="auto"/>
        <w:rPr>
          <w:rFonts w:eastAsia="Calibri" w:cs="Tahoma"/>
          <w:bCs/>
          <w:color w:val="auto"/>
          <w:lang w:val="es-ES"/>
        </w:rPr>
      </w:pPr>
      <w:r w:rsidRPr="006678F5">
        <w:rPr>
          <w:rFonts w:eastAsia="Calibri" w:cs="Tahoma"/>
          <w:bCs/>
          <w:color w:val="auto"/>
          <w:lang w:val="es-ES"/>
        </w:rPr>
        <w:t>Por lo expuesto y fundado, este Pleno:</w:t>
      </w:r>
    </w:p>
    <w:p w:rsidRPr="000D4C60" w:rsidR="0070481F" w:rsidP="00FE73D0" w:rsidRDefault="0070481F" w14:paraId="3B18EED2" w14:textId="77777777">
      <w:pPr>
        <w:spacing w:after="0" w:line="360" w:lineRule="auto"/>
        <w:ind w:right="-91"/>
        <w:jc w:val="center"/>
        <w:rPr>
          <w:rFonts w:eastAsia="Calibri" w:cs="Tahoma"/>
          <w:b/>
          <w:bCs/>
          <w:color w:val="auto"/>
        </w:rPr>
      </w:pPr>
    </w:p>
    <w:p w:rsidRPr="000D4C60" w:rsidR="00E82F7D" w:rsidP="00FE73D0" w:rsidRDefault="00E82F7D" w14:paraId="625E59FC" w14:textId="77777777">
      <w:pPr>
        <w:spacing w:after="0" w:line="360" w:lineRule="auto"/>
        <w:ind w:right="-91"/>
        <w:jc w:val="center"/>
        <w:rPr>
          <w:rFonts w:eastAsia="Calibri" w:cs="Tahoma"/>
          <w:b/>
          <w:bCs/>
          <w:color w:val="auto"/>
        </w:rPr>
      </w:pPr>
      <w:r w:rsidRPr="000D4C60">
        <w:rPr>
          <w:rFonts w:eastAsia="Calibri" w:cs="Tahoma"/>
          <w:b/>
          <w:bCs/>
          <w:color w:val="auto"/>
        </w:rPr>
        <w:t>RESUELVE:</w:t>
      </w:r>
    </w:p>
    <w:p w:rsidR="00E82F7D" w:rsidP="00FE73D0" w:rsidRDefault="00E82F7D" w14:paraId="58AF0A96" w14:textId="02C744E2">
      <w:pPr>
        <w:spacing w:after="0" w:line="360" w:lineRule="auto"/>
        <w:rPr>
          <w:rFonts w:eastAsia="Times New Roman" w:cs="Arial"/>
          <w:b/>
          <w:bCs/>
          <w:color w:val="000000"/>
          <w:lang w:val="es-ES" w:eastAsia="es-ES"/>
        </w:rPr>
      </w:pPr>
    </w:p>
    <w:p w:rsidR="003A7605" w:rsidP="003A7605" w:rsidRDefault="003A7605" w14:paraId="6758B49D" w14:textId="0CF7C4CC">
      <w:pPr>
        <w:spacing w:after="0" w:line="360" w:lineRule="auto"/>
        <w:rPr>
          <w:rFonts w:eastAsia="Times New Roman" w:cs="Tahoma"/>
          <w:iCs/>
          <w:color w:val="auto"/>
          <w:lang w:eastAsia="es-ES"/>
        </w:rPr>
      </w:pPr>
      <w:r w:rsidRPr="00560451">
        <w:rPr>
          <w:rFonts w:eastAsia="Times New Roman" w:cs="Tahoma"/>
          <w:b/>
          <w:bCs/>
          <w:iCs/>
          <w:color w:val="auto"/>
          <w:lang w:eastAsia="es-ES"/>
        </w:rPr>
        <w:t>PRIMERO.</w:t>
      </w:r>
      <w:r w:rsidRPr="00560451">
        <w:rPr>
          <w:rFonts w:eastAsia="Times New Roman" w:cs="Tahoma"/>
          <w:iCs/>
          <w:color w:val="auto"/>
          <w:lang w:eastAsia="es-ES"/>
        </w:rPr>
        <w:t xml:space="preserve"> Se </w:t>
      </w:r>
      <w:r>
        <w:rPr>
          <w:rFonts w:eastAsia="Times New Roman" w:cs="Tahoma"/>
          <w:b/>
          <w:bCs/>
          <w:iCs/>
          <w:color w:val="auto"/>
          <w:lang w:eastAsia="es-ES"/>
        </w:rPr>
        <w:t>REVOCA</w:t>
      </w:r>
      <w:r w:rsidRPr="00560451">
        <w:rPr>
          <w:rFonts w:eastAsia="Times New Roman" w:cs="Tahoma"/>
          <w:iCs/>
          <w:color w:val="auto"/>
          <w:lang w:eastAsia="es-ES"/>
        </w:rPr>
        <w:t xml:space="preserve"> la respuesta otorgada por el </w:t>
      </w:r>
      <w:r w:rsidRPr="00FD218F">
        <w:rPr>
          <w:rFonts w:eastAsia="Calibri" w:cs="Tahoma"/>
        </w:rPr>
        <w:t>Comisión del Agua del Estado de México</w:t>
      </w:r>
      <w:r w:rsidRPr="00560451">
        <w:rPr>
          <w:rFonts w:eastAsia="Times New Roman" w:cs="Tahoma"/>
          <w:iCs/>
          <w:color w:val="auto"/>
          <w:lang w:eastAsia="es-ES"/>
        </w:rPr>
        <w:t xml:space="preserve">, a la solicitud de acceso a la información </w:t>
      </w:r>
      <w:r w:rsidRPr="00CA4417">
        <w:rPr>
          <w:rFonts w:eastAsia="Times New Roman" w:cs="Tahoma"/>
          <w:bCs/>
          <w:color w:val="0D0D0D" w:themeColor="text1" w:themeTint="F2"/>
          <w:lang w:val="es-ES" w:eastAsia="es-ES"/>
        </w:rPr>
        <w:t>00204/CAEM/IP/2021</w:t>
      </w:r>
      <w:r w:rsidRPr="00560451">
        <w:rPr>
          <w:rFonts w:eastAsia="Times New Roman" w:cs="Tahoma"/>
          <w:iCs/>
          <w:color w:val="auto"/>
          <w:lang w:eastAsia="es-ES"/>
        </w:rPr>
        <w:t xml:space="preserve">, por resultar </w:t>
      </w:r>
      <w:r w:rsidRPr="00560451">
        <w:rPr>
          <w:rFonts w:eastAsia="Times New Roman" w:cs="Tahoma"/>
          <w:b/>
          <w:bCs/>
          <w:iCs/>
          <w:color w:val="auto"/>
          <w:lang w:eastAsia="es-ES"/>
        </w:rPr>
        <w:t>FUNDADOS</w:t>
      </w:r>
      <w:r w:rsidRPr="00560451">
        <w:rPr>
          <w:rFonts w:eastAsia="Times New Roman" w:cs="Tahoma"/>
          <w:iCs/>
          <w:color w:val="auto"/>
          <w:lang w:eastAsia="es-ES"/>
        </w:rPr>
        <w:t xml:space="preserve"> los agravios hechos valer por el Recurrente, en términos de los considerandos </w:t>
      </w:r>
      <w:r w:rsidRPr="00560451">
        <w:rPr>
          <w:rFonts w:eastAsia="Times New Roman" w:cs="Tahoma"/>
          <w:b/>
          <w:bCs/>
          <w:iCs/>
          <w:color w:val="auto"/>
          <w:lang w:eastAsia="es-ES"/>
        </w:rPr>
        <w:t>QUINTO</w:t>
      </w:r>
      <w:r w:rsidRPr="00560451">
        <w:rPr>
          <w:rFonts w:eastAsia="Times New Roman" w:cs="Tahoma"/>
          <w:iCs/>
          <w:color w:val="auto"/>
          <w:lang w:eastAsia="es-ES"/>
        </w:rPr>
        <w:t xml:space="preserve"> y </w:t>
      </w:r>
      <w:r w:rsidRPr="00560451">
        <w:rPr>
          <w:rFonts w:eastAsia="Times New Roman" w:cs="Tahoma"/>
          <w:b/>
          <w:bCs/>
          <w:iCs/>
          <w:color w:val="auto"/>
          <w:lang w:eastAsia="es-ES"/>
        </w:rPr>
        <w:t>SEXTO</w:t>
      </w:r>
      <w:r w:rsidRPr="00560451">
        <w:rPr>
          <w:rFonts w:eastAsia="Times New Roman" w:cs="Tahoma"/>
          <w:iCs/>
          <w:color w:val="auto"/>
          <w:lang w:eastAsia="es-ES"/>
        </w:rPr>
        <w:t xml:space="preserve"> de la presente Resolución. </w:t>
      </w:r>
    </w:p>
    <w:p w:rsidRPr="00560451" w:rsidR="003A7605" w:rsidP="003A7605" w:rsidRDefault="003A7605" w14:paraId="5115E983" w14:textId="77777777">
      <w:pPr>
        <w:spacing w:after="0" w:line="360" w:lineRule="auto"/>
        <w:rPr>
          <w:rFonts w:eastAsia="Times New Roman" w:cs="Tahoma"/>
          <w:iCs/>
          <w:color w:val="auto"/>
          <w:lang w:eastAsia="es-ES"/>
        </w:rPr>
      </w:pPr>
    </w:p>
    <w:p w:rsidR="00C070C9" w:rsidP="00C070C9" w:rsidRDefault="003A7605" w14:paraId="4872EC61" w14:textId="77777777">
      <w:pPr>
        <w:autoSpaceDE w:val="0"/>
        <w:autoSpaceDN w:val="0"/>
        <w:adjustRightInd w:val="0"/>
        <w:spacing w:after="0" w:line="360" w:lineRule="auto"/>
        <w:rPr>
          <w:rFonts w:eastAsia="Calibri" w:cs="Tahoma"/>
          <w:color w:val="000000"/>
          <w:lang w:val="es-ES" w:eastAsia="es-MX"/>
        </w:rPr>
      </w:pPr>
      <w:r w:rsidRPr="00560451">
        <w:rPr>
          <w:rFonts w:eastAsia="Times New Roman" w:cs="Tahoma"/>
          <w:b/>
          <w:bCs/>
          <w:iCs/>
          <w:color w:val="auto"/>
          <w:lang w:eastAsia="es-ES"/>
        </w:rPr>
        <w:t xml:space="preserve">SEGUNDO. </w:t>
      </w:r>
      <w:r w:rsidRPr="00560451">
        <w:rPr>
          <w:rFonts w:eastAsia="Times New Roman" w:cs="Tahoma"/>
          <w:iCs/>
          <w:color w:val="auto"/>
          <w:lang w:eastAsia="es-ES"/>
        </w:rPr>
        <w:t xml:space="preserve">Se </w:t>
      </w:r>
      <w:r w:rsidRPr="00560451">
        <w:rPr>
          <w:rFonts w:eastAsia="Times New Roman" w:cs="Tahoma"/>
          <w:b/>
          <w:iCs/>
          <w:color w:val="auto"/>
          <w:lang w:eastAsia="es-ES"/>
        </w:rPr>
        <w:t xml:space="preserve">ORDENA </w:t>
      </w:r>
      <w:r w:rsidRPr="00560451">
        <w:rPr>
          <w:rFonts w:eastAsia="Times New Roman" w:cs="Tahoma"/>
          <w:iCs/>
          <w:color w:val="auto"/>
          <w:lang w:eastAsia="es-ES"/>
        </w:rPr>
        <w:t xml:space="preserve">al Sujeto Obligado, a efecto de que, previa búsqueda exhaustiva y razonable en los archivos de las áreas competentes, </w:t>
      </w:r>
      <w:r w:rsidRPr="00560451">
        <w:rPr>
          <w:rFonts w:eastAsia="Times New Roman" w:cs="Tahoma"/>
          <w:bCs/>
          <w:iCs/>
          <w:color w:val="auto"/>
          <w:lang w:eastAsia="es-ES"/>
        </w:rPr>
        <w:t>entregue, a través del Sistema de Acceso a la Información Mexiquense (SAIMEX)</w:t>
      </w:r>
      <w:r>
        <w:rPr>
          <w:rFonts w:eastAsia="Times New Roman" w:cs="Tahoma"/>
          <w:bCs/>
          <w:iCs/>
          <w:color w:val="auto"/>
          <w:lang w:eastAsia="es-ES"/>
        </w:rPr>
        <w:t xml:space="preserve">, </w:t>
      </w:r>
      <w:r w:rsidRPr="00275C3F">
        <w:rPr>
          <w:rFonts w:eastAsia="Times New Roman" w:cs="Tahoma"/>
          <w:bCs/>
          <w:iCs/>
          <w:color w:val="auto"/>
          <w:lang w:eastAsia="es-ES"/>
        </w:rPr>
        <w:t>en su caso</w:t>
      </w:r>
      <w:r>
        <w:rPr>
          <w:rFonts w:eastAsia="Times New Roman" w:cs="Tahoma"/>
          <w:bCs/>
          <w:iCs/>
          <w:color w:val="auto"/>
          <w:lang w:eastAsia="es-ES"/>
        </w:rPr>
        <w:t>,</w:t>
      </w:r>
      <w:r w:rsidRPr="00275C3F">
        <w:rPr>
          <w:rFonts w:eastAsia="Times New Roman" w:cs="Tahoma"/>
          <w:bCs/>
          <w:iCs/>
          <w:color w:val="auto"/>
          <w:lang w:eastAsia="es-ES"/>
        </w:rPr>
        <w:t xml:space="preserve"> en versión pública,</w:t>
      </w:r>
      <w:r>
        <w:rPr>
          <w:rFonts w:eastAsia="Times New Roman" w:cs="Tahoma"/>
          <w:bCs/>
          <w:iCs/>
          <w:color w:val="auto"/>
          <w:lang w:eastAsia="es-ES"/>
        </w:rPr>
        <w:t xml:space="preserve"> </w:t>
      </w:r>
      <w:r w:rsidR="00C070C9">
        <w:rPr>
          <w:rFonts w:eastAsia="Times New Roman" w:cs="Times New Roman"/>
          <w:color w:val="auto"/>
          <w:lang w:eastAsia="es-ES"/>
        </w:rPr>
        <w:t xml:space="preserve">respecto </w:t>
      </w:r>
      <w:r w:rsidR="00C070C9">
        <w:rPr>
          <w:rFonts w:eastAsia="Calibri" w:cs="Tahoma"/>
          <w:color w:val="000000"/>
          <w:lang w:val="es-ES" w:eastAsia="es-MX"/>
        </w:rPr>
        <w:t>a los Permisos de Distribución de Agua Potable en Pipas, vigentes al veintinueve de septiembre de dos mil veintiuno, los documentos donde conste, lo siguiente:</w:t>
      </w:r>
    </w:p>
    <w:p w:rsidR="00C070C9" w:rsidP="00C070C9" w:rsidRDefault="00C070C9" w14:paraId="7BE32212" w14:textId="77777777">
      <w:pPr>
        <w:autoSpaceDE w:val="0"/>
        <w:autoSpaceDN w:val="0"/>
        <w:adjustRightInd w:val="0"/>
        <w:spacing w:after="0" w:line="360" w:lineRule="auto"/>
        <w:rPr>
          <w:rFonts w:eastAsia="Calibri" w:cs="Tahoma"/>
          <w:color w:val="000000"/>
          <w:lang w:val="es-ES" w:eastAsia="es-MX"/>
        </w:rPr>
      </w:pPr>
    </w:p>
    <w:p w:rsidRPr="00CF6BD1" w:rsidR="00C070C9" w:rsidP="00C070C9" w:rsidRDefault="00C070C9" w14:paraId="539F0EC3" w14:textId="77777777">
      <w:pPr>
        <w:pStyle w:val="Prrafodelista"/>
        <w:numPr>
          <w:ilvl w:val="0"/>
          <w:numId w:val="14"/>
        </w:numPr>
        <w:autoSpaceDE w:val="0"/>
        <w:autoSpaceDN w:val="0"/>
        <w:adjustRightInd w:val="0"/>
        <w:spacing w:after="0" w:line="360" w:lineRule="auto"/>
        <w:rPr>
          <w:rFonts w:eastAsia="Calibri" w:cs="Tahoma"/>
          <w:color w:val="000000"/>
          <w:lang w:val="es-ES" w:eastAsia="es-MX"/>
        </w:rPr>
      </w:pPr>
      <w:r w:rsidRPr="00B73E1B">
        <w:rPr>
          <w:rFonts w:eastAsia="Calibri" w:cs="Tahoma"/>
          <w:color w:val="000000"/>
          <w:lang w:val="es-ES" w:eastAsia="es-MX"/>
        </w:rPr>
        <w:t>Número total de pólizas</w:t>
      </w:r>
      <w:r>
        <w:rPr>
          <w:rFonts w:eastAsia="Calibri" w:cs="Tahoma"/>
          <w:color w:val="000000"/>
          <w:lang w:val="es-ES" w:eastAsia="es-MX"/>
        </w:rPr>
        <w:t xml:space="preserve"> de seguros o fianzas</w:t>
      </w:r>
      <w:r w:rsidRPr="00B73E1B">
        <w:rPr>
          <w:rFonts w:eastAsia="Calibri" w:cs="Tahoma"/>
          <w:color w:val="000000"/>
          <w:lang w:val="es-ES" w:eastAsia="es-MX"/>
        </w:rPr>
        <w:t xml:space="preserve"> </w:t>
      </w:r>
      <w:r>
        <w:rPr>
          <w:rFonts w:eastAsia="Calibri" w:cs="Tahoma"/>
          <w:color w:val="000000"/>
          <w:lang w:val="es-ES" w:eastAsia="es-MX"/>
        </w:rPr>
        <w:t xml:space="preserve">que garanticen el pago de daños a </w:t>
      </w:r>
      <w:r w:rsidRPr="00874756">
        <w:rPr>
          <w:rFonts w:eastAsia="Calibri" w:cs="Tahoma"/>
          <w:color w:val="000000"/>
          <w:lang w:eastAsia="es-MX"/>
        </w:rPr>
        <w:t xml:space="preserve">a terceros por la distribución de agua que no cumpla con la calidad que establece </w:t>
      </w:r>
      <w:r w:rsidRPr="005438BC">
        <w:rPr>
          <w:rFonts w:eastAsia="Calibri" w:cs="Tahoma"/>
          <w:color w:val="000000"/>
          <w:lang w:eastAsia="es-MX"/>
        </w:rPr>
        <w:t>la NOM-127-SSA1-1994</w:t>
      </w:r>
      <w:r>
        <w:rPr>
          <w:rFonts w:eastAsia="Calibri" w:cs="Tahoma"/>
          <w:color w:val="000000"/>
          <w:lang w:eastAsia="es-MX"/>
        </w:rPr>
        <w:t>, presentadas por los permisionarios, y</w:t>
      </w:r>
    </w:p>
    <w:p w:rsidRPr="00CF6BD1" w:rsidR="00C070C9" w:rsidP="00C070C9" w:rsidRDefault="00C070C9" w14:paraId="1806435B" w14:textId="77777777">
      <w:pPr>
        <w:pStyle w:val="Prrafodelista"/>
        <w:autoSpaceDE w:val="0"/>
        <w:autoSpaceDN w:val="0"/>
        <w:adjustRightInd w:val="0"/>
        <w:spacing w:after="0" w:line="360" w:lineRule="auto"/>
        <w:rPr>
          <w:rFonts w:eastAsia="Calibri" w:cs="Tahoma"/>
          <w:color w:val="000000"/>
          <w:lang w:val="es-ES" w:eastAsia="es-MX"/>
        </w:rPr>
      </w:pPr>
    </w:p>
    <w:p w:rsidR="00C070C9" w:rsidP="00C070C9" w:rsidRDefault="00C070C9" w14:paraId="4352BED8" w14:textId="77777777">
      <w:pPr>
        <w:pStyle w:val="Prrafodelista"/>
        <w:numPr>
          <w:ilvl w:val="0"/>
          <w:numId w:val="14"/>
        </w:numPr>
        <w:autoSpaceDE w:val="0"/>
        <w:autoSpaceDN w:val="0"/>
        <w:adjustRightInd w:val="0"/>
        <w:spacing w:after="0" w:line="360" w:lineRule="auto"/>
        <w:rPr>
          <w:rFonts w:eastAsia="Calibri" w:cs="Tahoma"/>
          <w:color w:val="000000"/>
          <w:lang w:val="es-ES" w:eastAsia="es-MX"/>
        </w:rPr>
      </w:pPr>
      <w:r>
        <w:rPr>
          <w:rFonts w:eastAsia="Calibri" w:cs="Tahoma"/>
          <w:color w:val="000000"/>
          <w:lang w:val="es-ES" w:eastAsia="es-MX"/>
        </w:rPr>
        <w:t>Nombre de las instituciones que emitieron dichas pólizas.</w:t>
      </w:r>
    </w:p>
    <w:p w:rsidR="00C070C9" w:rsidP="00C070C9" w:rsidRDefault="00C070C9" w14:paraId="58703491" w14:textId="77777777">
      <w:pPr>
        <w:spacing w:after="0" w:line="360" w:lineRule="auto"/>
        <w:rPr>
          <w:rFonts w:eastAsia="Times New Roman" w:cs="Tahoma"/>
          <w:iCs/>
          <w:color w:val="auto"/>
          <w:lang w:val="es-ES" w:eastAsia="es-ES"/>
        </w:rPr>
      </w:pPr>
    </w:p>
    <w:p w:rsidR="00C070C9" w:rsidP="00C070C9" w:rsidRDefault="00C070C9" w14:paraId="639D7F2E" w14:textId="4FCBAE4E">
      <w:pPr>
        <w:spacing w:after="0" w:line="360" w:lineRule="auto"/>
        <w:rPr>
          <w:rFonts w:eastAsia="Calibri" w:cs="Tahoma"/>
          <w:bCs/>
          <w:iCs/>
          <w:color w:val="000000"/>
        </w:rPr>
      </w:pPr>
      <w:r w:rsidRPr="00201375">
        <w:rPr>
          <w:rFonts w:eastAsia="Times New Roman" w:cs="Tahoma"/>
          <w:iCs/>
          <w:color w:val="auto"/>
          <w:lang w:val="es-ES" w:eastAsia="es-ES"/>
        </w:rPr>
        <w:lastRenderedPageBreak/>
        <w:t>Además, de ser necesario, deberá proporcionar el Acuerdo de Clasificación donde el Comité de Transparencia, confirme la eliminación de los datos o información clasificada, en la versión pública</w:t>
      </w:r>
      <w:r w:rsidRPr="00C56E27">
        <w:rPr>
          <w:rFonts w:eastAsia="Calibri" w:cs="Tahoma"/>
          <w:bCs/>
          <w:iCs/>
          <w:color w:val="000000"/>
        </w:rPr>
        <w:t>, de conformidad con los artículos 49, fracciones II y VIII y 132, fracción II de la Ley de Transparencia y Acceso a la Información Pública del Estado de México y Municipios.</w:t>
      </w:r>
    </w:p>
    <w:p w:rsidR="00C070C9" w:rsidP="00C070C9" w:rsidRDefault="00C070C9" w14:paraId="53EAB9E1" w14:textId="6EE9DAE1">
      <w:pPr>
        <w:spacing w:after="0" w:line="360" w:lineRule="auto"/>
        <w:rPr>
          <w:rFonts w:eastAsia="Calibri" w:cs="Tahoma"/>
          <w:bCs/>
          <w:iCs/>
          <w:color w:val="000000"/>
        </w:rPr>
      </w:pPr>
    </w:p>
    <w:p w:rsidRPr="00560451" w:rsidR="00C070C9" w:rsidP="00C070C9" w:rsidRDefault="00C070C9" w14:paraId="4889BB91" w14:textId="77777777">
      <w:pPr>
        <w:spacing w:after="0" w:line="360" w:lineRule="auto"/>
        <w:rPr>
          <w:rFonts w:eastAsia="Times New Roman" w:cs="Tahoma"/>
          <w:i/>
          <w:iCs/>
          <w:color w:val="auto"/>
          <w:lang w:eastAsia="es-ES"/>
        </w:rPr>
      </w:pPr>
      <w:r w:rsidRPr="00560451">
        <w:rPr>
          <w:rFonts w:eastAsia="Times New Roman" w:cs="Tahoma"/>
          <w:b/>
          <w:bCs/>
          <w:iCs/>
          <w:color w:val="auto"/>
          <w:lang w:eastAsia="es-ES"/>
        </w:rPr>
        <w:t xml:space="preserve">TERCERO. </w:t>
      </w:r>
      <w:r w:rsidRPr="00560451">
        <w:rPr>
          <w:rFonts w:eastAsia="Times New Roman" w:cs="Tahoma"/>
          <w:b/>
          <w:iCs/>
          <w:color w:val="auto"/>
          <w:lang w:eastAsia="es-ES"/>
        </w:rPr>
        <w:t xml:space="preserve">NOTIFÍQUESE </w:t>
      </w:r>
      <w:r w:rsidRPr="00560451">
        <w:rPr>
          <w:rFonts w:eastAsia="Times New Roman" w:cs="Tahoma"/>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560451" w:rsidR="00C070C9" w:rsidP="00C070C9" w:rsidRDefault="00C070C9" w14:paraId="66ED79FF" w14:textId="77777777">
      <w:pPr>
        <w:spacing w:after="0" w:line="360" w:lineRule="auto"/>
        <w:rPr>
          <w:rFonts w:eastAsia="Times New Roman" w:cs="Tahoma"/>
          <w:iCs/>
          <w:color w:val="auto"/>
          <w:lang w:val="es-ES" w:eastAsia="es-ES"/>
        </w:rPr>
      </w:pPr>
    </w:p>
    <w:p w:rsidRPr="00560451" w:rsidR="00C070C9" w:rsidP="00C070C9" w:rsidRDefault="00C070C9" w14:paraId="3F6E210D" w14:textId="77777777">
      <w:pPr>
        <w:spacing w:after="0" w:line="360" w:lineRule="auto"/>
        <w:rPr>
          <w:rFonts w:eastAsia="Times New Roman" w:cs="Tahoma"/>
          <w:iCs/>
          <w:color w:val="auto"/>
          <w:lang w:eastAsia="es-ES"/>
        </w:rPr>
      </w:pPr>
      <w:r w:rsidRPr="00560451">
        <w:rPr>
          <w:rFonts w:eastAsia="Times New Roman" w:cs="Tahoma"/>
          <w:iCs/>
          <w:color w:val="auto"/>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560451" w:rsidR="00C070C9" w:rsidP="00C070C9" w:rsidRDefault="00C070C9" w14:paraId="7EF6BB66" w14:textId="77777777">
      <w:pPr>
        <w:spacing w:after="0" w:line="360" w:lineRule="auto"/>
        <w:rPr>
          <w:rFonts w:eastAsia="Times New Roman" w:cs="Tahoma"/>
          <w:iCs/>
          <w:color w:val="auto"/>
          <w:lang w:eastAsia="es-ES"/>
        </w:rPr>
      </w:pPr>
    </w:p>
    <w:p w:rsidRPr="00A23B4A" w:rsidR="00C070C9" w:rsidP="00C070C9" w:rsidRDefault="00C070C9" w14:paraId="5A80236D" w14:textId="77777777">
      <w:pPr>
        <w:spacing w:after="0" w:line="360" w:lineRule="auto"/>
        <w:ind w:right="-28"/>
        <w:rPr>
          <w:rFonts w:eastAsia="Times New Roman" w:cs="Tahoma"/>
          <w:color w:val="000000"/>
          <w:lang w:eastAsia="es-ES"/>
        </w:rPr>
      </w:pPr>
      <w:r w:rsidRPr="00560451">
        <w:rPr>
          <w:rFonts w:eastAsia="Times New Roman" w:cs="Tahoma"/>
          <w:b/>
          <w:bCs/>
          <w:iCs/>
          <w:color w:val="auto"/>
          <w:lang w:eastAsia="es-ES"/>
        </w:rPr>
        <w:t xml:space="preserve">CUARTO. </w:t>
      </w:r>
      <w:r w:rsidRPr="00A23B4A">
        <w:rPr>
          <w:rFonts w:eastAsia="Times New Roman" w:cs="Tahoma"/>
          <w:b/>
          <w:color w:val="000000"/>
          <w:lang w:eastAsia="es-ES"/>
        </w:rPr>
        <w:t xml:space="preserve">NOTIFÍQUESE </w:t>
      </w:r>
      <w:r w:rsidRPr="00A23B4A">
        <w:rPr>
          <w:rFonts w:eastAsia="Times New Roman" w:cs="Tahoma"/>
          <w:color w:val="000000"/>
          <w:lang w:eastAsia="es-ES"/>
        </w:rPr>
        <w:t xml:space="preserve">la presente Resolución al Recurrente, a través del Sistema de Acceso a la Información </w:t>
      </w:r>
      <w:r>
        <w:rPr>
          <w:rFonts w:eastAsia="Times New Roman" w:cs="Tahoma"/>
          <w:color w:val="000000"/>
          <w:lang w:eastAsia="es-ES"/>
        </w:rPr>
        <w:t>Mexiquense (SAIMEX)</w:t>
      </w:r>
      <w:r w:rsidRPr="00A23B4A">
        <w:rPr>
          <w:rFonts w:eastAsia="Times New Roman" w:cs="Tahoma"/>
          <w:b/>
          <w:color w:val="000000"/>
          <w:lang w:eastAsia="es-ES"/>
        </w:rPr>
        <w:t>,</w:t>
      </w:r>
      <w:r w:rsidRPr="00A23B4A">
        <w:rPr>
          <w:rFonts w:eastAsia="Times New Roman" w:cs="Tahoma"/>
          <w:color w:val="000000"/>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92F1D" w:rsidR="00C070C9" w:rsidP="00C070C9" w:rsidRDefault="00C070C9" w14:paraId="00DBF1AE" w14:textId="77777777">
      <w:pPr>
        <w:spacing w:after="0" w:line="360" w:lineRule="auto"/>
        <w:ind w:right="-93"/>
        <w:rPr>
          <w:rFonts w:eastAsia="Calibri" w:cs="Tahoma"/>
          <w:bCs/>
          <w:color w:val="auto"/>
          <w:lang w:val="es-ES_tradnl"/>
        </w:rPr>
      </w:pPr>
    </w:p>
    <w:p w:rsidR="00CB3D39" w:rsidP="00D73F60" w:rsidRDefault="00C070C9" w14:paraId="58B37D2E" w14:textId="405201CF">
      <w:pPr>
        <w:spacing w:after="0" w:line="360" w:lineRule="auto"/>
        <w:rPr>
          <w:rFonts w:eastAsia="Calibri" w:cs="Tahoma"/>
          <w:bCs/>
          <w:color w:val="auto"/>
          <w:lang w:val="es-ES_tradnl"/>
        </w:rPr>
      </w:pPr>
      <w:r w:rsidRPr="004812A7">
        <w:rPr>
          <w:rFonts w:cs="Tahoma"/>
          <w:bCs/>
          <w:lang w:val="es-ES_tradnl" w:eastAsia="es-MX"/>
        </w:rPr>
        <w:t xml:space="preserve">ASÍ LO RESUELVE, POR </w:t>
      </w:r>
      <w:r w:rsidRPr="004812A7">
        <w:rPr>
          <w:rFonts w:cs="Tahoma"/>
          <w:b/>
          <w:bCs/>
          <w:lang w:val="es-ES_tradnl" w:eastAsia="es-MX"/>
        </w:rPr>
        <w:t>UNANIMIDAD</w:t>
      </w:r>
      <w:r w:rsidRPr="004812A7">
        <w:rPr>
          <w:rFonts w:cs="Tahoma"/>
          <w:bCs/>
          <w:lang w:val="es-ES_tradnl" w:eastAsia="es-MX"/>
        </w:rPr>
        <w:t xml:space="preserve"> DE VOTOS EL PLENO DEL INSTITUTO DE TRANSPARENCIA, ACCESO A LA INFORMACIÓN PÚBLICA Y PROTECCIÓN DE DATOS </w:t>
      </w:r>
      <w:r w:rsidRPr="004812A7">
        <w:rPr>
          <w:rFonts w:cs="Tahoma"/>
          <w:bCs/>
          <w:lang w:val="es-ES_tradnl" w:eastAsia="es-MX"/>
        </w:rPr>
        <w:lastRenderedPageBreak/>
        <w:t xml:space="preserve">PERSONALES DEL ESTADO DE MÉXICO Y MUNICIPIOS, CONFORMADO POR LOS COMISIONADOS JOSÉ MARTÍNEZ VILCHIS, MARÍA DEL ROSARIO MEJÍA AYALA, SHARON CRISTINA MORALES </w:t>
      </w:r>
      <w:r w:rsidRPr="004812A7" w:rsidR="006F2506">
        <w:rPr>
          <w:rFonts w:cs="Tahoma"/>
          <w:bCs/>
          <w:lang w:val="es-ES_tradnl" w:eastAsia="es-MX"/>
        </w:rPr>
        <w:t>MARTÍNEZ</w:t>
      </w:r>
      <w:r w:rsidR="006F2506">
        <w:rPr>
          <w:rFonts w:cs="Tahoma"/>
          <w:bCs/>
          <w:lang w:val="es-ES_tradnl" w:eastAsia="es-MX"/>
        </w:rPr>
        <w:t xml:space="preserve"> (CON AUSENCIA JUSTIFICADA)</w:t>
      </w:r>
      <w:r w:rsidRPr="004812A7" w:rsidR="006F2506">
        <w:rPr>
          <w:rFonts w:cs="Tahoma"/>
          <w:bCs/>
          <w:lang w:val="es-ES_tradnl" w:eastAsia="es-MX"/>
        </w:rPr>
        <w:t xml:space="preserve">, LUIS GUSTAVO PARRA NORIEGA Y GUADALUPE RAMÍREZ PEÑA, EN LA </w:t>
      </w:r>
      <w:r w:rsidR="006F2506">
        <w:rPr>
          <w:rFonts w:cs="Tahoma"/>
          <w:bCs/>
          <w:lang w:val="es-ES_tradnl" w:eastAsia="es-MX"/>
        </w:rPr>
        <w:t xml:space="preserve">SEGUNDA SESIÓN ORDINARIA, CELEBRADA EL DIECINUEVE DE ENERO DE DOS MIL VEINTIDÓS, </w:t>
      </w:r>
      <w:r w:rsidRPr="004812A7" w:rsidR="006F2506">
        <w:rPr>
          <w:rFonts w:cs="Tahoma"/>
          <w:bCs/>
          <w:lang w:val="es-ES_tradnl" w:eastAsia="es-MX"/>
        </w:rPr>
        <w:t>ANTE EL SECRETARIO TÉCNICO DEL PLENO, ALEXIS TAPIA RAMÍREZ</w:t>
      </w:r>
      <w:r w:rsidR="006F2506">
        <w:rPr>
          <w:rFonts w:cs="Tahoma"/>
          <w:bCs/>
          <w:lang w:val="es-ES_tradnl" w:eastAsia="es-MX"/>
        </w:rPr>
        <w:t xml:space="preserve">. </w:t>
      </w:r>
    </w:p>
    <w:p w:rsidR="00D73F60" w:rsidRDefault="00D73F60" w14:paraId="79DBDAD2" w14:textId="02669FA2">
      <w:pPr>
        <w:jc w:val="left"/>
        <w:rPr>
          <w:rFonts w:eastAsia="Calibri" w:cs="Tahoma"/>
          <w:bCs/>
          <w:color w:val="auto"/>
          <w:lang w:val="es-ES_tradnl"/>
        </w:rPr>
      </w:pPr>
      <w:r>
        <w:rPr>
          <w:rFonts w:eastAsia="Calibri" w:cs="Tahoma"/>
          <w:bCs/>
          <w:color w:val="auto"/>
          <w:lang w:val="es-ES_tradnl"/>
        </w:rPr>
        <w:br w:type="page"/>
      </w:r>
    </w:p>
    <w:p w:rsidRPr="00D73F60" w:rsidR="00D73F60" w:rsidP="00D73F60" w:rsidRDefault="00D73F60" w14:paraId="3606A859" w14:textId="77777777">
      <w:pPr>
        <w:spacing w:after="0" w:line="360" w:lineRule="auto"/>
        <w:rPr>
          <w:rFonts w:cs="Tahoma"/>
          <w:bCs/>
          <w:lang w:val="es-ES_tradnl" w:eastAsia="es-MX"/>
        </w:rPr>
      </w:pPr>
    </w:p>
    <w:sectPr w:rsidRPr="00D73F60" w:rsidR="00D73F60" w:rsidSect="00AE20F2">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4FE7" w:rsidP="00576FD0" w:rsidRDefault="00404FE7" w14:paraId="7B5FA592" w14:textId="77777777">
      <w:pPr>
        <w:spacing w:after="0" w:line="240" w:lineRule="auto"/>
      </w:pPr>
      <w:r>
        <w:separator/>
      </w:r>
    </w:p>
  </w:endnote>
  <w:endnote w:type="continuationSeparator" w:id="0">
    <w:p w:rsidR="00404FE7" w:rsidP="00576FD0" w:rsidRDefault="00404FE7" w14:paraId="3B9574E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714345"/>
      <w:docPartObj>
        <w:docPartGallery w:val="Page Numbers (Bottom of Page)"/>
        <w:docPartUnique/>
      </w:docPartObj>
    </w:sdtPr>
    <w:sdtEndPr/>
    <w:sdtContent>
      <w:sdt>
        <w:sdtPr>
          <w:id w:val="92902259"/>
          <w:docPartObj>
            <w:docPartGallery w:val="Page Numbers (Top of Page)"/>
            <w:docPartUnique/>
          </w:docPartObj>
        </w:sdtPr>
        <w:sdtEndPr/>
        <w:sdtContent>
          <w:p w:rsidR="001F33D3" w:rsidRDefault="001F33D3" w14:paraId="3AC6FD0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600F">
              <w:rPr>
                <w:b/>
                <w:bCs/>
                <w:noProof/>
              </w:rPr>
              <w:t>32</w:t>
            </w:r>
            <w:r>
              <w:rPr>
                <w:b/>
                <w:bCs/>
                <w:sz w:val="24"/>
                <w:szCs w:val="24"/>
              </w:rPr>
              <w:fldChar w:fldCharType="end"/>
            </w:r>
          </w:p>
        </w:sdtContent>
      </w:sdt>
    </w:sdtContent>
  </w:sdt>
  <w:p w:rsidR="001F33D3" w:rsidRDefault="001F33D3" w14:paraId="7EE6DB19" w14:textId="77777777">
    <w:pPr>
      <w:pStyle w:val="Piedepgina"/>
    </w:pPr>
  </w:p>
  <w:p w:rsidR="001F33D3" w:rsidRDefault="001F33D3" w14:paraId="7970463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713334"/>
      <w:docPartObj>
        <w:docPartGallery w:val="Page Numbers (Bottom of Page)"/>
        <w:docPartUnique/>
      </w:docPartObj>
    </w:sdtPr>
    <w:sdtEndPr/>
    <w:sdtContent>
      <w:sdt>
        <w:sdtPr>
          <w:id w:val="-434290242"/>
          <w:docPartObj>
            <w:docPartGallery w:val="Page Numbers (Top of Page)"/>
            <w:docPartUnique/>
          </w:docPartObj>
        </w:sdtPr>
        <w:sdtEndPr/>
        <w:sdtContent>
          <w:p w:rsidR="001F33D3" w:rsidRDefault="001F33D3" w14:paraId="68931CF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55B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55B5">
              <w:rPr>
                <w:b/>
                <w:bCs/>
                <w:noProof/>
              </w:rPr>
              <w:t>29</w:t>
            </w:r>
            <w:r>
              <w:rPr>
                <w:b/>
                <w:bCs/>
                <w:sz w:val="24"/>
                <w:szCs w:val="24"/>
              </w:rPr>
              <w:fldChar w:fldCharType="end"/>
            </w:r>
          </w:p>
        </w:sdtContent>
      </w:sdt>
    </w:sdtContent>
  </w:sdt>
  <w:p w:rsidR="001F33D3" w:rsidRDefault="001F33D3" w14:paraId="6ECA3EE3" w14:textId="77777777">
    <w:pPr>
      <w:pStyle w:val="Piedepgina"/>
    </w:pPr>
  </w:p>
  <w:p w:rsidR="001F33D3" w:rsidRDefault="001F33D3" w14:paraId="5FDB758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211893"/>
      <w:docPartObj>
        <w:docPartGallery w:val="Page Numbers (Bottom of Page)"/>
        <w:docPartUnique/>
      </w:docPartObj>
    </w:sdtPr>
    <w:sdtEndPr/>
    <w:sdtContent>
      <w:sdt>
        <w:sdtPr>
          <w:id w:val="-1769616900"/>
          <w:docPartObj>
            <w:docPartGallery w:val="Page Numbers (Top of Page)"/>
            <w:docPartUnique/>
          </w:docPartObj>
        </w:sdtPr>
        <w:sdtEndPr/>
        <w:sdtContent>
          <w:p w:rsidR="001F33D3" w:rsidRDefault="001F33D3" w14:paraId="159D4AC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655B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655B5">
              <w:rPr>
                <w:b/>
                <w:bCs/>
                <w:noProof/>
              </w:rPr>
              <w:t>29</w:t>
            </w:r>
            <w:r>
              <w:rPr>
                <w:b/>
                <w:bCs/>
                <w:sz w:val="24"/>
                <w:szCs w:val="24"/>
              </w:rPr>
              <w:fldChar w:fldCharType="end"/>
            </w:r>
          </w:p>
        </w:sdtContent>
      </w:sdt>
    </w:sdtContent>
  </w:sdt>
  <w:p w:rsidR="001F33D3" w:rsidRDefault="001F33D3" w14:paraId="4E4A3F15" w14:textId="77777777">
    <w:pPr>
      <w:pStyle w:val="Piedepgina"/>
    </w:pPr>
  </w:p>
  <w:p w:rsidR="001F33D3" w:rsidRDefault="001F33D3" w14:paraId="1162E87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4FE7" w:rsidP="00576FD0" w:rsidRDefault="00404FE7" w14:paraId="08EA939F" w14:textId="77777777">
      <w:pPr>
        <w:spacing w:after="0" w:line="240" w:lineRule="auto"/>
      </w:pPr>
      <w:r>
        <w:separator/>
      </w:r>
    </w:p>
  </w:footnote>
  <w:footnote w:type="continuationSeparator" w:id="0">
    <w:p w:rsidR="00404FE7" w:rsidP="00576FD0" w:rsidRDefault="00404FE7" w14:paraId="4177F0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415"/>
      <w:gridCol w:w="7083"/>
    </w:tblGrid>
    <w:tr w:rsidRPr="005C106F" w:rsidR="001F33D3" w:rsidTr="00AE20F2" w14:paraId="2C30C966" w14:textId="77777777">
      <w:trPr>
        <w:trHeight w:val="902"/>
      </w:trPr>
      <w:tc>
        <w:tcPr>
          <w:tcW w:w="2415" w:type="dxa"/>
          <w:shd w:val="clear" w:color="auto" w:fill="auto"/>
        </w:tcPr>
        <w:p w:rsidRPr="005C106F" w:rsidR="001F33D3" w:rsidP="00AE20F2" w:rsidRDefault="001F33D3" w14:paraId="36B0D696" w14:textId="77777777">
          <w:pPr>
            <w:tabs>
              <w:tab w:val="right" w:pos="4273"/>
            </w:tabs>
            <w:rPr>
              <w:rFonts w:ascii="Garamond" w:hAnsi="Garamond" w:eastAsia="Calibri"/>
              <w:sz w:val="16"/>
              <w:szCs w:val="16"/>
            </w:rPr>
          </w:pPr>
        </w:p>
      </w:tc>
      <w:tc>
        <w:tcPr>
          <w:tcW w:w="7083" w:type="dxa"/>
          <w:shd w:val="clear" w:color="auto" w:fill="auto"/>
        </w:tcPr>
        <w:tbl>
          <w:tblPr>
            <w:tblStyle w:val="Tablaconcuadrcula"/>
            <w:tblW w:w="6781" w:type="dxa"/>
            <w:tblInd w:w="10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377"/>
          </w:tblGrid>
          <w:tr w:rsidR="001F33D3" w:rsidTr="00AE20F2" w14:paraId="169401CB" w14:textId="77777777">
            <w:trPr>
              <w:trHeight w:val="142"/>
            </w:trPr>
            <w:tc>
              <w:tcPr>
                <w:tcW w:w="2404" w:type="dxa"/>
              </w:tcPr>
              <w:p w:rsidRPr="001B5FB6" w:rsidR="001F33D3" w:rsidP="00AE20F2" w:rsidRDefault="001F33D3" w14:paraId="39250272" w14:textId="77777777">
                <w:pPr>
                  <w:tabs>
                    <w:tab w:val="right" w:pos="8838"/>
                  </w:tabs>
                  <w:ind w:right="-105"/>
                  <w:rPr>
                    <w:rFonts w:eastAsia="Calibri" w:cs="Tahoma"/>
                    <w:b/>
                    <w:lang w:val="es-MX"/>
                  </w:rPr>
                </w:pPr>
                <w:r w:rsidRPr="001B5FB6">
                  <w:rPr>
                    <w:rFonts w:eastAsia="Calibri" w:cs="Tahoma"/>
                    <w:b/>
                    <w:lang w:val="es-MX"/>
                  </w:rPr>
                  <w:t>Recurso de Revisión:</w:t>
                </w:r>
              </w:p>
            </w:tc>
            <w:tc>
              <w:tcPr>
                <w:tcW w:w="4377" w:type="dxa"/>
              </w:tcPr>
              <w:p w:rsidRPr="00A168EB" w:rsidR="001F33D3" w:rsidP="00AE20F2" w:rsidRDefault="001F33D3" w14:paraId="5BDBB3F7" w14:textId="77777777">
                <w:pPr>
                  <w:tabs>
                    <w:tab w:val="right" w:pos="8838"/>
                  </w:tabs>
                  <w:ind w:left="-28" w:right="683"/>
                  <w:rPr>
                    <w:rFonts w:eastAsia="Calibri" w:cs="Tahoma"/>
                    <w:bCs/>
                  </w:rPr>
                </w:pPr>
                <w:r w:rsidRPr="00A50B6C">
                  <w:rPr>
                    <w:rFonts w:eastAsia="Calibri" w:cs="Tahoma"/>
                    <w:bCs/>
                    <w:lang w:val="es-MX"/>
                  </w:rPr>
                  <w:t>04256/INFOEM/IP/RR/2020</w:t>
                </w:r>
              </w:p>
            </w:tc>
          </w:tr>
          <w:tr w:rsidR="001F33D3" w:rsidTr="00AE20F2" w14:paraId="143AF189" w14:textId="77777777">
            <w:trPr>
              <w:trHeight w:val="278"/>
            </w:trPr>
            <w:tc>
              <w:tcPr>
                <w:tcW w:w="2404" w:type="dxa"/>
              </w:tcPr>
              <w:p w:rsidRPr="001B5FB6" w:rsidR="001F33D3" w:rsidP="00AE20F2" w:rsidRDefault="001F33D3" w14:paraId="47159446" w14:textId="77777777">
                <w:pPr>
                  <w:tabs>
                    <w:tab w:val="right" w:pos="8838"/>
                  </w:tabs>
                  <w:ind w:right="-105"/>
                  <w:rPr>
                    <w:rFonts w:eastAsia="Calibri" w:cs="Tahoma"/>
                    <w:b/>
                    <w:lang w:val="es-MX"/>
                  </w:rPr>
                </w:pPr>
                <w:r w:rsidRPr="001B5FB6">
                  <w:rPr>
                    <w:rFonts w:eastAsia="Calibri" w:cs="Tahoma"/>
                    <w:b/>
                    <w:lang w:val="es-MX"/>
                  </w:rPr>
                  <w:t>Sujeto Obligado:</w:t>
                </w:r>
              </w:p>
            </w:tc>
            <w:tc>
              <w:tcPr>
                <w:tcW w:w="4377" w:type="dxa"/>
              </w:tcPr>
              <w:p w:rsidRPr="00A168EB" w:rsidR="001F33D3" w:rsidP="00AE20F2" w:rsidRDefault="001F33D3" w14:paraId="21E61EDE" w14:textId="77777777">
                <w:pPr>
                  <w:tabs>
                    <w:tab w:val="right" w:pos="8838"/>
                  </w:tabs>
                  <w:ind w:right="116"/>
                  <w:rPr>
                    <w:rFonts w:eastAsia="Calibri" w:cs="Tahoma"/>
                    <w:lang w:val="es-MX"/>
                  </w:rPr>
                </w:pPr>
                <w:r w:rsidRPr="00A50B6C">
                  <w:rPr>
                    <w:rFonts w:eastAsia="Calibri" w:cs="Tahoma"/>
                    <w:bCs/>
                    <w:lang w:val="es-MX"/>
                  </w:rPr>
                  <w:t>Ayuntamiento de Tianguistenco</w:t>
                </w:r>
              </w:p>
            </w:tc>
          </w:tr>
          <w:tr w:rsidR="001F33D3" w:rsidTr="00AE20F2" w14:paraId="2371B6BE" w14:textId="77777777">
            <w:trPr>
              <w:trHeight w:val="278"/>
            </w:trPr>
            <w:tc>
              <w:tcPr>
                <w:tcW w:w="2404" w:type="dxa"/>
              </w:tcPr>
              <w:p w:rsidRPr="001B5FB6" w:rsidR="001F33D3" w:rsidP="00AE20F2" w:rsidRDefault="001F33D3" w14:paraId="3450C1CD" w14:textId="77777777">
                <w:pPr>
                  <w:tabs>
                    <w:tab w:val="right" w:pos="8838"/>
                  </w:tabs>
                  <w:ind w:right="-105"/>
                  <w:rPr>
                    <w:rFonts w:eastAsia="Calibri" w:cs="Tahoma"/>
                    <w:b/>
                    <w:lang w:val="es-MX"/>
                  </w:rPr>
                </w:pPr>
                <w:r w:rsidRPr="001B5FB6">
                  <w:rPr>
                    <w:rFonts w:eastAsia="Calibri" w:cs="Tahoma"/>
                    <w:b/>
                    <w:lang w:val="es-MX"/>
                  </w:rPr>
                  <w:t>Comisionado Ponente:</w:t>
                </w:r>
              </w:p>
            </w:tc>
            <w:tc>
              <w:tcPr>
                <w:tcW w:w="4377" w:type="dxa"/>
              </w:tcPr>
              <w:p w:rsidRPr="001B5FB6" w:rsidR="001F33D3" w:rsidP="00AE20F2" w:rsidRDefault="001F33D3" w14:paraId="1927B5AF" w14:textId="77777777">
                <w:pPr>
                  <w:tabs>
                    <w:tab w:val="right" w:pos="8838"/>
                  </w:tabs>
                  <w:ind w:right="-32"/>
                  <w:rPr>
                    <w:rFonts w:eastAsia="Calibri" w:cs="Tahoma"/>
                    <w:b/>
                    <w:lang w:val="es-MX"/>
                  </w:rPr>
                </w:pPr>
                <w:r w:rsidRPr="001B5FB6">
                  <w:rPr>
                    <w:rFonts w:eastAsia="Calibri" w:cs="Tahoma"/>
                    <w:lang w:val="es-MX"/>
                  </w:rPr>
                  <w:t>Luis Gustavo Parra Noriega</w:t>
                </w:r>
              </w:p>
            </w:tc>
          </w:tr>
        </w:tbl>
        <w:p w:rsidRPr="005C106F" w:rsidR="001F33D3" w:rsidP="00AE20F2" w:rsidRDefault="001F33D3" w14:paraId="5C7C6B64" w14:textId="77777777">
          <w:pPr>
            <w:tabs>
              <w:tab w:val="right" w:pos="8838"/>
            </w:tabs>
            <w:ind w:left="-28"/>
            <w:rPr>
              <w:rFonts w:ascii="Arial" w:hAnsi="Arial" w:eastAsia="Calibri" w:cs="Arial"/>
              <w:b/>
            </w:rPr>
          </w:pPr>
        </w:p>
      </w:tc>
    </w:tr>
  </w:tbl>
  <w:p w:rsidR="001F33D3" w:rsidRDefault="006F2506" w14:paraId="66AB215F" w14:textId="77777777">
    <w:pPr>
      <w:pStyle w:val="Encabezado"/>
    </w:pPr>
    <w:r>
      <w:rPr>
        <w:noProof/>
      </w:rPr>
      <w:pict w14:anchorId="27B4F69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5"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p w:rsidR="001F33D3" w:rsidRDefault="001F33D3" w14:paraId="4E2C391D"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9" w:type="dxa"/>
      <w:tblLayout w:type="fixed"/>
      <w:tblLook w:val="04A0" w:firstRow="1" w:lastRow="0" w:firstColumn="1" w:lastColumn="0" w:noHBand="0" w:noVBand="1"/>
    </w:tblPr>
    <w:tblGrid>
      <w:gridCol w:w="2376"/>
      <w:gridCol w:w="7193"/>
    </w:tblGrid>
    <w:tr w:rsidRPr="005C106F" w:rsidR="001F33D3" w:rsidTr="00024ECD" w14:paraId="6BC7F807" w14:textId="77777777">
      <w:trPr>
        <w:trHeight w:val="70"/>
      </w:trPr>
      <w:tc>
        <w:tcPr>
          <w:tcW w:w="2376" w:type="dxa"/>
          <w:shd w:val="clear" w:color="auto" w:fill="auto"/>
        </w:tcPr>
        <w:p w:rsidRPr="005C106F" w:rsidR="001F33D3" w:rsidP="00AE20F2" w:rsidRDefault="001F33D3" w14:paraId="0D7FA96F" w14:textId="77777777">
          <w:pPr>
            <w:tabs>
              <w:tab w:val="right" w:pos="4273"/>
            </w:tabs>
            <w:rPr>
              <w:rFonts w:ascii="Garamond" w:hAnsi="Garamond" w:eastAsia="Calibri"/>
              <w:sz w:val="16"/>
              <w:szCs w:val="16"/>
            </w:rPr>
          </w:pPr>
        </w:p>
      </w:tc>
      <w:tc>
        <w:tcPr>
          <w:tcW w:w="7193" w:type="dxa"/>
          <w:shd w:val="clear" w:color="auto" w:fill="auto"/>
        </w:tcPr>
        <w:p w:rsidRPr="000E6290" w:rsidR="001F33D3" w:rsidRDefault="001F33D3" w14:paraId="3486E59F" w14:textId="77777777">
          <w:pPr>
            <w:rPr>
              <w:sz w:val="14"/>
              <w:szCs w:val="14"/>
            </w:rPr>
          </w:pPr>
        </w:p>
        <w:tbl>
          <w:tblPr>
            <w:tblStyle w:val="Tablaconcuadrcula"/>
            <w:tblW w:w="5845" w:type="dxa"/>
            <w:tblInd w:w="10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3"/>
            <w:gridCol w:w="3402"/>
          </w:tblGrid>
          <w:tr w:rsidR="001F33D3" w:rsidTr="000E6290" w14:paraId="347939C1" w14:textId="77777777">
            <w:trPr>
              <w:trHeight w:val="128"/>
            </w:trPr>
            <w:tc>
              <w:tcPr>
                <w:tcW w:w="2443" w:type="dxa"/>
              </w:tcPr>
              <w:p w:rsidRPr="001B5FB6" w:rsidR="001F33D3" w:rsidP="00AE20F2" w:rsidRDefault="001F33D3" w14:paraId="7593D28D" w14:textId="77777777">
                <w:pPr>
                  <w:tabs>
                    <w:tab w:val="right" w:pos="8838"/>
                  </w:tabs>
                  <w:ind w:right="-105"/>
                  <w:rPr>
                    <w:rFonts w:eastAsia="Calibri" w:cs="Tahoma"/>
                    <w:b/>
                    <w:lang w:val="es-MX"/>
                  </w:rPr>
                </w:pPr>
                <w:r w:rsidRPr="001B5FB6">
                  <w:rPr>
                    <w:rFonts w:eastAsia="Calibri" w:cs="Tahoma"/>
                    <w:b/>
                    <w:lang w:val="es-MX"/>
                  </w:rPr>
                  <w:t>Recurso de Revisión:</w:t>
                </w:r>
              </w:p>
            </w:tc>
            <w:tc>
              <w:tcPr>
                <w:tcW w:w="3402" w:type="dxa"/>
              </w:tcPr>
              <w:p w:rsidRPr="00576FD0" w:rsidR="001F33D3" w:rsidP="00FD218F" w:rsidRDefault="005A7513" w14:paraId="24DFB03F" w14:textId="6EE295D7">
                <w:pPr>
                  <w:tabs>
                    <w:tab w:val="right" w:pos="8838"/>
                  </w:tabs>
                  <w:ind w:left="-28" w:right="33"/>
                  <w:rPr>
                    <w:rFonts w:eastAsia="Calibri" w:cs="Tahoma"/>
                  </w:rPr>
                </w:pPr>
                <w:r w:rsidRPr="00576FD0">
                  <w:rPr>
                    <w:rFonts w:eastAsia="Calibri" w:cs="Tahoma"/>
                    <w:lang w:val="es-MX"/>
                  </w:rPr>
                  <w:t>0</w:t>
                </w:r>
                <w:r>
                  <w:rPr>
                    <w:rFonts w:eastAsia="Calibri" w:cs="Tahoma"/>
                    <w:lang w:val="es-MX"/>
                  </w:rPr>
                  <w:t>5401</w:t>
                </w:r>
                <w:r w:rsidRPr="00576FD0">
                  <w:rPr>
                    <w:rFonts w:eastAsia="Calibri" w:cs="Tahoma"/>
                    <w:lang w:val="es-MX"/>
                  </w:rPr>
                  <w:t>/INFOEM/IP/RR/2021</w:t>
                </w:r>
              </w:p>
            </w:tc>
          </w:tr>
          <w:tr w:rsidR="001F33D3" w:rsidTr="000E6290" w14:paraId="06DA9E9A" w14:textId="77777777">
            <w:trPr>
              <w:trHeight w:val="251"/>
            </w:trPr>
            <w:tc>
              <w:tcPr>
                <w:tcW w:w="2443" w:type="dxa"/>
              </w:tcPr>
              <w:p w:rsidRPr="001B5FB6" w:rsidR="001F33D3" w:rsidP="00AE20F2" w:rsidRDefault="001F33D3" w14:paraId="29A964ED" w14:textId="77777777">
                <w:pPr>
                  <w:tabs>
                    <w:tab w:val="right" w:pos="8838"/>
                  </w:tabs>
                  <w:ind w:right="-105"/>
                  <w:rPr>
                    <w:rFonts w:eastAsia="Calibri" w:cs="Tahoma"/>
                    <w:b/>
                    <w:lang w:val="es-MX"/>
                  </w:rPr>
                </w:pPr>
                <w:r w:rsidRPr="001B5FB6">
                  <w:rPr>
                    <w:rFonts w:eastAsia="Calibri" w:cs="Tahoma"/>
                    <w:b/>
                    <w:lang w:val="es-MX"/>
                  </w:rPr>
                  <w:t>Sujeto Obligado:</w:t>
                </w:r>
              </w:p>
            </w:tc>
            <w:tc>
              <w:tcPr>
                <w:tcW w:w="3402" w:type="dxa"/>
              </w:tcPr>
              <w:p w:rsidRPr="00576FD0" w:rsidR="001F33D3" w:rsidP="00024ECD" w:rsidRDefault="001F33D3" w14:paraId="62919A55" w14:textId="22BCBD71">
                <w:pPr>
                  <w:tabs>
                    <w:tab w:val="right" w:pos="8838"/>
                  </w:tabs>
                  <w:ind w:left="-28" w:right="33"/>
                  <w:rPr>
                    <w:rFonts w:eastAsia="Calibri" w:cs="Tahoma"/>
                    <w:lang w:val="es-MX"/>
                  </w:rPr>
                </w:pPr>
                <w:r w:rsidRPr="00FD218F">
                  <w:rPr>
                    <w:rFonts w:eastAsia="Calibri" w:cs="Tahoma"/>
                    <w:lang w:val="es-MX"/>
                  </w:rPr>
                  <w:t>Comisión del Agua del Estado de México</w:t>
                </w:r>
              </w:p>
            </w:tc>
          </w:tr>
          <w:tr w:rsidR="001F33D3" w:rsidTr="000E6290" w14:paraId="45F52267" w14:textId="77777777">
            <w:trPr>
              <w:trHeight w:val="251"/>
            </w:trPr>
            <w:tc>
              <w:tcPr>
                <w:tcW w:w="2443" w:type="dxa"/>
              </w:tcPr>
              <w:p w:rsidRPr="001B5FB6" w:rsidR="001F33D3" w:rsidP="00AE20F2" w:rsidRDefault="001F33D3" w14:paraId="0C0326C2" w14:textId="77777777">
                <w:pPr>
                  <w:tabs>
                    <w:tab w:val="right" w:pos="8838"/>
                  </w:tabs>
                  <w:ind w:right="-105"/>
                  <w:rPr>
                    <w:rFonts w:eastAsia="Calibri" w:cs="Tahoma"/>
                    <w:b/>
                    <w:lang w:val="es-MX"/>
                  </w:rPr>
                </w:pPr>
                <w:r w:rsidRPr="001B5FB6">
                  <w:rPr>
                    <w:rFonts w:eastAsia="Calibri" w:cs="Tahoma"/>
                    <w:b/>
                    <w:lang w:val="es-MX"/>
                  </w:rPr>
                  <w:t>Comisionado Ponente:</w:t>
                </w:r>
              </w:p>
            </w:tc>
            <w:tc>
              <w:tcPr>
                <w:tcW w:w="3402" w:type="dxa"/>
              </w:tcPr>
              <w:p w:rsidRPr="001B5FB6" w:rsidR="001F33D3" w:rsidP="00024ECD" w:rsidRDefault="001F33D3" w14:paraId="6FF2856A" w14:textId="77777777">
                <w:pPr>
                  <w:tabs>
                    <w:tab w:val="right" w:pos="8838"/>
                  </w:tabs>
                  <w:ind w:left="-28" w:right="33"/>
                  <w:rPr>
                    <w:rFonts w:eastAsia="Calibri" w:cs="Tahoma"/>
                    <w:b/>
                    <w:lang w:val="es-MX"/>
                  </w:rPr>
                </w:pPr>
                <w:r w:rsidRPr="001B5FB6">
                  <w:rPr>
                    <w:rFonts w:eastAsia="Calibri" w:cs="Tahoma"/>
                    <w:lang w:val="es-MX"/>
                  </w:rPr>
                  <w:t>Luis Gustavo Parra Noriega</w:t>
                </w:r>
              </w:p>
            </w:tc>
          </w:tr>
        </w:tbl>
        <w:p w:rsidRPr="005C106F" w:rsidR="001F33D3" w:rsidP="00AE20F2" w:rsidRDefault="001F33D3" w14:paraId="68359CA9" w14:textId="77777777">
          <w:pPr>
            <w:tabs>
              <w:tab w:val="right" w:pos="8838"/>
            </w:tabs>
            <w:ind w:left="-28"/>
            <w:rPr>
              <w:rFonts w:ascii="Arial" w:hAnsi="Arial" w:eastAsia="Calibri" w:cs="Arial"/>
              <w:b/>
            </w:rPr>
          </w:pPr>
        </w:p>
      </w:tc>
    </w:tr>
  </w:tbl>
  <w:p w:rsidR="001F33D3" w:rsidP="00AE20F2" w:rsidRDefault="006F2506" w14:paraId="71830F50" w14:textId="77777777">
    <w:r>
      <w:rPr>
        <w:noProof/>
      </w:rPr>
      <w:pict w14:anchorId="64641FB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6" style="position:absolute;left:0;text-align:left;margin-left:-112.85pt;margin-top:-132.4pt;width:663.5pt;height:12in;z-index:-251655168;mso-position-horizontal-relative:margin;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jc w:val="right"/>
      <w:tblLayout w:type="fixed"/>
      <w:tblLook w:val="04A0" w:firstRow="1" w:lastRow="0" w:firstColumn="1" w:lastColumn="0" w:noHBand="0" w:noVBand="1"/>
    </w:tblPr>
    <w:tblGrid>
      <w:gridCol w:w="2305"/>
      <w:gridCol w:w="7193"/>
    </w:tblGrid>
    <w:tr w:rsidRPr="005C106F" w:rsidR="001F33D3" w:rsidTr="624ABABF" w14:paraId="214E3C48" w14:textId="77777777">
      <w:trPr>
        <w:trHeight w:val="902"/>
        <w:jc w:val="right"/>
      </w:trPr>
      <w:tc>
        <w:tcPr>
          <w:tcW w:w="2305" w:type="dxa"/>
          <w:shd w:val="clear" w:color="auto" w:fill="auto"/>
          <w:tcMar/>
        </w:tcPr>
        <w:p w:rsidRPr="005C106F" w:rsidR="001F33D3" w:rsidP="00AE20F2" w:rsidRDefault="001F33D3" w14:paraId="019BE6D8" w14:textId="77777777">
          <w:pPr>
            <w:tabs>
              <w:tab w:val="right" w:pos="4273"/>
            </w:tabs>
            <w:rPr>
              <w:rFonts w:ascii="Garamond" w:hAnsi="Garamond" w:eastAsia="Calibri"/>
              <w:sz w:val="16"/>
              <w:szCs w:val="16"/>
            </w:rPr>
          </w:pPr>
        </w:p>
      </w:tc>
      <w:tc>
        <w:tcPr>
          <w:tcW w:w="7193" w:type="dxa"/>
          <w:shd w:val="clear" w:color="auto" w:fill="auto"/>
          <w:tcMar/>
        </w:tcPr>
        <w:tbl>
          <w:tblPr>
            <w:tblStyle w:val="Tablaconcuadrcula"/>
            <w:tblW w:w="5244" w:type="dxa"/>
            <w:tblInd w:w="16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2835"/>
          </w:tblGrid>
          <w:tr w:rsidR="001F33D3" w:rsidTr="624ABABF" w14:paraId="485F3240" w14:textId="77777777">
            <w:trPr>
              <w:trHeight w:val="139"/>
            </w:trPr>
            <w:tc>
              <w:tcPr>
                <w:tcW w:w="2409" w:type="dxa"/>
                <w:tcMar/>
              </w:tcPr>
              <w:p w:rsidRPr="001B5FB6" w:rsidR="001F33D3" w:rsidP="00C441FE" w:rsidRDefault="001F33D3" w14:paraId="54F399A7" w14:textId="77777777">
                <w:pPr>
                  <w:tabs>
                    <w:tab w:val="right" w:pos="8838"/>
                  </w:tabs>
                  <w:ind w:right="-105"/>
                  <w:rPr>
                    <w:rFonts w:eastAsia="Calibri" w:cs="Tahoma"/>
                    <w:b/>
                    <w:lang w:val="es-MX"/>
                  </w:rPr>
                </w:pPr>
                <w:r w:rsidRPr="001B5FB6">
                  <w:rPr>
                    <w:rFonts w:eastAsia="Calibri" w:cs="Tahoma"/>
                    <w:b/>
                    <w:lang w:val="es-MX"/>
                  </w:rPr>
                  <w:t>Recurso de Revisión:</w:t>
                </w:r>
              </w:p>
            </w:tc>
            <w:tc>
              <w:tcPr>
                <w:tcW w:w="2835" w:type="dxa"/>
                <w:tcMar/>
              </w:tcPr>
              <w:p w:rsidRPr="00576FD0" w:rsidR="001F33D3" w:rsidP="00FD218F" w:rsidRDefault="001F33D3" w14:paraId="205A6EF3" w14:textId="00FDBBB6">
                <w:pPr>
                  <w:tabs>
                    <w:tab w:val="right" w:pos="8838"/>
                  </w:tabs>
                  <w:ind w:left="-28" w:right="-105"/>
                  <w:rPr>
                    <w:rFonts w:eastAsia="Calibri" w:cs="Tahoma"/>
                  </w:rPr>
                </w:pPr>
                <w:r w:rsidRPr="00576FD0">
                  <w:rPr>
                    <w:rFonts w:eastAsia="Calibri" w:cs="Tahoma"/>
                    <w:lang w:val="es-MX"/>
                  </w:rPr>
                  <w:t>0</w:t>
                </w:r>
                <w:r>
                  <w:rPr>
                    <w:rFonts w:eastAsia="Calibri" w:cs="Tahoma"/>
                    <w:lang w:val="es-MX"/>
                  </w:rPr>
                  <w:t>5401</w:t>
                </w:r>
                <w:r w:rsidRPr="00576FD0">
                  <w:rPr>
                    <w:rFonts w:eastAsia="Calibri" w:cs="Tahoma"/>
                    <w:lang w:val="es-MX"/>
                  </w:rPr>
                  <w:t>/INFOEM/IP/RR/2021</w:t>
                </w:r>
                <w:r>
                  <w:rPr>
                    <w:rFonts w:eastAsia="Calibri" w:cs="Tahoma"/>
                    <w:lang w:val="es-MX"/>
                  </w:rPr>
                  <w:t xml:space="preserve"> </w:t>
                </w:r>
              </w:p>
            </w:tc>
          </w:tr>
          <w:tr w:rsidR="001F33D3" w:rsidTr="624ABABF" w14:paraId="19DDE8E6" w14:textId="77777777">
            <w:trPr>
              <w:trHeight w:val="139"/>
            </w:trPr>
            <w:tc>
              <w:tcPr>
                <w:tcW w:w="2409" w:type="dxa"/>
                <w:tcMar/>
              </w:tcPr>
              <w:p w:rsidRPr="001B5FB6" w:rsidR="001F33D3" w:rsidP="00C441FE" w:rsidRDefault="001F33D3" w14:paraId="07179027" w14:textId="77777777">
                <w:pPr>
                  <w:tabs>
                    <w:tab w:val="right" w:pos="8838"/>
                  </w:tabs>
                  <w:ind w:right="-105"/>
                  <w:rPr>
                    <w:rFonts w:eastAsia="Calibri" w:cs="Tahoma"/>
                    <w:b/>
                    <w:lang w:val="es-MX"/>
                  </w:rPr>
                </w:pPr>
                <w:r w:rsidRPr="001B5FB6">
                  <w:rPr>
                    <w:rFonts w:eastAsia="Calibri" w:cs="Tahoma"/>
                    <w:b/>
                    <w:lang w:val="es-MX"/>
                  </w:rPr>
                  <w:t>Recurrente:</w:t>
                </w:r>
              </w:p>
            </w:tc>
            <w:tc>
              <w:tcPr>
                <w:tcW w:w="2835" w:type="dxa"/>
                <w:tcMar/>
              </w:tcPr>
              <w:p w:rsidRPr="00D56786" w:rsidR="001F33D3" w:rsidP="624ABABF" w:rsidRDefault="001F33D3" w14:paraId="2E01E5E9" w14:textId="136B0694">
                <w:pPr>
                  <w:pStyle w:val="Normal"/>
                  <w:tabs>
                    <w:tab w:val="right" w:leader="none" w:pos="8838"/>
                  </w:tabs>
                  <w:bidi w:val="0"/>
                  <w:spacing w:before="0" w:beforeAutospacing="off" w:after="0" w:afterAutospacing="off" w:line="259" w:lineRule="auto"/>
                  <w:ind w:left="-28" w:right="-105"/>
                  <w:jc w:val="both"/>
                  <w:rPr>
                    <w:rFonts w:ascii="Palatino Linotype" w:hAnsi="Palatino Linotype" w:eastAsia="Calibri" w:cs=""/>
                    <w:color w:val="000000" w:themeColor="text1" w:themeTint="FF" w:themeShade="FF"/>
                    <w:highlight w:val="black"/>
                    <w:lang w:val="es-MX"/>
                  </w:rPr>
                </w:pPr>
                <w:r w:rsidRPr="624ABABF" w:rsidR="624ABABF">
                  <w:rPr>
                    <w:rFonts w:eastAsia="Calibri" w:cs="Tahoma"/>
                    <w:highlight w:val="black"/>
                    <w:lang w:val="es-MX"/>
                  </w:rPr>
                  <w:t>XXXXXX</w:t>
                </w:r>
              </w:p>
            </w:tc>
          </w:tr>
          <w:tr w:rsidR="001F33D3" w:rsidTr="624ABABF" w14:paraId="3A6B4508" w14:textId="77777777">
            <w:trPr>
              <w:trHeight w:val="273"/>
            </w:trPr>
            <w:tc>
              <w:tcPr>
                <w:tcW w:w="2409" w:type="dxa"/>
                <w:tcMar/>
              </w:tcPr>
              <w:p w:rsidRPr="001B5FB6" w:rsidR="001F33D3" w:rsidP="00C441FE" w:rsidRDefault="001F33D3" w14:paraId="713C7D71" w14:textId="77777777">
                <w:pPr>
                  <w:tabs>
                    <w:tab w:val="right" w:pos="8838"/>
                  </w:tabs>
                  <w:ind w:right="-105"/>
                  <w:rPr>
                    <w:rFonts w:eastAsia="Calibri" w:cs="Tahoma"/>
                    <w:b/>
                    <w:lang w:val="es-MX"/>
                  </w:rPr>
                </w:pPr>
                <w:r w:rsidRPr="001B5FB6">
                  <w:rPr>
                    <w:rFonts w:eastAsia="Calibri" w:cs="Tahoma"/>
                    <w:b/>
                    <w:lang w:val="es-MX"/>
                  </w:rPr>
                  <w:t>Sujeto Obligado:</w:t>
                </w:r>
              </w:p>
            </w:tc>
            <w:tc>
              <w:tcPr>
                <w:tcW w:w="2835" w:type="dxa"/>
                <w:tcMar/>
              </w:tcPr>
              <w:p w:rsidRPr="00576FD0" w:rsidR="001F33D3" w:rsidP="00C441FE" w:rsidRDefault="001F33D3" w14:paraId="38A5599A" w14:textId="40F4D409">
                <w:pPr>
                  <w:tabs>
                    <w:tab w:val="right" w:pos="8838"/>
                  </w:tabs>
                  <w:ind w:left="-28" w:right="-105"/>
                  <w:rPr>
                    <w:rFonts w:eastAsia="Calibri" w:cs="Tahoma"/>
                    <w:lang w:val="es-MX"/>
                  </w:rPr>
                </w:pPr>
                <w:r w:rsidRPr="00FD218F">
                  <w:rPr>
                    <w:rFonts w:eastAsia="Calibri" w:cs="Tahoma"/>
                    <w:lang w:val="es-MX"/>
                  </w:rPr>
                  <w:t>Comisión del Agua del Estado de México</w:t>
                </w:r>
              </w:p>
            </w:tc>
          </w:tr>
          <w:tr w:rsidR="001F33D3" w:rsidTr="624ABABF" w14:paraId="210EF79C" w14:textId="77777777">
            <w:trPr>
              <w:trHeight w:val="273"/>
            </w:trPr>
            <w:tc>
              <w:tcPr>
                <w:tcW w:w="2409" w:type="dxa"/>
                <w:tcMar/>
              </w:tcPr>
              <w:p w:rsidRPr="001B5FB6" w:rsidR="001F33D3" w:rsidP="00C441FE" w:rsidRDefault="001F33D3" w14:paraId="404426D0" w14:textId="77777777">
                <w:pPr>
                  <w:tabs>
                    <w:tab w:val="right" w:pos="8838"/>
                  </w:tabs>
                  <w:ind w:right="-105"/>
                  <w:rPr>
                    <w:rFonts w:eastAsia="Calibri" w:cs="Tahoma"/>
                    <w:b/>
                    <w:lang w:val="es-MX"/>
                  </w:rPr>
                </w:pPr>
                <w:r w:rsidRPr="001B5FB6">
                  <w:rPr>
                    <w:rFonts w:eastAsia="Calibri" w:cs="Tahoma"/>
                    <w:b/>
                    <w:lang w:val="es-MX"/>
                  </w:rPr>
                  <w:t>Comisionado Ponente:</w:t>
                </w:r>
              </w:p>
            </w:tc>
            <w:tc>
              <w:tcPr>
                <w:tcW w:w="2835" w:type="dxa"/>
                <w:tcMar/>
              </w:tcPr>
              <w:p w:rsidRPr="001B5FB6" w:rsidR="001F33D3" w:rsidP="00C441FE" w:rsidRDefault="001F33D3" w14:paraId="1191CA6A" w14:textId="77777777">
                <w:pPr>
                  <w:tabs>
                    <w:tab w:val="right" w:pos="8838"/>
                  </w:tabs>
                  <w:ind w:left="-28" w:right="-105"/>
                  <w:rPr>
                    <w:rFonts w:eastAsia="Calibri" w:cs="Tahoma"/>
                    <w:b/>
                    <w:lang w:val="es-MX"/>
                  </w:rPr>
                </w:pPr>
                <w:r w:rsidRPr="001B5FB6">
                  <w:rPr>
                    <w:rFonts w:eastAsia="Calibri" w:cs="Tahoma"/>
                    <w:lang w:val="es-MX"/>
                  </w:rPr>
                  <w:t>Luis Gustavo Parra Noriega</w:t>
                </w:r>
              </w:p>
            </w:tc>
          </w:tr>
        </w:tbl>
        <w:p w:rsidRPr="005C106F" w:rsidR="001F33D3" w:rsidP="00AE20F2" w:rsidRDefault="001F33D3" w14:paraId="563DF0DD" w14:textId="77777777">
          <w:pPr>
            <w:tabs>
              <w:tab w:val="right" w:pos="8838"/>
            </w:tabs>
            <w:ind w:left="-28"/>
            <w:rPr>
              <w:rFonts w:ascii="Arial" w:hAnsi="Arial" w:eastAsia="Calibri" w:cs="Arial"/>
              <w:b/>
            </w:rPr>
          </w:pPr>
        </w:p>
      </w:tc>
    </w:tr>
  </w:tbl>
  <w:p w:rsidR="001F33D3" w:rsidP="00AE20F2" w:rsidRDefault="006F2506" w14:paraId="516B6282" w14:textId="77777777">
    <w:pPr>
      <w:pStyle w:val="Encabezado"/>
    </w:pPr>
    <w:r>
      <w:rPr>
        <w:noProof/>
      </w:rPr>
      <w:pict w14:anchorId="7020D5A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61687234" style="position:absolute;left:0;text-align:left;margin-left:-104.6pt;margin-top:-123.5pt;width:663.5pt;height:12in;z-index:-251657216;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94147"/>
    <w:multiLevelType w:val="hybridMultilevel"/>
    <w:tmpl w:val="F47A7D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9CB70CC"/>
    <w:multiLevelType w:val="hybridMultilevel"/>
    <w:tmpl w:val="2B548B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B011F5C"/>
    <w:multiLevelType w:val="hybridMultilevel"/>
    <w:tmpl w:val="84AC336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 w15:restartNumberingAfterBreak="0">
    <w:nsid w:val="25CA6482"/>
    <w:multiLevelType w:val="hybridMultilevel"/>
    <w:tmpl w:val="4E4ABC76"/>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4" w15:restartNumberingAfterBreak="0">
    <w:nsid w:val="3BE91938"/>
    <w:multiLevelType w:val="hybridMultilevel"/>
    <w:tmpl w:val="745C653C"/>
    <w:lvl w:ilvl="0" w:tplc="080A0001">
      <w:start w:val="1"/>
      <w:numFmt w:val="bullet"/>
      <w:lvlText w:val=""/>
      <w:lvlJc w:val="left"/>
      <w:pPr>
        <w:ind w:left="770" w:hanging="360"/>
      </w:pPr>
      <w:rPr>
        <w:rFonts w:hint="default" w:ascii="Symbol" w:hAnsi="Symbol"/>
      </w:rPr>
    </w:lvl>
    <w:lvl w:ilvl="1" w:tplc="080A0003" w:tentative="1">
      <w:start w:val="1"/>
      <w:numFmt w:val="bullet"/>
      <w:lvlText w:val="o"/>
      <w:lvlJc w:val="left"/>
      <w:pPr>
        <w:ind w:left="1490" w:hanging="360"/>
      </w:pPr>
      <w:rPr>
        <w:rFonts w:hint="default" w:ascii="Courier New" w:hAnsi="Courier New" w:cs="Courier New"/>
      </w:rPr>
    </w:lvl>
    <w:lvl w:ilvl="2" w:tplc="080A0005" w:tentative="1">
      <w:start w:val="1"/>
      <w:numFmt w:val="bullet"/>
      <w:lvlText w:val=""/>
      <w:lvlJc w:val="left"/>
      <w:pPr>
        <w:ind w:left="2210" w:hanging="360"/>
      </w:pPr>
      <w:rPr>
        <w:rFonts w:hint="default" w:ascii="Wingdings" w:hAnsi="Wingdings"/>
      </w:rPr>
    </w:lvl>
    <w:lvl w:ilvl="3" w:tplc="080A0001" w:tentative="1">
      <w:start w:val="1"/>
      <w:numFmt w:val="bullet"/>
      <w:lvlText w:val=""/>
      <w:lvlJc w:val="left"/>
      <w:pPr>
        <w:ind w:left="2930" w:hanging="360"/>
      </w:pPr>
      <w:rPr>
        <w:rFonts w:hint="default" w:ascii="Symbol" w:hAnsi="Symbol"/>
      </w:rPr>
    </w:lvl>
    <w:lvl w:ilvl="4" w:tplc="080A0003" w:tentative="1">
      <w:start w:val="1"/>
      <w:numFmt w:val="bullet"/>
      <w:lvlText w:val="o"/>
      <w:lvlJc w:val="left"/>
      <w:pPr>
        <w:ind w:left="3650" w:hanging="360"/>
      </w:pPr>
      <w:rPr>
        <w:rFonts w:hint="default" w:ascii="Courier New" w:hAnsi="Courier New" w:cs="Courier New"/>
      </w:rPr>
    </w:lvl>
    <w:lvl w:ilvl="5" w:tplc="080A0005" w:tentative="1">
      <w:start w:val="1"/>
      <w:numFmt w:val="bullet"/>
      <w:lvlText w:val=""/>
      <w:lvlJc w:val="left"/>
      <w:pPr>
        <w:ind w:left="4370" w:hanging="360"/>
      </w:pPr>
      <w:rPr>
        <w:rFonts w:hint="default" w:ascii="Wingdings" w:hAnsi="Wingdings"/>
      </w:rPr>
    </w:lvl>
    <w:lvl w:ilvl="6" w:tplc="080A0001" w:tentative="1">
      <w:start w:val="1"/>
      <w:numFmt w:val="bullet"/>
      <w:lvlText w:val=""/>
      <w:lvlJc w:val="left"/>
      <w:pPr>
        <w:ind w:left="5090" w:hanging="360"/>
      </w:pPr>
      <w:rPr>
        <w:rFonts w:hint="default" w:ascii="Symbol" w:hAnsi="Symbol"/>
      </w:rPr>
    </w:lvl>
    <w:lvl w:ilvl="7" w:tplc="080A0003" w:tentative="1">
      <w:start w:val="1"/>
      <w:numFmt w:val="bullet"/>
      <w:lvlText w:val="o"/>
      <w:lvlJc w:val="left"/>
      <w:pPr>
        <w:ind w:left="5810" w:hanging="360"/>
      </w:pPr>
      <w:rPr>
        <w:rFonts w:hint="default" w:ascii="Courier New" w:hAnsi="Courier New" w:cs="Courier New"/>
      </w:rPr>
    </w:lvl>
    <w:lvl w:ilvl="8" w:tplc="080A0005" w:tentative="1">
      <w:start w:val="1"/>
      <w:numFmt w:val="bullet"/>
      <w:lvlText w:val=""/>
      <w:lvlJc w:val="left"/>
      <w:pPr>
        <w:ind w:left="6530" w:hanging="360"/>
      </w:pPr>
      <w:rPr>
        <w:rFonts w:hint="default" w:ascii="Wingdings" w:hAnsi="Wingdings"/>
      </w:rPr>
    </w:lvl>
  </w:abstractNum>
  <w:abstractNum w:abstractNumId="5" w15:restartNumberingAfterBreak="0">
    <w:nsid w:val="41896DDB"/>
    <w:multiLevelType w:val="hybridMultilevel"/>
    <w:tmpl w:val="D8EED92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7" w15:restartNumberingAfterBreak="0">
    <w:nsid w:val="553F18D5"/>
    <w:multiLevelType w:val="hybridMultilevel"/>
    <w:tmpl w:val="AAA27E24"/>
    <w:lvl w:ilvl="0" w:tplc="080A0019">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8" w15:restartNumberingAfterBreak="0">
    <w:nsid w:val="55E87563"/>
    <w:multiLevelType w:val="hybridMultilevel"/>
    <w:tmpl w:val="16D440C0"/>
    <w:lvl w:ilvl="0" w:tplc="08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9" w15:restartNumberingAfterBreak="0">
    <w:nsid w:val="67237F31"/>
    <w:multiLevelType w:val="hybridMultilevel"/>
    <w:tmpl w:val="895C06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6BFE3DC8"/>
    <w:multiLevelType w:val="hybridMultilevel"/>
    <w:tmpl w:val="B60435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C7A5638"/>
    <w:multiLevelType w:val="hybridMultilevel"/>
    <w:tmpl w:val="FA18F14C"/>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5"/>
  </w:num>
  <w:num w:numId="2">
    <w:abstractNumId w:val="10"/>
  </w:num>
  <w:num w:numId="3">
    <w:abstractNumId w:val="1"/>
  </w:num>
  <w:num w:numId="4">
    <w:abstractNumId w:val="11"/>
  </w:num>
  <w:num w:numId="5">
    <w:abstractNumId w:val="3"/>
  </w:num>
  <w:num w:numId="6">
    <w:abstractNumId w:val="7"/>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2"/>
  </w:num>
  <w:num w:numId="11">
    <w:abstractNumId w:val="4"/>
  </w:num>
  <w:num w:numId="12">
    <w:abstractNumId w:val="6"/>
  </w:num>
  <w:num w:numId="13">
    <w:abstractNumId w:val="9"/>
  </w:num>
  <w:num w:numId="14">
    <w:abstractNumId w:val="0"/>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FD0"/>
    <w:rsid w:val="00003428"/>
    <w:rsid w:val="000036DC"/>
    <w:rsid w:val="0000395B"/>
    <w:rsid w:val="00004986"/>
    <w:rsid w:val="00004A15"/>
    <w:rsid w:val="00006BE6"/>
    <w:rsid w:val="00010F7B"/>
    <w:rsid w:val="00020460"/>
    <w:rsid w:val="00023D24"/>
    <w:rsid w:val="00023DC5"/>
    <w:rsid w:val="00024DC1"/>
    <w:rsid w:val="00024ECD"/>
    <w:rsid w:val="00033EB0"/>
    <w:rsid w:val="0004369C"/>
    <w:rsid w:val="00047A1F"/>
    <w:rsid w:val="00052F90"/>
    <w:rsid w:val="000539B5"/>
    <w:rsid w:val="00061455"/>
    <w:rsid w:val="00061F55"/>
    <w:rsid w:val="00062DD1"/>
    <w:rsid w:val="00063F67"/>
    <w:rsid w:val="000640F2"/>
    <w:rsid w:val="00070DBD"/>
    <w:rsid w:val="00073593"/>
    <w:rsid w:val="0007600F"/>
    <w:rsid w:val="000779F3"/>
    <w:rsid w:val="000809A7"/>
    <w:rsid w:val="0008435D"/>
    <w:rsid w:val="000843DB"/>
    <w:rsid w:val="00084CF9"/>
    <w:rsid w:val="00086234"/>
    <w:rsid w:val="00091EE8"/>
    <w:rsid w:val="00093F9F"/>
    <w:rsid w:val="00094100"/>
    <w:rsid w:val="0009416E"/>
    <w:rsid w:val="00096177"/>
    <w:rsid w:val="000972E0"/>
    <w:rsid w:val="000A0E3B"/>
    <w:rsid w:val="000A1C51"/>
    <w:rsid w:val="000A385B"/>
    <w:rsid w:val="000A3FF3"/>
    <w:rsid w:val="000A56FD"/>
    <w:rsid w:val="000A5D8C"/>
    <w:rsid w:val="000A67E4"/>
    <w:rsid w:val="000B15EE"/>
    <w:rsid w:val="000B1996"/>
    <w:rsid w:val="000B3660"/>
    <w:rsid w:val="000C19F7"/>
    <w:rsid w:val="000C379A"/>
    <w:rsid w:val="000C4F39"/>
    <w:rsid w:val="000C65A4"/>
    <w:rsid w:val="000C68B2"/>
    <w:rsid w:val="000D0C59"/>
    <w:rsid w:val="000D14BD"/>
    <w:rsid w:val="000D28A7"/>
    <w:rsid w:val="000D3C4C"/>
    <w:rsid w:val="000D4C60"/>
    <w:rsid w:val="000D6E95"/>
    <w:rsid w:val="000E0EE0"/>
    <w:rsid w:val="000E1099"/>
    <w:rsid w:val="000E18B0"/>
    <w:rsid w:val="000E47F4"/>
    <w:rsid w:val="000E4A97"/>
    <w:rsid w:val="000E6290"/>
    <w:rsid w:val="000E6475"/>
    <w:rsid w:val="000F03A1"/>
    <w:rsid w:val="000F18DF"/>
    <w:rsid w:val="000F480E"/>
    <w:rsid w:val="000F6651"/>
    <w:rsid w:val="00101963"/>
    <w:rsid w:val="00105076"/>
    <w:rsid w:val="00105209"/>
    <w:rsid w:val="00110C53"/>
    <w:rsid w:val="0011140F"/>
    <w:rsid w:val="00111E10"/>
    <w:rsid w:val="00115F6A"/>
    <w:rsid w:val="001212A5"/>
    <w:rsid w:val="00126586"/>
    <w:rsid w:val="001278C6"/>
    <w:rsid w:val="00130DC6"/>
    <w:rsid w:val="00131040"/>
    <w:rsid w:val="00131E05"/>
    <w:rsid w:val="001320CC"/>
    <w:rsid w:val="00134559"/>
    <w:rsid w:val="00137A1D"/>
    <w:rsid w:val="00137E06"/>
    <w:rsid w:val="00140630"/>
    <w:rsid w:val="00140E7A"/>
    <w:rsid w:val="00142A36"/>
    <w:rsid w:val="001437A6"/>
    <w:rsid w:val="00144C01"/>
    <w:rsid w:val="00146C86"/>
    <w:rsid w:val="001507EA"/>
    <w:rsid w:val="00152D6E"/>
    <w:rsid w:val="00154E45"/>
    <w:rsid w:val="0015541C"/>
    <w:rsid w:val="00157483"/>
    <w:rsid w:val="00166C46"/>
    <w:rsid w:val="001721EA"/>
    <w:rsid w:val="00172BA3"/>
    <w:rsid w:val="00175467"/>
    <w:rsid w:val="0018412C"/>
    <w:rsid w:val="00186F78"/>
    <w:rsid w:val="001912B0"/>
    <w:rsid w:val="00192413"/>
    <w:rsid w:val="0019327B"/>
    <w:rsid w:val="00193996"/>
    <w:rsid w:val="00195DDE"/>
    <w:rsid w:val="00196DD2"/>
    <w:rsid w:val="00197DC9"/>
    <w:rsid w:val="001A1FAC"/>
    <w:rsid w:val="001A3729"/>
    <w:rsid w:val="001A5907"/>
    <w:rsid w:val="001B0CA4"/>
    <w:rsid w:val="001B4C04"/>
    <w:rsid w:val="001B5197"/>
    <w:rsid w:val="001B6D77"/>
    <w:rsid w:val="001B75DC"/>
    <w:rsid w:val="001B77A5"/>
    <w:rsid w:val="001B7D21"/>
    <w:rsid w:val="001C208C"/>
    <w:rsid w:val="001C36CC"/>
    <w:rsid w:val="001C3B36"/>
    <w:rsid w:val="001C435C"/>
    <w:rsid w:val="001C4A50"/>
    <w:rsid w:val="001C61A5"/>
    <w:rsid w:val="001C6661"/>
    <w:rsid w:val="001D0636"/>
    <w:rsid w:val="001D1B03"/>
    <w:rsid w:val="001D2B75"/>
    <w:rsid w:val="001D2D14"/>
    <w:rsid w:val="001D5B6E"/>
    <w:rsid w:val="001D7B6A"/>
    <w:rsid w:val="001E2BCD"/>
    <w:rsid w:val="001E31A8"/>
    <w:rsid w:val="001E505A"/>
    <w:rsid w:val="001E645A"/>
    <w:rsid w:val="001E685A"/>
    <w:rsid w:val="001E6BBB"/>
    <w:rsid w:val="001E7509"/>
    <w:rsid w:val="001F33D3"/>
    <w:rsid w:val="001F5108"/>
    <w:rsid w:val="001F612C"/>
    <w:rsid w:val="001F6F19"/>
    <w:rsid w:val="00202057"/>
    <w:rsid w:val="0020438E"/>
    <w:rsid w:val="002047BC"/>
    <w:rsid w:val="00204C39"/>
    <w:rsid w:val="00207413"/>
    <w:rsid w:val="002105DD"/>
    <w:rsid w:val="00211C04"/>
    <w:rsid w:val="00212283"/>
    <w:rsid w:val="00213573"/>
    <w:rsid w:val="00215ECF"/>
    <w:rsid w:val="00217E0A"/>
    <w:rsid w:val="0022454B"/>
    <w:rsid w:val="002316D8"/>
    <w:rsid w:val="00236972"/>
    <w:rsid w:val="002374D2"/>
    <w:rsid w:val="00240C4E"/>
    <w:rsid w:val="0024111C"/>
    <w:rsid w:val="0024180B"/>
    <w:rsid w:val="0024206E"/>
    <w:rsid w:val="0024440C"/>
    <w:rsid w:val="002454CD"/>
    <w:rsid w:val="00251A3A"/>
    <w:rsid w:val="00253A35"/>
    <w:rsid w:val="00256832"/>
    <w:rsid w:val="002569AD"/>
    <w:rsid w:val="00257F27"/>
    <w:rsid w:val="0026239A"/>
    <w:rsid w:val="00262E65"/>
    <w:rsid w:val="00263DEE"/>
    <w:rsid w:val="0026552A"/>
    <w:rsid w:val="00265C89"/>
    <w:rsid w:val="002664EA"/>
    <w:rsid w:val="00267D26"/>
    <w:rsid w:val="00273925"/>
    <w:rsid w:val="0027587E"/>
    <w:rsid w:val="0028182A"/>
    <w:rsid w:val="002828FE"/>
    <w:rsid w:val="0028537F"/>
    <w:rsid w:val="00285AFB"/>
    <w:rsid w:val="00285CAC"/>
    <w:rsid w:val="002901AD"/>
    <w:rsid w:val="00290C63"/>
    <w:rsid w:val="002945A6"/>
    <w:rsid w:val="00294AA4"/>
    <w:rsid w:val="00294F82"/>
    <w:rsid w:val="00296AC3"/>
    <w:rsid w:val="002A15E8"/>
    <w:rsid w:val="002A5262"/>
    <w:rsid w:val="002A726D"/>
    <w:rsid w:val="002B4AB4"/>
    <w:rsid w:val="002B68CE"/>
    <w:rsid w:val="002B6BEC"/>
    <w:rsid w:val="002B7DC0"/>
    <w:rsid w:val="002C120D"/>
    <w:rsid w:val="002C143E"/>
    <w:rsid w:val="002C159C"/>
    <w:rsid w:val="002C1F25"/>
    <w:rsid w:val="002C46C3"/>
    <w:rsid w:val="002C49AF"/>
    <w:rsid w:val="002C557F"/>
    <w:rsid w:val="002D0991"/>
    <w:rsid w:val="002D4CDE"/>
    <w:rsid w:val="002D4F49"/>
    <w:rsid w:val="002D6068"/>
    <w:rsid w:val="002D6C07"/>
    <w:rsid w:val="002E4BB1"/>
    <w:rsid w:val="002E4D31"/>
    <w:rsid w:val="002E5265"/>
    <w:rsid w:val="002E5C3E"/>
    <w:rsid w:val="002F014D"/>
    <w:rsid w:val="002F0958"/>
    <w:rsid w:val="002F372D"/>
    <w:rsid w:val="002F70B5"/>
    <w:rsid w:val="0030045C"/>
    <w:rsid w:val="0030145C"/>
    <w:rsid w:val="003015B4"/>
    <w:rsid w:val="0030255B"/>
    <w:rsid w:val="0031204B"/>
    <w:rsid w:val="0031225B"/>
    <w:rsid w:val="00312E22"/>
    <w:rsid w:val="00315043"/>
    <w:rsid w:val="00317305"/>
    <w:rsid w:val="003224AD"/>
    <w:rsid w:val="0032784B"/>
    <w:rsid w:val="0033213F"/>
    <w:rsid w:val="00342079"/>
    <w:rsid w:val="00344C73"/>
    <w:rsid w:val="00347839"/>
    <w:rsid w:val="00350036"/>
    <w:rsid w:val="003507A9"/>
    <w:rsid w:val="0035097B"/>
    <w:rsid w:val="00351070"/>
    <w:rsid w:val="00351452"/>
    <w:rsid w:val="003557D3"/>
    <w:rsid w:val="00356A33"/>
    <w:rsid w:val="00357D33"/>
    <w:rsid w:val="00360C03"/>
    <w:rsid w:val="00361901"/>
    <w:rsid w:val="00363BA7"/>
    <w:rsid w:val="0037206F"/>
    <w:rsid w:val="00372787"/>
    <w:rsid w:val="003727B8"/>
    <w:rsid w:val="00373B69"/>
    <w:rsid w:val="003770EF"/>
    <w:rsid w:val="0037735D"/>
    <w:rsid w:val="0037761F"/>
    <w:rsid w:val="003814B9"/>
    <w:rsid w:val="00381FDE"/>
    <w:rsid w:val="00385E05"/>
    <w:rsid w:val="0039098D"/>
    <w:rsid w:val="003A0C2B"/>
    <w:rsid w:val="003A4A1B"/>
    <w:rsid w:val="003A4E1B"/>
    <w:rsid w:val="003A7605"/>
    <w:rsid w:val="003B0723"/>
    <w:rsid w:val="003B2307"/>
    <w:rsid w:val="003B2400"/>
    <w:rsid w:val="003B3C23"/>
    <w:rsid w:val="003B538D"/>
    <w:rsid w:val="003B6704"/>
    <w:rsid w:val="003C407B"/>
    <w:rsid w:val="003C43D2"/>
    <w:rsid w:val="003C5292"/>
    <w:rsid w:val="003D2D75"/>
    <w:rsid w:val="003D3BF0"/>
    <w:rsid w:val="003D4173"/>
    <w:rsid w:val="003D4F92"/>
    <w:rsid w:val="003D5203"/>
    <w:rsid w:val="003D5DD6"/>
    <w:rsid w:val="003E21B0"/>
    <w:rsid w:val="003E3F4D"/>
    <w:rsid w:val="003E4410"/>
    <w:rsid w:val="003F0595"/>
    <w:rsid w:val="003F1D7D"/>
    <w:rsid w:val="003F337B"/>
    <w:rsid w:val="003F4747"/>
    <w:rsid w:val="003F4891"/>
    <w:rsid w:val="003F5145"/>
    <w:rsid w:val="00401BD0"/>
    <w:rsid w:val="004020FA"/>
    <w:rsid w:val="00404FE7"/>
    <w:rsid w:val="004102CC"/>
    <w:rsid w:val="00411131"/>
    <w:rsid w:val="00411307"/>
    <w:rsid w:val="00412D1E"/>
    <w:rsid w:val="004132C4"/>
    <w:rsid w:val="00414014"/>
    <w:rsid w:val="00415ADA"/>
    <w:rsid w:val="00416E0D"/>
    <w:rsid w:val="004173A2"/>
    <w:rsid w:val="004210DE"/>
    <w:rsid w:val="00421CCE"/>
    <w:rsid w:val="004229B1"/>
    <w:rsid w:val="00422AF8"/>
    <w:rsid w:val="004242BD"/>
    <w:rsid w:val="00424DAA"/>
    <w:rsid w:val="00426921"/>
    <w:rsid w:val="004314D8"/>
    <w:rsid w:val="004317ED"/>
    <w:rsid w:val="004322E5"/>
    <w:rsid w:val="0043315F"/>
    <w:rsid w:val="00434168"/>
    <w:rsid w:val="00440763"/>
    <w:rsid w:val="00443618"/>
    <w:rsid w:val="00444943"/>
    <w:rsid w:val="00445381"/>
    <w:rsid w:val="00451C8B"/>
    <w:rsid w:val="00457C73"/>
    <w:rsid w:val="0046110A"/>
    <w:rsid w:val="0046474B"/>
    <w:rsid w:val="00466546"/>
    <w:rsid w:val="00466C0A"/>
    <w:rsid w:val="00467522"/>
    <w:rsid w:val="00467F6B"/>
    <w:rsid w:val="00471CF0"/>
    <w:rsid w:val="004722EF"/>
    <w:rsid w:val="0047524D"/>
    <w:rsid w:val="0047566D"/>
    <w:rsid w:val="00476E76"/>
    <w:rsid w:val="00480197"/>
    <w:rsid w:val="00481363"/>
    <w:rsid w:val="00485998"/>
    <w:rsid w:val="00486BA4"/>
    <w:rsid w:val="004A178F"/>
    <w:rsid w:val="004A65BB"/>
    <w:rsid w:val="004A76C9"/>
    <w:rsid w:val="004B2F31"/>
    <w:rsid w:val="004B4E10"/>
    <w:rsid w:val="004B79D3"/>
    <w:rsid w:val="004C0784"/>
    <w:rsid w:val="004C1954"/>
    <w:rsid w:val="004C217D"/>
    <w:rsid w:val="004C2C4E"/>
    <w:rsid w:val="004D0742"/>
    <w:rsid w:val="004D08D1"/>
    <w:rsid w:val="004D1624"/>
    <w:rsid w:val="004D3C18"/>
    <w:rsid w:val="004D7ADD"/>
    <w:rsid w:val="004E13AB"/>
    <w:rsid w:val="004E2BAA"/>
    <w:rsid w:val="004E39E3"/>
    <w:rsid w:val="004F489E"/>
    <w:rsid w:val="004F5EE6"/>
    <w:rsid w:val="004F5F45"/>
    <w:rsid w:val="004F6349"/>
    <w:rsid w:val="004F7AF9"/>
    <w:rsid w:val="00504495"/>
    <w:rsid w:val="00504893"/>
    <w:rsid w:val="005076A5"/>
    <w:rsid w:val="005113DB"/>
    <w:rsid w:val="005120A7"/>
    <w:rsid w:val="00515497"/>
    <w:rsid w:val="00521967"/>
    <w:rsid w:val="00523473"/>
    <w:rsid w:val="005237FF"/>
    <w:rsid w:val="005315CD"/>
    <w:rsid w:val="00535182"/>
    <w:rsid w:val="00536AF5"/>
    <w:rsid w:val="0054123C"/>
    <w:rsid w:val="00541677"/>
    <w:rsid w:val="005438BC"/>
    <w:rsid w:val="0054425C"/>
    <w:rsid w:val="00547E33"/>
    <w:rsid w:val="00550F26"/>
    <w:rsid w:val="005523C7"/>
    <w:rsid w:val="00552B60"/>
    <w:rsid w:val="005560BC"/>
    <w:rsid w:val="005603C4"/>
    <w:rsid w:val="00564754"/>
    <w:rsid w:val="005660D7"/>
    <w:rsid w:val="005661B6"/>
    <w:rsid w:val="005664CE"/>
    <w:rsid w:val="00567F50"/>
    <w:rsid w:val="00571238"/>
    <w:rsid w:val="00571B7E"/>
    <w:rsid w:val="00573AB4"/>
    <w:rsid w:val="00573ADD"/>
    <w:rsid w:val="005754C0"/>
    <w:rsid w:val="00576FD0"/>
    <w:rsid w:val="00580390"/>
    <w:rsid w:val="00581D5C"/>
    <w:rsid w:val="00582061"/>
    <w:rsid w:val="00590CC8"/>
    <w:rsid w:val="00592B9C"/>
    <w:rsid w:val="00595F24"/>
    <w:rsid w:val="005A0AD4"/>
    <w:rsid w:val="005A3EF0"/>
    <w:rsid w:val="005A74CA"/>
    <w:rsid w:val="005A7513"/>
    <w:rsid w:val="005B0B88"/>
    <w:rsid w:val="005B0E22"/>
    <w:rsid w:val="005B174F"/>
    <w:rsid w:val="005B1CE7"/>
    <w:rsid w:val="005B7014"/>
    <w:rsid w:val="005C10E5"/>
    <w:rsid w:val="005C1CAA"/>
    <w:rsid w:val="005C6F9D"/>
    <w:rsid w:val="005C7A46"/>
    <w:rsid w:val="005D153F"/>
    <w:rsid w:val="005D4538"/>
    <w:rsid w:val="005E127D"/>
    <w:rsid w:val="005E16D0"/>
    <w:rsid w:val="005E1D1D"/>
    <w:rsid w:val="005E3F8F"/>
    <w:rsid w:val="005E66BF"/>
    <w:rsid w:val="005F2E00"/>
    <w:rsid w:val="005F4107"/>
    <w:rsid w:val="006041C8"/>
    <w:rsid w:val="006059DB"/>
    <w:rsid w:val="0061092B"/>
    <w:rsid w:val="006115FD"/>
    <w:rsid w:val="00611FA2"/>
    <w:rsid w:val="0061421E"/>
    <w:rsid w:val="0061442F"/>
    <w:rsid w:val="006171EA"/>
    <w:rsid w:val="00617748"/>
    <w:rsid w:val="006207E8"/>
    <w:rsid w:val="00626DF9"/>
    <w:rsid w:val="006438E8"/>
    <w:rsid w:val="00644BE2"/>
    <w:rsid w:val="00646311"/>
    <w:rsid w:val="00647B0D"/>
    <w:rsid w:val="00650A4D"/>
    <w:rsid w:val="00650F98"/>
    <w:rsid w:val="00653C70"/>
    <w:rsid w:val="00661E04"/>
    <w:rsid w:val="00661E07"/>
    <w:rsid w:val="00662B1C"/>
    <w:rsid w:val="00665541"/>
    <w:rsid w:val="006655B5"/>
    <w:rsid w:val="00665D15"/>
    <w:rsid w:val="006678F5"/>
    <w:rsid w:val="006703A7"/>
    <w:rsid w:val="006720DA"/>
    <w:rsid w:val="0067553C"/>
    <w:rsid w:val="00680077"/>
    <w:rsid w:val="00680417"/>
    <w:rsid w:val="00681D45"/>
    <w:rsid w:val="00683F12"/>
    <w:rsid w:val="00686E9D"/>
    <w:rsid w:val="0069128A"/>
    <w:rsid w:val="006928FF"/>
    <w:rsid w:val="006935F5"/>
    <w:rsid w:val="00697065"/>
    <w:rsid w:val="006A4B82"/>
    <w:rsid w:val="006A6C85"/>
    <w:rsid w:val="006B089A"/>
    <w:rsid w:val="006B22CA"/>
    <w:rsid w:val="006B6C56"/>
    <w:rsid w:val="006C2213"/>
    <w:rsid w:val="006C2D36"/>
    <w:rsid w:val="006C3DCA"/>
    <w:rsid w:val="006C4C66"/>
    <w:rsid w:val="006C4E78"/>
    <w:rsid w:val="006D1FD7"/>
    <w:rsid w:val="006D2A0E"/>
    <w:rsid w:val="006D5500"/>
    <w:rsid w:val="006D57C8"/>
    <w:rsid w:val="006E188A"/>
    <w:rsid w:val="006E5E88"/>
    <w:rsid w:val="006F23B5"/>
    <w:rsid w:val="006F2506"/>
    <w:rsid w:val="006F5782"/>
    <w:rsid w:val="006F5B9E"/>
    <w:rsid w:val="0070076A"/>
    <w:rsid w:val="0070481F"/>
    <w:rsid w:val="00704944"/>
    <w:rsid w:val="00704FD4"/>
    <w:rsid w:val="00706BD5"/>
    <w:rsid w:val="00707FD5"/>
    <w:rsid w:val="00717A04"/>
    <w:rsid w:val="00720C74"/>
    <w:rsid w:val="00722642"/>
    <w:rsid w:val="00726263"/>
    <w:rsid w:val="00734878"/>
    <w:rsid w:val="0074514F"/>
    <w:rsid w:val="007476E4"/>
    <w:rsid w:val="00750200"/>
    <w:rsid w:val="0075054C"/>
    <w:rsid w:val="00753315"/>
    <w:rsid w:val="00754013"/>
    <w:rsid w:val="00760E7F"/>
    <w:rsid w:val="00761C98"/>
    <w:rsid w:val="007629D4"/>
    <w:rsid w:val="007670AE"/>
    <w:rsid w:val="0076764B"/>
    <w:rsid w:val="00770F00"/>
    <w:rsid w:val="00775979"/>
    <w:rsid w:val="00775E24"/>
    <w:rsid w:val="0077658C"/>
    <w:rsid w:val="00777244"/>
    <w:rsid w:val="00777BCA"/>
    <w:rsid w:val="00781AEE"/>
    <w:rsid w:val="0078249D"/>
    <w:rsid w:val="007837DE"/>
    <w:rsid w:val="00787099"/>
    <w:rsid w:val="0079320A"/>
    <w:rsid w:val="00796F22"/>
    <w:rsid w:val="007A139A"/>
    <w:rsid w:val="007A7041"/>
    <w:rsid w:val="007B1965"/>
    <w:rsid w:val="007B63A2"/>
    <w:rsid w:val="007C02F0"/>
    <w:rsid w:val="007C2234"/>
    <w:rsid w:val="007C31C9"/>
    <w:rsid w:val="007D15BC"/>
    <w:rsid w:val="007D3DC5"/>
    <w:rsid w:val="007D4386"/>
    <w:rsid w:val="007E20FC"/>
    <w:rsid w:val="007E494A"/>
    <w:rsid w:val="007E5816"/>
    <w:rsid w:val="007E73D5"/>
    <w:rsid w:val="007F00B4"/>
    <w:rsid w:val="007F20F1"/>
    <w:rsid w:val="007F2920"/>
    <w:rsid w:val="007F3207"/>
    <w:rsid w:val="007F4154"/>
    <w:rsid w:val="007F68DE"/>
    <w:rsid w:val="007F737D"/>
    <w:rsid w:val="00801B1F"/>
    <w:rsid w:val="008029AC"/>
    <w:rsid w:val="0080581A"/>
    <w:rsid w:val="00807A1D"/>
    <w:rsid w:val="00807DC2"/>
    <w:rsid w:val="00807FC8"/>
    <w:rsid w:val="00813AB9"/>
    <w:rsid w:val="00817A0B"/>
    <w:rsid w:val="00824336"/>
    <w:rsid w:val="00825645"/>
    <w:rsid w:val="00825C81"/>
    <w:rsid w:val="00827EAE"/>
    <w:rsid w:val="00833E4B"/>
    <w:rsid w:val="00836569"/>
    <w:rsid w:val="00837FA4"/>
    <w:rsid w:val="0084333F"/>
    <w:rsid w:val="008441F8"/>
    <w:rsid w:val="0084426E"/>
    <w:rsid w:val="00844CA1"/>
    <w:rsid w:val="00845A15"/>
    <w:rsid w:val="00845D81"/>
    <w:rsid w:val="00846AF8"/>
    <w:rsid w:val="00852338"/>
    <w:rsid w:val="00856D4F"/>
    <w:rsid w:val="008573BA"/>
    <w:rsid w:val="00867C3C"/>
    <w:rsid w:val="00867D0B"/>
    <w:rsid w:val="00867D14"/>
    <w:rsid w:val="00874756"/>
    <w:rsid w:val="00885222"/>
    <w:rsid w:val="00885FBA"/>
    <w:rsid w:val="008866C1"/>
    <w:rsid w:val="00886A1B"/>
    <w:rsid w:val="00887ED3"/>
    <w:rsid w:val="00892D53"/>
    <w:rsid w:val="008960BB"/>
    <w:rsid w:val="008979AD"/>
    <w:rsid w:val="00897DB8"/>
    <w:rsid w:val="008A4834"/>
    <w:rsid w:val="008B38B6"/>
    <w:rsid w:val="008B7760"/>
    <w:rsid w:val="008C3FCA"/>
    <w:rsid w:val="008C6B84"/>
    <w:rsid w:val="008D05AE"/>
    <w:rsid w:val="008D3F5F"/>
    <w:rsid w:val="008D5D0A"/>
    <w:rsid w:val="008D6361"/>
    <w:rsid w:val="008E7375"/>
    <w:rsid w:val="008F0CD1"/>
    <w:rsid w:val="008F12D5"/>
    <w:rsid w:val="008F2AB0"/>
    <w:rsid w:val="0090180F"/>
    <w:rsid w:val="00901ADB"/>
    <w:rsid w:val="00901C17"/>
    <w:rsid w:val="00902C43"/>
    <w:rsid w:val="00902EE5"/>
    <w:rsid w:val="00903CAB"/>
    <w:rsid w:val="00910D6A"/>
    <w:rsid w:val="00911930"/>
    <w:rsid w:val="00914B84"/>
    <w:rsid w:val="00917525"/>
    <w:rsid w:val="00920DAE"/>
    <w:rsid w:val="00926FBB"/>
    <w:rsid w:val="009313C9"/>
    <w:rsid w:val="00943F9F"/>
    <w:rsid w:val="009473E9"/>
    <w:rsid w:val="00947641"/>
    <w:rsid w:val="00950211"/>
    <w:rsid w:val="00950BF9"/>
    <w:rsid w:val="00950CBF"/>
    <w:rsid w:val="00951BAB"/>
    <w:rsid w:val="00953D1A"/>
    <w:rsid w:val="009562D2"/>
    <w:rsid w:val="009577EA"/>
    <w:rsid w:val="00957BAA"/>
    <w:rsid w:val="00960250"/>
    <w:rsid w:val="00962B83"/>
    <w:rsid w:val="009637B2"/>
    <w:rsid w:val="00964942"/>
    <w:rsid w:val="00970772"/>
    <w:rsid w:val="00974CD9"/>
    <w:rsid w:val="00974D82"/>
    <w:rsid w:val="00975800"/>
    <w:rsid w:val="00976E2D"/>
    <w:rsid w:val="00980978"/>
    <w:rsid w:val="00981CBC"/>
    <w:rsid w:val="009865C0"/>
    <w:rsid w:val="009869D8"/>
    <w:rsid w:val="00986B9D"/>
    <w:rsid w:val="0098752D"/>
    <w:rsid w:val="00992D94"/>
    <w:rsid w:val="00993192"/>
    <w:rsid w:val="00993F80"/>
    <w:rsid w:val="00995C3F"/>
    <w:rsid w:val="0099672D"/>
    <w:rsid w:val="009A294F"/>
    <w:rsid w:val="009B1252"/>
    <w:rsid w:val="009B2493"/>
    <w:rsid w:val="009B36CD"/>
    <w:rsid w:val="009C07C6"/>
    <w:rsid w:val="009C07EE"/>
    <w:rsid w:val="009C0FC7"/>
    <w:rsid w:val="009C2F28"/>
    <w:rsid w:val="009C336E"/>
    <w:rsid w:val="009D0E4F"/>
    <w:rsid w:val="009D15FA"/>
    <w:rsid w:val="009D33A1"/>
    <w:rsid w:val="009D4226"/>
    <w:rsid w:val="009D53C2"/>
    <w:rsid w:val="009D6933"/>
    <w:rsid w:val="009D6A00"/>
    <w:rsid w:val="009D6A26"/>
    <w:rsid w:val="009E00ED"/>
    <w:rsid w:val="009E260E"/>
    <w:rsid w:val="009E2B08"/>
    <w:rsid w:val="009E38F5"/>
    <w:rsid w:val="009E4FAE"/>
    <w:rsid w:val="009E62DF"/>
    <w:rsid w:val="009E6F43"/>
    <w:rsid w:val="009F1ABD"/>
    <w:rsid w:val="009F3C01"/>
    <w:rsid w:val="009F5AF7"/>
    <w:rsid w:val="009F6F67"/>
    <w:rsid w:val="00A006A9"/>
    <w:rsid w:val="00A01E34"/>
    <w:rsid w:val="00A070D4"/>
    <w:rsid w:val="00A13A83"/>
    <w:rsid w:val="00A14C97"/>
    <w:rsid w:val="00A14FDB"/>
    <w:rsid w:val="00A1556C"/>
    <w:rsid w:val="00A15EDE"/>
    <w:rsid w:val="00A172E8"/>
    <w:rsid w:val="00A2440D"/>
    <w:rsid w:val="00A26DBA"/>
    <w:rsid w:val="00A2729A"/>
    <w:rsid w:val="00A31064"/>
    <w:rsid w:val="00A329BD"/>
    <w:rsid w:val="00A32F07"/>
    <w:rsid w:val="00A33CE6"/>
    <w:rsid w:val="00A373C5"/>
    <w:rsid w:val="00A545B2"/>
    <w:rsid w:val="00A60CF9"/>
    <w:rsid w:val="00A62CE4"/>
    <w:rsid w:val="00A639B0"/>
    <w:rsid w:val="00A64738"/>
    <w:rsid w:val="00A6738D"/>
    <w:rsid w:val="00A739D2"/>
    <w:rsid w:val="00A74D67"/>
    <w:rsid w:val="00A802E1"/>
    <w:rsid w:val="00A80763"/>
    <w:rsid w:val="00A87542"/>
    <w:rsid w:val="00A931A8"/>
    <w:rsid w:val="00AA1407"/>
    <w:rsid w:val="00AA7512"/>
    <w:rsid w:val="00AB4D01"/>
    <w:rsid w:val="00AB6A7F"/>
    <w:rsid w:val="00AC39D9"/>
    <w:rsid w:val="00AC5434"/>
    <w:rsid w:val="00AD1E10"/>
    <w:rsid w:val="00AD24A9"/>
    <w:rsid w:val="00AD55A4"/>
    <w:rsid w:val="00AD587E"/>
    <w:rsid w:val="00AD617E"/>
    <w:rsid w:val="00AE20F2"/>
    <w:rsid w:val="00AE42BE"/>
    <w:rsid w:val="00AF022A"/>
    <w:rsid w:val="00AF0DD7"/>
    <w:rsid w:val="00AF3D84"/>
    <w:rsid w:val="00AF67D7"/>
    <w:rsid w:val="00B0216E"/>
    <w:rsid w:val="00B030E8"/>
    <w:rsid w:val="00B07C2B"/>
    <w:rsid w:val="00B10000"/>
    <w:rsid w:val="00B104A8"/>
    <w:rsid w:val="00B161F6"/>
    <w:rsid w:val="00B17617"/>
    <w:rsid w:val="00B24738"/>
    <w:rsid w:val="00B24845"/>
    <w:rsid w:val="00B26C5B"/>
    <w:rsid w:val="00B3499E"/>
    <w:rsid w:val="00B3597D"/>
    <w:rsid w:val="00B36747"/>
    <w:rsid w:val="00B375B8"/>
    <w:rsid w:val="00B40514"/>
    <w:rsid w:val="00B429F5"/>
    <w:rsid w:val="00B4339E"/>
    <w:rsid w:val="00B44226"/>
    <w:rsid w:val="00B44933"/>
    <w:rsid w:val="00B4511E"/>
    <w:rsid w:val="00B53E44"/>
    <w:rsid w:val="00B5472A"/>
    <w:rsid w:val="00B5515D"/>
    <w:rsid w:val="00B577B9"/>
    <w:rsid w:val="00B57B09"/>
    <w:rsid w:val="00B716C2"/>
    <w:rsid w:val="00B72176"/>
    <w:rsid w:val="00B730A0"/>
    <w:rsid w:val="00B735A6"/>
    <w:rsid w:val="00B737DE"/>
    <w:rsid w:val="00B73E1B"/>
    <w:rsid w:val="00B741FD"/>
    <w:rsid w:val="00B75490"/>
    <w:rsid w:val="00B756F4"/>
    <w:rsid w:val="00B80686"/>
    <w:rsid w:val="00B83234"/>
    <w:rsid w:val="00B8343C"/>
    <w:rsid w:val="00B8396B"/>
    <w:rsid w:val="00B83BA1"/>
    <w:rsid w:val="00B8470F"/>
    <w:rsid w:val="00B92A94"/>
    <w:rsid w:val="00B9346F"/>
    <w:rsid w:val="00B937FE"/>
    <w:rsid w:val="00BA0F56"/>
    <w:rsid w:val="00BA43F8"/>
    <w:rsid w:val="00BA4CEA"/>
    <w:rsid w:val="00BB1024"/>
    <w:rsid w:val="00BB1348"/>
    <w:rsid w:val="00BB338B"/>
    <w:rsid w:val="00BB358A"/>
    <w:rsid w:val="00BB5CA3"/>
    <w:rsid w:val="00BB6C8E"/>
    <w:rsid w:val="00BC5249"/>
    <w:rsid w:val="00BC6D6D"/>
    <w:rsid w:val="00BC7676"/>
    <w:rsid w:val="00BD1C81"/>
    <w:rsid w:val="00BD25EA"/>
    <w:rsid w:val="00BE1704"/>
    <w:rsid w:val="00BF0F18"/>
    <w:rsid w:val="00BF47FF"/>
    <w:rsid w:val="00BF6B49"/>
    <w:rsid w:val="00BF716D"/>
    <w:rsid w:val="00C01B1F"/>
    <w:rsid w:val="00C03469"/>
    <w:rsid w:val="00C06F30"/>
    <w:rsid w:val="00C070C9"/>
    <w:rsid w:val="00C11F9B"/>
    <w:rsid w:val="00C13AF6"/>
    <w:rsid w:val="00C24C1E"/>
    <w:rsid w:val="00C3147F"/>
    <w:rsid w:val="00C3253C"/>
    <w:rsid w:val="00C32D6F"/>
    <w:rsid w:val="00C35229"/>
    <w:rsid w:val="00C3563A"/>
    <w:rsid w:val="00C36CBB"/>
    <w:rsid w:val="00C36D15"/>
    <w:rsid w:val="00C37349"/>
    <w:rsid w:val="00C41884"/>
    <w:rsid w:val="00C41967"/>
    <w:rsid w:val="00C4294F"/>
    <w:rsid w:val="00C441FE"/>
    <w:rsid w:val="00C444D4"/>
    <w:rsid w:val="00C44E98"/>
    <w:rsid w:val="00C46EDA"/>
    <w:rsid w:val="00C530DA"/>
    <w:rsid w:val="00C53306"/>
    <w:rsid w:val="00C54B32"/>
    <w:rsid w:val="00C564B0"/>
    <w:rsid w:val="00C60D8D"/>
    <w:rsid w:val="00C65C6C"/>
    <w:rsid w:val="00C66B8E"/>
    <w:rsid w:val="00C67481"/>
    <w:rsid w:val="00C70D9E"/>
    <w:rsid w:val="00C736B8"/>
    <w:rsid w:val="00C747F2"/>
    <w:rsid w:val="00C748DA"/>
    <w:rsid w:val="00C749FB"/>
    <w:rsid w:val="00C75091"/>
    <w:rsid w:val="00C757C0"/>
    <w:rsid w:val="00C775A5"/>
    <w:rsid w:val="00C80B01"/>
    <w:rsid w:val="00C8124B"/>
    <w:rsid w:val="00C87297"/>
    <w:rsid w:val="00C903BD"/>
    <w:rsid w:val="00C90D2F"/>
    <w:rsid w:val="00C91AA8"/>
    <w:rsid w:val="00C94BDB"/>
    <w:rsid w:val="00C956DC"/>
    <w:rsid w:val="00C95EF0"/>
    <w:rsid w:val="00C967A5"/>
    <w:rsid w:val="00C96B70"/>
    <w:rsid w:val="00CA08D8"/>
    <w:rsid w:val="00CA1D7C"/>
    <w:rsid w:val="00CA292F"/>
    <w:rsid w:val="00CA4417"/>
    <w:rsid w:val="00CA7ECA"/>
    <w:rsid w:val="00CB0B6B"/>
    <w:rsid w:val="00CB12D7"/>
    <w:rsid w:val="00CB1E1B"/>
    <w:rsid w:val="00CB3D39"/>
    <w:rsid w:val="00CB3E0F"/>
    <w:rsid w:val="00CB6214"/>
    <w:rsid w:val="00CC0A0D"/>
    <w:rsid w:val="00CC37D0"/>
    <w:rsid w:val="00CC464E"/>
    <w:rsid w:val="00CC4C5F"/>
    <w:rsid w:val="00CD626F"/>
    <w:rsid w:val="00CE6C83"/>
    <w:rsid w:val="00CE79BE"/>
    <w:rsid w:val="00CF012C"/>
    <w:rsid w:val="00CF0EAB"/>
    <w:rsid w:val="00CF3054"/>
    <w:rsid w:val="00CF48D2"/>
    <w:rsid w:val="00CF6BD1"/>
    <w:rsid w:val="00D003DC"/>
    <w:rsid w:val="00D00F96"/>
    <w:rsid w:val="00D039C1"/>
    <w:rsid w:val="00D03BAB"/>
    <w:rsid w:val="00D05AB4"/>
    <w:rsid w:val="00D06B44"/>
    <w:rsid w:val="00D10990"/>
    <w:rsid w:val="00D15103"/>
    <w:rsid w:val="00D16FEA"/>
    <w:rsid w:val="00D21EF9"/>
    <w:rsid w:val="00D271ED"/>
    <w:rsid w:val="00D31304"/>
    <w:rsid w:val="00D330B8"/>
    <w:rsid w:val="00D343B4"/>
    <w:rsid w:val="00D34891"/>
    <w:rsid w:val="00D35E2D"/>
    <w:rsid w:val="00D36E50"/>
    <w:rsid w:val="00D4176F"/>
    <w:rsid w:val="00D557D4"/>
    <w:rsid w:val="00D558C6"/>
    <w:rsid w:val="00D66444"/>
    <w:rsid w:val="00D66CC3"/>
    <w:rsid w:val="00D7008C"/>
    <w:rsid w:val="00D733FD"/>
    <w:rsid w:val="00D73F60"/>
    <w:rsid w:val="00D759C0"/>
    <w:rsid w:val="00D763C5"/>
    <w:rsid w:val="00D771D9"/>
    <w:rsid w:val="00D7734C"/>
    <w:rsid w:val="00D77CD6"/>
    <w:rsid w:val="00D805C8"/>
    <w:rsid w:val="00D81C93"/>
    <w:rsid w:val="00D84D7E"/>
    <w:rsid w:val="00D8537F"/>
    <w:rsid w:val="00D871A9"/>
    <w:rsid w:val="00D9018B"/>
    <w:rsid w:val="00D9121A"/>
    <w:rsid w:val="00D916DA"/>
    <w:rsid w:val="00D919A2"/>
    <w:rsid w:val="00D92EF6"/>
    <w:rsid w:val="00D947A1"/>
    <w:rsid w:val="00D973A3"/>
    <w:rsid w:val="00DA0A10"/>
    <w:rsid w:val="00DA2070"/>
    <w:rsid w:val="00DA4264"/>
    <w:rsid w:val="00DA4EB2"/>
    <w:rsid w:val="00DA73FB"/>
    <w:rsid w:val="00DA7D93"/>
    <w:rsid w:val="00DB084C"/>
    <w:rsid w:val="00DB1313"/>
    <w:rsid w:val="00DB137A"/>
    <w:rsid w:val="00DB2AFA"/>
    <w:rsid w:val="00DB3C5A"/>
    <w:rsid w:val="00DB61E1"/>
    <w:rsid w:val="00DB6807"/>
    <w:rsid w:val="00DC1187"/>
    <w:rsid w:val="00DC1C8A"/>
    <w:rsid w:val="00DD0138"/>
    <w:rsid w:val="00DD0EBE"/>
    <w:rsid w:val="00DD27EF"/>
    <w:rsid w:val="00DD591A"/>
    <w:rsid w:val="00DD7117"/>
    <w:rsid w:val="00DE048E"/>
    <w:rsid w:val="00DF083D"/>
    <w:rsid w:val="00DF08F7"/>
    <w:rsid w:val="00DF1C8B"/>
    <w:rsid w:val="00DF2DCC"/>
    <w:rsid w:val="00E0434B"/>
    <w:rsid w:val="00E050A4"/>
    <w:rsid w:val="00E0569C"/>
    <w:rsid w:val="00E075B2"/>
    <w:rsid w:val="00E10F6D"/>
    <w:rsid w:val="00E11F87"/>
    <w:rsid w:val="00E122A1"/>
    <w:rsid w:val="00E14455"/>
    <w:rsid w:val="00E21D43"/>
    <w:rsid w:val="00E2275B"/>
    <w:rsid w:val="00E23545"/>
    <w:rsid w:val="00E32493"/>
    <w:rsid w:val="00E356C6"/>
    <w:rsid w:val="00E37393"/>
    <w:rsid w:val="00E402FA"/>
    <w:rsid w:val="00E4255F"/>
    <w:rsid w:val="00E437D1"/>
    <w:rsid w:val="00E46D4A"/>
    <w:rsid w:val="00E60C06"/>
    <w:rsid w:val="00E6103D"/>
    <w:rsid w:val="00E61AAC"/>
    <w:rsid w:val="00E6217A"/>
    <w:rsid w:val="00E656DC"/>
    <w:rsid w:val="00E71FD8"/>
    <w:rsid w:val="00E72B45"/>
    <w:rsid w:val="00E72F49"/>
    <w:rsid w:val="00E73587"/>
    <w:rsid w:val="00E737AD"/>
    <w:rsid w:val="00E75A26"/>
    <w:rsid w:val="00E770A0"/>
    <w:rsid w:val="00E81BDB"/>
    <w:rsid w:val="00E82F7D"/>
    <w:rsid w:val="00E8740F"/>
    <w:rsid w:val="00E91892"/>
    <w:rsid w:val="00E9411E"/>
    <w:rsid w:val="00E94721"/>
    <w:rsid w:val="00E94E61"/>
    <w:rsid w:val="00EA0ABC"/>
    <w:rsid w:val="00EA4C7F"/>
    <w:rsid w:val="00EB0B4B"/>
    <w:rsid w:val="00EB10FD"/>
    <w:rsid w:val="00EC29C0"/>
    <w:rsid w:val="00EC36CF"/>
    <w:rsid w:val="00EC3DD8"/>
    <w:rsid w:val="00EC54B5"/>
    <w:rsid w:val="00EC5C85"/>
    <w:rsid w:val="00ED03BE"/>
    <w:rsid w:val="00ED1453"/>
    <w:rsid w:val="00ED36D9"/>
    <w:rsid w:val="00ED48F2"/>
    <w:rsid w:val="00ED5CCF"/>
    <w:rsid w:val="00ED7550"/>
    <w:rsid w:val="00EE063F"/>
    <w:rsid w:val="00EE0E80"/>
    <w:rsid w:val="00EE204A"/>
    <w:rsid w:val="00EE38AC"/>
    <w:rsid w:val="00EE6F04"/>
    <w:rsid w:val="00EE71D0"/>
    <w:rsid w:val="00EF1A3C"/>
    <w:rsid w:val="00F008D3"/>
    <w:rsid w:val="00F03905"/>
    <w:rsid w:val="00F03F2C"/>
    <w:rsid w:val="00F041B7"/>
    <w:rsid w:val="00F06013"/>
    <w:rsid w:val="00F12486"/>
    <w:rsid w:val="00F13CE3"/>
    <w:rsid w:val="00F14266"/>
    <w:rsid w:val="00F16BE3"/>
    <w:rsid w:val="00F16FDF"/>
    <w:rsid w:val="00F17C71"/>
    <w:rsid w:val="00F203AF"/>
    <w:rsid w:val="00F20537"/>
    <w:rsid w:val="00F20C29"/>
    <w:rsid w:val="00F215E5"/>
    <w:rsid w:val="00F21735"/>
    <w:rsid w:val="00F22BFB"/>
    <w:rsid w:val="00F30A84"/>
    <w:rsid w:val="00F3144A"/>
    <w:rsid w:val="00F32194"/>
    <w:rsid w:val="00F369A9"/>
    <w:rsid w:val="00F41337"/>
    <w:rsid w:val="00F41E61"/>
    <w:rsid w:val="00F454D4"/>
    <w:rsid w:val="00F458B0"/>
    <w:rsid w:val="00F52A4A"/>
    <w:rsid w:val="00F52E07"/>
    <w:rsid w:val="00F56A4A"/>
    <w:rsid w:val="00F65B47"/>
    <w:rsid w:val="00F72031"/>
    <w:rsid w:val="00F75AF7"/>
    <w:rsid w:val="00F80142"/>
    <w:rsid w:val="00F84218"/>
    <w:rsid w:val="00F85EEB"/>
    <w:rsid w:val="00F87351"/>
    <w:rsid w:val="00F87CF2"/>
    <w:rsid w:val="00F94219"/>
    <w:rsid w:val="00F96A40"/>
    <w:rsid w:val="00F96D30"/>
    <w:rsid w:val="00FA0A28"/>
    <w:rsid w:val="00FA1B88"/>
    <w:rsid w:val="00FA28B9"/>
    <w:rsid w:val="00FA48D9"/>
    <w:rsid w:val="00FA55BD"/>
    <w:rsid w:val="00FA61EC"/>
    <w:rsid w:val="00FA7B15"/>
    <w:rsid w:val="00FA7DC9"/>
    <w:rsid w:val="00FB0387"/>
    <w:rsid w:val="00FB19E6"/>
    <w:rsid w:val="00FB494D"/>
    <w:rsid w:val="00FC609B"/>
    <w:rsid w:val="00FC6617"/>
    <w:rsid w:val="00FD218F"/>
    <w:rsid w:val="00FE21DB"/>
    <w:rsid w:val="00FE2331"/>
    <w:rsid w:val="00FE23E2"/>
    <w:rsid w:val="00FE71E0"/>
    <w:rsid w:val="00FE73D0"/>
    <w:rsid w:val="00FF0500"/>
    <w:rsid w:val="00FF65F7"/>
    <w:rsid w:val="624ABA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D85E9"/>
  <w15:docId w15:val="{C505F6FB-22D1-4282-A404-F5EAD4F47F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070C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576FD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6FD0"/>
    <w:rPr>
      <w:rFonts w:ascii="Palatino Linotype" w:hAnsi="Palatino Linotype"/>
      <w:color w:val="000000" w:themeColor="text1"/>
    </w:rPr>
  </w:style>
  <w:style w:type="paragraph" w:styleId="Piedepgina">
    <w:name w:val="footer"/>
    <w:basedOn w:val="Normal"/>
    <w:link w:val="PiedepginaCar"/>
    <w:uiPriority w:val="99"/>
    <w:unhideWhenUsed/>
    <w:rsid w:val="00576FD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6FD0"/>
    <w:rPr>
      <w:rFonts w:ascii="Palatino Linotype" w:hAnsi="Palatino Linotype"/>
      <w:color w:val="000000" w:themeColor="text1"/>
    </w:rPr>
  </w:style>
  <w:style w:type="table" w:styleId="Tablaconcuadrcula">
    <w:name w:val="Table Grid"/>
    <w:basedOn w:val="Tablanormal"/>
    <w:uiPriority w:val="59"/>
    <w:rsid w:val="00576FD0"/>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76FD0"/>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576FD0"/>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76FD0"/>
    <w:rPr>
      <w:rFonts w:ascii="Palatino Linotype" w:hAnsi="Palatino Linotype"/>
      <w:color w:val="000000" w:themeColor="text1"/>
    </w:rPr>
  </w:style>
  <w:style w:type="character" w:styleId="Mencinsinresolver1" w:customStyle="1">
    <w:name w:val="Mención sin resolver1"/>
    <w:basedOn w:val="Fuentedeprrafopredeter"/>
    <w:uiPriority w:val="99"/>
    <w:semiHidden/>
    <w:unhideWhenUsed/>
    <w:rsid w:val="00576FD0"/>
    <w:rPr>
      <w:color w:val="605E5C"/>
      <w:shd w:val="clear" w:color="auto" w:fill="E1DFDD"/>
    </w:rPr>
  </w:style>
  <w:style w:type="paragraph" w:styleId="Revisin">
    <w:name w:val="Revision"/>
    <w:hidden/>
    <w:uiPriority w:val="99"/>
    <w:semiHidden/>
    <w:rsid w:val="00576FD0"/>
    <w:pPr>
      <w:spacing w:after="0" w:line="240" w:lineRule="auto"/>
    </w:pPr>
    <w:rPr>
      <w:rFonts w:ascii="Palatino Linotype" w:hAnsi="Palatino Linotype"/>
      <w:color w:val="000000" w:themeColor="text1"/>
    </w:rPr>
  </w:style>
  <w:style w:type="character" w:styleId="gmaildefault" w:customStyle="1">
    <w:name w:val="gmail_default"/>
    <w:basedOn w:val="Fuentedeprrafopredeter"/>
    <w:rsid w:val="00576FD0"/>
  </w:style>
  <w:style w:type="character" w:styleId="Hipervnculovisitado">
    <w:name w:val="FollowedHyperlink"/>
    <w:basedOn w:val="Fuentedeprrafopredeter"/>
    <w:uiPriority w:val="99"/>
    <w:semiHidden/>
    <w:unhideWhenUsed/>
    <w:rsid w:val="00BB6C8E"/>
    <w:rPr>
      <w:color w:val="954F72" w:themeColor="followedHyperlink"/>
      <w:u w:val="single"/>
    </w:rPr>
  </w:style>
  <w:style w:type="character" w:styleId="markedcontent" w:customStyle="1">
    <w:name w:val="markedcontent"/>
    <w:basedOn w:val="Fuentedeprrafopredeter"/>
    <w:rsid w:val="00AB6A7F"/>
  </w:style>
  <w:style w:type="paragraph" w:styleId="Textodeglobo">
    <w:name w:val="Balloon Text"/>
    <w:basedOn w:val="Normal"/>
    <w:link w:val="TextodegloboCar"/>
    <w:uiPriority w:val="99"/>
    <w:semiHidden/>
    <w:unhideWhenUsed/>
    <w:rsid w:val="003F1D7D"/>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3F1D7D"/>
    <w:rPr>
      <w:rFonts w:ascii="Tahoma" w:hAnsi="Tahoma" w:cs="Tahoma"/>
      <w:color w:val="000000" w:themeColor="text1"/>
      <w:sz w:val="16"/>
      <w:szCs w:val="16"/>
    </w:rPr>
  </w:style>
  <w:style w:type="paragraph" w:styleId="Sinespaciado">
    <w:name w:val="No Spacing"/>
    <w:aliases w:val="Francesa,INAI"/>
    <w:link w:val="SinespaciadoCar"/>
    <w:uiPriority w:val="1"/>
    <w:qFormat/>
    <w:rsid w:val="00504893"/>
    <w:pPr>
      <w:spacing w:after="0" w:line="240" w:lineRule="auto"/>
      <w:jc w:val="both"/>
    </w:pPr>
    <w:rPr>
      <w:rFonts w:ascii="Palatino Linotype" w:hAnsi="Palatino Linotype"/>
      <w:color w:val="000000" w:themeColor="text1"/>
    </w:rPr>
  </w:style>
  <w:style w:type="character" w:styleId="SinespaciadoCar" w:customStyle="1">
    <w:name w:val="Sin espaciado Car"/>
    <w:aliases w:val="Francesa Car,INAI Car"/>
    <w:link w:val="Sinespaciado"/>
    <w:uiPriority w:val="1"/>
    <w:locked/>
    <w:rsid w:val="00504893"/>
    <w:rPr>
      <w:rFonts w:ascii="Palatino Linotype" w:hAnsi="Palatino Linotype"/>
      <w:color w:val="000000" w:themeColor="text1"/>
    </w:rPr>
  </w:style>
  <w:style w:type="table" w:styleId="Tablaconcuadrcula1" w:customStyle="1">
    <w:name w:val="Tabla con cuadrícula1"/>
    <w:basedOn w:val="Tablanormal"/>
    <w:next w:val="Tablaconcuadrcula"/>
    <w:uiPriority w:val="59"/>
    <w:rsid w:val="000843DB"/>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2" w:customStyle="1">
    <w:name w:val="Mención sin resolver2"/>
    <w:basedOn w:val="Fuentedeprrafopredeter"/>
    <w:uiPriority w:val="99"/>
    <w:semiHidden/>
    <w:unhideWhenUsed/>
    <w:rsid w:val="00144C01"/>
    <w:rPr>
      <w:color w:val="605E5C"/>
      <w:shd w:val="clear" w:color="auto" w:fill="E1DFDD"/>
    </w:rPr>
  </w:style>
  <w:style w:type="table" w:styleId="Tablaconcuadrcula2" w:customStyle="1">
    <w:name w:val="Tabla con cuadrícula2"/>
    <w:basedOn w:val="Tablanormal"/>
    <w:next w:val="Tablaconcuadrcula"/>
    <w:uiPriority w:val="59"/>
    <w:qFormat/>
    <w:rsid w:val="0070494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3" w:customStyle="1">
    <w:name w:val="Mención sin resolver3"/>
    <w:basedOn w:val="Fuentedeprrafopredeter"/>
    <w:uiPriority w:val="99"/>
    <w:semiHidden/>
    <w:unhideWhenUsed/>
    <w:rsid w:val="004D08D1"/>
    <w:rPr>
      <w:color w:val="605E5C"/>
      <w:shd w:val="clear" w:color="auto" w:fill="E1DFDD"/>
    </w:rPr>
  </w:style>
  <w:style w:type="character" w:styleId="Mencinsinresolver4" w:customStyle="1">
    <w:name w:val="Mención sin resolver4"/>
    <w:basedOn w:val="Fuentedeprrafopredeter"/>
    <w:uiPriority w:val="99"/>
    <w:semiHidden/>
    <w:unhideWhenUsed/>
    <w:rsid w:val="001437A6"/>
    <w:rPr>
      <w:color w:val="605E5C"/>
      <w:shd w:val="clear" w:color="auto" w:fill="E1DFDD"/>
    </w:rPr>
  </w:style>
  <w:style w:type="table" w:styleId="Tablaconcuadrcula3" w:customStyle="1">
    <w:name w:val="Tabla con cuadrícula3"/>
    <w:basedOn w:val="Tablanormal"/>
    <w:next w:val="Tablaconcuadrcula"/>
    <w:uiPriority w:val="59"/>
    <w:qFormat/>
    <w:rsid w:val="006678F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69064">
      <w:bodyDiv w:val="1"/>
      <w:marLeft w:val="0"/>
      <w:marRight w:val="0"/>
      <w:marTop w:val="0"/>
      <w:marBottom w:val="0"/>
      <w:divBdr>
        <w:top w:val="none" w:sz="0" w:space="0" w:color="auto"/>
        <w:left w:val="none" w:sz="0" w:space="0" w:color="auto"/>
        <w:bottom w:val="none" w:sz="0" w:space="0" w:color="auto"/>
        <w:right w:val="none" w:sz="0" w:space="0" w:color="auto"/>
      </w:divBdr>
    </w:div>
    <w:div w:id="80489823">
      <w:bodyDiv w:val="1"/>
      <w:marLeft w:val="0"/>
      <w:marRight w:val="0"/>
      <w:marTop w:val="0"/>
      <w:marBottom w:val="0"/>
      <w:divBdr>
        <w:top w:val="none" w:sz="0" w:space="0" w:color="auto"/>
        <w:left w:val="none" w:sz="0" w:space="0" w:color="auto"/>
        <w:bottom w:val="none" w:sz="0" w:space="0" w:color="auto"/>
        <w:right w:val="none" w:sz="0" w:space="0" w:color="auto"/>
      </w:divBdr>
    </w:div>
    <w:div w:id="215121787">
      <w:bodyDiv w:val="1"/>
      <w:marLeft w:val="0"/>
      <w:marRight w:val="0"/>
      <w:marTop w:val="0"/>
      <w:marBottom w:val="0"/>
      <w:divBdr>
        <w:top w:val="none" w:sz="0" w:space="0" w:color="auto"/>
        <w:left w:val="none" w:sz="0" w:space="0" w:color="auto"/>
        <w:bottom w:val="none" w:sz="0" w:space="0" w:color="auto"/>
        <w:right w:val="none" w:sz="0" w:space="0" w:color="auto"/>
      </w:divBdr>
    </w:div>
    <w:div w:id="251282924">
      <w:bodyDiv w:val="1"/>
      <w:marLeft w:val="0"/>
      <w:marRight w:val="0"/>
      <w:marTop w:val="0"/>
      <w:marBottom w:val="0"/>
      <w:divBdr>
        <w:top w:val="none" w:sz="0" w:space="0" w:color="auto"/>
        <w:left w:val="none" w:sz="0" w:space="0" w:color="auto"/>
        <w:bottom w:val="none" w:sz="0" w:space="0" w:color="auto"/>
        <w:right w:val="none" w:sz="0" w:space="0" w:color="auto"/>
      </w:divBdr>
    </w:div>
    <w:div w:id="320039038">
      <w:bodyDiv w:val="1"/>
      <w:marLeft w:val="0"/>
      <w:marRight w:val="0"/>
      <w:marTop w:val="0"/>
      <w:marBottom w:val="0"/>
      <w:divBdr>
        <w:top w:val="none" w:sz="0" w:space="0" w:color="auto"/>
        <w:left w:val="none" w:sz="0" w:space="0" w:color="auto"/>
        <w:bottom w:val="none" w:sz="0" w:space="0" w:color="auto"/>
        <w:right w:val="none" w:sz="0" w:space="0" w:color="auto"/>
      </w:divBdr>
    </w:div>
    <w:div w:id="401833142">
      <w:bodyDiv w:val="1"/>
      <w:marLeft w:val="0"/>
      <w:marRight w:val="0"/>
      <w:marTop w:val="0"/>
      <w:marBottom w:val="0"/>
      <w:divBdr>
        <w:top w:val="none" w:sz="0" w:space="0" w:color="auto"/>
        <w:left w:val="none" w:sz="0" w:space="0" w:color="auto"/>
        <w:bottom w:val="none" w:sz="0" w:space="0" w:color="auto"/>
        <w:right w:val="none" w:sz="0" w:space="0" w:color="auto"/>
      </w:divBdr>
    </w:div>
    <w:div w:id="469176819">
      <w:bodyDiv w:val="1"/>
      <w:marLeft w:val="0"/>
      <w:marRight w:val="0"/>
      <w:marTop w:val="0"/>
      <w:marBottom w:val="0"/>
      <w:divBdr>
        <w:top w:val="none" w:sz="0" w:space="0" w:color="auto"/>
        <w:left w:val="none" w:sz="0" w:space="0" w:color="auto"/>
        <w:bottom w:val="none" w:sz="0" w:space="0" w:color="auto"/>
        <w:right w:val="none" w:sz="0" w:space="0" w:color="auto"/>
      </w:divBdr>
    </w:div>
    <w:div w:id="488710178">
      <w:bodyDiv w:val="1"/>
      <w:marLeft w:val="0"/>
      <w:marRight w:val="0"/>
      <w:marTop w:val="0"/>
      <w:marBottom w:val="0"/>
      <w:divBdr>
        <w:top w:val="none" w:sz="0" w:space="0" w:color="auto"/>
        <w:left w:val="none" w:sz="0" w:space="0" w:color="auto"/>
        <w:bottom w:val="none" w:sz="0" w:space="0" w:color="auto"/>
        <w:right w:val="none" w:sz="0" w:space="0" w:color="auto"/>
      </w:divBdr>
    </w:div>
    <w:div w:id="633101880">
      <w:bodyDiv w:val="1"/>
      <w:marLeft w:val="0"/>
      <w:marRight w:val="0"/>
      <w:marTop w:val="0"/>
      <w:marBottom w:val="0"/>
      <w:divBdr>
        <w:top w:val="none" w:sz="0" w:space="0" w:color="auto"/>
        <w:left w:val="none" w:sz="0" w:space="0" w:color="auto"/>
        <w:bottom w:val="none" w:sz="0" w:space="0" w:color="auto"/>
        <w:right w:val="none" w:sz="0" w:space="0" w:color="auto"/>
      </w:divBdr>
    </w:div>
    <w:div w:id="633801009">
      <w:bodyDiv w:val="1"/>
      <w:marLeft w:val="0"/>
      <w:marRight w:val="0"/>
      <w:marTop w:val="0"/>
      <w:marBottom w:val="0"/>
      <w:divBdr>
        <w:top w:val="none" w:sz="0" w:space="0" w:color="auto"/>
        <w:left w:val="none" w:sz="0" w:space="0" w:color="auto"/>
        <w:bottom w:val="none" w:sz="0" w:space="0" w:color="auto"/>
        <w:right w:val="none" w:sz="0" w:space="0" w:color="auto"/>
      </w:divBdr>
    </w:div>
    <w:div w:id="798261246">
      <w:bodyDiv w:val="1"/>
      <w:marLeft w:val="0"/>
      <w:marRight w:val="0"/>
      <w:marTop w:val="0"/>
      <w:marBottom w:val="0"/>
      <w:divBdr>
        <w:top w:val="none" w:sz="0" w:space="0" w:color="auto"/>
        <w:left w:val="none" w:sz="0" w:space="0" w:color="auto"/>
        <w:bottom w:val="none" w:sz="0" w:space="0" w:color="auto"/>
        <w:right w:val="none" w:sz="0" w:space="0" w:color="auto"/>
      </w:divBdr>
    </w:div>
    <w:div w:id="830755976">
      <w:bodyDiv w:val="1"/>
      <w:marLeft w:val="0"/>
      <w:marRight w:val="0"/>
      <w:marTop w:val="0"/>
      <w:marBottom w:val="0"/>
      <w:divBdr>
        <w:top w:val="none" w:sz="0" w:space="0" w:color="auto"/>
        <w:left w:val="none" w:sz="0" w:space="0" w:color="auto"/>
        <w:bottom w:val="none" w:sz="0" w:space="0" w:color="auto"/>
        <w:right w:val="none" w:sz="0" w:space="0" w:color="auto"/>
      </w:divBdr>
    </w:div>
    <w:div w:id="847909432">
      <w:bodyDiv w:val="1"/>
      <w:marLeft w:val="0"/>
      <w:marRight w:val="0"/>
      <w:marTop w:val="0"/>
      <w:marBottom w:val="0"/>
      <w:divBdr>
        <w:top w:val="none" w:sz="0" w:space="0" w:color="auto"/>
        <w:left w:val="none" w:sz="0" w:space="0" w:color="auto"/>
        <w:bottom w:val="none" w:sz="0" w:space="0" w:color="auto"/>
        <w:right w:val="none" w:sz="0" w:space="0" w:color="auto"/>
      </w:divBdr>
    </w:div>
    <w:div w:id="870457238">
      <w:bodyDiv w:val="1"/>
      <w:marLeft w:val="0"/>
      <w:marRight w:val="0"/>
      <w:marTop w:val="0"/>
      <w:marBottom w:val="0"/>
      <w:divBdr>
        <w:top w:val="none" w:sz="0" w:space="0" w:color="auto"/>
        <w:left w:val="none" w:sz="0" w:space="0" w:color="auto"/>
        <w:bottom w:val="none" w:sz="0" w:space="0" w:color="auto"/>
        <w:right w:val="none" w:sz="0" w:space="0" w:color="auto"/>
      </w:divBdr>
    </w:div>
    <w:div w:id="875044652">
      <w:bodyDiv w:val="1"/>
      <w:marLeft w:val="0"/>
      <w:marRight w:val="0"/>
      <w:marTop w:val="0"/>
      <w:marBottom w:val="0"/>
      <w:divBdr>
        <w:top w:val="none" w:sz="0" w:space="0" w:color="auto"/>
        <w:left w:val="none" w:sz="0" w:space="0" w:color="auto"/>
        <w:bottom w:val="none" w:sz="0" w:space="0" w:color="auto"/>
        <w:right w:val="none" w:sz="0" w:space="0" w:color="auto"/>
      </w:divBdr>
    </w:div>
    <w:div w:id="990138795">
      <w:bodyDiv w:val="1"/>
      <w:marLeft w:val="0"/>
      <w:marRight w:val="0"/>
      <w:marTop w:val="0"/>
      <w:marBottom w:val="0"/>
      <w:divBdr>
        <w:top w:val="none" w:sz="0" w:space="0" w:color="auto"/>
        <w:left w:val="none" w:sz="0" w:space="0" w:color="auto"/>
        <w:bottom w:val="none" w:sz="0" w:space="0" w:color="auto"/>
        <w:right w:val="none" w:sz="0" w:space="0" w:color="auto"/>
      </w:divBdr>
    </w:div>
    <w:div w:id="1046300979">
      <w:bodyDiv w:val="1"/>
      <w:marLeft w:val="0"/>
      <w:marRight w:val="0"/>
      <w:marTop w:val="0"/>
      <w:marBottom w:val="0"/>
      <w:divBdr>
        <w:top w:val="none" w:sz="0" w:space="0" w:color="auto"/>
        <w:left w:val="none" w:sz="0" w:space="0" w:color="auto"/>
        <w:bottom w:val="none" w:sz="0" w:space="0" w:color="auto"/>
        <w:right w:val="none" w:sz="0" w:space="0" w:color="auto"/>
      </w:divBdr>
    </w:div>
    <w:div w:id="1062289033">
      <w:bodyDiv w:val="1"/>
      <w:marLeft w:val="0"/>
      <w:marRight w:val="0"/>
      <w:marTop w:val="0"/>
      <w:marBottom w:val="0"/>
      <w:divBdr>
        <w:top w:val="none" w:sz="0" w:space="0" w:color="auto"/>
        <w:left w:val="none" w:sz="0" w:space="0" w:color="auto"/>
        <w:bottom w:val="none" w:sz="0" w:space="0" w:color="auto"/>
        <w:right w:val="none" w:sz="0" w:space="0" w:color="auto"/>
      </w:divBdr>
    </w:div>
    <w:div w:id="1106850091">
      <w:bodyDiv w:val="1"/>
      <w:marLeft w:val="0"/>
      <w:marRight w:val="0"/>
      <w:marTop w:val="0"/>
      <w:marBottom w:val="0"/>
      <w:divBdr>
        <w:top w:val="none" w:sz="0" w:space="0" w:color="auto"/>
        <w:left w:val="none" w:sz="0" w:space="0" w:color="auto"/>
        <w:bottom w:val="none" w:sz="0" w:space="0" w:color="auto"/>
        <w:right w:val="none" w:sz="0" w:space="0" w:color="auto"/>
      </w:divBdr>
    </w:div>
    <w:div w:id="1127822661">
      <w:bodyDiv w:val="1"/>
      <w:marLeft w:val="0"/>
      <w:marRight w:val="0"/>
      <w:marTop w:val="0"/>
      <w:marBottom w:val="0"/>
      <w:divBdr>
        <w:top w:val="none" w:sz="0" w:space="0" w:color="auto"/>
        <w:left w:val="none" w:sz="0" w:space="0" w:color="auto"/>
        <w:bottom w:val="none" w:sz="0" w:space="0" w:color="auto"/>
        <w:right w:val="none" w:sz="0" w:space="0" w:color="auto"/>
      </w:divBdr>
    </w:div>
    <w:div w:id="1180318687">
      <w:bodyDiv w:val="1"/>
      <w:marLeft w:val="0"/>
      <w:marRight w:val="0"/>
      <w:marTop w:val="0"/>
      <w:marBottom w:val="0"/>
      <w:divBdr>
        <w:top w:val="none" w:sz="0" w:space="0" w:color="auto"/>
        <w:left w:val="none" w:sz="0" w:space="0" w:color="auto"/>
        <w:bottom w:val="none" w:sz="0" w:space="0" w:color="auto"/>
        <w:right w:val="none" w:sz="0" w:space="0" w:color="auto"/>
      </w:divBdr>
    </w:div>
    <w:div w:id="1238898783">
      <w:bodyDiv w:val="1"/>
      <w:marLeft w:val="0"/>
      <w:marRight w:val="0"/>
      <w:marTop w:val="0"/>
      <w:marBottom w:val="0"/>
      <w:divBdr>
        <w:top w:val="none" w:sz="0" w:space="0" w:color="auto"/>
        <w:left w:val="none" w:sz="0" w:space="0" w:color="auto"/>
        <w:bottom w:val="none" w:sz="0" w:space="0" w:color="auto"/>
        <w:right w:val="none" w:sz="0" w:space="0" w:color="auto"/>
      </w:divBdr>
      <w:divsChild>
        <w:div w:id="1281567862">
          <w:blockQuote w:val="1"/>
          <w:marLeft w:val="0"/>
          <w:marRight w:val="0"/>
          <w:marTop w:val="300"/>
          <w:marBottom w:val="450"/>
          <w:divBdr>
            <w:top w:val="none" w:sz="0" w:space="23" w:color="FFFFFF"/>
            <w:left w:val="single" w:sz="36" w:space="23" w:color="FFFFFF"/>
            <w:bottom w:val="none" w:sz="0" w:space="23" w:color="FFFFFF"/>
            <w:right w:val="none" w:sz="0" w:space="23" w:color="FFFFFF"/>
          </w:divBdr>
        </w:div>
      </w:divsChild>
    </w:div>
    <w:div w:id="1262570373">
      <w:bodyDiv w:val="1"/>
      <w:marLeft w:val="0"/>
      <w:marRight w:val="0"/>
      <w:marTop w:val="0"/>
      <w:marBottom w:val="0"/>
      <w:divBdr>
        <w:top w:val="none" w:sz="0" w:space="0" w:color="auto"/>
        <w:left w:val="none" w:sz="0" w:space="0" w:color="auto"/>
        <w:bottom w:val="none" w:sz="0" w:space="0" w:color="auto"/>
        <w:right w:val="none" w:sz="0" w:space="0" w:color="auto"/>
      </w:divBdr>
    </w:div>
    <w:div w:id="1265310204">
      <w:bodyDiv w:val="1"/>
      <w:marLeft w:val="0"/>
      <w:marRight w:val="0"/>
      <w:marTop w:val="0"/>
      <w:marBottom w:val="0"/>
      <w:divBdr>
        <w:top w:val="none" w:sz="0" w:space="0" w:color="auto"/>
        <w:left w:val="none" w:sz="0" w:space="0" w:color="auto"/>
        <w:bottom w:val="none" w:sz="0" w:space="0" w:color="auto"/>
        <w:right w:val="none" w:sz="0" w:space="0" w:color="auto"/>
      </w:divBdr>
    </w:div>
    <w:div w:id="1276214811">
      <w:bodyDiv w:val="1"/>
      <w:marLeft w:val="0"/>
      <w:marRight w:val="0"/>
      <w:marTop w:val="0"/>
      <w:marBottom w:val="0"/>
      <w:divBdr>
        <w:top w:val="none" w:sz="0" w:space="0" w:color="auto"/>
        <w:left w:val="none" w:sz="0" w:space="0" w:color="auto"/>
        <w:bottom w:val="none" w:sz="0" w:space="0" w:color="auto"/>
        <w:right w:val="none" w:sz="0" w:space="0" w:color="auto"/>
      </w:divBdr>
    </w:div>
    <w:div w:id="1341202099">
      <w:bodyDiv w:val="1"/>
      <w:marLeft w:val="0"/>
      <w:marRight w:val="0"/>
      <w:marTop w:val="0"/>
      <w:marBottom w:val="0"/>
      <w:divBdr>
        <w:top w:val="none" w:sz="0" w:space="0" w:color="auto"/>
        <w:left w:val="none" w:sz="0" w:space="0" w:color="auto"/>
        <w:bottom w:val="none" w:sz="0" w:space="0" w:color="auto"/>
        <w:right w:val="none" w:sz="0" w:space="0" w:color="auto"/>
      </w:divBdr>
    </w:div>
    <w:div w:id="1354459695">
      <w:bodyDiv w:val="1"/>
      <w:marLeft w:val="0"/>
      <w:marRight w:val="0"/>
      <w:marTop w:val="0"/>
      <w:marBottom w:val="0"/>
      <w:divBdr>
        <w:top w:val="none" w:sz="0" w:space="0" w:color="auto"/>
        <w:left w:val="none" w:sz="0" w:space="0" w:color="auto"/>
        <w:bottom w:val="none" w:sz="0" w:space="0" w:color="auto"/>
        <w:right w:val="none" w:sz="0" w:space="0" w:color="auto"/>
      </w:divBdr>
    </w:div>
    <w:div w:id="1387141119">
      <w:bodyDiv w:val="1"/>
      <w:marLeft w:val="0"/>
      <w:marRight w:val="0"/>
      <w:marTop w:val="0"/>
      <w:marBottom w:val="0"/>
      <w:divBdr>
        <w:top w:val="none" w:sz="0" w:space="0" w:color="auto"/>
        <w:left w:val="none" w:sz="0" w:space="0" w:color="auto"/>
        <w:bottom w:val="none" w:sz="0" w:space="0" w:color="auto"/>
        <w:right w:val="none" w:sz="0" w:space="0" w:color="auto"/>
      </w:divBdr>
    </w:div>
    <w:div w:id="1411729540">
      <w:bodyDiv w:val="1"/>
      <w:marLeft w:val="0"/>
      <w:marRight w:val="0"/>
      <w:marTop w:val="0"/>
      <w:marBottom w:val="0"/>
      <w:divBdr>
        <w:top w:val="none" w:sz="0" w:space="0" w:color="auto"/>
        <w:left w:val="none" w:sz="0" w:space="0" w:color="auto"/>
        <w:bottom w:val="none" w:sz="0" w:space="0" w:color="auto"/>
        <w:right w:val="none" w:sz="0" w:space="0" w:color="auto"/>
      </w:divBdr>
    </w:div>
    <w:div w:id="1447428334">
      <w:bodyDiv w:val="1"/>
      <w:marLeft w:val="0"/>
      <w:marRight w:val="0"/>
      <w:marTop w:val="0"/>
      <w:marBottom w:val="0"/>
      <w:divBdr>
        <w:top w:val="none" w:sz="0" w:space="0" w:color="auto"/>
        <w:left w:val="none" w:sz="0" w:space="0" w:color="auto"/>
        <w:bottom w:val="none" w:sz="0" w:space="0" w:color="auto"/>
        <w:right w:val="none" w:sz="0" w:space="0" w:color="auto"/>
      </w:divBdr>
    </w:div>
    <w:div w:id="1492910780">
      <w:bodyDiv w:val="1"/>
      <w:marLeft w:val="0"/>
      <w:marRight w:val="0"/>
      <w:marTop w:val="0"/>
      <w:marBottom w:val="0"/>
      <w:divBdr>
        <w:top w:val="none" w:sz="0" w:space="0" w:color="auto"/>
        <w:left w:val="none" w:sz="0" w:space="0" w:color="auto"/>
        <w:bottom w:val="none" w:sz="0" w:space="0" w:color="auto"/>
        <w:right w:val="none" w:sz="0" w:space="0" w:color="auto"/>
      </w:divBdr>
    </w:div>
    <w:div w:id="1509562934">
      <w:bodyDiv w:val="1"/>
      <w:marLeft w:val="0"/>
      <w:marRight w:val="0"/>
      <w:marTop w:val="0"/>
      <w:marBottom w:val="0"/>
      <w:divBdr>
        <w:top w:val="none" w:sz="0" w:space="0" w:color="auto"/>
        <w:left w:val="none" w:sz="0" w:space="0" w:color="auto"/>
        <w:bottom w:val="none" w:sz="0" w:space="0" w:color="auto"/>
        <w:right w:val="none" w:sz="0" w:space="0" w:color="auto"/>
      </w:divBdr>
    </w:div>
    <w:div w:id="1603027728">
      <w:bodyDiv w:val="1"/>
      <w:marLeft w:val="0"/>
      <w:marRight w:val="0"/>
      <w:marTop w:val="0"/>
      <w:marBottom w:val="0"/>
      <w:divBdr>
        <w:top w:val="none" w:sz="0" w:space="0" w:color="auto"/>
        <w:left w:val="none" w:sz="0" w:space="0" w:color="auto"/>
        <w:bottom w:val="none" w:sz="0" w:space="0" w:color="auto"/>
        <w:right w:val="none" w:sz="0" w:space="0" w:color="auto"/>
      </w:divBdr>
    </w:div>
    <w:div w:id="1784879821">
      <w:bodyDiv w:val="1"/>
      <w:marLeft w:val="0"/>
      <w:marRight w:val="0"/>
      <w:marTop w:val="0"/>
      <w:marBottom w:val="0"/>
      <w:divBdr>
        <w:top w:val="none" w:sz="0" w:space="0" w:color="auto"/>
        <w:left w:val="none" w:sz="0" w:space="0" w:color="auto"/>
        <w:bottom w:val="none" w:sz="0" w:space="0" w:color="auto"/>
        <w:right w:val="none" w:sz="0" w:space="0" w:color="auto"/>
      </w:divBdr>
    </w:div>
    <w:div w:id="1888565293">
      <w:bodyDiv w:val="1"/>
      <w:marLeft w:val="0"/>
      <w:marRight w:val="0"/>
      <w:marTop w:val="0"/>
      <w:marBottom w:val="0"/>
      <w:divBdr>
        <w:top w:val="none" w:sz="0" w:space="0" w:color="auto"/>
        <w:left w:val="none" w:sz="0" w:space="0" w:color="auto"/>
        <w:bottom w:val="none" w:sz="0" w:space="0" w:color="auto"/>
        <w:right w:val="none" w:sz="0" w:space="0" w:color="auto"/>
      </w:divBdr>
    </w:div>
    <w:div w:id="1927231349">
      <w:bodyDiv w:val="1"/>
      <w:marLeft w:val="0"/>
      <w:marRight w:val="0"/>
      <w:marTop w:val="0"/>
      <w:marBottom w:val="0"/>
      <w:divBdr>
        <w:top w:val="none" w:sz="0" w:space="0" w:color="auto"/>
        <w:left w:val="none" w:sz="0" w:space="0" w:color="auto"/>
        <w:bottom w:val="none" w:sz="0" w:space="0" w:color="auto"/>
        <w:right w:val="none" w:sz="0" w:space="0" w:color="auto"/>
      </w:divBdr>
    </w:div>
    <w:div w:id="1944920668">
      <w:bodyDiv w:val="1"/>
      <w:marLeft w:val="0"/>
      <w:marRight w:val="0"/>
      <w:marTop w:val="0"/>
      <w:marBottom w:val="0"/>
      <w:divBdr>
        <w:top w:val="none" w:sz="0" w:space="0" w:color="auto"/>
        <w:left w:val="none" w:sz="0" w:space="0" w:color="auto"/>
        <w:bottom w:val="none" w:sz="0" w:space="0" w:color="auto"/>
        <w:right w:val="none" w:sz="0" w:space="0" w:color="auto"/>
      </w:divBdr>
    </w:div>
    <w:div w:id="1955746728">
      <w:bodyDiv w:val="1"/>
      <w:marLeft w:val="0"/>
      <w:marRight w:val="0"/>
      <w:marTop w:val="0"/>
      <w:marBottom w:val="0"/>
      <w:divBdr>
        <w:top w:val="none" w:sz="0" w:space="0" w:color="auto"/>
        <w:left w:val="none" w:sz="0" w:space="0" w:color="auto"/>
        <w:bottom w:val="none" w:sz="0" w:space="0" w:color="auto"/>
        <w:right w:val="none" w:sz="0" w:space="0" w:color="auto"/>
      </w:divBdr>
    </w:div>
    <w:div w:id="2025010923">
      <w:bodyDiv w:val="1"/>
      <w:marLeft w:val="0"/>
      <w:marRight w:val="0"/>
      <w:marTop w:val="0"/>
      <w:marBottom w:val="0"/>
      <w:divBdr>
        <w:top w:val="none" w:sz="0" w:space="0" w:color="auto"/>
        <w:left w:val="none" w:sz="0" w:space="0" w:color="auto"/>
        <w:bottom w:val="none" w:sz="0" w:space="0" w:color="auto"/>
        <w:right w:val="none" w:sz="0" w:space="0" w:color="auto"/>
      </w:divBdr>
    </w:div>
    <w:div w:id="2094818492">
      <w:bodyDiv w:val="1"/>
      <w:marLeft w:val="0"/>
      <w:marRight w:val="0"/>
      <w:marTop w:val="0"/>
      <w:marBottom w:val="0"/>
      <w:divBdr>
        <w:top w:val="none" w:sz="0" w:space="0" w:color="auto"/>
        <w:left w:val="none" w:sz="0" w:space="0" w:color="auto"/>
        <w:bottom w:val="none" w:sz="0" w:space="0" w:color="auto"/>
        <w:right w:val="none" w:sz="0" w:space="0" w:color="auto"/>
      </w:divBdr>
    </w:div>
    <w:div w:id="21199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56c0067e12a14fc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002c20-b00f-401d-828c-dd5b9cfb0329}"/>
      </w:docPartPr>
      <w:docPartBody>
        <w:p w14:paraId="773C3D3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6F788-F855-4C84-A599-C936A98CEE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oswaldo</dc:creator>
  <lastModifiedBy>Usuario invitado</lastModifiedBy>
  <revision>16</revision>
  <lastPrinted>2021-12-07T20:02:00.0000000Z</lastPrinted>
  <dcterms:created xsi:type="dcterms:W3CDTF">2022-01-14T02:13:00.0000000Z</dcterms:created>
  <dcterms:modified xsi:type="dcterms:W3CDTF">2022-01-28T17:44:34.3262720Z</dcterms:modified>
</coreProperties>
</file>