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68B9" w:rsidRPr="00004F28" w:rsidRDefault="00C95825">
      <w:pPr>
        <w:spacing w:line="360" w:lineRule="auto"/>
        <w:jc w:val="both"/>
        <w:rPr>
          <w:rFonts w:ascii="Palatino Linotype" w:eastAsia="Palatino Linotype" w:hAnsi="Palatino Linotype" w:cs="Palatino Linotype"/>
        </w:rPr>
      </w:pPr>
      <w:bookmarkStart w:id="0" w:name="_GoBack"/>
      <w:bookmarkEnd w:id="0"/>
      <w:r w:rsidRPr="00004F28">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Metepec, Estado de México, de fecha catorce de diciembre de dos mil veintidós.</w:t>
      </w:r>
    </w:p>
    <w:p w:rsidR="001668B9" w:rsidRPr="00004F28" w:rsidRDefault="001668B9">
      <w:pPr>
        <w:spacing w:line="360" w:lineRule="auto"/>
        <w:jc w:val="both"/>
        <w:rPr>
          <w:rFonts w:ascii="Palatino Linotype" w:eastAsia="Palatino Linotype" w:hAnsi="Palatino Linotype" w:cs="Palatino Linotype"/>
        </w:rPr>
      </w:pPr>
    </w:p>
    <w:p w:rsidR="001668B9" w:rsidRPr="00004F28" w:rsidRDefault="00C95825">
      <w:pPr>
        <w:spacing w:line="360" w:lineRule="auto"/>
        <w:jc w:val="both"/>
        <w:rPr>
          <w:rFonts w:ascii="Palatino Linotype" w:eastAsia="Palatino Linotype" w:hAnsi="Palatino Linotype" w:cs="Palatino Linotype"/>
          <w:b/>
          <w:color w:val="000000"/>
        </w:rPr>
      </w:pPr>
      <w:r w:rsidRPr="00004F28">
        <w:rPr>
          <w:rFonts w:ascii="Palatino Linotype" w:eastAsia="Palatino Linotype" w:hAnsi="Palatino Linotype" w:cs="Palatino Linotype"/>
          <w:b/>
        </w:rPr>
        <w:t>VISTO</w:t>
      </w:r>
      <w:r w:rsidRPr="00004F28">
        <w:rPr>
          <w:rFonts w:ascii="Palatino Linotype" w:eastAsia="Palatino Linotype" w:hAnsi="Palatino Linotype" w:cs="Palatino Linotype"/>
        </w:rPr>
        <w:t xml:space="preserve"> el expediente formado con motivo del Recurso Revisión </w:t>
      </w:r>
      <w:r w:rsidR="00E23DC9" w:rsidRPr="00004F28">
        <w:rPr>
          <w:rFonts w:ascii="Palatino Linotype" w:eastAsia="Palatino Linotype" w:hAnsi="Palatino Linotype" w:cs="Palatino Linotype"/>
          <w:b/>
        </w:rPr>
        <w:t>14912/INFOEM/IP/RR/2022</w:t>
      </w:r>
      <w:r w:rsidRPr="00004F28">
        <w:rPr>
          <w:rFonts w:ascii="Palatino Linotype" w:eastAsia="Palatino Linotype" w:hAnsi="Palatino Linotype" w:cs="Palatino Linotype"/>
        </w:rPr>
        <w:t>, promovido por un particular de forma anónima</w:t>
      </w:r>
      <w:r w:rsidRPr="00004F28">
        <w:rPr>
          <w:rFonts w:ascii="Palatino Linotype" w:eastAsia="Palatino Linotype" w:hAnsi="Palatino Linotype" w:cs="Palatino Linotype"/>
          <w:b/>
          <w:color w:val="000000"/>
        </w:rPr>
        <w:t xml:space="preserve">, </w:t>
      </w:r>
      <w:r w:rsidRPr="00004F28">
        <w:rPr>
          <w:rFonts w:ascii="Palatino Linotype" w:eastAsia="Palatino Linotype" w:hAnsi="Palatino Linotype" w:cs="Palatino Linotype"/>
          <w:color w:val="000000"/>
        </w:rPr>
        <w:t>a quien</w:t>
      </w:r>
      <w:r w:rsidRPr="00004F28">
        <w:rPr>
          <w:rFonts w:ascii="Palatino Linotype" w:eastAsia="Palatino Linotype" w:hAnsi="Palatino Linotype" w:cs="Palatino Linotype"/>
          <w:b/>
          <w:color w:val="000000"/>
        </w:rPr>
        <w:t xml:space="preserve"> </w:t>
      </w:r>
      <w:r w:rsidRPr="00004F28">
        <w:rPr>
          <w:rFonts w:ascii="Palatino Linotype" w:eastAsia="Palatino Linotype" w:hAnsi="Palatino Linotype" w:cs="Palatino Linotype"/>
          <w:color w:val="000000"/>
        </w:rPr>
        <w:t xml:space="preserve">en lo sucesivo se denominará </w:t>
      </w:r>
      <w:r w:rsidRPr="00004F28">
        <w:rPr>
          <w:rFonts w:ascii="Palatino Linotype" w:eastAsia="Palatino Linotype" w:hAnsi="Palatino Linotype" w:cs="Palatino Linotype"/>
          <w:b/>
        </w:rPr>
        <w:t>EL</w:t>
      </w:r>
      <w:r w:rsidRPr="00004F28">
        <w:rPr>
          <w:rFonts w:ascii="Palatino Linotype" w:eastAsia="Palatino Linotype" w:hAnsi="Palatino Linotype" w:cs="Palatino Linotype"/>
          <w:b/>
          <w:color w:val="000000"/>
        </w:rPr>
        <w:t xml:space="preserve"> RECURRENTE</w:t>
      </w:r>
      <w:r w:rsidRPr="00004F28">
        <w:rPr>
          <w:rFonts w:ascii="Palatino Linotype" w:eastAsia="Palatino Linotype" w:hAnsi="Palatino Linotype" w:cs="Palatino Linotype"/>
          <w:color w:val="000000"/>
        </w:rPr>
        <w:t>,</w:t>
      </w:r>
      <w:r w:rsidRPr="00004F28">
        <w:rPr>
          <w:rFonts w:ascii="Palatino Linotype" w:eastAsia="Palatino Linotype" w:hAnsi="Palatino Linotype" w:cs="Palatino Linotype"/>
        </w:rPr>
        <w:t xml:space="preserve"> en contra de </w:t>
      </w:r>
      <w:r w:rsidRPr="00004F28">
        <w:rPr>
          <w:rFonts w:ascii="Palatino Linotype" w:eastAsia="Palatino Linotype" w:hAnsi="Palatino Linotype" w:cs="Palatino Linotype"/>
          <w:color w:val="000000"/>
        </w:rPr>
        <w:t xml:space="preserve">la de respuesta emitida por </w:t>
      </w:r>
      <w:r w:rsidRPr="00004F28">
        <w:rPr>
          <w:rFonts w:ascii="Palatino Linotype" w:eastAsia="Palatino Linotype" w:hAnsi="Palatino Linotype" w:cs="Palatino Linotype"/>
        </w:rPr>
        <w:t xml:space="preserve">el </w:t>
      </w:r>
      <w:r w:rsidRPr="00004F28">
        <w:rPr>
          <w:rFonts w:ascii="Palatino Linotype" w:eastAsia="Palatino Linotype" w:hAnsi="Palatino Linotype" w:cs="Palatino Linotype"/>
          <w:b/>
        </w:rPr>
        <w:t xml:space="preserve">Ayuntamiento de Zinacantepec, </w:t>
      </w:r>
      <w:r w:rsidRPr="00004F28">
        <w:rPr>
          <w:rFonts w:ascii="Palatino Linotype" w:eastAsia="Palatino Linotype" w:hAnsi="Palatino Linotype" w:cs="Palatino Linotype"/>
        </w:rPr>
        <w:t>que</w:t>
      </w:r>
      <w:r w:rsidRPr="00004F28">
        <w:rPr>
          <w:rFonts w:ascii="Palatino Linotype" w:eastAsia="Palatino Linotype" w:hAnsi="Palatino Linotype" w:cs="Palatino Linotype"/>
          <w:b/>
        </w:rPr>
        <w:t xml:space="preserve"> </w:t>
      </w:r>
      <w:r w:rsidRPr="00004F28">
        <w:rPr>
          <w:rFonts w:ascii="Palatino Linotype" w:eastAsia="Palatino Linotype" w:hAnsi="Palatino Linotype" w:cs="Palatino Linotype"/>
        </w:rPr>
        <w:t xml:space="preserve">en lo sucesivo se denominará </w:t>
      </w:r>
      <w:r w:rsidRPr="00004F28">
        <w:rPr>
          <w:rFonts w:ascii="Palatino Linotype" w:eastAsia="Palatino Linotype" w:hAnsi="Palatino Linotype" w:cs="Palatino Linotype"/>
          <w:b/>
        </w:rPr>
        <w:t>EL SUJETO OBLIGADO</w:t>
      </w:r>
      <w:r w:rsidRPr="00004F28">
        <w:rPr>
          <w:rFonts w:ascii="Palatino Linotype" w:eastAsia="Palatino Linotype" w:hAnsi="Palatino Linotype" w:cs="Palatino Linotype"/>
        </w:rPr>
        <w:t xml:space="preserve">, se procede a dictar la presente resolución con base en lo siguiente: </w:t>
      </w:r>
    </w:p>
    <w:p w:rsidR="001668B9" w:rsidRPr="00004F28" w:rsidRDefault="001668B9">
      <w:pPr>
        <w:jc w:val="center"/>
        <w:rPr>
          <w:rFonts w:ascii="Palatino Linotype" w:eastAsia="Palatino Linotype" w:hAnsi="Palatino Linotype" w:cs="Palatino Linotype"/>
        </w:rPr>
      </w:pPr>
    </w:p>
    <w:p w:rsidR="001668B9" w:rsidRPr="00004F28" w:rsidRDefault="00C95825">
      <w:pPr>
        <w:jc w:val="center"/>
        <w:rPr>
          <w:rFonts w:ascii="Palatino Linotype" w:eastAsia="Palatino Linotype" w:hAnsi="Palatino Linotype" w:cs="Palatino Linotype"/>
          <w:b/>
          <w:sz w:val="28"/>
          <w:szCs w:val="28"/>
        </w:rPr>
      </w:pPr>
      <w:r w:rsidRPr="00004F28">
        <w:rPr>
          <w:rFonts w:ascii="Palatino Linotype" w:eastAsia="Palatino Linotype" w:hAnsi="Palatino Linotype" w:cs="Palatino Linotype"/>
          <w:b/>
          <w:sz w:val="28"/>
          <w:szCs w:val="28"/>
        </w:rPr>
        <w:t>RESULTANDO</w:t>
      </w:r>
    </w:p>
    <w:p w:rsidR="001668B9" w:rsidRPr="00004F28" w:rsidRDefault="001668B9">
      <w:pPr>
        <w:jc w:val="center"/>
        <w:rPr>
          <w:rFonts w:ascii="Palatino Linotype" w:eastAsia="Palatino Linotype" w:hAnsi="Palatino Linotype" w:cs="Palatino Linotype"/>
          <w:b/>
        </w:rPr>
      </w:pPr>
    </w:p>
    <w:p w:rsidR="001668B9" w:rsidRPr="00004F28" w:rsidRDefault="001668B9">
      <w:pPr>
        <w:jc w:val="center"/>
        <w:rPr>
          <w:rFonts w:ascii="Palatino Linotype" w:eastAsia="Palatino Linotype" w:hAnsi="Palatino Linotype" w:cs="Palatino Linotype"/>
          <w:b/>
        </w:rPr>
      </w:pPr>
    </w:p>
    <w:p w:rsidR="001668B9" w:rsidRPr="00004F28" w:rsidRDefault="00C95825">
      <w:pPr>
        <w:spacing w:line="360" w:lineRule="auto"/>
        <w:jc w:val="both"/>
        <w:rPr>
          <w:rFonts w:ascii="Palatino Linotype" w:eastAsia="Palatino Linotype" w:hAnsi="Palatino Linotype" w:cs="Palatino Linotype"/>
          <w:b/>
          <w:sz w:val="28"/>
          <w:szCs w:val="28"/>
        </w:rPr>
      </w:pPr>
      <w:r w:rsidRPr="00004F28">
        <w:rPr>
          <w:rFonts w:ascii="Palatino Linotype" w:eastAsia="Palatino Linotype" w:hAnsi="Palatino Linotype" w:cs="Palatino Linotype"/>
          <w:b/>
          <w:sz w:val="28"/>
          <w:szCs w:val="28"/>
        </w:rPr>
        <w:t>I. De la Solicitud de Información</w:t>
      </w:r>
    </w:p>
    <w:p w:rsidR="001668B9" w:rsidRPr="00004F28" w:rsidRDefault="00C95825">
      <w:pPr>
        <w:spacing w:line="360" w:lineRule="auto"/>
        <w:jc w:val="both"/>
        <w:rPr>
          <w:rFonts w:ascii="Palatino Linotype" w:eastAsia="Palatino Linotype" w:hAnsi="Palatino Linotype" w:cs="Palatino Linotype"/>
          <w:b/>
        </w:rPr>
      </w:pPr>
      <w:r w:rsidRPr="00004F28">
        <w:rPr>
          <w:rFonts w:ascii="Palatino Linotype" w:eastAsia="Palatino Linotype" w:hAnsi="Palatino Linotype" w:cs="Palatino Linotype"/>
        </w:rPr>
        <w:t xml:space="preserve">En fecha </w:t>
      </w:r>
      <w:r w:rsidRPr="00004F28">
        <w:rPr>
          <w:rFonts w:ascii="Palatino Linotype" w:eastAsia="Palatino Linotype" w:hAnsi="Palatino Linotype" w:cs="Palatino Linotype"/>
          <w:b/>
        </w:rPr>
        <w:t>veinticinco de agosto de dos mil veintidós</w:t>
      </w:r>
      <w:r w:rsidRPr="00004F28">
        <w:rPr>
          <w:rFonts w:ascii="Palatino Linotype" w:eastAsia="Palatino Linotype" w:hAnsi="Palatino Linotype" w:cs="Palatino Linotype"/>
        </w:rPr>
        <w:t xml:space="preserve">, </w:t>
      </w:r>
      <w:r w:rsidRPr="00004F28">
        <w:rPr>
          <w:rFonts w:ascii="Palatino Linotype" w:eastAsia="Palatino Linotype" w:hAnsi="Palatino Linotype" w:cs="Palatino Linotype"/>
          <w:b/>
        </w:rPr>
        <w:t>EL</w:t>
      </w:r>
      <w:r w:rsidRPr="00004F28">
        <w:rPr>
          <w:rFonts w:ascii="Palatino Linotype" w:eastAsia="Palatino Linotype" w:hAnsi="Palatino Linotype" w:cs="Palatino Linotype"/>
          <w:b/>
          <w:color w:val="000000"/>
        </w:rPr>
        <w:t xml:space="preserve"> RECURRENTE</w:t>
      </w:r>
      <w:r w:rsidRPr="00004F28">
        <w:rPr>
          <w:rFonts w:ascii="Palatino Linotype" w:eastAsia="Palatino Linotype" w:hAnsi="Palatino Linotype" w:cs="Palatino Linotype"/>
          <w:b/>
        </w:rPr>
        <w:t xml:space="preserve"> </w:t>
      </w:r>
      <w:r w:rsidRPr="00004F28">
        <w:rPr>
          <w:rFonts w:ascii="Palatino Linotype" w:eastAsia="Palatino Linotype" w:hAnsi="Palatino Linotype" w:cs="Palatino Linotype"/>
        </w:rPr>
        <w:t xml:space="preserve">presentó a través del Sistema de Acceso a la Información Mexiquense, que en lo subsecuente se denominara </w:t>
      </w:r>
      <w:r w:rsidRPr="00004F28">
        <w:rPr>
          <w:rFonts w:ascii="Palatino Linotype" w:eastAsia="Palatino Linotype" w:hAnsi="Palatino Linotype" w:cs="Palatino Linotype"/>
          <w:b/>
        </w:rPr>
        <w:t>EL SAIMEX</w:t>
      </w:r>
      <w:r w:rsidRPr="00004F28">
        <w:rPr>
          <w:rFonts w:ascii="Palatino Linotype" w:eastAsia="Palatino Linotype" w:hAnsi="Palatino Linotype" w:cs="Palatino Linotype"/>
        </w:rPr>
        <w:t xml:space="preserve"> ante </w:t>
      </w:r>
      <w:r w:rsidRPr="00004F28">
        <w:rPr>
          <w:rFonts w:ascii="Palatino Linotype" w:eastAsia="Palatino Linotype" w:hAnsi="Palatino Linotype" w:cs="Palatino Linotype"/>
          <w:b/>
        </w:rPr>
        <w:t>EL SUJETO OBLIGADO</w:t>
      </w:r>
      <w:r w:rsidRPr="00004F28">
        <w:rPr>
          <w:rFonts w:ascii="Palatino Linotype" w:eastAsia="Palatino Linotype" w:hAnsi="Palatino Linotype" w:cs="Palatino Linotype"/>
        </w:rPr>
        <w:t>, la solicitud de acceso a la Información Pública, a la cual se le asignó el número de expediente</w:t>
      </w:r>
      <w:r w:rsidRPr="00004F28">
        <w:rPr>
          <w:rFonts w:ascii="Palatino Linotype" w:eastAsia="Palatino Linotype" w:hAnsi="Palatino Linotype" w:cs="Palatino Linotype"/>
          <w:b/>
        </w:rPr>
        <w:t xml:space="preserve"> 00765/ZINACANT/IP/2022</w:t>
      </w:r>
      <w:r w:rsidRPr="00004F28">
        <w:rPr>
          <w:rFonts w:ascii="Palatino Linotype" w:eastAsia="Palatino Linotype" w:hAnsi="Palatino Linotype" w:cs="Palatino Linotype"/>
        </w:rPr>
        <w:t>, mediante la cual requirió:</w:t>
      </w:r>
    </w:p>
    <w:p w:rsidR="001668B9" w:rsidRPr="00004F28" w:rsidRDefault="001668B9">
      <w:pPr>
        <w:tabs>
          <w:tab w:val="left" w:pos="851"/>
        </w:tabs>
        <w:ind w:left="851" w:right="901"/>
        <w:jc w:val="both"/>
        <w:rPr>
          <w:rFonts w:ascii="Palatino Linotype" w:eastAsia="Palatino Linotype" w:hAnsi="Palatino Linotype" w:cs="Palatino Linotype"/>
          <w:i/>
          <w:sz w:val="22"/>
          <w:szCs w:val="22"/>
        </w:rPr>
      </w:pPr>
    </w:p>
    <w:p w:rsidR="001668B9" w:rsidRPr="00004F28" w:rsidRDefault="00C95825">
      <w:pPr>
        <w:tabs>
          <w:tab w:val="left" w:pos="851"/>
        </w:tabs>
        <w:ind w:left="851" w:right="901"/>
        <w:jc w:val="both"/>
        <w:rPr>
          <w:rFonts w:ascii="Palatino Linotype" w:eastAsia="Palatino Linotype" w:hAnsi="Palatino Linotype" w:cs="Palatino Linotype"/>
          <w:i/>
          <w:sz w:val="22"/>
          <w:szCs w:val="22"/>
        </w:rPr>
      </w:pPr>
      <w:r w:rsidRPr="00004F28">
        <w:rPr>
          <w:rFonts w:ascii="Palatino Linotype" w:eastAsia="Palatino Linotype" w:hAnsi="Palatino Linotype" w:cs="Palatino Linotype"/>
          <w:i/>
          <w:sz w:val="22"/>
          <w:szCs w:val="22"/>
        </w:rPr>
        <w:t>“Proporcionar los manuales técnicos o materiales (guías o cursos) en formato digital con los que cuenten o hayan generado para que los trabajadores se capaciten y puedan usar los sistemas de SAP y con ello puedan realizar sus labores.” (Sic)</w:t>
      </w:r>
    </w:p>
    <w:p w:rsidR="001668B9" w:rsidRPr="00004F28" w:rsidRDefault="001668B9">
      <w:pPr>
        <w:tabs>
          <w:tab w:val="left" w:pos="851"/>
        </w:tabs>
        <w:ind w:left="851" w:right="901"/>
        <w:jc w:val="both"/>
        <w:rPr>
          <w:rFonts w:ascii="Palatino Linotype" w:eastAsia="Palatino Linotype" w:hAnsi="Palatino Linotype" w:cs="Palatino Linotype"/>
          <w:i/>
          <w:sz w:val="22"/>
          <w:szCs w:val="22"/>
        </w:rPr>
      </w:pPr>
    </w:p>
    <w:p w:rsidR="00004F28" w:rsidRPr="00004F28" w:rsidRDefault="00004F28">
      <w:pPr>
        <w:tabs>
          <w:tab w:val="left" w:pos="851"/>
        </w:tabs>
        <w:ind w:left="851" w:right="901"/>
        <w:jc w:val="both"/>
        <w:rPr>
          <w:rFonts w:ascii="Palatino Linotype" w:eastAsia="Palatino Linotype" w:hAnsi="Palatino Linotype" w:cs="Palatino Linotype"/>
          <w:i/>
          <w:sz w:val="22"/>
          <w:szCs w:val="22"/>
        </w:rPr>
      </w:pPr>
    </w:p>
    <w:p w:rsidR="001668B9" w:rsidRPr="00004F28" w:rsidRDefault="00C95825">
      <w:pPr>
        <w:spacing w:line="360" w:lineRule="auto"/>
        <w:jc w:val="both"/>
        <w:rPr>
          <w:rFonts w:ascii="Palatino Linotype" w:eastAsia="Palatino Linotype" w:hAnsi="Palatino Linotype" w:cs="Palatino Linotype"/>
          <w:b/>
        </w:rPr>
      </w:pPr>
      <w:r w:rsidRPr="00004F28">
        <w:rPr>
          <w:rFonts w:ascii="Palatino Linotype" w:eastAsia="Palatino Linotype" w:hAnsi="Palatino Linotype" w:cs="Palatino Linotype"/>
          <w:b/>
        </w:rPr>
        <w:t>MODALIDAD DE ENTREGA:</w:t>
      </w:r>
      <w:r w:rsidRPr="00004F28">
        <w:rPr>
          <w:rFonts w:ascii="Palatino Linotype" w:eastAsia="Palatino Linotype" w:hAnsi="Palatino Linotype" w:cs="Palatino Linotype"/>
        </w:rPr>
        <w:t xml:space="preserve"> Vía </w:t>
      </w:r>
      <w:r w:rsidRPr="00004F28">
        <w:rPr>
          <w:rFonts w:ascii="Palatino Linotype" w:eastAsia="Palatino Linotype" w:hAnsi="Palatino Linotype" w:cs="Palatino Linotype"/>
          <w:b/>
        </w:rPr>
        <w:t>SAIMEX.</w:t>
      </w:r>
    </w:p>
    <w:p w:rsidR="001668B9" w:rsidRPr="00004F28" w:rsidRDefault="001668B9">
      <w:pPr>
        <w:spacing w:line="360" w:lineRule="auto"/>
        <w:jc w:val="both"/>
        <w:rPr>
          <w:rFonts w:ascii="Palatino Linotype" w:eastAsia="Palatino Linotype" w:hAnsi="Palatino Linotype" w:cs="Palatino Linotype"/>
          <w:b/>
          <w:sz w:val="28"/>
          <w:szCs w:val="28"/>
        </w:rPr>
      </w:pPr>
    </w:p>
    <w:p w:rsidR="001668B9" w:rsidRPr="00004F28" w:rsidRDefault="00C95825">
      <w:pPr>
        <w:spacing w:line="360" w:lineRule="auto"/>
        <w:jc w:val="both"/>
        <w:rPr>
          <w:rFonts w:ascii="Palatino Linotype" w:eastAsia="Palatino Linotype" w:hAnsi="Palatino Linotype" w:cs="Palatino Linotype"/>
          <w:b/>
          <w:sz w:val="28"/>
          <w:szCs w:val="28"/>
        </w:rPr>
      </w:pPr>
      <w:r w:rsidRPr="00004F28">
        <w:rPr>
          <w:rFonts w:ascii="Palatino Linotype" w:eastAsia="Palatino Linotype" w:hAnsi="Palatino Linotype" w:cs="Palatino Linotype"/>
          <w:b/>
          <w:sz w:val="28"/>
          <w:szCs w:val="28"/>
        </w:rPr>
        <w:lastRenderedPageBreak/>
        <w:t>II. Turno de requerimiento del Sujeto Obligado</w:t>
      </w:r>
    </w:p>
    <w:p w:rsidR="001668B9" w:rsidRPr="00004F28" w:rsidRDefault="00C95825">
      <w:pPr>
        <w:spacing w:line="360" w:lineRule="auto"/>
        <w:jc w:val="both"/>
        <w:rPr>
          <w:rFonts w:ascii="Palatino Linotype" w:eastAsia="Palatino Linotype" w:hAnsi="Palatino Linotype" w:cs="Palatino Linotype"/>
          <w:b/>
        </w:rPr>
      </w:pPr>
      <w:r w:rsidRPr="00004F28">
        <w:rPr>
          <w:rFonts w:ascii="Palatino Linotype" w:eastAsia="Palatino Linotype" w:hAnsi="Palatino Linotype" w:cs="Palatino Linotype"/>
        </w:rPr>
        <w:t xml:space="preserve">De las constancias que obran en el expediente electrónico del SAIMEX  se advierte en fecha treinta y uno de agosto de dos mil veintidós el turno de requerimiento realizado por </w:t>
      </w:r>
      <w:r w:rsidRPr="00004F28">
        <w:rPr>
          <w:rFonts w:ascii="Palatino Linotype" w:eastAsia="Palatino Linotype" w:hAnsi="Palatino Linotype" w:cs="Palatino Linotype"/>
          <w:color w:val="000000"/>
        </w:rPr>
        <w:t xml:space="preserve">el Titular de la Unidad de Transparencia del </w:t>
      </w:r>
      <w:r w:rsidRPr="00004F28">
        <w:rPr>
          <w:rFonts w:ascii="Palatino Linotype" w:eastAsia="Palatino Linotype" w:hAnsi="Palatino Linotype" w:cs="Palatino Linotype"/>
          <w:b/>
          <w:color w:val="000000"/>
        </w:rPr>
        <w:t>SUJETO OBLIGADO</w:t>
      </w:r>
      <w:r w:rsidRPr="00004F28">
        <w:rPr>
          <w:rFonts w:ascii="Palatino Linotype" w:eastAsia="Palatino Linotype" w:hAnsi="Palatino Linotype" w:cs="Palatino Linotype"/>
          <w:color w:val="000000"/>
        </w:rPr>
        <w:t>,</w:t>
      </w:r>
      <w:r w:rsidRPr="00004F28">
        <w:rPr>
          <w:rFonts w:ascii="Palatino Linotype" w:eastAsia="Palatino Linotype" w:hAnsi="Palatino Linotype" w:cs="Palatino Linotype"/>
        </w:rPr>
        <w:t xml:space="preserve"> en cumplimiento al artículo 162 de la Ley de Transparencia y Acceso a la Información Pública del Estado de México y Municipios. </w:t>
      </w:r>
    </w:p>
    <w:p w:rsidR="001668B9" w:rsidRPr="00004F28" w:rsidRDefault="001668B9">
      <w:pPr>
        <w:spacing w:line="360" w:lineRule="auto"/>
        <w:jc w:val="both"/>
        <w:rPr>
          <w:rFonts w:ascii="Palatino Linotype" w:eastAsia="Palatino Linotype" w:hAnsi="Palatino Linotype" w:cs="Palatino Linotype"/>
          <w:b/>
          <w:sz w:val="28"/>
          <w:szCs w:val="28"/>
        </w:rPr>
      </w:pPr>
    </w:p>
    <w:p w:rsidR="001668B9" w:rsidRPr="00004F28" w:rsidRDefault="00C95825">
      <w:pPr>
        <w:spacing w:line="360" w:lineRule="auto"/>
        <w:jc w:val="both"/>
        <w:rPr>
          <w:rFonts w:ascii="Palatino Linotype" w:eastAsia="Palatino Linotype" w:hAnsi="Palatino Linotype" w:cs="Palatino Linotype"/>
          <w:b/>
          <w:sz w:val="28"/>
          <w:szCs w:val="28"/>
        </w:rPr>
      </w:pPr>
      <w:r w:rsidRPr="00004F28">
        <w:rPr>
          <w:rFonts w:ascii="Palatino Linotype" w:eastAsia="Palatino Linotype" w:hAnsi="Palatino Linotype" w:cs="Palatino Linotype"/>
          <w:b/>
          <w:sz w:val="28"/>
          <w:szCs w:val="28"/>
        </w:rPr>
        <w:t>III. Falta de Respuesta del Sujeto Obligado</w:t>
      </w:r>
    </w:p>
    <w:p w:rsidR="001668B9" w:rsidRPr="00004F28" w:rsidRDefault="00C95825">
      <w:pPr>
        <w:spacing w:line="360" w:lineRule="auto"/>
        <w:jc w:val="both"/>
        <w:rPr>
          <w:rFonts w:ascii="Palatino Linotype" w:eastAsia="Palatino Linotype" w:hAnsi="Palatino Linotype" w:cs="Palatino Linotype"/>
        </w:rPr>
      </w:pPr>
      <w:r w:rsidRPr="00004F28">
        <w:rPr>
          <w:rFonts w:ascii="Palatino Linotype" w:eastAsia="Palatino Linotype" w:hAnsi="Palatino Linotype" w:cs="Palatino Linotype"/>
        </w:rPr>
        <w:t xml:space="preserve">De las constancias que obran en el expediente electrónico del SAIMEX se advierte que </w:t>
      </w:r>
      <w:r w:rsidRPr="00004F28">
        <w:rPr>
          <w:rFonts w:ascii="Palatino Linotype" w:eastAsia="Palatino Linotype" w:hAnsi="Palatino Linotype" w:cs="Palatino Linotype"/>
          <w:b/>
        </w:rPr>
        <w:t>EL SUJETO OBLIGADO</w:t>
      </w:r>
      <w:r w:rsidRPr="00004F28">
        <w:rPr>
          <w:rFonts w:ascii="Palatino Linotype" w:eastAsia="Palatino Linotype" w:hAnsi="Palatino Linotype" w:cs="Palatino Linotype"/>
        </w:rPr>
        <w:t xml:space="preserve"> fue omiso en dar respuesta a la solicitud de acceso a la información pública.  </w:t>
      </w:r>
    </w:p>
    <w:p w:rsidR="001668B9" w:rsidRPr="00004F28" w:rsidRDefault="00C95825">
      <w:pPr>
        <w:pBdr>
          <w:top w:val="nil"/>
          <w:left w:val="nil"/>
          <w:bottom w:val="nil"/>
          <w:right w:val="nil"/>
          <w:between w:val="nil"/>
        </w:pBdr>
        <w:tabs>
          <w:tab w:val="left" w:pos="709"/>
        </w:tabs>
        <w:spacing w:line="360" w:lineRule="auto"/>
        <w:jc w:val="both"/>
        <w:rPr>
          <w:rFonts w:ascii="Palatino Linotype" w:eastAsia="Palatino Linotype" w:hAnsi="Palatino Linotype" w:cs="Palatino Linotype"/>
        </w:rPr>
      </w:pPr>
      <w:r w:rsidRPr="00004F28">
        <w:rPr>
          <w:rFonts w:ascii="Palatino Linotype" w:eastAsia="Palatino Linotype" w:hAnsi="Palatino Linotype" w:cs="Palatino Linotype"/>
        </w:rPr>
        <w:t xml:space="preserve"> </w:t>
      </w:r>
    </w:p>
    <w:p w:rsidR="001668B9" w:rsidRPr="00004F28" w:rsidRDefault="00C95825">
      <w:p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color w:val="000000"/>
        </w:rPr>
      </w:pPr>
      <w:r w:rsidRPr="00004F28">
        <w:rPr>
          <w:rFonts w:ascii="Palatino Linotype" w:eastAsia="Palatino Linotype" w:hAnsi="Palatino Linotype" w:cs="Palatino Linotype"/>
          <w:b/>
          <w:color w:val="000000"/>
          <w:sz w:val="28"/>
          <w:szCs w:val="28"/>
        </w:rPr>
        <w:t>IV. Del Recurso Revisión</w:t>
      </w:r>
    </w:p>
    <w:p w:rsidR="001668B9" w:rsidRPr="00004F28" w:rsidRDefault="00C95825">
      <w:pPr>
        <w:spacing w:line="360" w:lineRule="auto"/>
        <w:jc w:val="both"/>
        <w:rPr>
          <w:rFonts w:ascii="Palatino Linotype" w:eastAsia="Palatino Linotype" w:hAnsi="Palatino Linotype" w:cs="Palatino Linotype"/>
          <w:color w:val="000000"/>
        </w:rPr>
      </w:pPr>
      <w:r w:rsidRPr="00004F28">
        <w:rPr>
          <w:rFonts w:ascii="Palatino Linotype" w:eastAsia="Palatino Linotype" w:hAnsi="Palatino Linotype" w:cs="Palatino Linotype"/>
          <w:color w:val="000000"/>
        </w:rPr>
        <w:t xml:space="preserve">Inconforme con la falta de respuesta, en fecha </w:t>
      </w:r>
      <w:r w:rsidRPr="00004F28">
        <w:rPr>
          <w:rFonts w:ascii="Palatino Linotype" w:eastAsia="Palatino Linotype" w:hAnsi="Palatino Linotype" w:cs="Palatino Linotype"/>
          <w:b/>
        </w:rPr>
        <w:t xml:space="preserve">veinte de septiembre </w:t>
      </w:r>
      <w:r w:rsidRPr="00004F28">
        <w:rPr>
          <w:rFonts w:ascii="Palatino Linotype" w:eastAsia="Palatino Linotype" w:hAnsi="Palatino Linotype" w:cs="Palatino Linotype"/>
          <w:b/>
          <w:color w:val="000000"/>
        </w:rPr>
        <w:t>de dos mil veintidós</w:t>
      </w:r>
      <w:r w:rsidRPr="00004F28">
        <w:rPr>
          <w:rFonts w:ascii="Palatino Linotype" w:eastAsia="Palatino Linotype" w:hAnsi="Palatino Linotype" w:cs="Palatino Linotype"/>
          <w:color w:val="000000"/>
        </w:rPr>
        <w:t xml:space="preserve">, </w:t>
      </w:r>
      <w:r w:rsidRPr="00004F28">
        <w:rPr>
          <w:rFonts w:ascii="Palatino Linotype" w:eastAsia="Palatino Linotype" w:hAnsi="Palatino Linotype" w:cs="Palatino Linotype"/>
          <w:b/>
        </w:rPr>
        <w:t>EL</w:t>
      </w:r>
      <w:r w:rsidRPr="00004F28">
        <w:rPr>
          <w:rFonts w:ascii="Palatino Linotype" w:eastAsia="Palatino Linotype" w:hAnsi="Palatino Linotype" w:cs="Palatino Linotype"/>
          <w:b/>
          <w:color w:val="000000"/>
        </w:rPr>
        <w:t xml:space="preserve"> RECURRENTE </w:t>
      </w:r>
      <w:r w:rsidRPr="00004F28">
        <w:rPr>
          <w:rFonts w:ascii="Palatino Linotype" w:eastAsia="Palatino Linotype" w:hAnsi="Palatino Linotype" w:cs="Palatino Linotype"/>
          <w:color w:val="000000"/>
        </w:rPr>
        <w:t xml:space="preserve">interpuso el Recurso Revisión sujeto del presente estudio, </w:t>
      </w:r>
      <w:r w:rsidRPr="00004F28">
        <w:rPr>
          <w:rFonts w:ascii="Palatino Linotype" w:eastAsia="Palatino Linotype" w:hAnsi="Palatino Linotype" w:cs="Palatino Linotype"/>
        </w:rPr>
        <w:t xml:space="preserve">el </w:t>
      </w:r>
      <w:r w:rsidRPr="00004F28">
        <w:rPr>
          <w:rFonts w:ascii="Palatino Linotype" w:eastAsia="Palatino Linotype" w:hAnsi="Palatino Linotype" w:cs="Palatino Linotype"/>
          <w:color w:val="000000"/>
        </w:rPr>
        <w:t xml:space="preserve">cual fue registrado en </w:t>
      </w:r>
      <w:r w:rsidRPr="00004F28">
        <w:rPr>
          <w:rFonts w:ascii="Palatino Linotype" w:eastAsia="Palatino Linotype" w:hAnsi="Palatino Linotype" w:cs="Palatino Linotype"/>
          <w:b/>
          <w:color w:val="000000"/>
        </w:rPr>
        <w:t xml:space="preserve">EL SAIMEX, </w:t>
      </w:r>
      <w:r w:rsidRPr="00004F28">
        <w:rPr>
          <w:rFonts w:ascii="Palatino Linotype" w:eastAsia="Palatino Linotype" w:hAnsi="Palatino Linotype" w:cs="Palatino Linotype"/>
          <w:color w:val="000000"/>
        </w:rPr>
        <w:t xml:space="preserve">al que se le asignó el número de expediente </w:t>
      </w:r>
      <w:r w:rsidRPr="00004F28">
        <w:rPr>
          <w:rFonts w:ascii="Palatino Linotype" w:eastAsia="Palatino Linotype" w:hAnsi="Palatino Linotype" w:cs="Palatino Linotype"/>
          <w:b/>
          <w:color w:val="000000"/>
        </w:rPr>
        <w:t>1</w:t>
      </w:r>
      <w:r w:rsidRPr="00004F28">
        <w:rPr>
          <w:rFonts w:ascii="Palatino Linotype" w:eastAsia="Palatino Linotype" w:hAnsi="Palatino Linotype" w:cs="Palatino Linotype"/>
          <w:b/>
        </w:rPr>
        <w:t>4912</w:t>
      </w:r>
      <w:r w:rsidRPr="00004F28">
        <w:rPr>
          <w:rFonts w:ascii="Palatino Linotype" w:eastAsia="Palatino Linotype" w:hAnsi="Palatino Linotype" w:cs="Palatino Linotype"/>
          <w:b/>
          <w:color w:val="000000"/>
        </w:rPr>
        <w:t xml:space="preserve">/INFOEM/IP/RR/2022, </w:t>
      </w:r>
      <w:r w:rsidRPr="00004F28">
        <w:rPr>
          <w:rFonts w:ascii="Palatino Linotype" w:eastAsia="Palatino Linotype" w:hAnsi="Palatino Linotype" w:cs="Palatino Linotype"/>
          <w:color w:val="000000"/>
        </w:rPr>
        <w:t>en el que señaló como:</w:t>
      </w:r>
    </w:p>
    <w:p w:rsidR="001668B9" w:rsidRPr="00004F28" w:rsidRDefault="001668B9">
      <w:pPr>
        <w:spacing w:line="360" w:lineRule="auto"/>
        <w:jc w:val="both"/>
        <w:rPr>
          <w:rFonts w:ascii="Palatino Linotype" w:eastAsia="Palatino Linotype" w:hAnsi="Palatino Linotype" w:cs="Palatino Linotype"/>
          <w:color w:val="000000"/>
        </w:rPr>
      </w:pPr>
    </w:p>
    <w:p w:rsidR="001668B9" w:rsidRPr="00004F28" w:rsidRDefault="00C95825">
      <w:pPr>
        <w:spacing w:line="360" w:lineRule="auto"/>
        <w:jc w:val="both"/>
        <w:rPr>
          <w:rFonts w:ascii="Palatino Linotype" w:eastAsia="Palatino Linotype" w:hAnsi="Palatino Linotype" w:cs="Palatino Linotype"/>
        </w:rPr>
      </w:pPr>
      <w:r w:rsidRPr="00004F28">
        <w:rPr>
          <w:rFonts w:ascii="Palatino Linotype" w:eastAsia="Palatino Linotype" w:hAnsi="Palatino Linotype" w:cs="Palatino Linotype"/>
          <w:b/>
        </w:rPr>
        <w:t xml:space="preserve">Acto Impugnado: </w:t>
      </w:r>
    </w:p>
    <w:p w:rsidR="001668B9" w:rsidRPr="00004F28" w:rsidRDefault="00C95825">
      <w:pPr>
        <w:tabs>
          <w:tab w:val="left" w:pos="7936"/>
        </w:tabs>
        <w:ind w:left="851" w:right="902"/>
        <w:jc w:val="both"/>
        <w:rPr>
          <w:rFonts w:ascii="Palatino Linotype" w:eastAsia="Palatino Linotype" w:hAnsi="Palatino Linotype" w:cs="Palatino Linotype"/>
          <w:i/>
          <w:sz w:val="22"/>
          <w:szCs w:val="22"/>
        </w:rPr>
      </w:pPr>
      <w:r w:rsidRPr="00004F28">
        <w:rPr>
          <w:rFonts w:ascii="Palatino Linotype" w:eastAsia="Palatino Linotype" w:hAnsi="Palatino Linotype" w:cs="Palatino Linotype"/>
          <w:i/>
          <w:sz w:val="22"/>
          <w:szCs w:val="22"/>
        </w:rPr>
        <w:t>“no entrega la información solicitada.” (Sic)</w:t>
      </w:r>
    </w:p>
    <w:p w:rsidR="001668B9" w:rsidRPr="00004F28" w:rsidRDefault="00C95825">
      <w:pPr>
        <w:pBdr>
          <w:top w:val="nil"/>
          <w:left w:val="nil"/>
          <w:bottom w:val="nil"/>
          <w:right w:val="nil"/>
          <w:between w:val="nil"/>
        </w:pBdr>
        <w:spacing w:before="280" w:after="280" w:line="360" w:lineRule="auto"/>
        <w:jc w:val="both"/>
        <w:rPr>
          <w:rFonts w:ascii="Palatino Linotype" w:eastAsia="Palatino Linotype" w:hAnsi="Palatino Linotype" w:cs="Palatino Linotype"/>
          <w:color w:val="000000"/>
        </w:rPr>
      </w:pPr>
      <w:r w:rsidRPr="00004F28">
        <w:rPr>
          <w:rFonts w:ascii="Palatino Linotype" w:eastAsia="Palatino Linotype" w:hAnsi="Palatino Linotype" w:cs="Palatino Linotype"/>
          <w:b/>
          <w:color w:val="000000"/>
        </w:rPr>
        <w:t>Así como Razones o Motivos de Inconformidad:</w:t>
      </w:r>
    </w:p>
    <w:p w:rsidR="001668B9" w:rsidRPr="00004F28" w:rsidRDefault="00C95825">
      <w:pPr>
        <w:ind w:left="851" w:right="899"/>
        <w:jc w:val="both"/>
        <w:rPr>
          <w:rFonts w:ascii="Palatino Linotype" w:eastAsia="Palatino Linotype" w:hAnsi="Palatino Linotype" w:cs="Palatino Linotype"/>
          <w:color w:val="000000"/>
        </w:rPr>
      </w:pPr>
      <w:r w:rsidRPr="00004F28">
        <w:rPr>
          <w:rFonts w:ascii="Palatino Linotype" w:eastAsia="Palatino Linotype" w:hAnsi="Palatino Linotype" w:cs="Palatino Linotype"/>
          <w:i/>
          <w:sz w:val="22"/>
          <w:szCs w:val="22"/>
        </w:rPr>
        <w:t>“no entrega la información solicitada.” (Sic)</w:t>
      </w:r>
    </w:p>
    <w:p w:rsidR="001668B9" w:rsidRPr="00004F28" w:rsidRDefault="001668B9">
      <w:pPr>
        <w:spacing w:line="360" w:lineRule="auto"/>
        <w:jc w:val="both"/>
        <w:rPr>
          <w:rFonts w:ascii="Palatino Linotype" w:eastAsia="Palatino Linotype" w:hAnsi="Palatino Linotype" w:cs="Palatino Linotype"/>
          <w:b/>
          <w:sz w:val="28"/>
          <w:szCs w:val="28"/>
        </w:rPr>
      </w:pPr>
    </w:p>
    <w:p w:rsidR="001668B9" w:rsidRPr="00004F28" w:rsidRDefault="00C95825">
      <w:pPr>
        <w:spacing w:line="360" w:lineRule="auto"/>
        <w:jc w:val="both"/>
        <w:rPr>
          <w:rFonts w:ascii="Palatino Linotype" w:eastAsia="Palatino Linotype" w:hAnsi="Palatino Linotype" w:cs="Palatino Linotype"/>
          <w:b/>
          <w:color w:val="000000"/>
          <w:sz w:val="28"/>
          <w:szCs w:val="28"/>
        </w:rPr>
      </w:pPr>
      <w:r w:rsidRPr="00004F28">
        <w:rPr>
          <w:rFonts w:ascii="Palatino Linotype" w:eastAsia="Palatino Linotype" w:hAnsi="Palatino Linotype" w:cs="Palatino Linotype"/>
          <w:b/>
          <w:color w:val="000000"/>
          <w:sz w:val="28"/>
          <w:szCs w:val="28"/>
        </w:rPr>
        <w:lastRenderedPageBreak/>
        <w:t xml:space="preserve">V. </w:t>
      </w:r>
      <w:r w:rsidRPr="00004F28">
        <w:rPr>
          <w:rFonts w:ascii="Palatino Linotype" w:eastAsia="Palatino Linotype" w:hAnsi="Palatino Linotype" w:cs="Palatino Linotype"/>
          <w:b/>
          <w:sz w:val="28"/>
          <w:szCs w:val="28"/>
        </w:rPr>
        <w:t>Del turno del Recurso Revisión</w:t>
      </w:r>
    </w:p>
    <w:p w:rsidR="001668B9" w:rsidRPr="00004F28" w:rsidRDefault="00C95825">
      <w:pPr>
        <w:spacing w:line="360" w:lineRule="auto"/>
        <w:jc w:val="both"/>
        <w:rPr>
          <w:rFonts w:ascii="Palatino Linotype" w:eastAsia="Palatino Linotype" w:hAnsi="Palatino Linotype" w:cs="Palatino Linotype"/>
          <w:color w:val="000000"/>
        </w:rPr>
      </w:pPr>
      <w:r w:rsidRPr="00004F28">
        <w:rPr>
          <w:rFonts w:ascii="Palatino Linotype" w:eastAsia="Palatino Linotype" w:hAnsi="Palatino Linotype" w:cs="Palatino Linotype"/>
          <w:color w:val="000000"/>
        </w:rPr>
        <w:t xml:space="preserve">En </w:t>
      </w:r>
      <w:r w:rsidRPr="00004F28">
        <w:rPr>
          <w:rFonts w:ascii="Palatino Linotype" w:eastAsia="Palatino Linotype" w:hAnsi="Palatino Linotype" w:cs="Palatino Linotype"/>
        </w:rPr>
        <w:t xml:space="preserve">fecha </w:t>
      </w:r>
      <w:r w:rsidRPr="00004F28">
        <w:rPr>
          <w:rFonts w:ascii="Palatino Linotype" w:eastAsia="Palatino Linotype" w:hAnsi="Palatino Linotype" w:cs="Palatino Linotype"/>
          <w:b/>
        </w:rPr>
        <w:t>veinte de septiembre</w:t>
      </w:r>
      <w:r w:rsidRPr="00004F28">
        <w:rPr>
          <w:rFonts w:ascii="Palatino Linotype" w:eastAsia="Palatino Linotype" w:hAnsi="Palatino Linotype" w:cs="Palatino Linotype"/>
        </w:rPr>
        <w:t xml:space="preserve"> </w:t>
      </w:r>
      <w:r w:rsidRPr="00004F28">
        <w:rPr>
          <w:rFonts w:ascii="Palatino Linotype" w:eastAsia="Palatino Linotype" w:hAnsi="Palatino Linotype" w:cs="Palatino Linotype"/>
          <w:b/>
          <w:color w:val="000000"/>
        </w:rPr>
        <w:t>de dos mil veintidós</w:t>
      </w:r>
      <w:r w:rsidRPr="00004F28">
        <w:rPr>
          <w:rFonts w:ascii="Palatino Linotype" w:eastAsia="Palatino Linotype" w:hAnsi="Palatino Linotype" w:cs="Palatino Linotype"/>
          <w:color w:val="000000"/>
        </w:rPr>
        <w:t xml:space="preserve">, el recurso que se trata se envió electrónicamente al Instituto de Transparencia, Acceso a la Información Pública y Protección de Datos Personales del Estado de México y Municipios; por lo que, con fundamento en el artículo 185, fracción I de la Ley de Transparencia y Acceso a la Información Pública del Estado de México y Municipios, se turnó mediante </w:t>
      </w:r>
      <w:r w:rsidRPr="00004F28">
        <w:rPr>
          <w:rFonts w:ascii="Palatino Linotype" w:eastAsia="Palatino Linotype" w:hAnsi="Palatino Linotype" w:cs="Palatino Linotype"/>
          <w:b/>
          <w:color w:val="000000"/>
        </w:rPr>
        <w:t>EL SAIMEX</w:t>
      </w:r>
      <w:r w:rsidRPr="00004F28">
        <w:rPr>
          <w:rFonts w:ascii="Palatino Linotype" w:eastAsia="Palatino Linotype" w:hAnsi="Palatino Linotype" w:cs="Palatino Linotype"/>
          <w:color w:val="000000"/>
        </w:rPr>
        <w:t xml:space="preserve">, a la </w:t>
      </w:r>
      <w:r w:rsidRPr="00004F28">
        <w:rPr>
          <w:rFonts w:ascii="Palatino Linotype" w:eastAsia="Palatino Linotype" w:hAnsi="Palatino Linotype" w:cs="Palatino Linotype"/>
          <w:b/>
          <w:color w:val="000000"/>
        </w:rPr>
        <w:t xml:space="preserve">Comisionada Sharon Cristina Morales Martínez </w:t>
      </w:r>
      <w:r w:rsidRPr="00004F28">
        <w:rPr>
          <w:rFonts w:ascii="Palatino Linotype" w:eastAsia="Palatino Linotype" w:hAnsi="Palatino Linotype" w:cs="Palatino Linotype"/>
          <w:color w:val="000000"/>
        </w:rPr>
        <w:t>a efecto de decretar su admisión o desechamiento.</w:t>
      </w:r>
    </w:p>
    <w:p w:rsidR="001668B9" w:rsidRPr="00004F28" w:rsidRDefault="001668B9">
      <w:pPr>
        <w:spacing w:line="360" w:lineRule="auto"/>
        <w:jc w:val="both"/>
        <w:rPr>
          <w:rFonts w:ascii="Palatino Linotype" w:eastAsia="Palatino Linotype" w:hAnsi="Palatino Linotype" w:cs="Palatino Linotype"/>
          <w:color w:val="000000"/>
        </w:rPr>
      </w:pPr>
    </w:p>
    <w:p w:rsidR="001668B9" w:rsidRPr="00004F28" w:rsidRDefault="00C95825">
      <w:pPr>
        <w:tabs>
          <w:tab w:val="center" w:pos="4252"/>
          <w:tab w:val="right" w:pos="8504"/>
        </w:tabs>
        <w:spacing w:line="360" w:lineRule="auto"/>
        <w:jc w:val="both"/>
        <w:rPr>
          <w:rFonts w:ascii="Palatino Linotype" w:eastAsia="Palatino Linotype" w:hAnsi="Palatino Linotype" w:cs="Palatino Linotype"/>
          <w:b/>
          <w:color w:val="000000"/>
        </w:rPr>
      </w:pPr>
      <w:r w:rsidRPr="00004F28">
        <w:rPr>
          <w:rFonts w:ascii="Palatino Linotype" w:eastAsia="Palatino Linotype" w:hAnsi="Palatino Linotype" w:cs="Palatino Linotype"/>
          <w:b/>
          <w:color w:val="000000"/>
        </w:rPr>
        <w:t>a) Admisión del Recurso Revisión</w:t>
      </w:r>
    </w:p>
    <w:p w:rsidR="001668B9" w:rsidRPr="00004F28" w:rsidRDefault="00C95825">
      <w:pPr>
        <w:tabs>
          <w:tab w:val="center" w:pos="4252"/>
          <w:tab w:val="right" w:pos="8504"/>
        </w:tabs>
        <w:spacing w:line="360" w:lineRule="auto"/>
        <w:jc w:val="both"/>
        <w:rPr>
          <w:rFonts w:ascii="Palatino Linotype" w:eastAsia="Palatino Linotype" w:hAnsi="Palatino Linotype" w:cs="Palatino Linotype"/>
          <w:color w:val="000000"/>
        </w:rPr>
      </w:pPr>
      <w:r w:rsidRPr="00004F28">
        <w:rPr>
          <w:rFonts w:ascii="Palatino Linotype" w:eastAsia="Palatino Linotype" w:hAnsi="Palatino Linotype" w:cs="Palatino Linotype"/>
          <w:color w:val="000000"/>
        </w:rPr>
        <w:t>De las constancias del expediente electrónico del</w:t>
      </w:r>
      <w:r w:rsidRPr="00004F28">
        <w:rPr>
          <w:rFonts w:ascii="Palatino Linotype" w:eastAsia="Palatino Linotype" w:hAnsi="Palatino Linotype" w:cs="Palatino Linotype"/>
          <w:b/>
          <w:color w:val="000000"/>
        </w:rPr>
        <w:t xml:space="preserve"> SAIMEX</w:t>
      </w:r>
      <w:r w:rsidRPr="00004F28">
        <w:rPr>
          <w:rFonts w:ascii="Palatino Linotype" w:eastAsia="Palatino Linotype" w:hAnsi="Palatino Linotype" w:cs="Palatino Linotype"/>
          <w:color w:val="000000"/>
        </w:rPr>
        <w:t>, se advierte que el</w:t>
      </w:r>
      <w:r w:rsidRPr="00004F28">
        <w:rPr>
          <w:rFonts w:ascii="Palatino Linotype" w:eastAsia="Palatino Linotype" w:hAnsi="Palatino Linotype" w:cs="Palatino Linotype"/>
        </w:rPr>
        <w:t xml:space="preserve"> </w:t>
      </w:r>
      <w:r w:rsidRPr="00004F28">
        <w:rPr>
          <w:rFonts w:ascii="Palatino Linotype" w:eastAsia="Palatino Linotype" w:hAnsi="Palatino Linotype" w:cs="Palatino Linotype"/>
          <w:b/>
        </w:rPr>
        <w:t xml:space="preserve">veintiuno de septiembre </w:t>
      </w:r>
      <w:r w:rsidRPr="00004F28">
        <w:rPr>
          <w:rFonts w:ascii="Palatino Linotype" w:eastAsia="Palatino Linotype" w:hAnsi="Palatino Linotype" w:cs="Palatino Linotype"/>
          <w:b/>
          <w:color w:val="000000"/>
        </w:rPr>
        <w:t>de dos mil veintidós</w:t>
      </w:r>
      <w:r w:rsidRPr="00004F28">
        <w:rPr>
          <w:rFonts w:ascii="Palatino Linotype" w:eastAsia="Palatino Linotype" w:hAnsi="Palatino Linotype" w:cs="Palatino Linotype"/>
          <w:color w:val="000000"/>
        </w:rPr>
        <w:t xml:space="preserve">, se acordó la admisión a trámite del Recurso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w:t>
      </w:r>
      <w:r w:rsidRPr="00004F28">
        <w:rPr>
          <w:rFonts w:ascii="Palatino Linotype" w:eastAsia="Palatino Linotype" w:hAnsi="Palatino Linotype" w:cs="Palatino Linotype"/>
          <w:b/>
        </w:rPr>
        <w:t>EL</w:t>
      </w:r>
      <w:r w:rsidRPr="00004F28">
        <w:rPr>
          <w:rFonts w:ascii="Palatino Linotype" w:eastAsia="Palatino Linotype" w:hAnsi="Palatino Linotype" w:cs="Palatino Linotype"/>
          <w:b/>
          <w:color w:val="000000"/>
        </w:rPr>
        <w:t xml:space="preserve"> RECURRENTE </w:t>
      </w:r>
      <w:r w:rsidRPr="00004F28">
        <w:rPr>
          <w:rFonts w:ascii="Palatino Linotype" w:eastAsia="Palatino Linotype" w:hAnsi="Palatino Linotype" w:cs="Palatino Linotype"/>
          <w:color w:val="000000"/>
        </w:rPr>
        <w:t xml:space="preserve">manifestara lo que a su derecho conviniera, a efecto de presentar pruebas o alegatos y, en su caso, </w:t>
      </w:r>
      <w:r w:rsidRPr="00004F28">
        <w:rPr>
          <w:rFonts w:ascii="Palatino Linotype" w:eastAsia="Palatino Linotype" w:hAnsi="Palatino Linotype" w:cs="Palatino Linotype"/>
          <w:b/>
          <w:color w:val="000000"/>
        </w:rPr>
        <w:t xml:space="preserve">EL SUJETO OBLIGADO </w:t>
      </w:r>
      <w:r w:rsidRPr="00004F28">
        <w:rPr>
          <w:rFonts w:ascii="Palatino Linotype" w:eastAsia="Palatino Linotype" w:hAnsi="Palatino Linotype" w:cs="Palatino Linotype"/>
          <w:color w:val="000000"/>
        </w:rPr>
        <w:t>rindiera su correspondiente Informe Justificado.</w:t>
      </w:r>
    </w:p>
    <w:p w:rsidR="001668B9" w:rsidRPr="00004F28" w:rsidRDefault="001668B9">
      <w:pPr>
        <w:tabs>
          <w:tab w:val="center" w:pos="4252"/>
          <w:tab w:val="right" w:pos="8504"/>
        </w:tabs>
        <w:spacing w:line="360" w:lineRule="auto"/>
        <w:jc w:val="both"/>
        <w:rPr>
          <w:rFonts w:ascii="Palatino Linotype" w:eastAsia="Palatino Linotype" w:hAnsi="Palatino Linotype" w:cs="Palatino Linotype"/>
          <w:color w:val="000000"/>
        </w:rPr>
      </w:pPr>
    </w:p>
    <w:p w:rsidR="001668B9" w:rsidRPr="00004F28" w:rsidRDefault="00C95825">
      <w:pPr>
        <w:spacing w:line="360" w:lineRule="auto"/>
        <w:jc w:val="both"/>
        <w:rPr>
          <w:rFonts w:ascii="Palatino Linotype" w:eastAsia="Palatino Linotype" w:hAnsi="Palatino Linotype" w:cs="Palatino Linotype"/>
          <w:b/>
          <w:color w:val="000000"/>
        </w:rPr>
      </w:pPr>
      <w:r w:rsidRPr="00004F28">
        <w:rPr>
          <w:rFonts w:ascii="Palatino Linotype" w:eastAsia="Palatino Linotype" w:hAnsi="Palatino Linotype" w:cs="Palatino Linotype"/>
          <w:b/>
          <w:color w:val="000000"/>
        </w:rPr>
        <w:t xml:space="preserve">b) </w:t>
      </w:r>
      <w:r w:rsidRPr="00004F28">
        <w:rPr>
          <w:rFonts w:ascii="Palatino Linotype" w:eastAsia="Palatino Linotype" w:hAnsi="Palatino Linotype" w:cs="Palatino Linotype"/>
          <w:b/>
        </w:rPr>
        <w:t xml:space="preserve">Manifestaciones </w:t>
      </w:r>
    </w:p>
    <w:p w:rsidR="001668B9" w:rsidRPr="00004F28" w:rsidRDefault="00C95825">
      <w:pPr>
        <w:spacing w:line="360" w:lineRule="auto"/>
        <w:jc w:val="both"/>
        <w:rPr>
          <w:rFonts w:ascii="Palatino Linotype" w:eastAsia="Palatino Linotype" w:hAnsi="Palatino Linotype" w:cs="Palatino Linotype"/>
        </w:rPr>
      </w:pPr>
      <w:r w:rsidRPr="00004F28">
        <w:rPr>
          <w:rFonts w:ascii="Palatino Linotype" w:eastAsia="Palatino Linotype" w:hAnsi="Palatino Linotype" w:cs="Palatino Linotype"/>
        </w:rPr>
        <w:t xml:space="preserve">De acuerdo a las constancias digitales que obran en </w:t>
      </w:r>
      <w:r w:rsidRPr="00004F28">
        <w:rPr>
          <w:rFonts w:ascii="Palatino Linotype" w:eastAsia="Palatino Linotype" w:hAnsi="Palatino Linotype" w:cs="Palatino Linotype"/>
          <w:b/>
        </w:rPr>
        <w:t>EL</w:t>
      </w:r>
      <w:r w:rsidRPr="00004F28">
        <w:rPr>
          <w:rFonts w:ascii="Palatino Linotype" w:eastAsia="Palatino Linotype" w:hAnsi="Palatino Linotype" w:cs="Palatino Linotype"/>
        </w:rPr>
        <w:t xml:space="preserve"> </w:t>
      </w:r>
      <w:r w:rsidRPr="00004F28">
        <w:rPr>
          <w:rFonts w:ascii="Palatino Linotype" w:eastAsia="Palatino Linotype" w:hAnsi="Palatino Linotype" w:cs="Palatino Linotype"/>
          <w:b/>
        </w:rPr>
        <w:t>SAIMEX</w:t>
      </w:r>
      <w:r w:rsidRPr="00004F28">
        <w:rPr>
          <w:rFonts w:ascii="Palatino Linotype" w:eastAsia="Palatino Linotype" w:hAnsi="Palatino Linotype" w:cs="Palatino Linotype"/>
        </w:rPr>
        <w:t xml:space="preserve"> se desprende que conforme a lo dispuesto en el artículo 185 de la Ley de Transparencia y Acceso a la Información Pública del Estado de México y Municipios, dentro del término legalmente concedido al </w:t>
      </w:r>
      <w:r w:rsidRPr="00004F28">
        <w:rPr>
          <w:rFonts w:ascii="Palatino Linotype" w:eastAsia="Palatino Linotype" w:hAnsi="Palatino Linotype" w:cs="Palatino Linotype"/>
          <w:b/>
        </w:rPr>
        <w:t>RECURRENTE</w:t>
      </w:r>
      <w:r w:rsidRPr="00004F28">
        <w:rPr>
          <w:rFonts w:ascii="Palatino Linotype" w:eastAsia="Palatino Linotype" w:hAnsi="Palatino Linotype" w:cs="Palatino Linotype"/>
        </w:rPr>
        <w:t>, éste no realizó manifestación alguna</w:t>
      </w:r>
    </w:p>
    <w:p w:rsidR="001668B9" w:rsidRPr="00004F28" w:rsidRDefault="00C95825">
      <w:pPr>
        <w:spacing w:line="360" w:lineRule="auto"/>
        <w:jc w:val="both"/>
        <w:rPr>
          <w:rFonts w:ascii="Palatino Linotype" w:eastAsia="Palatino Linotype" w:hAnsi="Palatino Linotype" w:cs="Palatino Linotype"/>
        </w:rPr>
      </w:pPr>
      <w:r w:rsidRPr="00004F28">
        <w:rPr>
          <w:rFonts w:ascii="Palatino Linotype" w:eastAsia="Palatino Linotype" w:hAnsi="Palatino Linotype" w:cs="Palatino Linotype"/>
        </w:rPr>
        <w:lastRenderedPageBreak/>
        <w:t xml:space="preserve"> Por su parte </w:t>
      </w:r>
      <w:r w:rsidRPr="00004F28">
        <w:rPr>
          <w:rFonts w:ascii="Palatino Linotype" w:eastAsia="Palatino Linotype" w:hAnsi="Palatino Linotype" w:cs="Palatino Linotype"/>
          <w:b/>
          <w:color w:val="000000"/>
        </w:rPr>
        <w:t xml:space="preserve">EL SUJETO OBLIGADO </w:t>
      </w:r>
      <w:r w:rsidRPr="00004F28">
        <w:rPr>
          <w:rFonts w:ascii="Palatino Linotype" w:eastAsia="Palatino Linotype" w:hAnsi="Palatino Linotype" w:cs="Palatino Linotype"/>
        </w:rPr>
        <w:t xml:space="preserve">remitió el archivo denominado </w:t>
      </w:r>
      <w:r w:rsidRPr="00004F28">
        <w:rPr>
          <w:rFonts w:ascii="Palatino Linotype" w:eastAsia="Palatino Linotype" w:hAnsi="Palatino Linotype" w:cs="Palatino Linotype"/>
          <w:i/>
        </w:rPr>
        <w:tab/>
        <w:t xml:space="preserve">respuesta de solicitud 765-22.pdf </w:t>
      </w:r>
      <w:r w:rsidRPr="00004F28">
        <w:rPr>
          <w:rFonts w:ascii="Palatino Linotype" w:eastAsia="Palatino Linotype" w:hAnsi="Palatino Linotype" w:cs="Palatino Linotype"/>
        </w:rPr>
        <w:t xml:space="preserve">del cual se observa el Informe Justificado emitido por el  Titular de la Unidad de Transparencia quien refiere que después de efectuar una búsqueda exhaustiva y razonable no se cuentan con manuales técnicos o materiales para usar los sistemas referidos por el particular.  </w:t>
      </w:r>
    </w:p>
    <w:p w:rsidR="001668B9" w:rsidRPr="00004F28" w:rsidRDefault="00C95825">
      <w:pPr>
        <w:spacing w:line="360" w:lineRule="auto"/>
        <w:jc w:val="both"/>
        <w:rPr>
          <w:rFonts w:ascii="Palatino Linotype" w:eastAsia="Palatino Linotype" w:hAnsi="Palatino Linotype" w:cs="Palatino Linotype"/>
        </w:rPr>
      </w:pPr>
      <w:r w:rsidRPr="00004F28">
        <w:rPr>
          <w:rFonts w:ascii="Palatino Linotype" w:eastAsia="Palatino Linotype" w:hAnsi="Palatino Linotype" w:cs="Palatino Linotype"/>
        </w:rPr>
        <w:t xml:space="preserve"> </w:t>
      </w:r>
    </w:p>
    <w:p w:rsidR="001668B9" w:rsidRPr="00004F28" w:rsidRDefault="00C95825">
      <w:pPr>
        <w:spacing w:line="360" w:lineRule="auto"/>
        <w:jc w:val="both"/>
        <w:rPr>
          <w:rFonts w:ascii="Palatino Linotype" w:eastAsia="Palatino Linotype" w:hAnsi="Palatino Linotype" w:cs="Palatino Linotype"/>
          <w:b/>
        </w:rPr>
      </w:pPr>
      <w:r w:rsidRPr="00004F28">
        <w:rPr>
          <w:rFonts w:ascii="Palatino Linotype" w:eastAsia="Palatino Linotype" w:hAnsi="Palatino Linotype" w:cs="Palatino Linotype"/>
          <w:b/>
        </w:rPr>
        <w:t xml:space="preserve">c) De la ampliación </w:t>
      </w:r>
    </w:p>
    <w:p w:rsidR="001668B9" w:rsidRPr="00004F28" w:rsidRDefault="00C95825">
      <w:p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rPr>
      </w:pPr>
      <w:r w:rsidRPr="00004F28">
        <w:rPr>
          <w:rFonts w:ascii="Palatino Linotype" w:eastAsia="Palatino Linotype" w:hAnsi="Palatino Linotype" w:cs="Palatino Linotype"/>
          <w:color w:val="000000"/>
        </w:rPr>
        <w:t xml:space="preserve">En fecha </w:t>
      </w:r>
      <w:r w:rsidRPr="00004F28">
        <w:rPr>
          <w:rFonts w:ascii="Palatino Linotype" w:eastAsia="Palatino Linotype" w:hAnsi="Palatino Linotype" w:cs="Palatino Linotype"/>
          <w:b/>
        </w:rPr>
        <w:t xml:space="preserve">siete de noviembre </w:t>
      </w:r>
      <w:r w:rsidRPr="00004F28">
        <w:rPr>
          <w:rFonts w:ascii="Palatino Linotype" w:eastAsia="Palatino Linotype" w:hAnsi="Palatino Linotype" w:cs="Palatino Linotype"/>
          <w:b/>
          <w:color w:val="000000"/>
        </w:rPr>
        <w:t>de dos mil veintidós</w:t>
      </w:r>
      <w:r w:rsidRPr="00004F28">
        <w:rPr>
          <w:rFonts w:ascii="Palatino Linotype" w:eastAsia="Palatino Linotype" w:hAnsi="Palatino Linotype" w:cs="Palatino Linotype"/>
          <w:color w:val="000000"/>
        </w:rPr>
        <w:t>, se notificó el acuerdo de ampliación de plazo para resolver el presente Recurso de Revisión, previsto en el artículo 181, tercer párrafo de la Ley de Transparencia y Acceso a la Información Pública del Estado de México y Municipios.</w:t>
      </w:r>
    </w:p>
    <w:p w:rsidR="001668B9" w:rsidRPr="00004F28" w:rsidRDefault="00C95825">
      <w:pPr>
        <w:spacing w:line="360" w:lineRule="auto"/>
        <w:jc w:val="both"/>
        <w:rPr>
          <w:rFonts w:ascii="Palatino Linotype" w:eastAsia="Palatino Linotype" w:hAnsi="Palatino Linotype" w:cs="Palatino Linotype"/>
        </w:rPr>
      </w:pPr>
      <w:r w:rsidRPr="00004F28">
        <w:rPr>
          <w:rFonts w:ascii="Palatino Linotype" w:eastAsia="Palatino Linotype" w:hAnsi="Palatino Linotype" w:cs="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001668B9" w:rsidRPr="00004F28" w:rsidRDefault="001668B9">
      <w:pPr>
        <w:spacing w:line="360" w:lineRule="auto"/>
        <w:jc w:val="both"/>
        <w:rPr>
          <w:rFonts w:ascii="Palatino Linotype" w:eastAsia="Palatino Linotype" w:hAnsi="Palatino Linotype" w:cs="Palatino Linotype"/>
        </w:rPr>
      </w:pPr>
    </w:p>
    <w:p w:rsidR="001668B9" w:rsidRPr="00004F28" w:rsidRDefault="00C95825">
      <w:pPr>
        <w:spacing w:line="360" w:lineRule="auto"/>
        <w:jc w:val="both"/>
        <w:rPr>
          <w:rFonts w:ascii="Palatino Linotype" w:eastAsia="Palatino Linotype" w:hAnsi="Palatino Linotype" w:cs="Palatino Linotype"/>
        </w:rPr>
      </w:pPr>
      <w:r w:rsidRPr="00004F28">
        <w:rPr>
          <w:rFonts w:ascii="Palatino Linotype" w:eastAsia="Palatino Linotype" w:hAnsi="Palatino Linotype" w:cs="Palatino Linotype"/>
        </w:rPr>
        <w:t xml:space="preserve">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w:t>
      </w:r>
      <w:r w:rsidRPr="00004F28">
        <w:rPr>
          <w:rFonts w:ascii="Palatino Linotype" w:eastAsia="Palatino Linotype" w:hAnsi="Palatino Linotype" w:cs="Palatino Linotype"/>
        </w:rPr>
        <w:lastRenderedPageBreak/>
        <w:t>jurisdiccionales federales, aplicables también en procedimientos análogos, como el que nos ocupa.</w:t>
      </w:r>
    </w:p>
    <w:p w:rsidR="001668B9" w:rsidRPr="00004F28" w:rsidRDefault="001668B9">
      <w:pPr>
        <w:spacing w:line="360" w:lineRule="auto"/>
        <w:jc w:val="both"/>
        <w:rPr>
          <w:rFonts w:ascii="Palatino Linotype" w:eastAsia="Palatino Linotype" w:hAnsi="Palatino Linotype" w:cs="Palatino Linotype"/>
        </w:rPr>
      </w:pPr>
    </w:p>
    <w:p w:rsidR="001668B9" w:rsidRPr="00004F28" w:rsidRDefault="00C95825">
      <w:pPr>
        <w:spacing w:line="360" w:lineRule="auto"/>
        <w:jc w:val="both"/>
        <w:rPr>
          <w:rFonts w:ascii="Palatino Linotype" w:eastAsia="Palatino Linotype" w:hAnsi="Palatino Linotype" w:cs="Palatino Linotype"/>
        </w:rPr>
      </w:pPr>
      <w:r w:rsidRPr="00004F28">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1668B9" w:rsidRPr="00004F28" w:rsidRDefault="001668B9">
      <w:pPr>
        <w:spacing w:line="360" w:lineRule="auto"/>
        <w:jc w:val="both"/>
        <w:rPr>
          <w:rFonts w:ascii="Palatino Linotype" w:eastAsia="Palatino Linotype" w:hAnsi="Palatino Linotype" w:cs="Palatino Linotype"/>
        </w:rPr>
      </w:pPr>
    </w:p>
    <w:p w:rsidR="001668B9" w:rsidRPr="00004F28" w:rsidRDefault="00C95825">
      <w:pPr>
        <w:spacing w:line="360" w:lineRule="auto"/>
        <w:jc w:val="both"/>
        <w:rPr>
          <w:rFonts w:ascii="Palatino Linotype" w:eastAsia="Palatino Linotype" w:hAnsi="Palatino Linotype" w:cs="Palatino Linotype"/>
        </w:rPr>
      </w:pPr>
      <w:r w:rsidRPr="00004F28">
        <w:rPr>
          <w:rFonts w:ascii="Palatino Linotype" w:eastAsia="Palatino Linotype" w:hAnsi="Palatino Linotype" w:cs="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001668B9" w:rsidRPr="00004F28" w:rsidRDefault="001668B9">
      <w:pPr>
        <w:spacing w:line="360" w:lineRule="auto"/>
        <w:jc w:val="both"/>
        <w:rPr>
          <w:rFonts w:ascii="Palatino Linotype" w:eastAsia="Palatino Linotype" w:hAnsi="Palatino Linotype" w:cs="Palatino Linotype"/>
        </w:rPr>
      </w:pPr>
    </w:p>
    <w:p w:rsidR="001668B9" w:rsidRPr="00004F28" w:rsidRDefault="00C95825">
      <w:pPr>
        <w:spacing w:line="360" w:lineRule="auto"/>
        <w:jc w:val="both"/>
        <w:rPr>
          <w:rFonts w:ascii="Palatino Linotype" w:eastAsia="Palatino Linotype" w:hAnsi="Palatino Linotype" w:cs="Palatino Linotype"/>
        </w:rPr>
      </w:pPr>
      <w:r w:rsidRPr="00004F28">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rsidR="001668B9" w:rsidRPr="00004F28" w:rsidRDefault="001668B9">
      <w:pPr>
        <w:spacing w:line="360" w:lineRule="auto"/>
        <w:jc w:val="both"/>
        <w:rPr>
          <w:rFonts w:ascii="Palatino Linotype" w:eastAsia="Palatino Linotype" w:hAnsi="Palatino Linotype" w:cs="Palatino Linotype"/>
        </w:rPr>
      </w:pPr>
    </w:p>
    <w:p w:rsidR="001668B9" w:rsidRPr="00004F28" w:rsidRDefault="00C95825">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004F28">
        <w:rPr>
          <w:rFonts w:ascii="Palatino Linotype" w:eastAsia="Palatino Linotype" w:hAnsi="Palatino Linotype" w:cs="Palatino Linotype"/>
          <w:color w:val="000000"/>
        </w:rPr>
        <w:t>Complejidad del asunto: La complejidad de la prueba, la pluralidad de sujetos procesales, el tiempo transcurrido, las características y contexto del recurso.</w:t>
      </w:r>
    </w:p>
    <w:p w:rsidR="001668B9" w:rsidRPr="00004F28" w:rsidRDefault="00C95825">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004F28">
        <w:rPr>
          <w:rFonts w:ascii="Palatino Linotype" w:eastAsia="Palatino Linotype" w:hAnsi="Palatino Linotype" w:cs="Palatino Linotype"/>
          <w:color w:val="000000"/>
        </w:rPr>
        <w:t>Actividad Procesal del interesado: Acciones u omisiones del interesado.</w:t>
      </w:r>
    </w:p>
    <w:p w:rsidR="001668B9" w:rsidRPr="00004F28" w:rsidRDefault="00C95825">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004F28">
        <w:rPr>
          <w:rFonts w:ascii="Palatino Linotype" w:eastAsia="Palatino Linotype" w:hAnsi="Palatino Linotype" w:cs="Palatino Linotype"/>
          <w:color w:val="000000"/>
        </w:rPr>
        <w:t>Conducta de la Autoridad: Las Acciones u omisiones realizadas en el procedimiento. Así como si la autoridad actuó con la debida diligencia.</w:t>
      </w:r>
    </w:p>
    <w:p w:rsidR="001668B9" w:rsidRPr="00004F28" w:rsidRDefault="00C95825">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004F28">
        <w:rPr>
          <w:rFonts w:ascii="Palatino Linotype" w:eastAsia="Palatino Linotype" w:hAnsi="Palatino Linotype" w:cs="Palatino Linotype"/>
          <w:color w:val="000000"/>
        </w:rPr>
        <w:t>La afectación generada en la situación jurídica de la persona involucrada en el proceso: Violación a sus derechos humanos.</w:t>
      </w:r>
    </w:p>
    <w:p w:rsidR="001668B9" w:rsidRPr="00004F28" w:rsidRDefault="00C95825">
      <w:pPr>
        <w:spacing w:line="360" w:lineRule="auto"/>
        <w:jc w:val="both"/>
        <w:rPr>
          <w:rFonts w:ascii="Palatino Linotype" w:eastAsia="Palatino Linotype" w:hAnsi="Palatino Linotype" w:cs="Palatino Linotype"/>
        </w:rPr>
      </w:pPr>
      <w:r w:rsidRPr="00004F28">
        <w:rPr>
          <w:rFonts w:ascii="Palatino Linotype" w:eastAsia="Palatino Linotype" w:hAnsi="Palatino Linotype" w:cs="Palatino Linotype"/>
        </w:rPr>
        <w:lastRenderedPageBreak/>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1668B9" w:rsidRPr="00004F28" w:rsidRDefault="001668B9">
      <w:pPr>
        <w:spacing w:line="360" w:lineRule="auto"/>
        <w:jc w:val="both"/>
        <w:rPr>
          <w:rFonts w:ascii="Palatino Linotype" w:eastAsia="Palatino Linotype" w:hAnsi="Palatino Linotype" w:cs="Palatino Linotype"/>
        </w:rPr>
      </w:pPr>
    </w:p>
    <w:p w:rsidR="001668B9" w:rsidRPr="00004F28" w:rsidRDefault="00C95825">
      <w:pPr>
        <w:spacing w:line="360" w:lineRule="auto"/>
        <w:jc w:val="both"/>
        <w:rPr>
          <w:rFonts w:ascii="Palatino Linotype" w:eastAsia="Palatino Linotype" w:hAnsi="Palatino Linotype" w:cs="Palatino Linotype"/>
        </w:rPr>
      </w:pPr>
      <w:r w:rsidRPr="00004F28">
        <w:rPr>
          <w:rFonts w:ascii="Palatino Linotype" w:eastAsia="Palatino Linotype" w:hAnsi="Palatino Linotype" w:cs="Palatino Linotype"/>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rsidR="001668B9" w:rsidRPr="00004F28" w:rsidRDefault="001668B9">
      <w:pPr>
        <w:spacing w:line="360" w:lineRule="auto"/>
        <w:jc w:val="both"/>
        <w:rPr>
          <w:rFonts w:ascii="Palatino Linotype" w:eastAsia="Palatino Linotype" w:hAnsi="Palatino Linotype" w:cs="Palatino Linotype"/>
        </w:rPr>
      </w:pPr>
    </w:p>
    <w:p w:rsidR="001668B9" w:rsidRPr="00004F28" w:rsidRDefault="00C95825">
      <w:pPr>
        <w:spacing w:line="360" w:lineRule="auto"/>
        <w:jc w:val="both"/>
        <w:rPr>
          <w:rFonts w:ascii="Palatino Linotype" w:eastAsia="Palatino Linotype" w:hAnsi="Palatino Linotype" w:cs="Palatino Linotype"/>
        </w:rPr>
      </w:pPr>
      <w:r w:rsidRPr="00004F28">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1668B9" w:rsidRPr="00004F28" w:rsidRDefault="001668B9">
      <w:pPr>
        <w:spacing w:line="360" w:lineRule="auto"/>
        <w:jc w:val="both"/>
        <w:rPr>
          <w:rFonts w:ascii="Palatino Linotype" w:eastAsia="Palatino Linotype" w:hAnsi="Palatino Linotype" w:cs="Palatino Linotype"/>
        </w:rPr>
      </w:pPr>
    </w:p>
    <w:p w:rsidR="001668B9" w:rsidRPr="00004F28" w:rsidRDefault="00C95825">
      <w:pPr>
        <w:spacing w:line="360" w:lineRule="auto"/>
        <w:jc w:val="both"/>
        <w:rPr>
          <w:rFonts w:ascii="Palatino Linotype" w:eastAsia="Palatino Linotype" w:hAnsi="Palatino Linotype" w:cs="Palatino Linotype"/>
        </w:rPr>
      </w:pPr>
      <w:r w:rsidRPr="00004F28">
        <w:rPr>
          <w:rFonts w:ascii="Palatino Linotype" w:eastAsia="Palatino Linotype" w:hAnsi="Palatino Linotype" w:cs="Palatino Linotype"/>
        </w:rPr>
        <w:lastRenderedPageBreak/>
        <w:t>Al respecto, también son de considerar los criterios sostenidos por el Cuarto Tribunal Colegiado en Materia Administrativa del Primer Circuito, cuyos rubros y datos de identificación son los siguientes:</w:t>
      </w:r>
    </w:p>
    <w:p w:rsidR="001668B9" w:rsidRPr="00004F28" w:rsidRDefault="001668B9">
      <w:pPr>
        <w:spacing w:line="360" w:lineRule="auto"/>
        <w:jc w:val="both"/>
        <w:rPr>
          <w:rFonts w:ascii="Palatino Linotype" w:eastAsia="Palatino Linotype" w:hAnsi="Palatino Linotype" w:cs="Palatino Linotype"/>
        </w:rPr>
      </w:pPr>
    </w:p>
    <w:p w:rsidR="001668B9" w:rsidRPr="00004F28" w:rsidRDefault="00C95825">
      <w:pPr>
        <w:spacing w:line="360" w:lineRule="auto"/>
        <w:jc w:val="both"/>
        <w:rPr>
          <w:rFonts w:ascii="Palatino Linotype" w:eastAsia="Palatino Linotype" w:hAnsi="Palatino Linotype" w:cs="Palatino Linotype"/>
        </w:rPr>
      </w:pPr>
      <w:r w:rsidRPr="00004F28">
        <w:rPr>
          <w:rFonts w:ascii="Palatino Linotype" w:eastAsia="Palatino Linotype" w:hAnsi="Palatino Linotype" w:cs="Palatino Linotype"/>
        </w:rPr>
        <w:t>“PLAZO RAZONABLE PARA RESOLVER. DIMENSIÓN Y EFECTOS DE ESTE CONCEPTO CUANDO SE ADUCE EXCESIVA CARGA DE TRABAJO.” consultable en el Seminario Judicial de la Federación y su gaceta, con el registro digital 2002351.</w:t>
      </w:r>
    </w:p>
    <w:p w:rsidR="001668B9" w:rsidRPr="00004F28" w:rsidRDefault="001668B9">
      <w:pPr>
        <w:spacing w:line="360" w:lineRule="auto"/>
        <w:jc w:val="both"/>
        <w:rPr>
          <w:rFonts w:ascii="Palatino Linotype" w:eastAsia="Palatino Linotype" w:hAnsi="Palatino Linotype" w:cs="Palatino Linotype"/>
        </w:rPr>
      </w:pPr>
    </w:p>
    <w:p w:rsidR="001668B9" w:rsidRPr="00004F28" w:rsidRDefault="00C95825">
      <w:pPr>
        <w:spacing w:line="360" w:lineRule="auto"/>
        <w:jc w:val="both"/>
        <w:rPr>
          <w:rFonts w:ascii="Palatino Linotype" w:eastAsia="Palatino Linotype" w:hAnsi="Palatino Linotype" w:cs="Palatino Linotype"/>
        </w:rPr>
      </w:pPr>
      <w:r w:rsidRPr="00004F28">
        <w:rPr>
          <w:rFonts w:ascii="Palatino Linotype" w:eastAsia="Palatino Linotype" w:hAnsi="Palatino Linotype" w:cs="Palatino Linotype"/>
        </w:rPr>
        <w:t>“PLAZO RAZONABLE PARA RESOLVER. CONCEPTO Y ELEMENTOS QUE LO INTEGRAN A LA LUZ DEL DERECHO INTERNACIONAL DE LOS DERECHOS HUMANOS.”, visible en el Seminario Judicial de la Federación y su gaceta, con el registro digital 2002350.</w:t>
      </w:r>
    </w:p>
    <w:p w:rsidR="001668B9" w:rsidRPr="00004F28" w:rsidRDefault="001668B9">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1668B9" w:rsidRPr="00004F28" w:rsidRDefault="00C95825">
      <w:pPr>
        <w:pBdr>
          <w:top w:val="nil"/>
          <w:left w:val="nil"/>
          <w:bottom w:val="nil"/>
          <w:right w:val="nil"/>
          <w:between w:val="nil"/>
        </w:pBdr>
        <w:spacing w:line="360" w:lineRule="auto"/>
        <w:jc w:val="both"/>
        <w:rPr>
          <w:rFonts w:ascii="Palatino Linotype" w:eastAsia="Palatino Linotype" w:hAnsi="Palatino Linotype" w:cs="Palatino Linotype"/>
          <w:b/>
          <w:color w:val="000000"/>
        </w:rPr>
      </w:pPr>
      <w:r w:rsidRPr="00004F28">
        <w:rPr>
          <w:rFonts w:ascii="Palatino Linotype" w:eastAsia="Palatino Linotype" w:hAnsi="Palatino Linotype" w:cs="Palatino Linotype"/>
          <w:color w:val="000000"/>
        </w:rPr>
        <w:t>Por ello, este organismo garante comprometido con la tutela de los derechos humanos confiados, señala que este exceso del plazo legal para resolver el presente asunto, resulta de carácter excepcional.</w:t>
      </w:r>
    </w:p>
    <w:p w:rsidR="001668B9" w:rsidRPr="00004F28" w:rsidRDefault="001668B9">
      <w:pPr>
        <w:pBdr>
          <w:top w:val="nil"/>
          <w:left w:val="nil"/>
          <w:bottom w:val="nil"/>
          <w:right w:val="nil"/>
          <w:between w:val="nil"/>
        </w:pBdr>
        <w:spacing w:line="360" w:lineRule="auto"/>
        <w:jc w:val="both"/>
        <w:rPr>
          <w:rFonts w:ascii="Palatino Linotype" w:eastAsia="Palatino Linotype" w:hAnsi="Palatino Linotype" w:cs="Palatino Linotype"/>
          <w:b/>
          <w:color w:val="000000"/>
        </w:rPr>
      </w:pPr>
    </w:p>
    <w:p w:rsidR="001668B9" w:rsidRPr="00004F28" w:rsidRDefault="00C95825">
      <w:pPr>
        <w:pBdr>
          <w:top w:val="nil"/>
          <w:left w:val="nil"/>
          <w:bottom w:val="nil"/>
          <w:right w:val="nil"/>
          <w:between w:val="nil"/>
        </w:pBdr>
        <w:spacing w:line="360" w:lineRule="auto"/>
        <w:jc w:val="both"/>
        <w:rPr>
          <w:rFonts w:ascii="Palatino Linotype" w:eastAsia="Palatino Linotype" w:hAnsi="Palatino Linotype" w:cs="Palatino Linotype"/>
          <w:b/>
          <w:color w:val="000000"/>
        </w:rPr>
      </w:pPr>
      <w:r w:rsidRPr="00004F28">
        <w:rPr>
          <w:rFonts w:ascii="Palatino Linotype" w:eastAsia="Palatino Linotype" w:hAnsi="Palatino Linotype" w:cs="Palatino Linotype"/>
          <w:b/>
          <w:color w:val="000000"/>
        </w:rPr>
        <w:t>d) Cierre de Instrucción</w:t>
      </w:r>
    </w:p>
    <w:p w:rsidR="001668B9" w:rsidRPr="00004F28" w:rsidRDefault="00C95825">
      <w:pPr>
        <w:spacing w:line="360" w:lineRule="auto"/>
        <w:jc w:val="both"/>
        <w:rPr>
          <w:rFonts w:ascii="Palatino Linotype" w:eastAsia="Palatino Linotype" w:hAnsi="Palatino Linotype" w:cs="Palatino Linotype"/>
          <w:color w:val="000000"/>
        </w:rPr>
      </w:pPr>
      <w:r w:rsidRPr="00004F28">
        <w:rPr>
          <w:rFonts w:ascii="Palatino Linotype" w:eastAsia="Palatino Linotype" w:hAnsi="Palatino Linotype" w:cs="Palatino Linotype"/>
          <w:color w:val="000000"/>
        </w:rPr>
        <w:t xml:space="preserve">Una vez analizado el estado procesal que guarda el expediente, el </w:t>
      </w:r>
      <w:r w:rsidRPr="00004F28">
        <w:rPr>
          <w:rFonts w:ascii="Palatino Linotype" w:eastAsia="Palatino Linotype" w:hAnsi="Palatino Linotype" w:cs="Palatino Linotype"/>
          <w:b/>
        </w:rPr>
        <w:t xml:space="preserve">trece </w:t>
      </w:r>
      <w:r w:rsidRPr="00004F28">
        <w:rPr>
          <w:rFonts w:ascii="Palatino Linotype" w:eastAsia="Palatino Linotype" w:hAnsi="Palatino Linotype" w:cs="Palatino Linotype"/>
          <w:b/>
          <w:color w:val="000000"/>
        </w:rPr>
        <w:t>de diciembre de dos mil veintidós</w:t>
      </w:r>
      <w:r w:rsidRPr="00004F28">
        <w:rPr>
          <w:rFonts w:ascii="Palatino Linotype" w:eastAsia="Palatino Linotype" w:hAnsi="Palatino Linotype" w:cs="Palatino Linotype"/>
          <w:color w:val="000000"/>
        </w:rPr>
        <w:t xml:space="preserve">, la </w:t>
      </w:r>
      <w:r w:rsidRPr="00004F28">
        <w:rPr>
          <w:rFonts w:ascii="Palatino Linotype" w:eastAsia="Palatino Linotype" w:hAnsi="Palatino Linotype" w:cs="Palatino Linotype"/>
          <w:b/>
          <w:color w:val="000000"/>
        </w:rPr>
        <w:t>Comisionada Sharon Cristina Morales Martínez</w:t>
      </w:r>
      <w:r w:rsidRPr="00004F28">
        <w:rPr>
          <w:rFonts w:ascii="Palatino Linotype" w:eastAsia="Palatino Linotype" w:hAnsi="Palatino Linotype" w:cs="Palatino Linotype"/>
          <w:color w:val="000000"/>
        </w:rPr>
        <w:t xml:space="preserve"> acordó el cierre de instrucción;</w:t>
      </w:r>
      <w:r w:rsidRPr="00004F28">
        <w:rPr>
          <w:rFonts w:ascii="Palatino Linotype" w:eastAsia="Palatino Linotype" w:hAnsi="Palatino Linotype" w:cs="Palatino Linotype"/>
        </w:rPr>
        <w:t xml:space="preserve"> así como, la remisión del mismo a efecto de ser resuelto, de conformidad con lo establecido en el artículo 185 fracciones VI y VIII de la Ley de Transparencia y Acceso a la Información Pública del Estado de México y Municipios</w:t>
      </w:r>
      <w:r w:rsidR="00B74664" w:rsidRPr="00004F28">
        <w:rPr>
          <w:rFonts w:ascii="Palatino Linotype" w:eastAsia="Palatino Linotype" w:hAnsi="Palatino Linotype" w:cs="Palatino Linotype"/>
          <w:color w:val="000000"/>
        </w:rPr>
        <w:t>.</w:t>
      </w:r>
    </w:p>
    <w:p w:rsidR="001668B9" w:rsidRPr="00004F28" w:rsidRDefault="001668B9">
      <w:pPr>
        <w:spacing w:line="360" w:lineRule="auto"/>
        <w:jc w:val="both"/>
        <w:rPr>
          <w:rFonts w:ascii="Palatino Linotype" w:eastAsia="Palatino Linotype" w:hAnsi="Palatino Linotype" w:cs="Palatino Linotype"/>
          <w:color w:val="000000"/>
        </w:rPr>
      </w:pPr>
    </w:p>
    <w:p w:rsidR="001668B9" w:rsidRPr="00004F28" w:rsidRDefault="00C95825">
      <w:pPr>
        <w:jc w:val="center"/>
        <w:rPr>
          <w:rFonts w:ascii="Palatino Linotype" w:eastAsia="Palatino Linotype" w:hAnsi="Palatino Linotype" w:cs="Palatino Linotype"/>
          <w:b/>
          <w:color w:val="000000"/>
          <w:sz w:val="28"/>
          <w:szCs w:val="28"/>
        </w:rPr>
      </w:pPr>
      <w:r w:rsidRPr="00004F28">
        <w:rPr>
          <w:rFonts w:ascii="Palatino Linotype" w:eastAsia="Palatino Linotype" w:hAnsi="Palatino Linotype" w:cs="Palatino Linotype"/>
          <w:b/>
          <w:color w:val="000000"/>
          <w:sz w:val="28"/>
          <w:szCs w:val="28"/>
        </w:rPr>
        <w:lastRenderedPageBreak/>
        <w:t>CONSIDERANDO</w:t>
      </w:r>
    </w:p>
    <w:p w:rsidR="001668B9" w:rsidRPr="00004F28" w:rsidRDefault="001668B9">
      <w:pPr>
        <w:spacing w:line="360" w:lineRule="auto"/>
        <w:ind w:right="50"/>
        <w:jc w:val="both"/>
        <w:rPr>
          <w:rFonts w:ascii="Palatino Linotype" w:eastAsia="Palatino Linotype" w:hAnsi="Palatino Linotype" w:cs="Palatino Linotype"/>
          <w:b/>
          <w:color w:val="000000"/>
          <w:sz w:val="28"/>
          <w:szCs w:val="28"/>
        </w:rPr>
      </w:pPr>
    </w:p>
    <w:p w:rsidR="001668B9" w:rsidRPr="00004F28" w:rsidRDefault="001668B9">
      <w:pPr>
        <w:spacing w:line="360" w:lineRule="auto"/>
        <w:ind w:right="50"/>
        <w:jc w:val="both"/>
        <w:rPr>
          <w:rFonts w:ascii="Palatino Linotype" w:eastAsia="Palatino Linotype" w:hAnsi="Palatino Linotype" w:cs="Palatino Linotype"/>
          <w:b/>
          <w:color w:val="000000"/>
          <w:sz w:val="28"/>
          <w:szCs w:val="28"/>
        </w:rPr>
      </w:pPr>
    </w:p>
    <w:p w:rsidR="001668B9" w:rsidRPr="00004F28" w:rsidRDefault="00C95825">
      <w:pPr>
        <w:spacing w:line="360" w:lineRule="auto"/>
        <w:ind w:right="50"/>
        <w:jc w:val="both"/>
        <w:rPr>
          <w:rFonts w:ascii="Palatino Linotype" w:eastAsia="Palatino Linotype" w:hAnsi="Palatino Linotype" w:cs="Palatino Linotype"/>
          <w:b/>
          <w:color w:val="000000"/>
        </w:rPr>
      </w:pPr>
      <w:r w:rsidRPr="00004F28">
        <w:rPr>
          <w:rFonts w:ascii="Palatino Linotype" w:eastAsia="Palatino Linotype" w:hAnsi="Palatino Linotype" w:cs="Palatino Linotype"/>
          <w:b/>
          <w:color w:val="000000"/>
          <w:sz w:val="28"/>
          <w:szCs w:val="28"/>
        </w:rPr>
        <w:t>PRIMERO</w:t>
      </w:r>
      <w:r w:rsidRPr="00004F28">
        <w:rPr>
          <w:rFonts w:ascii="Palatino Linotype" w:eastAsia="Palatino Linotype" w:hAnsi="Palatino Linotype" w:cs="Palatino Linotype"/>
          <w:b/>
          <w:color w:val="000000"/>
        </w:rPr>
        <w:t>.</w:t>
      </w:r>
      <w:r w:rsidRPr="00004F28">
        <w:rPr>
          <w:rFonts w:ascii="Palatino Linotype" w:eastAsia="Palatino Linotype" w:hAnsi="Palatino Linotype" w:cs="Palatino Linotype"/>
          <w:color w:val="000000"/>
        </w:rPr>
        <w:t xml:space="preserve"> </w:t>
      </w:r>
      <w:r w:rsidRPr="00004F28">
        <w:rPr>
          <w:rFonts w:ascii="Palatino Linotype" w:eastAsia="Palatino Linotype" w:hAnsi="Palatino Linotype" w:cs="Palatino Linotype"/>
          <w:b/>
          <w:color w:val="000000"/>
        </w:rPr>
        <w:t>Competencia</w:t>
      </w:r>
      <w:r w:rsidRPr="00004F28">
        <w:rPr>
          <w:rFonts w:ascii="Palatino Linotype" w:eastAsia="Palatino Linotype" w:hAnsi="Palatino Linotype" w:cs="Palatino Linotype"/>
          <w:color w:val="000000"/>
        </w:rPr>
        <w:t>.</w:t>
      </w:r>
      <w:r w:rsidRPr="00004F28">
        <w:rPr>
          <w:rFonts w:ascii="Palatino Linotype" w:eastAsia="Palatino Linotype" w:hAnsi="Palatino Linotype" w:cs="Palatino Linotype"/>
          <w:b/>
          <w:color w:val="000000"/>
        </w:rPr>
        <w:t xml:space="preserve"> </w:t>
      </w:r>
    </w:p>
    <w:p w:rsidR="001668B9" w:rsidRPr="00004F28" w:rsidRDefault="00C95825">
      <w:pPr>
        <w:spacing w:line="360" w:lineRule="auto"/>
        <w:ind w:right="50"/>
        <w:jc w:val="both"/>
        <w:rPr>
          <w:rFonts w:ascii="Palatino Linotype" w:eastAsia="Palatino Linotype" w:hAnsi="Palatino Linotype" w:cs="Palatino Linotype"/>
          <w:color w:val="000000"/>
        </w:rPr>
      </w:pPr>
      <w:r w:rsidRPr="00004F28">
        <w:rPr>
          <w:rFonts w:ascii="Palatino Linotype" w:eastAsia="Palatino Linotype" w:hAnsi="Palatino Linotype" w:cs="Palatino Linotype"/>
          <w:color w:val="000000"/>
        </w:rPr>
        <w:t>Este Instituto de Transparencia, Acceso a la Información Pública y Protección de Datos Personales del Estado de México y Municipios, es competente para conocer y resolver el presente Recurso Revisión, conforme a lo dispuesto en los artículos 6, Apartado A de la Constitución Política de los Estados Unidos Mexicanos; 5, párrafos trigésimo, trigésimo primero y trigésimo segundo,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rsidR="001668B9" w:rsidRPr="00004F28" w:rsidRDefault="001668B9">
      <w:pPr>
        <w:spacing w:line="360" w:lineRule="auto"/>
        <w:ind w:right="50"/>
        <w:jc w:val="both"/>
        <w:rPr>
          <w:rFonts w:ascii="Palatino Linotype" w:eastAsia="Palatino Linotype" w:hAnsi="Palatino Linotype" w:cs="Palatino Linotype"/>
          <w:color w:val="000000"/>
        </w:rPr>
      </w:pPr>
    </w:p>
    <w:p w:rsidR="001668B9" w:rsidRPr="00004F28" w:rsidRDefault="00C95825">
      <w:pPr>
        <w:spacing w:line="360" w:lineRule="auto"/>
        <w:jc w:val="both"/>
        <w:rPr>
          <w:rFonts w:ascii="Palatino Linotype" w:eastAsia="Palatino Linotype" w:hAnsi="Palatino Linotype" w:cs="Palatino Linotype"/>
          <w:b/>
          <w:color w:val="000000"/>
        </w:rPr>
      </w:pPr>
      <w:r w:rsidRPr="00004F28">
        <w:rPr>
          <w:rFonts w:ascii="Palatino Linotype" w:eastAsia="Palatino Linotype" w:hAnsi="Palatino Linotype" w:cs="Palatino Linotype"/>
          <w:b/>
          <w:color w:val="000000"/>
          <w:sz w:val="28"/>
          <w:szCs w:val="28"/>
        </w:rPr>
        <w:t>SEGUNDO</w:t>
      </w:r>
      <w:r w:rsidRPr="00004F28">
        <w:rPr>
          <w:rFonts w:ascii="Palatino Linotype" w:eastAsia="Palatino Linotype" w:hAnsi="Palatino Linotype" w:cs="Palatino Linotype"/>
          <w:b/>
          <w:color w:val="000000"/>
        </w:rPr>
        <w:t xml:space="preserve">. Interés. </w:t>
      </w:r>
    </w:p>
    <w:p w:rsidR="001668B9" w:rsidRPr="00004F28" w:rsidRDefault="00C95825">
      <w:pPr>
        <w:spacing w:line="360" w:lineRule="auto"/>
        <w:jc w:val="both"/>
        <w:rPr>
          <w:rFonts w:ascii="Palatino Linotype" w:eastAsia="Palatino Linotype" w:hAnsi="Palatino Linotype" w:cs="Palatino Linotype"/>
          <w:b/>
          <w:color w:val="000000"/>
        </w:rPr>
      </w:pPr>
      <w:r w:rsidRPr="00004F28">
        <w:rPr>
          <w:rFonts w:ascii="Palatino Linotype" w:eastAsia="Palatino Linotype" w:hAnsi="Palatino Linotype" w:cs="Palatino Linotype"/>
          <w:color w:val="000000"/>
        </w:rPr>
        <w:t xml:space="preserve">El Recurso Revisión fue interpuesto por parte legítima, en atención a que se presentó por </w:t>
      </w:r>
      <w:r w:rsidRPr="00004F28">
        <w:rPr>
          <w:rFonts w:ascii="Palatino Linotype" w:eastAsia="Palatino Linotype" w:hAnsi="Palatino Linotype" w:cs="Palatino Linotype"/>
          <w:b/>
        </w:rPr>
        <w:t>EL</w:t>
      </w:r>
      <w:r w:rsidRPr="00004F28">
        <w:rPr>
          <w:rFonts w:ascii="Palatino Linotype" w:eastAsia="Palatino Linotype" w:hAnsi="Palatino Linotype" w:cs="Palatino Linotype"/>
          <w:b/>
          <w:color w:val="000000"/>
        </w:rPr>
        <w:t xml:space="preserve"> RECURRENTE,</w:t>
      </w:r>
      <w:r w:rsidRPr="00004F28">
        <w:rPr>
          <w:rFonts w:ascii="Palatino Linotype" w:eastAsia="Palatino Linotype" w:hAnsi="Palatino Linotype" w:cs="Palatino Linotype"/>
          <w:color w:val="000000"/>
        </w:rPr>
        <w:t xml:space="preserve"> quien es la misma persona que formuló la solicitud de acceso a la Información Pública al </w:t>
      </w:r>
      <w:r w:rsidRPr="00004F28">
        <w:rPr>
          <w:rFonts w:ascii="Palatino Linotype" w:eastAsia="Palatino Linotype" w:hAnsi="Palatino Linotype" w:cs="Palatino Linotype"/>
          <w:b/>
          <w:color w:val="000000"/>
        </w:rPr>
        <w:t xml:space="preserve">SUJETO OBLIGADO, </w:t>
      </w:r>
      <w:r w:rsidRPr="00004F28">
        <w:rPr>
          <w:rFonts w:ascii="Palatino Linotype" w:eastAsia="Palatino Linotype" w:hAnsi="Palatino Linotype" w:cs="Palatino Linotype"/>
          <w:color w:val="000000"/>
        </w:rPr>
        <w:t xml:space="preserve">pues para ello, es necesario que el particular ingrese al </w:t>
      </w:r>
      <w:r w:rsidRPr="00004F28">
        <w:rPr>
          <w:rFonts w:ascii="Palatino Linotype" w:eastAsia="Palatino Linotype" w:hAnsi="Palatino Linotype" w:cs="Palatino Linotype"/>
          <w:b/>
          <w:color w:val="000000"/>
        </w:rPr>
        <w:t xml:space="preserve">SAIMEX </w:t>
      </w:r>
      <w:r w:rsidRPr="00004F28">
        <w:rPr>
          <w:rFonts w:ascii="Palatino Linotype" w:eastAsia="Palatino Linotype" w:hAnsi="Palatino Linotype" w:cs="Palatino Linotype"/>
          <w:color w:val="000000"/>
        </w:rPr>
        <w:t>mediante la utilización de su clave de usuario y contraseña.</w:t>
      </w:r>
    </w:p>
    <w:p w:rsidR="001668B9" w:rsidRDefault="001668B9">
      <w:pPr>
        <w:spacing w:line="360" w:lineRule="auto"/>
        <w:jc w:val="both"/>
        <w:rPr>
          <w:rFonts w:ascii="Palatino Linotype" w:eastAsia="Palatino Linotype" w:hAnsi="Palatino Linotype" w:cs="Palatino Linotype"/>
          <w:b/>
          <w:color w:val="000000"/>
        </w:rPr>
      </w:pPr>
    </w:p>
    <w:p w:rsidR="00F82370" w:rsidRPr="00004F28" w:rsidRDefault="00F82370">
      <w:pPr>
        <w:spacing w:line="360" w:lineRule="auto"/>
        <w:jc w:val="both"/>
        <w:rPr>
          <w:rFonts w:ascii="Palatino Linotype" w:eastAsia="Palatino Linotype" w:hAnsi="Palatino Linotype" w:cs="Palatino Linotype"/>
          <w:b/>
          <w:color w:val="000000"/>
        </w:rPr>
      </w:pPr>
    </w:p>
    <w:p w:rsidR="001668B9" w:rsidRPr="00004F28" w:rsidRDefault="00C95825">
      <w:pPr>
        <w:spacing w:line="360" w:lineRule="auto"/>
        <w:ind w:right="49"/>
        <w:jc w:val="both"/>
        <w:rPr>
          <w:rFonts w:ascii="Palatino Linotype" w:eastAsia="Palatino Linotype" w:hAnsi="Palatino Linotype" w:cs="Palatino Linotype"/>
          <w:b/>
          <w:color w:val="000000"/>
        </w:rPr>
      </w:pPr>
      <w:r w:rsidRPr="00004F28">
        <w:rPr>
          <w:rFonts w:ascii="Palatino Linotype" w:eastAsia="Palatino Linotype" w:hAnsi="Palatino Linotype" w:cs="Palatino Linotype"/>
          <w:b/>
          <w:color w:val="000000"/>
          <w:sz w:val="28"/>
          <w:szCs w:val="28"/>
        </w:rPr>
        <w:lastRenderedPageBreak/>
        <w:t xml:space="preserve">TERCERO. </w:t>
      </w:r>
      <w:r w:rsidRPr="00004F28">
        <w:rPr>
          <w:rFonts w:ascii="Palatino Linotype" w:eastAsia="Palatino Linotype" w:hAnsi="Palatino Linotype" w:cs="Palatino Linotype"/>
          <w:b/>
          <w:color w:val="000000"/>
        </w:rPr>
        <w:t xml:space="preserve">Oportunidad. </w:t>
      </w:r>
    </w:p>
    <w:p w:rsidR="001668B9" w:rsidRPr="00004F28" w:rsidRDefault="00C95825">
      <w:pPr>
        <w:spacing w:line="360" w:lineRule="auto"/>
        <w:ind w:right="49"/>
        <w:jc w:val="both"/>
        <w:rPr>
          <w:rFonts w:ascii="Palatino Linotype" w:eastAsia="Palatino Linotype" w:hAnsi="Palatino Linotype" w:cs="Palatino Linotype"/>
        </w:rPr>
      </w:pPr>
      <w:r w:rsidRPr="00004F28">
        <w:rPr>
          <w:rFonts w:ascii="Palatino Linotype" w:eastAsia="Palatino Linotype" w:hAnsi="Palatino Linotype" w:cs="Palatino Linotype"/>
        </w:rPr>
        <w:t>Es de precisar que la Ley de Transparencia y Acceso a la Información Pública del Estado de México y Municipios, describe el mecanismo de procedencia de los Recurso Revisión, como se puede apreciar en el siguiente artículo:</w:t>
      </w:r>
    </w:p>
    <w:p w:rsidR="001668B9" w:rsidRPr="00004F28" w:rsidRDefault="001668B9">
      <w:pPr>
        <w:jc w:val="both"/>
        <w:rPr>
          <w:rFonts w:ascii="Palatino Linotype" w:eastAsia="Palatino Linotype" w:hAnsi="Palatino Linotype" w:cs="Palatino Linotype"/>
        </w:rPr>
      </w:pPr>
    </w:p>
    <w:p w:rsidR="001668B9" w:rsidRPr="00004F28" w:rsidRDefault="00C95825">
      <w:pPr>
        <w:ind w:left="851" w:right="902"/>
        <w:jc w:val="both"/>
        <w:rPr>
          <w:rFonts w:ascii="Palatino Linotype" w:eastAsia="Palatino Linotype" w:hAnsi="Palatino Linotype" w:cs="Palatino Linotype"/>
          <w:i/>
          <w:sz w:val="22"/>
          <w:szCs w:val="22"/>
        </w:rPr>
      </w:pPr>
      <w:r w:rsidRPr="00004F28">
        <w:rPr>
          <w:rFonts w:ascii="Palatino Linotype" w:eastAsia="Palatino Linotype" w:hAnsi="Palatino Linotype" w:cs="Palatino Linotype"/>
          <w:b/>
          <w:i/>
          <w:sz w:val="22"/>
          <w:szCs w:val="22"/>
        </w:rPr>
        <w:t>“Artículo 163.</w:t>
      </w:r>
      <w:r w:rsidRPr="00004F28">
        <w:rPr>
          <w:rFonts w:ascii="Palatino Linotype" w:eastAsia="Palatino Linotype" w:hAnsi="Palatino Linotype" w:cs="Palatino Linotype"/>
          <w:i/>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rsidR="001668B9" w:rsidRPr="00004F28" w:rsidRDefault="001668B9">
      <w:pPr>
        <w:ind w:left="851" w:right="902"/>
        <w:jc w:val="both"/>
        <w:rPr>
          <w:rFonts w:ascii="Palatino Linotype" w:eastAsia="Palatino Linotype" w:hAnsi="Palatino Linotype" w:cs="Palatino Linotype"/>
          <w:i/>
          <w:sz w:val="22"/>
          <w:szCs w:val="22"/>
        </w:rPr>
      </w:pPr>
    </w:p>
    <w:p w:rsidR="001668B9" w:rsidRPr="00004F28" w:rsidRDefault="00C95825">
      <w:pPr>
        <w:ind w:left="851" w:right="902"/>
        <w:jc w:val="both"/>
        <w:rPr>
          <w:rFonts w:ascii="Palatino Linotype" w:eastAsia="Palatino Linotype" w:hAnsi="Palatino Linotype" w:cs="Palatino Linotype"/>
          <w:i/>
          <w:sz w:val="22"/>
          <w:szCs w:val="22"/>
        </w:rPr>
      </w:pPr>
      <w:r w:rsidRPr="00004F28">
        <w:rPr>
          <w:rFonts w:ascii="Palatino Linotype" w:eastAsia="Palatino Linotype" w:hAnsi="Palatino Linotype" w:cs="Palatino Linotype"/>
          <w:i/>
          <w:sz w:val="22"/>
          <w:szCs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rsidR="001668B9" w:rsidRPr="00004F28" w:rsidRDefault="001668B9">
      <w:pPr>
        <w:ind w:left="851" w:right="901"/>
        <w:jc w:val="both"/>
        <w:rPr>
          <w:rFonts w:ascii="Palatino Linotype" w:eastAsia="Palatino Linotype" w:hAnsi="Palatino Linotype" w:cs="Palatino Linotype"/>
          <w:i/>
        </w:rPr>
      </w:pPr>
    </w:p>
    <w:p w:rsidR="001668B9" w:rsidRPr="00004F28" w:rsidRDefault="00C95825">
      <w:pPr>
        <w:spacing w:line="360" w:lineRule="auto"/>
        <w:jc w:val="both"/>
        <w:rPr>
          <w:rFonts w:ascii="Palatino Linotype" w:eastAsia="Palatino Linotype" w:hAnsi="Palatino Linotype" w:cs="Palatino Linotype"/>
        </w:rPr>
      </w:pPr>
      <w:r w:rsidRPr="00004F28">
        <w:rPr>
          <w:rFonts w:ascii="Palatino Linotype" w:eastAsia="Palatino Linotype" w:hAnsi="Palatino Linotype" w:cs="Palatino Linotype"/>
        </w:rPr>
        <w:t>De la interpretación al precepto legal antes citado,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Recurso Revisión.</w:t>
      </w:r>
    </w:p>
    <w:p w:rsidR="001668B9" w:rsidRPr="00004F28" w:rsidRDefault="001668B9">
      <w:pPr>
        <w:spacing w:line="360" w:lineRule="auto"/>
        <w:jc w:val="both"/>
        <w:rPr>
          <w:rFonts w:ascii="Palatino Linotype" w:eastAsia="Palatino Linotype" w:hAnsi="Palatino Linotype" w:cs="Palatino Linotype"/>
        </w:rPr>
      </w:pPr>
    </w:p>
    <w:p w:rsidR="001668B9" w:rsidRPr="00004F28" w:rsidRDefault="00C95825">
      <w:pPr>
        <w:spacing w:line="360" w:lineRule="auto"/>
        <w:jc w:val="both"/>
        <w:rPr>
          <w:rFonts w:ascii="Palatino Linotype" w:eastAsia="Palatino Linotype" w:hAnsi="Palatino Linotype" w:cs="Palatino Linotype"/>
        </w:rPr>
      </w:pPr>
      <w:r w:rsidRPr="00004F28">
        <w:rPr>
          <w:rFonts w:ascii="Palatino Linotype" w:eastAsia="Palatino Linotype" w:hAnsi="Palatino Linotype" w:cs="Palatino Linotype"/>
        </w:rPr>
        <w:t xml:space="preserve">Derivado de lo anterior, se constituye la figura jurídica de la </w:t>
      </w:r>
      <w:r w:rsidRPr="00004F28">
        <w:rPr>
          <w:rFonts w:ascii="Palatino Linotype" w:eastAsia="Palatino Linotype" w:hAnsi="Palatino Linotype" w:cs="Palatino Linotype"/>
          <w:b/>
        </w:rPr>
        <w:t>NEGATIVA FICTA</w:t>
      </w:r>
      <w:r w:rsidRPr="00004F28">
        <w:rPr>
          <w:rFonts w:ascii="Palatino Linotype" w:eastAsia="Palatino Linotype" w:hAnsi="Palatino Linotype" w:cs="Palatino Linotype"/>
        </w:rPr>
        <w:t>, la cual consiste en atribuir un efecto negativo al silencio de la autoridad administrativa frente a las instancias y solicitudes que hagan los particulares.</w:t>
      </w:r>
    </w:p>
    <w:p w:rsidR="001668B9" w:rsidRPr="00004F28" w:rsidRDefault="001668B9">
      <w:pPr>
        <w:spacing w:line="360" w:lineRule="auto"/>
        <w:jc w:val="both"/>
        <w:rPr>
          <w:rFonts w:ascii="Palatino Linotype" w:eastAsia="Palatino Linotype" w:hAnsi="Palatino Linotype" w:cs="Palatino Linotype"/>
        </w:rPr>
      </w:pPr>
    </w:p>
    <w:p w:rsidR="001668B9" w:rsidRPr="00004F28" w:rsidRDefault="00C95825">
      <w:pPr>
        <w:spacing w:line="360" w:lineRule="auto"/>
        <w:jc w:val="both"/>
        <w:rPr>
          <w:rFonts w:ascii="Palatino Linotype" w:eastAsia="Palatino Linotype" w:hAnsi="Palatino Linotype" w:cs="Palatino Linotype"/>
        </w:rPr>
      </w:pPr>
      <w:r w:rsidRPr="00004F28">
        <w:rPr>
          <w:rFonts w:ascii="Palatino Linotype" w:eastAsia="Palatino Linotype" w:hAnsi="Palatino Linotype" w:cs="Palatino Linotype"/>
        </w:rPr>
        <w:lastRenderedPageBreak/>
        <w:t>Por su parte, el artículo 178 de la Ley de Transparencia y Acceso a la Información Pública del Estado de México y Municipios, establece:</w:t>
      </w:r>
    </w:p>
    <w:p w:rsidR="001668B9" w:rsidRPr="00004F28" w:rsidRDefault="001668B9">
      <w:pPr>
        <w:jc w:val="both"/>
        <w:rPr>
          <w:rFonts w:ascii="Palatino Linotype" w:eastAsia="Palatino Linotype" w:hAnsi="Palatino Linotype" w:cs="Palatino Linotype"/>
        </w:rPr>
      </w:pPr>
    </w:p>
    <w:p w:rsidR="001668B9" w:rsidRPr="00004F28" w:rsidRDefault="00C95825">
      <w:pPr>
        <w:ind w:left="851" w:right="901"/>
        <w:jc w:val="both"/>
        <w:rPr>
          <w:rFonts w:ascii="Palatino Linotype" w:eastAsia="Palatino Linotype" w:hAnsi="Palatino Linotype" w:cs="Palatino Linotype"/>
          <w:i/>
          <w:sz w:val="22"/>
          <w:szCs w:val="22"/>
        </w:rPr>
      </w:pPr>
      <w:r w:rsidRPr="00004F28">
        <w:rPr>
          <w:rFonts w:ascii="Palatino Linotype" w:eastAsia="Palatino Linotype" w:hAnsi="Palatino Linotype" w:cs="Palatino Linotype"/>
          <w:b/>
          <w:i/>
          <w:sz w:val="22"/>
          <w:szCs w:val="22"/>
        </w:rPr>
        <w:t xml:space="preserve">“Artículo 178. </w:t>
      </w:r>
      <w:r w:rsidRPr="00004F28">
        <w:rPr>
          <w:rFonts w:ascii="Palatino Linotype" w:eastAsia="Palatino Linotype" w:hAnsi="Palatino Linotype" w:cs="Palatino Linotype"/>
          <w:i/>
          <w:sz w:val="22"/>
          <w:szCs w:val="22"/>
        </w:rPr>
        <w:t>El solicitante podrá interponer, por sí mismo o a través de su representante, de manera directa o por medios electrónicos, Recurso Revisión ante el Instituto o ante la Unidad de Transparencia que haya conocido de la solicitud dentro de los quince días hábiles, siguientes a la fecha de la notificación de la respuesta.</w:t>
      </w:r>
    </w:p>
    <w:p w:rsidR="001668B9" w:rsidRPr="00004F28" w:rsidRDefault="001668B9">
      <w:pPr>
        <w:ind w:left="851" w:right="901"/>
        <w:jc w:val="both"/>
        <w:rPr>
          <w:rFonts w:ascii="Palatino Linotype" w:eastAsia="Palatino Linotype" w:hAnsi="Palatino Linotype" w:cs="Palatino Linotype"/>
          <w:i/>
          <w:sz w:val="22"/>
          <w:szCs w:val="22"/>
        </w:rPr>
      </w:pPr>
    </w:p>
    <w:p w:rsidR="001668B9" w:rsidRPr="00004F28" w:rsidRDefault="00C95825">
      <w:pPr>
        <w:ind w:left="851" w:right="901"/>
        <w:jc w:val="both"/>
        <w:rPr>
          <w:rFonts w:ascii="Palatino Linotype" w:eastAsia="Palatino Linotype" w:hAnsi="Palatino Linotype" w:cs="Palatino Linotype"/>
          <w:i/>
          <w:sz w:val="22"/>
          <w:szCs w:val="22"/>
        </w:rPr>
      </w:pPr>
      <w:r w:rsidRPr="00004F28">
        <w:rPr>
          <w:rFonts w:ascii="Palatino Linotype" w:eastAsia="Palatino Linotype" w:hAnsi="Palatino Linotype" w:cs="Palatino Linotype"/>
          <w:b/>
          <w:i/>
          <w:sz w:val="22"/>
          <w:szCs w:val="22"/>
          <w:u w:val="single"/>
        </w:rPr>
        <w:t>A falta de respuesta del sujeto obligado, dentro de los plazos establecidos en esta Ley, a una solicitud de acceso a la Información Pública, el recurso podrá ser interpuesto en cualquier momento</w:t>
      </w:r>
      <w:r w:rsidRPr="00004F28">
        <w:rPr>
          <w:rFonts w:ascii="Palatino Linotype" w:eastAsia="Palatino Linotype" w:hAnsi="Palatino Linotype" w:cs="Palatino Linotype"/>
          <w:i/>
          <w:sz w:val="22"/>
          <w:szCs w:val="22"/>
        </w:rPr>
        <w:t>, acompañado con el documento que pruebe la fecha en que presentó la solicitud.</w:t>
      </w:r>
    </w:p>
    <w:p w:rsidR="001668B9" w:rsidRPr="00004F28" w:rsidRDefault="001668B9">
      <w:pPr>
        <w:ind w:left="851" w:right="901"/>
        <w:jc w:val="both"/>
        <w:rPr>
          <w:rFonts w:ascii="Palatino Linotype" w:eastAsia="Palatino Linotype" w:hAnsi="Palatino Linotype" w:cs="Palatino Linotype"/>
          <w:i/>
          <w:sz w:val="22"/>
          <w:szCs w:val="22"/>
        </w:rPr>
      </w:pPr>
    </w:p>
    <w:p w:rsidR="001668B9" w:rsidRPr="00004F28" w:rsidRDefault="00C95825">
      <w:pPr>
        <w:ind w:left="851" w:right="901"/>
        <w:jc w:val="both"/>
        <w:rPr>
          <w:rFonts w:ascii="Palatino Linotype" w:eastAsia="Palatino Linotype" w:hAnsi="Palatino Linotype" w:cs="Palatino Linotype"/>
          <w:i/>
          <w:sz w:val="22"/>
          <w:szCs w:val="22"/>
        </w:rPr>
      </w:pPr>
      <w:r w:rsidRPr="00004F28">
        <w:rPr>
          <w:rFonts w:ascii="Palatino Linotype" w:eastAsia="Palatino Linotype" w:hAnsi="Palatino Linotype" w:cs="Palatino Linotype"/>
          <w:i/>
          <w:sz w:val="22"/>
          <w:szCs w:val="22"/>
        </w:rPr>
        <w:t>En el caso de que se interponga ante la Unidad de Transparencia, ésta deberá remitir el Recurso Revisión al Instituto a más tardar al día siguiente de haberlo recibido.”</w:t>
      </w:r>
    </w:p>
    <w:p w:rsidR="001668B9" w:rsidRPr="00004F28" w:rsidRDefault="00C95825">
      <w:pPr>
        <w:ind w:left="851" w:right="901"/>
        <w:jc w:val="both"/>
        <w:rPr>
          <w:rFonts w:ascii="Palatino Linotype" w:eastAsia="Palatino Linotype" w:hAnsi="Palatino Linotype" w:cs="Palatino Linotype"/>
          <w:i/>
          <w:sz w:val="22"/>
          <w:szCs w:val="22"/>
        </w:rPr>
      </w:pPr>
      <w:r w:rsidRPr="00004F28">
        <w:rPr>
          <w:rFonts w:ascii="Palatino Linotype" w:eastAsia="Palatino Linotype" w:hAnsi="Palatino Linotype" w:cs="Palatino Linotype"/>
          <w:i/>
          <w:sz w:val="22"/>
          <w:szCs w:val="22"/>
        </w:rPr>
        <w:t xml:space="preserve">(Énfasis añadido) </w:t>
      </w:r>
    </w:p>
    <w:p w:rsidR="001668B9" w:rsidRPr="00004F28" w:rsidRDefault="001668B9">
      <w:pPr>
        <w:jc w:val="both"/>
        <w:rPr>
          <w:rFonts w:ascii="Palatino Linotype" w:eastAsia="Palatino Linotype" w:hAnsi="Palatino Linotype" w:cs="Palatino Linotype"/>
        </w:rPr>
      </w:pPr>
    </w:p>
    <w:p w:rsidR="001668B9" w:rsidRPr="00004F28" w:rsidRDefault="00C95825">
      <w:pPr>
        <w:spacing w:line="360" w:lineRule="auto"/>
        <w:jc w:val="both"/>
        <w:rPr>
          <w:rFonts w:ascii="Palatino Linotype" w:eastAsia="Palatino Linotype" w:hAnsi="Palatino Linotype" w:cs="Palatino Linotype"/>
        </w:rPr>
      </w:pPr>
      <w:r w:rsidRPr="00004F28">
        <w:rPr>
          <w:rFonts w:ascii="Palatino Linotype" w:eastAsia="Palatino Linotype" w:hAnsi="Palatino Linotype" w:cs="Palatino Linotype"/>
        </w:rPr>
        <w:t xml:space="preserve">Es así que, el Recurso Revisión se ha de interponer dentro del plazo de quince días hábiles contados a partir del día siguiente en que el particular tiene conocimiento de la resolución respectiva; de ahí que, para que empiece a computarse necesariamente tiene que existir una respuesta expresa por parte del </w:t>
      </w:r>
      <w:r w:rsidRPr="00004F28">
        <w:rPr>
          <w:rFonts w:ascii="Palatino Linotype" w:eastAsia="Palatino Linotype" w:hAnsi="Palatino Linotype" w:cs="Palatino Linotype"/>
          <w:b/>
        </w:rPr>
        <w:t xml:space="preserve">SUJETO OBLIGADO. </w:t>
      </w:r>
      <w:r w:rsidRPr="00004F28">
        <w:rPr>
          <w:rFonts w:ascii="Palatino Linotype" w:eastAsia="Palatino Linotype" w:hAnsi="Palatino Linotype" w:cs="Palatino Linotype"/>
        </w:rPr>
        <w:t xml:space="preserve">Sin embargo, tratándose de negativa ficta no existe resolución que se haga del conocimiento del particular a partir de la cual pueda computarse dicho término, por lo que es pertinente establecer que no hay plazo para la interposición del Recurso Revisión y, por tanto, </w:t>
      </w:r>
      <w:r w:rsidRPr="00004F28">
        <w:rPr>
          <w:rFonts w:ascii="Palatino Linotype" w:eastAsia="Palatino Linotype" w:hAnsi="Palatino Linotype" w:cs="Palatino Linotype"/>
          <w:b/>
        </w:rPr>
        <w:t xml:space="preserve">EL RECURRENTE </w:t>
      </w:r>
      <w:r w:rsidRPr="00004F28">
        <w:rPr>
          <w:rFonts w:ascii="Palatino Linotype" w:eastAsia="Palatino Linotype" w:hAnsi="Palatino Linotype" w:cs="Palatino Linotype"/>
        </w:rPr>
        <w:t>está en libertad de presentar su medio de impugnación en cualquier momento; en consecuencia, se tiene que el presente recurso se interpuso oportunamente</w:t>
      </w:r>
    </w:p>
    <w:p w:rsidR="001668B9" w:rsidRDefault="001668B9">
      <w:pPr>
        <w:spacing w:line="360" w:lineRule="auto"/>
        <w:ind w:right="49"/>
        <w:jc w:val="both"/>
        <w:rPr>
          <w:rFonts w:ascii="Palatino Linotype" w:eastAsia="Palatino Linotype" w:hAnsi="Palatino Linotype" w:cs="Palatino Linotype"/>
          <w:b/>
          <w:color w:val="000000"/>
          <w:sz w:val="28"/>
          <w:szCs w:val="28"/>
        </w:rPr>
      </w:pPr>
    </w:p>
    <w:p w:rsidR="00F82370" w:rsidRPr="00004F28" w:rsidRDefault="00F82370">
      <w:pPr>
        <w:spacing w:line="360" w:lineRule="auto"/>
        <w:ind w:right="49"/>
        <w:jc w:val="both"/>
        <w:rPr>
          <w:rFonts w:ascii="Palatino Linotype" w:eastAsia="Palatino Linotype" w:hAnsi="Palatino Linotype" w:cs="Palatino Linotype"/>
          <w:b/>
          <w:color w:val="000000"/>
          <w:sz w:val="28"/>
          <w:szCs w:val="28"/>
        </w:rPr>
      </w:pPr>
    </w:p>
    <w:p w:rsidR="001668B9" w:rsidRPr="00004F28" w:rsidRDefault="00C95825">
      <w:pPr>
        <w:spacing w:line="360" w:lineRule="auto"/>
        <w:ind w:right="49"/>
        <w:jc w:val="both"/>
        <w:rPr>
          <w:rFonts w:ascii="Palatino Linotype" w:eastAsia="Palatino Linotype" w:hAnsi="Palatino Linotype" w:cs="Palatino Linotype"/>
          <w:b/>
        </w:rPr>
      </w:pPr>
      <w:r w:rsidRPr="00004F28">
        <w:rPr>
          <w:rFonts w:ascii="Palatino Linotype" w:eastAsia="Palatino Linotype" w:hAnsi="Palatino Linotype" w:cs="Palatino Linotype"/>
          <w:b/>
          <w:sz w:val="28"/>
          <w:szCs w:val="28"/>
        </w:rPr>
        <w:lastRenderedPageBreak/>
        <w:t>CUARTO.</w:t>
      </w:r>
      <w:r w:rsidRPr="00004F28">
        <w:rPr>
          <w:rFonts w:ascii="Palatino Linotype" w:eastAsia="Palatino Linotype" w:hAnsi="Palatino Linotype" w:cs="Palatino Linotype"/>
          <w:b/>
        </w:rPr>
        <w:t xml:space="preserve"> Procedibilidad. </w:t>
      </w:r>
    </w:p>
    <w:p w:rsidR="001668B9" w:rsidRPr="00004F28" w:rsidRDefault="00C95825">
      <w:pPr>
        <w:spacing w:line="360" w:lineRule="auto"/>
        <w:ind w:right="49"/>
        <w:jc w:val="both"/>
        <w:rPr>
          <w:rFonts w:ascii="Palatino Linotype" w:eastAsia="Palatino Linotype" w:hAnsi="Palatino Linotype" w:cs="Palatino Linotype"/>
        </w:rPr>
      </w:pPr>
      <w:r w:rsidRPr="00004F28">
        <w:rPr>
          <w:rFonts w:ascii="Palatino Linotype" w:eastAsia="Palatino Linotype" w:hAnsi="Palatino Linotype" w:cs="Palatino Linotype"/>
        </w:rPr>
        <w:t xml:space="preserve">Esta Ponencia considera importante precisar que conforme al artículo 180, fracción II, último párrafo de la Ley de Transparencia y Acceso a la Información Pública del Estado de México y Municipios, cuando las solicitudes se presenten de manera electrónica no es requisito indispensable el proporcionar el nombre completo, tal como se muestra a continuación: </w:t>
      </w:r>
    </w:p>
    <w:p w:rsidR="001668B9" w:rsidRPr="00004F28" w:rsidRDefault="001668B9">
      <w:pPr>
        <w:spacing w:line="360" w:lineRule="auto"/>
        <w:ind w:right="49"/>
        <w:jc w:val="both"/>
        <w:rPr>
          <w:rFonts w:ascii="Palatino Linotype" w:eastAsia="Palatino Linotype" w:hAnsi="Palatino Linotype" w:cs="Palatino Linotype"/>
        </w:rPr>
      </w:pPr>
    </w:p>
    <w:p w:rsidR="001668B9" w:rsidRPr="00004F28" w:rsidRDefault="00C95825">
      <w:pPr>
        <w:tabs>
          <w:tab w:val="left" w:pos="851"/>
        </w:tabs>
        <w:ind w:left="851" w:right="901"/>
        <w:jc w:val="both"/>
        <w:rPr>
          <w:rFonts w:ascii="Palatino Linotype" w:eastAsia="Palatino Linotype" w:hAnsi="Palatino Linotype" w:cs="Palatino Linotype"/>
          <w:b/>
          <w:i/>
          <w:sz w:val="22"/>
          <w:szCs w:val="22"/>
        </w:rPr>
      </w:pPr>
      <w:r w:rsidRPr="00004F28">
        <w:rPr>
          <w:rFonts w:ascii="Palatino Linotype" w:eastAsia="Palatino Linotype" w:hAnsi="Palatino Linotype" w:cs="Palatino Linotype"/>
          <w:b/>
          <w:i/>
          <w:sz w:val="22"/>
          <w:szCs w:val="22"/>
        </w:rPr>
        <w:t xml:space="preserve">“Artículo 180. </w:t>
      </w:r>
      <w:r w:rsidRPr="00004F28">
        <w:rPr>
          <w:rFonts w:ascii="Palatino Linotype" w:eastAsia="Palatino Linotype" w:hAnsi="Palatino Linotype" w:cs="Palatino Linotype"/>
          <w:i/>
          <w:sz w:val="22"/>
          <w:szCs w:val="22"/>
        </w:rPr>
        <w:t>El Recurso de Revisión contendrá:</w:t>
      </w:r>
      <w:r w:rsidRPr="00004F28">
        <w:rPr>
          <w:rFonts w:ascii="Palatino Linotype" w:eastAsia="Palatino Linotype" w:hAnsi="Palatino Linotype" w:cs="Palatino Linotype"/>
          <w:b/>
          <w:i/>
          <w:sz w:val="22"/>
          <w:szCs w:val="22"/>
        </w:rPr>
        <w:t xml:space="preserve"> </w:t>
      </w:r>
    </w:p>
    <w:p w:rsidR="001668B9" w:rsidRPr="00004F28" w:rsidRDefault="00C95825">
      <w:pPr>
        <w:tabs>
          <w:tab w:val="left" w:pos="851"/>
        </w:tabs>
        <w:ind w:left="851" w:right="901"/>
        <w:jc w:val="both"/>
        <w:rPr>
          <w:rFonts w:ascii="Palatino Linotype" w:eastAsia="Palatino Linotype" w:hAnsi="Palatino Linotype" w:cs="Palatino Linotype"/>
          <w:b/>
          <w:i/>
          <w:sz w:val="22"/>
          <w:szCs w:val="22"/>
        </w:rPr>
      </w:pPr>
      <w:r w:rsidRPr="00004F28">
        <w:rPr>
          <w:rFonts w:ascii="Palatino Linotype" w:eastAsia="Palatino Linotype" w:hAnsi="Palatino Linotype" w:cs="Palatino Linotype"/>
          <w:b/>
          <w:i/>
          <w:sz w:val="22"/>
          <w:szCs w:val="22"/>
        </w:rPr>
        <w:t>…</w:t>
      </w:r>
    </w:p>
    <w:p w:rsidR="001668B9" w:rsidRPr="00004F28" w:rsidRDefault="00C95825">
      <w:pPr>
        <w:tabs>
          <w:tab w:val="left" w:pos="851"/>
        </w:tabs>
        <w:ind w:left="851" w:right="901"/>
        <w:jc w:val="both"/>
        <w:rPr>
          <w:rFonts w:ascii="Palatino Linotype" w:eastAsia="Palatino Linotype" w:hAnsi="Palatino Linotype" w:cs="Palatino Linotype"/>
          <w:i/>
          <w:sz w:val="22"/>
          <w:szCs w:val="22"/>
        </w:rPr>
      </w:pPr>
      <w:r w:rsidRPr="00004F28">
        <w:rPr>
          <w:rFonts w:ascii="Palatino Linotype" w:eastAsia="Palatino Linotype" w:hAnsi="Palatino Linotype" w:cs="Palatino Linotype"/>
          <w:b/>
          <w:i/>
          <w:sz w:val="22"/>
          <w:szCs w:val="22"/>
        </w:rPr>
        <w:t xml:space="preserve">II. El nombre del solicitante </w:t>
      </w:r>
      <w:r w:rsidRPr="00004F28">
        <w:rPr>
          <w:rFonts w:ascii="Palatino Linotype" w:eastAsia="Palatino Linotype" w:hAnsi="Palatino Linotype" w:cs="Palatino Linotype"/>
          <w:b/>
          <w:i/>
          <w:color w:val="222222"/>
          <w:sz w:val="22"/>
          <w:szCs w:val="22"/>
        </w:rPr>
        <w:t>que</w:t>
      </w:r>
      <w:r w:rsidRPr="00004F28">
        <w:rPr>
          <w:rFonts w:ascii="Palatino Linotype" w:eastAsia="Palatino Linotype" w:hAnsi="Palatino Linotype" w:cs="Palatino Linotype"/>
          <w:b/>
          <w:i/>
          <w:sz w:val="22"/>
          <w:szCs w:val="22"/>
        </w:rPr>
        <w:t xml:space="preserve"> recurre </w:t>
      </w:r>
      <w:r w:rsidRPr="00004F28">
        <w:rPr>
          <w:rFonts w:ascii="Palatino Linotype" w:eastAsia="Palatino Linotype" w:hAnsi="Palatino Linotype" w:cs="Palatino Linotype"/>
          <w:i/>
          <w:sz w:val="22"/>
          <w:szCs w:val="22"/>
        </w:rPr>
        <w:t>o de su representante y, en su caso, …</w:t>
      </w:r>
    </w:p>
    <w:p w:rsidR="001668B9" w:rsidRPr="00004F28" w:rsidRDefault="00C95825">
      <w:pPr>
        <w:tabs>
          <w:tab w:val="left" w:pos="851"/>
        </w:tabs>
        <w:ind w:left="851" w:right="901"/>
        <w:jc w:val="both"/>
        <w:rPr>
          <w:rFonts w:ascii="Palatino Linotype" w:eastAsia="Palatino Linotype" w:hAnsi="Palatino Linotype" w:cs="Palatino Linotype"/>
          <w:b/>
          <w:i/>
          <w:sz w:val="22"/>
          <w:szCs w:val="22"/>
        </w:rPr>
      </w:pPr>
      <w:r w:rsidRPr="00004F28">
        <w:rPr>
          <w:rFonts w:ascii="Palatino Linotype" w:eastAsia="Palatino Linotype" w:hAnsi="Palatino Linotype" w:cs="Palatino Linotype"/>
          <w:b/>
          <w:i/>
          <w:sz w:val="22"/>
          <w:szCs w:val="22"/>
        </w:rPr>
        <w:t xml:space="preserve">En caso de </w:t>
      </w:r>
      <w:r w:rsidRPr="00004F28">
        <w:rPr>
          <w:rFonts w:ascii="Palatino Linotype" w:eastAsia="Palatino Linotype" w:hAnsi="Palatino Linotype" w:cs="Palatino Linotype"/>
          <w:b/>
          <w:i/>
          <w:color w:val="222222"/>
          <w:sz w:val="22"/>
          <w:szCs w:val="22"/>
        </w:rPr>
        <w:t>que</w:t>
      </w:r>
      <w:r w:rsidRPr="00004F28">
        <w:rPr>
          <w:rFonts w:ascii="Palatino Linotype" w:eastAsia="Palatino Linotype" w:hAnsi="Palatino Linotype" w:cs="Palatino Linotype"/>
          <w:b/>
          <w:i/>
          <w:sz w:val="22"/>
          <w:szCs w:val="22"/>
        </w:rPr>
        <w:t xml:space="preserve"> el recurso se interponga de manera electrónica no será indispensable que contengan los requisitos establecidos en las fracciones II</w:t>
      </w:r>
      <w:r w:rsidRPr="00004F28">
        <w:rPr>
          <w:rFonts w:ascii="Palatino Linotype" w:eastAsia="Palatino Linotype" w:hAnsi="Palatino Linotype" w:cs="Palatino Linotype"/>
          <w:i/>
          <w:sz w:val="22"/>
          <w:szCs w:val="22"/>
        </w:rPr>
        <w:t>, IV, VII y VIII.</w:t>
      </w:r>
      <w:r w:rsidRPr="00004F28">
        <w:rPr>
          <w:rFonts w:ascii="Palatino Linotype" w:eastAsia="Palatino Linotype" w:hAnsi="Palatino Linotype" w:cs="Palatino Linotype"/>
          <w:b/>
          <w:i/>
          <w:sz w:val="22"/>
          <w:szCs w:val="22"/>
        </w:rPr>
        <w:t>”</w:t>
      </w:r>
    </w:p>
    <w:p w:rsidR="001668B9" w:rsidRPr="00004F28" w:rsidRDefault="00C95825">
      <w:pPr>
        <w:tabs>
          <w:tab w:val="left" w:pos="851"/>
        </w:tabs>
        <w:ind w:left="851" w:right="901"/>
        <w:jc w:val="both"/>
        <w:rPr>
          <w:rFonts w:ascii="Palatino Linotype" w:eastAsia="Palatino Linotype" w:hAnsi="Palatino Linotype" w:cs="Palatino Linotype"/>
          <w:i/>
          <w:sz w:val="22"/>
          <w:szCs w:val="22"/>
        </w:rPr>
      </w:pPr>
      <w:r w:rsidRPr="00004F28">
        <w:rPr>
          <w:rFonts w:ascii="Palatino Linotype" w:eastAsia="Palatino Linotype" w:hAnsi="Palatino Linotype" w:cs="Palatino Linotype"/>
          <w:i/>
          <w:sz w:val="22"/>
          <w:szCs w:val="22"/>
        </w:rPr>
        <w:t>(Énfasis añadido)</w:t>
      </w:r>
    </w:p>
    <w:p w:rsidR="001668B9" w:rsidRPr="00004F28" w:rsidRDefault="001668B9">
      <w:pPr>
        <w:tabs>
          <w:tab w:val="left" w:pos="851"/>
        </w:tabs>
        <w:ind w:right="901"/>
        <w:jc w:val="both"/>
        <w:rPr>
          <w:rFonts w:ascii="Palatino Linotype" w:eastAsia="Palatino Linotype" w:hAnsi="Palatino Linotype" w:cs="Palatino Linotype"/>
          <w:i/>
          <w:sz w:val="22"/>
          <w:szCs w:val="22"/>
        </w:rPr>
      </w:pPr>
    </w:p>
    <w:p w:rsidR="001668B9" w:rsidRPr="00004F28" w:rsidRDefault="00C95825">
      <w:pPr>
        <w:spacing w:line="360" w:lineRule="auto"/>
        <w:jc w:val="both"/>
        <w:rPr>
          <w:rFonts w:ascii="Palatino Linotype" w:eastAsia="Palatino Linotype" w:hAnsi="Palatino Linotype" w:cs="Palatino Linotype"/>
        </w:rPr>
      </w:pPr>
      <w:r w:rsidRPr="00004F28">
        <w:rPr>
          <w:rFonts w:ascii="Palatino Linotype" w:eastAsia="Palatino Linotype" w:hAnsi="Palatino Linotype" w:cs="Palatino Linotype"/>
        </w:rPr>
        <w:t>Es así que, derivado que el Recurso de Revisión materia del presente asunto, se interpuso de manera electrónica, no es necesario que contenga determinados requisitos, entre ellos, el nombre completo</w:t>
      </w:r>
      <w:r w:rsidRPr="00004F28">
        <w:rPr>
          <w:rFonts w:ascii="Palatino Linotype" w:eastAsia="Palatino Linotype" w:hAnsi="Palatino Linotype" w:cs="Palatino Linotype"/>
          <w:b/>
        </w:rPr>
        <w:t>;</w:t>
      </w:r>
      <w:r w:rsidRPr="00004F28">
        <w:rPr>
          <w:rFonts w:ascii="Palatino Linotype" w:eastAsia="Palatino Linotype" w:hAnsi="Palatino Linotype" w:cs="Palatino Linotype"/>
        </w:rPr>
        <w:t xml:space="preserve"> por lo que, en el presente caso, al haber sido presentado el Recurso de Revisión vía </w:t>
      </w:r>
      <w:r w:rsidRPr="00004F28">
        <w:rPr>
          <w:rFonts w:ascii="Palatino Linotype" w:eastAsia="Palatino Linotype" w:hAnsi="Palatino Linotype" w:cs="Palatino Linotype"/>
          <w:b/>
        </w:rPr>
        <w:t>SAIMEX</w:t>
      </w:r>
      <w:r w:rsidRPr="00004F28">
        <w:rPr>
          <w:rFonts w:ascii="Palatino Linotype" w:eastAsia="Palatino Linotype" w:hAnsi="Palatino Linotype" w:cs="Palatino Linotype"/>
        </w:rPr>
        <w:t>, dicho requisito resulta innecesario.</w:t>
      </w:r>
    </w:p>
    <w:p w:rsidR="001668B9" w:rsidRPr="00004F28" w:rsidRDefault="001668B9">
      <w:pPr>
        <w:spacing w:line="360" w:lineRule="auto"/>
        <w:jc w:val="both"/>
        <w:rPr>
          <w:rFonts w:ascii="Palatino Linotype" w:eastAsia="Palatino Linotype" w:hAnsi="Palatino Linotype" w:cs="Palatino Linotype"/>
          <w:b/>
        </w:rPr>
      </w:pPr>
    </w:p>
    <w:p w:rsidR="001668B9" w:rsidRPr="00004F28" w:rsidRDefault="00C95825">
      <w:pPr>
        <w:spacing w:line="360" w:lineRule="auto"/>
        <w:jc w:val="both"/>
        <w:rPr>
          <w:rFonts w:ascii="Palatino Linotype" w:eastAsia="Palatino Linotype" w:hAnsi="Palatino Linotype" w:cs="Palatino Linotype"/>
        </w:rPr>
      </w:pPr>
      <w:r w:rsidRPr="00004F28">
        <w:rPr>
          <w:rFonts w:ascii="Palatino Linotype" w:eastAsia="Palatino Linotype" w:hAnsi="Palatino Linotype" w:cs="Palatino Linotype"/>
        </w:rPr>
        <w:t xml:space="preserve">Lo anterior es así, pues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w:t>
      </w:r>
      <w:r w:rsidRPr="00004F28">
        <w:rPr>
          <w:rFonts w:ascii="Palatino Linotype" w:eastAsia="Palatino Linotype" w:hAnsi="Palatino Linotype" w:cs="Palatino Linotype"/>
          <w:b/>
          <w:u w:val="single"/>
        </w:rPr>
        <w:t xml:space="preserve">el nombre no es un requisito </w:t>
      </w:r>
      <w:r w:rsidRPr="00004F28">
        <w:rPr>
          <w:rFonts w:ascii="Palatino Linotype" w:eastAsia="Palatino Linotype" w:hAnsi="Palatino Linotype" w:cs="Palatino Linotype"/>
          <w:b/>
          <w:i/>
          <w:u w:val="single"/>
        </w:rPr>
        <w:t>sine qua non</w:t>
      </w:r>
      <w:r w:rsidRPr="00004F28">
        <w:rPr>
          <w:rFonts w:ascii="Palatino Linotype" w:eastAsia="Palatino Linotype" w:hAnsi="Palatino Linotype" w:cs="Palatino Linotype"/>
        </w:rPr>
        <w:t xml:space="preserve"> para que los particulares ejerzan el derecho de Acceso a la Información Pública, pues por el contrario la Ley de la materia prevé en </w:t>
      </w:r>
      <w:r w:rsidRPr="00004F28">
        <w:rPr>
          <w:rFonts w:ascii="Palatino Linotype" w:eastAsia="Palatino Linotype" w:hAnsi="Palatino Linotype" w:cs="Palatino Linotype"/>
        </w:rPr>
        <w:lastRenderedPageBreak/>
        <w:t>su artículo 155, párrafo segundo la posibilidad de que las solicitudes de información sean anónimas, al utilizar un nombre incompleto o, inclusive un seudónimo.</w:t>
      </w:r>
    </w:p>
    <w:p w:rsidR="001668B9" w:rsidRPr="00004F28" w:rsidRDefault="001668B9">
      <w:pPr>
        <w:spacing w:line="360" w:lineRule="auto"/>
        <w:jc w:val="both"/>
        <w:rPr>
          <w:rFonts w:ascii="Palatino Linotype" w:eastAsia="Palatino Linotype" w:hAnsi="Palatino Linotype" w:cs="Palatino Linotype"/>
        </w:rPr>
      </w:pPr>
    </w:p>
    <w:p w:rsidR="001668B9" w:rsidRPr="00004F28" w:rsidRDefault="00C95825">
      <w:pPr>
        <w:spacing w:line="360" w:lineRule="auto"/>
        <w:jc w:val="both"/>
        <w:rPr>
          <w:rFonts w:ascii="Palatino Linotype" w:eastAsia="Palatino Linotype" w:hAnsi="Palatino Linotype" w:cs="Palatino Linotype"/>
          <w:sz w:val="22"/>
          <w:szCs w:val="22"/>
        </w:rPr>
      </w:pPr>
      <w:r w:rsidRPr="00004F28">
        <w:rPr>
          <w:rFonts w:ascii="Palatino Linotype" w:eastAsia="Palatino Linotype" w:hAnsi="Palatino Linotype" w:cs="Palatino Linotype"/>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rsidR="001668B9" w:rsidRPr="00004F28" w:rsidRDefault="001668B9">
      <w:pPr>
        <w:tabs>
          <w:tab w:val="left" w:pos="851"/>
        </w:tabs>
        <w:ind w:left="851" w:right="901"/>
        <w:jc w:val="both"/>
        <w:rPr>
          <w:rFonts w:ascii="Palatino Linotype" w:eastAsia="Palatino Linotype" w:hAnsi="Palatino Linotype" w:cs="Palatino Linotype"/>
          <w:sz w:val="22"/>
          <w:szCs w:val="22"/>
        </w:rPr>
      </w:pPr>
    </w:p>
    <w:p w:rsidR="001668B9" w:rsidRPr="00004F28" w:rsidRDefault="00C95825">
      <w:pPr>
        <w:spacing w:line="360" w:lineRule="auto"/>
        <w:jc w:val="both"/>
        <w:rPr>
          <w:rFonts w:ascii="Palatino Linotype" w:eastAsia="Palatino Linotype" w:hAnsi="Palatino Linotype" w:cs="Palatino Linotype"/>
        </w:rPr>
      </w:pPr>
      <w:r w:rsidRPr="00004F28">
        <w:rPr>
          <w:rFonts w:ascii="Palatino Linotype" w:eastAsia="Palatino Linotype" w:hAnsi="Palatino Linotype" w:cs="Palatino Linotype"/>
        </w:rPr>
        <w:t xml:space="preserve">Asimismo, se estima que el requisito relativo al nombre de </w:t>
      </w:r>
      <w:r w:rsidRPr="00004F28">
        <w:rPr>
          <w:rFonts w:ascii="Palatino Linotype" w:eastAsia="Palatino Linotype" w:hAnsi="Palatino Linotype" w:cs="Palatino Linotype"/>
          <w:b/>
        </w:rPr>
        <w:t>EL RECURRENTE</w:t>
      </w:r>
      <w:r w:rsidRPr="00004F28">
        <w:rPr>
          <w:rFonts w:ascii="Palatino Linotype" w:eastAsia="Palatino Linotype" w:hAnsi="Palatino Linotype" w:cs="Palatino Linotype"/>
        </w:rPr>
        <w:t xml:space="preserv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004F28">
        <w:rPr>
          <w:rFonts w:ascii="Palatino Linotype" w:eastAsia="Palatino Linotype" w:hAnsi="Palatino Linotype" w:cs="Palatino Linotype"/>
          <w:b/>
        </w:rPr>
        <w:t xml:space="preserve">EL RECURRENTE </w:t>
      </w:r>
      <w:r w:rsidRPr="00004F28">
        <w:rPr>
          <w:rFonts w:ascii="Palatino Linotype" w:eastAsia="Palatino Linotype" w:hAnsi="Palatino Linotype" w:cs="Palatino Linotype"/>
        </w:rPr>
        <w:t>es la misma persona que realizó la solicitud de Acceso a la Información Pública que ahora se impugna.</w:t>
      </w:r>
    </w:p>
    <w:p w:rsidR="001668B9" w:rsidRPr="00004F28" w:rsidRDefault="001668B9">
      <w:pPr>
        <w:tabs>
          <w:tab w:val="left" w:pos="851"/>
        </w:tabs>
        <w:ind w:left="851" w:right="901"/>
        <w:jc w:val="both"/>
        <w:rPr>
          <w:rFonts w:ascii="Palatino Linotype" w:eastAsia="Palatino Linotype" w:hAnsi="Palatino Linotype" w:cs="Palatino Linotype"/>
          <w:sz w:val="22"/>
          <w:szCs w:val="22"/>
        </w:rPr>
      </w:pPr>
    </w:p>
    <w:p w:rsidR="001668B9" w:rsidRPr="00004F28" w:rsidRDefault="00C95825">
      <w:pPr>
        <w:spacing w:line="360" w:lineRule="auto"/>
        <w:jc w:val="both"/>
        <w:rPr>
          <w:rFonts w:ascii="Palatino Linotype" w:eastAsia="Palatino Linotype" w:hAnsi="Palatino Linotype" w:cs="Palatino Linotype"/>
        </w:rPr>
      </w:pPr>
      <w:r w:rsidRPr="00004F28">
        <w:rPr>
          <w:rFonts w:ascii="Palatino Linotype" w:eastAsia="Palatino Linotype" w:hAnsi="Palatino Linotype" w:cs="Palatino Linotype"/>
        </w:rPr>
        <w:t xml:space="preserve">Es así que, para el estudio de la materia sobre la que se resuelve el presente Recurso de Revisión, resulta intrascendente conocer el nombre de la persona que lo hubiere </w:t>
      </w:r>
      <w:r w:rsidRPr="00004F28">
        <w:rPr>
          <w:rFonts w:ascii="Palatino Linotype" w:eastAsia="Palatino Linotype" w:hAnsi="Palatino Linotype" w:cs="Palatino Linotype"/>
        </w:rPr>
        <w:lastRenderedPageBreak/>
        <w:t xml:space="preserve">promovido,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 </w:t>
      </w:r>
    </w:p>
    <w:p w:rsidR="001668B9" w:rsidRPr="00004F28" w:rsidRDefault="001668B9">
      <w:pPr>
        <w:spacing w:line="360" w:lineRule="auto"/>
        <w:jc w:val="both"/>
        <w:rPr>
          <w:rFonts w:ascii="Palatino Linotype" w:eastAsia="Palatino Linotype" w:hAnsi="Palatino Linotype" w:cs="Palatino Linotype"/>
        </w:rPr>
      </w:pPr>
    </w:p>
    <w:p w:rsidR="001668B9" w:rsidRPr="00004F28" w:rsidRDefault="00C95825">
      <w:pPr>
        <w:spacing w:line="360" w:lineRule="auto"/>
        <w:jc w:val="both"/>
        <w:rPr>
          <w:rFonts w:ascii="Palatino Linotype" w:eastAsia="Palatino Linotype" w:hAnsi="Palatino Linotype" w:cs="Palatino Linotype"/>
          <w:b/>
          <w:color w:val="000000"/>
        </w:rPr>
      </w:pPr>
      <w:r w:rsidRPr="00004F28">
        <w:rPr>
          <w:rFonts w:ascii="Palatino Linotype" w:eastAsia="Palatino Linotype" w:hAnsi="Palatino Linotype" w:cs="Palatino Linotype"/>
          <w:b/>
          <w:color w:val="000000"/>
          <w:sz w:val="28"/>
          <w:szCs w:val="28"/>
        </w:rPr>
        <w:t>QUINTO</w:t>
      </w:r>
      <w:r w:rsidRPr="00004F28">
        <w:rPr>
          <w:rFonts w:ascii="Palatino Linotype" w:eastAsia="Palatino Linotype" w:hAnsi="Palatino Linotype" w:cs="Palatino Linotype"/>
          <w:b/>
          <w:color w:val="000000"/>
        </w:rPr>
        <w:t>. Estudio y resolución del asunto.</w:t>
      </w:r>
    </w:p>
    <w:p w:rsidR="001668B9" w:rsidRPr="00004F28" w:rsidRDefault="00C95825">
      <w:pPr>
        <w:spacing w:line="360" w:lineRule="auto"/>
        <w:jc w:val="both"/>
        <w:rPr>
          <w:rFonts w:ascii="Palatino Linotype" w:eastAsia="Palatino Linotype" w:hAnsi="Palatino Linotype" w:cs="Palatino Linotype"/>
          <w:i/>
        </w:rPr>
      </w:pPr>
      <w:r w:rsidRPr="00004F28">
        <w:rPr>
          <w:rFonts w:ascii="Palatino Linotype" w:eastAsia="Palatino Linotype" w:hAnsi="Palatino Linotype" w:cs="Palatino Linotype"/>
        </w:rPr>
        <w:t xml:space="preserve">En primera instancia, conviene recordar que la particular solicitó del </w:t>
      </w:r>
      <w:r w:rsidRPr="00004F28">
        <w:rPr>
          <w:rFonts w:ascii="Palatino Linotype" w:eastAsia="Palatino Linotype" w:hAnsi="Palatino Linotype" w:cs="Palatino Linotype"/>
          <w:b/>
        </w:rPr>
        <w:t>SUJETO OBLIGADO</w:t>
      </w:r>
      <w:r w:rsidRPr="00004F28">
        <w:rPr>
          <w:rFonts w:ascii="Palatino Linotype" w:eastAsia="Palatino Linotype" w:hAnsi="Palatino Linotype" w:cs="Palatino Linotype"/>
        </w:rPr>
        <w:t xml:space="preserve"> </w:t>
      </w:r>
      <w:r w:rsidRPr="00004F28">
        <w:rPr>
          <w:rFonts w:ascii="Palatino Linotype" w:eastAsia="Palatino Linotype" w:hAnsi="Palatino Linotype" w:cs="Palatino Linotype"/>
          <w:i/>
        </w:rPr>
        <w:t xml:space="preserve"> “los manuales técnicos o materiales (guías o cursos) en formato digital con los que cuenten o hayan generado para que los trabajadores se capaciten y puedan usar los sistemas de SAP y con ello puedan realizar sus labores” (Sic)</w:t>
      </w:r>
    </w:p>
    <w:p w:rsidR="001668B9" w:rsidRPr="00004F28" w:rsidRDefault="001668B9">
      <w:pPr>
        <w:spacing w:line="360" w:lineRule="auto"/>
        <w:jc w:val="both"/>
        <w:rPr>
          <w:rFonts w:ascii="Palatino Linotype" w:eastAsia="Palatino Linotype" w:hAnsi="Palatino Linotype" w:cs="Palatino Linotype"/>
          <w:i/>
        </w:rPr>
      </w:pPr>
    </w:p>
    <w:p w:rsidR="001668B9" w:rsidRPr="00004F28" w:rsidRDefault="00C95825">
      <w:pPr>
        <w:spacing w:line="360" w:lineRule="auto"/>
        <w:ind w:right="49"/>
        <w:jc w:val="both"/>
        <w:rPr>
          <w:rFonts w:ascii="Palatino Linotype" w:eastAsia="Palatino Linotype" w:hAnsi="Palatino Linotype" w:cs="Palatino Linotype"/>
        </w:rPr>
      </w:pPr>
      <w:r w:rsidRPr="00004F28">
        <w:rPr>
          <w:rFonts w:ascii="Palatino Linotype" w:eastAsia="Palatino Linotype" w:hAnsi="Palatino Linotype" w:cs="Palatino Linotype"/>
        </w:rPr>
        <w:t xml:space="preserve">Por su parte una vez transcurrido el plazo previsto por la ley de Transparencia y Acceso a la Información Pública </w:t>
      </w:r>
      <w:r w:rsidRPr="00004F28">
        <w:rPr>
          <w:rFonts w:ascii="Palatino Linotype" w:eastAsia="Palatino Linotype" w:hAnsi="Palatino Linotype" w:cs="Palatino Linotype"/>
          <w:b/>
        </w:rPr>
        <w:t>EL SUJETO OBLIGADO</w:t>
      </w:r>
      <w:r w:rsidRPr="00004F28">
        <w:rPr>
          <w:rFonts w:ascii="Palatino Linotype" w:eastAsia="Palatino Linotype" w:hAnsi="Palatino Linotype" w:cs="Palatino Linotype"/>
        </w:rPr>
        <w:t xml:space="preserve"> fue omiso en dar respuesta a la solicitud de acceso a la información pública. </w:t>
      </w:r>
    </w:p>
    <w:p w:rsidR="001668B9" w:rsidRPr="00004F28" w:rsidRDefault="001668B9">
      <w:pPr>
        <w:spacing w:line="360" w:lineRule="auto"/>
        <w:ind w:right="49"/>
        <w:jc w:val="both"/>
        <w:rPr>
          <w:rFonts w:ascii="Palatino Linotype" w:eastAsia="Palatino Linotype" w:hAnsi="Palatino Linotype" w:cs="Palatino Linotype"/>
        </w:rPr>
      </w:pPr>
    </w:p>
    <w:p w:rsidR="001668B9" w:rsidRPr="00004F28" w:rsidRDefault="00C95825">
      <w:pPr>
        <w:spacing w:line="360" w:lineRule="auto"/>
        <w:ind w:right="49"/>
        <w:jc w:val="both"/>
        <w:rPr>
          <w:rFonts w:ascii="Palatino Linotype" w:eastAsia="Palatino Linotype" w:hAnsi="Palatino Linotype" w:cs="Palatino Linotype"/>
        </w:rPr>
      </w:pPr>
      <w:r w:rsidRPr="00004F28">
        <w:rPr>
          <w:rFonts w:ascii="Palatino Linotype" w:eastAsia="Palatino Linotype" w:hAnsi="Palatino Linotype" w:cs="Palatino Linotype"/>
        </w:rPr>
        <w:t xml:space="preserve">Inconforme con la falta de respuesta el ahora </w:t>
      </w:r>
      <w:r w:rsidRPr="00004F28">
        <w:rPr>
          <w:rFonts w:ascii="Palatino Linotype" w:eastAsia="Palatino Linotype" w:hAnsi="Palatino Linotype" w:cs="Palatino Linotype"/>
          <w:b/>
        </w:rPr>
        <w:t>RECURRENTE</w:t>
      </w:r>
      <w:r w:rsidRPr="00004F28">
        <w:rPr>
          <w:rFonts w:ascii="Palatino Linotype" w:eastAsia="Palatino Linotype" w:hAnsi="Palatino Linotype" w:cs="Palatino Linotype"/>
        </w:rPr>
        <w:t xml:space="preserve"> interpuso el presente medio de impugnación señalando que el plazo para otorgar respuesta concluyó sin que hubiera pronunciamiento alguno por parte del </w:t>
      </w:r>
      <w:r w:rsidRPr="00004F28">
        <w:rPr>
          <w:rFonts w:ascii="Palatino Linotype" w:eastAsia="Palatino Linotype" w:hAnsi="Palatino Linotype" w:cs="Palatino Linotype"/>
          <w:b/>
        </w:rPr>
        <w:t>SUJETO OBLIGADO,</w:t>
      </w:r>
      <w:r w:rsidRPr="00004F28">
        <w:rPr>
          <w:rFonts w:ascii="Palatino Linotype" w:eastAsia="Palatino Linotype" w:hAnsi="Palatino Linotype" w:cs="Palatino Linotype"/>
        </w:rPr>
        <w:t xml:space="preserve"> situación que puede verificarse mediante las constancias que obran en el expediente electrónico del SAIMEX, mismas que se inserta a continuación: </w:t>
      </w:r>
    </w:p>
    <w:p w:rsidR="001668B9" w:rsidRPr="00004F28" w:rsidRDefault="00C95825">
      <w:pPr>
        <w:spacing w:line="360" w:lineRule="auto"/>
        <w:ind w:right="49"/>
        <w:jc w:val="both"/>
        <w:rPr>
          <w:rFonts w:ascii="Palatino Linotype" w:eastAsia="Palatino Linotype" w:hAnsi="Palatino Linotype" w:cs="Palatino Linotype"/>
        </w:rPr>
      </w:pPr>
      <w:r w:rsidRPr="00004F28">
        <w:rPr>
          <w:rFonts w:ascii="Palatino Linotype" w:eastAsia="Palatino Linotype" w:hAnsi="Palatino Linotype" w:cs="Palatino Linotype"/>
          <w:noProof/>
        </w:rPr>
        <w:lastRenderedPageBreak/>
        <w:drawing>
          <wp:inline distT="114300" distB="114300" distL="114300" distR="114300">
            <wp:extent cx="5791835" cy="1016000"/>
            <wp:effectExtent l="0" t="0" r="0" b="0"/>
            <wp:docPr id="2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5791835" cy="1016000"/>
                    </a:xfrm>
                    <a:prstGeom prst="rect">
                      <a:avLst/>
                    </a:prstGeom>
                    <a:ln/>
                  </pic:spPr>
                </pic:pic>
              </a:graphicData>
            </a:graphic>
          </wp:inline>
        </w:drawing>
      </w:r>
    </w:p>
    <w:p w:rsidR="001668B9" w:rsidRPr="00004F28" w:rsidRDefault="001668B9">
      <w:pPr>
        <w:spacing w:line="360" w:lineRule="auto"/>
        <w:ind w:right="49"/>
        <w:jc w:val="both"/>
        <w:rPr>
          <w:rFonts w:ascii="Palatino Linotype" w:eastAsia="Palatino Linotype" w:hAnsi="Palatino Linotype" w:cs="Palatino Linotype"/>
        </w:rPr>
      </w:pPr>
    </w:p>
    <w:p w:rsidR="001668B9" w:rsidRPr="00004F28" w:rsidRDefault="00C95825">
      <w:pPr>
        <w:spacing w:line="360" w:lineRule="auto"/>
        <w:ind w:right="49"/>
        <w:jc w:val="both"/>
        <w:rPr>
          <w:rFonts w:ascii="Palatino Linotype" w:eastAsia="Palatino Linotype" w:hAnsi="Palatino Linotype" w:cs="Palatino Linotype"/>
        </w:rPr>
      </w:pPr>
      <w:r w:rsidRPr="00004F28">
        <w:rPr>
          <w:rFonts w:ascii="Palatino Linotype" w:eastAsia="Palatino Linotype" w:hAnsi="Palatino Linotype" w:cs="Palatino Linotype"/>
        </w:rPr>
        <w:t>De la imagen antes insertada, se desprende que después del turno al servidor público habilitado no se hizo notificación alguna de la respuesta. En consecuencia, en el caso que nos ocupa se actualiza la hipótesis de procedibilidad prevista en la fracción VII, del artículo 179 de la Ley de Transparencia y Acceso a la Información Pública del Estado de México y Municipios, el cual a la letra dice:</w:t>
      </w:r>
    </w:p>
    <w:p w:rsidR="001668B9" w:rsidRPr="00004F28" w:rsidRDefault="00C95825">
      <w:pPr>
        <w:ind w:left="851" w:right="901"/>
        <w:jc w:val="both"/>
        <w:rPr>
          <w:rFonts w:ascii="Palatino Linotype" w:eastAsia="Palatino Linotype" w:hAnsi="Palatino Linotype" w:cs="Palatino Linotype"/>
          <w:i/>
          <w:sz w:val="22"/>
          <w:szCs w:val="22"/>
        </w:rPr>
      </w:pPr>
      <w:r w:rsidRPr="00004F28">
        <w:rPr>
          <w:rFonts w:ascii="Palatino Linotype" w:eastAsia="Palatino Linotype" w:hAnsi="Palatino Linotype" w:cs="Palatino Linotype"/>
          <w:i/>
          <w:sz w:val="22"/>
          <w:szCs w:val="22"/>
        </w:rPr>
        <w:t>“</w:t>
      </w:r>
      <w:r w:rsidRPr="00004F28">
        <w:rPr>
          <w:rFonts w:ascii="Palatino Linotype" w:eastAsia="Palatino Linotype" w:hAnsi="Palatino Linotype" w:cs="Palatino Linotype"/>
          <w:b/>
          <w:i/>
          <w:sz w:val="22"/>
          <w:szCs w:val="22"/>
        </w:rPr>
        <w:t>Artículo 179.</w:t>
      </w:r>
      <w:r w:rsidRPr="00004F28">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rsidR="001668B9" w:rsidRPr="00004F28" w:rsidRDefault="00C95825">
      <w:pPr>
        <w:ind w:left="851" w:right="901"/>
        <w:jc w:val="both"/>
        <w:rPr>
          <w:rFonts w:ascii="Palatino Linotype" w:eastAsia="Palatino Linotype" w:hAnsi="Palatino Linotype" w:cs="Palatino Linotype"/>
          <w:b/>
          <w:i/>
          <w:sz w:val="22"/>
          <w:szCs w:val="22"/>
        </w:rPr>
      </w:pPr>
      <w:r w:rsidRPr="00004F28">
        <w:rPr>
          <w:rFonts w:ascii="Palatino Linotype" w:eastAsia="Palatino Linotype" w:hAnsi="Palatino Linotype" w:cs="Palatino Linotype"/>
          <w:b/>
          <w:i/>
          <w:sz w:val="22"/>
          <w:szCs w:val="22"/>
        </w:rPr>
        <w:t>(…)</w:t>
      </w:r>
    </w:p>
    <w:p w:rsidR="001668B9" w:rsidRPr="00004F28" w:rsidRDefault="00C95825">
      <w:pPr>
        <w:ind w:left="851" w:right="901"/>
        <w:jc w:val="both"/>
        <w:rPr>
          <w:rFonts w:ascii="Palatino Linotype" w:eastAsia="Palatino Linotype" w:hAnsi="Palatino Linotype" w:cs="Palatino Linotype"/>
          <w:b/>
          <w:i/>
          <w:sz w:val="22"/>
          <w:szCs w:val="22"/>
        </w:rPr>
      </w:pPr>
      <w:r w:rsidRPr="00004F28">
        <w:rPr>
          <w:rFonts w:ascii="Palatino Linotype" w:eastAsia="Palatino Linotype" w:hAnsi="Palatino Linotype" w:cs="Palatino Linotype"/>
          <w:b/>
          <w:i/>
          <w:sz w:val="22"/>
          <w:szCs w:val="22"/>
        </w:rPr>
        <w:t xml:space="preserve">VII. La falta de respuesta a una solicitud de acceso a la información; </w:t>
      </w:r>
    </w:p>
    <w:p w:rsidR="001668B9" w:rsidRPr="00004F28" w:rsidRDefault="00C95825">
      <w:pPr>
        <w:ind w:left="851" w:right="901"/>
        <w:jc w:val="both"/>
        <w:rPr>
          <w:rFonts w:ascii="Palatino Linotype" w:eastAsia="Palatino Linotype" w:hAnsi="Palatino Linotype" w:cs="Palatino Linotype"/>
          <w:i/>
          <w:sz w:val="22"/>
          <w:szCs w:val="22"/>
        </w:rPr>
      </w:pPr>
      <w:r w:rsidRPr="00004F28">
        <w:rPr>
          <w:rFonts w:ascii="Palatino Linotype" w:eastAsia="Palatino Linotype" w:hAnsi="Palatino Linotype" w:cs="Palatino Linotype"/>
          <w:b/>
          <w:i/>
          <w:sz w:val="22"/>
          <w:szCs w:val="22"/>
        </w:rPr>
        <w:t>(…)</w:t>
      </w:r>
      <w:r w:rsidRPr="00004F28">
        <w:rPr>
          <w:rFonts w:ascii="Palatino Linotype" w:eastAsia="Palatino Linotype" w:hAnsi="Palatino Linotype" w:cs="Palatino Linotype"/>
          <w:i/>
          <w:sz w:val="22"/>
          <w:szCs w:val="22"/>
        </w:rPr>
        <w:t>”</w:t>
      </w:r>
    </w:p>
    <w:p w:rsidR="001668B9" w:rsidRPr="00004F28" w:rsidRDefault="00C95825">
      <w:pPr>
        <w:ind w:left="851" w:right="901"/>
        <w:jc w:val="both"/>
        <w:rPr>
          <w:rFonts w:ascii="Palatino Linotype" w:eastAsia="Palatino Linotype" w:hAnsi="Palatino Linotype" w:cs="Palatino Linotype"/>
          <w:i/>
          <w:sz w:val="22"/>
          <w:szCs w:val="22"/>
        </w:rPr>
      </w:pPr>
      <w:r w:rsidRPr="00004F28">
        <w:rPr>
          <w:rFonts w:ascii="Palatino Linotype" w:eastAsia="Palatino Linotype" w:hAnsi="Palatino Linotype" w:cs="Palatino Linotype"/>
          <w:i/>
          <w:sz w:val="22"/>
          <w:szCs w:val="22"/>
        </w:rPr>
        <w:t>(Énfasis añadido)</w:t>
      </w:r>
    </w:p>
    <w:p w:rsidR="001668B9" w:rsidRPr="00004F28" w:rsidRDefault="001668B9">
      <w:pPr>
        <w:spacing w:line="360" w:lineRule="auto"/>
        <w:ind w:right="49"/>
        <w:jc w:val="both"/>
        <w:rPr>
          <w:rFonts w:ascii="Palatino Linotype" w:eastAsia="Palatino Linotype" w:hAnsi="Palatino Linotype" w:cs="Palatino Linotype"/>
        </w:rPr>
      </w:pPr>
    </w:p>
    <w:p w:rsidR="001668B9" w:rsidRPr="00004F28" w:rsidRDefault="00C95825">
      <w:pPr>
        <w:spacing w:line="360" w:lineRule="auto"/>
        <w:ind w:right="49"/>
        <w:jc w:val="both"/>
        <w:rPr>
          <w:rFonts w:ascii="Palatino Linotype" w:eastAsia="Palatino Linotype" w:hAnsi="Palatino Linotype" w:cs="Palatino Linotype"/>
        </w:rPr>
      </w:pPr>
      <w:r w:rsidRPr="00004F28">
        <w:rPr>
          <w:rFonts w:ascii="Palatino Linotype" w:eastAsia="Palatino Linotype" w:hAnsi="Palatino Linotype" w:cs="Palatino Linotype"/>
        </w:rPr>
        <w:t xml:space="preserve">Así bien de los argumentos antes expuestos se concluye que las razones o motivos de inconformidad vertidos por el particular en el escrito de interposición del presente  Recurso de Revisión devienen </w:t>
      </w:r>
      <w:r w:rsidRPr="00004F28">
        <w:rPr>
          <w:rFonts w:ascii="Palatino Linotype" w:eastAsia="Palatino Linotype" w:hAnsi="Palatino Linotype" w:cs="Palatino Linotype"/>
          <w:b/>
        </w:rPr>
        <w:t>fundados</w:t>
      </w:r>
      <w:r w:rsidRPr="00004F28">
        <w:rPr>
          <w:rFonts w:ascii="Palatino Linotype" w:eastAsia="Palatino Linotype" w:hAnsi="Palatino Linotype" w:cs="Palatino Linotype"/>
        </w:rPr>
        <w:t xml:space="preserve">. </w:t>
      </w:r>
    </w:p>
    <w:p w:rsidR="001668B9" w:rsidRPr="00004F28" w:rsidRDefault="001668B9">
      <w:pPr>
        <w:spacing w:line="360" w:lineRule="auto"/>
        <w:jc w:val="both"/>
        <w:rPr>
          <w:rFonts w:ascii="Palatino Linotype" w:eastAsia="Palatino Linotype" w:hAnsi="Palatino Linotype" w:cs="Palatino Linotype"/>
        </w:rPr>
      </w:pPr>
    </w:p>
    <w:p w:rsidR="001668B9" w:rsidRPr="00004F28" w:rsidRDefault="00C95825">
      <w:pPr>
        <w:spacing w:line="360" w:lineRule="auto"/>
        <w:jc w:val="both"/>
        <w:rPr>
          <w:rFonts w:ascii="Palatino Linotype" w:eastAsia="Palatino Linotype" w:hAnsi="Palatino Linotype" w:cs="Palatino Linotype"/>
        </w:rPr>
      </w:pPr>
      <w:r w:rsidRPr="00004F28">
        <w:rPr>
          <w:rFonts w:ascii="Palatino Linotype" w:eastAsia="Palatino Linotype" w:hAnsi="Palatino Linotype" w:cs="Palatino Linotype"/>
        </w:rPr>
        <w:t xml:space="preserve">No obstante lo anterior, es preciso mencionar que una vez abierta la etapa procesal de manifestaciones, </w:t>
      </w:r>
      <w:r w:rsidRPr="00004F28">
        <w:rPr>
          <w:rFonts w:ascii="Palatino Linotype" w:eastAsia="Palatino Linotype" w:hAnsi="Palatino Linotype" w:cs="Palatino Linotype"/>
          <w:b/>
        </w:rPr>
        <w:t xml:space="preserve">EL SUJETO OBLIGADO </w:t>
      </w:r>
      <w:r w:rsidRPr="00004F28">
        <w:rPr>
          <w:rFonts w:ascii="Palatino Linotype" w:eastAsia="Palatino Linotype" w:hAnsi="Palatino Linotype" w:cs="Palatino Linotype"/>
        </w:rPr>
        <w:t xml:space="preserve">remitió el archivo denominado </w:t>
      </w:r>
      <w:r w:rsidRPr="00004F28">
        <w:rPr>
          <w:rFonts w:ascii="Palatino Linotype" w:eastAsia="Palatino Linotype" w:hAnsi="Palatino Linotype" w:cs="Palatino Linotype"/>
          <w:i/>
        </w:rPr>
        <w:t xml:space="preserve">respuesta de solicitud 765-22.pdff, </w:t>
      </w:r>
      <w:r w:rsidRPr="00004F28">
        <w:rPr>
          <w:rFonts w:ascii="Palatino Linotype" w:eastAsia="Palatino Linotype" w:hAnsi="Palatino Linotype" w:cs="Palatino Linotype"/>
        </w:rPr>
        <w:t xml:space="preserve">mediante el cual señala no contar con los manuales o materiales requeridos, como se observa de la captura de pantalla que se inserta a continuación:  </w:t>
      </w:r>
    </w:p>
    <w:p w:rsidR="001668B9" w:rsidRPr="00004F28" w:rsidRDefault="001668B9">
      <w:pPr>
        <w:spacing w:line="360" w:lineRule="auto"/>
        <w:jc w:val="both"/>
        <w:rPr>
          <w:rFonts w:ascii="Palatino Linotype" w:eastAsia="Palatino Linotype" w:hAnsi="Palatino Linotype" w:cs="Palatino Linotype"/>
        </w:rPr>
      </w:pPr>
    </w:p>
    <w:p w:rsidR="001668B9" w:rsidRPr="00004F28" w:rsidRDefault="00C95825">
      <w:pPr>
        <w:spacing w:line="360" w:lineRule="auto"/>
        <w:jc w:val="center"/>
        <w:rPr>
          <w:rFonts w:ascii="Palatino Linotype" w:eastAsia="Palatino Linotype" w:hAnsi="Palatino Linotype" w:cs="Palatino Linotype"/>
        </w:rPr>
      </w:pPr>
      <w:r w:rsidRPr="00004F28">
        <w:rPr>
          <w:rFonts w:ascii="Palatino Linotype" w:eastAsia="Palatino Linotype" w:hAnsi="Palatino Linotype" w:cs="Palatino Linotype"/>
          <w:noProof/>
        </w:rPr>
        <w:lastRenderedPageBreak/>
        <w:drawing>
          <wp:inline distT="114300" distB="114300" distL="114300" distR="114300">
            <wp:extent cx="4914900" cy="4000500"/>
            <wp:effectExtent l="0" t="0" r="0" b="0"/>
            <wp:docPr id="2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4914900" cy="4000500"/>
                    </a:xfrm>
                    <a:prstGeom prst="rect">
                      <a:avLst/>
                    </a:prstGeom>
                    <a:ln/>
                  </pic:spPr>
                </pic:pic>
              </a:graphicData>
            </a:graphic>
          </wp:inline>
        </w:drawing>
      </w:r>
    </w:p>
    <w:p w:rsidR="001668B9" w:rsidRPr="00004F28" w:rsidRDefault="001668B9">
      <w:pPr>
        <w:tabs>
          <w:tab w:val="left" w:pos="709"/>
        </w:tabs>
        <w:spacing w:line="360" w:lineRule="auto"/>
        <w:ind w:right="49"/>
        <w:jc w:val="both"/>
        <w:rPr>
          <w:rFonts w:ascii="Palatino Linotype" w:eastAsia="Palatino Linotype" w:hAnsi="Palatino Linotype" w:cs="Palatino Linotype"/>
        </w:rPr>
      </w:pPr>
    </w:p>
    <w:p w:rsidR="001668B9" w:rsidRPr="00004F28" w:rsidRDefault="00C95825">
      <w:pPr>
        <w:tabs>
          <w:tab w:val="left" w:pos="709"/>
        </w:tabs>
        <w:spacing w:line="360" w:lineRule="auto"/>
        <w:ind w:right="49"/>
        <w:jc w:val="both"/>
        <w:rPr>
          <w:rFonts w:ascii="Palatino Linotype" w:eastAsia="Palatino Linotype" w:hAnsi="Palatino Linotype" w:cs="Palatino Linotype"/>
        </w:rPr>
      </w:pPr>
      <w:r w:rsidRPr="00004F28">
        <w:rPr>
          <w:rFonts w:ascii="Palatino Linotype" w:eastAsia="Palatino Linotype" w:hAnsi="Palatino Linotype" w:cs="Palatino Linotype"/>
        </w:rPr>
        <w:t xml:space="preserve">De la captura anterior se observa que </w:t>
      </w:r>
      <w:r w:rsidRPr="00004F28">
        <w:rPr>
          <w:rFonts w:ascii="Palatino Linotype" w:eastAsia="Palatino Linotype" w:hAnsi="Palatino Linotype" w:cs="Palatino Linotype"/>
          <w:b/>
        </w:rPr>
        <w:t>EL SUJETO OBLIGADO</w:t>
      </w:r>
      <w:r w:rsidRPr="00004F28">
        <w:rPr>
          <w:rFonts w:ascii="Palatino Linotype" w:eastAsia="Palatino Linotype" w:hAnsi="Palatino Linotype" w:cs="Palatino Linotype"/>
        </w:rPr>
        <w:t xml:space="preserve"> se pronunció respecto de la información solicitada señalando que no cuenta con la misma. </w:t>
      </w:r>
    </w:p>
    <w:p w:rsidR="001668B9" w:rsidRPr="00004F28" w:rsidRDefault="001668B9">
      <w:pPr>
        <w:tabs>
          <w:tab w:val="left" w:pos="709"/>
        </w:tabs>
        <w:spacing w:line="360" w:lineRule="auto"/>
        <w:ind w:right="49"/>
        <w:jc w:val="both"/>
        <w:rPr>
          <w:rFonts w:ascii="Palatino Linotype" w:eastAsia="Palatino Linotype" w:hAnsi="Palatino Linotype" w:cs="Palatino Linotype"/>
        </w:rPr>
      </w:pPr>
    </w:p>
    <w:p w:rsidR="001668B9" w:rsidRPr="00004F28" w:rsidRDefault="00C95825">
      <w:pPr>
        <w:tabs>
          <w:tab w:val="left" w:pos="709"/>
        </w:tabs>
        <w:spacing w:line="360" w:lineRule="auto"/>
        <w:ind w:right="49"/>
        <w:jc w:val="both"/>
        <w:rPr>
          <w:rFonts w:ascii="Palatino Linotype" w:eastAsia="Palatino Linotype" w:hAnsi="Palatino Linotype" w:cs="Palatino Linotype"/>
        </w:rPr>
      </w:pPr>
      <w:r w:rsidRPr="00004F28">
        <w:rPr>
          <w:rFonts w:ascii="Palatino Linotype" w:eastAsia="Palatino Linotype" w:hAnsi="Palatino Linotype" w:cs="Palatino Linotype"/>
        </w:rPr>
        <w:t xml:space="preserve">No obstante, dicho pronunciamiento fue realizado por medio del Titular de la Unidad de Transparencia del Ayuntamiento, quien si bien refirió turnar la solicitud de información a los servidores públicos habilitados competentes, de las constancias que obran en el expediente electrónico del SAIMEX se observa que este requerimiento quedó pendiente de respuesta y de la información notificada al particular mediante el </w:t>
      </w:r>
      <w:r w:rsidRPr="00004F28">
        <w:rPr>
          <w:rFonts w:ascii="Palatino Linotype" w:eastAsia="Palatino Linotype" w:hAnsi="Palatino Linotype" w:cs="Palatino Linotype"/>
        </w:rPr>
        <w:lastRenderedPageBreak/>
        <w:t xml:space="preserve">Informe Justificado no se advierte pronunciamiento del servidor público habilitado competente.  </w:t>
      </w:r>
    </w:p>
    <w:p w:rsidR="001668B9" w:rsidRPr="00004F28" w:rsidRDefault="001668B9">
      <w:pPr>
        <w:tabs>
          <w:tab w:val="left" w:pos="709"/>
        </w:tabs>
        <w:spacing w:line="360" w:lineRule="auto"/>
        <w:ind w:right="49"/>
        <w:jc w:val="both"/>
        <w:rPr>
          <w:rFonts w:ascii="Palatino Linotype" w:eastAsia="Palatino Linotype" w:hAnsi="Palatino Linotype" w:cs="Palatino Linotype"/>
        </w:rPr>
      </w:pPr>
    </w:p>
    <w:p w:rsidR="001668B9" w:rsidRPr="00004F28" w:rsidRDefault="00C95825">
      <w:pPr>
        <w:spacing w:after="280" w:line="360" w:lineRule="auto"/>
        <w:jc w:val="both"/>
        <w:rPr>
          <w:rFonts w:ascii="Palatino Linotype" w:eastAsia="Palatino Linotype" w:hAnsi="Palatino Linotype" w:cs="Palatino Linotype"/>
        </w:rPr>
      </w:pPr>
      <w:r w:rsidRPr="00004F28">
        <w:rPr>
          <w:rFonts w:ascii="Palatino Linotype" w:eastAsia="Palatino Linotype" w:hAnsi="Palatino Linotype" w:cs="Palatino Linotype"/>
        </w:rPr>
        <w:t>Atento a lo anterior, conviene señalar la importancia de determinar en quién recae la figura de los servidores públicos habilitados competentes, los cuales son los encargados dentro de las diversas unidades administrativas o áreas de los Sujetos Obligados, de apoyar, gestionar y entregar la información o datos personales que se ubiquen en la misma, a sus respectivas Unidades de Transparencia, en términos de lo dispuesto en los artículos 3 fracción XXXIX, 50, 51, 53 y 59 fracciones I, II y III, de la Ley de la materia, mismos que se transcriben a continuación:</w:t>
      </w:r>
    </w:p>
    <w:p w:rsidR="001668B9" w:rsidRPr="00004F28" w:rsidRDefault="00C95825">
      <w:pPr>
        <w:ind w:left="567" w:right="616"/>
        <w:jc w:val="both"/>
      </w:pPr>
      <w:r w:rsidRPr="00004F28">
        <w:rPr>
          <w:rFonts w:ascii="Palatino Linotype" w:eastAsia="Palatino Linotype" w:hAnsi="Palatino Linotype" w:cs="Palatino Linotype"/>
          <w:i/>
          <w:sz w:val="22"/>
          <w:szCs w:val="22"/>
        </w:rPr>
        <w:t>“</w:t>
      </w:r>
      <w:r w:rsidRPr="00004F28">
        <w:rPr>
          <w:rFonts w:ascii="Palatino Linotype" w:eastAsia="Palatino Linotype" w:hAnsi="Palatino Linotype" w:cs="Palatino Linotype"/>
          <w:b/>
          <w:i/>
          <w:sz w:val="22"/>
          <w:szCs w:val="22"/>
        </w:rPr>
        <w:t>Artículo 3</w:t>
      </w:r>
      <w:r w:rsidRPr="00004F28">
        <w:rPr>
          <w:rFonts w:ascii="Palatino Linotype" w:eastAsia="Palatino Linotype" w:hAnsi="Palatino Linotype" w:cs="Palatino Linotype"/>
          <w:i/>
          <w:sz w:val="22"/>
          <w:szCs w:val="22"/>
        </w:rPr>
        <w:t xml:space="preserve">. </w:t>
      </w:r>
      <w:r w:rsidRPr="00004F28">
        <w:rPr>
          <w:rFonts w:ascii="Palatino Linotype" w:eastAsia="Palatino Linotype" w:hAnsi="Palatino Linotype" w:cs="Palatino Linotype"/>
          <w:b/>
          <w:i/>
          <w:sz w:val="22"/>
          <w:szCs w:val="22"/>
          <w:u w:val="single"/>
        </w:rPr>
        <w:t>Para los efectos de la presente Ley se entenderá por</w:t>
      </w:r>
      <w:r w:rsidRPr="00004F28">
        <w:rPr>
          <w:rFonts w:ascii="Palatino Linotype" w:eastAsia="Palatino Linotype" w:hAnsi="Palatino Linotype" w:cs="Palatino Linotype"/>
          <w:i/>
          <w:sz w:val="22"/>
          <w:szCs w:val="22"/>
        </w:rPr>
        <w:t>: </w:t>
      </w:r>
    </w:p>
    <w:p w:rsidR="001668B9" w:rsidRPr="00004F28" w:rsidRDefault="00C95825">
      <w:pPr>
        <w:ind w:left="567" w:right="616"/>
        <w:jc w:val="both"/>
      </w:pPr>
      <w:r w:rsidRPr="00004F28">
        <w:rPr>
          <w:rFonts w:ascii="Palatino Linotype" w:eastAsia="Palatino Linotype" w:hAnsi="Palatino Linotype" w:cs="Palatino Linotype"/>
          <w:b/>
          <w:i/>
          <w:sz w:val="22"/>
          <w:szCs w:val="22"/>
        </w:rPr>
        <w:t>XXXIX</w:t>
      </w:r>
      <w:r w:rsidRPr="00004F28">
        <w:rPr>
          <w:rFonts w:ascii="Palatino Linotype" w:eastAsia="Palatino Linotype" w:hAnsi="Palatino Linotype" w:cs="Palatino Linotype"/>
          <w:i/>
          <w:sz w:val="22"/>
          <w:szCs w:val="22"/>
        </w:rPr>
        <w:t xml:space="preserve">. </w:t>
      </w:r>
      <w:r w:rsidRPr="00004F28">
        <w:rPr>
          <w:rFonts w:ascii="Palatino Linotype" w:eastAsia="Palatino Linotype" w:hAnsi="Palatino Linotype" w:cs="Palatino Linotype"/>
          <w:b/>
          <w:i/>
          <w:sz w:val="22"/>
          <w:szCs w:val="22"/>
          <w:u w:val="single"/>
        </w:rPr>
        <w:t>Servidor público habilitado</w:t>
      </w:r>
      <w:r w:rsidRPr="00004F28">
        <w:rPr>
          <w:rFonts w:ascii="Palatino Linotype" w:eastAsia="Palatino Linotype" w:hAnsi="Palatino Linotype" w:cs="Palatino Linotype"/>
          <w:i/>
          <w:sz w:val="22"/>
          <w:szCs w:val="22"/>
        </w:rPr>
        <w:t>: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rsidR="001668B9" w:rsidRPr="00004F28" w:rsidRDefault="00C95825">
      <w:pPr>
        <w:ind w:left="567" w:right="616"/>
        <w:jc w:val="both"/>
      </w:pPr>
      <w:r w:rsidRPr="00004F28">
        <w:rPr>
          <w:rFonts w:ascii="Palatino Linotype" w:eastAsia="Palatino Linotype" w:hAnsi="Palatino Linotype" w:cs="Palatino Linotype"/>
          <w:i/>
          <w:sz w:val="22"/>
          <w:szCs w:val="22"/>
        </w:rPr>
        <w:t>…</w:t>
      </w:r>
    </w:p>
    <w:p w:rsidR="001668B9" w:rsidRPr="00004F28" w:rsidRDefault="00C95825">
      <w:pPr>
        <w:ind w:left="567" w:right="618"/>
        <w:jc w:val="both"/>
      </w:pPr>
      <w:r w:rsidRPr="00004F28">
        <w:rPr>
          <w:rFonts w:ascii="Palatino Linotype" w:eastAsia="Palatino Linotype" w:hAnsi="Palatino Linotype" w:cs="Palatino Linotype"/>
          <w:b/>
          <w:i/>
          <w:sz w:val="22"/>
          <w:szCs w:val="22"/>
        </w:rPr>
        <w:t>Artículo 50.</w:t>
      </w:r>
      <w:r w:rsidRPr="00004F28">
        <w:rPr>
          <w:rFonts w:ascii="Palatino Linotype" w:eastAsia="Palatino Linotype" w:hAnsi="Palatino Linotype" w:cs="Palatino Linotype"/>
          <w:i/>
          <w:sz w:val="22"/>
          <w:szCs w:val="22"/>
        </w:rPr>
        <w:t xml:space="preserve"> Los sujetos obligados contarán con un área responsable para la atención de las solicitudes de información, a la que se le denominará Unidad de Transparencia.</w:t>
      </w:r>
    </w:p>
    <w:p w:rsidR="001668B9" w:rsidRPr="00004F28" w:rsidRDefault="00C95825">
      <w:pPr>
        <w:ind w:left="567" w:right="618"/>
        <w:jc w:val="both"/>
      </w:pPr>
      <w:r w:rsidRPr="00004F28">
        <w:rPr>
          <w:rFonts w:ascii="Palatino Linotype" w:eastAsia="Palatino Linotype" w:hAnsi="Palatino Linotype" w:cs="Palatino Linotype"/>
          <w:b/>
          <w:i/>
          <w:sz w:val="22"/>
          <w:szCs w:val="22"/>
        </w:rPr>
        <w:t>Artículo 51</w:t>
      </w:r>
      <w:r w:rsidRPr="00004F28">
        <w:rPr>
          <w:rFonts w:ascii="Palatino Linotype" w:eastAsia="Palatino Linotype" w:hAnsi="Palatino Linotype" w:cs="Palatino Linotype"/>
          <w:i/>
          <w:sz w:val="22"/>
          <w:szCs w:val="22"/>
        </w:rPr>
        <w:t>. Los sujetos obligados designaran a un responsable para atender la Unidad de Transparencia, quien fungirá como enlace entre éstos y los solicitantes. Dicha Unidad será la encargada de tramitar internamente la solicitud de información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rsidR="001668B9" w:rsidRPr="00004F28" w:rsidRDefault="001668B9">
      <w:pPr>
        <w:ind w:left="567" w:right="618"/>
        <w:jc w:val="both"/>
        <w:rPr>
          <w:rFonts w:ascii="Palatino Linotype" w:eastAsia="Palatino Linotype" w:hAnsi="Palatino Linotype" w:cs="Palatino Linotype"/>
          <w:b/>
          <w:i/>
          <w:sz w:val="22"/>
          <w:szCs w:val="22"/>
        </w:rPr>
      </w:pPr>
    </w:p>
    <w:p w:rsidR="001668B9" w:rsidRPr="00004F28" w:rsidRDefault="00C95825">
      <w:pPr>
        <w:ind w:left="567" w:right="618"/>
        <w:jc w:val="both"/>
      </w:pPr>
      <w:r w:rsidRPr="00004F28">
        <w:rPr>
          <w:rFonts w:ascii="Palatino Linotype" w:eastAsia="Palatino Linotype" w:hAnsi="Palatino Linotype" w:cs="Palatino Linotype"/>
          <w:b/>
          <w:i/>
          <w:sz w:val="22"/>
          <w:szCs w:val="22"/>
        </w:rPr>
        <w:t>Artículo 53</w:t>
      </w:r>
      <w:r w:rsidRPr="00004F28">
        <w:rPr>
          <w:rFonts w:ascii="Palatino Linotype" w:eastAsia="Palatino Linotype" w:hAnsi="Palatino Linotype" w:cs="Palatino Linotype"/>
          <w:i/>
          <w:sz w:val="22"/>
          <w:szCs w:val="22"/>
        </w:rPr>
        <w:t>. Las Unidades de Transparencia tendrán las siguientes funciones:</w:t>
      </w:r>
    </w:p>
    <w:p w:rsidR="001668B9" w:rsidRPr="00004F28" w:rsidRDefault="00C95825">
      <w:pPr>
        <w:ind w:left="567" w:right="618"/>
        <w:jc w:val="both"/>
      </w:pPr>
      <w:r w:rsidRPr="00004F28">
        <w:rPr>
          <w:rFonts w:ascii="Palatino Linotype" w:eastAsia="Palatino Linotype" w:hAnsi="Palatino Linotype" w:cs="Palatino Linotype"/>
          <w:i/>
          <w:sz w:val="22"/>
          <w:szCs w:val="22"/>
        </w:rPr>
        <w:t>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w:t>
      </w:r>
    </w:p>
    <w:p w:rsidR="001668B9" w:rsidRPr="00004F28" w:rsidRDefault="00C95825">
      <w:pPr>
        <w:ind w:left="567" w:right="618"/>
        <w:jc w:val="both"/>
      </w:pPr>
      <w:r w:rsidRPr="00004F28">
        <w:rPr>
          <w:rFonts w:ascii="Palatino Linotype" w:eastAsia="Palatino Linotype" w:hAnsi="Palatino Linotype" w:cs="Palatino Linotype"/>
          <w:b/>
          <w:i/>
          <w:sz w:val="22"/>
          <w:szCs w:val="22"/>
        </w:rPr>
        <w:lastRenderedPageBreak/>
        <w:t xml:space="preserve">II. Recibir, </w:t>
      </w:r>
      <w:r w:rsidRPr="00004F28">
        <w:rPr>
          <w:rFonts w:ascii="Palatino Linotype" w:eastAsia="Palatino Linotype" w:hAnsi="Palatino Linotype" w:cs="Palatino Linotype"/>
          <w:b/>
          <w:i/>
          <w:sz w:val="22"/>
          <w:szCs w:val="22"/>
          <w:u w:val="single"/>
        </w:rPr>
        <w:t>tramitar</w:t>
      </w:r>
      <w:r w:rsidRPr="00004F28">
        <w:rPr>
          <w:rFonts w:ascii="Palatino Linotype" w:eastAsia="Palatino Linotype" w:hAnsi="Palatino Linotype" w:cs="Palatino Linotype"/>
          <w:b/>
          <w:i/>
          <w:sz w:val="22"/>
          <w:szCs w:val="22"/>
        </w:rPr>
        <w:t xml:space="preserve"> y dar respuesta a las solicitudes de acceso a la información;</w:t>
      </w:r>
    </w:p>
    <w:p w:rsidR="001668B9" w:rsidRPr="00004F28" w:rsidRDefault="00C95825">
      <w:pPr>
        <w:ind w:left="567" w:right="618"/>
        <w:jc w:val="both"/>
      </w:pPr>
      <w:r w:rsidRPr="00004F28">
        <w:rPr>
          <w:rFonts w:ascii="Palatino Linotype" w:eastAsia="Palatino Linotype" w:hAnsi="Palatino Linotype" w:cs="Palatino Linotype"/>
          <w:i/>
          <w:sz w:val="22"/>
          <w:szCs w:val="22"/>
        </w:rPr>
        <w:t>III. Auxiliar a los particulares en la elaboración de solicitudes de acceso a la información y, en su caso, orientarlos sobre los sujetos obligados competentes conforme a la normatividad aplicable;</w:t>
      </w:r>
    </w:p>
    <w:p w:rsidR="001668B9" w:rsidRPr="00004F28" w:rsidRDefault="00C95825">
      <w:pPr>
        <w:ind w:left="567" w:right="618"/>
        <w:jc w:val="both"/>
      </w:pPr>
      <w:r w:rsidRPr="00004F28">
        <w:rPr>
          <w:rFonts w:ascii="Palatino Linotype" w:eastAsia="Palatino Linotype" w:hAnsi="Palatino Linotype" w:cs="Palatino Linotype"/>
          <w:i/>
          <w:sz w:val="22"/>
          <w:szCs w:val="22"/>
        </w:rPr>
        <w:t>IV. Realizar, con efectividad, los trámites internos necesarios para la atención de las solicitudes de acceso a la información;</w:t>
      </w:r>
    </w:p>
    <w:p w:rsidR="001668B9" w:rsidRPr="00004F28" w:rsidRDefault="00C95825">
      <w:pPr>
        <w:ind w:left="567" w:right="618"/>
        <w:jc w:val="both"/>
      </w:pPr>
      <w:r w:rsidRPr="00004F28">
        <w:rPr>
          <w:rFonts w:ascii="Palatino Linotype" w:eastAsia="Palatino Linotype" w:hAnsi="Palatino Linotype" w:cs="Palatino Linotype"/>
          <w:i/>
          <w:sz w:val="22"/>
          <w:szCs w:val="22"/>
        </w:rPr>
        <w:t>V. Entregar, en su caso, a los particulares la información solicitada;</w:t>
      </w:r>
    </w:p>
    <w:p w:rsidR="001668B9" w:rsidRPr="00004F28" w:rsidRDefault="00C95825">
      <w:pPr>
        <w:ind w:left="567" w:right="618"/>
        <w:jc w:val="both"/>
      </w:pPr>
      <w:r w:rsidRPr="00004F28">
        <w:rPr>
          <w:rFonts w:ascii="Palatino Linotype" w:eastAsia="Palatino Linotype" w:hAnsi="Palatino Linotype" w:cs="Palatino Linotype"/>
          <w:i/>
          <w:sz w:val="22"/>
          <w:szCs w:val="22"/>
        </w:rPr>
        <w:t>VI. Efectuar las notificaciones a los solicitantes;</w:t>
      </w:r>
    </w:p>
    <w:p w:rsidR="001668B9" w:rsidRPr="00004F28" w:rsidRDefault="00C95825">
      <w:pPr>
        <w:ind w:left="567" w:right="618"/>
        <w:jc w:val="both"/>
      </w:pPr>
      <w:r w:rsidRPr="00004F28">
        <w:rPr>
          <w:rFonts w:ascii="Palatino Linotype" w:eastAsia="Palatino Linotype" w:hAnsi="Palatino Linotype" w:cs="Palatino Linotype"/>
          <w:i/>
          <w:sz w:val="22"/>
          <w:szCs w:val="22"/>
        </w:rPr>
        <w:t>VII. Proponer al Comité de Transparencia, los procedimientos internos que aseguren la mayor eficiencia en la gestión de las solicitudes de acceso a la información, conforme a la normatividad aplicable;</w:t>
      </w:r>
    </w:p>
    <w:p w:rsidR="001668B9" w:rsidRPr="00004F28" w:rsidRDefault="00C95825">
      <w:pPr>
        <w:ind w:left="567" w:right="618"/>
        <w:jc w:val="both"/>
      </w:pPr>
      <w:r w:rsidRPr="00004F28">
        <w:rPr>
          <w:rFonts w:ascii="Palatino Linotype" w:eastAsia="Palatino Linotype" w:hAnsi="Palatino Linotype" w:cs="Palatino Linotype"/>
          <w:i/>
          <w:sz w:val="22"/>
          <w:szCs w:val="22"/>
        </w:rPr>
        <w:t>VIII. Proponer a quien preside el Comité de Transparencia, personal habilitado que sea necesario para recibir y dar trámite a las solicitudes de acceso a la información;</w:t>
      </w:r>
    </w:p>
    <w:p w:rsidR="001668B9" w:rsidRPr="00004F28" w:rsidRDefault="00C95825">
      <w:pPr>
        <w:ind w:left="567" w:right="618"/>
        <w:jc w:val="both"/>
      </w:pPr>
      <w:r w:rsidRPr="00004F28">
        <w:rPr>
          <w:rFonts w:ascii="Palatino Linotype" w:eastAsia="Palatino Linotype" w:hAnsi="Palatino Linotype" w:cs="Palatino Linotype"/>
          <w:i/>
          <w:sz w:val="22"/>
          <w:szCs w:val="22"/>
        </w:rPr>
        <w:t>IX. Llevar un registro de las solicitudes de acceso a la información, sus respuestas, resultados, costos de reproducción y envío, resolución a los recursos de revisión que se hayan emitido en contra de sus respuestas y del cumplimiento de las mismas;</w:t>
      </w:r>
    </w:p>
    <w:p w:rsidR="001668B9" w:rsidRPr="00004F28" w:rsidRDefault="00C95825">
      <w:pPr>
        <w:ind w:left="567" w:right="618"/>
        <w:jc w:val="both"/>
      </w:pPr>
      <w:r w:rsidRPr="00004F28">
        <w:rPr>
          <w:rFonts w:ascii="Palatino Linotype" w:eastAsia="Palatino Linotype" w:hAnsi="Palatino Linotype" w:cs="Palatino Linotype"/>
          <w:i/>
          <w:sz w:val="22"/>
          <w:szCs w:val="22"/>
        </w:rPr>
        <w:t>X. Presentar ante el Comité, el proyecto de clasificación de información;</w:t>
      </w:r>
    </w:p>
    <w:p w:rsidR="001668B9" w:rsidRPr="00004F28" w:rsidRDefault="00C95825">
      <w:pPr>
        <w:ind w:left="567" w:right="618"/>
        <w:jc w:val="both"/>
      </w:pPr>
      <w:r w:rsidRPr="00004F28">
        <w:rPr>
          <w:rFonts w:ascii="Palatino Linotype" w:eastAsia="Palatino Linotype" w:hAnsi="Palatino Linotype" w:cs="Palatino Linotype"/>
          <w:i/>
          <w:sz w:val="22"/>
          <w:szCs w:val="22"/>
        </w:rPr>
        <w:t>XI. Promover e implementar políticas de transparencia proactiva procurando su accesibilidad;</w:t>
      </w:r>
    </w:p>
    <w:p w:rsidR="001668B9" w:rsidRPr="00004F28" w:rsidRDefault="00C95825">
      <w:pPr>
        <w:ind w:left="567" w:right="618"/>
        <w:jc w:val="both"/>
      </w:pPr>
      <w:r w:rsidRPr="00004F28">
        <w:rPr>
          <w:rFonts w:ascii="Palatino Linotype" w:eastAsia="Palatino Linotype" w:hAnsi="Palatino Linotype" w:cs="Palatino Linotype"/>
          <w:i/>
          <w:sz w:val="22"/>
          <w:szCs w:val="22"/>
        </w:rPr>
        <w:t>XII. Fomentar la transparencia y accesibilidad al interior del sujeto obligado;</w:t>
      </w:r>
    </w:p>
    <w:p w:rsidR="001668B9" w:rsidRPr="00004F28" w:rsidRDefault="00C95825">
      <w:pPr>
        <w:ind w:left="567" w:right="618"/>
        <w:jc w:val="both"/>
      </w:pPr>
      <w:r w:rsidRPr="00004F28">
        <w:rPr>
          <w:rFonts w:ascii="Palatino Linotype" w:eastAsia="Palatino Linotype" w:hAnsi="Palatino Linotype" w:cs="Palatino Linotype"/>
          <w:i/>
          <w:sz w:val="22"/>
          <w:szCs w:val="22"/>
        </w:rPr>
        <w:t>XIII. Hacer del conocimiento de la instancia competente la probable responsabilidad por el incumplimiento de las obligaciones previstas en la presente Ley; y</w:t>
      </w:r>
    </w:p>
    <w:p w:rsidR="001668B9" w:rsidRPr="00004F28" w:rsidRDefault="00C95825">
      <w:pPr>
        <w:ind w:left="567" w:right="618"/>
        <w:jc w:val="both"/>
      </w:pPr>
      <w:r w:rsidRPr="00004F28">
        <w:rPr>
          <w:rFonts w:ascii="Palatino Linotype" w:eastAsia="Palatino Linotype" w:hAnsi="Palatino Linotype" w:cs="Palatino Linotype"/>
          <w:i/>
          <w:sz w:val="22"/>
          <w:szCs w:val="22"/>
        </w:rPr>
        <w:t>XIV. Las demás que resulten necesarias para facilitar el acceso a la información y aquellas que se desprenden de la presente Ley y demás disposiciones jurídicas aplicables.</w:t>
      </w:r>
    </w:p>
    <w:p w:rsidR="001668B9" w:rsidRPr="00004F28" w:rsidRDefault="00C95825">
      <w:pPr>
        <w:ind w:left="567" w:right="618"/>
        <w:jc w:val="both"/>
      </w:pPr>
      <w:r w:rsidRPr="00004F28">
        <w:rPr>
          <w:rFonts w:ascii="Palatino Linotype" w:eastAsia="Palatino Linotype" w:hAnsi="Palatino Linotype" w:cs="Palatino Linotype"/>
          <w:i/>
          <w:sz w:val="22"/>
          <w:szCs w:val="22"/>
        </w:rPr>
        <w:t>Los sujetos obligados promoverán acuerdos con instituciones públicas especializadas que pudieran auxiliarse a entregar las respuestas a solicitudes de información, en la lengua indígena, braille o cualquier formato accesible correspondiente, en forma más eficiente.</w:t>
      </w:r>
    </w:p>
    <w:p w:rsidR="001668B9" w:rsidRPr="00004F28" w:rsidRDefault="00C95825">
      <w:pPr>
        <w:ind w:left="567" w:right="618"/>
        <w:jc w:val="both"/>
      </w:pPr>
      <w:r w:rsidRPr="00004F28">
        <w:rPr>
          <w:rFonts w:ascii="Palatino Linotype" w:eastAsia="Palatino Linotype" w:hAnsi="Palatino Linotype" w:cs="Palatino Linotype"/>
          <w:i/>
          <w:sz w:val="22"/>
          <w:szCs w:val="22"/>
        </w:rPr>
        <w:t>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w:t>
      </w:r>
    </w:p>
    <w:p w:rsidR="001668B9" w:rsidRPr="00004F28" w:rsidRDefault="001668B9">
      <w:pPr>
        <w:ind w:left="567" w:right="616"/>
        <w:jc w:val="both"/>
        <w:rPr>
          <w:rFonts w:ascii="Palatino Linotype" w:eastAsia="Palatino Linotype" w:hAnsi="Palatino Linotype" w:cs="Palatino Linotype"/>
          <w:b/>
          <w:i/>
          <w:sz w:val="22"/>
          <w:szCs w:val="22"/>
        </w:rPr>
      </w:pPr>
    </w:p>
    <w:p w:rsidR="001668B9" w:rsidRPr="00004F28" w:rsidRDefault="00C95825">
      <w:pPr>
        <w:ind w:left="567" w:right="616"/>
        <w:jc w:val="both"/>
      </w:pPr>
      <w:r w:rsidRPr="00004F28">
        <w:rPr>
          <w:rFonts w:ascii="Palatino Linotype" w:eastAsia="Palatino Linotype" w:hAnsi="Palatino Linotype" w:cs="Palatino Linotype"/>
          <w:b/>
          <w:i/>
          <w:sz w:val="22"/>
          <w:szCs w:val="22"/>
        </w:rPr>
        <w:t>Artículo 59</w:t>
      </w:r>
      <w:r w:rsidRPr="00004F28">
        <w:rPr>
          <w:rFonts w:ascii="Palatino Linotype" w:eastAsia="Palatino Linotype" w:hAnsi="Palatino Linotype" w:cs="Palatino Linotype"/>
          <w:i/>
          <w:sz w:val="22"/>
          <w:szCs w:val="22"/>
        </w:rPr>
        <w:t xml:space="preserve">. </w:t>
      </w:r>
      <w:r w:rsidRPr="00004F28">
        <w:rPr>
          <w:rFonts w:ascii="Palatino Linotype" w:eastAsia="Palatino Linotype" w:hAnsi="Palatino Linotype" w:cs="Palatino Linotype"/>
          <w:b/>
          <w:i/>
          <w:sz w:val="22"/>
          <w:szCs w:val="22"/>
          <w:u w:val="single"/>
        </w:rPr>
        <w:t>Los servidores públicos habilitados tendrán las funciones siguientes</w:t>
      </w:r>
      <w:r w:rsidRPr="00004F28">
        <w:rPr>
          <w:rFonts w:ascii="Palatino Linotype" w:eastAsia="Palatino Linotype" w:hAnsi="Palatino Linotype" w:cs="Palatino Linotype"/>
          <w:i/>
          <w:sz w:val="22"/>
          <w:szCs w:val="22"/>
        </w:rPr>
        <w:t>: </w:t>
      </w:r>
    </w:p>
    <w:p w:rsidR="001668B9" w:rsidRPr="00004F28" w:rsidRDefault="00C95825">
      <w:pPr>
        <w:ind w:left="567" w:right="616"/>
        <w:jc w:val="both"/>
      </w:pPr>
      <w:r w:rsidRPr="00004F28">
        <w:rPr>
          <w:rFonts w:ascii="Palatino Linotype" w:eastAsia="Palatino Linotype" w:hAnsi="Palatino Linotype" w:cs="Palatino Linotype"/>
          <w:b/>
          <w:i/>
          <w:sz w:val="22"/>
          <w:szCs w:val="22"/>
        </w:rPr>
        <w:t xml:space="preserve">I. </w:t>
      </w:r>
      <w:r w:rsidRPr="00004F28">
        <w:rPr>
          <w:rFonts w:ascii="Palatino Linotype" w:eastAsia="Palatino Linotype" w:hAnsi="Palatino Linotype" w:cs="Palatino Linotype"/>
          <w:b/>
          <w:i/>
          <w:sz w:val="22"/>
          <w:szCs w:val="22"/>
          <w:u w:val="single"/>
        </w:rPr>
        <w:t>Localizar la información que le solicite la Unidad de Transparencia</w:t>
      </w:r>
      <w:r w:rsidRPr="00004F28">
        <w:rPr>
          <w:rFonts w:ascii="Palatino Linotype" w:eastAsia="Palatino Linotype" w:hAnsi="Palatino Linotype" w:cs="Palatino Linotype"/>
          <w:i/>
          <w:sz w:val="22"/>
          <w:szCs w:val="22"/>
        </w:rPr>
        <w:t>; </w:t>
      </w:r>
    </w:p>
    <w:p w:rsidR="001668B9" w:rsidRPr="00004F28" w:rsidRDefault="00C95825">
      <w:pPr>
        <w:ind w:left="567" w:right="616"/>
        <w:jc w:val="both"/>
      </w:pPr>
      <w:r w:rsidRPr="00004F28">
        <w:rPr>
          <w:rFonts w:ascii="Palatino Linotype" w:eastAsia="Palatino Linotype" w:hAnsi="Palatino Linotype" w:cs="Palatino Linotype"/>
          <w:b/>
          <w:i/>
          <w:sz w:val="22"/>
          <w:szCs w:val="22"/>
        </w:rPr>
        <w:lastRenderedPageBreak/>
        <w:t xml:space="preserve">II. </w:t>
      </w:r>
      <w:r w:rsidRPr="00004F28">
        <w:rPr>
          <w:rFonts w:ascii="Palatino Linotype" w:eastAsia="Palatino Linotype" w:hAnsi="Palatino Linotype" w:cs="Palatino Linotype"/>
          <w:b/>
          <w:i/>
          <w:sz w:val="22"/>
          <w:szCs w:val="22"/>
          <w:u w:val="single"/>
        </w:rPr>
        <w:t>Proporcionar la información que obre en los archivos y que le sea solicitada por la Unidad de Transparencia</w:t>
      </w:r>
      <w:r w:rsidRPr="00004F28">
        <w:rPr>
          <w:rFonts w:ascii="Palatino Linotype" w:eastAsia="Palatino Linotype" w:hAnsi="Palatino Linotype" w:cs="Palatino Linotype"/>
          <w:b/>
          <w:i/>
          <w:sz w:val="22"/>
          <w:szCs w:val="22"/>
        </w:rPr>
        <w:t>; </w:t>
      </w:r>
    </w:p>
    <w:p w:rsidR="001668B9" w:rsidRPr="00004F28" w:rsidRDefault="00C95825">
      <w:pPr>
        <w:ind w:left="567" w:right="616"/>
        <w:jc w:val="both"/>
      </w:pPr>
      <w:r w:rsidRPr="00004F28">
        <w:rPr>
          <w:rFonts w:ascii="Palatino Linotype" w:eastAsia="Palatino Linotype" w:hAnsi="Palatino Linotype" w:cs="Palatino Linotype"/>
          <w:b/>
          <w:i/>
          <w:sz w:val="22"/>
          <w:szCs w:val="22"/>
        </w:rPr>
        <w:t xml:space="preserve">III. </w:t>
      </w:r>
      <w:r w:rsidRPr="00004F28">
        <w:rPr>
          <w:rFonts w:ascii="Palatino Linotype" w:eastAsia="Palatino Linotype" w:hAnsi="Palatino Linotype" w:cs="Palatino Linotype"/>
          <w:b/>
          <w:i/>
          <w:sz w:val="22"/>
          <w:szCs w:val="22"/>
          <w:u w:val="single"/>
        </w:rPr>
        <w:t>Apoyar a la Unidad de Transparencia en lo que esta le solicite para el cumplimiento de sus funciones</w:t>
      </w:r>
      <w:r w:rsidRPr="00004F28">
        <w:rPr>
          <w:rFonts w:ascii="Palatino Linotype" w:eastAsia="Palatino Linotype" w:hAnsi="Palatino Linotype" w:cs="Palatino Linotype"/>
          <w:b/>
          <w:i/>
          <w:sz w:val="22"/>
          <w:szCs w:val="22"/>
        </w:rPr>
        <w:t>; </w:t>
      </w:r>
    </w:p>
    <w:p w:rsidR="001668B9" w:rsidRPr="00004F28" w:rsidRDefault="00C95825">
      <w:pPr>
        <w:ind w:left="567" w:right="616"/>
        <w:jc w:val="both"/>
      </w:pPr>
      <w:r w:rsidRPr="00004F28">
        <w:rPr>
          <w:rFonts w:ascii="Palatino Linotype" w:eastAsia="Palatino Linotype" w:hAnsi="Palatino Linotype" w:cs="Palatino Linotype"/>
          <w:b/>
          <w:i/>
          <w:sz w:val="22"/>
          <w:szCs w:val="22"/>
        </w:rPr>
        <w:t>…</w:t>
      </w:r>
      <w:r w:rsidRPr="00004F28">
        <w:rPr>
          <w:rFonts w:ascii="Palatino Linotype" w:eastAsia="Palatino Linotype" w:hAnsi="Palatino Linotype" w:cs="Palatino Linotype"/>
          <w:i/>
          <w:sz w:val="22"/>
          <w:szCs w:val="22"/>
        </w:rPr>
        <w:t>”</w:t>
      </w:r>
    </w:p>
    <w:p w:rsidR="001668B9" w:rsidRPr="00004F28" w:rsidRDefault="00C95825">
      <w:pPr>
        <w:ind w:left="567" w:right="616"/>
        <w:jc w:val="both"/>
      </w:pPr>
      <w:r w:rsidRPr="00004F28">
        <w:rPr>
          <w:rFonts w:ascii="Palatino Linotype" w:eastAsia="Palatino Linotype" w:hAnsi="Palatino Linotype" w:cs="Palatino Linotype"/>
          <w:sz w:val="22"/>
          <w:szCs w:val="22"/>
        </w:rPr>
        <w:t>(Énfasis añadido)</w:t>
      </w:r>
    </w:p>
    <w:p w:rsidR="001668B9" w:rsidRPr="00004F28" w:rsidRDefault="00C95825">
      <w:pPr>
        <w:spacing w:before="240" w:after="240" w:line="360" w:lineRule="auto"/>
        <w:jc w:val="both"/>
      </w:pPr>
      <w:r w:rsidRPr="00004F28">
        <w:rPr>
          <w:rFonts w:ascii="Palatino Linotype" w:eastAsia="Palatino Linotype" w:hAnsi="Palatino Linotype" w:cs="Palatino Linotype"/>
        </w:rPr>
        <w:t>Del artículo en comento, se desprende que las Unidades de Transparencia, se erigen como el área responsable en cada Sujeto Obligado, asimismo, tiene a su cargo la atención de las solicitudes de información que se realicen al amparo de la Ley. El responsable de dicha área funge como enlace entre el Sujeto Obligado y los solicitantes, y tiene bajo su responsabilidad el tramitar internamente la solicitud de información.</w:t>
      </w:r>
    </w:p>
    <w:p w:rsidR="001668B9" w:rsidRPr="00004F28" w:rsidRDefault="00C95825">
      <w:pPr>
        <w:spacing w:before="240" w:after="240" w:line="360" w:lineRule="auto"/>
        <w:jc w:val="both"/>
      </w:pPr>
      <w:r w:rsidRPr="00004F28">
        <w:rPr>
          <w:rFonts w:ascii="Palatino Linotype" w:eastAsia="Palatino Linotype" w:hAnsi="Palatino Linotype" w:cs="Palatino Linotype"/>
        </w:rPr>
        <w:t xml:space="preserve">De tal manera que, si bien, el Titular de la Unidad de Transparencia no tiene bajo su resguardo el archivo que pudiese contener la documentación solicitada, sino que la información pueda obrar en las distintas áreas que conforman la estructura del </w:t>
      </w:r>
      <w:r w:rsidRPr="00004F28">
        <w:rPr>
          <w:rFonts w:ascii="Palatino Linotype" w:eastAsia="Palatino Linotype" w:hAnsi="Palatino Linotype" w:cs="Palatino Linotype"/>
          <w:b/>
        </w:rPr>
        <w:t>SUJETO OBLIGADO</w:t>
      </w:r>
      <w:r w:rsidRPr="00004F28">
        <w:rPr>
          <w:rFonts w:ascii="Palatino Linotype" w:eastAsia="Palatino Linotype" w:hAnsi="Palatino Linotype" w:cs="Palatino Linotype"/>
        </w:rPr>
        <w:t>. En esa tesitura, lo procedente es turnar la solicitud a los servidores públicos habilitados que tengan bajo su resguardo la misma, quienes tendrán la función de buscar, localizar y en su caso entregar la información solicitada.</w:t>
      </w:r>
    </w:p>
    <w:p w:rsidR="001668B9" w:rsidRPr="00004F28" w:rsidRDefault="00C95825">
      <w:pPr>
        <w:spacing w:before="240" w:after="240" w:line="360" w:lineRule="auto"/>
        <w:jc w:val="both"/>
      </w:pPr>
      <w:r w:rsidRPr="00004F28">
        <w:rPr>
          <w:rFonts w:ascii="Palatino Linotype" w:eastAsia="Palatino Linotype" w:hAnsi="Palatino Linotype" w:cs="Palatino Linotype"/>
        </w:rPr>
        <w:t>Es por ello, que corresponde al Titular de la Unidad de Transparencia garantizar que las solicitudes se turnen a todas las áreas competentes que puedan contar con la información, con el objeto de realizar una búsqueda exhaustiva y razonable de la información solicitada.</w:t>
      </w:r>
    </w:p>
    <w:p w:rsidR="001668B9" w:rsidRPr="00004F28" w:rsidRDefault="00C95825">
      <w:pPr>
        <w:spacing w:before="280" w:after="280" w:line="360" w:lineRule="auto"/>
        <w:jc w:val="both"/>
        <w:rPr>
          <w:rFonts w:ascii="Palatino Linotype" w:eastAsia="Palatino Linotype" w:hAnsi="Palatino Linotype" w:cs="Palatino Linotype"/>
        </w:rPr>
      </w:pPr>
      <w:r w:rsidRPr="00004F28">
        <w:rPr>
          <w:rFonts w:ascii="Palatino Linotype" w:eastAsia="Palatino Linotype" w:hAnsi="Palatino Linotype" w:cs="Palatino Linotype"/>
        </w:rPr>
        <w:t xml:space="preserve">Así, respecto de la información solicitada por </w:t>
      </w:r>
      <w:r w:rsidRPr="00004F28">
        <w:rPr>
          <w:rFonts w:ascii="Palatino Linotype" w:eastAsia="Palatino Linotype" w:hAnsi="Palatino Linotype" w:cs="Palatino Linotype"/>
          <w:b/>
        </w:rPr>
        <w:t>EL RECURRENTE</w:t>
      </w:r>
      <w:r w:rsidRPr="00004F28">
        <w:rPr>
          <w:rFonts w:ascii="Palatino Linotype" w:eastAsia="Palatino Linotype" w:hAnsi="Palatino Linotype" w:cs="Palatino Linotype"/>
        </w:rPr>
        <w:t xml:space="preserve">, se advierte que el Titular de la Unidad de Transparencia del </w:t>
      </w:r>
      <w:r w:rsidRPr="00004F28">
        <w:rPr>
          <w:rFonts w:ascii="Palatino Linotype" w:eastAsia="Palatino Linotype" w:hAnsi="Palatino Linotype" w:cs="Palatino Linotype"/>
          <w:b/>
        </w:rPr>
        <w:t>SUJETO OBLIGADO</w:t>
      </w:r>
      <w:r w:rsidRPr="00004F28">
        <w:rPr>
          <w:rFonts w:ascii="Palatino Linotype" w:eastAsia="Palatino Linotype" w:hAnsi="Palatino Linotype" w:cs="Palatino Linotype"/>
        </w:rPr>
        <w:t xml:space="preserve">, en términos del artículo 162 de la Ley de Transparencia y Acceso a la Información Pública del Estado </w:t>
      </w:r>
      <w:r w:rsidRPr="00004F28">
        <w:rPr>
          <w:rFonts w:ascii="Palatino Linotype" w:eastAsia="Palatino Linotype" w:hAnsi="Palatino Linotype" w:cs="Palatino Linotype"/>
        </w:rPr>
        <w:lastRenderedPageBreak/>
        <w:t xml:space="preserve">de México y Municipios, debió requerir la información a las áreas idóneas para genera poseer o administrar la información. </w:t>
      </w:r>
    </w:p>
    <w:p w:rsidR="001668B9" w:rsidRPr="00004F28" w:rsidRDefault="00C95825">
      <w:pPr>
        <w:spacing w:before="280" w:after="280" w:line="360" w:lineRule="auto"/>
        <w:jc w:val="both"/>
        <w:rPr>
          <w:rFonts w:ascii="Palatino Linotype" w:eastAsia="Palatino Linotype" w:hAnsi="Palatino Linotype" w:cs="Palatino Linotype"/>
          <w:i/>
        </w:rPr>
      </w:pPr>
      <w:r w:rsidRPr="00004F28">
        <w:rPr>
          <w:rFonts w:ascii="Palatino Linotype" w:eastAsia="Palatino Linotype" w:hAnsi="Palatino Linotype" w:cs="Palatino Linotype"/>
        </w:rPr>
        <w:t xml:space="preserve">En ese respecto, se observa que el particular requiere los manuales o </w:t>
      </w:r>
      <w:r w:rsidR="00B74664" w:rsidRPr="00004F28">
        <w:rPr>
          <w:rFonts w:ascii="Palatino Linotype" w:eastAsia="Palatino Linotype" w:hAnsi="Palatino Linotype" w:cs="Palatino Linotype"/>
        </w:rPr>
        <w:t>instrumentos</w:t>
      </w:r>
      <w:r w:rsidRPr="00004F28">
        <w:rPr>
          <w:rFonts w:ascii="Palatino Linotype" w:eastAsia="Palatino Linotype" w:hAnsi="Palatino Linotype" w:cs="Palatino Linotype"/>
        </w:rPr>
        <w:t xml:space="preserve"> </w:t>
      </w:r>
      <w:r w:rsidR="00B74664" w:rsidRPr="00004F28">
        <w:rPr>
          <w:rFonts w:ascii="Palatino Linotype" w:eastAsia="Palatino Linotype" w:hAnsi="Palatino Linotype" w:cs="Palatino Linotype"/>
        </w:rPr>
        <w:t>utilizados</w:t>
      </w:r>
      <w:r w:rsidRPr="00004F28">
        <w:rPr>
          <w:rFonts w:ascii="Palatino Linotype" w:eastAsia="Palatino Linotype" w:hAnsi="Palatino Linotype" w:cs="Palatino Linotype"/>
        </w:rPr>
        <w:t xml:space="preserve"> par</w:t>
      </w:r>
      <w:r w:rsidR="00B74664" w:rsidRPr="00004F28">
        <w:rPr>
          <w:rFonts w:ascii="Palatino Linotype" w:eastAsia="Palatino Linotype" w:hAnsi="Palatino Linotype" w:cs="Palatino Linotype"/>
        </w:rPr>
        <w:t>a</w:t>
      </w:r>
      <w:r w:rsidRPr="00004F28">
        <w:rPr>
          <w:rFonts w:ascii="Palatino Linotype" w:eastAsia="Palatino Linotype" w:hAnsi="Palatino Linotype" w:cs="Palatino Linotype"/>
        </w:rPr>
        <w:t xml:space="preserve"> capacitar al personal en el sistema denominado “SAP”, mismo que como le refiere el Titular de la Unidad de Transparencia del </w:t>
      </w:r>
      <w:r w:rsidRPr="00004F28">
        <w:rPr>
          <w:rFonts w:ascii="Palatino Linotype" w:eastAsia="Palatino Linotype" w:hAnsi="Palatino Linotype" w:cs="Palatino Linotype"/>
          <w:b/>
        </w:rPr>
        <w:t xml:space="preserve">SUEJTO OBLIGADO </w:t>
      </w:r>
      <w:r w:rsidRPr="00004F28">
        <w:rPr>
          <w:rFonts w:ascii="Palatino Linotype" w:eastAsia="Palatino Linotype" w:hAnsi="Palatino Linotype" w:cs="Palatino Linotype"/>
        </w:rPr>
        <w:t xml:space="preserve">es un </w:t>
      </w:r>
      <w:r w:rsidRPr="00004F28">
        <w:rPr>
          <w:rFonts w:ascii="Palatino Linotype" w:eastAsia="Palatino Linotype" w:hAnsi="Palatino Linotype" w:cs="Palatino Linotype"/>
          <w:i/>
        </w:rPr>
        <w:t xml:space="preserve">software para gestión de procesos de negocio, y desarrolla soluciones que facilitan el procesamiento eficaz de datos y el flujo de información entre las organizaciones. </w:t>
      </w:r>
    </w:p>
    <w:p w:rsidR="001668B9" w:rsidRPr="00004F28" w:rsidRDefault="00C95825">
      <w:pPr>
        <w:spacing w:before="280" w:after="280" w:line="360" w:lineRule="auto"/>
        <w:jc w:val="both"/>
        <w:rPr>
          <w:rFonts w:ascii="Palatino Linotype" w:eastAsia="Palatino Linotype" w:hAnsi="Palatino Linotype" w:cs="Palatino Linotype"/>
        </w:rPr>
      </w:pPr>
      <w:r w:rsidRPr="00004F28">
        <w:rPr>
          <w:rFonts w:ascii="Palatino Linotype" w:eastAsia="Palatino Linotype" w:hAnsi="Palatino Linotype" w:cs="Palatino Linotype"/>
        </w:rPr>
        <w:t xml:space="preserve">Por lo que teniendo en cuenta que se trata de un software para el procesamiento y </w:t>
      </w:r>
      <w:r w:rsidR="00B74664" w:rsidRPr="00004F28">
        <w:rPr>
          <w:rFonts w:ascii="Palatino Linotype" w:eastAsia="Palatino Linotype" w:hAnsi="Palatino Linotype" w:cs="Palatino Linotype"/>
        </w:rPr>
        <w:t>gestión</w:t>
      </w:r>
      <w:r w:rsidRPr="00004F28">
        <w:rPr>
          <w:rFonts w:ascii="Palatino Linotype" w:eastAsia="Palatino Linotype" w:hAnsi="Palatino Linotype" w:cs="Palatino Linotype"/>
        </w:rPr>
        <w:t xml:space="preserve"> de la información, conviene traer a colación el contenido del Reglamento Orgánico Municipal de Zinacantepec, que en su artículo 30 enlista las atribuciones de la Unidad de Información Planeación, Programación y Evaluación, siendo relevante para el caso que nos ocupa las previstas en las fracciones XI y XIII que son del tenor siguiente: </w:t>
      </w:r>
    </w:p>
    <w:p w:rsidR="001668B9" w:rsidRPr="00004F28" w:rsidRDefault="00C95825">
      <w:pPr>
        <w:widowControl w:val="0"/>
        <w:spacing w:before="229"/>
        <w:ind w:left="850" w:right="757"/>
        <w:jc w:val="both"/>
        <w:rPr>
          <w:rFonts w:ascii="Palatino Linotype" w:eastAsia="Palatino Linotype" w:hAnsi="Palatino Linotype" w:cs="Palatino Linotype"/>
          <w:i/>
          <w:sz w:val="22"/>
          <w:szCs w:val="22"/>
        </w:rPr>
      </w:pPr>
      <w:r w:rsidRPr="00004F28">
        <w:rPr>
          <w:rFonts w:ascii="Palatino Linotype" w:eastAsia="Palatino Linotype" w:hAnsi="Palatino Linotype" w:cs="Palatino Linotype"/>
          <w:b/>
          <w:i/>
          <w:sz w:val="22"/>
          <w:szCs w:val="22"/>
        </w:rPr>
        <w:t xml:space="preserve">“Artículo 30. </w:t>
      </w:r>
      <w:r w:rsidRPr="00004F28">
        <w:rPr>
          <w:rFonts w:ascii="Palatino Linotype" w:eastAsia="Palatino Linotype" w:hAnsi="Palatino Linotype" w:cs="Palatino Linotype"/>
          <w:i/>
          <w:sz w:val="22"/>
          <w:szCs w:val="22"/>
        </w:rPr>
        <w:t xml:space="preserve">Además de las previstas en las disposiciones normativas y administrativas en la materia, la  Unidad de Información, Planeación, Programación y Evaluación tiene las siguientes funciones y  atribuciones: </w:t>
      </w:r>
    </w:p>
    <w:p w:rsidR="001668B9" w:rsidRPr="00004F28" w:rsidRDefault="00C95825">
      <w:pPr>
        <w:widowControl w:val="0"/>
        <w:spacing w:before="233"/>
        <w:ind w:left="850" w:right="757"/>
        <w:rPr>
          <w:rFonts w:ascii="Palatino Linotype" w:eastAsia="Palatino Linotype" w:hAnsi="Palatino Linotype" w:cs="Palatino Linotype"/>
          <w:i/>
          <w:sz w:val="22"/>
          <w:szCs w:val="22"/>
        </w:rPr>
      </w:pPr>
      <w:r w:rsidRPr="00004F28">
        <w:rPr>
          <w:rFonts w:ascii="Palatino Linotype" w:eastAsia="Palatino Linotype" w:hAnsi="Palatino Linotype" w:cs="Palatino Linotype"/>
          <w:i/>
          <w:sz w:val="22"/>
          <w:szCs w:val="22"/>
        </w:rPr>
        <w:t xml:space="preserve">I. Coordinar y verificar el cumplimiento de las actividades de las áreas que integran esta Unidad, a fin  de atender las metas establecidas en el Plan de Desarrollo Municipal; </w:t>
      </w:r>
    </w:p>
    <w:p w:rsidR="001668B9" w:rsidRPr="00004F28" w:rsidRDefault="00C95825">
      <w:pPr>
        <w:widowControl w:val="0"/>
        <w:spacing w:before="9"/>
        <w:ind w:left="850" w:right="757"/>
        <w:rPr>
          <w:rFonts w:ascii="Palatino Linotype" w:eastAsia="Palatino Linotype" w:hAnsi="Palatino Linotype" w:cs="Palatino Linotype"/>
          <w:i/>
          <w:sz w:val="22"/>
          <w:szCs w:val="22"/>
        </w:rPr>
      </w:pPr>
      <w:r w:rsidRPr="00004F28">
        <w:rPr>
          <w:rFonts w:ascii="Palatino Linotype" w:eastAsia="Palatino Linotype" w:hAnsi="Palatino Linotype" w:cs="Palatino Linotype"/>
          <w:i/>
          <w:sz w:val="22"/>
          <w:szCs w:val="22"/>
        </w:rPr>
        <w:t xml:space="preserve">II. Supervisar, coordinar y evaluar programas y planes de trabajo propuestos por los Titulares de cada  Unidad Administrativa; </w:t>
      </w:r>
    </w:p>
    <w:p w:rsidR="001668B9" w:rsidRPr="00004F28" w:rsidRDefault="00C95825">
      <w:pPr>
        <w:widowControl w:val="0"/>
        <w:spacing w:before="8"/>
        <w:ind w:left="850" w:right="757"/>
        <w:jc w:val="both"/>
        <w:rPr>
          <w:rFonts w:ascii="Palatino Linotype" w:eastAsia="Palatino Linotype" w:hAnsi="Palatino Linotype" w:cs="Palatino Linotype"/>
          <w:i/>
          <w:sz w:val="22"/>
          <w:szCs w:val="22"/>
        </w:rPr>
      </w:pPr>
      <w:r w:rsidRPr="00004F28">
        <w:rPr>
          <w:rFonts w:ascii="Palatino Linotype" w:eastAsia="Palatino Linotype" w:hAnsi="Palatino Linotype" w:cs="Palatino Linotype"/>
          <w:i/>
          <w:sz w:val="22"/>
          <w:szCs w:val="22"/>
        </w:rPr>
        <w:t xml:space="preserve">III. Formular, elaborar e integrar el Plan de Desarrollo Municipal en coordinación con las Unidades y  Dependencias Administrativas, los Organismos Descentralizados, así como el Organismo Autónomo  y Desconcentrado de la Administración Pública Municipal; </w:t>
      </w:r>
    </w:p>
    <w:p w:rsidR="001668B9" w:rsidRPr="00004F28" w:rsidRDefault="00C95825">
      <w:pPr>
        <w:widowControl w:val="0"/>
        <w:spacing w:before="2"/>
        <w:ind w:left="850" w:right="757"/>
        <w:rPr>
          <w:rFonts w:ascii="Palatino Linotype" w:eastAsia="Palatino Linotype" w:hAnsi="Palatino Linotype" w:cs="Palatino Linotype"/>
          <w:i/>
          <w:sz w:val="22"/>
          <w:szCs w:val="22"/>
        </w:rPr>
      </w:pPr>
      <w:r w:rsidRPr="00004F28">
        <w:rPr>
          <w:rFonts w:ascii="Palatino Linotype" w:eastAsia="Palatino Linotype" w:hAnsi="Palatino Linotype" w:cs="Palatino Linotype"/>
          <w:i/>
          <w:sz w:val="22"/>
          <w:szCs w:val="22"/>
        </w:rPr>
        <w:t xml:space="preserve">IV. Coordinar la implementación de Indicadores de evaluación y gestión gubernamental, que dictaminen  el cumplimiento de metas y objetivos del Plan de </w:t>
      </w:r>
      <w:r w:rsidRPr="00004F28">
        <w:rPr>
          <w:rFonts w:ascii="Palatino Linotype" w:eastAsia="Palatino Linotype" w:hAnsi="Palatino Linotype" w:cs="Palatino Linotype"/>
          <w:i/>
          <w:sz w:val="22"/>
          <w:szCs w:val="22"/>
        </w:rPr>
        <w:lastRenderedPageBreak/>
        <w:t xml:space="preserve">Desarrollo Municipal; </w:t>
      </w:r>
    </w:p>
    <w:p w:rsidR="001668B9" w:rsidRPr="00004F28" w:rsidRDefault="00C95825">
      <w:pPr>
        <w:widowControl w:val="0"/>
        <w:spacing w:before="1"/>
        <w:ind w:left="850" w:right="757"/>
        <w:rPr>
          <w:rFonts w:ascii="Palatino Linotype" w:eastAsia="Palatino Linotype" w:hAnsi="Palatino Linotype" w:cs="Palatino Linotype"/>
          <w:i/>
          <w:sz w:val="22"/>
          <w:szCs w:val="22"/>
        </w:rPr>
      </w:pPr>
      <w:r w:rsidRPr="00004F28">
        <w:rPr>
          <w:rFonts w:ascii="Palatino Linotype" w:eastAsia="Palatino Linotype" w:hAnsi="Palatino Linotype" w:cs="Palatino Linotype"/>
          <w:i/>
          <w:sz w:val="22"/>
          <w:szCs w:val="22"/>
        </w:rPr>
        <w:t xml:space="preserve">V. Evaluar periódicamente el resultado de las acciones implementadas por las dependencias y  organismos de la Administración; </w:t>
      </w:r>
    </w:p>
    <w:p w:rsidR="001668B9" w:rsidRPr="00004F28" w:rsidRDefault="00C95825">
      <w:pPr>
        <w:widowControl w:val="0"/>
        <w:spacing w:before="1"/>
        <w:ind w:left="850" w:right="757"/>
        <w:rPr>
          <w:rFonts w:ascii="Palatino Linotype" w:eastAsia="Palatino Linotype" w:hAnsi="Palatino Linotype" w:cs="Palatino Linotype"/>
          <w:i/>
          <w:sz w:val="22"/>
          <w:szCs w:val="22"/>
        </w:rPr>
      </w:pPr>
      <w:r w:rsidRPr="00004F28">
        <w:rPr>
          <w:rFonts w:ascii="Palatino Linotype" w:eastAsia="Palatino Linotype" w:hAnsi="Palatino Linotype" w:cs="Palatino Linotype"/>
          <w:i/>
          <w:sz w:val="22"/>
          <w:szCs w:val="22"/>
        </w:rPr>
        <w:t xml:space="preserve">VI. Presentar al Presidente Municipal el alcance o cumplimiento de las Unidades Administrativas y  Organismos del Gobierno Municipal; </w:t>
      </w:r>
    </w:p>
    <w:p w:rsidR="001668B9" w:rsidRPr="00004F28" w:rsidRDefault="00C95825">
      <w:pPr>
        <w:widowControl w:val="0"/>
        <w:spacing w:before="1"/>
        <w:ind w:left="850" w:right="757"/>
        <w:jc w:val="both"/>
        <w:rPr>
          <w:rFonts w:ascii="Palatino Linotype" w:eastAsia="Palatino Linotype" w:hAnsi="Palatino Linotype" w:cs="Palatino Linotype"/>
          <w:i/>
          <w:sz w:val="22"/>
          <w:szCs w:val="22"/>
        </w:rPr>
      </w:pPr>
      <w:r w:rsidRPr="00004F28">
        <w:rPr>
          <w:rFonts w:ascii="Palatino Linotype" w:eastAsia="Palatino Linotype" w:hAnsi="Palatino Linotype" w:cs="Palatino Linotype"/>
          <w:i/>
          <w:sz w:val="22"/>
          <w:szCs w:val="22"/>
        </w:rPr>
        <w:t xml:space="preserve">VII. Planear, Desarrollar e Integrar el Informe del gobierno municipal en coordinación con las Unidades  y Dependencias Administrativas, los Organismos Descentralizados, así como el Organismo  Autónomo y Desconcentrado; </w:t>
      </w:r>
    </w:p>
    <w:p w:rsidR="001668B9" w:rsidRPr="00004F28" w:rsidRDefault="00C95825">
      <w:pPr>
        <w:widowControl w:val="0"/>
        <w:spacing w:before="1"/>
        <w:ind w:left="850" w:right="757"/>
        <w:jc w:val="both"/>
        <w:rPr>
          <w:rFonts w:ascii="Palatino Linotype" w:eastAsia="Palatino Linotype" w:hAnsi="Palatino Linotype" w:cs="Palatino Linotype"/>
          <w:i/>
          <w:sz w:val="22"/>
          <w:szCs w:val="22"/>
        </w:rPr>
      </w:pPr>
      <w:r w:rsidRPr="00004F28">
        <w:rPr>
          <w:rFonts w:ascii="Palatino Linotype" w:eastAsia="Palatino Linotype" w:hAnsi="Palatino Linotype" w:cs="Palatino Linotype"/>
          <w:i/>
          <w:sz w:val="22"/>
          <w:szCs w:val="22"/>
        </w:rPr>
        <w:t xml:space="preserve">VIII. Promover y coordinar la evaluación de programas presupuestarios y fondo federal por dependencias  externas en aras de dar cumplimiento al Programa Anual de Evaluación (PAE); </w:t>
      </w:r>
    </w:p>
    <w:p w:rsidR="001668B9" w:rsidRPr="00004F28" w:rsidRDefault="00C95825">
      <w:pPr>
        <w:widowControl w:val="0"/>
        <w:spacing w:before="8"/>
        <w:ind w:left="850" w:right="757"/>
        <w:rPr>
          <w:rFonts w:ascii="Palatino Linotype" w:eastAsia="Palatino Linotype" w:hAnsi="Palatino Linotype" w:cs="Palatino Linotype"/>
          <w:i/>
          <w:sz w:val="22"/>
          <w:szCs w:val="22"/>
        </w:rPr>
      </w:pPr>
      <w:r w:rsidRPr="00004F28">
        <w:rPr>
          <w:rFonts w:ascii="Palatino Linotype" w:eastAsia="Palatino Linotype" w:hAnsi="Palatino Linotype" w:cs="Palatino Linotype"/>
          <w:i/>
          <w:sz w:val="22"/>
          <w:szCs w:val="22"/>
        </w:rPr>
        <w:t xml:space="preserve">IX. Promover la participación social en la planeación, programación, seguimiento y evaluación de los  programas que derivan del Plan de Desarrollo Municipal; </w:t>
      </w:r>
    </w:p>
    <w:p w:rsidR="001668B9" w:rsidRPr="00004F28" w:rsidRDefault="00C95825">
      <w:pPr>
        <w:widowControl w:val="0"/>
        <w:spacing w:before="9"/>
        <w:ind w:left="850" w:right="757"/>
        <w:jc w:val="both"/>
        <w:rPr>
          <w:rFonts w:ascii="Palatino Linotype" w:eastAsia="Palatino Linotype" w:hAnsi="Palatino Linotype" w:cs="Palatino Linotype"/>
          <w:i/>
          <w:sz w:val="22"/>
          <w:szCs w:val="22"/>
        </w:rPr>
      </w:pPr>
      <w:r w:rsidRPr="00004F28">
        <w:rPr>
          <w:rFonts w:ascii="Palatino Linotype" w:eastAsia="Palatino Linotype" w:hAnsi="Palatino Linotype" w:cs="Palatino Linotype"/>
          <w:i/>
          <w:sz w:val="22"/>
          <w:szCs w:val="22"/>
        </w:rPr>
        <w:t xml:space="preserve">X. Proponer y coordinar la implementación, seguimiento y evaluación de políticas de innovación  gubernamental que ejecuten las dependencias administrativas y organismos de la administración  pública; </w:t>
      </w:r>
    </w:p>
    <w:p w:rsidR="001668B9" w:rsidRPr="00004F28" w:rsidRDefault="00C95825">
      <w:pPr>
        <w:widowControl w:val="0"/>
        <w:spacing w:before="2"/>
        <w:ind w:left="850" w:right="757"/>
        <w:rPr>
          <w:rFonts w:ascii="Palatino Linotype" w:eastAsia="Palatino Linotype" w:hAnsi="Palatino Linotype" w:cs="Palatino Linotype"/>
          <w:b/>
          <w:i/>
          <w:sz w:val="22"/>
          <w:szCs w:val="22"/>
        </w:rPr>
      </w:pPr>
      <w:r w:rsidRPr="00004F28">
        <w:rPr>
          <w:rFonts w:ascii="Palatino Linotype" w:eastAsia="Palatino Linotype" w:hAnsi="Palatino Linotype" w:cs="Palatino Linotype"/>
          <w:b/>
          <w:i/>
          <w:sz w:val="22"/>
          <w:szCs w:val="22"/>
        </w:rPr>
        <w:t xml:space="preserve">XI. Coordinar la elaboración y actualización permanente de los manuales de organización y de  procedimientos de la Administración Pública Municipal; </w:t>
      </w:r>
    </w:p>
    <w:p w:rsidR="001668B9" w:rsidRPr="00004F28" w:rsidRDefault="00C95825">
      <w:pPr>
        <w:widowControl w:val="0"/>
        <w:spacing w:before="1"/>
        <w:ind w:left="850" w:right="757"/>
        <w:jc w:val="both"/>
        <w:rPr>
          <w:rFonts w:ascii="Palatino Linotype" w:eastAsia="Palatino Linotype" w:hAnsi="Palatino Linotype" w:cs="Palatino Linotype"/>
          <w:i/>
          <w:sz w:val="22"/>
          <w:szCs w:val="22"/>
        </w:rPr>
      </w:pPr>
      <w:r w:rsidRPr="00004F28">
        <w:rPr>
          <w:rFonts w:ascii="Palatino Linotype" w:eastAsia="Palatino Linotype" w:hAnsi="Palatino Linotype" w:cs="Palatino Linotype"/>
          <w:i/>
          <w:sz w:val="22"/>
          <w:szCs w:val="22"/>
        </w:rPr>
        <w:t xml:space="preserve">XII. Promover al interior de las dependencias y organismos de la administración pública municipal  prácticas innovadoras que logren reconocimientos y acreditaciones en el ámbito Federal, Estatal y  Municipal;  </w:t>
      </w:r>
    </w:p>
    <w:p w:rsidR="001668B9" w:rsidRPr="00004F28" w:rsidRDefault="00C95825">
      <w:pPr>
        <w:widowControl w:val="0"/>
        <w:spacing w:before="7"/>
        <w:ind w:left="850" w:right="757"/>
        <w:rPr>
          <w:rFonts w:ascii="Palatino Linotype" w:eastAsia="Palatino Linotype" w:hAnsi="Palatino Linotype" w:cs="Palatino Linotype"/>
          <w:b/>
          <w:i/>
          <w:sz w:val="22"/>
          <w:szCs w:val="22"/>
        </w:rPr>
      </w:pPr>
      <w:r w:rsidRPr="00004F28">
        <w:rPr>
          <w:rFonts w:ascii="Palatino Linotype" w:eastAsia="Palatino Linotype" w:hAnsi="Palatino Linotype" w:cs="Palatino Linotype"/>
          <w:b/>
          <w:i/>
          <w:sz w:val="22"/>
          <w:szCs w:val="22"/>
        </w:rPr>
        <w:t xml:space="preserve">XIII. Proponer la implementación de sistemas de informática que regulen la comunicación y servicios de  la Administración Pública Municipal; </w:t>
      </w:r>
    </w:p>
    <w:p w:rsidR="001668B9" w:rsidRPr="00004F28" w:rsidRDefault="00C95825">
      <w:pPr>
        <w:widowControl w:val="0"/>
        <w:spacing w:before="8"/>
        <w:ind w:left="850" w:right="757"/>
        <w:rPr>
          <w:rFonts w:ascii="Palatino Linotype" w:eastAsia="Palatino Linotype" w:hAnsi="Palatino Linotype" w:cs="Palatino Linotype"/>
          <w:i/>
          <w:sz w:val="22"/>
          <w:szCs w:val="22"/>
        </w:rPr>
      </w:pPr>
      <w:r w:rsidRPr="00004F28">
        <w:rPr>
          <w:rFonts w:ascii="Palatino Linotype" w:eastAsia="Palatino Linotype" w:hAnsi="Palatino Linotype" w:cs="Palatino Linotype"/>
          <w:i/>
          <w:sz w:val="22"/>
          <w:szCs w:val="22"/>
        </w:rPr>
        <w:t xml:space="preserve">XIV. Proponer en las áreas procesos de reingeniería sistematizada; impulsando mecanismos de calidad  municipal; y </w:t>
      </w:r>
    </w:p>
    <w:p w:rsidR="001668B9" w:rsidRPr="00004F28" w:rsidRDefault="00C95825">
      <w:pPr>
        <w:widowControl w:val="0"/>
        <w:spacing w:before="8"/>
        <w:ind w:left="850" w:right="757"/>
        <w:rPr>
          <w:rFonts w:ascii="Palatino Linotype" w:eastAsia="Palatino Linotype" w:hAnsi="Palatino Linotype" w:cs="Palatino Linotype"/>
          <w:i/>
          <w:sz w:val="22"/>
          <w:szCs w:val="22"/>
        </w:rPr>
      </w:pPr>
      <w:r w:rsidRPr="00004F28">
        <w:rPr>
          <w:rFonts w:ascii="Palatino Linotype" w:eastAsia="Palatino Linotype" w:hAnsi="Palatino Linotype" w:cs="Palatino Linotype"/>
          <w:i/>
          <w:sz w:val="22"/>
          <w:szCs w:val="22"/>
        </w:rPr>
        <w:t>XV. Las que les señalen las demás disposiciones legales, y las que le encomiende directamente el  Presidente Municipal”</w:t>
      </w:r>
    </w:p>
    <w:p w:rsidR="001668B9" w:rsidRPr="00004F28" w:rsidRDefault="00C95825">
      <w:pPr>
        <w:widowControl w:val="0"/>
        <w:spacing w:before="8"/>
        <w:ind w:left="850" w:right="757"/>
        <w:rPr>
          <w:rFonts w:ascii="Palatino Linotype" w:eastAsia="Palatino Linotype" w:hAnsi="Palatino Linotype" w:cs="Palatino Linotype"/>
          <w:i/>
          <w:sz w:val="22"/>
          <w:szCs w:val="22"/>
        </w:rPr>
      </w:pPr>
      <w:r w:rsidRPr="00004F28">
        <w:rPr>
          <w:rFonts w:ascii="Palatino Linotype" w:eastAsia="Palatino Linotype" w:hAnsi="Palatino Linotype" w:cs="Palatino Linotype"/>
          <w:i/>
          <w:sz w:val="22"/>
          <w:szCs w:val="22"/>
        </w:rPr>
        <w:t>(Énfasis añadido)</w:t>
      </w:r>
    </w:p>
    <w:p w:rsidR="001668B9" w:rsidRPr="00004F28" w:rsidRDefault="001668B9">
      <w:pPr>
        <w:tabs>
          <w:tab w:val="left" w:pos="709"/>
        </w:tabs>
        <w:spacing w:line="360" w:lineRule="auto"/>
        <w:ind w:right="49"/>
        <w:jc w:val="both"/>
        <w:rPr>
          <w:rFonts w:ascii="Palatino Linotype" w:eastAsia="Palatino Linotype" w:hAnsi="Palatino Linotype" w:cs="Palatino Linotype"/>
        </w:rPr>
      </w:pPr>
    </w:p>
    <w:p w:rsidR="001668B9" w:rsidRPr="00004F28" w:rsidRDefault="00C9582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360" w:lineRule="auto"/>
        <w:jc w:val="both"/>
        <w:rPr>
          <w:rFonts w:ascii="Palatino Linotype" w:eastAsia="Palatino Linotype" w:hAnsi="Palatino Linotype" w:cs="Palatino Linotype"/>
        </w:rPr>
      </w:pPr>
      <w:r w:rsidRPr="00004F28">
        <w:rPr>
          <w:rFonts w:ascii="palatino" w:eastAsia="palatino" w:hAnsi="palatino" w:cs="palatino"/>
        </w:rPr>
        <w:t xml:space="preserve">De la normatividad en cita se resalta que dentro de sus facultades, la Unidad de </w:t>
      </w:r>
      <w:r w:rsidRPr="00004F28">
        <w:rPr>
          <w:rFonts w:ascii="Palatino Linotype" w:eastAsia="Palatino Linotype" w:hAnsi="Palatino Linotype" w:cs="Palatino Linotype"/>
        </w:rPr>
        <w:t xml:space="preserve"> Información Planeación, Programación y Evaluación, deberá coordinar la elaboración y actualización permanente de los manuales de organización y de  procedimientos de la Administración Pública Municipal y proponer la implementación de sistemas de </w:t>
      </w:r>
      <w:r w:rsidRPr="00004F28">
        <w:rPr>
          <w:rFonts w:ascii="Palatino Linotype" w:eastAsia="Palatino Linotype" w:hAnsi="Palatino Linotype" w:cs="Palatino Linotype"/>
        </w:rPr>
        <w:lastRenderedPageBreak/>
        <w:t xml:space="preserve">informática que regulen la comunicación y servicios de  la Administración Pública Municipal. </w:t>
      </w:r>
    </w:p>
    <w:p w:rsidR="001668B9" w:rsidRPr="00004F28" w:rsidRDefault="00C95825">
      <w:pPr>
        <w:spacing w:before="280" w:after="280" w:line="360" w:lineRule="auto"/>
        <w:jc w:val="both"/>
        <w:rPr>
          <w:rFonts w:ascii="Palatino Linotype" w:eastAsia="Palatino Linotype" w:hAnsi="Palatino Linotype" w:cs="Palatino Linotype"/>
        </w:rPr>
      </w:pPr>
      <w:r w:rsidRPr="00004F28">
        <w:rPr>
          <w:rFonts w:ascii="Palatino Linotype" w:eastAsia="Palatino Linotype" w:hAnsi="Palatino Linotype" w:cs="Palatino Linotype"/>
        </w:rPr>
        <w:t xml:space="preserve">Luego entonces, es posible concluir que la respuesta dada por </w:t>
      </w:r>
      <w:r w:rsidRPr="00004F28">
        <w:rPr>
          <w:rFonts w:ascii="Palatino Linotype" w:eastAsia="Palatino Linotype" w:hAnsi="Palatino Linotype" w:cs="Palatino Linotype"/>
          <w:b/>
        </w:rPr>
        <w:t>EL SUJETO OBLIGADO</w:t>
      </w:r>
      <w:r w:rsidRPr="00004F28">
        <w:rPr>
          <w:rFonts w:ascii="Palatino Linotype" w:eastAsia="Palatino Linotype" w:hAnsi="Palatino Linotype" w:cs="Palatino Linotype"/>
        </w:rPr>
        <w:t xml:space="preserve"> no puede satisfacer el derecho de acceso a la información del particular, toda vez que no se realizó un requerimiento a todas las áreas que pudieran conocer de la información solicitada, y el turno realizado, quedó pendiente de respuesta.</w:t>
      </w:r>
    </w:p>
    <w:p w:rsidR="001668B9" w:rsidRPr="00004F28" w:rsidRDefault="00C95825">
      <w:pPr>
        <w:spacing w:before="280" w:after="280" w:line="360" w:lineRule="auto"/>
        <w:jc w:val="both"/>
        <w:rPr>
          <w:rFonts w:ascii="Palatino Linotype" w:eastAsia="Palatino Linotype" w:hAnsi="Palatino Linotype" w:cs="Palatino Linotype"/>
        </w:rPr>
      </w:pPr>
      <w:r w:rsidRPr="00004F28">
        <w:rPr>
          <w:rFonts w:ascii="Palatino Linotype" w:eastAsia="Palatino Linotype" w:hAnsi="Palatino Linotype" w:cs="Palatino Linotype"/>
        </w:rPr>
        <w:t xml:space="preserve">Así en consecuencia, este Instituto determina que las razones o motivos esgrimidos por el particular en la interposición del Recurso de Revisión número </w:t>
      </w:r>
      <w:r w:rsidRPr="00E23DC9">
        <w:rPr>
          <w:rFonts w:ascii="Palatino Linotype" w:eastAsia="Palatino Linotype" w:hAnsi="Palatino Linotype" w:cs="Palatino Linotype"/>
          <w:b/>
        </w:rPr>
        <w:t>14912/INFOEM/IP/RR/2022</w:t>
      </w:r>
      <w:r w:rsidRPr="00004F28">
        <w:rPr>
          <w:rFonts w:ascii="Palatino Linotype" w:eastAsia="Palatino Linotype" w:hAnsi="Palatino Linotype" w:cs="Palatino Linotype"/>
        </w:rPr>
        <w:t xml:space="preserve"> están fundados y por tanto se </w:t>
      </w:r>
      <w:r w:rsidRPr="00004F28">
        <w:rPr>
          <w:rFonts w:ascii="Palatino Linotype" w:eastAsia="Palatino Linotype" w:hAnsi="Palatino Linotype" w:cs="Palatino Linotype"/>
          <w:b/>
        </w:rPr>
        <w:t xml:space="preserve">ORDENA </w:t>
      </w:r>
      <w:r w:rsidRPr="00004F28">
        <w:rPr>
          <w:rFonts w:ascii="Palatino Linotype" w:eastAsia="Palatino Linotype" w:hAnsi="Palatino Linotype" w:cs="Palatino Linotype"/>
        </w:rPr>
        <w:t xml:space="preserve">al </w:t>
      </w:r>
      <w:r w:rsidRPr="00004F28">
        <w:rPr>
          <w:rFonts w:ascii="Palatino Linotype" w:eastAsia="Palatino Linotype" w:hAnsi="Palatino Linotype" w:cs="Palatino Linotype"/>
          <w:b/>
        </w:rPr>
        <w:t xml:space="preserve">EL SUJETO OBLIGADO </w:t>
      </w:r>
      <w:r w:rsidRPr="00004F28">
        <w:rPr>
          <w:rFonts w:ascii="Palatino Linotype" w:eastAsia="Palatino Linotype" w:hAnsi="Palatino Linotype" w:cs="Palatino Linotype"/>
        </w:rPr>
        <w:t>lleve a cabo una búsqueda exhaustiva y razonable de los manuales técnicos o materiales generados para capacitar a los trabajadores en el sistema referido por el particular</w:t>
      </w:r>
      <w:r w:rsidR="00E23DC9">
        <w:rPr>
          <w:rFonts w:ascii="Palatino Linotype" w:eastAsia="Palatino Linotype" w:hAnsi="Palatino Linotype" w:cs="Palatino Linotype"/>
        </w:rPr>
        <w:t>,</w:t>
      </w:r>
      <w:r w:rsidRPr="00004F28">
        <w:rPr>
          <w:rFonts w:ascii="Palatino Linotype" w:eastAsia="Palatino Linotype" w:hAnsi="Palatino Linotype" w:cs="Palatino Linotype"/>
        </w:rPr>
        <w:t xml:space="preserve"> vigentes al veinticinco de agosto de dos mil veintidós. </w:t>
      </w:r>
    </w:p>
    <w:p w:rsidR="001668B9" w:rsidRPr="00004F28" w:rsidRDefault="00C95825">
      <w:pPr>
        <w:spacing w:before="280" w:after="280" w:line="360" w:lineRule="auto"/>
        <w:jc w:val="both"/>
        <w:rPr>
          <w:rFonts w:ascii="Palatino Linotype" w:eastAsia="Palatino Linotype" w:hAnsi="Palatino Linotype" w:cs="Palatino Linotype"/>
        </w:rPr>
      </w:pPr>
      <w:r w:rsidRPr="00004F28">
        <w:rPr>
          <w:rFonts w:ascii="Palatino Linotype" w:eastAsia="Palatino Linotype" w:hAnsi="Palatino Linotype" w:cs="Palatino Linotype"/>
        </w:rPr>
        <w:t xml:space="preserve">No se omite señalar que en el caso de que una vez realizada la búsqueda, no obren dichos manuales, por no haberse generado, bastará con que </w:t>
      </w:r>
      <w:r w:rsidRPr="00004F28">
        <w:rPr>
          <w:rFonts w:ascii="Palatino Linotype" w:eastAsia="Palatino Linotype" w:hAnsi="Palatino Linotype" w:cs="Palatino Linotype"/>
          <w:b/>
        </w:rPr>
        <w:t xml:space="preserve">EL SUJETO OBLIGADO </w:t>
      </w:r>
      <w:r w:rsidRPr="00004F28">
        <w:rPr>
          <w:rFonts w:ascii="Palatino Linotype" w:eastAsia="Palatino Linotype" w:hAnsi="Palatino Linotype" w:cs="Palatino Linotype"/>
        </w:rPr>
        <w:t xml:space="preserve">lo manifiesta de forma fundada y motivada. </w:t>
      </w:r>
    </w:p>
    <w:p w:rsidR="001668B9" w:rsidRPr="00004F28" w:rsidRDefault="00C95825">
      <w:pPr>
        <w:spacing w:line="360" w:lineRule="auto"/>
        <w:jc w:val="both"/>
        <w:rPr>
          <w:rFonts w:ascii="Palatino Linotype" w:eastAsia="Palatino Linotype" w:hAnsi="Palatino Linotype" w:cs="Palatino Linotype"/>
        </w:rPr>
      </w:pPr>
      <w:r w:rsidRPr="00004F28">
        <w:rPr>
          <w:rFonts w:ascii="Palatino Linotype" w:eastAsia="Palatino Linotype" w:hAnsi="Palatino Linotype" w:cs="Palatino Linotype"/>
        </w:rPr>
        <w:t xml:space="preserve">Finalmente, es de señalar que, atendiendo a que </w:t>
      </w:r>
      <w:r w:rsidRPr="00004F28">
        <w:rPr>
          <w:rFonts w:ascii="Palatino Linotype" w:eastAsia="Palatino Linotype" w:hAnsi="Palatino Linotype" w:cs="Palatino Linotype"/>
          <w:b/>
        </w:rPr>
        <w:t xml:space="preserve">EL SUJETO OBLIGADO </w:t>
      </w:r>
      <w:r w:rsidRPr="00004F28">
        <w:rPr>
          <w:rFonts w:ascii="Palatino Linotype" w:eastAsia="Palatino Linotype" w:hAnsi="Palatino Linotype" w:cs="Palatino Linotype"/>
        </w:rPr>
        <w:t xml:space="preserve">fue omiso en entregar la respuesta a la solicitud de Información Pública sujeta a estudio y dado que el Recurso Revisión materia del presente asunto, no es el medio para investigar y en su caso, sancionar a servidores públicos </w:t>
      </w:r>
      <w:r w:rsidRPr="00004F28">
        <w:rPr>
          <w:rFonts w:ascii="Palatino Linotype" w:eastAsia="Palatino Linotype" w:hAnsi="Palatino Linotype" w:cs="Palatino Linotype"/>
          <w:b/>
        </w:rPr>
        <w:t>por la omisión de la entrega de Información Pública</w:t>
      </w:r>
      <w:r w:rsidRPr="00004F28">
        <w:rPr>
          <w:rFonts w:ascii="Palatino Linotype" w:eastAsia="Palatino Linotype" w:hAnsi="Palatino Linotype" w:cs="Palatino Linotype"/>
        </w:rPr>
        <w:t xml:space="preserve">, en atención a lo previsto en el artículo 163 de la Ley de la Materia, que señala el plazo de respuesta y atención a solicitudes de información; se hará  del </w:t>
      </w:r>
      <w:r w:rsidRPr="00004F28">
        <w:rPr>
          <w:rFonts w:ascii="Palatino Linotype" w:eastAsia="Palatino Linotype" w:hAnsi="Palatino Linotype" w:cs="Palatino Linotype"/>
        </w:rPr>
        <w:lastRenderedPageBreak/>
        <w:t xml:space="preserve">conocimiento al Contralor de este Instituto a fin de que en términos del ordinal 190 de la Ley de la materia determine lo conducente. </w:t>
      </w:r>
    </w:p>
    <w:p w:rsidR="001668B9" w:rsidRPr="00004F28" w:rsidRDefault="001668B9">
      <w:pPr>
        <w:spacing w:line="360" w:lineRule="auto"/>
        <w:jc w:val="both"/>
        <w:rPr>
          <w:rFonts w:ascii="Palatino Linotype" w:eastAsia="Palatino Linotype" w:hAnsi="Palatino Linotype" w:cs="Palatino Linotype"/>
        </w:rPr>
      </w:pPr>
    </w:p>
    <w:p w:rsidR="001668B9" w:rsidRPr="00004F28" w:rsidRDefault="00C95825">
      <w:pPr>
        <w:spacing w:line="360" w:lineRule="auto"/>
        <w:jc w:val="both"/>
        <w:rPr>
          <w:rFonts w:ascii="Palatino Linotype" w:eastAsia="Palatino Linotype" w:hAnsi="Palatino Linotype" w:cs="Palatino Linotype"/>
          <w:color w:val="000000"/>
        </w:rPr>
      </w:pPr>
      <w:r w:rsidRPr="00004F28">
        <w:rPr>
          <w:rFonts w:ascii="Palatino Linotype" w:eastAsia="Palatino Linotype" w:hAnsi="Palatino Linotype" w:cs="Palatino Linotype"/>
          <w:color w:val="000000"/>
        </w:rPr>
        <w:t xml:space="preserve">Así, con fundamento en lo previsto en los artículos 5, párrafos trigésimo, trigésimo primero y trigésimo segundo, fracciones IV y V de la Constitución Política del Estado Libre y Soberano de México; 2, fracción II, 29, 36, fracciones I y II, 176, 178, 179, 181, 185 fracción I, 186 y 188 de la Ley de Transparencia y Acceso a la Información Pública del Estado de México y Municipios, este Pleno: </w:t>
      </w:r>
    </w:p>
    <w:p w:rsidR="001668B9" w:rsidRPr="00004F28" w:rsidRDefault="001668B9">
      <w:pPr>
        <w:jc w:val="both"/>
        <w:rPr>
          <w:rFonts w:ascii="Palatino Linotype" w:eastAsia="Palatino Linotype" w:hAnsi="Palatino Linotype" w:cs="Palatino Linotype"/>
          <w:color w:val="000000"/>
        </w:rPr>
      </w:pPr>
    </w:p>
    <w:p w:rsidR="001668B9" w:rsidRPr="00004F28" w:rsidRDefault="001668B9">
      <w:pPr>
        <w:jc w:val="both"/>
        <w:rPr>
          <w:rFonts w:ascii="Palatino Linotype" w:eastAsia="Palatino Linotype" w:hAnsi="Palatino Linotype" w:cs="Palatino Linotype"/>
          <w:color w:val="000000"/>
        </w:rPr>
      </w:pPr>
    </w:p>
    <w:p w:rsidR="001668B9" w:rsidRPr="00004F28" w:rsidRDefault="00C95825">
      <w:pPr>
        <w:jc w:val="center"/>
        <w:rPr>
          <w:rFonts w:ascii="Palatino Linotype" w:eastAsia="Palatino Linotype" w:hAnsi="Palatino Linotype" w:cs="Palatino Linotype"/>
          <w:b/>
          <w:color w:val="000000"/>
          <w:sz w:val="28"/>
          <w:szCs w:val="28"/>
        </w:rPr>
      </w:pPr>
      <w:r w:rsidRPr="00004F28">
        <w:rPr>
          <w:rFonts w:ascii="Palatino Linotype" w:eastAsia="Palatino Linotype" w:hAnsi="Palatino Linotype" w:cs="Palatino Linotype"/>
          <w:b/>
          <w:color w:val="000000"/>
          <w:sz w:val="28"/>
          <w:szCs w:val="28"/>
        </w:rPr>
        <w:t>RESUELVE</w:t>
      </w:r>
    </w:p>
    <w:p w:rsidR="001668B9" w:rsidRPr="00004F28" w:rsidRDefault="001668B9">
      <w:pPr>
        <w:jc w:val="center"/>
        <w:rPr>
          <w:rFonts w:ascii="Palatino Linotype" w:eastAsia="Palatino Linotype" w:hAnsi="Palatino Linotype" w:cs="Palatino Linotype"/>
          <w:b/>
          <w:color w:val="000000"/>
          <w:sz w:val="20"/>
          <w:szCs w:val="20"/>
        </w:rPr>
      </w:pPr>
    </w:p>
    <w:p w:rsidR="001668B9" w:rsidRPr="00004F28" w:rsidRDefault="001668B9">
      <w:pPr>
        <w:spacing w:line="360" w:lineRule="auto"/>
        <w:ind w:right="49"/>
        <w:jc w:val="both"/>
        <w:rPr>
          <w:rFonts w:ascii="Palatino Linotype" w:eastAsia="Palatino Linotype" w:hAnsi="Palatino Linotype" w:cs="Palatino Linotype"/>
          <w:b/>
        </w:rPr>
      </w:pPr>
    </w:p>
    <w:p w:rsidR="001668B9" w:rsidRPr="00004F28" w:rsidRDefault="00C95825">
      <w:pPr>
        <w:spacing w:line="360" w:lineRule="auto"/>
        <w:jc w:val="both"/>
        <w:rPr>
          <w:rFonts w:ascii="Palatino Linotype" w:eastAsia="Palatino Linotype" w:hAnsi="Palatino Linotype" w:cs="Palatino Linotype"/>
        </w:rPr>
      </w:pPr>
      <w:bookmarkStart w:id="1" w:name="_heading=h.1ksv4uv" w:colFirst="0" w:colLast="0"/>
      <w:bookmarkEnd w:id="1"/>
      <w:r w:rsidRPr="00004F28">
        <w:rPr>
          <w:rFonts w:ascii="Palatino Linotype" w:eastAsia="Palatino Linotype" w:hAnsi="Palatino Linotype" w:cs="Palatino Linotype"/>
          <w:b/>
          <w:sz w:val="28"/>
          <w:szCs w:val="28"/>
        </w:rPr>
        <w:t>PRIMERO</w:t>
      </w:r>
      <w:r w:rsidRPr="00004F28">
        <w:rPr>
          <w:rFonts w:ascii="Palatino Linotype" w:eastAsia="Palatino Linotype" w:hAnsi="Palatino Linotype" w:cs="Palatino Linotype"/>
          <w:sz w:val="28"/>
          <w:szCs w:val="28"/>
        </w:rPr>
        <w:t>.</w:t>
      </w:r>
      <w:r w:rsidRPr="00004F28">
        <w:rPr>
          <w:rFonts w:ascii="Palatino Linotype" w:eastAsia="Palatino Linotype" w:hAnsi="Palatino Linotype" w:cs="Palatino Linotype"/>
        </w:rPr>
        <w:t xml:space="preserve"> Resultan </w:t>
      </w:r>
      <w:r w:rsidRPr="00004F28">
        <w:rPr>
          <w:rFonts w:ascii="Palatino Linotype" w:eastAsia="Palatino Linotype" w:hAnsi="Palatino Linotype" w:cs="Palatino Linotype"/>
          <w:b/>
        </w:rPr>
        <w:t>fundadas</w:t>
      </w:r>
      <w:r w:rsidRPr="00004F28">
        <w:rPr>
          <w:rFonts w:ascii="Palatino Linotype" w:eastAsia="Palatino Linotype" w:hAnsi="Palatino Linotype" w:cs="Palatino Linotype"/>
        </w:rPr>
        <w:t xml:space="preserve"> las</w:t>
      </w:r>
      <w:r w:rsidRPr="00004F28">
        <w:rPr>
          <w:rFonts w:ascii="Palatino Linotype" w:eastAsia="Palatino Linotype" w:hAnsi="Palatino Linotype" w:cs="Palatino Linotype"/>
          <w:b/>
        </w:rPr>
        <w:t xml:space="preserve"> </w:t>
      </w:r>
      <w:r w:rsidRPr="00004F28">
        <w:rPr>
          <w:rFonts w:ascii="Palatino Linotype" w:eastAsia="Palatino Linotype" w:hAnsi="Palatino Linotype" w:cs="Palatino Linotype"/>
        </w:rPr>
        <w:t xml:space="preserve">razones o motivos de inconformidad hechos valer en el Recurso de Revisión </w:t>
      </w:r>
      <w:r w:rsidRPr="00004F28">
        <w:rPr>
          <w:rFonts w:ascii="Palatino Linotype" w:eastAsia="Palatino Linotype" w:hAnsi="Palatino Linotype" w:cs="Palatino Linotype"/>
          <w:b/>
        </w:rPr>
        <w:t xml:space="preserve">14912/INFOEM/IP/RR/2022, </w:t>
      </w:r>
      <w:r w:rsidRPr="00004F28">
        <w:rPr>
          <w:rFonts w:ascii="Palatino Linotype" w:eastAsia="Palatino Linotype" w:hAnsi="Palatino Linotype" w:cs="Palatino Linotype"/>
        </w:rPr>
        <w:t xml:space="preserve">en términos del Considerando </w:t>
      </w:r>
      <w:r w:rsidR="00E23DC9">
        <w:rPr>
          <w:rFonts w:ascii="Palatino Linotype" w:eastAsia="Palatino Linotype" w:hAnsi="Palatino Linotype" w:cs="Palatino Linotype"/>
          <w:b/>
        </w:rPr>
        <w:t>QUINTO</w:t>
      </w:r>
      <w:r w:rsidRPr="00004F28">
        <w:rPr>
          <w:rFonts w:ascii="Palatino Linotype" w:eastAsia="Palatino Linotype" w:hAnsi="Palatino Linotype" w:cs="Palatino Linotype"/>
          <w:b/>
        </w:rPr>
        <w:t xml:space="preserve"> </w:t>
      </w:r>
      <w:r w:rsidRPr="00004F28">
        <w:rPr>
          <w:rFonts w:ascii="Palatino Linotype" w:eastAsia="Palatino Linotype" w:hAnsi="Palatino Linotype" w:cs="Palatino Linotype"/>
        </w:rPr>
        <w:t>de la presente resolución.</w:t>
      </w:r>
    </w:p>
    <w:p w:rsidR="001668B9" w:rsidRPr="00004F28" w:rsidRDefault="001668B9">
      <w:pPr>
        <w:spacing w:before="240" w:line="360" w:lineRule="auto"/>
        <w:jc w:val="both"/>
        <w:rPr>
          <w:rFonts w:ascii="Palatino Linotype" w:eastAsia="Palatino Linotype" w:hAnsi="Palatino Linotype" w:cs="Palatino Linotype"/>
          <w:sz w:val="6"/>
          <w:szCs w:val="6"/>
        </w:rPr>
      </w:pPr>
    </w:p>
    <w:p w:rsidR="001668B9" w:rsidRPr="00004F28" w:rsidRDefault="00C95825">
      <w:pPr>
        <w:spacing w:line="360" w:lineRule="auto"/>
        <w:jc w:val="both"/>
        <w:rPr>
          <w:rFonts w:ascii="Palatino Linotype" w:eastAsia="Palatino Linotype" w:hAnsi="Palatino Linotype" w:cs="Palatino Linotype"/>
        </w:rPr>
      </w:pPr>
      <w:r w:rsidRPr="00004F28">
        <w:rPr>
          <w:rFonts w:ascii="Palatino Linotype" w:eastAsia="Palatino Linotype" w:hAnsi="Palatino Linotype" w:cs="Palatino Linotype"/>
          <w:b/>
          <w:sz w:val="28"/>
          <w:szCs w:val="28"/>
        </w:rPr>
        <w:t>SEGUNDO</w:t>
      </w:r>
      <w:r w:rsidRPr="00004F28">
        <w:rPr>
          <w:rFonts w:ascii="Palatino Linotype" w:eastAsia="Palatino Linotype" w:hAnsi="Palatino Linotype" w:cs="Palatino Linotype"/>
        </w:rPr>
        <w:t xml:space="preserve">. Se </w:t>
      </w:r>
      <w:r w:rsidRPr="00004F28">
        <w:rPr>
          <w:rFonts w:ascii="Palatino Linotype" w:eastAsia="Palatino Linotype" w:hAnsi="Palatino Linotype" w:cs="Palatino Linotype"/>
          <w:b/>
        </w:rPr>
        <w:t>ORDENA al SUJETO OBLIGADO</w:t>
      </w:r>
      <w:r w:rsidRPr="00004F28">
        <w:rPr>
          <w:rFonts w:ascii="Palatino Linotype" w:eastAsia="Palatino Linotype" w:hAnsi="Palatino Linotype" w:cs="Palatino Linotype"/>
        </w:rPr>
        <w:t xml:space="preserve">, atienda la solicitud de información y entregue al </w:t>
      </w:r>
      <w:r w:rsidRPr="00004F28">
        <w:rPr>
          <w:rFonts w:ascii="Palatino Linotype" w:eastAsia="Palatino Linotype" w:hAnsi="Palatino Linotype" w:cs="Palatino Linotype"/>
          <w:b/>
        </w:rPr>
        <w:t>RECURRENTE</w:t>
      </w:r>
      <w:r w:rsidRPr="00004F28">
        <w:rPr>
          <w:rFonts w:ascii="Palatino Linotype" w:eastAsia="Palatino Linotype" w:hAnsi="Palatino Linotype" w:cs="Palatino Linotype"/>
        </w:rPr>
        <w:t xml:space="preserve"> en términos del Considerando </w:t>
      </w:r>
      <w:r w:rsidRPr="00004F28">
        <w:rPr>
          <w:rFonts w:ascii="Palatino Linotype" w:eastAsia="Palatino Linotype" w:hAnsi="Palatino Linotype" w:cs="Palatino Linotype"/>
          <w:b/>
        </w:rPr>
        <w:t xml:space="preserve">QUINTO </w:t>
      </w:r>
      <w:r w:rsidRPr="00004F28">
        <w:rPr>
          <w:rFonts w:ascii="Palatino Linotype" w:eastAsia="Palatino Linotype" w:hAnsi="Palatino Linotype" w:cs="Palatino Linotype"/>
        </w:rPr>
        <w:t>de la presente resolución, vía Sistema de Acceso a la Información Mexiquense (</w:t>
      </w:r>
      <w:r w:rsidRPr="00004F28">
        <w:rPr>
          <w:rFonts w:ascii="Palatino Linotype" w:eastAsia="Palatino Linotype" w:hAnsi="Palatino Linotype" w:cs="Palatino Linotype"/>
          <w:b/>
        </w:rPr>
        <w:t>SAIMEX)</w:t>
      </w:r>
      <w:r w:rsidRPr="00004F28">
        <w:rPr>
          <w:rFonts w:ascii="Palatino Linotype" w:eastAsia="Palatino Linotype" w:hAnsi="Palatino Linotype" w:cs="Palatino Linotype"/>
        </w:rPr>
        <w:t xml:space="preserve">: </w:t>
      </w:r>
    </w:p>
    <w:p w:rsidR="001668B9" w:rsidRPr="00004F28" w:rsidRDefault="00C95825">
      <w:pPr>
        <w:ind w:left="850" w:right="899"/>
        <w:jc w:val="both"/>
        <w:rPr>
          <w:rFonts w:ascii="Palatino Linotype" w:eastAsia="Palatino Linotype" w:hAnsi="Palatino Linotype" w:cs="Palatino Linotype"/>
          <w:i/>
          <w:sz w:val="22"/>
          <w:szCs w:val="22"/>
        </w:rPr>
      </w:pPr>
      <w:r w:rsidRPr="00004F28">
        <w:rPr>
          <w:rFonts w:ascii="Palatino Linotype" w:eastAsia="Palatino Linotype" w:hAnsi="Palatino Linotype" w:cs="Palatino Linotype"/>
          <w:i/>
          <w:sz w:val="22"/>
          <w:szCs w:val="22"/>
        </w:rPr>
        <w:t xml:space="preserve">El soporte documental  donde consten los manuales técnicos o materiales generados para capacitar a los trabajadores en el sistema referido por el particular, vigentes al veinticinco de agosto de dos mil veintidós. </w:t>
      </w:r>
    </w:p>
    <w:p w:rsidR="001668B9" w:rsidRPr="00004F28" w:rsidRDefault="001668B9">
      <w:pPr>
        <w:ind w:left="850" w:right="899"/>
        <w:jc w:val="both"/>
        <w:rPr>
          <w:rFonts w:ascii="Palatino Linotype" w:eastAsia="Palatino Linotype" w:hAnsi="Palatino Linotype" w:cs="Palatino Linotype"/>
          <w:i/>
          <w:sz w:val="22"/>
          <w:szCs w:val="22"/>
        </w:rPr>
      </w:pPr>
    </w:p>
    <w:p w:rsidR="001668B9" w:rsidRPr="00004F28" w:rsidRDefault="00C95825">
      <w:pPr>
        <w:ind w:left="850" w:right="899"/>
        <w:jc w:val="both"/>
        <w:rPr>
          <w:rFonts w:ascii="Palatino Linotype" w:eastAsia="Palatino Linotype" w:hAnsi="Palatino Linotype" w:cs="Palatino Linotype"/>
          <w:i/>
          <w:sz w:val="22"/>
          <w:szCs w:val="22"/>
        </w:rPr>
      </w:pPr>
      <w:r w:rsidRPr="00004F28">
        <w:rPr>
          <w:rFonts w:ascii="Palatino Linotype" w:eastAsia="Palatino Linotype" w:hAnsi="Palatino Linotype" w:cs="Palatino Linotype"/>
          <w:i/>
          <w:sz w:val="22"/>
          <w:szCs w:val="22"/>
        </w:rPr>
        <w:t>No se omite señalar que en el caso de que una vez realizada la búsqueda, no obren dichos manuales, por no haberse generado, bastará con que EL SUJETO OBLIGADO lo manifiesta de forma fundada y motivada.</w:t>
      </w:r>
    </w:p>
    <w:p w:rsidR="001668B9" w:rsidRPr="00004F28" w:rsidRDefault="001668B9">
      <w:pPr>
        <w:ind w:right="899"/>
        <w:jc w:val="both"/>
        <w:rPr>
          <w:rFonts w:ascii="Palatino Linotype" w:eastAsia="Palatino Linotype" w:hAnsi="Palatino Linotype" w:cs="Palatino Linotype"/>
          <w:i/>
          <w:sz w:val="22"/>
          <w:szCs w:val="22"/>
        </w:rPr>
      </w:pPr>
    </w:p>
    <w:p w:rsidR="001668B9" w:rsidRPr="00004F28" w:rsidRDefault="00C95825">
      <w:pPr>
        <w:spacing w:before="280" w:after="280" w:line="360" w:lineRule="auto"/>
        <w:jc w:val="both"/>
        <w:rPr>
          <w:rFonts w:ascii="Palatino Linotype" w:eastAsia="Palatino Linotype" w:hAnsi="Palatino Linotype" w:cs="Palatino Linotype"/>
        </w:rPr>
      </w:pPr>
      <w:r w:rsidRPr="00004F28">
        <w:rPr>
          <w:rFonts w:ascii="Palatino Linotype" w:eastAsia="Palatino Linotype" w:hAnsi="Palatino Linotype" w:cs="Palatino Linotype"/>
          <w:b/>
          <w:sz w:val="28"/>
          <w:szCs w:val="28"/>
        </w:rPr>
        <w:lastRenderedPageBreak/>
        <w:t>TERCERO.</w:t>
      </w:r>
      <w:r w:rsidRPr="00004F28">
        <w:rPr>
          <w:rFonts w:ascii="Palatino Linotype" w:eastAsia="Palatino Linotype" w:hAnsi="Palatino Linotype" w:cs="Palatino Linotype"/>
        </w:rPr>
        <w:t xml:space="preserve"> </w:t>
      </w:r>
      <w:r w:rsidRPr="00004F28">
        <w:rPr>
          <w:rFonts w:ascii="Palatino Linotype" w:eastAsia="Palatino Linotype" w:hAnsi="Palatino Linotype" w:cs="Palatino Linotype"/>
          <w:b/>
        </w:rPr>
        <w:t>Notifíquese</w:t>
      </w:r>
      <w:r w:rsidRPr="00004F28">
        <w:rPr>
          <w:rFonts w:ascii="Palatino Linotype" w:eastAsia="Palatino Linotype" w:hAnsi="Palatino Linotype" w:cs="Palatino Linotype"/>
        </w:rPr>
        <w:t xml:space="preserve"> al Titular de la Unidad de Transparencia del </w:t>
      </w:r>
      <w:r w:rsidRPr="00004F28">
        <w:rPr>
          <w:rFonts w:ascii="Palatino Linotype" w:eastAsia="Palatino Linotype" w:hAnsi="Palatino Linotype" w:cs="Palatino Linotype"/>
          <w:b/>
        </w:rPr>
        <w:t xml:space="preserve">SUJETO OBLIGADO </w:t>
      </w:r>
      <w:r w:rsidRPr="00004F28">
        <w:rPr>
          <w:rFonts w:ascii="Palatino Linotype" w:eastAsia="Palatino Linotype" w:hAnsi="Palatino Linotype" w:cs="Palatino Linotype"/>
        </w:rPr>
        <w:t>vía Sistema de Acceso a la Información Mexiquense,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1668B9" w:rsidRPr="00004F28" w:rsidRDefault="00C95825">
      <w:pPr>
        <w:widowControl w:val="0"/>
        <w:tabs>
          <w:tab w:val="left" w:pos="1701"/>
        </w:tabs>
        <w:spacing w:before="240" w:after="280" w:line="360" w:lineRule="auto"/>
        <w:jc w:val="both"/>
        <w:rPr>
          <w:rFonts w:ascii="Palatino Linotype" w:eastAsia="Palatino Linotype" w:hAnsi="Palatino Linotype" w:cs="Palatino Linotype"/>
        </w:rPr>
      </w:pPr>
      <w:r w:rsidRPr="00004F28">
        <w:rPr>
          <w:rFonts w:ascii="Palatino Linotype" w:eastAsia="Palatino Linotype" w:hAnsi="Palatino Linotype" w:cs="Palatino Linotype"/>
          <w:b/>
          <w:sz w:val="28"/>
          <w:szCs w:val="28"/>
        </w:rPr>
        <w:t>CUARTO.</w:t>
      </w:r>
      <w:r w:rsidRPr="00004F28">
        <w:rPr>
          <w:rFonts w:ascii="Palatino Linotype" w:eastAsia="Palatino Linotype" w:hAnsi="Palatino Linotype" w:cs="Palatino Linotype"/>
        </w:rPr>
        <w:t xml:space="preserve"> </w:t>
      </w:r>
      <w:r w:rsidRPr="00004F28">
        <w:rPr>
          <w:rFonts w:ascii="Palatino Linotype" w:eastAsia="Palatino Linotype" w:hAnsi="Palatino Linotype" w:cs="Palatino Linotype"/>
          <w:b/>
        </w:rPr>
        <w:t>Notifíquese</w:t>
      </w:r>
      <w:r w:rsidRPr="00004F28">
        <w:rPr>
          <w:rFonts w:ascii="Palatino Linotype" w:eastAsia="Palatino Linotype" w:hAnsi="Palatino Linotype" w:cs="Palatino Linotype"/>
        </w:rPr>
        <w:t xml:space="preserve"> al </w:t>
      </w:r>
      <w:r w:rsidRPr="00004F28">
        <w:rPr>
          <w:rFonts w:ascii="Palatino Linotype" w:eastAsia="Palatino Linotype" w:hAnsi="Palatino Linotype" w:cs="Palatino Linotype"/>
          <w:b/>
        </w:rPr>
        <w:t>RECURRENTE</w:t>
      </w:r>
      <w:r w:rsidRPr="00004F28">
        <w:rPr>
          <w:rFonts w:ascii="Palatino Linotype" w:eastAsia="Palatino Linotype" w:hAnsi="Palatino Linotype" w:cs="Palatino Linotype"/>
        </w:rPr>
        <w:t xml:space="preserve"> vía Sistema de Acceso a la Información Mexiquense (</w:t>
      </w:r>
      <w:r w:rsidRPr="00004F28">
        <w:rPr>
          <w:rFonts w:ascii="Palatino Linotype" w:eastAsia="Palatino Linotype" w:hAnsi="Palatino Linotype" w:cs="Palatino Linotype"/>
          <w:b/>
        </w:rPr>
        <w:t>SAIMEX</w:t>
      </w:r>
      <w:r w:rsidRPr="00004F28">
        <w:rPr>
          <w:rFonts w:ascii="Palatino Linotype" w:eastAsia="Palatino Linotype" w:hAnsi="Palatino Linotype" w:cs="Palatino Linotype"/>
        </w:rPr>
        <w:t>), la presente resolución.</w:t>
      </w:r>
    </w:p>
    <w:p w:rsidR="001668B9" w:rsidRPr="00004F28" w:rsidRDefault="00C95825">
      <w:pPr>
        <w:widowControl w:val="0"/>
        <w:tabs>
          <w:tab w:val="left" w:pos="1701"/>
        </w:tabs>
        <w:spacing w:before="240" w:after="280" w:line="360" w:lineRule="auto"/>
        <w:jc w:val="both"/>
        <w:rPr>
          <w:rFonts w:ascii="Palatino Linotype" w:eastAsia="Palatino Linotype" w:hAnsi="Palatino Linotype" w:cs="Palatino Linotype"/>
        </w:rPr>
      </w:pPr>
      <w:r w:rsidRPr="00004F28">
        <w:rPr>
          <w:rFonts w:ascii="Palatino Linotype" w:eastAsia="Palatino Linotype" w:hAnsi="Palatino Linotype" w:cs="Palatino Linotype"/>
          <w:b/>
          <w:sz w:val="28"/>
          <w:szCs w:val="28"/>
        </w:rPr>
        <w:t>QUINTO</w:t>
      </w:r>
      <w:r w:rsidRPr="00004F28">
        <w:rPr>
          <w:rFonts w:ascii="Palatino Linotype" w:eastAsia="Palatino Linotype" w:hAnsi="Palatino Linotype" w:cs="Palatino Linotype"/>
        </w:rPr>
        <w:t xml:space="preserve">. </w:t>
      </w:r>
      <w:r w:rsidRPr="00004F28">
        <w:rPr>
          <w:rFonts w:ascii="Palatino Linotype" w:eastAsia="Palatino Linotype" w:hAnsi="Palatino Linotype" w:cs="Palatino Linotype"/>
          <w:b/>
        </w:rPr>
        <w:t>Hágase</w:t>
      </w:r>
      <w:r w:rsidRPr="00004F28">
        <w:rPr>
          <w:rFonts w:ascii="Palatino Linotype" w:eastAsia="Palatino Linotype" w:hAnsi="Palatino Linotype" w:cs="Palatino Linotype"/>
        </w:rPr>
        <w:t xml:space="preserve"> </w:t>
      </w:r>
      <w:r w:rsidRPr="00004F28">
        <w:rPr>
          <w:rFonts w:ascii="Palatino Linotype" w:eastAsia="Palatino Linotype" w:hAnsi="Palatino Linotype" w:cs="Palatino Linotype"/>
          <w:b/>
        </w:rPr>
        <w:t>del conocimiento</w:t>
      </w:r>
      <w:r w:rsidRPr="00004F28">
        <w:rPr>
          <w:rFonts w:ascii="Palatino Linotype" w:eastAsia="Palatino Linotype" w:hAnsi="Palatino Linotype" w:cs="Palatino Linotype"/>
        </w:rPr>
        <w:t xml:space="preserve"> del </w:t>
      </w:r>
      <w:r w:rsidRPr="00004F28">
        <w:rPr>
          <w:rFonts w:ascii="Palatino Linotype" w:eastAsia="Palatino Linotype" w:hAnsi="Palatino Linotype" w:cs="Palatino Linotype"/>
          <w:b/>
        </w:rPr>
        <w:t>RECURRENTE</w:t>
      </w:r>
      <w:r w:rsidRPr="00004F28">
        <w:rPr>
          <w:rFonts w:ascii="Palatino Linotype" w:eastAsia="Palatino Linotype" w:hAnsi="Palatino Linotype" w:cs="Palatino Linotype"/>
        </w:rPr>
        <w:t xml:space="preserve"> que, de conformidad con lo establecido en el artículo 196 de la Ley de Transparencia y Acceso a la Información Pública del Estado de México y Municipios. </w:t>
      </w:r>
    </w:p>
    <w:p w:rsidR="001668B9" w:rsidRDefault="00C95825">
      <w:pPr>
        <w:widowControl w:val="0"/>
        <w:tabs>
          <w:tab w:val="left" w:pos="1701"/>
        </w:tabs>
        <w:spacing w:line="360" w:lineRule="auto"/>
        <w:ind w:right="49"/>
        <w:jc w:val="both"/>
        <w:rPr>
          <w:rFonts w:ascii="Palatino Linotype" w:eastAsia="Palatino Linotype" w:hAnsi="Palatino Linotype" w:cs="Palatino Linotype"/>
        </w:rPr>
      </w:pPr>
      <w:r w:rsidRPr="00004F28">
        <w:rPr>
          <w:rFonts w:ascii="Palatino Linotype" w:eastAsia="Palatino Linotype" w:hAnsi="Palatino Linotype" w:cs="Palatino Linotype"/>
          <w:b/>
          <w:sz w:val="28"/>
          <w:szCs w:val="28"/>
        </w:rPr>
        <w:t>SEXTO.</w:t>
      </w:r>
      <w:r w:rsidRPr="00004F28">
        <w:rPr>
          <w:rFonts w:ascii="Palatino Linotype" w:eastAsia="Palatino Linotype" w:hAnsi="Palatino Linotype" w:cs="Palatino Linotype"/>
        </w:rPr>
        <w:t xml:space="preserve"> </w:t>
      </w:r>
      <w:r w:rsidRPr="00004F28">
        <w:rPr>
          <w:rFonts w:ascii="Palatino Linotype" w:eastAsia="Palatino Linotype" w:hAnsi="Palatino Linotype" w:cs="Palatino Linotype"/>
          <w:b/>
        </w:rPr>
        <w:t xml:space="preserve">Hágase del conocimiento </w:t>
      </w:r>
      <w:r w:rsidRPr="00004F28">
        <w:rPr>
          <w:rFonts w:ascii="Palatino Linotype" w:eastAsia="Palatino Linotype" w:hAnsi="Palatino Linotype" w:cs="Palatino Linotype"/>
        </w:rPr>
        <w:t xml:space="preserve">del </w:t>
      </w:r>
      <w:r w:rsidRPr="00004F28">
        <w:rPr>
          <w:rFonts w:ascii="Palatino Linotype" w:eastAsia="Palatino Linotype" w:hAnsi="Palatino Linotype" w:cs="Palatino Linotype"/>
          <w:b/>
        </w:rPr>
        <w:t xml:space="preserve">RECURRENTE </w:t>
      </w:r>
      <w:r w:rsidRPr="00004F28">
        <w:rPr>
          <w:rFonts w:ascii="Palatino Linotype" w:eastAsia="Palatino Linotype" w:hAnsi="Palatino Linotype" w:cs="Palatino Linotype"/>
        </w:rPr>
        <w:t xml:space="preserve">que la respuesta que dé </w:t>
      </w:r>
      <w:r w:rsidRPr="00004F28">
        <w:rPr>
          <w:rFonts w:ascii="Palatino Linotype" w:eastAsia="Palatino Linotype" w:hAnsi="Palatino Linotype" w:cs="Palatino Linotype"/>
          <w:b/>
        </w:rPr>
        <w:t>EL SUJETO OBLIGADO</w:t>
      </w:r>
      <w:r w:rsidRPr="00004F28">
        <w:rPr>
          <w:rFonts w:ascii="Palatino Linotype" w:eastAsia="Palatino Linotype" w:hAnsi="Palatino Linotype" w:cs="Palatino Linotype"/>
        </w:rPr>
        <w:t xml:space="preserve"> derivada de la presente resolución es susceptible de ser impugnada nuevamente, mediante Recurso Revisión, ante el Instituto, en términos del artículo 179, último párrafo de la Ley de Transparencia y Acceso a la Información Pública del Estado de México y Municipios.</w:t>
      </w:r>
    </w:p>
    <w:p w:rsidR="00FE55B1" w:rsidRDefault="00FE55B1">
      <w:pPr>
        <w:widowControl w:val="0"/>
        <w:tabs>
          <w:tab w:val="left" w:pos="1701"/>
        </w:tabs>
        <w:spacing w:line="360" w:lineRule="auto"/>
        <w:ind w:right="49"/>
        <w:jc w:val="both"/>
        <w:rPr>
          <w:rFonts w:ascii="Palatino Linotype" w:eastAsia="Palatino Linotype" w:hAnsi="Palatino Linotype" w:cs="Palatino Linotype"/>
        </w:rPr>
      </w:pPr>
    </w:p>
    <w:p w:rsidR="00FE55B1" w:rsidRDefault="00FE55B1">
      <w:pPr>
        <w:widowControl w:val="0"/>
        <w:tabs>
          <w:tab w:val="left" w:pos="1701"/>
        </w:tabs>
        <w:spacing w:line="360" w:lineRule="auto"/>
        <w:ind w:right="49"/>
        <w:jc w:val="both"/>
        <w:rPr>
          <w:rFonts w:ascii="Palatino Linotype" w:eastAsia="Palatino Linotype" w:hAnsi="Palatino Linotype" w:cs="Palatino Linotype"/>
        </w:rPr>
      </w:pPr>
    </w:p>
    <w:p w:rsidR="00FE55B1" w:rsidRDefault="00FE55B1">
      <w:pPr>
        <w:widowControl w:val="0"/>
        <w:tabs>
          <w:tab w:val="left" w:pos="1701"/>
        </w:tabs>
        <w:spacing w:line="360" w:lineRule="auto"/>
        <w:ind w:right="49"/>
        <w:jc w:val="both"/>
        <w:rPr>
          <w:rFonts w:ascii="Palatino Linotype" w:eastAsia="Palatino Linotype" w:hAnsi="Palatino Linotype" w:cs="Palatino Linotype"/>
        </w:rPr>
      </w:pPr>
    </w:p>
    <w:p w:rsidR="00FE55B1" w:rsidRPr="00004F28" w:rsidRDefault="00FE55B1">
      <w:pPr>
        <w:widowControl w:val="0"/>
        <w:tabs>
          <w:tab w:val="left" w:pos="1701"/>
        </w:tabs>
        <w:spacing w:line="360" w:lineRule="auto"/>
        <w:ind w:right="49"/>
        <w:jc w:val="both"/>
        <w:rPr>
          <w:rFonts w:ascii="Palatino Linotype" w:eastAsia="Palatino Linotype" w:hAnsi="Palatino Linotype" w:cs="Palatino Linotype"/>
        </w:rPr>
      </w:pPr>
    </w:p>
    <w:p w:rsidR="001668B9" w:rsidRPr="00004F28" w:rsidRDefault="00C95825">
      <w:pPr>
        <w:widowControl w:val="0"/>
        <w:tabs>
          <w:tab w:val="left" w:pos="1701"/>
        </w:tabs>
        <w:spacing w:line="360" w:lineRule="auto"/>
        <w:ind w:right="49"/>
        <w:jc w:val="both"/>
        <w:rPr>
          <w:rFonts w:ascii="Palatino Linotype" w:eastAsia="Palatino Linotype" w:hAnsi="Palatino Linotype" w:cs="Palatino Linotype"/>
          <w:b/>
        </w:rPr>
      </w:pPr>
      <w:r w:rsidRPr="00004F28">
        <w:rPr>
          <w:rFonts w:ascii="Palatino Linotype" w:eastAsia="Palatino Linotype" w:hAnsi="Palatino Linotype" w:cs="Palatino Linotype"/>
          <w:b/>
          <w:sz w:val="28"/>
          <w:szCs w:val="28"/>
        </w:rPr>
        <w:lastRenderedPageBreak/>
        <w:t>SÉPTIMO</w:t>
      </w:r>
      <w:r w:rsidRPr="00004F28">
        <w:rPr>
          <w:rFonts w:ascii="Palatino Linotype" w:eastAsia="Palatino Linotype" w:hAnsi="Palatino Linotype" w:cs="Palatino Linotype"/>
          <w:b/>
        </w:rPr>
        <w:t xml:space="preserve">. </w:t>
      </w:r>
      <w:r w:rsidRPr="00004F28">
        <w:rPr>
          <w:rFonts w:ascii="Palatino Linotype" w:eastAsia="Palatino Linotype" w:hAnsi="Palatino Linotype" w:cs="Palatino Linotype"/>
        </w:rPr>
        <w:t>Con fundamento en el artículo 198 de la Ley de la Ley de Transparencia y Acceso a la Información Pública del Estado de México y Municipios, se apercibe al Sujeto Obligado que, en caso de negarse a cumplir la presente resolución o hacerlo de manera parcial se actuará de conformidad con lo previsto en los artículos 213, 214, 216 y 217 de dicha Ley.</w:t>
      </w:r>
      <w:r w:rsidRPr="00004F28">
        <w:rPr>
          <w:rFonts w:ascii="Palatino Linotype" w:eastAsia="Palatino Linotype" w:hAnsi="Palatino Linotype" w:cs="Palatino Linotype"/>
          <w:b/>
        </w:rPr>
        <w:t xml:space="preserve">  </w:t>
      </w:r>
    </w:p>
    <w:p w:rsidR="001668B9" w:rsidRPr="00004F28" w:rsidRDefault="001668B9">
      <w:pPr>
        <w:widowControl w:val="0"/>
        <w:tabs>
          <w:tab w:val="left" w:pos="1701"/>
        </w:tabs>
        <w:spacing w:line="360" w:lineRule="auto"/>
        <w:ind w:right="49"/>
        <w:jc w:val="both"/>
        <w:rPr>
          <w:rFonts w:ascii="Palatino Linotype" w:eastAsia="Palatino Linotype" w:hAnsi="Palatino Linotype" w:cs="Palatino Linotype"/>
          <w:b/>
        </w:rPr>
      </w:pPr>
    </w:p>
    <w:p w:rsidR="001668B9" w:rsidRPr="00004F28" w:rsidRDefault="00C95825">
      <w:pPr>
        <w:widowControl w:val="0"/>
        <w:tabs>
          <w:tab w:val="left" w:pos="1701"/>
        </w:tabs>
        <w:spacing w:line="360" w:lineRule="auto"/>
        <w:ind w:right="49"/>
        <w:jc w:val="both"/>
        <w:rPr>
          <w:rFonts w:ascii="Palatino Linotype" w:eastAsia="Palatino Linotype" w:hAnsi="Palatino Linotype" w:cs="Palatino Linotype"/>
        </w:rPr>
      </w:pPr>
      <w:r w:rsidRPr="00004F28">
        <w:rPr>
          <w:rFonts w:ascii="Palatino Linotype" w:eastAsia="Palatino Linotype" w:hAnsi="Palatino Linotype" w:cs="Palatino Linotype"/>
          <w:b/>
        </w:rPr>
        <w:t xml:space="preserve">OCTAVO. Gírese oficio </w:t>
      </w:r>
      <w:r w:rsidRPr="00004F28">
        <w:rPr>
          <w:rFonts w:ascii="Palatino Linotype" w:eastAsia="Palatino Linotype" w:hAnsi="Palatino Linotype" w:cs="Palatino Linotype"/>
        </w:rPr>
        <w:t xml:space="preserve">al Titular de la Contraloría Interna y Órgano de Control y Vigilancia de este Instituto, de conformidad con el artículo 190 de la Ley de Transparencia y Acceso a la Información Pública del Estado de México y Municipios, a fin de que determine lo conducente en términos del Considerando </w:t>
      </w:r>
      <w:r w:rsidRPr="00004F28">
        <w:rPr>
          <w:rFonts w:ascii="Palatino Linotype" w:eastAsia="Palatino Linotype" w:hAnsi="Palatino Linotype" w:cs="Palatino Linotype"/>
          <w:b/>
        </w:rPr>
        <w:t xml:space="preserve">QUINTO </w:t>
      </w:r>
      <w:r w:rsidRPr="00004F28">
        <w:rPr>
          <w:rFonts w:ascii="Palatino Linotype" w:eastAsia="Palatino Linotype" w:hAnsi="Palatino Linotype" w:cs="Palatino Linotype"/>
        </w:rPr>
        <w:t>de la presente resolución.</w:t>
      </w:r>
    </w:p>
    <w:p w:rsidR="001668B9" w:rsidRPr="00004F28" w:rsidRDefault="001668B9">
      <w:pPr>
        <w:spacing w:line="360" w:lineRule="auto"/>
        <w:jc w:val="both"/>
        <w:rPr>
          <w:rFonts w:ascii="Palatino Linotype" w:eastAsia="Palatino Linotype" w:hAnsi="Palatino Linotype" w:cs="Palatino Linotype"/>
        </w:rPr>
      </w:pPr>
      <w:bookmarkStart w:id="2" w:name="_heading=h.dou5oxb9ytn1" w:colFirst="0" w:colLast="0"/>
      <w:bookmarkEnd w:id="2"/>
    </w:p>
    <w:p w:rsidR="001668B9" w:rsidRPr="00004F28" w:rsidRDefault="00C95825">
      <w:pPr>
        <w:widowControl w:val="0"/>
        <w:spacing w:line="360" w:lineRule="auto"/>
        <w:jc w:val="both"/>
        <w:rPr>
          <w:rFonts w:ascii="Palatino Linotype" w:eastAsia="Palatino Linotype" w:hAnsi="Palatino Linotype" w:cs="Palatino Linotype"/>
          <w:color w:val="000000"/>
        </w:rPr>
      </w:pPr>
      <w:bookmarkStart w:id="3" w:name="_heading=h.gjdgxs" w:colFirst="0" w:colLast="0"/>
      <w:bookmarkEnd w:id="3"/>
      <w:r w:rsidRPr="00004F28">
        <w:rPr>
          <w:rFonts w:ascii="Palatino Linotype" w:eastAsia="Palatino Linotype" w:hAnsi="Palatino Linotype" w:cs="Palatino Linotype"/>
          <w:color w:val="000000"/>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QUINTA SESIÓN ORDINARIA CELEBRADA EL CATORCE DE DICIEMBRE DE DOS MIL VEINTIDÓS, ANTE EL SECRETARIO TÉCNICO DEL PLENO, ALEXIS TAPIA RAMÍREZ. </w:t>
      </w:r>
    </w:p>
    <w:p w:rsidR="001668B9" w:rsidRDefault="00C95825">
      <w:pPr>
        <w:spacing w:line="360" w:lineRule="auto"/>
        <w:jc w:val="both"/>
        <w:rPr>
          <w:rFonts w:ascii="Palatino Linotype" w:eastAsia="Palatino Linotype" w:hAnsi="Palatino Linotype" w:cs="Palatino Linotype"/>
          <w:sz w:val="20"/>
          <w:szCs w:val="20"/>
        </w:rPr>
      </w:pPr>
      <w:r w:rsidRPr="00004F28">
        <w:rPr>
          <w:rFonts w:ascii="Palatino Linotype" w:eastAsia="Palatino Linotype" w:hAnsi="Palatino Linotype" w:cs="Palatino Linotype"/>
          <w:sz w:val="20"/>
          <w:szCs w:val="20"/>
        </w:rPr>
        <w:t>SCMM/BLA/DEMF/PMRE</w:t>
      </w:r>
    </w:p>
    <w:p w:rsidR="001668B9" w:rsidRDefault="001668B9">
      <w:pPr>
        <w:spacing w:line="360" w:lineRule="auto"/>
        <w:jc w:val="both"/>
        <w:rPr>
          <w:rFonts w:ascii="Palatino Linotype" w:eastAsia="Palatino Linotype" w:hAnsi="Palatino Linotype" w:cs="Palatino Linotype"/>
          <w:sz w:val="20"/>
          <w:szCs w:val="20"/>
        </w:rPr>
      </w:pPr>
    </w:p>
    <w:p w:rsidR="001668B9" w:rsidRDefault="001668B9">
      <w:pPr>
        <w:spacing w:line="360" w:lineRule="auto"/>
        <w:jc w:val="both"/>
        <w:rPr>
          <w:rFonts w:ascii="Palatino Linotype" w:eastAsia="Palatino Linotype" w:hAnsi="Palatino Linotype" w:cs="Palatino Linotype"/>
          <w:sz w:val="20"/>
          <w:szCs w:val="20"/>
        </w:rPr>
      </w:pPr>
    </w:p>
    <w:p w:rsidR="001668B9" w:rsidRDefault="001668B9">
      <w:pPr>
        <w:spacing w:line="360" w:lineRule="auto"/>
        <w:jc w:val="both"/>
        <w:rPr>
          <w:rFonts w:ascii="Palatino Linotype" w:eastAsia="Palatino Linotype" w:hAnsi="Palatino Linotype" w:cs="Palatino Linotype"/>
          <w:sz w:val="20"/>
          <w:szCs w:val="20"/>
        </w:rPr>
      </w:pPr>
    </w:p>
    <w:p w:rsidR="001668B9" w:rsidRDefault="001668B9">
      <w:pPr>
        <w:spacing w:line="360" w:lineRule="auto"/>
        <w:jc w:val="both"/>
        <w:rPr>
          <w:rFonts w:ascii="Palatino Linotype" w:eastAsia="Palatino Linotype" w:hAnsi="Palatino Linotype" w:cs="Palatino Linotype"/>
          <w:sz w:val="20"/>
          <w:szCs w:val="20"/>
        </w:rPr>
      </w:pPr>
    </w:p>
    <w:p w:rsidR="001668B9" w:rsidRDefault="001668B9">
      <w:pPr>
        <w:spacing w:line="360" w:lineRule="auto"/>
        <w:jc w:val="both"/>
        <w:rPr>
          <w:rFonts w:ascii="Palatino Linotype" w:eastAsia="Palatino Linotype" w:hAnsi="Palatino Linotype" w:cs="Palatino Linotype"/>
          <w:sz w:val="20"/>
          <w:szCs w:val="20"/>
        </w:rPr>
      </w:pPr>
    </w:p>
    <w:p w:rsidR="001668B9" w:rsidRDefault="001668B9">
      <w:pPr>
        <w:spacing w:line="360" w:lineRule="auto"/>
        <w:jc w:val="both"/>
        <w:rPr>
          <w:rFonts w:ascii="Palatino Linotype" w:eastAsia="Palatino Linotype" w:hAnsi="Palatino Linotype" w:cs="Palatino Linotype"/>
          <w:sz w:val="20"/>
          <w:szCs w:val="20"/>
        </w:rPr>
      </w:pPr>
    </w:p>
    <w:p w:rsidR="001668B9" w:rsidRDefault="001668B9">
      <w:pPr>
        <w:spacing w:line="360" w:lineRule="auto"/>
        <w:jc w:val="both"/>
        <w:rPr>
          <w:rFonts w:ascii="Palatino Linotype" w:eastAsia="Palatino Linotype" w:hAnsi="Palatino Linotype" w:cs="Palatino Linotype"/>
          <w:sz w:val="20"/>
          <w:szCs w:val="20"/>
        </w:rPr>
      </w:pPr>
    </w:p>
    <w:p w:rsidR="001668B9" w:rsidRDefault="001668B9">
      <w:pPr>
        <w:spacing w:line="360" w:lineRule="auto"/>
        <w:jc w:val="both"/>
        <w:rPr>
          <w:rFonts w:ascii="Palatino Linotype" w:eastAsia="Palatino Linotype" w:hAnsi="Palatino Linotype" w:cs="Palatino Linotype"/>
          <w:sz w:val="20"/>
          <w:szCs w:val="20"/>
        </w:rPr>
      </w:pPr>
    </w:p>
    <w:p w:rsidR="001668B9" w:rsidRDefault="001668B9">
      <w:pPr>
        <w:spacing w:line="360" w:lineRule="auto"/>
        <w:jc w:val="both"/>
        <w:rPr>
          <w:rFonts w:ascii="Palatino Linotype" w:eastAsia="Palatino Linotype" w:hAnsi="Palatino Linotype" w:cs="Palatino Linotype"/>
          <w:sz w:val="20"/>
          <w:szCs w:val="20"/>
        </w:rPr>
      </w:pPr>
    </w:p>
    <w:p w:rsidR="001668B9" w:rsidRDefault="001668B9">
      <w:pPr>
        <w:spacing w:line="360" w:lineRule="auto"/>
        <w:jc w:val="both"/>
        <w:rPr>
          <w:rFonts w:ascii="Palatino Linotype" w:eastAsia="Palatino Linotype" w:hAnsi="Palatino Linotype" w:cs="Palatino Linotype"/>
          <w:b/>
          <w:color w:val="000000"/>
          <w:sz w:val="28"/>
          <w:szCs w:val="28"/>
        </w:rPr>
      </w:pPr>
    </w:p>
    <w:sectPr w:rsidR="001668B9">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0D73" w:rsidRDefault="00970D73">
      <w:r>
        <w:separator/>
      </w:r>
    </w:p>
  </w:endnote>
  <w:endnote w:type="continuationSeparator" w:id="0">
    <w:p w:rsidR="00970D73" w:rsidRDefault="00970D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68B9" w:rsidRDefault="00C95825">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015FA3">
      <w:rPr>
        <w:rFonts w:ascii="Palatino Linotype" w:eastAsia="Palatino Linotype" w:hAnsi="Palatino Linotype" w:cs="Palatino Linotype"/>
        <w:noProof/>
        <w:color w:val="000000"/>
        <w:sz w:val="22"/>
        <w:szCs w:val="22"/>
      </w:rPr>
      <w:t>23</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015FA3">
      <w:rPr>
        <w:rFonts w:ascii="Palatino Linotype" w:eastAsia="Palatino Linotype" w:hAnsi="Palatino Linotype" w:cs="Palatino Linotype"/>
        <w:noProof/>
        <w:color w:val="000000"/>
        <w:sz w:val="22"/>
        <w:szCs w:val="22"/>
      </w:rPr>
      <w:t>25</w:t>
    </w:r>
    <w:r>
      <w:rPr>
        <w:rFonts w:ascii="Palatino Linotype" w:eastAsia="Palatino Linotype" w:hAnsi="Palatino Linotype" w:cs="Palatino Linotype"/>
        <w:color w:val="000000"/>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68B9" w:rsidRDefault="00C95825">
    <w:pPr>
      <w:pBdr>
        <w:top w:val="nil"/>
        <w:left w:val="nil"/>
        <w:bottom w:val="nil"/>
        <w:right w:val="nil"/>
        <w:between w:val="nil"/>
      </w:pBdr>
      <w:tabs>
        <w:tab w:val="center" w:pos="4252"/>
        <w:tab w:val="right" w:pos="8504"/>
      </w:tabs>
      <w:spacing w:before="120"/>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015FA3">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015FA3">
      <w:rPr>
        <w:rFonts w:ascii="Palatino Linotype" w:eastAsia="Palatino Linotype" w:hAnsi="Palatino Linotype" w:cs="Palatino Linotype"/>
        <w:noProof/>
        <w:color w:val="000000"/>
        <w:sz w:val="22"/>
        <w:szCs w:val="22"/>
      </w:rPr>
      <w:t>25</w:t>
    </w:r>
    <w:r>
      <w:rPr>
        <w:rFonts w:ascii="Palatino Linotype" w:eastAsia="Palatino Linotype" w:hAnsi="Palatino Linotype" w:cs="Palatino Linotype"/>
        <w:color w:val="000000"/>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0D73" w:rsidRDefault="00970D73">
      <w:r>
        <w:separator/>
      </w:r>
    </w:p>
  </w:footnote>
  <w:footnote w:type="continuationSeparator" w:id="0">
    <w:p w:rsidR="00970D73" w:rsidRDefault="00970D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68B9" w:rsidRDefault="00015FA3">
    <w:pPr>
      <w:pBdr>
        <w:top w:val="nil"/>
        <w:left w:val="nil"/>
        <w:bottom w:val="nil"/>
        <w:right w:val="nil"/>
        <w:between w:val="nil"/>
      </w:pBdr>
      <w:tabs>
        <w:tab w:val="center" w:pos="4252"/>
        <w:tab w:val="right" w:pos="8504"/>
      </w:tabs>
      <w:rPr>
        <w:rFonts w:ascii="Cambria" w:eastAsia="Cambria" w:hAnsi="Cambria" w:cs="Cambria"/>
        <w:color w:val="000000"/>
      </w:rPr>
    </w:pPr>
    <w:r>
      <w:rPr>
        <w:rFonts w:ascii="Cambria" w:eastAsia="Cambria" w:hAnsi="Cambria" w:cs="Cambria"/>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540pt;height:10in;z-index:-251657728;mso-position-horizontal:center;mso-position-horizontal-relative:margin;mso-position-vertical:center;mso-position-vertical-relative:margin">
          <v:imagedata r:id="rId1" o:title="image3"/>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68B9" w:rsidRDefault="00015FA3">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r>
      <w:rPr>
        <w:rFonts w:ascii="Palatino Linotype" w:eastAsia="Palatino Linotype" w:hAnsi="Palatino Linotype" w:cs="Palatino Linotype"/>
        <w:color w:val="00000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42pt;margin-top:-92.35pt;width:540pt;height:10in;z-index:-251659776;mso-position-horizontal:absolute;mso-position-horizontal-relative:margin;mso-position-vertical:absolute;mso-position-vertical-relative:margin">
          <v:imagedata r:id="rId1" o:title="image3"/>
          <w10:wrap anchorx="margin" anchory="margin"/>
        </v:shape>
      </w:pict>
    </w:r>
  </w:p>
  <w:tbl>
    <w:tblPr>
      <w:tblStyle w:val="a7"/>
      <w:tblW w:w="9534" w:type="dxa"/>
      <w:tblInd w:w="-142" w:type="dxa"/>
      <w:tblLayout w:type="fixed"/>
      <w:tblLook w:val="0400" w:firstRow="0" w:lastRow="0" w:firstColumn="0" w:lastColumn="0" w:noHBand="0" w:noVBand="1"/>
    </w:tblPr>
    <w:tblGrid>
      <w:gridCol w:w="3261"/>
      <w:gridCol w:w="2551"/>
      <w:gridCol w:w="3722"/>
    </w:tblGrid>
    <w:tr w:rsidR="001668B9">
      <w:tc>
        <w:tcPr>
          <w:tcW w:w="3261" w:type="dxa"/>
          <w:vMerge w:val="restart"/>
        </w:tcPr>
        <w:p w:rsidR="001668B9" w:rsidRDefault="00C95825">
          <w:pPr>
            <w:rPr>
              <w:rFonts w:ascii="Palatino Linotype" w:eastAsia="Palatino Linotype" w:hAnsi="Palatino Linotype" w:cs="Palatino Linotype"/>
              <w:b/>
              <w:sz w:val="22"/>
              <w:szCs w:val="22"/>
            </w:rPr>
          </w:pPr>
          <w:r>
            <w:rPr>
              <w:rFonts w:ascii="Palatino Linotype" w:eastAsia="Palatino Linotype" w:hAnsi="Palatino Linotype" w:cs="Palatino Linotype"/>
              <w:noProof/>
              <w:sz w:val="28"/>
              <w:szCs w:val="28"/>
            </w:rPr>
            <w:drawing>
              <wp:inline distT="0" distB="0" distL="0" distR="0">
                <wp:extent cx="1692162" cy="852673"/>
                <wp:effectExtent l="0" t="0" r="0" b="0"/>
                <wp:docPr id="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1" w:type="dxa"/>
          <w:shd w:val="clear" w:color="auto" w:fill="auto"/>
        </w:tcPr>
        <w:p w:rsidR="001668B9" w:rsidRDefault="00C9582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722" w:type="dxa"/>
          <w:shd w:val="clear" w:color="auto" w:fill="auto"/>
          <w:vAlign w:val="center"/>
        </w:tcPr>
        <w:p w:rsidR="001668B9" w:rsidRDefault="00C95825">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14912/INFOEM/IP/RR/2022</w:t>
          </w:r>
        </w:p>
      </w:tc>
    </w:tr>
    <w:tr w:rsidR="001668B9">
      <w:tc>
        <w:tcPr>
          <w:tcW w:w="3261" w:type="dxa"/>
          <w:vMerge/>
        </w:tcPr>
        <w:p w:rsidR="001668B9" w:rsidRDefault="001668B9">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1" w:type="dxa"/>
          <w:shd w:val="clear" w:color="auto" w:fill="auto"/>
        </w:tcPr>
        <w:p w:rsidR="001668B9" w:rsidRDefault="00C9582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722" w:type="dxa"/>
          <w:tcBorders>
            <w:top w:val="nil"/>
            <w:left w:val="nil"/>
            <w:bottom w:val="nil"/>
            <w:right w:val="nil"/>
          </w:tcBorders>
          <w:tcMar>
            <w:top w:w="100" w:type="dxa"/>
            <w:left w:w="100" w:type="dxa"/>
            <w:bottom w:w="100" w:type="dxa"/>
            <w:right w:w="100" w:type="dxa"/>
          </w:tcMar>
        </w:tcPr>
        <w:p w:rsidR="001668B9" w:rsidRDefault="00C95825">
          <w:pPr>
            <w:rPr>
              <w:rFonts w:ascii="Palatino Linotype" w:eastAsia="Palatino Linotype" w:hAnsi="Palatino Linotype" w:cs="Palatino Linotype"/>
              <w:b/>
            </w:rPr>
          </w:pPr>
          <w:r>
            <w:rPr>
              <w:rFonts w:ascii="Palatino Linotype" w:eastAsia="Palatino Linotype" w:hAnsi="Palatino Linotype" w:cs="Palatino Linotype"/>
              <w:b/>
            </w:rPr>
            <w:t xml:space="preserve">Ayuntamiento de Zinacantepec </w:t>
          </w:r>
        </w:p>
      </w:tc>
    </w:tr>
    <w:tr w:rsidR="001668B9">
      <w:trPr>
        <w:trHeight w:val="228"/>
      </w:trPr>
      <w:tc>
        <w:tcPr>
          <w:tcW w:w="3261" w:type="dxa"/>
          <w:vMerge/>
        </w:tcPr>
        <w:p w:rsidR="001668B9" w:rsidRDefault="001668B9">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rsidR="001668B9" w:rsidRDefault="00C9582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722" w:type="dxa"/>
          <w:shd w:val="clear" w:color="auto" w:fill="auto"/>
        </w:tcPr>
        <w:p w:rsidR="001668B9" w:rsidRDefault="00C95825">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Sharon Cristina Morales Martínez</w:t>
          </w:r>
        </w:p>
      </w:tc>
    </w:tr>
  </w:tbl>
  <w:p w:rsidR="001668B9" w:rsidRDefault="001668B9">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68B9" w:rsidRDefault="00015FA3">
    <w:pPr>
      <w:rPr>
        <w:rFonts w:ascii="Palatino Linotype" w:eastAsia="Palatino Linotype" w:hAnsi="Palatino Linotype" w:cs="Palatino Linotype"/>
        <w:sz w:val="28"/>
        <w:szCs w:val="28"/>
      </w:rPr>
    </w:pPr>
    <w:r>
      <w:rPr>
        <w:rFonts w:ascii="Palatino Linotype" w:eastAsia="Palatino Linotype" w:hAnsi="Palatino Linotype" w:cs="Palatino Linotype"/>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54.85pt;margin-top:-91.05pt;width:540pt;height:10in;z-index:-251658752;mso-position-horizontal:absolute;mso-position-horizontal-relative:margin;mso-position-vertical:absolute;mso-position-vertical-relative:margin">
          <v:imagedata r:id="rId1" o:title="image3"/>
          <w10:wrap anchorx="margin" anchory="margin"/>
        </v:shape>
      </w:pict>
    </w:r>
  </w:p>
  <w:tbl>
    <w:tblPr>
      <w:tblStyle w:val="a8"/>
      <w:tblW w:w="10490" w:type="dxa"/>
      <w:tblInd w:w="-1276" w:type="dxa"/>
      <w:tblLayout w:type="fixed"/>
      <w:tblLook w:val="0400" w:firstRow="0" w:lastRow="0" w:firstColumn="0" w:lastColumn="0" w:noHBand="0" w:noVBand="1"/>
    </w:tblPr>
    <w:tblGrid>
      <w:gridCol w:w="4253"/>
      <w:gridCol w:w="2552"/>
      <w:gridCol w:w="3685"/>
    </w:tblGrid>
    <w:tr w:rsidR="001668B9">
      <w:tc>
        <w:tcPr>
          <w:tcW w:w="4253" w:type="dxa"/>
          <w:vMerge w:val="restart"/>
          <w:shd w:val="clear" w:color="auto" w:fill="auto"/>
        </w:tcPr>
        <w:p w:rsidR="001668B9" w:rsidRDefault="00C95825">
          <w:pPr>
            <w:rPr>
              <w:rFonts w:ascii="Palatino Linotype" w:eastAsia="Palatino Linotype" w:hAnsi="Palatino Linotype" w:cs="Palatino Linotype"/>
              <w:b/>
              <w:sz w:val="22"/>
              <w:szCs w:val="22"/>
            </w:rPr>
          </w:pPr>
          <w:r>
            <w:rPr>
              <w:rFonts w:ascii="Palatino Linotype" w:eastAsia="Palatino Linotype" w:hAnsi="Palatino Linotype" w:cs="Palatino Linotype"/>
              <w:noProof/>
              <w:sz w:val="28"/>
              <w:szCs w:val="28"/>
            </w:rPr>
            <w:drawing>
              <wp:inline distT="0" distB="0" distL="0" distR="0">
                <wp:extent cx="1692162" cy="852673"/>
                <wp:effectExtent l="0" t="0" r="0" b="0"/>
                <wp:docPr id="3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2" w:type="dxa"/>
          <w:shd w:val="clear" w:color="auto" w:fill="auto"/>
        </w:tcPr>
        <w:p w:rsidR="001668B9" w:rsidRDefault="00C9582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5" w:type="dxa"/>
          <w:shd w:val="clear" w:color="auto" w:fill="auto"/>
          <w:vAlign w:val="center"/>
        </w:tcPr>
        <w:p w:rsidR="001668B9" w:rsidRDefault="00C95825">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14912/INFOEM/IP/RR/2022</w:t>
          </w:r>
        </w:p>
      </w:tc>
    </w:tr>
    <w:tr w:rsidR="001668B9">
      <w:trPr>
        <w:trHeight w:val="251"/>
      </w:trPr>
      <w:tc>
        <w:tcPr>
          <w:tcW w:w="4253" w:type="dxa"/>
          <w:vMerge/>
          <w:shd w:val="clear" w:color="auto" w:fill="auto"/>
        </w:tcPr>
        <w:p w:rsidR="001668B9" w:rsidRDefault="001668B9">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2" w:type="dxa"/>
          <w:shd w:val="clear" w:color="auto" w:fill="auto"/>
        </w:tcPr>
        <w:p w:rsidR="001668B9" w:rsidRDefault="00C9582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685" w:type="dxa"/>
          <w:shd w:val="clear" w:color="auto" w:fill="auto"/>
          <w:vAlign w:val="center"/>
        </w:tcPr>
        <w:p w:rsidR="001668B9" w:rsidRDefault="001668B9">
          <w:pPr>
            <w:jc w:val="both"/>
            <w:rPr>
              <w:rFonts w:ascii="Palatino Linotype" w:eastAsia="Palatino Linotype" w:hAnsi="Palatino Linotype" w:cs="Palatino Linotype"/>
              <w:b/>
              <w:sz w:val="22"/>
              <w:szCs w:val="22"/>
            </w:rPr>
          </w:pPr>
        </w:p>
      </w:tc>
    </w:tr>
    <w:tr w:rsidR="001668B9">
      <w:trPr>
        <w:trHeight w:val="251"/>
      </w:trPr>
      <w:tc>
        <w:tcPr>
          <w:tcW w:w="4253" w:type="dxa"/>
          <w:vMerge/>
          <w:shd w:val="clear" w:color="auto" w:fill="auto"/>
        </w:tcPr>
        <w:p w:rsidR="001668B9" w:rsidRDefault="001668B9">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2" w:type="dxa"/>
          <w:shd w:val="clear" w:color="auto" w:fill="auto"/>
        </w:tcPr>
        <w:p w:rsidR="001668B9" w:rsidRDefault="00C9582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5" w:type="dxa"/>
          <w:shd w:val="clear" w:color="auto" w:fill="auto"/>
          <w:vAlign w:val="center"/>
        </w:tcPr>
        <w:p w:rsidR="001668B9" w:rsidRDefault="00C95825">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Zinacantepec</w:t>
          </w:r>
        </w:p>
      </w:tc>
    </w:tr>
    <w:tr w:rsidR="001668B9">
      <w:tc>
        <w:tcPr>
          <w:tcW w:w="4253" w:type="dxa"/>
          <w:vMerge/>
          <w:shd w:val="clear" w:color="auto" w:fill="auto"/>
        </w:tcPr>
        <w:p w:rsidR="001668B9" w:rsidRDefault="001668B9">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2" w:type="dxa"/>
          <w:shd w:val="clear" w:color="auto" w:fill="auto"/>
        </w:tcPr>
        <w:p w:rsidR="001668B9" w:rsidRDefault="00C9582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685" w:type="dxa"/>
          <w:shd w:val="clear" w:color="auto" w:fill="auto"/>
        </w:tcPr>
        <w:p w:rsidR="001668B9" w:rsidRDefault="00C95825">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Sharon Cristina Morales Martínez</w:t>
          </w:r>
        </w:p>
      </w:tc>
    </w:tr>
  </w:tbl>
  <w:p w:rsidR="001668B9" w:rsidRDefault="001668B9">
    <w:pPr>
      <w:rPr>
        <w:rFonts w:ascii="Palatino Linotype" w:eastAsia="Palatino Linotype" w:hAnsi="Palatino Linotype" w:cs="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66673D"/>
    <w:multiLevelType w:val="multilevel"/>
    <w:tmpl w:val="CFBA8A8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8B9"/>
    <w:rsid w:val="00004F28"/>
    <w:rsid w:val="00015FA3"/>
    <w:rsid w:val="001668B9"/>
    <w:rsid w:val="00970D73"/>
    <w:rsid w:val="00B74664"/>
    <w:rsid w:val="00C95825"/>
    <w:rsid w:val="00E23DC9"/>
    <w:rsid w:val="00F82370"/>
    <w:rsid w:val="00F9419D"/>
    <w:rsid w:val="00FE55B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B0678DF1-0818-45DB-854E-7307AFC7C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rPr>
  </w:style>
  <w:style w:type="paragraph" w:customStyle="1" w:styleId="n2">
    <w:name w:val="n2"/>
    <w:basedOn w:val="Normal"/>
    <w:uiPriority w:val="99"/>
    <w:rsid w:val="001C4E80"/>
    <w:pPr>
      <w:spacing w:before="100" w:beforeAutospacing="1" w:after="100" w:afterAutospacing="1"/>
    </w:pPr>
  </w:style>
  <w:style w:type="paragraph" w:customStyle="1" w:styleId="j">
    <w:name w:val="j"/>
    <w:basedOn w:val="Normal"/>
    <w:uiPriority w:val="99"/>
    <w:rsid w:val="001C4E80"/>
    <w:pPr>
      <w:spacing w:before="100" w:beforeAutospacing="1" w:after="100" w:afterAutospacing="1"/>
    </w:p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rPr>
  </w:style>
  <w:style w:type="table" w:customStyle="1" w:styleId="Tablaconcuadrcula1">
    <w:name w:val="Tabla con cuadrícula1"/>
    <w:basedOn w:val="Tablanormal"/>
    <w:next w:val="Tablaconcuadrcula"/>
    <w:uiPriority w:val="39"/>
    <w:rsid w:val="00555C12"/>
    <w:rPr>
      <w:rFonts w:ascii="Calibri" w:eastAsia="Calibri" w:hAnsi="Calibri"/>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4">
    <w:name w:val="Table Normal"/>
    <w:rsid w:val="007061E4"/>
    <w:tblPr>
      <w:tblCellMar>
        <w:top w:w="0" w:type="dxa"/>
        <w:left w:w="0" w:type="dxa"/>
        <w:bottom w:w="0" w:type="dxa"/>
        <w:right w:w="0" w:type="dxa"/>
      </w:tblCellMar>
    </w:tbl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style>
  <w:style w:type="table" w:customStyle="1" w:styleId="Tablaconcuadrcula3">
    <w:name w:val="Tabla con cuadrícula3"/>
    <w:basedOn w:val="Tablanormal"/>
    <w:next w:val="Tablaconcuadrcula"/>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rPr>
  </w:style>
  <w:style w:type="paragraph" w:styleId="Subttulo">
    <w:name w:val="Subtitle"/>
    <w:basedOn w:val="Normal"/>
    <w:next w:val="Normal"/>
    <w:link w:val="SubttuloCar"/>
    <w:pPr>
      <w:spacing w:after="120"/>
    </w:pPr>
    <w:rPr>
      <w:rFonts w:ascii="Calibri" w:eastAsia="Calibri" w:hAnsi="Calibri" w:cs="Calibri"/>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rPr>
  </w:style>
  <w:style w:type="paragraph" w:customStyle="1" w:styleId="xmsonormal">
    <w:name w:val="x_msonormal"/>
    <w:basedOn w:val="Normal"/>
    <w:uiPriority w:val="99"/>
    <w:rsid w:val="007061E4"/>
    <w:pPr>
      <w:spacing w:before="100" w:beforeAutospacing="1" w:after="100" w:afterAutospacing="1"/>
    </w:pPr>
  </w:style>
  <w:style w:type="paragraph" w:customStyle="1" w:styleId="francesa">
    <w:name w:val="francesa"/>
    <w:basedOn w:val="Normal"/>
    <w:uiPriority w:val="99"/>
    <w:rsid w:val="007061E4"/>
    <w:pPr>
      <w:spacing w:before="100" w:beforeAutospacing="1" w:after="100" w:afterAutospacing="1"/>
    </w:pPr>
  </w:style>
  <w:style w:type="paragraph" w:customStyle="1" w:styleId="Estilo">
    <w:name w:val="Estilo"/>
    <w:uiPriority w:val="99"/>
    <w:rsid w:val="007061E4"/>
    <w:pPr>
      <w:widowControl w:val="0"/>
      <w:autoSpaceDE w:val="0"/>
      <w:autoSpaceDN w:val="0"/>
      <w:adjustRightInd w:val="0"/>
    </w:pPr>
    <w:rPr>
      <w:lang w:val="es-ES"/>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eastAsiaTheme="minorHAnsi"/>
      <w:sz w:val="22"/>
      <w:szCs w:val="22"/>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table" w:customStyle="1" w:styleId="a">
    <w:basedOn w:val="TableNormal4"/>
    <w:tblPr>
      <w:tblStyleRowBandSize w:val="1"/>
      <w:tblStyleColBandSize w:val="1"/>
      <w:tblCellMar>
        <w:left w:w="115" w:type="dxa"/>
        <w:right w:w="115" w:type="dxa"/>
      </w:tblCellMar>
    </w:tblPr>
  </w:style>
  <w:style w:type="table" w:customStyle="1" w:styleId="a0">
    <w:basedOn w:val="TableNormal4"/>
    <w:tblPr>
      <w:tblStyleRowBandSize w:val="1"/>
      <w:tblStyleColBandSize w:val="1"/>
      <w:tblCellMar>
        <w:left w:w="115" w:type="dxa"/>
        <w:right w:w="115" w:type="dxa"/>
      </w:tblCellMar>
    </w:tblPr>
  </w:style>
  <w:style w:type="table" w:customStyle="1" w:styleId="a1">
    <w:basedOn w:val="TableNormal4"/>
    <w:tblPr>
      <w:tblStyleRowBandSize w:val="1"/>
      <w:tblStyleColBandSize w:val="1"/>
      <w:tblCellMar>
        <w:left w:w="115" w:type="dxa"/>
        <w:right w:w="115" w:type="dxa"/>
      </w:tblCellMar>
    </w:tblPr>
  </w:style>
  <w:style w:type="table" w:customStyle="1" w:styleId="a2">
    <w:basedOn w:val="TableNormal4"/>
    <w:tblPr>
      <w:tblStyleRowBandSize w:val="1"/>
      <w:tblStyleColBandSize w:val="1"/>
      <w:tblCellMar>
        <w:left w:w="115" w:type="dxa"/>
        <w:right w:w="115" w:type="dxa"/>
      </w:tblCellMar>
    </w:tblPr>
  </w:style>
  <w:style w:type="table" w:customStyle="1" w:styleId="a3">
    <w:basedOn w:val="TableNormal4"/>
    <w:tblPr>
      <w:tblStyleRowBandSize w:val="1"/>
      <w:tblStyleColBandSize w:val="1"/>
      <w:tblCellMar>
        <w:left w:w="115" w:type="dxa"/>
        <w:right w:w="115" w:type="dxa"/>
      </w:tblCellMar>
    </w:tblPr>
  </w:style>
  <w:style w:type="table" w:customStyle="1" w:styleId="a4">
    <w:basedOn w:val="TableNormal4"/>
    <w:tblPr>
      <w:tblStyleRowBandSize w:val="1"/>
      <w:tblStyleColBandSize w:val="1"/>
      <w:tblCellMar>
        <w:left w:w="115" w:type="dxa"/>
        <w:right w:w="115" w:type="dxa"/>
      </w:tblCellMar>
    </w:tblPr>
  </w:style>
  <w:style w:type="table" w:customStyle="1" w:styleId="a5">
    <w:basedOn w:val="TableNormal4"/>
    <w:tblPr>
      <w:tblStyleRowBandSize w:val="1"/>
      <w:tblStyleColBandSize w:val="1"/>
      <w:tblCellMar>
        <w:left w:w="115" w:type="dxa"/>
        <w:right w:w="115" w:type="dxa"/>
      </w:tblCellMar>
    </w:tblPr>
  </w:style>
  <w:style w:type="table" w:customStyle="1" w:styleId="a6">
    <w:basedOn w:val="TableNormal4"/>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 w:type="table" w:customStyle="1" w:styleId="a8">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GzLAOexzo1jD1nzYfBv+9Ak4JVQ==">AMUW2mWvPYEqnXCi1+ktkwr7j5M9GdP61uOg1O4iXv7QgVHYP9mQV7WRx9wb9rTx2nJWNTzJSgZGOjI6hlAHQmq9T42cU6pz0bpTkmgO91r68Cie7kXeC3GvBtIzfEFqnuhX6fP3YFeUnNUUJcXDbBSzh5AT5CxnBA==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25</Pages>
  <Words>5741</Words>
  <Characters>31579</Characters>
  <Application>Microsoft Office Word</Application>
  <DocSecurity>0</DocSecurity>
  <Lines>263</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usuario infoem</cp:lastModifiedBy>
  <cp:revision>8</cp:revision>
  <cp:lastPrinted>2022-12-19T16:55:00Z</cp:lastPrinted>
  <dcterms:created xsi:type="dcterms:W3CDTF">2022-12-07T20:10:00Z</dcterms:created>
  <dcterms:modified xsi:type="dcterms:W3CDTF">2022-12-19T16:55:00Z</dcterms:modified>
</cp:coreProperties>
</file>