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09A2" w14:textId="2E8322B5" w:rsidR="00FA1D4C" w:rsidRPr="00BB5277" w:rsidRDefault="00FA1D4C" w:rsidP="006D3EC0">
      <w:pPr>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0A1429">
        <w:rPr>
          <w:rFonts w:ascii="Palatino Linotype" w:hAnsi="Palatino Linotype" w:cs="Tahoma"/>
          <w:sz w:val="22"/>
          <w:szCs w:val="22"/>
        </w:rPr>
        <w:t>veintisiete</w:t>
      </w:r>
      <w:r w:rsidRPr="00BB5277">
        <w:rPr>
          <w:rFonts w:ascii="Palatino Linotype" w:hAnsi="Palatino Linotype" w:cs="Tahoma"/>
          <w:sz w:val="22"/>
          <w:szCs w:val="22"/>
        </w:rPr>
        <w:t xml:space="preserve"> de abril de dos mil veintidós.</w:t>
      </w:r>
    </w:p>
    <w:p w14:paraId="694E4385" w14:textId="77777777" w:rsidR="00FA1D4C" w:rsidRPr="00BB5277" w:rsidRDefault="00FA1D4C" w:rsidP="006D3EC0">
      <w:pPr>
        <w:spacing w:line="360" w:lineRule="auto"/>
        <w:rPr>
          <w:rFonts w:ascii="Palatino Linotype" w:hAnsi="Palatino Linotype" w:cs="Tahoma"/>
          <w:bCs/>
          <w:sz w:val="22"/>
          <w:szCs w:val="22"/>
        </w:rPr>
      </w:pPr>
    </w:p>
    <w:p w14:paraId="7A8143F1" w14:textId="6B32073B" w:rsidR="00FA1D4C" w:rsidRPr="00BB5277" w:rsidRDefault="00FA1D4C" w:rsidP="006D3EC0">
      <w:pPr>
        <w:spacing w:line="360" w:lineRule="auto"/>
        <w:jc w:val="both"/>
        <w:rPr>
          <w:rFonts w:ascii="Palatino Linotype" w:hAnsi="Palatino Linotype" w:cs="Tahoma"/>
          <w:bCs/>
          <w:color w:val="0D0D0D" w:themeColor="text1" w:themeTint="F2"/>
          <w:sz w:val="22"/>
          <w:szCs w:val="22"/>
        </w:rPr>
      </w:pPr>
      <w:r w:rsidRPr="00BB5277">
        <w:rPr>
          <w:rFonts w:ascii="Palatino Linotype" w:hAnsi="Palatino Linotype" w:cs="Tahoma"/>
          <w:b/>
          <w:bCs/>
          <w:color w:val="0D0D0D" w:themeColor="text1" w:themeTint="F2"/>
          <w:sz w:val="22"/>
          <w:szCs w:val="22"/>
        </w:rPr>
        <w:t xml:space="preserve">VISTO </w:t>
      </w:r>
      <w:r w:rsidRPr="00BB5277">
        <w:rPr>
          <w:rFonts w:ascii="Palatino Linotype" w:hAnsi="Palatino Linotype" w:cs="Tahoma"/>
          <w:bCs/>
          <w:color w:val="0D0D0D" w:themeColor="text1" w:themeTint="F2"/>
          <w:sz w:val="22"/>
          <w:szCs w:val="22"/>
        </w:rPr>
        <w:t xml:space="preserve">el expediente conformado con motivo del Recurso de Revisión </w:t>
      </w:r>
      <w:r w:rsidRPr="00BB5277">
        <w:rPr>
          <w:rFonts w:ascii="Palatino Linotype" w:hAnsi="Palatino Linotype" w:cs="Tahoma"/>
          <w:b/>
          <w:color w:val="0D0D0D" w:themeColor="text1" w:themeTint="F2"/>
          <w:sz w:val="22"/>
          <w:szCs w:val="22"/>
        </w:rPr>
        <w:t>00</w:t>
      </w:r>
      <w:r w:rsidR="005A518B">
        <w:rPr>
          <w:rFonts w:ascii="Palatino Linotype" w:hAnsi="Palatino Linotype" w:cs="Tahoma"/>
          <w:b/>
          <w:color w:val="0D0D0D" w:themeColor="text1" w:themeTint="F2"/>
          <w:sz w:val="22"/>
          <w:szCs w:val="22"/>
        </w:rPr>
        <w:t>811</w:t>
      </w:r>
      <w:r w:rsidRPr="00BB5277">
        <w:rPr>
          <w:rFonts w:ascii="Palatino Linotype" w:hAnsi="Palatino Linotype" w:cs="Tahoma"/>
          <w:b/>
          <w:color w:val="0D0D0D" w:themeColor="text1" w:themeTint="F2"/>
          <w:sz w:val="22"/>
          <w:szCs w:val="22"/>
        </w:rPr>
        <w:t>/INFOEM/IP/RR/2022</w:t>
      </w:r>
      <w:r w:rsidRPr="00BB5277">
        <w:rPr>
          <w:rFonts w:ascii="Palatino Linotype" w:hAnsi="Palatino Linotype" w:cs="Tahoma"/>
          <w:bCs/>
          <w:color w:val="0D0D0D" w:themeColor="text1" w:themeTint="F2"/>
          <w:sz w:val="22"/>
          <w:szCs w:val="22"/>
        </w:rPr>
        <w:t>, interpuesto el Recurrente o Particular, en contra de la respuesta del Sujeto Obligado a la solicitud de acceso a la información</w:t>
      </w:r>
      <w:r w:rsidRPr="00BB5277">
        <w:rPr>
          <w:rFonts w:ascii="Palatino Linotype" w:hAnsi="Palatino Linotype" w:cs="Arial"/>
          <w:b/>
          <w:bCs/>
          <w:color w:val="333333"/>
          <w:sz w:val="22"/>
          <w:szCs w:val="22"/>
        </w:rPr>
        <w:t> </w:t>
      </w:r>
      <w:r w:rsidR="005A518B">
        <w:rPr>
          <w:rFonts w:ascii="Palatino Linotype" w:hAnsi="Palatino Linotype" w:cs="Tahoma"/>
          <w:b/>
          <w:color w:val="0D0D0D" w:themeColor="text1" w:themeTint="F2"/>
          <w:sz w:val="22"/>
          <w:szCs w:val="22"/>
        </w:rPr>
        <w:t>00030/TEOLOYU/IP/2022</w:t>
      </w:r>
      <w:r w:rsidRPr="00BB5277">
        <w:rPr>
          <w:rFonts w:ascii="Palatino Linotype" w:hAnsi="Palatino Linotype" w:cs="Tahoma"/>
          <w:bCs/>
          <w:color w:val="0D0D0D" w:themeColor="text1" w:themeTint="F2"/>
          <w:sz w:val="22"/>
          <w:szCs w:val="22"/>
        </w:rPr>
        <w:t>, se emite la presente Resolución, con base en los Antecedentes y Considerandos que se exponen a continuación:</w:t>
      </w:r>
    </w:p>
    <w:p w14:paraId="4C0662DF" w14:textId="77777777" w:rsidR="00EE235C" w:rsidRPr="00BB5277" w:rsidRDefault="00EE235C" w:rsidP="006D3EC0">
      <w:pPr>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 </w:t>
      </w:r>
    </w:p>
    <w:p w14:paraId="2C0BF3C2" w14:textId="77777777" w:rsidR="00EE235C" w:rsidRPr="00BB5277" w:rsidRDefault="00EE235C" w:rsidP="006D3EC0">
      <w:pPr>
        <w:tabs>
          <w:tab w:val="center" w:pos="4522"/>
          <w:tab w:val="left" w:pos="7245"/>
        </w:tabs>
        <w:spacing w:line="360" w:lineRule="auto"/>
        <w:jc w:val="center"/>
        <w:rPr>
          <w:rFonts w:ascii="Palatino Linotype" w:hAnsi="Palatino Linotype" w:cs="Tahoma"/>
          <w:b/>
          <w:sz w:val="22"/>
          <w:szCs w:val="22"/>
        </w:rPr>
      </w:pPr>
      <w:r w:rsidRPr="00BB5277">
        <w:rPr>
          <w:rFonts w:ascii="Palatino Linotype" w:hAnsi="Palatino Linotype" w:cs="Tahoma"/>
          <w:b/>
          <w:sz w:val="22"/>
          <w:szCs w:val="22"/>
        </w:rPr>
        <w:t>ANTECEDENTES</w:t>
      </w:r>
    </w:p>
    <w:p w14:paraId="61931EC9"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b/>
          <w:szCs w:val="22"/>
        </w:rPr>
      </w:pPr>
      <w:r w:rsidRPr="00BB5277">
        <w:rPr>
          <w:rFonts w:ascii="Palatino Linotype" w:hAnsi="Palatino Linotype" w:cs="Tahoma"/>
          <w:b/>
          <w:szCs w:val="22"/>
        </w:rPr>
        <w:t xml:space="preserve">I. Presentación de la solicitud de información. </w:t>
      </w:r>
    </w:p>
    <w:p w14:paraId="765C4E6D"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b/>
          <w:szCs w:val="22"/>
        </w:rPr>
      </w:pPr>
    </w:p>
    <w:p w14:paraId="4E39ACA0" w14:textId="6A79C20A"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r w:rsidRPr="00BB5277">
        <w:rPr>
          <w:rFonts w:ascii="Palatino Linotype" w:hAnsi="Palatino Linotype" w:cs="Tahoma"/>
          <w:szCs w:val="22"/>
        </w:rPr>
        <w:t xml:space="preserve">El </w:t>
      </w:r>
      <w:r w:rsidR="005A518B">
        <w:rPr>
          <w:rFonts w:ascii="Palatino Linotype" w:hAnsi="Palatino Linotype" w:cs="Tahoma"/>
          <w:szCs w:val="22"/>
        </w:rPr>
        <w:t>diecisiete</w:t>
      </w:r>
      <w:r w:rsidRPr="00BB5277">
        <w:rPr>
          <w:rFonts w:ascii="Palatino Linotype" w:hAnsi="Palatino Linotype" w:cs="Tahoma"/>
          <w:szCs w:val="22"/>
        </w:rPr>
        <w:t xml:space="preserve"> de </w:t>
      </w:r>
      <w:r w:rsidR="00A266E1" w:rsidRPr="00BB5277">
        <w:rPr>
          <w:rFonts w:ascii="Palatino Linotype" w:hAnsi="Palatino Linotype" w:cs="Tahoma"/>
          <w:szCs w:val="22"/>
        </w:rPr>
        <w:t>enero</w:t>
      </w:r>
      <w:r w:rsidRPr="00BB5277">
        <w:rPr>
          <w:rFonts w:ascii="Palatino Linotype" w:hAnsi="Palatino Linotype" w:cs="Tahoma"/>
          <w:szCs w:val="22"/>
        </w:rPr>
        <w:t xml:space="preserve"> de dos mil </w:t>
      </w:r>
      <w:r w:rsidR="00A266E1" w:rsidRPr="00BB5277">
        <w:rPr>
          <w:rFonts w:ascii="Palatino Linotype" w:hAnsi="Palatino Linotype" w:cs="Tahoma"/>
          <w:szCs w:val="22"/>
        </w:rPr>
        <w:t>veintidós</w:t>
      </w:r>
      <w:r w:rsidRPr="00BB5277">
        <w:rPr>
          <w:rFonts w:ascii="Palatino Linotype" w:hAnsi="Palatino Linotype" w:cs="Tahoma"/>
          <w:szCs w:val="22"/>
        </w:rPr>
        <w:t>, el Particular presentó solicitud de acceso a la información pública a través de</w:t>
      </w:r>
      <w:r w:rsidR="000B5B35" w:rsidRPr="00BB5277">
        <w:rPr>
          <w:rFonts w:ascii="Palatino Linotype" w:hAnsi="Palatino Linotype" w:cs="Tahoma"/>
          <w:szCs w:val="22"/>
        </w:rPr>
        <w:t xml:space="preserve">l </w:t>
      </w:r>
      <w:r w:rsidRPr="00BB5277">
        <w:rPr>
          <w:rFonts w:ascii="Palatino Linotype" w:hAnsi="Palatino Linotype" w:cs="Tahoma"/>
          <w:szCs w:val="22"/>
        </w:rPr>
        <w:t xml:space="preserve">Sistema de Acceso a la Información Mexiquense </w:t>
      </w:r>
      <w:r w:rsidRPr="00BB5277">
        <w:rPr>
          <w:rFonts w:ascii="Palatino Linotype" w:hAnsi="Palatino Linotype" w:cs="Tahoma"/>
          <w:szCs w:val="22"/>
          <w:lang w:val="es-ES"/>
        </w:rPr>
        <w:t>(SAIMEX</w:t>
      </w:r>
      <w:r w:rsidR="00B96C55" w:rsidRPr="00BB5277">
        <w:rPr>
          <w:rFonts w:ascii="Palatino Linotype" w:hAnsi="Palatino Linotype" w:cs="Tahoma"/>
          <w:szCs w:val="22"/>
          <w:lang w:val="es-ES"/>
        </w:rPr>
        <w:t xml:space="preserve">) </w:t>
      </w:r>
      <w:r w:rsidR="000B5B35" w:rsidRPr="00BB5277">
        <w:rPr>
          <w:rFonts w:ascii="Palatino Linotype" w:hAnsi="Palatino Linotype" w:cs="Tahoma"/>
          <w:szCs w:val="22"/>
          <w:lang w:val="es-ES"/>
        </w:rPr>
        <w:t>por la cual requirió:</w:t>
      </w:r>
    </w:p>
    <w:p w14:paraId="15A047E0"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p>
    <w:p w14:paraId="043637B8" w14:textId="65A1E6A4" w:rsidR="00EA66FC" w:rsidRPr="00BB5277" w:rsidRDefault="00EE235C" w:rsidP="006D3EC0">
      <w:pPr>
        <w:tabs>
          <w:tab w:val="left" w:pos="4667"/>
        </w:tabs>
        <w:spacing w:line="360" w:lineRule="auto"/>
        <w:ind w:left="567" w:right="567"/>
        <w:jc w:val="both"/>
        <w:rPr>
          <w:rFonts w:ascii="Palatino Linotype" w:hAnsi="Palatino Linotype" w:cs="Tahoma"/>
          <w:b/>
          <w:bCs/>
          <w:sz w:val="22"/>
          <w:szCs w:val="22"/>
        </w:rPr>
      </w:pPr>
      <w:r w:rsidRPr="00BB5277">
        <w:rPr>
          <w:rFonts w:ascii="Palatino Linotype" w:hAnsi="Palatino Linotype" w:cs="Tahoma"/>
          <w:b/>
          <w:bCs/>
          <w:sz w:val="22"/>
          <w:szCs w:val="22"/>
        </w:rPr>
        <w:t>DESCRIPCIÓN CLARA Y PRECISA DE LA INFORMACIÓN SOLICITADA</w:t>
      </w:r>
      <w:r w:rsidR="00433007" w:rsidRPr="00BB5277">
        <w:rPr>
          <w:rFonts w:ascii="Palatino Linotype" w:hAnsi="Palatino Linotype" w:cs="Tahoma"/>
          <w:b/>
          <w:bCs/>
          <w:sz w:val="22"/>
          <w:szCs w:val="22"/>
        </w:rPr>
        <w:t xml:space="preserve"> </w:t>
      </w:r>
    </w:p>
    <w:p w14:paraId="5F0A95DF" w14:textId="3E0D46A5" w:rsidR="00B9465C" w:rsidRPr="005A518B" w:rsidRDefault="00A62738" w:rsidP="005A518B">
      <w:pPr>
        <w:tabs>
          <w:tab w:val="left" w:pos="4667"/>
        </w:tabs>
        <w:spacing w:line="360" w:lineRule="auto"/>
        <w:ind w:left="567" w:right="567"/>
        <w:jc w:val="both"/>
        <w:rPr>
          <w:rFonts w:ascii="Palatino Linotype" w:hAnsi="Palatino Linotype" w:cs="Tahoma"/>
          <w:bCs/>
          <w:i/>
        </w:rPr>
      </w:pPr>
      <w:r w:rsidRPr="005A518B">
        <w:rPr>
          <w:rFonts w:ascii="Palatino Linotype" w:hAnsi="Palatino Linotype" w:cs="Tahoma"/>
          <w:bCs/>
          <w:i/>
        </w:rPr>
        <w:t>“</w:t>
      </w:r>
      <w:r w:rsidR="005A518B" w:rsidRPr="005A518B">
        <w:rPr>
          <w:rFonts w:ascii="Palatino Linotype" w:hAnsi="Palatino Linotype" w:cs="Tahoma"/>
          <w:bCs/>
          <w:i/>
        </w:rPr>
        <w:t>solicito la documentacion de los limites territoriales en version publica</w:t>
      </w:r>
      <w:r w:rsidRPr="005A518B">
        <w:rPr>
          <w:rFonts w:ascii="Palatino Linotype" w:hAnsi="Palatino Linotype" w:cs="Tahoma"/>
          <w:bCs/>
          <w:i/>
        </w:rPr>
        <w:t xml:space="preserve">” </w:t>
      </w:r>
      <w:r w:rsidR="00AC222F" w:rsidRPr="005A518B">
        <w:rPr>
          <w:rFonts w:ascii="Palatino Linotype" w:hAnsi="Palatino Linotype" w:cs="Tahoma"/>
          <w:bCs/>
          <w:i/>
        </w:rPr>
        <w:t>(sic)</w:t>
      </w:r>
    </w:p>
    <w:p w14:paraId="196704F6" w14:textId="77777777" w:rsidR="00D90697" w:rsidRPr="00BB5277" w:rsidRDefault="00D90697" w:rsidP="006D3EC0">
      <w:pPr>
        <w:tabs>
          <w:tab w:val="left" w:pos="4667"/>
        </w:tabs>
        <w:spacing w:line="360" w:lineRule="auto"/>
        <w:ind w:left="567" w:right="567"/>
        <w:jc w:val="both"/>
        <w:rPr>
          <w:rFonts w:ascii="Palatino Linotype" w:hAnsi="Palatino Linotype" w:cs="Tahoma"/>
          <w:bCs/>
          <w:i/>
          <w:sz w:val="22"/>
          <w:szCs w:val="22"/>
        </w:rPr>
      </w:pPr>
    </w:p>
    <w:p w14:paraId="1EE71C80" w14:textId="77777777" w:rsidR="00EE235C" w:rsidRPr="00BB5277" w:rsidRDefault="00EE235C" w:rsidP="006D3EC0">
      <w:pPr>
        <w:tabs>
          <w:tab w:val="left" w:pos="4667"/>
        </w:tabs>
        <w:spacing w:line="360" w:lineRule="auto"/>
        <w:ind w:left="567" w:right="567"/>
        <w:jc w:val="both"/>
        <w:rPr>
          <w:rFonts w:ascii="Palatino Linotype" w:hAnsi="Palatino Linotype" w:cs="Tahoma"/>
          <w:bCs/>
          <w:sz w:val="22"/>
          <w:szCs w:val="22"/>
        </w:rPr>
      </w:pPr>
      <w:r w:rsidRPr="00BB5277">
        <w:rPr>
          <w:rFonts w:ascii="Palatino Linotype" w:hAnsi="Palatino Linotype" w:cs="Tahoma"/>
          <w:b/>
          <w:bCs/>
          <w:sz w:val="22"/>
          <w:szCs w:val="22"/>
        </w:rPr>
        <w:t>MODALIDAD DE ENTREGA</w:t>
      </w:r>
    </w:p>
    <w:p w14:paraId="233D26C7" w14:textId="2D905D98" w:rsidR="00EE235C" w:rsidRPr="00830EA3" w:rsidRDefault="00EE235C" w:rsidP="006D3EC0">
      <w:pPr>
        <w:tabs>
          <w:tab w:val="left" w:pos="4667"/>
        </w:tabs>
        <w:spacing w:line="360" w:lineRule="auto"/>
        <w:ind w:left="567" w:right="567"/>
        <w:jc w:val="both"/>
        <w:rPr>
          <w:rFonts w:ascii="Palatino Linotype" w:hAnsi="Palatino Linotype" w:cs="Tahoma"/>
          <w:bCs/>
          <w:i/>
        </w:rPr>
      </w:pPr>
      <w:r w:rsidRPr="00830EA3">
        <w:rPr>
          <w:rFonts w:ascii="Palatino Linotype" w:hAnsi="Palatino Linotype" w:cs="Tahoma"/>
          <w:bCs/>
          <w:i/>
        </w:rPr>
        <w:t xml:space="preserve">A través </w:t>
      </w:r>
      <w:r w:rsidR="006E19BF" w:rsidRPr="00830EA3">
        <w:rPr>
          <w:rFonts w:ascii="Palatino Linotype" w:hAnsi="Palatino Linotype" w:cs="Tahoma"/>
          <w:bCs/>
          <w:i/>
        </w:rPr>
        <w:t xml:space="preserve">de </w:t>
      </w:r>
      <w:r w:rsidR="00A62738" w:rsidRPr="00830EA3">
        <w:rPr>
          <w:rFonts w:ascii="Palatino Linotype" w:hAnsi="Palatino Linotype" w:cs="Tahoma"/>
          <w:bCs/>
          <w:i/>
        </w:rPr>
        <w:t>SAIMEX</w:t>
      </w:r>
    </w:p>
    <w:p w14:paraId="5ABB7A65" w14:textId="77777777" w:rsidR="005A518B" w:rsidRDefault="005A518B" w:rsidP="006D3EC0">
      <w:pPr>
        <w:autoSpaceDE w:val="0"/>
        <w:autoSpaceDN w:val="0"/>
        <w:adjustRightInd w:val="0"/>
        <w:spacing w:line="360" w:lineRule="auto"/>
        <w:jc w:val="both"/>
        <w:rPr>
          <w:rFonts w:ascii="Palatino Linotype" w:hAnsi="Palatino Linotype" w:cs="Tahoma"/>
          <w:b/>
          <w:sz w:val="22"/>
          <w:szCs w:val="22"/>
        </w:rPr>
      </w:pPr>
    </w:p>
    <w:p w14:paraId="25863707" w14:textId="73BDFDB8" w:rsidR="000B5B35" w:rsidRPr="00BB5277" w:rsidRDefault="000B5B35"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b/>
          <w:sz w:val="22"/>
          <w:szCs w:val="22"/>
        </w:rPr>
        <w:t>II. Respuesta del Sujeto Obligado.</w:t>
      </w:r>
    </w:p>
    <w:p w14:paraId="061A3B17" w14:textId="60D620C4" w:rsidR="000B5B35" w:rsidRPr="00BB5277" w:rsidRDefault="000B5B35" w:rsidP="006D3EC0">
      <w:pPr>
        <w:autoSpaceDE w:val="0"/>
        <w:autoSpaceDN w:val="0"/>
        <w:adjustRightInd w:val="0"/>
        <w:spacing w:line="360" w:lineRule="auto"/>
        <w:jc w:val="both"/>
        <w:rPr>
          <w:rFonts w:ascii="Palatino Linotype" w:hAnsi="Palatino Linotype" w:cs="Tahoma"/>
          <w:b/>
          <w:sz w:val="22"/>
          <w:szCs w:val="22"/>
        </w:rPr>
      </w:pPr>
    </w:p>
    <w:p w14:paraId="04F426EE" w14:textId="02B11F28" w:rsidR="000B5B35" w:rsidRDefault="005A518B" w:rsidP="006D3EC0">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Transcurrido el plazo para que el Ayuntamiento de Teoloyucan emitiera la respuesta, entregara documentos o realizara pronunciamiento alguno, fue omiso en realizar actuación alguna, </w:t>
      </w:r>
      <w:r w:rsidR="00A23325">
        <w:rPr>
          <w:rFonts w:ascii="Palatino Linotype" w:hAnsi="Palatino Linotype" w:cs="Tahoma"/>
          <w:sz w:val="22"/>
          <w:szCs w:val="22"/>
        </w:rPr>
        <w:t>dentro del periodo comprendido d</w:t>
      </w:r>
      <w:r w:rsidR="00A95DA3">
        <w:rPr>
          <w:rFonts w:ascii="Palatino Linotype" w:hAnsi="Palatino Linotype" w:cs="Tahoma"/>
          <w:sz w:val="22"/>
          <w:szCs w:val="22"/>
        </w:rPr>
        <w:t xml:space="preserve">el dieciocho de enero del dos mil veintidós </w:t>
      </w:r>
      <w:r w:rsidR="00A23325">
        <w:rPr>
          <w:rFonts w:ascii="Palatino Linotype" w:hAnsi="Palatino Linotype" w:cs="Tahoma"/>
          <w:sz w:val="22"/>
          <w:szCs w:val="22"/>
        </w:rPr>
        <w:t>a</w:t>
      </w:r>
      <w:r w:rsidR="00A95DA3">
        <w:rPr>
          <w:rFonts w:ascii="Palatino Linotype" w:hAnsi="Palatino Linotype" w:cs="Tahoma"/>
          <w:sz w:val="22"/>
          <w:szCs w:val="22"/>
        </w:rPr>
        <w:t>l ocho de febrero de la misma anualidad.</w:t>
      </w:r>
    </w:p>
    <w:p w14:paraId="47614177" w14:textId="77777777" w:rsidR="00A95DA3" w:rsidRPr="00BB5277" w:rsidRDefault="00A95DA3" w:rsidP="006D3EC0">
      <w:pPr>
        <w:autoSpaceDE w:val="0"/>
        <w:autoSpaceDN w:val="0"/>
        <w:adjustRightInd w:val="0"/>
        <w:spacing w:line="360" w:lineRule="auto"/>
        <w:jc w:val="both"/>
        <w:rPr>
          <w:rFonts w:ascii="Palatino Linotype" w:hAnsi="Palatino Linotype" w:cs="Tahoma"/>
          <w:sz w:val="22"/>
          <w:szCs w:val="22"/>
        </w:rPr>
      </w:pPr>
    </w:p>
    <w:p w14:paraId="5F790ECA" w14:textId="3759A3F8" w:rsidR="00EE235C" w:rsidRPr="00BB5277" w:rsidRDefault="000B5B35"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b/>
          <w:sz w:val="22"/>
          <w:szCs w:val="22"/>
        </w:rPr>
        <w:t>I</w:t>
      </w:r>
      <w:r w:rsidR="00C36051" w:rsidRPr="00BB5277">
        <w:rPr>
          <w:rFonts w:ascii="Palatino Linotype" w:hAnsi="Palatino Linotype" w:cs="Tahoma"/>
          <w:b/>
          <w:sz w:val="22"/>
          <w:szCs w:val="22"/>
        </w:rPr>
        <w:t>II</w:t>
      </w:r>
      <w:r w:rsidR="00EE235C" w:rsidRPr="00BB5277">
        <w:rPr>
          <w:rFonts w:ascii="Palatino Linotype" w:hAnsi="Palatino Linotype" w:cs="Tahoma"/>
          <w:b/>
          <w:sz w:val="22"/>
          <w:szCs w:val="22"/>
        </w:rPr>
        <w:t xml:space="preserve">. Interposición del Recurso de Revisión. </w:t>
      </w:r>
      <w:r w:rsidR="00EE235C" w:rsidRPr="00BB5277">
        <w:rPr>
          <w:rFonts w:ascii="Palatino Linotype" w:hAnsi="Palatino Linotype" w:cs="Tahoma"/>
          <w:sz w:val="22"/>
          <w:szCs w:val="22"/>
        </w:rPr>
        <w:tab/>
      </w:r>
    </w:p>
    <w:p w14:paraId="42394076" w14:textId="77777777" w:rsidR="00EE235C" w:rsidRPr="00BB5277" w:rsidRDefault="00EE235C" w:rsidP="006D3EC0">
      <w:pPr>
        <w:autoSpaceDE w:val="0"/>
        <w:autoSpaceDN w:val="0"/>
        <w:adjustRightInd w:val="0"/>
        <w:spacing w:line="360" w:lineRule="auto"/>
        <w:jc w:val="both"/>
        <w:rPr>
          <w:rFonts w:ascii="Palatino Linotype" w:hAnsi="Palatino Linotype" w:cs="Tahoma"/>
          <w:b/>
          <w:sz w:val="22"/>
          <w:szCs w:val="22"/>
        </w:rPr>
      </w:pPr>
    </w:p>
    <w:p w14:paraId="296AC9FB" w14:textId="596D32BA" w:rsidR="00EE235C" w:rsidRPr="00BB5277" w:rsidRDefault="00EE235C"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El </w:t>
      </w:r>
      <w:r w:rsidR="00A95DA3">
        <w:rPr>
          <w:rFonts w:ascii="Palatino Linotype" w:hAnsi="Palatino Linotype" w:cs="Tahoma"/>
          <w:sz w:val="22"/>
          <w:szCs w:val="22"/>
        </w:rPr>
        <w:t>trece</w:t>
      </w:r>
      <w:r w:rsidR="0081526C" w:rsidRPr="00BB5277">
        <w:rPr>
          <w:rFonts w:ascii="Palatino Linotype" w:hAnsi="Palatino Linotype" w:cs="Tahoma"/>
          <w:sz w:val="22"/>
          <w:szCs w:val="22"/>
        </w:rPr>
        <w:t xml:space="preserve"> de </w:t>
      </w:r>
      <w:r w:rsidR="005F079B" w:rsidRPr="00BB5277">
        <w:rPr>
          <w:rFonts w:ascii="Palatino Linotype" w:hAnsi="Palatino Linotype" w:cs="Tahoma"/>
          <w:sz w:val="22"/>
          <w:szCs w:val="22"/>
        </w:rPr>
        <w:t>febrero</w:t>
      </w:r>
      <w:r w:rsidRPr="00BB5277">
        <w:rPr>
          <w:rFonts w:ascii="Palatino Linotype" w:hAnsi="Palatino Linotype" w:cs="Tahoma"/>
          <w:sz w:val="22"/>
          <w:szCs w:val="22"/>
        </w:rPr>
        <w:t xml:space="preserve"> de dos mil </w:t>
      </w:r>
      <w:r w:rsidR="00A266E1" w:rsidRPr="00BB5277">
        <w:rPr>
          <w:rFonts w:ascii="Palatino Linotype" w:hAnsi="Palatino Linotype" w:cs="Tahoma"/>
          <w:sz w:val="22"/>
          <w:szCs w:val="22"/>
        </w:rPr>
        <w:t>veintidós</w:t>
      </w:r>
      <w:r w:rsidRPr="00BB5277">
        <w:rPr>
          <w:rFonts w:ascii="Palatino Linotype" w:hAnsi="Palatino Linotype" w:cs="Tahoma"/>
          <w:sz w:val="22"/>
          <w:szCs w:val="22"/>
        </w:rPr>
        <w:t xml:space="preserve">, se recibió en este Instituto, a través del </w:t>
      </w:r>
      <w:r w:rsidRPr="00BB5277">
        <w:rPr>
          <w:rFonts w:ascii="Palatino Linotype" w:hAnsi="Palatino Linotype" w:cs="Tahoma"/>
          <w:sz w:val="22"/>
          <w:szCs w:val="22"/>
          <w:lang w:val="es-ES"/>
        </w:rPr>
        <w:t>Sistema de Acceso a la Información Mexiquense (SAIMEX)</w:t>
      </w:r>
      <w:r w:rsidRPr="00BB5277">
        <w:rPr>
          <w:rFonts w:ascii="Palatino Linotype" w:hAnsi="Palatino Linotype" w:cs="Tahoma"/>
          <w:sz w:val="22"/>
          <w:szCs w:val="22"/>
        </w:rPr>
        <w:t xml:space="preserve">, un Recurso de Revisión interpuesto por el ahora Recurrente </w:t>
      </w:r>
      <w:r w:rsidR="0034306A" w:rsidRPr="00BB5277">
        <w:rPr>
          <w:rFonts w:ascii="Palatino Linotype" w:hAnsi="Palatino Linotype" w:cs="Tahoma"/>
          <w:sz w:val="22"/>
          <w:szCs w:val="22"/>
        </w:rPr>
        <w:t>en contra de la falta de respuesta del Sujeto Obligado</w:t>
      </w:r>
      <w:r w:rsidRPr="00BB5277">
        <w:rPr>
          <w:rFonts w:ascii="Palatino Linotype" w:hAnsi="Palatino Linotype" w:cs="Tahoma"/>
          <w:sz w:val="22"/>
          <w:szCs w:val="22"/>
        </w:rPr>
        <w:t>,</w:t>
      </w:r>
      <w:r w:rsidR="007A6674" w:rsidRPr="00BB5277">
        <w:rPr>
          <w:rFonts w:ascii="Palatino Linotype" w:hAnsi="Palatino Linotype" w:cs="Tahoma"/>
          <w:sz w:val="22"/>
          <w:szCs w:val="22"/>
        </w:rPr>
        <w:t xml:space="preserve"> mismo que versa en los términos siguientes:</w:t>
      </w:r>
    </w:p>
    <w:p w14:paraId="00D3773B" w14:textId="77777777" w:rsidR="00EE235C" w:rsidRPr="00BB5277" w:rsidRDefault="00EE235C" w:rsidP="006D3EC0">
      <w:pPr>
        <w:tabs>
          <w:tab w:val="left" w:pos="4667"/>
        </w:tabs>
        <w:spacing w:line="360" w:lineRule="auto"/>
        <w:ind w:left="567" w:right="567"/>
        <w:jc w:val="both"/>
        <w:rPr>
          <w:rFonts w:ascii="Palatino Linotype" w:hAnsi="Palatino Linotype" w:cs="Tahoma"/>
          <w:b/>
          <w:bCs/>
          <w:sz w:val="22"/>
          <w:szCs w:val="22"/>
        </w:rPr>
      </w:pPr>
    </w:p>
    <w:p w14:paraId="4B91CC21" w14:textId="3887A530" w:rsidR="00EE235C" w:rsidRPr="00BB5277" w:rsidRDefault="006E19BF" w:rsidP="006D3EC0">
      <w:pPr>
        <w:tabs>
          <w:tab w:val="left" w:pos="4667"/>
        </w:tabs>
        <w:spacing w:line="360" w:lineRule="auto"/>
        <w:ind w:left="567" w:right="567"/>
        <w:jc w:val="both"/>
        <w:rPr>
          <w:rFonts w:ascii="Palatino Linotype" w:hAnsi="Palatino Linotype" w:cs="Tahoma"/>
          <w:b/>
          <w:bCs/>
          <w:sz w:val="22"/>
          <w:szCs w:val="22"/>
        </w:rPr>
      </w:pPr>
      <w:r w:rsidRPr="00BB5277">
        <w:rPr>
          <w:rFonts w:ascii="Palatino Linotype" w:hAnsi="Palatino Linotype" w:cs="Tahoma"/>
          <w:b/>
          <w:bCs/>
          <w:sz w:val="22"/>
          <w:szCs w:val="22"/>
        </w:rPr>
        <w:t>“</w:t>
      </w:r>
      <w:r w:rsidR="00EE235C" w:rsidRPr="00BB5277">
        <w:rPr>
          <w:rFonts w:ascii="Palatino Linotype" w:hAnsi="Palatino Linotype" w:cs="Tahoma"/>
          <w:b/>
          <w:bCs/>
          <w:sz w:val="22"/>
          <w:szCs w:val="22"/>
        </w:rPr>
        <w:t>ACTO IMPUGNADO</w:t>
      </w:r>
    </w:p>
    <w:p w14:paraId="197FFC5F" w14:textId="6C74D41E" w:rsidR="008A2B45" w:rsidRPr="00830EA3" w:rsidRDefault="00432AB5" w:rsidP="006D3EC0">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830EA3">
        <w:rPr>
          <w:rFonts w:ascii="Palatino Linotype" w:hAnsi="Palatino Linotype" w:cs="Tahoma"/>
          <w:i/>
          <w:iCs/>
          <w:sz w:val="20"/>
          <w:szCs w:val="20"/>
        </w:rPr>
        <w:t>“</w:t>
      </w:r>
      <w:r w:rsidR="00A95DA3" w:rsidRPr="00A95DA3">
        <w:rPr>
          <w:rFonts w:ascii="Palatino Linotype" w:hAnsi="Palatino Linotype" w:cs="Tahoma"/>
          <w:i/>
          <w:iCs/>
          <w:sz w:val="20"/>
          <w:szCs w:val="20"/>
        </w:rPr>
        <w:t>EL AYUNTAMIENTO DE TEOLOYUCAN SE BOFA DE LA TRANSAPRENCIA Y NO QUIERE DAR RESPUESTAS</w:t>
      </w:r>
      <w:r w:rsidR="00A95DA3">
        <w:rPr>
          <w:rFonts w:ascii="Palatino Linotype" w:hAnsi="Palatino Linotype" w:cs="Tahoma"/>
          <w:i/>
          <w:iCs/>
          <w:sz w:val="20"/>
          <w:szCs w:val="20"/>
        </w:rPr>
        <w:t>”</w:t>
      </w:r>
      <w:r w:rsidR="00A95DA3" w:rsidRPr="00830EA3">
        <w:rPr>
          <w:rFonts w:ascii="Palatino Linotype" w:hAnsi="Palatino Linotype" w:cs="Tahoma"/>
          <w:i/>
          <w:iCs/>
          <w:sz w:val="20"/>
          <w:szCs w:val="20"/>
        </w:rPr>
        <w:t xml:space="preserve"> </w:t>
      </w:r>
      <w:r w:rsidR="006E19BF" w:rsidRPr="00830EA3">
        <w:rPr>
          <w:rFonts w:ascii="Palatino Linotype" w:hAnsi="Palatino Linotype" w:cs="Tahoma"/>
          <w:i/>
          <w:iCs/>
          <w:sz w:val="20"/>
          <w:szCs w:val="20"/>
        </w:rPr>
        <w:t>(Sic)</w:t>
      </w:r>
    </w:p>
    <w:p w14:paraId="5506AE97" w14:textId="77777777" w:rsidR="003375A0" w:rsidRPr="00BB5277" w:rsidRDefault="003375A0" w:rsidP="006D3EC0">
      <w:pPr>
        <w:spacing w:line="360" w:lineRule="auto"/>
        <w:ind w:left="567"/>
        <w:jc w:val="both"/>
        <w:rPr>
          <w:rFonts w:ascii="Palatino Linotype" w:hAnsi="Palatino Linotype"/>
          <w:i/>
          <w:iCs/>
          <w:sz w:val="22"/>
          <w:szCs w:val="22"/>
          <w:lang w:eastAsia="es-MX"/>
        </w:rPr>
      </w:pPr>
    </w:p>
    <w:p w14:paraId="104EAB7B" w14:textId="60D991AA" w:rsidR="00616D2C" w:rsidRPr="00BB5277" w:rsidRDefault="00EE235C" w:rsidP="006D3EC0">
      <w:pPr>
        <w:autoSpaceDE w:val="0"/>
        <w:autoSpaceDN w:val="0"/>
        <w:adjustRightInd w:val="0"/>
        <w:spacing w:line="360" w:lineRule="auto"/>
        <w:ind w:left="567" w:right="567"/>
        <w:jc w:val="both"/>
        <w:rPr>
          <w:rFonts w:ascii="Palatino Linotype" w:hAnsi="Palatino Linotype" w:cs="Tahoma"/>
          <w:b/>
          <w:sz w:val="22"/>
          <w:szCs w:val="22"/>
        </w:rPr>
      </w:pPr>
      <w:r w:rsidRPr="00BB5277">
        <w:rPr>
          <w:rFonts w:ascii="Palatino Linotype" w:hAnsi="Palatino Linotype" w:cs="Tahoma"/>
          <w:b/>
          <w:sz w:val="22"/>
          <w:szCs w:val="22"/>
        </w:rPr>
        <w:t>RAZONES O MOTIVOS DE LA INCONFORMIDAD</w:t>
      </w:r>
    </w:p>
    <w:p w14:paraId="35344F70" w14:textId="7466C55C" w:rsidR="00BE09CA" w:rsidRPr="00830EA3" w:rsidRDefault="00A95DA3" w:rsidP="006D3EC0">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A95DA3">
        <w:rPr>
          <w:rFonts w:ascii="Palatino Linotype" w:hAnsi="Palatino Linotype" w:cs="Tahoma"/>
          <w:i/>
          <w:iCs/>
          <w:sz w:val="20"/>
          <w:szCs w:val="20"/>
        </w:rPr>
        <w:t>EL AYUNTAMIENTO DE TEOLOYUCAN SE BOFA DE LA TRANSAPRENCIA Y NO QUIERE DAR RESPUESTAS</w:t>
      </w:r>
      <w:r w:rsidR="000B5B35" w:rsidRPr="00830EA3">
        <w:rPr>
          <w:rFonts w:ascii="Palatino Linotype" w:hAnsi="Palatino Linotype" w:cs="Tahoma"/>
          <w:i/>
          <w:iCs/>
          <w:sz w:val="20"/>
          <w:szCs w:val="20"/>
        </w:rPr>
        <w:t>”</w:t>
      </w:r>
      <w:r w:rsidR="00A62738" w:rsidRPr="00830EA3">
        <w:rPr>
          <w:rFonts w:ascii="Palatino Linotype" w:hAnsi="Palatino Linotype" w:cs="Tahoma"/>
          <w:i/>
          <w:iCs/>
          <w:sz w:val="20"/>
          <w:szCs w:val="20"/>
        </w:rPr>
        <w:t xml:space="preserve"> </w:t>
      </w:r>
      <w:r w:rsidR="00965671" w:rsidRPr="00830EA3">
        <w:rPr>
          <w:rFonts w:ascii="Palatino Linotype" w:hAnsi="Palatino Linotype" w:cs="Tahoma"/>
          <w:i/>
          <w:iCs/>
          <w:sz w:val="20"/>
          <w:szCs w:val="20"/>
        </w:rPr>
        <w:t>(</w:t>
      </w:r>
      <w:r w:rsidR="006E19BF" w:rsidRPr="00830EA3">
        <w:rPr>
          <w:rFonts w:ascii="Palatino Linotype" w:hAnsi="Palatino Linotype" w:cs="Tahoma"/>
          <w:i/>
          <w:iCs/>
          <w:sz w:val="20"/>
          <w:szCs w:val="20"/>
        </w:rPr>
        <w:t>Sic)</w:t>
      </w:r>
    </w:p>
    <w:p w14:paraId="4D57AFCA" w14:textId="367ADC55" w:rsidR="00567805" w:rsidRPr="00BB5277" w:rsidRDefault="00567805" w:rsidP="006D3EC0">
      <w:pPr>
        <w:spacing w:line="360" w:lineRule="auto"/>
        <w:ind w:right="539"/>
        <w:jc w:val="both"/>
        <w:rPr>
          <w:rFonts w:ascii="Palatino Linotype" w:hAnsi="Palatino Linotype" w:cs="Tahoma"/>
          <w:i/>
          <w:sz w:val="22"/>
          <w:szCs w:val="22"/>
        </w:rPr>
      </w:pPr>
    </w:p>
    <w:p w14:paraId="59C4B046" w14:textId="057E7EE1" w:rsidR="00EE235C" w:rsidRPr="00BB5277" w:rsidRDefault="00264B3F" w:rsidP="006D3EC0">
      <w:pPr>
        <w:spacing w:line="360" w:lineRule="auto"/>
        <w:jc w:val="both"/>
        <w:rPr>
          <w:rFonts w:ascii="Palatino Linotype" w:eastAsia="Batang" w:hAnsi="Palatino Linotype" w:cs="Tahoma"/>
          <w:b/>
          <w:bCs/>
          <w:sz w:val="22"/>
          <w:szCs w:val="22"/>
        </w:rPr>
      </w:pPr>
      <w:r w:rsidRPr="00BB5277">
        <w:rPr>
          <w:rFonts w:ascii="Palatino Linotype" w:hAnsi="Palatino Linotype" w:cs="Tahoma"/>
          <w:b/>
          <w:sz w:val="22"/>
          <w:szCs w:val="22"/>
        </w:rPr>
        <w:t>IV</w:t>
      </w:r>
      <w:r w:rsidR="00EE235C" w:rsidRPr="00BB5277">
        <w:rPr>
          <w:rFonts w:ascii="Palatino Linotype" w:hAnsi="Palatino Linotype" w:cs="Tahoma"/>
          <w:b/>
          <w:sz w:val="22"/>
          <w:szCs w:val="22"/>
        </w:rPr>
        <w:t xml:space="preserve">. </w:t>
      </w:r>
      <w:r w:rsidR="00EE235C" w:rsidRPr="00BB5277">
        <w:rPr>
          <w:rFonts w:ascii="Palatino Linotype" w:eastAsia="Batang" w:hAnsi="Palatino Linotype" w:cs="Tahoma"/>
          <w:b/>
          <w:bCs/>
          <w:sz w:val="22"/>
          <w:szCs w:val="22"/>
        </w:rPr>
        <w:t xml:space="preserve">Trámite del </w:t>
      </w:r>
      <w:r w:rsidR="00EE235C" w:rsidRPr="00BB5277">
        <w:rPr>
          <w:rFonts w:ascii="Palatino Linotype" w:hAnsi="Palatino Linotype" w:cs="Tahoma"/>
          <w:b/>
          <w:sz w:val="22"/>
          <w:szCs w:val="22"/>
        </w:rPr>
        <w:t xml:space="preserve">Recurso de Revisión </w:t>
      </w:r>
      <w:r w:rsidR="00EE235C" w:rsidRPr="00BB5277">
        <w:rPr>
          <w:rFonts w:ascii="Palatino Linotype" w:eastAsia="Batang" w:hAnsi="Palatino Linotype" w:cs="Tahoma"/>
          <w:b/>
          <w:bCs/>
          <w:sz w:val="22"/>
          <w:szCs w:val="22"/>
        </w:rPr>
        <w:t>ante el Instituto.</w:t>
      </w:r>
    </w:p>
    <w:p w14:paraId="69AB5DE5" w14:textId="77777777" w:rsidR="00EE235C" w:rsidRPr="00BB5277" w:rsidRDefault="00EE235C" w:rsidP="006D3EC0">
      <w:pPr>
        <w:spacing w:line="360" w:lineRule="auto"/>
        <w:jc w:val="both"/>
        <w:rPr>
          <w:rFonts w:ascii="Palatino Linotype" w:eastAsia="Batang" w:hAnsi="Palatino Linotype" w:cs="Tahoma"/>
          <w:b/>
          <w:bCs/>
          <w:sz w:val="22"/>
          <w:szCs w:val="22"/>
        </w:rPr>
      </w:pPr>
    </w:p>
    <w:p w14:paraId="5D795E07" w14:textId="20FBCE52" w:rsidR="00EE235C" w:rsidRPr="00BB5277" w:rsidRDefault="00EE235C" w:rsidP="006D3EC0">
      <w:pPr>
        <w:spacing w:line="360" w:lineRule="auto"/>
        <w:jc w:val="both"/>
        <w:rPr>
          <w:rFonts w:ascii="Palatino Linotype" w:eastAsia="Batang" w:hAnsi="Palatino Linotype" w:cs="Tahoma"/>
          <w:b/>
          <w:bCs/>
          <w:sz w:val="22"/>
          <w:szCs w:val="22"/>
        </w:rPr>
      </w:pPr>
      <w:r w:rsidRPr="00BB5277">
        <w:rPr>
          <w:rFonts w:ascii="Palatino Linotype" w:eastAsia="Batang" w:hAnsi="Palatino Linotype" w:cs="Tahoma"/>
          <w:b/>
          <w:bCs/>
          <w:sz w:val="22"/>
          <w:szCs w:val="22"/>
        </w:rPr>
        <w:t xml:space="preserve">a) Turno del </w:t>
      </w:r>
      <w:r w:rsidRPr="00BB5277">
        <w:rPr>
          <w:rFonts w:ascii="Palatino Linotype" w:hAnsi="Palatino Linotype" w:cs="Tahoma"/>
          <w:b/>
          <w:sz w:val="22"/>
          <w:szCs w:val="22"/>
        </w:rPr>
        <w:t>Recurso de Revisión</w:t>
      </w:r>
      <w:r w:rsidRPr="00BB5277">
        <w:rPr>
          <w:rFonts w:ascii="Palatino Linotype" w:eastAsia="Batang" w:hAnsi="Palatino Linotype" w:cs="Tahoma"/>
          <w:b/>
          <w:bCs/>
          <w:sz w:val="22"/>
          <w:szCs w:val="22"/>
        </w:rPr>
        <w:t>.</w:t>
      </w:r>
    </w:p>
    <w:p w14:paraId="2FBD9492" w14:textId="77777777" w:rsidR="00BE09CA" w:rsidRPr="00BB5277" w:rsidRDefault="00BE09CA" w:rsidP="006D3EC0">
      <w:pPr>
        <w:spacing w:line="360" w:lineRule="auto"/>
        <w:jc w:val="both"/>
        <w:rPr>
          <w:rFonts w:ascii="Palatino Linotype" w:eastAsia="Batang" w:hAnsi="Palatino Linotype" w:cs="Tahoma"/>
          <w:b/>
          <w:bCs/>
          <w:sz w:val="22"/>
          <w:szCs w:val="22"/>
        </w:rPr>
      </w:pPr>
    </w:p>
    <w:p w14:paraId="14192543" w14:textId="1DE0B430" w:rsidR="00EE235C" w:rsidRPr="00BB5277" w:rsidRDefault="00EE235C" w:rsidP="006D3EC0">
      <w:pPr>
        <w:spacing w:line="360" w:lineRule="auto"/>
        <w:jc w:val="both"/>
        <w:rPr>
          <w:rFonts w:ascii="Palatino Linotype" w:eastAsia="Batang" w:hAnsi="Palatino Linotype" w:cs="Tahoma"/>
          <w:bCs/>
          <w:sz w:val="22"/>
          <w:szCs w:val="22"/>
        </w:rPr>
      </w:pPr>
      <w:r w:rsidRPr="00BB5277">
        <w:rPr>
          <w:rFonts w:ascii="Palatino Linotype" w:eastAsia="Batang" w:hAnsi="Palatino Linotype" w:cs="Tahoma"/>
          <w:bCs/>
          <w:sz w:val="22"/>
          <w:szCs w:val="22"/>
        </w:rPr>
        <w:lastRenderedPageBreak/>
        <w:t xml:space="preserve">El </w:t>
      </w:r>
      <w:r w:rsidR="00A95DA3">
        <w:rPr>
          <w:rFonts w:ascii="Palatino Linotype" w:hAnsi="Palatino Linotype"/>
          <w:sz w:val="22"/>
          <w:szCs w:val="22"/>
        </w:rPr>
        <w:t>trece</w:t>
      </w:r>
      <w:r w:rsidR="005C71CF" w:rsidRPr="00BB5277">
        <w:rPr>
          <w:rFonts w:ascii="Palatino Linotype" w:hAnsi="Palatino Linotype"/>
          <w:sz w:val="22"/>
          <w:szCs w:val="22"/>
        </w:rPr>
        <w:t xml:space="preserve"> </w:t>
      </w:r>
      <w:r w:rsidRPr="00BB5277">
        <w:rPr>
          <w:rFonts w:ascii="Palatino Linotype" w:eastAsia="Batang" w:hAnsi="Palatino Linotype" w:cs="Tahoma"/>
          <w:bCs/>
          <w:sz w:val="22"/>
          <w:szCs w:val="22"/>
        </w:rPr>
        <w:t xml:space="preserve">de </w:t>
      </w:r>
      <w:r w:rsidR="00470902" w:rsidRPr="00BB5277">
        <w:rPr>
          <w:rFonts w:ascii="Palatino Linotype" w:eastAsia="Batang" w:hAnsi="Palatino Linotype" w:cs="Tahoma"/>
          <w:bCs/>
          <w:sz w:val="22"/>
          <w:szCs w:val="22"/>
        </w:rPr>
        <w:t>febrero</w:t>
      </w:r>
      <w:r w:rsidRPr="00BB5277">
        <w:rPr>
          <w:rFonts w:ascii="Palatino Linotype" w:eastAsia="Batang" w:hAnsi="Palatino Linotype" w:cs="Tahoma"/>
          <w:bCs/>
          <w:sz w:val="22"/>
          <w:szCs w:val="22"/>
        </w:rPr>
        <w:t xml:space="preserve"> de dos mil </w:t>
      </w:r>
      <w:r w:rsidR="00A266E1" w:rsidRPr="00BB5277">
        <w:rPr>
          <w:rFonts w:ascii="Palatino Linotype" w:eastAsia="Batang" w:hAnsi="Palatino Linotype" w:cs="Tahoma"/>
          <w:bCs/>
          <w:sz w:val="22"/>
          <w:szCs w:val="22"/>
        </w:rPr>
        <w:t>veintidós</w:t>
      </w:r>
      <w:r w:rsidRPr="00BB5277">
        <w:rPr>
          <w:rFonts w:ascii="Palatino Linotype" w:eastAsia="Batang" w:hAnsi="Palatino Linotype" w:cs="Tahoma"/>
          <w:bCs/>
          <w:sz w:val="22"/>
          <w:szCs w:val="22"/>
        </w:rPr>
        <w:t xml:space="preserve">, el </w:t>
      </w:r>
      <w:r w:rsidRPr="00BB5277">
        <w:rPr>
          <w:rFonts w:ascii="Palatino Linotype" w:hAnsi="Palatino Linotype" w:cs="Tahoma"/>
          <w:sz w:val="22"/>
          <w:szCs w:val="22"/>
          <w:lang w:val="es-ES"/>
        </w:rPr>
        <w:t>Sistema de Acceso a la Información Mexiquense (SAIMEX),</w:t>
      </w:r>
      <w:r w:rsidRPr="00BB5277">
        <w:rPr>
          <w:rFonts w:ascii="Palatino Linotype" w:eastAsia="Batang" w:hAnsi="Palatino Linotype" w:cs="Tahoma"/>
          <w:bCs/>
          <w:sz w:val="22"/>
          <w:szCs w:val="22"/>
        </w:rPr>
        <w:t xml:space="preserve"> asignó el número de expediente </w:t>
      </w:r>
      <w:r w:rsidR="00A95DA3">
        <w:rPr>
          <w:rFonts w:ascii="Palatino Linotype" w:hAnsi="Palatino Linotype"/>
          <w:b/>
          <w:bCs/>
          <w:color w:val="000000" w:themeColor="text1"/>
          <w:sz w:val="22"/>
          <w:szCs w:val="22"/>
        </w:rPr>
        <w:t>00811/INFOEM/IP/RR/2022</w:t>
      </w:r>
      <w:r w:rsidR="0017140B" w:rsidRPr="00BB5277">
        <w:rPr>
          <w:rFonts w:ascii="Palatino Linotype" w:eastAsia="Batang" w:hAnsi="Palatino Linotype" w:cs="Tahoma"/>
          <w:b/>
          <w:bCs/>
          <w:sz w:val="22"/>
          <w:szCs w:val="22"/>
        </w:rPr>
        <w:t>,</w:t>
      </w:r>
      <w:r w:rsidRPr="00BB5277">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14:paraId="23B73257" w14:textId="77777777" w:rsidR="00EE235C" w:rsidRPr="00BB5277" w:rsidRDefault="00EE235C" w:rsidP="006D3EC0">
      <w:pPr>
        <w:spacing w:line="360" w:lineRule="auto"/>
        <w:jc w:val="both"/>
        <w:rPr>
          <w:rFonts w:ascii="Palatino Linotype" w:eastAsia="Batang" w:hAnsi="Palatino Linotype" w:cs="Tahoma"/>
          <w:bCs/>
          <w:sz w:val="22"/>
          <w:szCs w:val="22"/>
        </w:rPr>
      </w:pPr>
    </w:p>
    <w:p w14:paraId="60150CD5" w14:textId="04DD24C5" w:rsidR="00EE235C" w:rsidRPr="00BB5277" w:rsidRDefault="00EE235C" w:rsidP="006D3EC0">
      <w:pPr>
        <w:spacing w:line="360" w:lineRule="auto"/>
        <w:jc w:val="both"/>
        <w:rPr>
          <w:rFonts w:ascii="Palatino Linotype" w:eastAsia="Batang" w:hAnsi="Palatino Linotype" w:cs="Tahoma"/>
          <w:b/>
          <w:bCs/>
          <w:sz w:val="22"/>
          <w:szCs w:val="22"/>
          <w:lang w:val="es-ES_tradnl"/>
        </w:rPr>
      </w:pPr>
      <w:r w:rsidRPr="00BB5277">
        <w:rPr>
          <w:rFonts w:ascii="Palatino Linotype" w:eastAsia="Batang" w:hAnsi="Palatino Linotype" w:cs="Tahoma"/>
          <w:b/>
          <w:bCs/>
          <w:sz w:val="22"/>
          <w:szCs w:val="22"/>
        </w:rPr>
        <w:t xml:space="preserve">b) Admisión del </w:t>
      </w:r>
      <w:r w:rsidRPr="00BB5277">
        <w:rPr>
          <w:rFonts w:ascii="Palatino Linotype" w:hAnsi="Palatino Linotype" w:cs="Tahoma"/>
          <w:b/>
          <w:sz w:val="22"/>
          <w:szCs w:val="22"/>
        </w:rPr>
        <w:t>Recurso de Revisión</w:t>
      </w:r>
      <w:r w:rsidRPr="00BB5277">
        <w:rPr>
          <w:rFonts w:ascii="Palatino Linotype" w:eastAsia="Batang" w:hAnsi="Palatino Linotype" w:cs="Tahoma"/>
          <w:b/>
          <w:bCs/>
          <w:sz w:val="22"/>
          <w:szCs w:val="22"/>
          <w:lang w:val="es-ES_tradnl"/>
        </w:rPr>
        <w:t xml:space="preserve">. </w:t>
      </w:r>
    </w:p>
    <w:p w14:paraId="1870415C" w14:textId="77777777" w:rsidR="00CC0600" w:rsidRPr="00BB5277" w:rsidRDefault="00CC0600" w:rsidP="006D3EC0">
      <w:pPr>
        <w:spacing w:line="360" w:lineRule="auto"/>
        <w:jc w:val="both"/>
        <w:rPr>
          <w:rFonts w:ascii="Palatino Linotype" w:eastAsia="Batang" w:hAnsi="Palatino Linotype" w:cs="Tahoma"/>
          <w:b/>
          <w:bCs/>
          <w:sz w:val="22"/>
          <w:szCs w:val="22"/>
          <w:lang w:val="es-ES_tradnl"/>
        </w:rPr>
      </w:pPr>
    </w:p>
    <w:p w14:paraId="229A2737" w14:textId="15CD3FF5" w:rsidR="00EE235C" w:rsidRPr="00BB5277" w:rsidRDefault="00795066" w:rsidP="006D3EC0">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 xml:space="preserve">A través de acuerdo de diecisiete de febrero, notificado el </w:t>
      </w:r>
      <w:r w:rsidR="00A95DA3">
        <w:rPr>
          <w:rFonts w:ascii="Palatino Linotype" w:hAnsi="Palatino Linotype"/>
          <w:sz w:val="22"/>
          <w:szCs w:val="22"/>
        </w:rPr>
        <w:t>veintiuno</w:t>
      </w:r>
      <w:r w:rsidR="005C71CF" w:rsidRPr="00BB5277">
        <w:rPr>
          <w:rFonts w:ascii="Palatino Linotype" w:hAnsi="Palatino Linotype"/>
          <w:sz w:val="22"/>
          <w:szCs w:val="22"/>
        </w:rPr>
        <w:t xml:space="preserve"> </w:t>
      </w:r>
      <w:r w:rsidR="00EE235C" w:rsidRPr="00BB5277">
        <w:rPr>
          <w:rFonts w:ascii="Palatino Linotype" w:eastAsia="Batang" w:hAnsi="Palatino Linotype" w:cs="Tahoma"/>
          <w:bCs/>
          <w:sz w:val="22"/>
          <w:szCs w:val="22"/>
          <w:lang w:val="es-ES_tradnl"/>
        </w:rPr>
        <w:t xml:space="preserve">de </w:t>
      </w:r>
      <w:r w:rsidR="00470902" w:rsidRPr="00BB5277">
        <w:rPr>
          <w:rFonts w:ascii="Palatino Linotype" w:eastAsia="Batang" w:hAnsi="Palatino Linotype" w:cs="Tahoma"/>
          <w:bCs/>
          <w:sz w:val="22"/>
          <w:szCs w:val="22"/>
          <w:lang w:val="es-ES_tradnl"/>
        </w:rPr>
        <w:t>febrero</w:t>
      </w:r>
      <w:r w:rsidR="00EE235C" w:rsidRPr="00BB5277">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ambas fechas del dos mil veintidós</w:t>
      </w:r>
      <w:r w:rsidR="00EE235C" w:rsidRPr="00BB5277">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a través del Sistema de Acceso a la Información Mexiquense (SAIMEX), en el que se les otorgó un plazo de siete días hábiles posteriores a la misma, para que manifestaran lo que a su derecho conviniera y formularan alegatos.</w:t>
      </w:r>
    </w:p>
    <w:p w14:paraId="45E569EB" w14:textId="77777777" w:rsidR="00AC6303" w:rsidRPr="00BB5277" w:rsidRDefault="00AC6303" w:rsidP="006D3EC0">
      <w:pPr>
        <w:spacing w:line="360" w:lineRule="auto"/>
        <w:jc w:val="both"/>
        <w:rPr>
          <w:rFonts w:ascii="Palatino Linotype" w:eastAsia="Batang" w:hAnsi="Palatino Linotype" w:cs="Tahoma"/>
          <w:bCs/>
          <w:sz w:val="22"/>
          <w:szCs w:val="22"/>
          <w:lang w:val="es-ES_tradnl"/>
        </w:rPr>
      </w:pPr>
    </w:p>
    <w:p w14:paraId="365C1447" w14:textId="700BAB98" w:rsidR="00AC6303" w:rsidRPr="00BB5277" w:rsidRDefault="00AC6303" w:rsidP="006D3EC0">
      <w:pPr>
        <w:spacing w:line="360" w:lineRule="auto"/>
        <w:jc w:val="both"/>
        <w:rPr>
          <w:rFonts w:ascii="Palatino Linotype" w:eastAsia="Batang" w:hAnsi="Palatino Linotype" w:cs="Tahoma"/>
          <w:b/>
          <w:sz w:val="22"/>
          <w:szCs w:val="22"/>
          <w:lang w:val="es-ES_tradnl"/>
        </w:rPr>
      </w:pPr>
      <w:r w:rsidRPr="00BB5277">
        <w:rPr>
          <w:rFonts w:ascii="Palatino Linotype" w:eastAsia="Batang" w:hAnsi="Palatino Linotype" w:cs="Tahoma"/>
          <w:b/>
          <w:sz w:val="22"/>
          <w:szCs w:val="22"/>
          <w:lang w:val="es-ES_tradnl"/>
        </w:rPr>
        <w:t>c) Manifestaciones del Particular</w:t>
      </w:r>
    </w:p>
    <w:p w14:paraId="6F11F161" w14:textId="77777777" w:rsidR="00AC6303" w:rsidRPr="00BB5277" w:rsidRDefault="00AC6303" w:rsidP="006D3EC0">
      <w:pPr>
        <w:spacing w:line="360" w:lineRule="auto"/>
        <w:jc w:val="both"/>
        <w:rPr>
          <w:rFonts w:ascii="Palatino Linotype" w:eastAsia="Batang" w:hAnsi="Palatino Linotype" w:cs="Tahoma"/>
          <w:b/>
          <w:sz w:val="22"/>
          <w:szCs w:val="22"/>
          <w:lang w:val="es-ES_tradnl"/>
        </w:rPr>
      </w:pPr>
    </w:p>
    <w:p w14:paraId="43784B42" w14:textId="02AF7151" w:rsidR="005C71CF" w:rsidRPr="00BB5277" w:rsidRDefault="00A30C0F" w:rsidP="006D3EC0">
      <w:pPr>
        <w:spacing w:line="360" w:lineRule="auto"/>
        <w:jc w:val="both"/>
        <w:rPr>
          <w:rFonts w:ascii="Palatino Linotype" w:eastAsia="Batang" w:hAnsi="Palatino Linotype" w:cs="Tahoma"/>
          <w:bCs/>
          <w:sz w:val="22"/>
          <w:szCs w:val="22"/>
          <w:lang w:val="es-ES_tradnl"/>
        </w:rPr>
      </w:pPr>
      <w:r w:rsidRPr="00BB5277">
        <w:rPr>
          <w:rFonts w:ascii="Palatino Linotype" w:eastAsia="Batang" w:hAnsi="Palatino Linotype" w:cs="Tahoma"/>
          <w:bCs/>
          <w:sz w:val="22"/>
          <w:szCs w:val="22"/>
          <w:lang w:val="es-ES_tradnl"/>
        </w:rPr>
        <w:t>Transcurrido el plazo</w:t>
      </w:r>
      <w:r w:rsidR="0056143F" w:rsidRPr="00BB5277">
        <w:rPr>
          <w:rFonts w:ascii="Palatino Linotype" w:eastAsia="Batang" w:hAnsi="Palatino Linotype" w:cs="Tahoma"/>
          <w:bCs/>
          <w:sz w:val="22"/>
          <w:szCs w:val="22"/>
          <w:lang w:val="es-ES_tradnl"/>
        </w:rPr>
        <w:t xml:space="preserve"> aportado a las partes para realizar manifestaciones, el Particular fue omiso en realizar pronunciamiento alguno.</w:t>
      </w:r>
    </w:p>
    <w:p w14:paraId="44780978" w14:textId="77777777" w:rsidR="00A707BC" w:rsidRPr="00BB5277" w:rsidRDefault="00A707BC" w:rsidP="006D3EC0">
      <w:pPr>
        <w:spacing w:line="360" w:lineRule="auto"/>
        <w:jc w:val="both"/>
        <w:rPr>
          <w:rFonts w:ascii="Palatino Linotype" w:eastAsia="Batang" w:hAnsi="Palatino Linotype" w:cs="Tahoma"/>
          <w:bCs/>
          <w:sz w:val="22"/>
          <w:szCs w:val="22"/>
          <w:lang w:val="es-ES_tradnl"/>
        </w:rPr>
      </w:pPr>
    </w:p>
    <w:p w14:paraId="2F5C7256" w14:textId="24D7B8DF" w:rsidR="0064524C" w:rsidRPr="00BB5277" w:rsidRDefault="000011AB" w:rsidP="006D3EC0">
      <w:pPr>
        <w:spacing w:line="360" w:lineRule="auto"/>
        <w:jc w:val="both"/>
        <w:rPr>
          <w:rFonts w:ascii="Palatino Linotype" w:eastAsia="Batang" w:hAnsi="Palatino Linotype" w:cs="Tahoma"/>
          <w:b/>
          <w:sz w:val="22"/>
          <w:szCs w:val="22"/>
        </w:rPr>
      </w:pPr>
      <w:r w:rsidRPr="00BB5277">
        <w:rPr>
          <w:rFonts w:ascii="Palatino Linotype" w:eastAsia="Batang" w:hAnsi="Palatino Linotype" w:cs="Tahoma"/>
          <w:b/>
          <w:sz w:val="22"/>
          <w:szCs w:val="22"/>
        </w:rPr>
        <w:t>d</w:t>
      </w:r>
      <w:r w:rsidR="00C36F8A" w:rsidRPr="00BB5277">
        <w:rPr>
          <w:rFonts w:ascii="Palatino Linotype" w:eastAsia="Batang" w:hAnsi="Palatino Linotype" w:cs="Tahoma"/>
          <w:b/>
          <w:sz w:val="22"/>
          <w:szCs w:val="22"/>
        </w:rPr>
        <w:t>) Informe Justificado o Manifestaciones.</w:t>
      </w:r>
    </w:p>
    <w:p w14:paraId="02DC0D92" w14:textId="4F014340" w:rsidR="0056143F" w:rsidRPr="00BB5277" w:rsidRDefault="0056143F" w:rsidP="006D3EC0">
      <w:pPr>
        <w:spacing w:line="360" w:lineRule="auto"/>
        <w:jc w:val="both"/>
        <w:rPr>
          <w:rFonts w:ascii="Palatino Linotype" w:eastAsia="Batang" w:hAnsi="Palatino Linotype" w:cs="Tahoma"/>
          <w:b/>
          <w:sz w:val="22"/>
          <w:szCs w:val="22"/>
        </w:rPr>
      </w:pPr>
    </w:p>
    <w:p w14:paraId="39E2497F" w14:textId="741B178C" w:rsidR="0056143F" w:rsidRDefault="00795066" w:rsidP="006D3EC0">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lastRenderedPageBreak/>
        <w:t xml:space="preserve">El cuatro de marzo el Sujeto Obligado remitió informe justificado a través del Sistema de Acceso a la Información Mexiquense (SAIMEX), documentos que fueron objeto del escrutinio de este Organismo Garante para identificar en su caso, información susceptible a no ser entregada por ser de naturaleza confidencial o reservada, por lo que mediante acuerdo de seis de abril del dos mil veintidós se aprobó poner a la vista dichos documentos, los que </w:t>
      </w:r>
      <w:r w:rsidR="006B540E">
        <w:rPr>
          <w:rFonts w:ascii="Palatino Linotype" w:eastAsia="Batang" w:hAnsi="Palatino Linotype" w:cs="Tahoma"/>
          <w:bCs/>
          <w:sz w:val="22"/>
          <w:szCs w:val="22"/>
          <w:lang w:val="es-ES_tradnl"/>
        </w:rPr>
        <w:t>una vez que fueron analizados, se pusieron a la vista del Particular el diecinueve de abril del dos mil veintidós, para que emitiera pronunciamiento alguno; la información remitida, fue la siguiente:</w:t>
      </w:r>
    </w:p>
    <w:p w14:paraId="4E633B63" w14:textId="4FEA2399" w:rsidR="006B540E" w:rsidRDefault="006B540E" w:rsidP="006D3EC0">
      <w:pPr>
        <w:spacing w:line="360" w:lineRule="auto"/>
        <w:jc w:val="both"/>
        <w:rPr>
          <w:rFonts w:ascii="Palatino Linotype" w:eastAsia="Batang" w:hAnsi="Palatino Linotype" w:cs="Tahoma"/>
          <w:bCs/>
          <w:sz w:val="22"/>
          <w:szCs w:val="22"/>
          <w:lang w:val="es-ES_tradnl"/>
        </w:rPr>
      </w:pPr>
    </w:p>
    <w:p w14:paraId="1E118C2F" w14:textId="4D084464" w:rsidR="006B540E" w:rsidRPr="006B540E" w:rsidRDefault="006B540E" w:rsidP="002714A6">
      <w:pPr>
        <w:pStyle w:val="Prrafodelista"/>
        <w:numPr>
          <w:ilvl w:val="0"/>
          <w:numId w:val="36"/>
        </w:numPr>
        <w:spacing w:line="360" w:lineRule="auto"/>
        <w:jc w:val="both"/>
        <w:rPr>
          <w:rFonts w:ascii="Palatino Linotype" w:eastAsia="Batang" w:hAnsi="Palatino Linotype" w:cs="Tahoma"/>
          <w:bCs/>
          <w:szCs w:val="22"/>
          <w:lang w:val="es-ES_tradnl"/>
        </w:rPr>
      </w:pPr>
      <w:r w:rsidRPr="006B540E">
        <w:rPr>
          <w:rFonts w:ascii="Palatino Linotype" w:eastAsia="Batang" w:hAnsi="Palatino Linotype" w:cs="Tahoma"/>
          <w:b/>
          <w:szCs w:val="22"/>
          <w:lang w:val="es-ES_tradnl"/>
        </w:rPr>
        <w:t xml:space="preserve">Informe Justificado RR 811.docx. </w:t>
      </w:r>
      <w:r w:rsidRPr="006B540E">
        <w:rPr>
          <w:rFonts w:ascii="Palatino Linotype" w:eastAsia="Batang" w:hAnsi="Palatino Linotype" w:cs="Tahoma"/>
          <w:bCs/>
          <w:szCs w:val="22"/>
          <w:lang w:val="es-ES_tradnl"/>
        </w:rPr>
        <w:t xml:space="preserve">Documento </w:t>
      </w:r>
      <w:r w:rsidR="00471C1B">
        <w:rPr>
          <w:rFonts w:ascii="Palatino Linotype" w:eastAsia="Batang" w:hAnsi="Palatino Linotype" w:cs="Tahoma"/>
          <w:bCs/>
          <w:szCs w:val="22"/>
          <w:lang w:val="es-ES_tradnl"/>
        </w:rPr>
        <w:t xml:space="preserve">de dos fojas, </w:t>
      </w:r>
      <w:r w:rsidRPr="006B540E">
        <w:rPr>
          <w:rFonts w:ascii="Palatino Linotype" w:eastAsia="Batang" w:hAnsi="Palatino Linotype" w:cs="Tahoma"/>
          <w:bCs/>
          <w:szCs w:val="22"/>
          <w:lang w:val="es-ES_tradnl"/>
        </w:rPr>
        <w:t xml:space="preserve">en formato editable que contiene el </w:t>
      </w:r>
      <w:r>
        <w:rPr>
          <w:rFonts w:ascii="Palatino Linotype" w:eastAsia="Batang" w:hAnsi="Palatino Linotype" w:cs="Tahoma"/>
          <w:bCs/>
          <w:szCs w:val="22"/>
          <w:lang w:val="es-ES_tradnl"/>
        </w:rPr>
        <w:t>oficio</w:t>
      </w:r>
      <w:r w:rsidRPr="006B540E">
        <w:rPr>
          <w:rFonts w:ascii="Palatino Linotype" w:eastAsia="Batang" w:hAnsi="Palatino Linotype" w:cs="Tahoma"/>
          <w:bCs/>
          <w:szCs w:val="22"/>
          <w:lang w:val="es-ES_tradnl"/>
        </w:rPr>
        <w:t xml:space="preserve"> UT/KMP/162/2022</w:t>
      </w:r>
      <w:r>
        <w:rPr>
          <w:rFonts w:ascii="Palatino Linotype" w:eastAsia="Batang" w:hAnsi="Palatino Linotype" w:cs="Tahoma"/>
          <w:bCs/>
          <w:szCs w:val="22"/>
          <w:lang w:val="es-ES_tradnl"/>
        </w:rPr>
        <w:t xml:space="preserve">, por el cual, </w:t>
      </w:r>
      <w:r w:rsidR="00471C1B">
        <w:rPr>
          <w:rFonts w:ascii="Palatino Linotype" w:eastAsia="Batang" w:hAnsi="Palatino Linotype" w:cs="Tahoma"/>
          <w:bCs/>
          <w:szCs w:val="22"/>
          <w:lang w:val="es-ES_tradnl"/>
        </w:rPr>
        <w:t>la Titular de la Unidad de Transparencia, le comunica al Comisionado Ponente lo siguiente:</w:t>
      </w:r>
    </w:p>
    <w:p w14:paraId="18C1C8DC" w14:textId="77777777" w:rsidR="006B540E" w:rsidRPr="006B540E" w:rsidRDefault="006B540E" w:rsidP="006B540E">
      <w:pPr>
        <w:spacing w:line="360" w:lineRule="auto"/>
        <w:jc w:val="both"/>
        <w:rPr>
          <w:rFonts w:ascii="Palatino Linotype" w:eastAsia="Batang" w:hAnsi="Palatino Linotype" w:cs="Tahoma"/>
          <w:b/>
          <w:szCs w:val="22"/>
          <w:lang w:val="es-ES_tradnl"/>
        </w:rPr>
      </w:pPr>
    </w:p>
    <w:p w14:paraId="0488179F"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KAREN MARTÍNEZ PEREGRINO, por mi propio derecho y en mi carácter de Titular de la Unidad de Transparencia, del H. Ayuntamiento de Teoloyucan , Estado de México, con fundamento en los artículos 176, 179, 185, 191 y 195 de la Ley de Transparencia y Acceso a la Información Pública del Estado de México y Municipios y en términos del Acuerdo de Admisión del Recurso de Revisión 00811/INFOEM/IP/RR/2022, fechado el diecisiete de febrero de dos mil veintidós, por medio del presente escrito se rinde en forma el informe justificado que en derecho corresponde, en los siguientes términos:</w:t>
      </w:r>
    </w:p>
    <w:p w14:paraId="73FEEDC6"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15F4BBEB" w14:textId="29070BC2" w:rsidR="00471C1B" w:rsidRPr="00471C1B" w:rsidRDefault="00386796"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Pr>
          <w:rFonts w:ascii="Palatino Linotype" w:hAnsi="Palatino Linotype" w:cs="Tahoma"/>
          <w:i/>
          <w:iCs/>
          <w:sz w:val="20"/>
          <w:szCs w:val="20"/>
        </w:rPr>
        <w:t xml:space="preserve">I. </w:t>
      </w:r>
      <w:r w:rsidR="00471C1B" w:rsidRPr="00471C1B">
        <w:rPr>
          <w:rFonts w:ascii="Palatino Linotype" w:hAnsi="Palatino Linotype" w:cs="Tahoma"/>
          <w:i/>
          <w:iCs/>
          <w:sz w:val="20"/>
          <w:szCs w:val="20"/>
        </w:rPr>
        <w:t>CONFIRMACIÓN DE LA RESPUESTA</w:t>
      </w:r>
    </w:p>
    <w:p w14:paraId="0B168E05"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Cabe señalar que el recurrente al momento de interponer su recurso de recurso de revisión hizo valer como acto impugnado lo siguiente:</w:t>
      </w:r>
    </w:p>
    <w:p w14:paraId="7B531C52"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3E727312"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“ACTO IMPUGNADO</w:t>
      </w:r>
    </w:p>
    <w:p w14:paraId="10979592"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lastRenderedPageBreak/>
        <w:t>EL AYUNTAMIENTO DE TEOLOYUCAN SE BOFA DE LA TRANSAPRENCIA Y NO QUIERE DAR RESPUESTAS</w:t>
      </w:r>
    </w:p>
    <w:p w14:paraId="2251C1A8"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357F05AD"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RAZONES O MOTIVOS DE LA INCONFORMIDAD</w:t>
      </w:r>
    </w:p>
    <w:p w14:paraId="39ABA807"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EL AYUNTAMIENTO DE TEOLOYUCAN SE BOFA DE LA TRANSAPRENCIA Y NO QUIERE DAR RESPUESTAS”</w:t>
      </w:r>
    </w:p>
    <w:p w14:paraId="0959E53F"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8BC470D"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INFORMACIÓN SOLICITADA</w:t>
      </w:r>
    </w:p>
    <w:p w14:paraId="47933AC7"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Para efecto de justificar la fundamentación y motivación de la respuesta, resulta importante recordar cuál fue la solicitud original, por lo que a continuación se trascribe:</w:t>
      </w:r>
    </w:p>
    <w:p w14:paraId="788DBB24"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“solicito la documentacion de los limites territoriales en version publica” (sic)</w:t>
      </w:r>
    </w:p>
    <w:p w14:paraId="50857F60" w14:textId="1D0994AC" w:rsidR="006B540E" w:rsidRPr="00471C1B" w:rsidRDefault="006B540E"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926B505"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RESPUESTA OTORGADA</w:t>
      </w:r>
    </w:p>
    <w:p w14:paraId="11C91118"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La Unidad de Transparencia, con fundamento en el artículo 162 de la Ley de Transparencia local, turno la solicitud a la Dirección de Desarrollo Urbano.</w:t>
      </w:r>
    </w:p>
    <w:p w14:paraId="747C5045" w14:textId="7777777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 xml:space="preserve">Cabe señalar que el veintiuno de febrero de dos mil veintidós en la Unidad de Transparencia se recibió el oficio DU/DG/067/2022 suscrito por el director de Desarrollo Urbano el cual nos informa que anexa la información requerida, motivo por el cual en este acto se notifica la respuesta brindada que se acompaña al presente como anexo único. </w:t>
      </w:r>
    </w:p>
    <w:p w14:paraId="602063BF" w14:textId="4AC34707" w:rsidR="00471C1B" w:rsidRPr="00471C1B" w:rsidRDefault="00471C1B" w:rsidP="00471C1B">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471C1B">
        <w:rPr>
          <w:rFonts w:ascii="Palatino Linotype" w:hAnsi="Palatino Linotype" w:cs="Tahoma"/>
          <w:i/>
          <w:iCs/>
          <w:sz w:val="20"/>
          <w:szCs w:val="20"/>
        </w:rPr>
        <w:t>Por lo anterior se toma en consideración que se entrega la información y se solicita respetuosamente a este órgano garante se sobreseer el presente recurso de revisión en virtud que ha quedado sin materia.</w:t>
      </w:r>
    </w:p>
    <w:p w14:paraId="48446FF6" w14:textId="77777777" w:rsidR="00471C1B" w:rsidRPr="006B540E" w:rsidRDefault="00471C1B" w:rsidP="006D3EC0">
      <w:pPr>
        <w:spacing w:line="360" w:lineRule="auto"/>
        <w:jc w:val="both"/>
        <w:rPr>
          <w:rFonts w:ascii="Palatino Linotype" w:eastAsia="Batang" w:hAnsi="Palatino Linotype" w:cs="Tahoma"/>
          <w:bCs/>
          <w:sz w:val="22"/>
          <w:szCs w:val="22"/>
          <w:lang w:val="es-ES_tradnl"/>
        </w:rPr>
      </w:pPr>
    </w:p>
    <w:p w14:paraId="0AD01B65" w14:textId="5CCFA448" w:rsidR="006B540E" w:rsidRPr="00844DE7" w:rsidRDefault="006B540E" w:rsidP="006B540E">
      <w:pPr>
        <w:pStyle w:val="Prrafodelista"/>
        <w:numPr>
          <w:ilvl w:val="0"/>
          <w:numId w:val="36"/>
        </w:numPr>
        <w:spacing w:line="360" w:lineRule="auto"/>
        <w:jc w:val="both"/>
        <w:rPr>
          <w:rFonts w:ascii="Palatino Linotype" w:eastAsia="Batang" w:hAnsi="Palatino Linotype" w:cs="Tahoma"/>
          <w:b/>
          <w:szCs w:val="22"/>
          <w:lang w:val="es-ES_tradnl"/>
        </w:rPr>
      </w:pPr>
      <w:r w:rsidRPr="006B540E">
        <w:rPr>
          <w:rFonts w:ascii="Palatino Linotype" w:eastAsia="Batang" w:hAnsi="Palatino Linotype" w:cs="Tahoma"/>
          <w:b/>
          <w:szCs w:val="22"/>
          <w:lang w:val="es-ES_tradnl"/>
        </w:rPr>
        <w:t>Desarrollo Urbano 067.pdf</w:t>
      </w:r>
      <w:r w:rsidR="00386796">
        <w:rPr>
          <w:rFonts w:ascii="Palatino Linotype" w:eastAsia="Batang" w:hAnsi="Palatino Linotype" w:cs="Tahoma"/>
          <w:b/>
          <w:szCs w:val="22"/>
          <w:lang w:val="es-ES_tradnl"/>
        </w:rPr>
        <w:t xml:space="preserve">. </w:t>
      </w:r>
      <w:r w:rsidR="00386796" w:rsidRPr="00386796">
        <w:rPr>
          <w:rFonts w:ascii="Palatino Linotype" w:eastAsia="Batang" w:hAnsi="Palatino Linotype" w:cs="Tahoma"/>
          <w:bCs/>
          <w:szCs w:val="22"/>
          <w:lang w:val="es-ES_tradnl"/>
        </w:rPr>
        <w:t>Documento de una foja</w:t>
      </w:r>
      <w:r w:rsidR="00844DE7">
        <w:rPr>
          <w:rFonts w:ascii="Palatino Linotype" w:eastAsia="Batang" w:hAnsi="Palatino Linotype" w:cs="Tahoma"/>
          <w:bCs/>
          <w:szCs w:val="22"/>
          <w:lang w:val="es-ES_tradnl"/>
        </w:rPr>
        <w:t xml:space="preserve"> que contiene el oficio DU/DG/067/2022, por el que el Director de Desarrollo Urbano, remitió a la </w:t>
      </w:r>
      <w:r w:rsidR="00605816">
        <w:rPr>
          <w:rFonts w:ascii="Palatino Linotype" w:eastAsia="Batang" w:hAnsi="Palatino Linotype" w:cs="Tahoma"/>
          <w:bCs/>
          <w:szCs w:val="22"/>
          <w:lang w:val="es-ES_tradnl"/>
        </w:rPr>
        <w:t>T</w:t>
      </w:r>
      <w:r w:rsidR="00844DE7">
        <w:rPr>
          <w:rFonts w:ascii="Palatino Linotype" w:eastAsia="Batang" w:hAnsi="Palatino Linotype" w:cs="Tahoma"/>
          <w:bCs/>
          <w:szCs w:val="22"/>
          <w:lang w:val="es-ES_tradnl"/>
        </w:rPr>
        <w:t>itular de la Unidad de Transparencia la información que le fue requerida, en los siguientes términos:</w:t>
      </w:r>
    </w:p>
    <w:p w14:paraId="3DFBD62E" w14:textId="15A521C5" w:rsidR="00844DE7" w:rsidRPr="00844DE7" w:rsidRDefault="00844DE7" w:rsidP="00844DE7">
      <w:pPr>
        <w:spacing w:line="360" w:lineRule="auto"/>
        <w:jc w:val="both"/>
        <w:rPr>
          <w:rFonts w:ascii="Palatino Linotype" w:eastAsia="Batang" w:hAnsi="Palatino Linotype" w:cs="Tahoma"/>
          <w:b/>
          <w:szCs w:val="22"/>
          <w:lang w:val="es-ES_tradnl"/>
        </w:rPr>
      </w:pPr>
      <w:r>
        <w:rPr>
          <w:noProof/>
          <w:lang w:eastAsia="es-MX"/>
        </w:rPr>
        <w:lastRenderedPageBreak/>
        <w:drawing>
          <wp:inline distT="0" distB="0" distL="0" distR="0" wp14:anchorId="7B0D31EB" wp14:editId="6205B094">
            <wp:extent cx="5753100" cy="6581216"/>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8"/>
                    <a:srcRect l="13008" t="11712" b="21358"/>
                    <a:stretch/>
                  </pic:blipFill>
                  <pic:spPr bwMode="auto">
                    <a:xfrm>
                      <a:off x="0" y="0"/>
                      <a:ext cx="5755633" cy="6584114"/>
                    </a:xfrm>
                    <a:prstGeom prst="rect">
                      <a:avLst/>
                    </a:prstGeom>
                    <a:ln>
                      <a:noFill/>
                    </a:ln>
                    <a:extLst>
                      <a:ext uri="{53640926-AAD7-44D8-BBD7-CCE9431645EC}">
                        <a14:shadowObscured xmlns:a14="http://schemas.microsoft.com/office/drawing/2010/main"/>
                      </a:ext>
                    </a:extLst>
                  </pic:spPr>
                </pic:pic>
              </a:graphicData>
            </a:graphic>
          </wp:inline>
        </w:drawing>
      </w:r>
    </w:p>
    <w:p w14:paraId="5F72B5CF" w14:textId="77777777" w:rsidR="00844DE7" w:rsidRPr="00BB5277" w:rsidRDefault="00844DE7" w:rsidP="006D3EC0">
      <w:pPr>
        <w:spacing w:line="360" w:lineRule="auto"/>
        <w:jc w:val="both"/>
        <w:rPr>
          <w:rFonts w:ascii="Palatino Linotype" w:eastAsia="Batang" w:hAnsi="Palatino Linotype" w:cs="Tahoma"/>
          <w:b/>
          <w:sz w:val="22"/>
          <w:szCs w:val="22"/>
        </w:rPr>
      </w:pPr>
    </w:p>
    <w:p w14:paraId="19CE7D7D" w14:textId="77777777" w:rsidR="0056143F" w:rsidRPr="00BB5277" w:rsidRDefault="0056143F" w:rsidP="006D3EC0">
      <w:pPr>
        <w:tabs>
          <w:tab w:val="center" w:pos="4522"/>
        </w:tabs>
        <w:spacing w:line="360" w:lineRule="auto"/>
        <w:contextualSpacing/>
        <w:jc w:val="both"/>
        <w:rPr>
          <w:rFonts w:ascii="Palatino Linotype" w:hAnsi="Palatino Linotype" w:cs="Tahoma"/>
          <w:b/>
          <w:bCs/>
          <w:iCs/>
          <w:sz w:val="22"/>
          <w:szCs w:val="22"/>
        </w:rPr>
      </w:pPr>
      <w:r w:rsidRPr="00BB5277">
        <w:rPr>
          <w:rFonts w:ascii="Palatino Linotype" w:hAnsi="Palatino Linotype" w:cs="Tahoma"/>
          <w:b/>
          <w:bCs/>
          <w:iCs/>
          <w:sz w:val="22"/>
          <w:szCs w:val="22"/>
        </w:rPr>
        <w:t>e) Ampliación del plazo.</w:t>
      </w:r>
    </w:p>
    <w:p w14:paraId="1759FC85" w14:textId="5626C992" w:rsidR="0056143F" w:rsidRPr="00BB5277" w:rsidRDefault="0056143F" w:rsidP="006D3EC0">
      <w:pPr>
        <w:spacing w:line="360" w:lineRule="auto"/>
        <w:contextualSpacing/>
        <w:jc w:val="both"/>
        <w:rPr>
          <w:rFonts w:ascii="Palatino Linotype" w:hAnsi="Palatino Linotype" w:cs="Tahoma"/>
          <w:sz w:val="22"/>
          <w:szCs w:val="22"/>
        </w:rPr>
      </w:pPr>
      <w:r w:rsidRPr="00BB5277">
        <w:rPr>
          <w:rFonts w:ascii="Palatino Linotype" w:hAnsi="Palatino Linotype" w:cs="Tahoma"/>
          <w:sz w:val="22"/>
          <w:szCs w:val="22"/>
        </w:rPr>
        <w:lastRenderedPageBreak/>
        <w:t xml:space="preserve">El </w:t>
      </w:r>
      <w:r w:rsidR="006B540E">
        <w:rPr>
          <w:rFonts w:ascii="Palatino Linotype" w:hAnsi="Palatino Linotype" w:cs="Tahoma"/>
          <w:sz w:val="22"/>
          <w:szCs w:val="22"/>
        </w:rPr>
        <w:t>seis</w:t>
      </w:r>
      <w:r w:rsidR="009E5509" w:rsidRPr="00BB5277">
        <w:rPr>
          <w:rFonts w:ascii="Palatino Linotype" w:hAnsi="Palatino Linotype" w:cs="Tahoma"/>
          <w:sz w:val="22"/>
          <w:szCs w:val="22"/>
        </w:rPr>
        <w:t xml:space="preserve"> de abril</w:t>
      </w:r>
      <w:r w:rsidRPr="00BB5277">
        <w:rPr>
          <w:rFonts w:ascii="Palatino Linotype"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w:t>
      </w:r>
      <w:r w:rsidRPr="00BB5277">
        <w:rPr>
          <w:rFonts w:ascii="Palatino Linotype" w:hAnsi="Palatino Linotype" w:cs="Tahoma"/>
          <w:bCs/>
          <w:sz w:val="22"/>
          <w:szCs w:val="22"/>
        </w:rPr>
        <w:t>por un periodo quince días</w:t>
      </w:r>
      <w:r w:rsidRPr="00BB5277">
        <w:rPr>
          <w:rFonts w:ascii="Palatino Linotype" w:hAnsi="Palatino Linotype" w:cs="Tahoma"/>
          <w:sz w:val="22"/>
          <w:szCs w:val="22"/>
        </w:rPr>
        <w:t>, el plazo para resolver los Recursos de Revisión que nos ocupan; acto que fue notificado a las partes cuatro de abril de la misma anualidad, a través del Sistema de Acceso a la Información Mexiquense (SAIMEX).</w:t>
      </w:r>
    </w:p>
    <w:p w14:paraId="72393EB9" w14:textId="77777777" w:rsidR="0056143F" w:rsidRPr="00BB5277" w:rsidRDefault="0056143F" w:rsidP="006D3EC0">
      <w:pPr>
        <w:spacing w:line="360" w:lineRule="auto"/>
        <w:jc w:val="both"/>
        <w:rPr>
          <w:rFonts w:ascii="Palatino Linotype" w:eastAsia="Batang" w:hAnsi="Palatino Linotype" w:cs="Tahoma"/>
          <w:b/>
          <w:sz w:val="22"/>
          <w:szCs w:val="22"/>
        </w:rPr>
      </w:pPr>
    </w:p>
    <w:p w14:paraId="19283931" w14:textId="77777777" w:rsidR="0056143F" w:rsidRPr="00BB5277" w:rsidRDefault="0056143F" w:rsidP="006D3EC0">
      <w:pPr>
        <w:spacing w:line="360" w:lineRule="auto"/>
        <w:jc w:val="both"/>
        <w:rPr>
          <w:rFonts w:ascii="Palatino Linotype" w:hAnsi="Palatino Linotype" w:cs="Tahoma"/>
          <w:b/>
          <w:sz w:val="22"/>
          <w:szCs w:val="22"/>
        </w:rPr>
      </w:pPr>
      <w:r w:rsidRPr="00BB5277">
        <w:rPr>
          <w:rFonts w:ascii="Palatino Linotype" w:hAnsi="Palatino Linotype" w:cs="Tahoma"/>
          <w:b/>
          <w:sz w:val="22"/>
          <w:szCs w:val="22"/>
        </w:rPr>
        <w:t xml:space="preserve">f) Cierre de instrucción. </w:t>
      </w:r>
    </w:p>
    <w:p w14:paraId="3726DB8D" w14:textId="77777777" w:rsidR="0056143F" w:rsidRPr="00BB5277" w:rsidRDefault="0056143F" w:rsidP="006D3EC0">
      <w:pPr>
        <w:spacing w:line="360" w:lineRule="auto"/>
        <w:jc w:val="both"/>
        <w:rPr>
          <w:rFonts w:ascii="Palatino Linotype" w:hAnsi="Palatino Linotype" w:cs="Tahoma"/>
          <w:b/>
          <w:sz w:val="22"/>
          <w:szCs w:val="22"/>
        </w:rPr>
      </w:pPr>
    </w:p>
    <w:p w14:paraId="68C18663" w14:textId="5975C152" w:rsidR="0056143F" w:rsidRDefault="0056143F" w:rsidP="006D3EC0">
      <w:pPr>
        <w:spacing w:line="360" w:lineRule="auto"/>
        <w:contextualSpacing/>
        <w:jc w:val="both"/>
        <w:rPr>
          <w:rFonts w:ascii="Palatino Linotype" w:hAnsi="Palatino Linotype" w:cs="Tahoma"/>
          <w:sz w:val="22"/>
          <w:szCs w:val="22"/>
        </w:rPr>
      </w:pPr>
      <w:r w:rsidRPr="00BB5277">
        <w:rPr>
          <w:rFonts w:ascii="Palatino Linotype" w:hAnsi="Palatino Linotype" w:cs="Tahoma"/>
          <w:sz w:val="22"/>
          <w:szCs w:val="22"/>
        </w:rPr>
        <w:t xml:space="preserve">El </w:t>
      </w:r>
      <w:r w:rsidR="006B540E">
        <w:rPr>
          <w:rFonts w:ascii="Palatino Linotype" w:hAnsi="Palatino Linotype" w:cs="Tahoma"/>
          <w:sz w:val="22"/>
          <w:szCs w:val="22"/>
          <w:lang w:val="es-ES"/>
        </w:rPr>
        <w:t>veinticinco</w:t>
      </w:r>
      <w:r w:rsidRPr="00BB5277">
        <w:rPr>
          <w:rFonts w:ascii="Palatino Linotype" w:hAnsi="Palatino Linotype" w:cs="Tahoma"/>
          <w:sz w:val="22"/>
          <w:szCs w:val="22"/>
          <w:lang w:val="es-ES"/>
        </w:rPr>
        <w:t xml:space="preserve"> de abril del dos mil veintidós</w:t>
      </w:r>
      <w:r w:rsidRPr="00BB5277">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BB5277">
        <w:rPr>
          <w:rFonts w:ascii="Palatino Linotype" w:hAnsi="Palatino Linotype" w:cs="Tahoma"/>
          <w:sz w:val="22"/>
          <w:szCs w:val="22"/>
          <w:lang w:val="es-ES"/>
        </w:rPr>
        <w:t>Sistema de Acceso a la Información Mexiquense (SAIMEX)</w:t>
      </w:r>
      <w:r w:rsidRPr="00BB5277">
        <w:rPr>
          <w:rFonts w:ascii="Palatino Linotype" w:hAnsi="Palatino Linotype" w:cs="Tahoma"/>
          <w:sz w:val="22"/>
          <w:szCs w:val="22"/>
        </w:rPr>
        <w:t xml:space="preserve">. </w:t>
      </w:r>
    </w:p>
    <w:p w14:paraId="15865037" w14:textId="77777777" w:rsidR="00472944" w:rsidRPr="00BB5277" w:rsidRDefault="00472944" w:rsidP="006D3EC0">
      <w:pPr>
        <w:spacing w:line="360" w:lineRule="auto"/>
        <w:contextualSpacing/>
        <w:jc w:val="both"/>
        <w:rPr>
          <w:rFonts w:ascii="Palatino Linotype" w:hAnsi="Palatino Linotype" w:cs="Tahoma"/>
          <w:sz w:val="22"/>
          <w:szCs w:val="22"/>
          <w:lang w:val="es-ES"/>
        </w:rPr>
      </w:pPr>
    </w:p>
    <w:p w14:paraId="7E6719AD" w14:textId="77777777" w:rsidR="00BB5277" w:rsidRPr="00BB5277" w:rsidRDefault="00BB5277" w:rsidP="006D3EC0">
      <w:pPr>
        <w:tabs>
          <w:tab w:val="left" w:pos="4667"/>
        </w:tabs>
        <w:spacing w:line="360" w:lineRule="auto"/>
        <w:contextualSpacing/>
        <w:jc w:val="center"/>
        <w:rPr>
          <w:rFonts w:ascii="Palatino Linotype" w:hAnsi="Palatino Linotype" w:cs="Tahoma"/>
          <w:b/>
          <w:iCs/>
          <w:sz w:val="22"/>
          <w:szCs w:val="22"/>
        </w:rPr>
      </w:pPr>
      <w:r w:rsidRPr="00BB5277">
        <w:rPr>
          <w:rFonts w:ascii="Palatino Linotype" w:hAnsi="Palatino Linotype" w:cs="Tahoma"/>
          <w:b/>
          <w:iCs/>
          <w:sz w:val="22"/>
          <w:szCs w:val="22"/>
        </w:rPr>
        <w:t>C O N S I D E R A N D O S</w:t>
      </w:r>
    </w:p>
    <w:p w14:paraId="54510D4A" w14:textId="77777777" w:rsidR="00BB5277" w:rsidRPr="00BB5277" w:rsidRDefault="00BB5277" w:rsidP="006D3EC0">
      <w:pPr>
        <w:tabs>
          <w:tab w:val="left" w:pos="4667"/>
        </w:tabs>
        <w:spacing w:line="360" w:lineRule="auto"/>
        <w:contextualSpacing/>
        <w:rPr>
          <w:rFonts w:ascii="Palatino Linotype" w:hAnsi="Palatino Linotype" w:cs="Tahoma"/>
          <w:b/>
          <w:iCs/>
          <w:sz w:val="22"/>
          <w:szCs w:val="22"/>
        </w:rPr>
      </w:pPr>
    </w:p>
    <w:p w14:paraId="4477AB12" w14:textId="77777777" w:rsidR="00BB5277" w:rsidRPr="00BB5277" w:rsidRDefault="00BB5277" w:rsidP="006D3EC0">
      <w:pPr>
        <w:tabs>
          <w:tab w:val="left" w:pos="4667"/>
        </w:tabs>
        <w:spacing w:line="360" w:lineRule="auto"/>
        <w:contextualSpacing/>
        <w:jc w:val="both"/>
        <w:rPr>
          <w:rFonts w:ascii="Palatino Linotype" w:hAnsi="Palatino Linotype" w:cs="Tahoma"/>
          <w:bCs/>
          <w:iCs/>
          <w:sz w:val="22"/>
          <w:szCs w:val="22"/>
        </w:rPr>
      </w:pPr>
      <w:r w:rsidRPr="00BB5277">
        <w:rPr>
          <w:rFonts w:ascii="Palatino Linotype" w:hAnsi="Palatino Linotype" w:cs="Tahoma"/>
          <w:b/>
          <w:iCs/>
          <w:sz w:val="22"/>
          <w:szCs w:val="22"/>
        </w:rPr>
        <w:t>PRIMERO. Competencia.</w:t>
      </w:r>
      <w:r w:rsidRPr="00BB5277">
        <w:rPr>
          <w:rFonts w:ascii="Palatino Linotype" w:hAnsi="Palatino Linotype" w:cs="Tahoma"/>
          <w:bCs/>
          <w:iCs/>
          <w:sz w:val="22"/>
          <w:szCs w:val="22"/>
        </w:rPr>
        <w:t xml:space="preserve"> </w:t>
      </w:r>
    </w:p>
    <w:p w14:paraId="3DEAAD8D" w14:textId="77777777" w:rsidR="00BB5277" w:rsidRPr="00BB5277" w:rsidRDefault="00BB5277" w:rsidP="006D3EC0">
      <w:pPr>
        <w:tabs>
          <w:tab w:val="left" w:pos="4667"/>
        </w:tabs>
        <w:spacing w:line="360" w:lineRule="auto"/>
        <w:contextualSpacing/>
        <w:jc w:val="both"/>
        <w:rPr>
          <w:rFonts w:ascii="Palatino Linotype" w:hAnsi="Palatino Linotype" w:cs="Tahoma"/>
          <w:bCs/>
          <w:iCs/>
          <w:sz w:val="22"/>
          <w:szCs w:val="22"/>
        </w:rPr>
      </w:pPr>
    </w:p>
    <w:p w14:paraId="6F10D628" w14:textId="77777777" w:rsidR="00BB5277" w:rsidRPr="00BB5277" w:rsidRDefault="00BB5277" w:rsidP="006D3EC0">
      <w:pPr>
        <w:tabs>
          <w:tab w:val="left" w:pos="4667"/>
        </w:tabs>
        <w:spacing w:line="360" w:lineRule="auto"/>
        <w:contextualSpacing/>
        <w:jc w:val="both"/>
        <w:rPr>
          <w:rFonts w:ascii="Palatino Linotype" w:hAnsi="Palatino Linotype" w:cs="Tahoma"/>
          <w:bCs/>
          <w:iCs/>
          <w:sz w:val="22"/>
          <w:szCs w:val="22"/>
        </w:rPr>
      </w:pPr>
      <w:r w:rsidRPr="00BB5277">
        <w:rPr>
          <w:rFonts w:ascii="Palatino Linotype" w:hAnsi="Palatino Linotype" w:cs="Tahoma"/>
          <w:bCs/>
          <w:i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w:t>
      </w:r>
      <w:r w:rsidRPr="00BB5277">
        <w:rPr>
          <w:rFonts w:ascii="Palatino Linotype" w:hAnsi="Palatino Linotype" w:cs="Tahoma"/>
          <w:bCs/>
          <w:iCs/>
          <w:sz w:val="22"/>
          <w:szCs w:val="22"/>
        </w:rPr>
        <w:lastRenderedPageBreak/>
        <w:t xml:space="preserve">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73F4B7DC" w14:textId="77777777" w:rsidR="00BB5277" w:rsidRPr="00BB5277" w:rsidRDefault="00BB5277" w:rsidP="006D3EC0">
      <w:pPr>
        <w:tabs>
          <w:tab w:val="left" w:pos="4667"/>
        </w:tabs>
        <w:spacing w:line="360" w:lineRule="auto"/>
        <w:contextualSpacing/>
        <w:jc w:val="both"/>
        <w:rPr>
          <w:rFonts w:ascii="Palatino Linotype" w:hAnsi="Palatino Linotype" w:cs="Tahoma"/>
          <w:b/>
          <w:iCs/>
          <w:sz w:val="22"/>
          <w:szCs w:val="22"/>
        </w:rPr>
      </w:pPr>
    </w:p>
    <w:p w14:paraId="52766DBC" w14:textId="77777777" w:rsidR="0004764C" w:rsidRPr="0004764C" w:rsidRDefault="0004764C" w:rsidP="0004764C">
      <w:pPr>
        <w:autoSpaceDE w:val="0"/>
        <w:autoSpaceDN w:val="0"/>
        <w:adjustRightInd w:val="0"/>
        <w:spacing w:line="360" w:lineRule="auto"/>
        <w:jc w:val="both"/>
        <w:rPr>
          <w:rFonts w:ascii="Palatino Linotype" w:hAnsi="Palatino Linotype" w:cs="Tahoma"/>
          <w:sz w:val="22"/>
          <w:szCs w:val="22"/>
          <w:lang w:val="es-ES"/>
        </w:rPr>
      </w:pPr>
      <w:r w:rsidRPr="0004764C">
        <w:rPr>
          <w:rFonts w:ascii="Palatino Linotype" w:eastAsia="Calibri" w:hAnsi="Palatino Linotype" w:cs="Tahoma"/>
          <w:b/>
          <w:color w:val="000000"/>
          <w:sz w:val="22"/>
          <w:szCs w:val="22"/>
          <w:lang w:val="es-ES" w:eastAsia="es-MX"/>
        </w:rPr>
        <w:t>SEGUNDO</w:t>
      </w:r>
      <w:r w:rsidRPr="0004764C">
        <w:rPr>
          <w:rFonts w:ascii="Palatino Linotype" w:eastAsia="Calibri" w:hAnsi="Palatino Linotype" w:cs="Tahoma"/>
          <w:color w:val="000000"/>
          <w:sz w:val="22"/>
          <w:szCs w:val="22"/>
          <w:lang w:val="es-ES" w:eastAsia="es-MX"/>
        </w:rPr>
        <w:t xml:space="preserve">. </w:t>
      </w:r>
      <w:r w:rsidRPr="0004764C">
        <w:rPr>
          <w:rFonts w:ascii="Palatino Linotype" w:hAnsi="Palatino Linotype" w:cs="Tahoma"/>
          <w:b/>
          <w:sz w:val="22"/>
          <w:szCs w:val="22"/>
          <w:lang w:val="es-ES"/>
        </w:rPr>
        <w:t xml:space="preserve">Causales de improcedencia </w:t>
      </w:r>
    </w:p>
    <w:p w14:paraId="245CACA0" w14:textId="77777777" w:rsidR="0004764C" w:rsidRPr="0004764C" w:rsidRDefault="0004764C" w:rsidP="0004764C">
      <w:pPr>
        <w:autoSpaceDE w:val="0"/>
        <w:autoSpaceDN w:val="0"/>
        <w:adjustRightInd w:val="0"/>
        <w:spacing w:line="360" w:lineRule="auto"/>
        <w:jc w:val="both"/>
        <w:rPr>
          <w:rFonts w:ascii="Palatino Linotype" w:hAnsi="Palatino Linotype" w:cs="Tahoma"/>
          <w:sz w:val="22"/>
          <w:szCs w:val="22"/>
          <w:lang w:val="es-ES"/>
        </w:rPr>
      </w:pPr>
    </w:p>
    <w:p w14:paraId="12573C1C"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04764C">
        <w:rPr>
          <w:rFonts w:ascii="Palatino Linotype" w:eastAsia="Calibri" w:hAnsi="Palatino Linotype" w:cs="Tahoma"/>
          <w:color w:val="000000"/>
          <w:sz w:val="22"/>
          <w:szCs w:val="22"/>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4764C">
        <w:rPr>
          <w:rFonts w:ascii="Palatino Linotype" w:eastAsia="Calibri" w:hAnsi="Palatino Linotype" w:cs="Tahoma"/>
          <w:b/>
          <w:bCs/>
          <w:color w:val="000000"/>
          <w:sz w:val="22"/>
          <w:szCs w:val="22"/>
          <w:lang w:eastAsia="es-MX"/>
        </w:rPr>
        <w:t xml:space="preserve"> </w:t>
      </w:r>
      <w:r w:rsidRPr="0004764C">
        <w:rPr>
          <w:rFonts w:ascii="Palatino Linotype" w:eastAsia="Calibri" w:hAnsi="Palatino Linotype" w:cs="Tahoma"/>
          <w:color w:val="000000"/>
          <w:sz w:val="22"/>
          <w:szCs w:val="22"/>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7A9CAAD"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D113C9"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4764C">
        <w:rPr>
          <w:rFonts w:ascii="Palatino Linotype" w:eastAsia="Calibri" w:hAnsi="Palatino Linotype" w:cs="Tahoma"/>
          <w:color w:val="000000"/>
          <w:sz w:val="22"/>
          <w:szCs w:val="22"/>
          <w:lang w:eastAsia="es-MX"/>
        </w:rPr>
        <w:t xml:space="preserve">En el presente caso, </w:t>
      </w:r>
      <w:r w:rsidRPr="0004764C">
        <w:rPr>
          <w:rFonts w:ascii="Palatino Linotype" w:eastAsia="Calibri" w:hAnsi="Palatino Linotype" w:cs="Tahoma"/>
          <w:b/>
          <w:color w:val="000000"/>
          <w:sz w:val="22"/>
          <w:szCs w:val="22"/>
          <w:lang w:eastAsia="es-MX"/>
        </w:rPr>
        <w:t>no se actualiza ninguna de las causales de improcedencia</w:t>
      </w:r>
      <w:r w:rsidRPr="0004764C">
        <w:rPr>
          <w:rFonts w:ascii="Palatino Linotype" w:eastAsia="Calibri" w:hAnsi="Palatino Linotype" w:cs="Tahoma"/>
          <w:color w:val="000000"/>
          <w:sz w:val="22"/>
          <w:szCs w:val="22"/>
          <w:lang w:eastAsia="es-MX"/>
        </w:rPr>
        <w:t xml:space="preserve"> establecidas en el ordenamiento jurídico previamente señalado, toda vez que este Instituto no tiene </w:t>
      </w:r>
      <w:r w:rsidRPr="0004764C">
        <w:rPr>
          <w:rFonts w:ascii="Palatino Linotype" w:eastAsia="Calibri" w:hAnsi="Palatino Linotype" w:cs="Tahoma"/>
          <w:color w:val="000000"/>
          <w:sz w:val="22"/>
          <w:szCs w:val="22"/>
          <w:lang w:eastAsia="es-MX"/>
        </w:rPr>
        <w:lastRenderedPageBreak/>
        <w:t>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AF0BDB0" w14:textId="77777777" w:rsidR="0004764C" w:rsidRPr="0004764C" w:rsidRDefault="0004764C" w:rsidP="0004764C">
      <w:pPr>
        <w:spacing w:line="360" w:lineRule="auto"/>
        <w:jc w:val="both"/>
        <w:rPr>
          <w:rFonts w:ascii="Palatino Linotype" w:hAnsi="Palatino Linotype" w:cs="Tahoma"/>
          <w:b/>
          <w:bCs/>
          <w:sz w:val="22"/>
          <w:szCs w:val="22"/>
        </w:rPr>
      </w:pPr>
    </w:p>
    <w:p w14:paraId="00AA0792"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04764C">
        <w:rPr>
          <w:rFonts w:ascii="Palatino Linotype" w:eastAsia="Calibri" w:hAnsi="Palatino Linotype" w:cs="Tahoma"/>
          <w:b/>
          <w:color w:val="000000"/>
          <w:sz w:val="22"/>
          <w:szCs w:val="22"/>
          <w:lang w:val="es-ES" w:eastAsia="es-MX"/>
        </w:rPr>
        <w:t xml:space="preserve">TERCERO. Causales de sobreseimiento. </w:t>
      </w:r>
    </w:p>
    <w:p w14:paraId="15F11E9E"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5E305E2D" w14:textId="77777777" w:rsidR="0004764C" w:rsidRPr="0004764C" w:rsidRDefault="0004764C" w:rsidP="0004764C">
      <w:pPr>
        <w:spacing w:line="360" w:lineRule="auto"/>
        <w:jc w:val="both"/>
        <w:rPr>
          <w:rFonts w:ascii="Palatino Linotype" w:hAnsi="Palatino Linotype" w:cs="Tahoma"/>
          <w:sz w:val="22"/>
          <w:szCs w:val="22"/>
        </w:rPr>
      </w:pPr>
      <w:r w:rsidRPr="0004764C">
        <w:rPr>
          <w:rFonts w:ascii="Palatino Linotype" w:hAnsi="Palatino Linotype" w:cs="Tahoma"/>
          <w:sz w:val="22"/>
          <w:szCs w:val="22"/>
        </w:rPr>
        <w:t>Por ser de previo y especial pronunciamiento, este Instituto analiza si se actualiza alguna causal de sobreseimiento.</w:t>
      </w:r>
    </w:p>
    <w:p w14:paraId="0099D455" w14:textId="77777777" w:rsidR="0004764C" w:rsidRPr="0004764C" w:rsidRDefault="0004764C" w:rsidP="0004764C">
      <w:pPr>
        <w:spacing w:line="360" w:lineRule="auto"/>
        <w:jc w:val="both"/>
        <w:rPr>
          <w:rFonts w:ascii="Palatino Linotype" w:hAnsi="Palatino Linotype" w:cs="Tahoma"/>
          <w:sz w:val="22"/>
          <w:szCs w:val="22"/>
        </w:rPr>
      </w:pPr>
    </w:p>
    <w:p w14:paraId="287372EF"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04764C">
        <w:rPr>
          <w:rFonts w:ascii="Palatino Linotype" w:hAnsi="Palatino Linotype" w:cs="Tahoma"/>
          <w:sz w:val="22"/>
          <w:szCs w:val="22"/>
        </w:rPr>
        <w:t xml:space="preserve">El artículo </w:t>
      </w:r>
      <w:r w:rsidRPr="0004764C">
        <w:rPr>
          <w:rFonts w:ascii="Palatino Linotype" w:eastAsia="Calibri" w:hAnsi="Palatino Linotype" w:cs="Tahoma"/>
          <w:bCs/>
          <w:color w:val="000000"/>
          <w:sz w:val="22"/>
          <w:szCs w:val="22"/>
          <w:lang w:eastAsia="es-MX"/>
        </w:rPr>
        <w:t>192, fracción III, de la Ley Transparencia y Acceso a la Información Pública del Estado de México y Municipios, contempla que el recurso será sobreseído, en todo o en parte, cuando el Sujeto Obligado, responsable del acto, lo modifique o revoque de tal manera que el recurso de revisión quede sin materia.</w:t>
      </w:r>
    </w:p>
    <w:p w14:paraId="700CFB30"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3D0D46E7"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04764C">
        <w:rPr>
          <w:rFonts w:ascii="Palatino Linotype" w:eastAsia="Calibri" w:hAnsi="Palatino Linotype" w:cs="Tahoma"/>
          <w:bCs/>
          <w:color w:val="000000"/>
          <w:sz w:val="22"/>
          <w:szCs w:val="22"/>
          <w:lang w:eastAsia="es-MX"/>
        </w:rPr>
        <w:t>Es por esto, que resulta indispensable analizar las actuaciones realizadas durante la sustanciación del Recurso para identificar si con la modificación del acto en informe justificado, dejó sin materia el presente asunto.</w:t>
      </w:r>
    </w:p>
    <w:p w14:paraId="4165E1B6" w14:textId="2981F927" w:rsid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4E57EA5A" w14:textId="238B2B0B" w:rsidR="004028DA" w:rsidRDefault="004028DA"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bCs/>
          <w:color w:val="000000"/>
          <w:sz w:val="22"/>
          <w:szCs w:val="22"/>
          <w:lang w:eastAsia="es-MX"/>
        </w:rPr>
        <w:t xml:space="preserve">El Particular, requirió en ejercicio de su derecho de acceder a la información gubernamental, </w:t>
      </w:r>
      <w:r w:rsidRPr="004028DA">
        <w:rPr>
          <w:rFonts w:ascii="Palatino Linotype" w:eastAsia="Calibri" w:hAnsi="Palatino Linotype" w:cs="Tahoma"/>
          <w:bCs/>
          <w:color w:val="000000"/>
          <w:sz w:val="22"/>
          <w:szCs w:val="22"/>
          <w:lang w:eastAsia="es-MX"/>
        </w:rPr>
        <w:t xml:space="preserve">la documentación de los límites territoriales </w:t>
      </w:r>
      <w:r>
        <w:rPr>
          <w:rFonts w:ascii="Palatino Linotype" w:eastAsia="Calibri" w:hAnsi="Palatino Linotype" w:cs="Tahoma"/>
          <w:bCs/>
          <w:color w:val="000000"/>
          <w:sz w:val="22"/>
          <w:szCs w:val="22"/>
          <w:lang w:eastAsia="es-MX"/>
        </w:rPr>
        <w:t>del Ayuntamiento de Teoloyucan, en su caso, en versión pública,</w:t>
      </w:r>
      <w:r w:rsidR="00E408D7">
        <w:rPr>
          <w:rFonts w:ascii="Palatino Linotype" w:eastAsia="Calibri" w:hAnsi="Palatino Linotype" w:cs="Tahoma"/>
          <w:bCs/>
          <w:color w:val="000000"/>
          <w:sz w:val="22"/>
          <w:szCs w:val="22"/>
          <w:lang w:eastAsia="es-MX"/>
        </w:rPr>
        <w:t xml:space="preserve"> a lo que el Sujeto Obligado no realizó pronunciamiento alguno ni emitió respuesta cuyo silencio, configuró una negativa ficta a la entrega de la información, lo que fue el motivo de inconformidad el Particular.</w:t>
      </w:r>
    </w:p>
    <w:p w14:paraId="2CFEFA1F" w14:textId="4CCE48C9" w:rsidR="00E408D7" w:rsidRDefault="00E408D7"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7292C028" w14:textId="58A89E06" w:rsidR="00E408D7" w:rsidRDefault="00E408D7"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bCs/>
          <w:color w:val="000000"/>
          <w:sz w:val="22"/>
          <w:szCs w:val="22"/>
          <w:lang w:eastAsia="es-MX"/>
        </w:rPr>
        <w:lastRenderedPageBreak/>
        <w:t>Es entonces que, una vez interpuesto el Recurso de Revisión, el Sujeto Obligado, entregó a través de Informe Justificado información que busca dar respuesta a la solicitud, en los siguientes términos:</w:t>
      </w:r>
    </w:p>
    <w:p w14:paraId="24145A6A" w14:textId="6DE6A0B5" w:rsidR="00E408D7" w:rsidRDefault="00E408D7" w:rsidP="00E408D7">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43B026DB" w14:textId="16E64535" w:rsidR="00E408D7" w:rsidRDefault="00E408D7" w:rsidP="00E408D7">
      <w:pPr>
        <w:pStyle w:val="Prrafodelista"/>
        <w:numPr>
          <w:ilvl w:val="0"/>
          <w:numId w:val="36"/>
        </w:numPr>
        <w:autoSpaceDE w:val="0"/>
        <w:autoSpaceDN w:val="0"/>
        <w:adjustRightInd w:val="0"/>
        <w:spacing w:line="360" w:lineRule="auto"/>
        <w:jc w:val="both"/>
        <w:rPr>
          <w:rFonts w:ascii="Palatino Linotype" w:eastAsia="Calibri" w:hAnsi="Palatino Linotype" w:cs="Tahoma"/>
          <w:bCs/>
          <w:color w:val="000000"/>
          <w:szCs w:val="22"/>
          <w:lang w:eastAsia="es-MX"/>
        </w:rPr>
      </w:pPr>
      <w:r w:rsidRPr="00E408D7">
        <w:rPr>
          <w:rFonts w:ascii="Palatino Linotype" w:eastAsia="Calibri" w:hAnsi="Palatino Linotype" w:cs="Tahoma"/>
          <w:bCs/>
          <w:color w:val="000000"/>
          <w:szCs w:val="22"/>
          <w:lang w:eastAsia="es-MX"/>
        </w:rPr>
        <w:t>En un primer lugar, respondió con fundamento en la Ley Orgánica Municipal y del Estado de México y del Bando Municipal del Ayuntamiento</w:t>
      </w:r>
      <w:r>
        <w:rPr>
          <w:rFonts w:ascii="Palatino Linotype" w:eastAsia="Calibri" w:hAnsi="Palatino Linotype" w:cs="Tahoma"/>
          <w:bCs/>
          <w:color w:val="000000"/>
          <w:szCs w:val="22"/>
          <w:lang w:eastAsia="es-MX"/>
        </w:rPr>
        <w:t xml:space="preserve"> y reprodujo </w:t>
      </w:r>
      <w:r w:rsidR="00130A22">
        <w:rPr>
          <w:rFonts w:ascii="Palatino Linotype" w:eastAsia="Calibri" w:hAnsi="Palatino Linotype" w:cs="Tahoma"/>
          <w:bCs/>
          <w:color w:val="000000"/>
          <w:szCs w:val="22"/>
          <w:lang w:eastAsia="es-MX"/>
        </w:rPr>
        <w:t>los artículos relacionados a los límites territoriales:</w:t>
      </w:r>
    </w:p>
    <w:p w14:paraId="6A7AF745" w14:textId="77777777" w:rsidR="00130A22" w:rsidRDefault="00130A22" w:rsidP="00130A22">
      <w:pPr>
        <w:pStyle w:val="Prrafodelista"/>
        <w:autoSpaceDE w:val="0"/>
        <w:autoSpaceDN w:val="0"/>
        <w:adjustRightInd w:val="0"/>
        <w:spacing w:line="360" w:lineRule="auto"/>
        <w:jc w:val="both"/>
        <w:rPr>
          <w:rFonts w:ascii="Palatino Linotype" w:eastAsia="Calibri" w:hAnsi="Palatino Linotype" w:cs="Tahoma"/>
          <w:bCs/>
          <w:color w:val="000000"/>
          <w:szCs w:val="22"/>
          <w:lang w:eastAsia="es-MX"/>
        </w:rPr>
      </w:pPr>
    </w:p>
    <w:p w14:paraId="7D427DF6" w14:textId="4F9B8B35" w:rsidR="00130A22" w:rsidRP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Ley Orgánica Municipal del Estado de México:</w:t>
      </w:r>
    </w:p>
    <w:p w14:paraId="6822B5F3" w14:textId="36817A28"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Artículo 8.- La división territorial de los municipios se integra por la cabecera municipal, y por las delegaciones, subdelegaciones, colonias, sectores y manzanas, con la denominación, extensión y límites que establezcan los ayuntamientos.</w:t>
      </w:r>
    </w:p>
    <w:p w14:paraId="2038243A" w14:textId="24D29ACA"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p>
    <w:p w14:paraId="3E89096E" w14:textId="72979EA6"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Pr>
          <w:rFonts w:ascii="Palatino Linotype" w:eastAsia="Calibri" w:hAnsi="Palatino Linotype" w:cs="Tahoma"/>
          <w:bCs/>
          <w:i/>
          <w:iCs/>
          <w:color w:val="000000"/>
          <w:sz w:val="20"/>
          <w:szCs w:val="20"/>
          <w:lang w:eastAsia="es-MX"/>
        </w:rPr>
        <w:t>Bando Municipal 2022 Gobierno de Teoloyucan</w:t>
      </w:r>
    </w:p>
    <w:p w14:paraId="2A09D084" w14:textId="77777777"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 xml:space="preserve">Artículo 13. El territorio del municipio de Teoloyucan ocupa una superficie total de 65.56 kilómetros cuadrados, comprendiendo las secciones electorales de la 4498 a la 4522 y teniendo las siguientes colindancias: </w:t>
      </w:r>
    </w:p>
    <w:p w14:paraId="7FAEC59F" w14:textId="68F21483"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 xml:space="preserve">I. Al norte con los municipios de Coyotepec y Zumpango; </w:t>
      </w:r>
    </w:p>
    <w:p w14:paraId="31E46599" w14:textId="77777777"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 xml:space="preserve">II. Al sur con los municipios de Tepotzotlán, Cuautitlán Izcalli, Cuautitlán y Melchor Ocampo; </w:t>
      </w:r>
    </w:p>
    <w:p w14:paraId="6C3FDC44" w14:textId="77777777"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 xml:space="preserve">III. Al oriente con los municipios de Jaltenco y Melchor Ocampo; y </w:t>
      </w:r>
    </w:p>
    <w:p w14:paraId="39985F50" w14:textId="77777777"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 xml:space="preserve">IV. Al poniente con los municipios de Coyotepec y Tepotzotlán. </w:t>
      </w:r>
    </w:p>
    <w:p w14:paraId="3A4EA9A2" w14:textId="77777777"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p>
    <w:p w14:paraId="3DAE483B" w14:textId="258D56FB" w:rsidR="00130A22" w:rsidRDefault="00130A22" w:rsidP="00130A22">
      <w:pPr>
        <w:pStyle w:val="Prrafodelista"/>
        <w:autoSpaceDE w:val="0"/>
        <w:autoSpaceDN w:val="0"/>
        <w:adjustRightInd w:val="0"/>
        <w:spacing w:line="360" w:lineRule="auto"/>
        <w:ind w:left="567" w:right="539"/>
        <w:jc w:val="both"/>
        <w:rPr>
          <w:rFonts w:ascii="Palatino Linotype" w:eastAsia="Calibri" w:hAnsi="Palatino Linotype" w:cs="Tahoma"/>
          <w:bCs/>
          <w:i/>
          <w:iCs/>
          <w:color w:val="000000"/>
          <w:sz w:val="20"/>
          <w:szCs w:val="20"/>
          <w:lang w:eastAsia="es-MX"/>
        </w:rPr>
      </w:pPr>
      <w:r w:rsidRPr="00130A22">
        <w:rPr>
          <w:rFonts w:ascii="Palatino Linotype" w:eastAsia="Calibri" w:hAnsi="Palatino Linotype" w:cs="Tahoma"/>
          <w:bCs/>
          <w:i/>
          <w:iCs/>
          <w:color w:val="000000"/>
          <w:sz w:val="20"/>
          <w:szCs w:val="20"/>
          <w:lang w:eastAsia="es-MX"/>
        </w:rPr>
        <w:t>Está integrado por una cabecera Municipal, diecisiete barrios, ocho colonias, trece fraccionamientos, dos parajes, veintiséis ranchos, dos parques industriales y once ejidos</w:t>
      </w:r>
    </w:p>
    <w:p w14:paraId="4CF3014E" w14:textId="5FE4EE76" w:rsidR="00130A22" w:rsidRDefault="00130A22" w:rsidP="00864241">
      <w:pPr>
        <w:autoSpaceDE w:val="0"/>
        <w:autoSpaceDN w:val="0"/>
        <w:adjustRightInd w:val="0"/>
        <w:spacing w:line="360" w:lineRule="auto"/>
        <w:ind w:right="539"/>
        <w:jc w:val="both"/>
        <w:rPr>
          <w:rFonts w:ascii="Palatino Linotype" w:eastAsia="Calibri" w:hAnsi="Palatino Linotype" w:cs="Tahoma"/>
          <w:bCs/>
          <w:i/>
          <w:iCs/>
          <w:color w:val="000000"/>
          <w:lang w:eastAsia="es-MX"/>
        </w:rPr>
      </w:pPr>
    </w:p>
    <w:p w14:paraId="6C9CFCE8" w14:textId="041D00F3" w:rsidR="00864241" w:rsidRDefault="00864241" w:rsidP="00864241">
      <w:pPr>
        <w:pStyle w:val="Prrafodelista"/>
        <w:autoSpaceDE w:val="0"/>
        <w:autoSpaceDN w:val="0"/>
        <w:adjustRightInd w:val="0"/>
        <w:spacing w:line="360" w:lineRule="auto"/>
        <w:jc w:val="both"/>
        <w:rPr>
          <w:rFonts w:ascii="Palatino Linotype" w:eastAsia="Calibri" w:hAnsi="Palatino Linotype" w:cs="Tahoma"/>
          <w:bCs/>
          <w:color w:val="000000"/>
          <w:szCs w:val="22"/>
          <w:lang w:eastAsia="es-MX"/>
        </w:rPr>
      </w:pPr>
      <w:r>
        <w:rPr>
          <w:rFonts w:ascii="Palatino Linotype" w:eastAsia="Calibri" w:hAnsi="Palatino Linotype" w:cs="Tahoma"/>
          <w:bCs/>
          <w:color w:val="000000"/>
          <w:szCs w:val="22"/>
          <w:lang w:eastAsia="es-MX"/>
        </w:rPr>
        <w:t>Es entonces que la fuente normativa de los limites territoriales fue aportada por el Sujeto Obligado, para dar respuesta al Particular.</w:t>
      </w:r>
    </w:p>
    <w:p w14:paraId="6C087048" w14:textId="2A91F257" w:rsidR="00864241" w:rsidRDefault="00864241" w:rsidP="00864241">
      <w:pPr>
        <w:pStyle w:val="Prrafodelista"/>
        <w:numPr>
          <w:ilvl w:val="0"/>
          <w:numId w:val="36"/>
        </w:numPr>
        <w:autoSpaceDE w:val="0"/>
        <w:autoSpaceDN w:val="0"/>
        <w:adjustRightInd w:val="0"/>
        <w:spacing w:line="360" w:lineRule="auto"/>
        <w:jc w:val="both"/>
        <w:rPr>
          <w:rFonts w:ascii="Palatino Linotype" w:eastAsia="Calibri" w:hAnsi="Palatino Linotype" w:cs="Tahoma"/>
          <w:bCs/>
          <w:color w:val="000000"/>
          <w:szCs w:val="22"/>
          <w:lang w:eastAsia="es-MX"/>
        </w:rPr>
      </w:pPr>
      <w:r>
        <w:rPr>
          <w:rFonts w:ascii="Palatino Linotype" w:eastAsia="Calibri" w:hAnsi="Palatino Linotype" w:cs="Tahoma"/>
          <w:bCs/>
          <w:color w:val="000000"/>
          <w:szCs w:val="22"/>
          <w:lang w:eastAsia="es-MX"/>
        </w:rPr>
        <w:lastRenderedPageBreak/>
        <w:t xml:space="preserve">Como soporte a su afirmación y complementando su respuesta, el Sujeto Obligado, expresó que los limites territoriales, pueden ser verificados en el plano E.1-Clasificación de Territorio, del Plan de Desarrollo Urbano; el Sujeto Obligado entregó </w:t>
      </w:r>
      <w:r w:rsidR="005A4799">
        <w:rPr>
          <w:rFonts w:ascii="Palatino Linotype" w:eastAsia="Calibri" w:hAnsi="Palatino Linotype" w:cs="Tahoma"/>
          <w:bCs/>
          <w:color w:val="000000"/>
          <w:szCs w:val="22"/>
          <w:lang w:eastAsia="es-MX"/>
        </w:rPr>
        <w:t>las siguientes ligas, sobre las que</w:t>
      </w:r>
      <w:r>
        <w:rPr>
          <w:rFonts w:ascii="Palatino Linotype" w:eastAsia="Calibri" w:hAnsi="Palatino Linotype" w:cs="Tahoma"/>
          <w:bCs/>
          <w:color w:val="000000"/>
          <w:szCs w:val="22"/>
          <w:lang w:eastAsia="es-MX"/>
        </w:rPr>
        <w:t xml:space="preserve"> este Organismo Garante, se hizo a la la</w:t>
      </w:r>
      <w:r w:rsidR="005A4799">
        <w:rPr>
          <w:rFonts w:ascii="Palatino Linotype" w:eastAsia="Calibri" w:hAnsi="Palatino Linotype" w:cs="Tahoma"/>
          <w:bCs/>
          <w:color w:val="000000"/>
          <w:szCs w:val="22"/>
          <w:lang w:eastAsia="es-MX"/>
        </w:rPr>
        <w:t>bor de identificar la información alojada estas.</w:t>
      </w:r>
    </w:p>
    <w:p w14:paraId="67BA2ACA" w14:textId="77777777" w:rsidR="00864241" w:rsidRPr="00864241" w:rsidRDefault="00864241" w:rsidP="00864241">
      <w:pPr>
        <w:autoSpaceDE w:val="0"/>
        <w:autoSpaceDN w:val="0"/>
        <w:adjustRightInd w:val="0"/>
        <w:spacing w:line="360" w:lineRule="auto"/>
        <w:ind w:left="360"/>
        <w:jc w:val="both"/>
        <w:rPr>
          <w:rFonts w:ascii="Palatino Linotype" w:eastAsia="Calibri" w:hAnsi="Palatino Linotype" w:cs="Tahoma"/>
          <w:bCs/>
          <w:color w:val="000000"/>
          <w:szCs w:val="22"/>
          <w:lang w:eastAsia="es-MX"/>
        </w:rPr>
      </w:pPr>
    </w:p>
    <w:p w14:paraId="2878813B" w14:textId="25302F4B" w:rsidR="00130A22" w:rsidRDefault="00D454A6" w:rsidP="00864241">
      <w:pPr>
        <w:autoSpaceDE w:val="0"/>
        <w:autoSpaceDN w:val="0"/>
        <w:adjustRightInd w:val="0"/>
        <w:spacing w:line="360" w:lineRule="auto"/>
        <w:ind w:left="567"/>
        <w:jc w:val="both"/>
        <w:rPr>
          <w:rFonts w:ascii="Palatino Linotype" w:hAnsi="Palatino Linotype"/>
          <w:color w:val="000000"/>
          <w:sz w:val="22"/>
          <w:szCs w:val="22"/>
          <w:lang w:eastAsia="es-MX"/>
        </w:rPr>
      </w:pPr>
      <w:hyperlink r:id="rId9" w:history="1">
        <w:r w:rsidR="00864241" w:rsidRPr="00864241">
          <w:rPr>
            <w:rStyle w:val="Hipervnculo"/>
            <w:rFonts w:ascii="Palatino Linotype" w:hAnsi="Palatino Linotype"/>
            <w:sz w:val="22"/>
            <w:szCs w:val="22"/>
            <w:lang w:eastAsia="es-MX"/>
          </w:rPr>
          <w:t>https://legislacion.edomex.gob.mx/node/2116</w:t>
        </w:r>
      </w:hyperlink>
    </w:p>
    <w:p w14:paraId="06ADE551" w14:textId="5A8A99A3" w:rsidR="00D143B7" w:rsidRDefault="00D143B7" w:rsidP="00D143B7">
      <w:pPr>
        <w:autoSpaceDE w:val="0"/>
        <w:autoSpaceDN w:val="0"/>
        <w:adjustRightInd w:val="0"/>
        <w:spacing w:line="360" w:lineRule="auto"/>
        <w:ind w:left="142"/>
        <w:jc w:val="both"/>
        <w:rPr>
          <w:rFonts w:ascii="Palatino Linotype" w:hAnsi="Palatino Linotype"/>
          <w:color w:val="000000"/>
          <w:sz w:val="22"/>
          <w:szCs w:val="22"/>
          <w:lang w:eastAsia="es-MX"/>
        </w:rPr>
      </w:pPr>
      <w:r>
        <w:rPr>
          <w:noProof/>
          <w:lang w:eastAsia="es-MX"/>
        </w:rPr>
        <w:drawing>
          <wp:inline distT="0" distB="0" distL="0" distR="0" wp14:anchorId="1234DF81" wp14:editId="38C6236F">
            <wp:extent cx="5638800" cy="3490686"/>
            <wp:effectExtent l="0" t="0" r="0" b="0"/>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rotWithShape="1">
                    <a:blip r:embed="rId10"/>
                    <a:srcRect l="9786" t="4130" r="10106" b="7670"/>
                    <a:stretch/>
                  </pic:blipFill>
                  <pic:spPr bwMode="auto">
                    <a:xfrm>
                      <a:off x="0" y="0"/>
                      <a:ext cx="5642704" cy="3493103"/>
                    </a:xfrm>
                    <a:prstGeom prst="rect">
                      <a:avLst/>
                    </a:prstGeom>
                    <a:ln>
                      <a:noFill/>
                    </a:ln>
                    <a:extLst>
                      <a:ext uri="{53640926-AAD7-44D8-BBD7-CCE9431645EC}">
                        <a14:shadowObscured xmlns:a14="http://schemas.microsoft.com/office/drawing/2010/main"/>
                      </a:ext>
                    </a:extLst>
                  </pic:spPr>
                </pic:pic>
              </a:graphicData>
            </a:graphic>
          </wp:inline>
        </w:drawing>
      </w:r>
    </w:p>
    <w:p w14:paraId="038156B9" w14:textId="4DDA43FA" w:rsidR="005A4799" w:rsidRDefault="00D143B7" w:rsidP="00864241">
      <w:pPr>
        <w:autoSpaceDE w:val="0"/>
        <w:autoSpaceDN w:val="0"/>
        <w:adjustRightInd w:val="0"/>
        <w:spacing w:line="360" w:lineRule="auto"/>
        <w:ind w:left="567"/>
        <w:jc w:val="both"/>
        <w:rPr>
          <w:rFonts w:ascii="Palatino Linotype" w:hAnsi="Palatino Linotype"/>
          <w:color w:val="000000"/>
          <w:sz w:val="22"/>
          <w:szCs w:val="22"/>
          <w:lang w:eastAsia="es-MX"/>
        </w:rPr>
      </w:pPr>
      <w:r>
        <w:rPr>
          <w:rFonts w:ascii="Palatino Linotype" w:hAnsi="Palatino Linotype"/>
          <w:color w:val="000000"/>
          <w:sz w:val="22"/>
          <w:szCs w:val="22"/>
          <w:lang w:eastAsia="es-MX"/>
        </w:rPr>
        <w:t>(Imagen recuperada el diecinueve de abril del dos mil veintidós a las veintidós horas y que es la información alojada en la liga supra citada</w:t>
      </w:r>
      <w:r w:rsidR="00F03FF8">
        <w:rPr>
          <w:rFonts w:ascii="Palatino Linotype" w:hAnsi="Palatino Linotype"/>
          <w:color w:val="000000"/>
          <w:sz w:val="22"/>
          <w:szCs w:val="22"/>
          <w:lang w:eastAsia="es-MX"/>
        </w:rPr>
        <w:t>, que da cuenta de la liga de descarga de la Ley Orgánica Municipal del Estado de México vigente</w:t>
      </w:r>
      <w:r>
        <w:rPr>
          <w:rFonts w:ascii="Palatino Linotype" w:hAnsi="Palatino Linotype"/>
          <w:color w:val="000000"/>
          <w:sz w:val="22"/>
          <w:szCs w:val="22"/>
          <w:lang w:eastAsia="es-MX"/>
        </w:rPr>
        <w:t>)</w:t>
      </w:r>
    </w:p>
    <w:p w14:paraId="4B2F9FBC" w14:textId="77777777" w:rsidR="00D143B7" w:rsidRDefault="00D143B7" w:rsidP="00864241">
      <w:pPr>
        <w:autoSpaceDE w:val="0"/>
        <w:autoSpaceDN w:val="0"/>
        <w:adjustRightInd w:val="0"/>
        <w:spacing w:line="360" w:lineRule="auto"/>
        <w:ind w:left="567"/>
        <w:jc w:val="both"/>
        <w:rPr>
          <w:rFonts w:ascii="Palatino Linotype" w:hAnsi="Palatino Linotype"/>
          <w:color w:val="000000"/>
          <w:sz w:val="22"/>
          <w:szCs w:val="22"/>
          <w:lang w:eastAsia="es-MX"/>
        </w:rPr>
      </w:pPr>
    </w:p>
    <w:p w14:paraId="5EAF7B57" w14:textId="4CBBAFD4" w:rsidR="005A4799" w:rsidRDefault="00D454A6" w:rsidP="00864241">
      <w:pPr>
        <w:autoSpaceDE w:val="0"/>
        <w:autoSpaceDN w:val="0"/>
        <w:adjustRightInd w:val="0"/>
        <w:spacing w:line="360" w:lineRule="auto"/>
        <w:ind w:left="567"/>
        <w:jc w:val="both"/>
        <w:rPr>
          <w:rFonts w:ascii="Palatino Linotype" w:eastAsia="Calibri" w:hAnsi="Palatino Linotype" w:cs="Tahoma"/>
          <w:bCs/>
          <w:color w:val="000000"/>
          <w:sz w:val="22"/>
          <w:szCs w:val="22"/>
          <w:lang w:eastAsia="es-MX"/>
        </w:rPr>
      </w:pPr>
      <w:hyperlink r:id="rId11" w:history="1">
        <w:r w:rsidR="005A4799" w:rsidRPr="00012658">
          <w:rPr>
            <w:rStyle w:val="Hipervnculo"/>
            <w:rFonts w:ascii="Palatino Linotype" w:eastAsia="Calibri" w:hAnsi="Palatino Linotype" w:cs="Tahoma"/>
            <w:bCs/>
            <w:sz w:val="22"/>
            <w:szCs w:val="22"/>
            <w:lang w:eastAsia="es-MX"/>
          </w:rPr>
          <w:t>http://seduv.edomexico.gob.mx/planes_municipales/Teoloyucan/Teoloyucan%20FINAL.pdf</w:t>
        </w:r>
      </w:hyperlink>
    </w:p>
    <w:p w14:paraId="57554423" w14:textId="7D23D0AC" w:rsidR="00D143B7" w:rsidRDefault="00D143B7" w:rsidP="00864241">
      <w:pPr>
        <w:autoSpaceDE w:val="0"/>
        <w:autoSpaceDN w:val="0"/>
        <w:adjustRightInd w:val="0"/>
        <w:spacing w:line="360" w:lineRule="auto"/>
        <w:ind w:left="567"/>
        <w:jc w:val="both"/>
        <w:rPr>
          <w:rFonts w:ascii="Palatino Linotype" w:eastAsia="Calibri" w:hAnsi="Palatino Linotype" w:cs="Tahoma"/>
          <w:bCs/>
          <w:color w:val="000000"/>
          <w:sz w:val="22"/>
          <w:szCs w:val="22"/>
          <w:lang w:eastAsia="es-MX"/>
        </w:rPr>
      </w:pPr>
    </w:p>
    <w:p w14:paraId="62094E25" w14:textId="5BF02115" w:rsidR="00D143B7" w:rsidRDefault="00D143B7" w:rsidP="00D143B7">
      <w:pPr>
        <w:autoSpaceDE w:val="0"/>
        <w:autoSpaceDN w:val="0"/>
        <w:adjustRightInd w:val="0"/>
        <w:spacing w:line="360" w:lineRule="auto"/>
        <w:ind w:left="567"/>
        <w:jc w:val="center"/>
        <w:rPr>
          <w:rFonts w:ascii="Palatino Linotype" w:eastAsia="Calibri" w:hAnsi="Palatino Linotype" w:cs="Tahoma"/>
          <w:bCs/>
          <w:color w:val="000000"/>
          <w:sz w:val="22"/>
          <w:szCs w:val="22"/>
          <w:lang w:eastAsia="es-MX"/>
        </w:rPr>
      </w:pPr>
      <w:r>
        <w:rPr>
          <w:noProof/>
          <w:lang w:eastAsia="es-MX"/>
        </w:rPr>
        <w:drawing>
          <wp:inline distT="0" distB="0" distL="0" distR="0" wp14:anchorId="26320037" wp14:editId="30B5750A">
            <wp:extent cx="4231005" cy="4143375"/>
            <wp:effectExtent l="0" t="0" r="0" b="9525"/>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2"/>
                    <a:srcRect l="37650" t="16814" r="17570" b="5190"/>
                    <a:stretch/>
                  </pic:blipFill>
                  <pic:spPr bwMode="auto">
                    <a:xfrm>
                      <a:off x="0" y="0"/>
                      <a:ext cx="4235936" cy="4148204"/>
                    </a:xfrm>
                    <a:prstGeom prst="rect">
                      <a:avLst/>
                    </a:prstGeom>
                    <a:ln>
                      <a:noFill/>
                    </a:ln>
                    <a:extLst>
                      <a:ext uri="{53640926-AAD7-44D8-BBD7-CCE9431645EC}">
                        <a14:shadowObscured xmlns:a14="http://schemas.microsoft.com/office/drawing/2010/main"/>
                      </a:ext>
                    </a:extLst>
                  </pic:spPr>
                </pic:pic>
              </a:graphicData>
            </a:graphic>
          </wp:inline>
        </w:drawing>
      </w:r>
    </w:p>
    <w:p w14:paraId="3C57E03E" w14:textId="2EB80575" w:rsidR="00D143B7" w:rsidRDefault="00D143B7" w:rsidP="00D143B7">
      <w:pPr>
        <w:autoSpaceDE w:val="0"/>
        <w:autoSpaceDN w:val="0"/>
        <w:adjustRightInd w:val="0"/>
        <w:spacing w:line="360" w:lineRule="auto"/>
        <w:ind w:left="567"/>
        <w:jc w:val="center"/>
        <w:rPr>
          <w:rFonts w:ascii="Palatino Linotype" w:hAnsi="Palatino Linotype"/>
          <w:color w:val="000000"/>
          <w:sz w:val="22"/>
          <w:szCs w:val="22"/>
          <w:lang w:eastAsia="es-MX"/>
        </w:rPr>
      </w:pPr>
      <w:r>
        <w:rPr>
          <w:rFonts w:ascii="Palatino Linotype" w:hAnsi="Palatino Linotype"/>
          <w:color w:val="000000"/>
          <w:sz w:val="22"/>
          <w:szCs w:val="22"/>
          <w:lang w:eastAsia="es-MX"/>
        </w:rPr>
        <w:t>(Imagen recuperada el diecinueve de abril del dos mil veintidós a las veintidós horas</w:t>
      </w:r>
      <w:r w:rsidR="00F03FF8">
        <w:rPr>
          <w:rFonts w:ascii="Palatino Linotype" w:hAnsi="Palatino Linotype"/>
          <w:color w:val="000000"/>
          <w:sz w:val="22"/>
          <w:szCs w:val="22"/>
          <w:lang w:eastAsia="es-MX"/>
        </w:rPr>
        <w:t xml:space="preserve"> con tres minutos</w:t>
      </w:r>
      <w:r>
        <w:rPr>
          <w:rFonts w:ascii="Palatino Linotype" w:hAnsi="Palatino Linotype"/>
          <w:color w:val="000000"/>
          <w:sz w:val="22"/>
          <w:szCs w:val="22"/>
          <w:lang w:eastAsia="es-MX"/>
        </w:rPr>
        <w:t xml:space="preserve"> y que es la información alojada en la liga supra citada</w:t>
      </w:r>
      <w:r w:rsidR="00F03FF8">
        <w:rPr>
          <w:rFonts w:ascii="Palatino Linotype" w:hAnsi="Palatino Linotype"/>
          <w:color w:val="000000"/>
          <w:sz w:val="22"/>
          <w:szCs w:val="22"/>
          <w:lang w:eastAsia="es-MX"/>
        </w:rPr>
        <w:t>, que da cuenta del Plan Municipal de Desarrollo Urbano de Teoloyucan vigente</w:t>
      </w:r>
      <w:r>
        <w:rPr>
          <w:rFonts w:ascii="Palatino Linotype" w:hAnsi="Palatino Linotype"/>
          <w:color w:val="000000"/>
          <w:sz w:val="22"/>
          <w:szCs w:val="22"/>
          <w:lang w:eastAsia="es-MX"/>
        </w:rPr>
        <w:t>)</w:t>
      </w:r>
      <w:r w:rsidR="00F03FF8">
        <w:rPr>
          <w:rFonts w:ascii="Palatino Linotype" w:hAnsi="Palatino Linotype"/>
          <w:color w:val="000000"/>
          <w:sz w:val="22"/>
          <w:szCs w:val="22"/>
          <w:lang w:eastAsia="es-MX"/>
        </w:rPr>
        <w:t>.</w:t>
      </w:r>
    </w:p>
    <w:p w14:paraId="6D46F60D" w14:textId="565A34E7" w:rsidR="00F03FF8" w:rsidRDefault="00F03FF8" w:rsidP="00F03FF8">
      <w:pPr>
        <w:autoSpaceDE w:val="0"/>
        <w:autoSpaceDN w:val="0"/>
        <w:adjustRightInd w:val="0"/>
        <w:spacing w:line="360" w:lineRule="auto"/>
        <w:ind w:left="567"/>
        <w:rPr>
          <w:rFonts w:ascii="Palatino Linotype" w:hAnsi="Palatino Linotype"/>
          <w:color w:val="000000"/>
          <w:sz w:val="22"/>
          <w:szCs w:val="22"/>
          <w:lang w:eastAsia="es-MX"/>
        </w:rPr>
      </w:pPr>
    </w:p>
    <w:p w14:paraId="24856CFF" w14:textId="014A364A" w:rsidR="005A4799" w:rsidRDefault="00D454A6" w:rsidP="00864241">
      <w:pPr>
        <w:autoSpaceDE w:val="0"/>
        <w:autoSpaceDN w:val="0"/>
        <w:adjustRightInd w:val="0"/>
        <w:spacing w:line="360" w:lineRule="auto"/>
        <w:ind w:left="567"/>
        <w:jc w:val="both"/>
        <w:rPr>
          <w:rFonts w:ascii="Palatino Linotype" w:eastAsia="Calibri" w:hAnsi="Palatino Linotype" w:cs="Tahoma"/>
          <w:bCs/>
          <w:color w:val="000000"/>
          <w:sz w:val="22"/>
          <w:szCs w:val="22"/>
          <w:lang w:eastAsia="es-MX"/>
        </w:rPr>
      </w:pPr>
      <w:hyperlink r:id="rId13" w:history="1">
        <w:r w:rsidR="005A4799" w:rsidRPr="00012658">
          <w:rPr>
            <w:rStyle w:val="Hipervnculo"/>
            <w:rFonts w:ascii="Palatino Linotype" w:eastAsia="Calibri" w:hAnsi="Palatino Linotype" w:cs="Tahoma"/>
            <w:bCs/>
            <w:sz w:val="22"/>
            <w:szCs w:val="22"/>
            <w:lang w:eastAsia="es-MX"/>
          </w:rPr>
          <w:t>http://seduo.edomex.gob.mx/teoloyucan</w:t>
        </w:r>
      </w:hyperlink>
    </w:p>
    <w:p w14:paraId="17116763" w14:textId="11B804C7" w:rsidR="00F03FF8" w:rsidRDefault="00F03FF8" w:rsidP="00864241">
      <w:pPr>
        <w:autoSpaceDE w:val="0"/>
        <w:autoSpaceDN w:val="0"/>
        <w:adjustRightInd w:val="0"/>
        <w:spacing w:line="360" w:lineRule="auto"/>
        <w:ind w:left="567"/>
        <w:jc w:val="both"/>
        <w:rPr>
          <w:rFonts w:ascii="Palatino Linotype" w:eastAsia="Calibri" w:hAnsi="Palatino Linotype" w:cs="Tahoma"/>
          <w:bCs/>
          <w:color w:val="000000"/>
          <w:sz w:val="22"/>
          <w:szCs w:val="22"/>
          <w:lang w:eastAsia="es-MX"/>
        </w:rPr>
      </w:pPr>
    </w:p>
    <w:p w14:paraId="5B9C1408" w14:textId="6F191188" w:rsidR="00F03FF8" w:rsidRDefault="00F03FF8" w:rsidP="00864241">
      <w:pPr>
        <w:autoSpaceDE w:val="0"/>
        <w:autoSpaceDN w:val="0"/>
        <w:adjustRightInd w:val="0"/>
        <w:spacing w:line="360" w:lineRule="auto"/>
        <w:ind w:left="567"/>
        <w:jc w:val="both"/>
        <w:rPr>
          <w:rFonts w:ascii="Palatino Linotype" w:eastAsia="Calibri" w:hAnsi="Palatino Linotype" w:cs="Tahoma"/>
          <w:bCs/>
          <w:color w:val="000000"/>
          <w:sz w:val="22"/>
          <w:szCs w:val="22"/>
          <w:lang w:eastAsia="es-MX"/>
        </w:rPr>
      </w:pPr>
      <w:r>
        <w:rPr>
          <w:noProof/>
          <w:lang w:eastAsia="es-MX"/>
        </w:rPr>
        <w:lastRenderedPageBreak/>
        <w:drawing>
          <wp:inline distT="0" distB="0" distL="0" distR="0" wp14:anchorId="2FC28CF6" wp14:editId="76DB9606">
            <wp:extent cx="5322290" cy="3819525"/>
            <wp:effectExtent l="0" t="0" r="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4"/>
                    <a:srcRect l="17581" t="10030" r="11930"/>
                    <a:stretch/>
                  </pic:blipFill>
                  <pic:spPr bwMode="auto">
                    <a:xfrm>
                      <a:off x="0" y="0"/>
                      <a:ext cx="5328648" cy="3824088"/>
                    </a:xfrm>
                    <a:prstGeom prst="rect">
                      <a:avLst/>
                    </a:prstGeom>
                    <a:ln>
                      <a:noFill/>
                    </a:ln>
                    <a:extLst>
                      <a:ext uri="{53640926-AAD7-44D8-BBD7-CCE9431645EC}">
                        <a14:shadowObscured xmlns:a14="http://schemas.microsoft.com/office/drawing/2010/main"/>
                      </a:ext>
                    </a:extLst>
                  </pic:spPr>
                </pic:pic>
              </a:graphicData>
            </a:graphic>
          </wp:inline>
        </w:drawing>
      </w:r>
    </w:p>
    <w:p w14:paraId="38EE75E8" w14:textId="5502D41C" w:rsidR="00F03FF8" w:rsidRDefault="00F03FF8" w:rsidP="00F03FF8">
      <w:pPr>
        <w:autoSpaceDE w:val="0"/>
        <w:autoSpaceDN w:val="0"/>
        <w:adjustRightInd w:val="0"/>
        <w:spacing w:line="360" w:lineRule="auto"/>
        <w:ind w:left="567"/>
        <w:jc w:val="center"/>
        <w:rPr>
          <w:rFonts w:ascii="Palatino Linotype" w:hAnsi="Palatino Linotype"/>
          <w:color w:val="000000"/>
          <w:sz w:val="22"/>
          <w:szCs w:val="22"/>
          <w:lang w:eastAsia="es-MX"/>
        </w:rPr>
      </w:pPr>
      <w:r>
        <w:rPr>
          <w:rFonts w:ascii="Palatino Linotype" w:hAnsi="Palatino Linotype"/>
          <w:color w:val="000000"/>
          <w:sz w:val="22"/>
          <w:szCs w:val="22"/>
          <w:lang w:eastAsia="es-MX"/>
        </w:rPr>
        <w:t>(Imagen recuperada el diecinueve de abril del dos mil veintidós a las veintidós horas con tres minutos y que es la información alojada en la liga supra citada, que da cuenta de la página electrónica de la Secretaría de Desarrollo Urbano y Obra y que es la dirección en donde se publica el Plan de Desarrollo Municipal del Ayuntamiento de Teoloyucan).</w:t>
      </w:r>
    </w:p>
    <w:p w14:paraId="69769365" w14:textId="11A9595A" w:rsidR="00864241" w:rsidRDefault="00864241" w:rsidP="00F03FF8">
      <w:pPr>
        <w:tabs>
          <w:tab w:val="left" w:pos="0"/>
          <w:tab w:val="left" w:pos="8505"/>
        </w:tabs>
        <w:autoSpaceDE w:val="0"/>
        <w:autoSpaceDN w:val="0"/>
        <w:adjustRightInd w:val="0"/>
        <w:spacing w:line="360" w:lineRule="auto"/>
        <w:ind w:right="539"/>
        <w:jc w:val="both"/>
        <w:rPr>
          <w:rFonts w:ascii="Palatino Linotype" w:eastAsia="Calibri" w:hAnsi="Palatino Linotype" w:cs="Tahoma"/>
          <w:bCs/>
          <w:color w:val="000000"/>
          <w:sz w:val="22"/>
          <w:szCs w:val="22"/>
          <w:lang w:eastAsia="es-MX"/>
        </w:rPr>
      </w:pPr>
    </w:p>
    <w:p w14:paraId="78CAD942" w14:textId="77777777" w:rsidR="00F03FF8" w:rsidRDefault="00F03FF8" w:rsidP="00F03FF8">
      <w:pPr>
        <w:autoSpaceDE w:val="0"/>
        <w:autoSpaceDN w:val="0"/>
        <w:adjustRightInd w:val="0"/>
        <w:spacing w:line="360" w:lineRule="auto"/>
        <w:jc w:val="both"/>
        <w:rPr>
          <w:rFonts w:ascii="Palatino Linotype" w:hAnsi="Palatino Linotype" w:cs="Tahoma"/>
          <w:sz w:val="22"/>
          <w:szCs w:val="22"/>
          <w:lang w:val="es-ES"/>
        </w:rPr>
      </w:pPr>
      <w:r w:rsidRPr="00F03FF8">
        <w:rPr>
          <w:rFonts w:ascii="Palatino Linotype" w:hAnsi="Palatino Linotype" w:cs="Tahoma"/>
          <w:sz w:val="22"/>
          <w:szCs w:val="22"/>
          <w:lang w:val="es-ES"/>
        </w:rPr>
        <w:t>En este orden de ideas, remitió de manera especifica al plano E-1 Clasificación de Territorio, que puede ser consultado en la ultima de las ligas referidas previamente</w:t>
      </w:r>
      <w:r>
        <w:rPr>
          <w:rFonts w:ascii="Palatino Linotype" w:hAnsi="Palatino Linotype" w:cs="Tahoma"/>
          <w:sz w:val="22"/>
          <w:szCs w:val="22"/>
          <w:lang w:val="es-ES"/>
        </w:rPr>
        <w:t xml:space="preserve"> como se advierte de la siguiente imagen:</w:t>
      </w:r>
    </w:p>
    <w:p w14:paraId="28D580FA" w14:textId="2669C59E" w:rsidR="00F03FF8" w:rsidRPr="00F03FF8" w:rsidRDefault="00152578" w:rsidP="00F03FF8">
      <w:pPr>
        <w:autoSpaceDE w:val="0"/>
        <w:autoSpaceDN w:val="0"/>
        <w:adjustRightInd w:val="0"/>
        <w:spacing w:line="360" w:lineRule="auto"/>
        <w:jc w:val="both"/>
        <w:rPr>
          <w:rFonts w:ascii="Palatino Linotype" w:hAnsi="Palatino Linotype" w:cs="Tahoma"/>
          <w:sz w:val="22"/>
          <w:szCs w:val="22"/>
          <w:lang w:val="es-ES"/>
        </w:rPr>
      </w:pPr>
      <w:r>
        <w:rPr>
          <w:noProof/>
          <w:lang w:eastAsia="es-MX"/>
        </w:rPr>
        <w:lastRenderedPageBreak/>
        <w:drawing>
          <wp:inline distT="0" distB="0" distL="0" distR="0" wp14:anchorId="42CEF76B" wp14:editId="513F0574">
            <wp:extent cx="5705475" cy="4328164"/>
            <wp:effectExtent l="0" t="0" r="0" b="0"/>
            <wp:docPr id="20" name="Imagen 2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rotWithShape="1">
                    <a:blip r:embed="rId15"/>
                    <a:srcRect l="17680" t="5020" r="16078" b="5605"/>
                    <a:stretch/>
                  </pic:blipFill>
                  <pic:spPr bwMode="auto">
                    <a:xfrm>
                      <a:off x="0" y="0"/>
                      <a:ext cx="5726685" cy="4344254"/>
                    </a:xfrm>
                    <a:prstGeom prst="rect">
                      <a:avLst/>
                    </a:prstGeom>
                    <a:ln>
                      <a:noFill/>
                    </a:ln>
                    <a:extLst>
                      <a:ext uri="{53640926-AAD7-44D8-BBD7-CCE9431645EC}">
                        <a14:shadowObscured xmlns:a14="http://schemas.microsoft.com/office/drawing/2010/main"/>
                      </a:ext>
                    </a:extLst>
                  </pic:spPr>
                </pic:pic>
              </a:graphicData>
            </a:graphic>
          </wp:inline>
        </w:drawing>
      </w:r>
      <w:r w:rsidR="00F03FF8" w:rsidRPr="00F03FF8">
        <w:rPr>
          <w:rFonts w:ascii="Palatino Linotype" w:hAnsi="Palatino Linotype" w:cs="Tahoma"/>
          <w:sz w:val="22"/>
          <w:szCs w:val="22"/>
          <w:lang w:val="es-ES"/>
        </w:rPr>
        <w:t xml:space="preserve"> </w:t>
      </w:r>
    </w:p>
    <w:p w14:paraId="0647E37F" w14:textId="02646948" w:rsidR="00E408D7" w:rsidRDefault="00152578" w:rsidP="00152578">
      <w:pPr>
        <w:autoSpaceDE w:val="0"/>
        <w:autoSpaceDN w:val="0"/>
        <w:adjustRightInd w:val="0"/>
        <w:spacing w:line="360" w:lineRule="auto"/>
        <w:jc w:val="center"/>
        <w:rPr>
          <w:rFonts w:ascii="Palatino Linotype" w:hAnsi="Palatino Linotype"/>
          <w:color w:val="000000"/>
          <w:sz w:val="22"/>
          <w:szCs w:val="22"/>
          <w:lang w:eastAsia="es-MX"/>
        </w:rPr>
      </w:pPr>
      <w:r>
        <w:rPr>
          <w:rFonts w:ascii="Palatino Linotype" w:hAnsi="Palatino Linotype"/>
          <w:color w:val="000000"/>
          <w:sz w:val="22"/>
          <w:szCs w:val="22"/>
          <w:lang w:eastAsia="es-MX"/>
        </w:rPr>
        <w:t>(Imagen recuperada el diecinueve de abril del dos mil veintidós a las veintidós horas con nueve minutos)</w:t>
      </w:r>
    </w:p>
    <w:p w14:paraId="6127A7A7" w14:textId="77777777" w:rsidR="00152578" w:rsidRDefault="00152578" w:rsidP="00152578">
      <w:pPr>
        <w:autoSpaceDE w:val="0"/>
        <w:autoSpaceDN w:val="0"/>
        <w:adjustRightInd w:val="0"/>
        <w:spacing w:line="360" w:lineRule="auto"/>
        <w:jc w:val="center"/>
        <w:rPr>
          <w:rFonts w:ascii="Palatino Linotype" w:eastAsia="Calibri" w:hAnsi="Palatino Linotype" w:cs="Tahoma"/>
          <w:bCs/>
          <w:color w:val="000000"/>
          <w:sz w:val="22"/>
          <w:szCs w:val="22"/>
          <w:lang w:eastAsia="es-MX"/>
        </w:rPr>
      </w:pPr>
    </w:p>
    <w:p w14:paraId="0939256D" w14:textId="6CE7CA17" w:rsidR="00E408D7" w:rsidRDefault="00152578"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bCs/>
          <w:color w:val="000000"/>
          <w:sz w:val="22"/>
          <w:szCs w:val="22"/>
          <w:lang w:eastAsia="es-MX"/>
        </w:rPr>
        <w:t xml:space="preserve">Al dar apertura se puede visualizar el plano referido, para lo que se reproduce la siguiente imagen, sin embargo, para facilitar su revisión, se reproduce la liga de acceso directo </w:t>
      </w:r>
      <w:hyperlink r:id="rId16" w:history="1">
        <w:r w:rsidRPr="00012658">
          <w:rPr>
            <w:rStyle w:val="Hipervnculo"/>
            <w:rFonts w:ascii="Palatino Linotype" w:eastAsia="Calibri" w:hAnsi="Palatino Linotype" w:cs="Tahoma"/>
            <w:bCs/>
            <w:sz w:val="22"/>
            <w:szCs w:val="22"/>
            <w:lang w:eastAsia="es-MX"/>
          </w:rPr>
          <w:t>http://seduv.edomexico.gob.mx/planes_municipales/Teoloyucan/E_1%20Layout1%20%281%29.pdf</w:t>
        </w:r>
      </w:hyperlink>
      <w:r>
        <w:rPr>
          <w:rFonts w:ascii="Palatino Linotype" w:eastAsia="Calibri" w:hAnsi="Palatino Linotype" w:cs="Tahoma"/>
          <w:bCs/>
          <w:color w:val="000000"/>
          <w:sz w:val="22"/>
          <w:szCs w:val="22"/>
          <w:lang w:eastAsia="es-MX"/>
        </w:rPr>
        <w:t>, así como la imagen respectiva del plano:</w:t>
      </w:r>
    </w:p>
    <w:p w14:paraId="1340BFCF" w14:textId="360B12FC" w:rsidR="00152578" w:rsidRDefault="00152578"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61E41C85" w14:textId="77777777" w:rsidR="00152578" w:rsidRDefault="00152578"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4443A2AE" w14:textId="04866083" w:rsidR="00152578" w:rsidRDefault="00152578"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32314387" w14:textId="2A673176" w:rsidR="00152578" w:rsidRDefault="00152578"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Pr>
          <w:noProof/>
          <w:lang w:eastAsia="es-MX"/>
        </w:rPr>
        <w:drawing>
          <wp:inline distT="0" distB="0" distL="0" distR="0" wp14:anchorId="53E13629" wp14:editId="4EE148D9">
            <wp:extent cx="5867400" cy="3901197"/>
            <wp:effectExtent l="0" t="0" r="0" b="4445"/>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17"/>
                    <a:srcRect l="28693" t="17109" r="8945" b="9144"/>
                    <a:stretch/>
                  </pic:blipFill>
                  <pic:spPr bwMode="auto">
                    <a:xfrm>
                      <a:off x="0" y="0"/>
                      <a:ext cx="5878170" cy="3908358"/>
                    </a:xfrm>
                    <a:prstGeom prst="rect">
                      <a:avLst/>
                    </a:prstGeom>
                    <a:ln>
                      <a:noFill/>
                    </a:ln>
                    <a:extLst>
                      <a:ext uri="{53640926-AAD7-44D8-BBD7-CCE9431645EC}">
                        <a14:shadowObscured xmlns:a14="http://schemas.microsoft.com/office/drawing/2010/main"/>
                      </a:ext>
                    </a:extLst>
                  </pic:spPr>
                </pic:pic>
              </a:graphicData>
            </a:graphic>
          </wp:inline>
        </w:drawing>
      </w:r>
    </w:p>
    <w:p w14:paraId="4E884C68" w14:textId="77777777" w:rsidR="00E408D7" w:rsidRPr="004028DA" w:rsidRDefault="00E408D7" w:rsidP="0004764C">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08906411" w14:textId="6826823E" w:rsidR="00702CEF" w:rsidRDefault="00152578" w:rsidP="00702CE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Es entonces que se identifica que la información aportada en informe justificado, así como las ligas entregadas, sirven para atender al requerimiento del Particular, sin embargo, </w:t>
      </w:r>
      <w:r w:rsidR="00702CEF">
        <w:rPr>
          <w:rFonts w:ascii="Palatino Linotype" w:hAnsi="Palatino Linotype" w:cs="Tahoma"/>
          <w:sz w:val="22"/>
          <w:szCs w:val="22"/>
        </w:rPr>
        <w:t>surge la duda de si esta es la información que da respuesta o bien existe una información más adecuada o bien, mas reciente</w:t>
      </w:r>
      <w:r>
        <w:rPr>
          <w:rFonts w:ascii="Palatino Linotype" w:hAnsi="Palatino Linotype" w:cs="Tahoma"/>
          <w:sz w:val="22"/>
          <w:szCs w:val="22"/>
        </w:rPr>
        <w:t>, lo que cobra relevación al haber sido omiso el Sujeto Obligado</w:t>
      </w:r>
      <w:r w:rsidR="00702CEF">
        <w:rPr>
          <w:rFonts w:ascii="Palatino Linotype" w:hAnsi="Palatino Linotype" w:cs="Tahoma"/>
          <w:sz w:val="22"/>
          <w:szCs w:val="22"/>
        </w:rPr>
        <w:t>.</w:t>
      </w:r>
    </w:p>
    <w:p w14:paraId="285F8567" w14:textId="738D8413" w:rsidR="00702CEF" w:rsidRDefault="00702CEF" w:rsidP="00702CEF">
      <w:pPr>
        <w:autoSpaceDE w:val="0"/>
        <w:autoSpaceDN w:val="0"/>
        <w:adjustRightInd w:val="0"/>
        <w:spacing w:line="360" w:lineRule="auto"/>
        <w:jc w:val="both"/>
        <w:rPr>
          <w:rFonts w:ascii="Palatino Linotype" w:hAnsi="Palatino Linotype" w:cs="Tahoma"/>
          <w:sz w:val="22"/>
          <w:szCs w:val="22"/>
        </w:rPr>
      </w:pPr>
    </w:p>
    <w:p w14:paraId="1710CDEF" w14:textId="19492199" w:rsidR="00702CEF" w:rsidRDefault="00702CEF" w:rsidP="00702CE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Por cuanto hace a las referencias legales, se identifica que el fundamento legal, fue de la legislación vigente por lo que, no genera duda la validez de la fundamentación legal de la respuesta.</w:t>
      </w:r>
    </w:p>
    <w:p w14:paraId="259AACAC" w14:textId="39DEFDE7" w:rsidR="00702CEF" w:rsidRDefault="00702CEF" w:rsidP="00702CEF">
      <w:pPr>
        <w:autoSpaceDE w:val="0"/>
        <w:autoSpaceDN w:val="0"/>
        <w:adjustRightInd w:val="0"/>
        <w:spacing w:line="360" w:lineRule="auto"/>
        <w:jc w:val="both"/>
        <w:rPr>
          <w:rFonts w:ascii="Palatino Linotype" w:hAnsi="Palatino Linotype" w:cs="Tahoma"/>
          <w:sz w:val="22"/>
          <w:szCs w:val="22"/>
        </w:rPr>
      </w:pPr>
    </w:p>
    <w:p w14:paraId="3BB9EA04" w14:textId="2D28F64D" w:rsidR="00702CEF" w:rsidRPr="00152578" w:rsidRDefault="00702CEF" w:rsidP="00702CE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Respecto al Plan Municipal de Desarrollo Urbano, la página de la Secretaría de Desarrollo Urbano y Obra circunscribe el plan a la fecha del </w:t>
      </w:r>
      <w:r w:rsidRPr="00702CEF">
        <w:rPr>
          <w:rFonts w:ascii="Palatino Linotype" w:hAnsi="Palatino Linotype" w:cs="Tahoma"/>
          <w:sz w:val="22"/>
          <w:szCs w:val="22"/>
        </w:rPr>
        <w:t>20/02/2004</w:t>
      </w:r>
      <w:r>
        <w:rPr>
          <w:rFonts w:ascii="Palatino Linotype" w:hAnsi="Palatino Linotype" w:cs="Tahoma"/>
          <w:sz w:val="22"/>
          <w:szCs w:val="22"/>
        </w:rPr>
        <w:t>, la que identificó como fecha de última actualización.</w:t>
      </w:r>
    </w:p>
    <w:p w14:paraId="32204951" w14:textId="177DB706" w:rsidR="00152578" w:rsidRDefault="00152578" w:rsidP="0004764C">
      <w:pPr>
        <w:autoSpaceDE w:val="0"/>
        <w:autoSpaceDN w:val="0"/>
        <w:adjustRightInd w:val="0"/>
        <w:spacing w:line="360" w:lineRule="auto"/>
        <w:jc w:val="both"/>
        <w:rPr>
          <w:rFonts w:ascii="Palatino Linotype" w:hAnsi="Palatino Linotype" w:cs="Tahoma"/>
          <w:sz w:val="22"/>
          <w:szCs w:val="22"/>
        </w:rPr>
      </w:pPr>
    </w:p>
    <w:p w14:paraId="4CE32CDB" w14:textId="5E577967" w:rsidR="00702CEF" w:rsidRDefault="00702CEF" w:rsidP="0004764C">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Es entonces, que debemos advertir, que es información que se emite por el Ayuntamiento, pero se </w:t>
      </w:r>
      <w:r w:rsidR="008650E3">
        <w:rPr>
          <w:rFonts w:ascii="Palatino Linotype" w:hAnsi="Palatino Linotype" w:cs="Tahoma"/>
          <w:sz w:val="22"/>
          <w:szCs w:val="22"/>
        </w:rPr>
        <w:t>aprueba</w:t>
      </w:r>
      <w:r>
        <w:rPr>
          <w:rFonts w:ascii="Palatino Linotype" w:hAnsi="Palatino Linotype" w:cs="Tahoma"/>
          <w:sz w:val="22"/>
          <w:szCs w:val="22"/>
        </w:rPr>
        <w:t xml:space="preserve"> por el </w:t>
      </w:r>
      <w:r w:rsidR="008650E3">
        <w:rPr>
          <w:rFonts w:ascii="Palatino Linotype" w:hAnsi="Palatino Linotype" w:cs="Tahoma"/>
          <w:sz w:val="22"/>
          <w:szCs w:val="22"/>
        </w:rPr>
        <w:t>Estado</w:t>
      </w:r>
      <w:r>
        <w:rPr>
          <w:rFonts w:ascii="Palatino Linotype" w:hAnsi="Palatino Linotype" w:cs="Tahoma"/>
          <w:sz w:val="22"/>
          <w:szCs w:val="22"/>
        </w:rPr>
        <w:t xml:space="preserve"> de </w:t>
      </w:r>
      <w:r w:rsidR="008650E3">
        <w:rPr>
          <w:rFonts w:ascii="Palatino Linotype" w:hAnsi="Palatino Linotype" w:cs="Tahoma"/>
          <w:sz w:val="22"/>
          <w:szCs w:val="22"/>
        </w:rPr>
        <w:t>México</w:t>
      </w:r>
      <w:r>
        <w:rPr>
          <w:rFonts w:ascii="Palatino Linotype" w:hAnsi="Palatino Linotype" w:cs="Tahoma"/>
          <w:sz w:val="22"/>
          <w:szCs w:val="22"/>
        </w:rPr>
        <w:t xml:space="preserve"> por conducto de la ahora Secretaría </w:t>
      </w:r>
      <w:r w:rsidR="008650E3">
        <w:rPr>
          <w:rFonts w:ascii="Palatino Linotype" w:hAnsi="Palatino Linotype" w:cs="Tahoma"/>
          <w:sz w:val="22"/>
          <w:szCs w:val="22"/>
        </w:rPr>
        <w:t xml:space="preserve">de Desarrollo Urbano y Obra, planes que se aprueban en adecuación a lo contemplado en el </w:t>
      </w:r>
      <w:r w:rsidR="008650E3" w:rsidRPr="008650E3">
        <w:rPr>
          <w:rFonts w:ascii="Palatino Linotype" w:hAnsi="Palatino Linotype" w:cs="Tahoma"/>
          <w:sz w:val="22"/>
          <w:szCs w:val="22"/>
        </w:rPr>
        <w:t xml:space="preserve">Reglamento </w:t>
      </w:r>
      <w:r w:rsidR="008650E3">
        <w:rPr>
          <w:rFonts w:ascii="Palatino Linotype" w:hAnsi="Palatino Linotype" w:cs="Tahoma"/>
          <w:sz w:val="22"/>
          <w:szCs w:val="22"/>
        </w:rPr>
        <w:t>del</w:t>
      </w:r>
      <w:r w:rsidR="008650E3" w:rsidRPr="008650E3">
        <w:rPr>
          <w:rFonts w:ascii="Palatino Linotype" w:hAnsi="Palatino Linotype" w:cs="Tahoma"/>
          <w:sz w:val="22"/>
          <w:szCs w:val="22"/>
        </w:rPr>
        <w:t xml:space="preserve"> Libro Quinto </w:t>
      </w:r>
      <w:r w:rsidR="008650E3">
        <w:rPr>
          <w:rFonts w:ascii="Palatino Linotype" w:hAnsi="Palatino Linotype" w:cs="Tahoma"/>
          <w:sz w:val="22"/>
          <w:szCs w:val="22"/>
        </w:rPr>
        <w:t>del</w:t>
      </w:r>
      <w:r w:rsidR="008650E3" w:rsidRPr="008650E3">
        <w:rPr>
          <w:rFonts w:ascii="Palatino Linotype" w:hAnsi="Palatino Linotype" w:cs="Tahoma"/>
          <w:sz w:val="22"/>
          <w:szCs w:val="22"/>
        </w:rPr>
        <w:t xml:space="preserve"> Código Administrativo </w:t>
      </w:r>
      <w:r w:rsidR="008650E3">
        <w:rPr>
          <w:rFonts w:ascii="Palatino Linotype" w:hAnsi="Palatino Linotype" w:cs="Tahoma"/>
          <w:sz w:val="22"/>
          <w:szCs w:val="22"/>
        </w:rPr>
        <w:t>del</w:t>
      </w:r>
      <w:r w:rsidR="008650E3" w:rsidRPr="008650E3">
        <w:rPr>
          <w:rFonts w:ascii="Palatino Linotype" w:hAnsi="Palatino Linotype" w:cs="Tahoma"/>
          <w:sz w:val="22"/>
          <w:szCs w:val="22"/>
        </w:rPr>
        <w:t xml:space="preserve"> Estado </w:t>
      </w:r>
      <w:r w:rsidR="008650E3">
        <w:rPr>
          <w:rFonts w:ascii="Palatino Linotype" w:hAnsi="Palatino Linotype" w:cs="Tahoma"/>
          <w:sz w:val="22"/>
          <w:szCs w:val="22"/>
        </w:rPr>
        <w:t>de</w:t>
      </w:r>
      <w:r w:rsidR="008650E3" w:rsidRPr="008650E3">
        <w:rPr>
          <w:rFonts w:ascii="Palatino Linotype" w:hAnsi="Palatino Linotype" w:cs="Tahoma"/>
          <w:sz w:val="22"/>
          <w:szCs w:val="22"/>
        </w:rPr>
        <w:t xml:space="preserve"> México</w:t>
      </w:r>
      <w:r w:rsidR="008650E3">
        <w:rPr>
          <w:rFonts w:ascii="Palatino Linotype" w:hAnsi="Palatino Linotype" w:cs="Tahoma"/>
          <w:sz w:val="22"/>
          <w:szCs w:val="22"/>
        </w:rPr>
        <w:t>, por ello, se reproducen los artículos relativos al presente asunto.</w:t>
      </w:r>
    </w:p>
    <w:p w14:paraId="5CD94E97" w14:textId="17A8DF75" w:rsidR="008650E3" w:rsidRDefault="008650E3" w:rsidP="0004764C">
      <w:pPr>
        <w:autoSpaceDE w:val="0"/>
        <w:autoSpaceDN w:val="0"/>
        <w:adjustRightInd w:val="0"/>
        <w:spacing w:line="360" w:lineRule="auto"/>
        <w:jc w:val="both"/>
        <w:rPr>
          <w:rFonts w:ascii="Palatino Linotype" w:hAnsi="Palatino Linotype" w:cs="Tahoma"/>
          <w:sz w:val="22"/>
          <w:szCs w:val="22"/>
        </w:rPr>
      </w:pPr>
    </w:p>
    <w:p w14:paraId="7A99FD9B" w14:textId="77777777" w:rsidR="008650E3" w:rsidRP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 xml:space="preserve">DE LOS TIPOS DE PLANES </w:t>
      </w:r>
    </w:p>
    <w:p w14:paraId="552ECAF7" w14:textId="77777777" w:rsidR="008650E3" w:rsidRP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 xml:space="preserve">Artículo 28. Los planes de desarrollo urbano de competencia municipal serán los siguientes: </w:t>
      </w:r>
    </w:p>
    <w:p w14:paraId="449154DC" w14:textId="7F2D3959" w:rsidR="008650E3" w:rsidRP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I. Plan municipal de desarrollo urbano;</w:t>
      </w:r>
    </w:p>
    <w:p w14:paraId="04FE0073" w14:textId="23BBE38B" w:rsidR="008650E3" w:rsidRP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II</w:t>
      </w:r>
      <w:r>
        <w:rPr>
          <w:rFonts w:ascii="Palatino Linotype" w:hAnsi="Palatino Linotype" w:cs="Tahoma"/>
          <w:i/>
          <w:iCs/>
          <w:lang w:val="es-ES"/>
        </w:rPr>
        <w:t>.</w:t>
      </w:r>
      <w:r w:rsidRPr="008650E3">
        <w:rPr>
          <w:rFonts w:ascii="Palatino Linotype" w:hAnsi="Palatino Linotype" w:cs="Tahoma"/>
          <w:i/>
          <w:iCs/>
          <w:lang w:val="es-ES"/>
        </w:rPr>
        <w:t xml:space="preserve"> Planes parciales de desarrollo urbano:</w:t>
      </w:r>
    </w:p>
    <w:p w14:paraId="679B9165" w14:textId="77777777" w:rsid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A) De Zonas Urbanas Consolidadas, y</w:t>
      </w:r>
    </w:p>
    <w:p w14:paraId="7A151F90" w14:textId="4C8A102E" w:rsid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8650E3">
        <w:rPr>
          <w:rFonts w:ascii="Palatino Linotype" w:hAnsi="Palatino Linotype" w:cs="Tahoma"/>
          <w:i/>
          <w:iCs/>
          <w:lang w:val="es-ES"/>
        </w:rPr>
        <w:t xml:space="preserve"> B) De incorporación territorial.</w:t>
      </w:r>
    </w:p>
    <w:p w14:paraId="6BE2BE83" w14:textId="5625C3FB" w:rsidR="008650E3" w:rsidRDefault="008650E3" w:rsidP="008650E3">
      <w:pPr>
        <w:autoSpaceDE w:val="0"/>
        <w:autoSpaceDN w:val="0"/>
        <w:adjustRightInd w:val="0"/>
        <w:spacing w:line="360" w:lineRule="auto"/>
        <w:ind w:left="567" w:right="539"/>
        <w:jc w:val="both"/>
        <w:rPr>
          <w:rFonts w:ascii="Palatino Linotype" w:hAnsi="Palatino Linotype" w:cs="Tahoma"/>
          <w:i/>
          <w:iCs/>
          <w:lang w:val="es-ES"/>
        </w:rPr>
      </w:pPr>
    </w:p>
    <w:p w14:paraId="01DC4A6E" w14:textId="5F69381B" w:rsidR="008650E3" w:rsidRPr="003D6028"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Artículo 30. Los planes municipales de desarrollo urbano y los parciales de competencia municipal, deberán contener, como mínimo, lo siguiente:</w:t>
      </w:r>
    </w:p>
    <w:p w14:paraId="629A5E9D" w14:textId="758EAC2F" w:rsidR="008650E3" w:rsidRPr="003D6028"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I…</w:t>
      </w:r>
    </w:p>
    <w:p w14:paraId="7D7090DD" w14:textId="2A02FC4D" w:rsidR="008650E3" w:rsidRPr="003D6028" w:rsidRDefault="008650E3"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II. Propósitos y alcances del plan:</w:t>
      </w:r>
    </w:p>
    <w:p w14:paraId="540A8C5B" w14:textId="77777777" w:rsidR="003D6028" w:rsidRPr="003D6028" w:rsidRDefault="003D6028"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 xml:space="preserve">A) Finalidad del plan; </w:t>
      </w:r>
    </w:p>
    <w:p w14:paraId="4F95DF7A" w14:textId="33B77213" w:rsidR="003D6028" w:rsidRPr="003D6028" w:rsidRDefault="003D6028"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B) Evaluación del plan vigente en su caso, y</w:t>
      </w:r>
    </w:p>
    <w:p w14:paraId="1FA015C6" w14:textId="5049318B" w:rsidR="003D6028" w:rsidRDefault="003D6028" w:rsidP="008650E3">
      <w:pPr>
        <w:autoSpaceDE w:val="0"/>
        <w:autoSpaceDN w:val="0"/>
        <w:adjustRightInd w:val="0"/>
        <w:spacing w:line="360" w:lineRule="auto"/>
        <w:ind w:left="567" w:right="539"/>
        <w:jc w:val="both"/>
        <w:rPr>
          <w:rFonts w:ascii="Palatino Linotype" w:hAnsi="Palatino Linotype" w:cs="Tahoma"/>
          <w:b/>
          <w:bCs/>
          <w:i/>
          <w:iCs/>
          <w:lang w:val="es-ES"/>
        </w:rPr>
      </w:pPr>
      <w:r w:rsidRPr="003D6028">
        <w:rPr>
          <w:rFonts w:ascii="Palatino Linotype" w:hAnsi="Palatino Linotype" w:cs="Tahoma"/>
          <w:b/>
          <w:bCs/>
          <w:i/>
          <w:iCs/>
          <w:lang w:val="es-ES"/>
        </w:rPr>
        <w:t>C) Los límites territoriales del municipio conforme a lo establecido en la división político</w:t>
      </w:r>
      <w:r w:rsidR="00472944">
        <w:rPr>
          <w:rFonts w:ascii="Palatino Linotype" w:hAnsi="Palatino Linotype" w:cs="Tahoma"/>
          <w:b/>
          <w:bCs/>
          <w:i/>
          <w:iCs/>
          <w:lang w:val="es-ES"/>
        </w:rPr>
        <w:t xml:space="preserve"> </w:t>
      </w:r>
      <w:r w:rsidRPr="003D6028">
        <w:rPr>
          <w:rFonts w:ascii="Palatino Linotype" w:hAnsi="Palatino Linotype" w:cs="Tahoma"/>
          <w:b/>
          <w:bCs/>
          <w:i/>
          <w:iCs/>
          <w:lang w:val="es-ES"/>
        </w:rPr>
        <w:t>administrativa del Estado de México, como lo determina la Ley Orgánica Municipal del Estado de México.</w:t>
      </w:r>
    </w:p>
    <w:p w14:paraId="25A00BD8" w14:textId="06DEEFDD" w:rsidR="003D6028" w:rsidRDefault="003D6028" w:rsidP="008650E3">
      <w:pPr>
        <w:autoSpaceDE w:val="0"/>
        <w:autoSpaceDN w:val="0"/>
        <w:adjustRightInd w:val="0"/>
        <w:spacing w:line="360" w:lineRule="auto"/>
        <w:ind w:left="567" w:right="539"/>
        <w:jc w:val="both"/>
        <w:rPr>
          <w:rFonts w:ascii="Palatino Linotype" w:hAnsi="Palatino Linotype" w:cs="Tahoma"/>
          <w:b/>
          <w:bCs/>
          <w:i/>
          <w:iCs/>
          <w:lang w:val="es-ES"/>
        </w:rPr>
      </w:pPr>
      <w:r>
        <w:rPr>
          <w:rFonts w:ascii="Palatino Linotype" w:hAnsi="Palatino Linotype" w:cs="Tahoma"/>
          <w:b/>
          <w:bCs/>
          <w:i/>
          <w:iCs/>
          <w:lang w:val="es-ES"/>
        </w:rPr>
        <w:t>III al XIV…</w:t>
      </w:r>
    </w:p>
    <w:p w14:paraId="19FE1F68" w14:textId="77777777" w:rsidR="003D6028" w:rsidRPr="003D6028" w:rsidRDefault="003D6028" w:rsidP="008650E3">
      <w:pPr>
        <w:autoSpaceDE w:val="0"/>
        <w:autoSpaceDN w:val="0"/>
        <w:adjustRightInd w:val="0"/>
        <w:spacing w:line="360" w:lineRule="auto"/>
        <w:ind w:left="567" w:right="539"/>
        <w:jc w:val="both"/>
        <w:rPr>
          <w:rFonts w:ascii="Palatino Linotype" w:hAnsi="Palatino Linotype" w:cs="Tahoma"/>
          <w:b/>
          <w:bCs/>
          <w:i/>
          <w:iCs/>
          <w:lang w:val="es-ES"/>
        </w:rPr>
      </w:pPr>
      <w:r w:rsidRPr="003D6028">
        <w:rPr>
          <w:rFonts w:ascii="Palatino Linotype" w:hAnsi="Palatino Linotype" w:cs="Tahoma"/>
          <w:b/>
          <w:bCs/>
          <w:i/>
          <w:iCs/>
          <w:lang w:val="es-ES"/>
        </w:rPr>
        <w:lastRenderedPageBreak/>
        <w:t xml:space="preserve">En los planes municipales, el diagnóstico deberá efectuarse considerando los procesos de conurbación o zona metropolitana a la que pertenezcan, así como la aptitud territorial por usos del suelo, la conectividad regional y la movilidad urbana. </w:t>
      </w:r>
    </w:p>
    <w:p w14:paraId="51E0E081" w14:textId="77777777" w:rsidR="003D6028" w:rsidRPr="003D6028" w:rsidRDefault="003D6028" w:rsidP="008650E3">
      <w:pPr>
        <w:autoSpaceDE w:val="0"/>
        <w:autoSpaceDN w:val="0"/>
        <w:adjustRightInd w:val="0"/>
        <w:spacing w:line="360" w:lineRule="auto"/>
        <w:ind w:left="567" w:right="539"/>
        <w:jc w:val="both"/>
        <w:rPr>
          <w:rFonts w:ascii="Palatino Linotype" w:hAnsi="Palatino Linotype" w:cs="Tahoma"/>
          <w:i/>
          <w:iCs/>
          <w:lang w:val="es-ES"/>
        </w:rPr>
      </w:pPr>
    </w:p>
    <w:p w14:paraId="31A4A86F" w14:textId="4507A8BB" w:rsidR="003D6028" w:rsidRPr="003D6028" w:rsidRDefault="003D6028" w:rsidP="008650E3">
      <w:pPr>
        <w:autoSpaceDE w:val="0"/>
        <w:autoSpaceDN w:val="0"/>
        <w:adjustRightInd w:val="0"/>
        <w:spacing w:line="360" w:lineRule="auto"/>
        <w:ind w:left="567" w:right="539"/>
        <w:jc w:val="both"/>
        <w:rPr>
          <w:rFonts w:ascii="Palatino Linotype" w:hAnsi="Palatino Linotype" w:cs="Tahoma"/>
          <w:i/>
          <w:iCs/>
          <w:lang w:val="es-ES"/>
        </w:rPr>
      </w:pPr>
      <w:r w:rsidRPr="003D6028">
        <w:rPr>
          <w:rFonts w:ascii="Palatino Linotype" w:hAnsi="Palatino Linotype" w:cs="Tahoma"/>
          <w:i/>
          <w:iCs/>
          <w:lang w:val="es-ES"/>
        </w:rPr>
        <w:t>Asimismo, deberán cumplirse los requisitos contenidos en los Lineamientos que emita la Secretaría para la elaboración y actualización de los Planes Municipales.</w:t>
      </w:r>
    </w:p>
    <w:p w14:paraId="51281A2D" w14:textId="2850656D" w:rsidR="00152578" w:rsidRDefault="00152578" w:rsidP="0004764C">
      <w:pPr>
        <w:autoSpaceDE w:val="0"/>
        <w:autoSpaceDN w:val="0"/>
        <w:adjustRightInd w:val="0"/>
        <w:spacing w:line="360" w:lineRule="auto"/>
        <w:jc w:val="both"/>
        <w:rPr>
          <w:rFonts w:ascii="Palatino Linotype" w:hAnsi="Palatino Linotype" w:cs="Tahoma"/>
          <w:sz w:val="22"/>
          <w:szCs w:val="22"/>
        </w:rPr>
      </w:pPr>
    </w:p>
    <w:p w14:paraId="2F4FDC64" w14:textId="4C5DA523" w:rsidR="003D6028" w:rsidRDefault="003D6028" w:rsidP="0004764C">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Es entonces, que no se identifica la obligación de generar los Planes de Desarrollo Urbano en una temporalidad </w:t>
      </w:r>
      <w:r w:rsidR="003A1B19">
        <w:rPr>
          <w:rFonts w:ascii="Palatino Linotype" w:hAnsi="Palatino Linotype" w:cs="Tahoma"/>
          <w:sz w:val="22"/>
          <w:szCs w:val="22"/>
        </w:rPr>
        <w:t>fija</w:t>
      </w:r>
      <w:r>
        <w:rPr>
          <w:rFonts w:ascii="Palatino Linotype" w:hAnsi="Palatino Linotype" w:cs="Tahoma"/>
          <w:sz w:val="22"/>
          <w:szCs w:val="22"/>
        </w:rPr>
        <w:t>, sino que deben atender a los procesos poblacionales relacionando los mismos a la aptitud territorial, por ello, no se identifica la obligación de tener un</w:t>
      </w:r>
      <w:r w:rsidR="003A1B19">
        <w:rPr>
          <w:rFonts w:ascii="Palatino Linotype" w:hAnsi="Palatino Linotype" w:cs="Tahoma"/>
          <w:sz w:val="22"/>
          <w:szCs w:val="22"/>
        </w:rPr>
        <w:t xml:space="preserve"> plan mas actualizado al que ya se encuentra publicado.</w:t>
      </w:r>
    </w:p>
    <w:p w14:paraId="54F41EB7" w14:textId="77777777" w:rsidR="003D6028" w:rsidRDefault="003D6028" w:rsidP="0004764C">
      <w:pPr>
        <w:autoSpaceDE w:val="0"/>
        <w:autoSpaceDN w:val="0"/>
        <w:adjustRightInd w:val="0"/>
        <w:spacing w:line="360" w:lineRule="auto"/>
        <w:jc w:val="both"/>
        <w:rPr>
          <w:rFonts w:ascii="Palatino Linotype" w:hAnsi="Palatino Linotype" w:cs="Tahoma"/>
          <w:sz w:val="22"/>
          <w:szCs w:val="22"/>
        </w:rPr>
      </w:pPr>
    </w:p>
    <w:p w14:paraId="415B562D" w14:textId="52FA6243" w:rsidR="0004764C" w:rsidRPr="0004764C" w:rsidRDefault="0004764C" w:rsidP="0004764C">
      <w:pPr>
        <w:autoSpaceDE w:val="0"/>
        <w:autoSpaceDN w:val="0"/>
        <w:adjustRightInd w:val="0"/>
        <w:spacing w:line="360" w:lineRule="auto"/>
        <w:jc w:val="both"/>
        <w:rPr>
          <w:rFonts w:ascii="Palatino Linotype" w:hAnsi="Palatino Linotype" w:cs="Tahoma"/>
          <w:b/>
          <w:sz w:val="22"/>
          <w:szCs w:val="22"/>
          <w:lang w:val="es-ES"/>
        </w:rPr>
      </w:pPr>
      <w:r w:rsidRPr="0004764C">
        <w:rPr>
          <w:rFonts w:ascii="Palatino Linotype" w:hAnsi="Palatino Linotype" w:cs="Tahoma"/>
          <w:sz w:val="22"/>
          <w:szCs w:val="22"/>
        </w:rPr>
        <w:t>Por lo expuesto</w:t>
      </w:r>
      <w:r w:rsidR="003A1B19">
        <w:rPr>
          <w:rFonts w:ascii="Palatino Linotype" w:hAnsi="Palatino Linotype" w:cs="Tahoma"/>
          <w:sz w:val="22"/>
          <w:szCs w:val="22"/>
        </w:rPr>
        <w:t xml:space="preserve"> se identifica que a través del Informe Justificado se atendió a la solicitud del Particular y por ello</w:t>
      </w:r>
      <w:r w:rsidRPr="0004764C">
        <w:rPr>
          <w:rFonts w:ascii="Palatino Linotype" w:hAnsi="Palatino Linotype" w:cs="Tahoma"/>
          <w:sz w:val="22"/>
          <w:szCs w:val="22"/>
        </w:rPr>
        <w:t xml:space="preserve"> se SOBRESEE el presente asunto</w:t>
      </w:r>
      <w:r w:rsidRPr="0004764C">
        <w:rPr>
          <w:rFonts w:ascii="Palatino Linotype" w:hAnsi="Palatino Linotype" w:cs="Tahoma"/>
          <w:sz w:val="22"/>
          <w:szCs w:val="22"/>
          <w:lang w:val="es-ES"/>
        </w:rPr>
        <w:t xml:space="preserve">, en términos del artículo 192, fracción III de la Ley de Transparencia y Acceso a la Información Pública del Estado de México y Municipios, que establece que el recurso es sobreseído toda vez que una vez admitido </w:t>
      </w:r>
      <w:r w:rsidRPr="0004764C">
        <w:rPr>
          <w:rFonts w:ascii="Palatino Linotype" w:hAnsi="Palatino Linotype" w:cs="Tahoma"/>
          <w:b/>
          <w:bCs/>
          <w:sz w:val="22"/>
          <w:szCs w:val="22"/>
          <w:lang w:val="es-ES"/>
        </w:rPr>
        <w:t>-e</w:t>
      </w:r>
      <w:r w:rsidRPr="0004764C">
        <w:rPr>
          <w:rFonts w:ascii="Palatino Linotype" w:hAnsi="Palatino Linotype" w:cs="Tahoma"/>
          <w:b/>
          <w:sz w:val="22"/>
          <w:szCs w:val="22"/>
          <w:lang w:val="es-ES"/>
        </w:rPr>
        <w:t>l sujeto obligado responsable del acto lo modifique o revoque de tal manera que el recurso de revisión quede sin materia-.</w:t>
      </w:r>
    </w:p>
    <w:p w14:paraId="6805DBA8" w14:textId="77777777" w:rsidR="0004764C" w:rsidRPr="0004764C" w:rsidRDefault="0004764C" w:rsidP="0004764C">
      <w:pPr>
        <w:autoSpaceDE w:val="0"/>
        <w:autoSpaceDN w:val="0"/>
        <w:adjustRightInd w:val="0"/>
        <w:spacing w:line="360" w:lineRule="auto"/>
        <w:jc w:val="both"/>
        <w:rPr>
          <w:rFonts w:ascii="Palatino Linotype" w:hAnsi="Palatino Linotype" w:cs="Tahoma"/>
          <w:b/>
          <w:sz w:val="22"/>
          <w:szCs w:val="22"/>
          <w:lang w:val="es-ES"/>
        </w:rPr>
      </w:pPr>
    </w:p>
    <w:p w14:paraId="43C897AB" w14:textId="77777777" w:rsidR="0004764C" w:rsidRPr="0004764C" w:rsidRDefault="0004764C" w:rsidP="0004764C">
      <w:pPr>
        <w:autoSpaceDE w:val="0"/>
        <w:autoSpaceDN w:val="0"/>
        <w:adjustRightInd w:val="0"/>
        <w:spacing w:line="360" w:lineRule="auto"/>
        <w:jc w:val="both"/>
        <w:rPr>
          <w:rFonts w:ascii="Palatino Linotype" w:hAnsi="Palatino Linotype" w:cs="Tahoma"/>
          <w:b/>
          <w:sz w:val="22"/>
          <w:szCs w:val="22"/>
          <w:lang w:val="es-ES"/>
        </w:rPr>
      </w:pPr>
      <w:r w:rsidRPr="0004764C">
        <w:rPr>
          <w:rFonts w:ascii="Palatino Linotype" w:hAnsi="Palatino Linotype" w:cs="Tahoma"/>
          <w:b/>
          <w:sz w:val="22"/>
          <w:szCs w:val="22"/>
          <w:lang w:val="es-ES"/>
        </w:rPr>
        <w:t xml:space="preserve">CUARTO. Decisión. </w:t>
      </w:r>
    </w:p>
    <w:p w14:paraId="016F5A95" w14:textId="77777777" w:rsidR="0004764C" w:rsidRPr="0004764C" w:rsidRDefault="0004764C" w:rsidP="0004764C">
      <w:pPr>
        <w:autoSpaceDE w:val="0"/>
        <w:autoSpaceDN w:val="0"/>
        <w:adjustRightInd w:val="0"/>
        <w:spacing w:line="360" w:lineRule="auto"/>
        <w:jc w:val="both"/>
        <w:rPr>
          <w:rFonts w:ascii="Palatino Linotype" w:hAnsi="Palatino Linotype" w:cs="Tahoma"/>
          <w:b/>
          <w:sz w:val="22"/>
          <w:szCs w:val="22"/>
          <w:lang w:val="es-ES"/>
        </w:rPr>
      </w:pPr>
    </w:p>
    <w:p w14:paraId="27F2C957" w14:textId="738B6E71" w:rsidR="0004764C" w:rsidRPr="0004764C" w:rsidRDefault="0004764C" w:rsidP="0004764C">
      <w:pPr>
        <w:autoSpaceDE w:val="0"/>
        <w:autoSpaceDN w:val="0"/>
        <w:adjustRightInd w:val="0"/>
        <w:spacing w:line="360" w:lineRule="auto"/>
        <w:jc w:val="both"/>
        <w:rPr>
          <w:rFonts w:ascii="Palatino Linotype" w:hAnsi="Palatino Linotype" w:cs="Tahoma"/>
          <w:bCs/>
          <w:sz w:val="22"/>
          <w:szCs w:val="22"/>
          <w:lang w:val="es-ES"/>
        </w:rPr>
      </w:pPr>
      <w:r w:rsidRPr="0004764C">
        <w:rPr>
          <w:rFonts w:ascii="Palatino Linotype" w:hAnsi="Palatino Linotype" w:cs="Tahoma"/>
          <w:bCs/>
          <w:sz w:val="22"/>
          <w:szCs w:val="22"/>
          <w:lang w:val="es-ES"/>
        </w:rPr>
        <w:t xml:space="preserve">Con fundamento en lo dispuesto en el artículo 186, fracción I, de la Ley de Transparencia y Acceso a la Información Pública del Estado de México y Municipios, se considera procedente </w:t>
      </w:r>
      <w:r w:rsidRPr="0004764C">
        <w:rPr>
          <w:rFonts w:ascii="Palatino Linotype" w:hAnsi="Palatino Linotype" w:cs="Tahoma"/>
          <w:b/>
          <w:sz w:val="22"/>
          <w:szCs w:val="22"/>
          <w:lang w:val="es-ES"/>
        </w:rPr>
        <w:t>SOBRESEER</w:t>
      </w:r>
      <w:r w:rsidRPr="0004764C">
        <w:rPr>
          <w:rFonts w:ascii="Palatino Linotype" w:hAnsi="Palatino Linotype" w:cs="Tahoma"/>
          <w:bCs/>
          <w:sz w:val="22"/>
          <w:szCs w:val="22"/>
          <w:lang w:val="es-ES"/>
        </w:rPr>
        <w:t xml:space="preserve"> el Recurso de Revisión, en virtud de que se actualiza la hipótesis normativa prevista en la fracción </w:t>
      </w:r>
      <w:r w:rsidR="00C60927">
        <w:rPr>
          <w:rFonts w:ascii="Palatino Linotype" w:hAnsi="Palatino Linotype" w:cs="Tahoma"/>
          <w:bCs/>
          <w:sz w:val="22"/>
          <w:szCs w:val="22"/>
          <w:lang w:val="es-ES"/>
        </w:rPr>
        <w:t>V</w:t>
      </w:r>
      <w:r w:rsidRPr="0004764C">
        <w:rPr>
          <w:rFonts w:ascii="Palatino Linotype" w:hAnsi="Palatino Linotype" w:cs="Tahoma"/>
          <w:bCs/>
          <w:sz w:val="22"/>
          <w:szCs w:val="22"/>
          <w:lang w:val="es-ES"/>
        </w:rPr>
        <w:t>, del artículo 192 del citado ordenamiento legal.</w:t>
      </w:r>
    </w:p>
    <w:p w14:paraId="2822E5D3" w14:textId="77777777" w:rsidR="0004764C" w:rsidRPr="0004764C" w:rsidRDefault="0004764C" w:rsidP="0004764C">
      <w:pPr>
        <w:autoSpaceDE w:val="0"/>
        <w:autoSpaceDN w:val="0"/>
        <w:adjustRightInd w:val="0"/>
        <w:spacing w:line="360" w:lineRule="auto"/>
        <w:jc w:val="both"/>
        <w:rPr>
          <w:rFonts w:ascii="Palatino Linotype" w:hAnsi="Palatino Linotype" w:cs="Tahoma"/>
          <w:b/>
          <w:sz w:val="22"/>
          <w:szCs w:val="22"/>
          <w:lang w:val="es-ES"/>
        </w:rPr>
      </w:pPr>
    </w:p>
    <w:p w14:paraId="5DD79F1D" w14:textId="77777777" w:rsidR="0004764C" w:rsidRPr="0004764C" w:rsidRDefault="0004764C" w:rsidP="0004764C">
      <w:pPr>
        <w:autoSpaceDE w:val="0"/>
        <w:autoSpaceDN w:val="0"/>
        <w:adjustRightInd w:val="0"/>
        <w:spacing w:line="360" w:lineRule="auto"/>
        <w:jc w:val="both"/>
        <w:rPr>
          <w:rFonts w:ascii="Palatino Linotype" w:hAnsi="Palatino Linotype" w:cs="Tahoma"/>
          <w:b/>
          <w:iCs/>
          <w:sz w:val="22"/>
          <w:szCs w:val="22"/>
        </w:rPr>
      </w:pPr>
      <w:r w:rsidRPr="0004764C">
        <w:rPr>
          <w:rFonts w:ascii="Palatino Linotype" w:hAnsi="Palatino Linotype" w:cs="Tahoma"/>
          <w:b/>
          <w:iCs/>
          <w:sz w:val="22"/>
          <w:szCs w:val="22"/>
        </w:rPr>
        <w:lastRenderedPageBreak/>
        <w:t>Términos de la Resolución para conocimiento del Particular.</w:t>
      </w:r>
    </w:p>
    <w:p w14:paraId="33FFFA5C" w14:textId="77777777" w:rsidR="0004764C" w:rsidRPr="0004764C" w:rsidRDefault="0004764C" w:rsidP="0004764C">
      <w:pPr>
        <w:autoSpaceDE w:val="0"/>
        <w:autoSpaceDN w:val="0"/>
        <w:adjustRightInd w:val="0"/>
        <w:spacing w:line="360" w:lineRule="auto"/>
        <w:jc w:val="both"/>
        <w:rPr>
          <w:rFonts w:ascii="Palatino Linotype" w:hAnsi="Palatino Linotype" w:cs="Tahoma"/>
          <w:b/>
          <w:bCs/>
          <w:iCs/>
          <w:sz w:val="22"/>
          <w:szCs w:val="22"/>
        </w:rPr>
      </w:pPr>
    </w:p>
    <w:p w14:paraId="7E345CE8" w14:textId="7A9CC792" w:rsidR="0004764C" w:rsidRPr="0004764C" w:rsidRDefault="0004764C" w:rsidP="0004764C">
      <w:pPr>
        <w:autoSpaceDE w:val="0"/>
        <w:autoSpaceDN w:val="0"/>
        <w:adjustRightInd w:val="0"/>
        <w:spacing w:line="360" w:lineRule="auto"/>
        <w:jc w:val="both"/>
        <w:rPr>
          <w:rFonts w:ascii="Palatino Linotype" w:hAnsi="Palatino Linotype" w:cs="Tahoma"/>
          <w:iCs/>
          <w:sz w:val="22"/>
          <w:szCs w:val="22"/>
        </w:rPr>
      </w:pPr>
      <w:r w:rsidRPr="0004764C">
        <w:rPr>
          <w:rFonts w:ascii="Palatino Linotype" w:hAnsi="Palatino Linotype" w:cs="Tahoma"/>
          <w:iCs/>
          <w:sz w:val="22"/>
          <w:szCs w:val="22"/>
        </w:rPr>
        <w:t xml:space="preserve">Se le hace del conocimiento al Particular que el Ayuntamiento de </w:t>
      </w:r>
      <w:r w:rsidR="00614F2F">
        <w:rPr>
          <w:rFonts w:ascii="Palatino Linotype" w:hAnsi="Palatino Linotype" w:cs="Tahoma"/>
          <w:iCs/>
          <w:sz w:val="22"/>
          <w:szCs w:val="22"/>
        </w:rPr>
        <w:t>Teoloyucan</w:t>
      </w:r>
      <w:r w:rsidRPr="0004764C">
        <w:rPr>
          <w:rFonts w:ascii="Palatino Linotype" w:hAnsi="Palatino Linotype" w:cs="Tahoma"/>
          <w:iCs/>
          <w:sz w:val="22"/>
          <w:szCs w:val="22"/>
        </w:rPr>
        <w:t xml:space="preserve">, entregó información en informe justificado </w:t>
      </w:r>
      <w:r w:rsidR="00614F2F">
        <w:rPr>
          <w:rFonts w:ascii="Palatino Linotype" w:hAnsi="Palatino Linotype" w:cs="Tahoma"/>
          <w:iCs/>
          <w:sz w:val="22"/>
          <w:szCs w:val="22"/>
        </w:rPr>
        <w:t>que da cuenta de los limites del Ayuntamiento de Teoloyucan, información que sirve para atender a su solicitud primigenia.</w:t>
      </w:r>
    </w:p>
    <w:p w14:paraId="39DD270B" w14:textId="77777777" w:rsidR="0004764C" w:rsidRPr="0004764C" w:rsidRDefault="0004764C" w:rsidP="0004764C">
      <w:pPr>
        <w:autoSpaceDE w:val="0"/>
        <w:autoSpaceDN w:val="0"/>
        <w:adjustRightInd w:val="0"/>
        <w:spacing w:line="360" w:lineRule="auto"/>
        <w:jc w:val="both"/>
        <w:rPr>
          <w:rFonts w:ascii="Palatino Linotype" w:hAnsi="Palatino Linotype" w:cs="Tahoma"/>
          <w:iCs/>
          <w:sz w:val="22"/>
          <w:szCs w:val="22"/>
          <w:u w:val="single"/>
          <w:lang w:val="x-none"/>
        </w:rPr>
      </w:pPr>
    </w:p>
    <w:p w14:paraId="742FA716" w14:textId="77777777" w:rsidR="0004764C" w:rsidRPr="0004764C" w:rsidRDefault="0004764C" w:rsidP="0004764C">
      <w:pPr>
        <w:autoSpaceDE w:val="0"/>
        <w:autoSpaceDN w:val="0"/>
        <w:adjustRightInd w:val="0"/>
        <w:spacing w:line="360" w:lineRule="auto"/>
        <w:jc w:val="both"/>
        <w:rPr>
          <w:rFonts w:ascii="Palatino Linotype" w:hAnsi="Palatino Linotype" w:cs="Tahoma"/>
          <w:iCs/>
          <w:sz w:val="22"/>
          <w:szCs w:val="22"/>
          <w:u w:val="single"/>
        </w:rPr>
      </w:pPr>
      <w:r w:rsidRPr="0004764C">
        <w:rPr>
          <w:rFonts w:ascii="Palatino Linotype" w:hAnsi="Palatino Linotype" w:cs="Tahoma"/>
          <w:iCs/>
          <w:sz w:val="22"/>
          <w:szCs w:val="22"/>
          <w:u w:val="single"/>
          <w:lang w:val="x-none"/>
        </w:rPr>
        <w:t>F</w:t>
      </w:r>
      <w:r w:rsidRPr="0004764C">
        <w:rPr>
          <w:rFonts w:ascii="Palatino Linotype" w:hAnsi="Palatino Linotype" w:cs="Tahoma"/>
          <w:iCs/>
          <w:sz w:val="22"/>
          <w:szCs w:val="22"/>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6329EBE1" w14:textId="77777777" w:rsidR="0004764C" w:rsidRPr="0004764C" w:rsidRDefault="0004764C" w:rsidP="0004764C">
      <w:pPr>
        <w:autoSpaceDE w:val="0"/>
        <w:autoSpaceDN w:val="0"/>
        <w:adjustRightInd w:val="0"/>
        <w:spacing w:line="360" w:lineRule="auto"/>
        <w:jc w:val="both"/>
        <w:rPr>
          <w:rFonts w:ascii="Palatino Linotype" w:hAnsi="Palatino Linotype" w:cs="Tahoma"/>
          <w:b/>
          <w:sz w:val="22"/>
          <w:szCs w:val="22"/>
        </w:rPr>
      </w:pPr>
    </w:p>
    <w:p w14:paraId="5A4AFE5D"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r w:rsidRPr="0004764C">
        <w:rPr>
          <w:rFonts w:ascii="Palatino Linotype" w:eastAsia="Calibri" w:hAnsi="Palatino Linotype" w:cs="Tahoma"/>
          <w:bCs/>
          <w:iCs/>
          <w:color w:val="000000"/>
          <w:sz w:val="22"/>
          <w:szCs w:val="22"/>
          <w:lang w:eastAsia="es-MX"/>
        </w:rPr>
        <w:t xml:space="preserve">Por lo antes expuesto y fundado. </w:t>
      </w:r>
    </w:p>
    <w:p w14:paraId="0A0D17A5"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p>
    <w:p w14:paraId="3350D0F6" w14:textId="77777777" w:rsidR="0004764C" w:rsidRPr="0004764C" w:rsidRDefault="0004764C" w:rsidP="004028DA">
      <w:pPr>
        <w:autoSpaceDE w:val="0"/>
        <w:autoSpaceDN w:val="0"/>
        <w:adjustRightInd w:val="0"/>
        <w:spacing w:line="360" w:lineRule="auto"/>
        <w:jc w:val="center"/>
        <w:rPr>
          <w:rFonts w:ascii="Palatino Linotype" w:eastAsia="Calibri" w:hAnsi="Palatino Linotype" w:cs="Tahoma"/>
          <w:b/>
          <w:bCs/>
          <w:iCs/>
          <w:color w:val="000000"/>
          <w:sz w:val="22"/>
          <w:szCs w:val="22"/>
          <w:lang w:eastAsia="es-MX"/>
        </w:rPr>
      </w:pPr>
      <w:r w:rsidRPr="0004764C">
        <w:rPr>
          <w:rFonts w:ascii="Palatino Linotype" w:eastAsia="Calibri" w:hAnsi="Palatino Linotype" w:cs="Tahoma"/>
          <w:b/>
          <w:bCs/>
          <w:iCs/>
          <w:color w:val="000000"/>
          <w:sz w:val="22"/>
          <w:szCs w:val="22"/>
          <w:lang w:eastAsia="es-MX"/>
        </w:rPr>
        <w:t>R E S U E L V E:</w:t>
      </w:r>
    </w:p>
    <w:p w14:paraId="3E6D33CD"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7E690F6B" w14:textId="37A2324D" w:rsidR="0004764C" w:rsidRPr="005F69FA" w:rsidRDefault="0004764C" w:rsidP="0004764C">
      <w:pPr>
        <w:autoSpaceDE w:val="0"/>
        <w:autoSpaceDN w:val="0"/>
        <w:adjustRightInd w:val="0"/>
        <w:spacing w:line="360" w:lineRule="auto"/>
        <w:jc w:val="both"/>
        <w:rPr>
          <w:rFonts w:ascii="Palatino Linotype" w:eastAsia="Calibri" w:hAnsi="Palatino Linotype" w:cs="Tahoma"/>
          <w:sz w:val="22"/>
          <w:szCs w:val="22"/>
        </w:rPr>
      </w:pPr>
      <w:r w:rsidRPr="0004764C">
        <w:rPr>
          <w:rFonts w:ascii="Palatino Linotype" w:eastAsia="Calibri" w:hAnsi="Palatino Linotype" w:cs="Tahoma"/>
          <w:b/>
          <w:bCs/>
          <w:iCs/>
          <w:color w:val="000000"/>
          <w:sz w:val="22"/>
          <w:szCs w:val="22"/>
          <w:lang w:eastAsia="es-MX"/>
        </w:rPr>
        <w:t xml:space="preserve">PRIMERO. </w:t>
      </w:r>
      <w:r w:rsidRPr="0004764C">
        <w:rPr>
          <w:rFonts w:ascii="Palatino Linotype" w:eastAsia="Calibri" w:hAnsi="Palatino Linotype" w:cs="Tahoma"/>
          <w:bCs/>
          <w:iCs/>
          <w:color w:val="000000"/>
          <w:sz w:val="22"/>
          <w:szCs w:val="22"/>
          <w:lang w:eastAsia="es-MX"/>
        </w:rPr>
        <w:t xml:space="preserve">Se </w:t>
      </w:r>
      <w:r w:rsidRPr="0004764C">
        <w:rPr>
          <w:rFonts w:ascii="Palatino Linotype" w:eastAsia="Calibri" w:hAnsi="Palatino Linotype" w:cs="Tahoma"/>
          <w:b/>
          <w:bCs/>
          <w:iCs/>
          <w:color w:val="000000"/>
          <w:sz w:val="22"/>
          <w:szCs w:val="22"/>
          <w:lang w:eastAsia="es-MX"/>
        </w:rPr>
        <w:t xml:space="preserve">SOBRESEE </w:t>
      </w:r>
      <w:r w:rsidRPr="0004764C">
        <w:rPr>
          <w:rFonts w:ascii="Palatino Linotype" w:eastAsia="Calibri" w:hAnsi="Palatino Linotype" w:cs="Tahoma"/>
          <w:bCs/>
          <w:iCs/>
          <w:color w:val="000000"/>
          <w:sz w:val="22"/>
          <w:szCs w:val="22"/>
          <w:lang w:eastAsia="es-MX"/>
        </w:rPr>
        <w:t xml:space="preserve">el Recurso de Revisión con número </w:t>
      </w:r>
      <w:r w:rsidRPr="0004764C">
        <w:rPr>
          <w:rFonts w:ascii="Palatino Linotype" w:eastAsia="Calibri" w:hAnsi="Palatino Linotype" w:cs="Tahoma"/>
          <w:b/>
          <w:bCs/>
          <w:sz w:val="22"/>
          <w:szCs w:val="22"/>
        </w:rPr>
        <w:t>00</w:t>
      </w:r>
      <w:r w:rsidR="00614F2F">
        <w:rPr>
          <w:rFonts w:ascii="Palatino Linotype" w:eastAsia="Calibri" w:hAnsi="Palatino Linotype" w:cs="Tahoma"/>
          <w:b/>
          <w:bCs/>
          <w:sz w:val="22"/>
          <w:szCs w:val="22"/>
        </w:rPr>
        <w:t>811</w:t>
      </w:r>
      <w:r w:rsidRPr="0004764C">
        <w:rPr>
          <w:rFonts w:ascii="Palatino Linotype" w:eastAsia="Calibri" w:hAnsi="Palatino Linotype" w:cs="Tahoma"/>
          <w:b/>
          <w:bCs/>
          <w:sz w:val="22"/>
          <w:szCs w:val="22"/>
        </w:rPr>
        <w:t>/INFOEM/IP/RR/2022</w:t>
      </w:r>
      <w:r w:rsidRPr="0004764C">
        <w:rPr>
          <w:rFonts w:ascii="Palatino Linotype" w:eastAsia="Calibri" w:hAnsi="Palatino Linotype" w:cs="Tahoma"/>
          <w:sz w:val="22"/>
          <w:szCs w:val="22"/>
        </w:rPr>
        <w:t xml:space="preserve">, porque </w:t>
      </w:r>
      <w:r w:rsidR="005F69FA">
        <w:rPr>
          <w:rFonts w:ascii="Palatino Linotype" w:eastAsia="Calibri" w:hAnsi="Palatino Linotype" w:cs="Tahoma"/>
          <w:sz w:val="22"/>
          <w:szCs w:val="22"/>
        </w:rPr>
        <w:t xml:space="preserve">el Sujeto </w:t>
      </w:r>
      <w:r w:rsidR="005F69FA" w:rsidRPr="005F69FA">
        <w:rPr>
          <w:rFonts w:ascii="Palatino Linotype" w:eastAsia="Calibri" w:hAnsi="Palatino Linotype" w:cs="Tahoma"/>
          <w:sz w:val="22"/>
          <w:szCs w:val="22"/>
        </w:rPr>
        <w:t>Obligado</w:t>
      </w:r>
      <w:r w:rsidR="00026FE4">
        <w:rPr>
          <w:rFonts w:ascii="Palatino Linotype" w:eastAsia="Calibri" w:hAnsi="Palatino Linotype" w:cs="Tahoma"/>
          <w:sz w:val="22"/>
          <w:szCs w:val="22"/>
        </w:rPr>
        <w:t xml:space="preserve"> al modificar su actuar </w:t>
      </w:r>
      <w:r w:rsidR="00B02E09">
        <w:rPr>
          <w:rFonts w:ascii="Palatino Linotype" w:eastAsia="Calibri" w:hAnsi="Palatino Linotype" w:cs="Tahoma"/>
          <w:sz w:val="22"/>
          <w:szCs w:val="22"/>
        </w:rPr>
        <w:t>en</w:t>
      </w:r>
      <w:r w:rsidR="005F69FA" w:rsidRPr="005F69FA">
        <w:rPr>
          <w:rFonts w:ascii="Palatino Linotype" w:eastAsia="Calibri" w:hAnsi="Palatino Linotype" w:cs="Tahoma"/>
          <w:sz w:val="22"/>
          <w:szCs w:val="22"/>
        </w:rPr>
        <w:t xml:space="preserve"> la solicitud de acceso a la información con número al número de folio </w:t>
      </w:r>
      <w:r w:rsidR="005F69FA" w:rsidRPr="005F69FA">
        <w:rPr>
          <w:rFonts w:ascii="Palatino Linotype" w:hAnsi="Palatino Linotype" w:cs="Tahoma"/>
          <w:color w:val="0D0D0D" w:themeColor="text1" w:themeTint="F2"/>
          <w:sz w:val="22"/>
          <w:szCs w:val="22"/>
        </w:rPr>
        <w:t>00030/TEOLOYU/IP/2022</w:t>
      </w:r>
      <w:r w:rsidRPr="005F69FA">
        <w:rPr>
          <w:rFonts w:ascii="Palatino Linotype" w:eastAsia="Calibri" w:hAnsi="Palatino Linotype" w:cs="Tahoma"/>
          <w:sz w:val="22"/>
          <w:szCs w:val="22"/>
        </w:rPr>
        <w:t xml:space="preserve">, </w:t>
      </w:r>
      <w:r w:rsidR="00026FE4" w:rsidRPr="00B52493">
        <w:rPr>
          <w:rFonts w:ascii="Palatino Linotype" w:eastAsia="Calibri" w:hAnsi="Palatino Linotype" w:cs="Tahoma"/>
          <w:b/>
          <w:bCs/>
          <w:sz w:val="22"/>
          <w:szCs w:val="22"/>
        </w:rPr>
        <w:t>el M</w:t>
      </w:r>
      <w:r w:rsidR="005F69FA" w:rsidRPr="00B52493">
        <w:rPr>
          <w:rFonts w:ascii="Palatino Linotype" w:eastAsia="Calibri" w:hAnsi="Palatino Linotype" w:cs="Tahoma"/>
          <w:b/>
          <w:bCs/>
          <w:sz w:val="22"/>
          <w:szCs w:val="22"/>
        </w:rPr>
        <w:t>edio de Impugnación quedó sin materia</w:t>
      </w:r>
      <w:r w:rsidR="005F69FA" w:rsidRPr="005F69FA">
        <w:rPr>
          <w:rFonts w:ascii="Palatino Linotype" w:eastAsia="Calibri" w:hAnsi="Palatino Linotype" w:cs="Tahoma"/>
          <w:sz w:val="22"/>
          <w:szCs w:val="22"/>
        </w:rPr>
        <w:t>,</w:t>
      </w:r>
      <w:r w:rsidRPr="005F69FA">
        <w:rPr>
          <w:rFonts w:ascii="Palatino Linotype" w:eastAsia="Calibri" w:hAnsi="Palatino Linotype" w:cs="Tahoma"/>
          <w:sz w:val="22"/>
          <w:szCs w:val="22"/>
        </w:rPr>
        <w:t xml:space="preserve"> </w:t>
      </w:r>
      <w:r w:rsidRPr="005F69FA">
        <w:rPr>
          <w:rFonts w:ascii="Palatino Linotype" w:eastAsia="Calibri" w:hAnsi="Palatino Linotype" w:cs="Tahoma"/>
          <w:iCs/>
          <w:color w:val="000000"/>
          <w:sz w:val="22"/>
          <w:szCs w:val="22"/>
          <w:lang w:eastAsia="es-MX"/>
        </w:rPr>
        <w:t xml:space="preserve">en términos de los Considerandos </w:t>
      </w:r>
      <w:r w:rsidRPr="005F69FA">
        <w:rPr>
          <w:rFonts w:ascii="Palatino Linotype" w:eastAsia="Calibri" w:hAnsi="Palatino Linotype" w:cs="Tahoma"/>
          <w:b/>
          <w:bCs/>
          <w:iCs/>
          <w:color w:val="000000"/>
          <w:sz w:val="22"/>
          <w:szCs w:val="22"/>
          <w:lang w:eastAsia="es-MX"/>
        </w:rPr>
        <w:t>TERCERO</w:t>
      </w:r>
      <w:r w:rsidRPr="005F69FA">
        <w:rPr>
          <w:rFonts w:ascii="Palatino Linotype" w:eastAsia="Calibri" w:hAnsi="Palatino Linotype" w:cs="Tahoma"/>
          <w:iCs/>
          <w:color w:val="000000"/>
          <w:sz w:val="22"/>
          <w:szCs w:val="22"/>
          <w:lang w:eastAsia="es-MX"/>
        </w:rPr>
        <w:t xml:space="preserve"> y </w:t>
      </w:r>
      <w:r w:rsidRPr="005F69FA">
        <w:rPr>
          <w:rFonts w:ascii="Palatino Linotype" w:eastAsia="Calibri" w:hAnsi="Palatino Linotype" w:cs="Tahoma"/>
          <w:b/>
          <w:bCs/>
          <w:iCs/>
          <w:color w:val="000000"/>
          <w:sz w:val="22"/>
          <w:szCs w:val="22"/>
          <w:lang w:eastAsia="es-MX"/>
        </w:rPr>
        <w:t>CUARTO</w:t>
      </w:r>
      <w:r w:rsidRPr="005F69FA">
        <w:rPr>
          <w:rFonts w:ascii="Palatino Linotype" w:eastAsia="Calibri" w:hAnsi="Palatino Linotype" w:cs="Tahoma"/>
          <w:iCs/>
          <w:color w:val="000000"/>
          <w:sz w:val="22"/>
          <w:szCs w:val="22"/>
          <w:lang w:eastAsia="es-MX"/>
        </w:rPr>
        <w:t xml:space="preserve"> de la presente Resolución.</w:t>
      </w:r>
    </w:p>
    <w:p w14:paraId="1F8174CF"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i/>
          <w:iCs/>
          <w:color w:val="000000"/>
          <w:sz w:val="22"/>
          <w:szCs w:val="22"/>
          <w:lang w:eastAsia="es-MX"/>
        </w:rPr>
      </w:pPr>
    </w:p>
    <w:p w14:paraId="446AE345"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r w:rsidRPr="0004764C">
        <w:rPr>
          <w:rFonts w:ascii="Palatino Linotype" w:eastAsia="Calibri" w:hAnsi="Palatino Linotype" w:cs="Tahoma"/>
          <w:b/>
          <w:bCs/>
          <w:iCs/>
          <w:color w:val="000000"/>
          <w:sz w:val="22"/>
          <w:szCs w:val="22"/>
          <w:lang w:eastAsia="es-MX"/>
        </w:rPr>
        <w:t xml:space="preserve">SEGUNDO. NOTIFÍQUESE </w:t>
      </w:r>
      <w:r w:rsidRPr="0004764C">
        <w:rPr>
          <w:rFonts w:ascii="Palatino Linotype" w:eastAsia="Calibri" w:hAnsi="Palatino Linotype" w:cs="Tahoma"/>
          <w:bCs/>
          <w:iCs/>
          <w:color w:val="000000"/>
          <w:sz w:val="22"/>
          <w:szCs w:val="22"/>
          <w:lang w:eastAsia="es-MX"/>
        </w:rPr>
        <w:t>la presente Resolución al Titular de la Unidad de Transparencia del Sujeto Obligado a través del Sistema de Acceso a la Información Mexiquense (SAIMEX).</w:t>
      </w:r>
    </w:p>
    <w:p w14:paraId="539D9F23"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Cs/>
          <w:i/>
          <w:iCs/>
          <w:color w:val="000000"/>
          <w:sz w:val="22"/>
          <w:szCs w:val="22"/>
          <w:lang w:eastAsia="es-MX"/>
        </w:rPr>
      </w:pPr>
    </w:p>
    <w:p w14:paraId="60EEF015" w14:textId="77777777" w:rsidR="0004764C" w:rsidRPr="0004764C" w:rsidRDefault="0004764C" w:rsidP="0004764C">
      <w:pPr>
        <w:autoSpaceDE w:val="0"/>
        <w:autoSpaceDN w:val="0"/>
        <w:adjustRightInd w:val="0"/>
        <w:spacing w:line="360" w:lineRule="auto"/>
        <w:jc w:val="both"/>
        <w:rPr>
          <w:rFonts w:ascii="Palatino Linotype" w:eastAsia="Calibri" w:hAnsi="Palatino Linotype" w:cs="Tahoma"/>
          <w:b/>
          <w:bCs/>
          <w:iCs/>
          <w:color w:val="000000"/>
          <w:sz w:val="22"/>
          <w:szCs w:val="22"/>
          <w:lang w:eastAsia="es-MX"/>
        </w:rPr>
      </w:pPr>
      <w:r w:rsidRPr="0004764C">
        <w:rPr>
          <w:rFonts w:ascii="Palatino Linotype" w:eastAsia="Calibri" w:hAnsi="Palatino Linotype" w:cs="Tahoma"/>
          <w:b/>
          <w:bCs/>
          <w:iCs/>
          <w:color w:val="000000"/>
          <w:sz w:val="22"/>
          <w:szCs w:val="22"/>
          <w:lang w:eastAsia="es-MX"/>
        </w:rPr>
        <w:t xml:space="preserve">TERCERO. NOTIFÍQUESE </w:t>
      </w:r>
      <w:r w:rsidRPr="0004764C">
        <w:rPr>
          <w:rFonts w:ascii="Palatino Linotype" w:eastAsia="Calibri" w:hAnsi="Palatino Linotype" w:cs="Tahoma"/>
          <w:bCs/>
          <w:iCs/>
          <w:color w:val="000000"/>
          <w:sz w:val="22"/>
          <w:szCs w:val="22"/>
          <w:lang w:eastAsia="es-MX"/>
        </w:rPr>
        <w:t xml:space="preserve">al Recurrente la presente Resolución a través del Sistema de Acceso a la Información Mexiquense (SAIMEX); asimismo, se hace de su conocimiento que de conformidad con lo establecido en el artículo 196 de la Ley de Transparencia y Acceso a la </w:t>
      </w:r>
      <w:r w:rsidRPr="0004764C">
        <w:rPr>
          <w:rFonts w:ascii="Palatino Linotype" w:eastAsia="Calibri" w:hAnsi="Palatino Linotype" w:cs="Tahoma"/>
          <w:bCs/>
          <w:iCs/>
          <w:color w:val="000000"/>
          <w:sz w:val="22"/>
          <w:szCs w:val="22"/>
          <w:lang w:eastAsia="es-MX"/>
        </w:rPr>
        <w:lastRenderedPageBreak/>
        <w:t>Información Pública del Estado de México y Municipios podrá promover el Juicio de Amparo en los términos de las leyes aplicables.</w:t>
      </w:r>
    </w:p>
    <w:p w14:paraId="63C8D4C6" w14:textId="77777777" w:rsidR="006D3EC0" w:rsidRDefault="006D3EC0" w:rsidP="006D3EC0">
      <w:pPr>
        <w:spacing w:line="360" w:lineRule="auto"/>
        <w:rPr>
          <w:rFonts w:cs="Tahoma"/>
        </w:rPr>
      </w:pPr>
    </w:p>
    <w:p w14:paraId="50BE9A3E" w14:textId="13B49860" w:rsidR="000629EB" w:rsidRDefault="000629EB" w:rsidP="006D3EC0">
      <w:pPr>
        <w:spacing w:line="360" w:lineRule="auto"/>
        <w:ind w:right="-93"/>
        <w:jc w:val="both"/>
        <w:rPr>
          <w:rFonts w:ascii="Palatino Linotype" w:eastAsia="Calibri" w:hAnsi="Palatino Linotype" w:cs="Tahoma"/>
          <w:sz w:val="22"/>
          <w:szCs w:val="22"/>
          <w:lang w:val="es-ES" w:eastAsia="en-US"/>
        </w:rPr>
      </w:pPr>
      <w:r w:rsidRPr="6E6F311A">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Calibri" w:hAnsi="Palatino Linotype" w:cs="Tahoma"/>
          <w:sz w:val="22"/>
          <w:szCs w:val="22"/>
          <w:lang w:val="es-ES" w:eastAsia="en-US"/>
        </w:rPr>
        <w:t xml:space="preserve">DÉCIMA </w:t>
      </w:r>
      <w:r w:rsidR="00596234">
        <w:rPr>
          <w:rFonts w:ascii="Palatino Linotype" w:eastAsia="Calibri" w:hAnsi="Palatino Linotype" w:cs="Tahoma"/>
          <w:sz w:val="22"/>
          <w:szCs w:val="22"/>
          <w:lang w:val="es-ES" w:eastAsia="en-US"/>
        </w:rPr>
        <w:t>QUINTA</w:t>
      </w:r>
      <w:r w:rsidRPr="6E6F311A">
        <w:rPr>
          <w:rFonts w:ascii="Palatino Linotype" w:eastAsia="Calibri" w:hAnsi="Palatino Linotype" w:cs="Tahoma"/>
          <w:sz w:val="22"/>
          <w:szCs w:val="22"/>
          <w:lang w:val="es-ES" w:eastAsia="en-US"/>
        </w:rPr>
        <w:t xml:space="preserve"> SESIÓN ORDINARIA, CELEBRADA EL </w:t>
      </w:r>
      <w:r w:rsidR="00596234">
        <w:rPr>
          <w:rFonts w:ascii="Palatino Linotype" w:eastAsia="Calibri" w:hAnsi="Palatino Linotype" w:cs="Tahoma"/>
          <w:sz w:val="22"/>
          <w:szCs w:val="22"/>
          <w:lang w:val="es-ES" w:eastAsia="en-US"/>
        </w:rPr>
        <w:t>VEINTISIETE</w:t>
      </w:r>
      <w:r w:rsidRPr="6E6F311A">
        <w:rPr>
          <w:rFonts w:ascii="Palatino Linotype" w:eastAsia="Calibri" w:hAnsi="Palatino Linotype" w:cs="Tahoma"/>
          <w:sz w:val="22"/>
          <w:szCs w:val="22"/>
          <w:lang w:val="es-ES" w:eastAsia="en-US"/>
        </w:rPr>
        <w:t xml:space="preserve"> DE </w:t>
      </w:r>
      <w:r>
        <w:rPr>
          <w:rFonts w:ascii="Palatino Linotype" w:eastAsia="Calibri" w:hAnsi="Palatino Linotype" w:cs="Tahoma"/>
          <w:sz w:val="22"/>
          <w:szCs w:val="22"/>
          <w:lang w:val="es-ES" w:eastAsia="en-US"/>
        </w:rPr>
        <w:t>ABRIL</w:t>
      </w:r>
      <w:r w:rsidRPr="6E6F311A">
        <w:rPr>
          <w:rFonts w:ascii="Palatino Linotype" w:eastAsia="Calibri" w:hAnsi="Palatino Linotype" w:cs="Tahoma"/>
          <w:sz w:val="22"/>
          <w:szCs w:val="22"/>
          <w:lang w:val="es-ES" w:eastAsia="en-US"/>
        </w:rPr>
        <w:t xml:space="preserve"> DE DOS MIL </w:t>
      </w:r>
      <w:r>
        <w:rPr>
          <w:rFonts w:ascii="Palatino Linotype" w:eastAsia="Calibri" w:hAnsi="Palatino Linotype" w:cs="Tahoma"/>
          <w:sz w:val="22"/>
          <w:szCs w:val="22"/>
          <w:lang w:val="es-ES" w:eastAsia="en-US"/>
        </w:rPr>
        <w:t>VEINTIDÓS</w:t>
      </w:r>
      <w:r w:rsidRPr="6E6F311A">
        <w:rPr>
          <w:rFonts w:ascii="Palatino Linotype" w:eastAsia="Calibri" w:hAnsi="Palatino Linotype" w:cs="Tahoma"/>
          <w:sz w:val="22"/>
          <w:szCs w:val="22"/>
          <w:lang w:val="es-ES" w:eastAsia="en-US"/>
        </w:rPr>
        <w:t>, ANTE EL SECRETARIO TÉCNICO DEL PLENO, ALEXIS TAPIA RAMÍREZ</w:t>
      </w:r>
      <w:r>
        <w:rPr>
          <w:rFonts w:ascii="Palatino Linotype" w:eastAsia="Calibri" w:hAnsi="Palatino Linotype" w:cs="Tahoma"/>
          <w:sz w:val="22"/>
          <w:szCs w:val="22"/>
          <w:lang w:val="es-ES" w:eastAsia="en-US"/>
        </w:rPr>
        <w:t>.</w:t>
      </w:r>
    </w:p>
    <w:p w14:paraId="4CDBBB5B" w14:textId="77777777" w:rsidR="00592E8F" w:rsidRPr="00BB5277" w:rsidRDefault="00592E8F" w:rsidP="006D3EC0">
      <w:pPr>
        <w:spacing w:line="259" w:lineRule="auto"/>
        <w:rPr>
          <w:rFonts w:ascii="Palatino Linotype" w:eastAsia="Calibri" w:hAnsi="Palatino Linotype" w:cs="Tahoma"/>
          <w:sz w:val="22"/>
          <w:szCs w:val="22"/>
          <w:lang w:val="es-ES" w:eastAsia="en-US"/>
        </w:rPr>
      </w:pPr>
      <w:r w:rsidRPr="00BB5277">
        <w:rPr>
          <w:rFonts w:ascii="Palatino Linotype" w:eastAsia="Calibri" w:hAnsi="Palatino Linotype" w:cs="Tahoma"/>
          <w:sz w:val="22"/>
          <w:szCs w:val="22"/>
          <w:lang w:val="es-ES" w:eastAsia="en-US"/>
        </w:rPr>
        <w:br w:type="page"/>
      </w:r>
    </w:p>
    <w:p w14:paraId="432E0AEA" w14:textId="77777777" w:rsidR="0039391D" w:rsidRPr="00BB5277" w:rsidRDefault="0039391D" w:rsidP="006D3EC0">
      <w:pPr>
        <w:spacing w:line="360" w:lineRule="auto"/>
        <w:ind w:right="-93"/>
        <w:jc w:val="both"/>
        <w:rPr>
          <w:rFonts w:ascii="Palatino Linotype" w:eastAsia="Calibri" w:hAnsi="Palatino Linotype" w:cs="Tahoma"/>
          <w:bCs/>
          <w:sz w:val="22"/>
          <w:szCs w:val="22"/>
          <w:lang w:eastAsia="en-US"/>
        </w:rPr>
      </w:pPr>
    </w:p>
    <w:sectPr w:rsidR="0039391D" w:rsidRPr="00BB5277" w:rsidSect="009D5C33">
      <w:headerReference w:type="default" r:id="rId18"/>
      <w:footerReference w:type="default" r:id="rId19"/>
      <w:headerReference w:type="first" r:id="rId20"/>
      <w:footerReference w:type="first" r:id="rId21"/>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8E91" w14:textId="77777777" w:rsidR="00D454A6" w:rsidRDefault="00D454A6" w:rsidP="00B31222">
      <w:r>
        <w:separator/>
      </w:r>
    </w:p>
  </w:endnote>
  <w:endnote w:type="continuationSeparator" w:id="0">
    <w:p w14:paraId="49FFCD59" w14:textId="77777777" w:rsidR="00D454A6" w:rsidRDefault="00D454A6" w:rsidP="00B31222">
      <w:r>
        <w:continuationSeparator/>
      </w:r>
    </w:p>
  </w:endnote>
  <w:endnote w:type="continuationNotice" w:id="1">
    <w:p w14:paraId="3CAE7CC1" w14:textId="77777777" w:rsidR="00D454A6" w:rsidRDefault="00D45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5557F7" w:rsidRDefault="005557F7">
            <w:pPr>
              <w:pStyle w:val="Piedepgina"/>
              <w:jc w:val="right"/>
            </w:pPr>
          </w:p>
          <w:p w14:paraId="58BFAB62" w14:textId="0901A5F3"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6FE4">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6FE4">
              <w:rPr>
                <w:b/>
                <w:bCs/>
                <w:noProof/>
              </w:rPr>
              <w:t>20</w:t>
            </w:r>
            <w:r>
              <w:rPr>
                <w:b/>
                <w:bCs/>
                <w:sz w:val="24"/>
                <w:szCs w:val="24"/>
              </w:rPr>
              <w:fldChar w:fldCharType="end"/>
            </w:r>
          </w:p>
        </w:sdtContent>
      </w:sdt>
    </w:sdtContent>
  </w:sdt>
  <w:p w14:paraId="4C1EBC12" w14:textId="77777777" w:rsidR="005557F7" w:rsidRDefault="005557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6FE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6FE4">
              <w:rPr>
                <w:b/>
                <w:bCs/>
                <w:noProof/>
              </w:rPr>
              <w:t>20</w:t>
            </w:r>
            <w:r>
              <w:rPr>
                <w:b/>
                <w:bCs/>
                <w:sz w:val="24"/>
                <w:szCs w:val="24"/>
              </w:rPr>
              <w:fldChar w:fldCharType="end"/>
            </w:r>
          </w:p>
        </w:sdtContent>
      </w:sdt>
    </w:sdtContent>
  </w:sdt>
  <w:p w14:paraId="15BD444E" w14:textId="77777777" w:rsidR="005557F7" w:rsidRDefault="005557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114E2" w14:textId="77777777" w:rsidR="00D454A6" w:rsidRDefault="00D454A6" w:rsidP="00B31222">
      <w:r>
        <w:separator/>
      </w:r>
    </w:p>
  </w:footnote>
  <w:footnote w:type="continuationSeparator" w:id="0">
    <w:p w14:paraId="1C86DCE0" w14:textId="77777777" w:rsidR="00D454A6" w:rsidRDefault="00D454A6" w:rsidP="00B31222">
      <w:r>
        <w:continuationSeparator/>
      </w:r>
    </w:p>
  </w:footnote>
  <w:footnote w:type="continuationNotice" w:id="1">
    <w:p w14:paraId="75F80F1F" w14:textId="77777777" w:rsidR="00D454A6" w:rsidRDefault="00D454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5557F7" w:rsidRPr="005C106F" w14:paraId="717A868E" w14:textId="77777777" w:rsidTr="002465DF">
      <w:trPr>
        <w:trHeight w:val="1435"/>
      </w:trPr>
      <w:tc>
        <w:tcPr>
          <w:tcW w:w="283" w:type="dxa"/>
          <w:shd w:val="clear" w:color="auto" w:fill="auto"/>
        </w:tcPr>
        <w:p w14:paraId="4289BF87" w14:textId="424F5393" w:rsidR="005557F7" w:rsidRPr="005C106F" w:rsidRDefault="005557F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5557F7" w:rsidRDefault="005557F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5557F7" w14:paraId="39F88D19" w14:textId="77777777" w:rsidTr="002465DF">
            <w:trPr>
              <w:trHeight w:val="99"/>
            </w:trPr>
            <w:tc>
              <w:tcPr>
                <w:tcW w:w="2943" w:type="dxa"/>
              </w:tcPr>
              <w:p w14:paraId="4E3B62F5" w14:textId="77777777" w:rsidR="005557F7" w:rsidRPr="008D640C" w:rsidRDefault="005557F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485EF2FA" w:rsidR="005557F7" w:rsidRPr="005A518B" w:rsidRDefault="00A62738" w:rsidP="0064524C">
                <w:pPr>
                  <w:tabs>
                    <w:tab w:val="right" w:pos="8838"/>
                  </w:tabs>
                  <w:ind w:left="-28" w:right="171"/>
                  <w:jc w:val="both"/>
                  <w:rPr>
                    <w:rFonts w:ascii="Palatino Linotype" w:eastAsia="Calibri" w:hAnsi="Palatino Linotype" w:cs="Tahoma"/>
                    <w:sz w:val="22"/>
                    <w:szCs w:val="22"/>
                    <w:lang w:eastAsia="en-US"/>
                  </w:rPr>
                </w:pPr>
                <w:r w:rsidRPr="005A518B">
                  <w:rPr>
                    <w:rFonts w:ascii="Palatino Linotype" w:hAnsi="Palatino Linotype"/>
                    <w:color w:val="000000" w:themeColor="text1"/>
                    <w:sz w:val="22"/>
                    <w:szCs w:val="22"/>
                  </w:rPr>
                  <w:t>00</w:t>
                </w:r>
                <w:r w:rsidR="005A518B" w:rsidRPr="005A518B">
                  <w:rPr>
                    <w:rFonts w:ascii="Palatino Linotype" w:hAnsi="Palatino Linotype"/>
                    <w:color w:val="000000" w:themeColor="text1"/>
                    <w:sz w:val="22"/>
                    <w:szCs w:val="22"/>
                  </w:rPr>
                  <w:t>811</w:t>
                </w:r>
                <w:r w:rsidRPr="005A518B">
                  <w:rPr>
                    <w:rFonts w:ascii="Palatino Linotype" w:hAnsi="Palatino Linotype"/>
                    <w:color w:val="000000" w:themeColor="text1"/>
                    <w:sz w:val="22"/>
                    <w:szCs w:val="22"/>
                  </w:rPr>
                  <w:t>/INFOEM/IP/RR/2022</w:t>
                </w:r>
              </w:p>
            </w:tc>
          </w:tr>
          <w:tr w:rsidR="005557F7" w14:paraId="3385006F" w14:textId="77777777" w:rsidTr="002465DF">
            <w:trPr>
              <w:trHeight w:val="195"/>
            </w:trPr>
            <w:tc>
              <w:tcPr>
                <w:tcW w:w="2943" w:type="dxa"/>
              </w:tcPr>
              <w:p w14:paraId="0F49CA35"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1E8D370B" w:rsidR="005557F7" w:rsidRPr="005A518B" w:rsidRDefault="00A62738" w:rsidP="0064524C">
                <w:pPr>
                  <w:tabs>
                    <w:tab w:val="left" w:pos="2834"/>
                    <w:tab w:val="right" w:pos="8838"/>
                  </w:tabs>
                  <w:ind w:left="-28" w:right="171"/>
                  <w:jc w:val="both"/>
                  <w:rPr>
                    <w:rFonts w:ascii="Palatino Linotype" w:eastAsia="Calibri" w:hAnsi="Palatino Linotype" w:cs="Tahoma"/>
                    <w:sz w:val="22"/>
                    <w:szCs w:val="22"/>
                    <w:lang w:eastAsia="en-US"/>
                  </w:rPr>
                </w:pPr>
                <w:r w:rsidRPr="005A518B">
                  <w:rPr>
                    <w:rFonts w:ascii="Palatino Linotype" w:eastAsia="Calibri" w:hAnsi="Palatino Linotype" w:cs="Tahoma"/>
                    <w:sz w:val="22"/>
                    <w:szCs w:val="22"/>
                    <w:lang w:eastAsia="en-US"/>
                  </w:rPr>
                  <w:t xml:space="preserve">Ayuntamiento de </w:t>
                </w:r>
                <w:r w:rsidR="005A518B" w:rsidRPr="005A518B">
                  <w:rPr>
                    <w:rFonts w:ascii="Palatino Linotype" w:eastAsia="Calibri" w:hAnsi="Palatino Linotype" w:cs="Tahoma"/>
                    <w:sz w:val="22"/>
                    <w:szCs w:val="22"/>
                    <w:lang w:eastAsia="en-US"/>
                  </w:rPr>
                  <w:t>Teoloyucan</w:t>
                </w:r>
              </w:p>
            </w:tc>
          </w:tr>
          <w:tr w:rsidR="005557F7" w14:paraId="341FB120" w14:textId="77777777" w:rsidTr="002465DF">
            <w:trPr>
              <w:trHeight w:val="404"/>
            </w:trPr>
            <w:tc>
              <w:tcPr>
                <w:tcW w:w="2943" w:type="dxa"/>
              </w:tcPr>
              <w:p w14:paraId="106E7054"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27A17D87" w:rsidR="005557F7" w:rsidRPr="005A518B" w:rsidRDefault="00C255D2" w:rsidP="0064524C">
                <w:pPr>
                  <w:tabs>
                    <w:tab w:val="right" w:pos="8838"/>
                  </w:tabs>
                  <w:ind w:left="-28" w:right="171"/>
                  <w:jc w:val="both"/>
                  <w:rPr>
                    <w:rFonts w:ascii="Palatino Linotype" w:eastAsia="Calibri" w:hAnsi="Palatino Linotype" w:cs="Tahoma"/>
                    <w:sz w:val="22"/>
                    <w:szCs w:val="22"/>
                    <w:lang w:eastAsia="en-US"/>
                  </w:rPr>
                </w:pPr>
                <w:r w:rsidRPr="005A518B">
                  <w:rPr>
                    <w:rFonts w:ascii="Palatino Linotype" w:eastAsia="Calibri" w:hAnsi="Palatino Linotype" w:cs="Tahoma"/>
                    <w:sz w:val="22"/>
                    <w:szCs w:val="22"/>
                    <w:lang w:eastAsia="en-US"/>
                  </w:rPr>
                  <w:t>Luis Gustavo Parra Noriega</w:t>
                </w:r>
              </w:p>
            </w:tc>
          </w:tr>
        </w:tbl>
        <w:p w14:paraId="3EDAF875" w14:textId="77777777" w:rsidR="005557F7" w:rsidRPr="005C106F" w:rsidRDefault="005557F7" w:rsidP="005743D2">
          <w:pPr>
            <w:tabs>
              <w:tab w:val="right" w:pos="8838"/>
            </w:tabs>
            <w:ind w:left="-28"/>
            <w:jc w:val="both"/>
            <w:rPr>
              <w:rFonts w:ascii="Arial" w:eastAsia="Calibri" w:hAnsi="Arial" w:cs="Arial"/>
              <w:b/>
              <w:sz w:val="22"/>
              <w:szCs w:val="22"/>
              <w:lang w:eastAsia="en-US"/>
            </w:rPr>
          </w:pPr>
        </w:p>
      </w:tc>
    </w:tr>
  </w:tbl>
  <w:p w14:paraId="1B5C8C1B"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4877B4AF"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335B855A"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59179720"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11CF0039" w14:textId="69A619A1" w:rsidR="005557F7" w:rsidRDefault="005557F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5557F7" w:rsidRPr="00443C6B" w:rsidRDefault="005557F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5557F7" w:rsidRPr="00330DA7" w14:paraId="0756BAA3" w14:textId="77777777" w:rsidTr="002465DF">
      <w:trPr>
        <w:trHeight w:val="1435"/>
      </w:trPr>
      <w:tc>
        <w:tcPr>
          <w:tcW w:w="283" w:type="dxa"/>
          <w:shd w:val="clear" w:color="auto" w:fill="auto"/>
        </w:tcPr>
        <w:p w14:paraId="79A199F2" w14:textId="77777777" w:rsidR="005557F7" w:rsidRPr="00330DA7" w:rsidRDefault="005557F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557F7" w:rsidRPr="009B074D" w14:paraId="1FED1AD9" w14:textId="77777777" w:rsidTr="001171BD">
            <w:trPr>
              <w:trHeight w:val="144"/>
            </w:trPr>
            <w:tc>
              <w:tcPr>
                <w:tcW w:w="2727" w:type="dxa"/>
              </w:tcPr>
              <w:p w14:paraId="479BE2EF"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bookmarkStart w:id="0" w:name="_Hlk12526980"/>
                <w:r w:rsidRPr="009B074D">
                  <w:rPr>
                    <w:rFonts w:ascii="Palatino Linotype" w:eastAsia="Calibri" w:hAnsi="Palatino Linotype" w:cs="Tahoma"/>
                    <w:b/>
                    <w:sz w:val="22"/>
                    <w:szCs w:val="22"/>
                    <w:lang w:eastAsia="en-US"/>
                  </w:rPr>
                  <w:t>Recurso de Revisión:</w:t>
                </w:r>
              </w:p>
            </w:tc>
            <w:tc>
              <w:tcPr>
                <w:tcW w:w="3402" w:type="dxa"/>
              </w:tcPr>
              <w:p w14:paraId="425DB4C7" w14:textId="78DDD0EB" w:rsidR="005557F7" w:rsidRPr="009B074D" w:rsidRDefault="005A518B" w:rsidP="002C2524">
                <w:pPr>
                  <w:tabs>
                    <w:tab w:val="right" w:pos="8838"/>
                  </w:tabs>
                  <w:ind w:left="-74" w:right="-105"/>
                  <w:jc w:val="both"/>
                  <w:rPr>
                    <w:rFonts w:ascii="Palatino Linotype" w:eastAsia="Calibri" w:hAnsi="Palatino Linotype" w:cs="Tahoma"/>
                    <w:sz w:val="22"/>
                    <w:szCs w:val="22"/>
                    <w:lang w:eastAsia="en-US"/>
                  </w:rPr>
                </w:pPr>
                <w:r>
                  <w:rPr>
                    <w:rFonts w:ascii="Palatino Linotype" w:hAnsi="Palatino Linotype"/>
                    <w:b/>
                    <w:bCs/>
                    <w:color w:val="000000" w:themeColor="text1"/>
                    <w:sz w:val="22"/>
                    <w:szCs w:val="22"/>
                  </w:rPr>
                  <w:t>00811</w:t>
                </w:r>
                <w:r w:rsidR="00A62738" w:rsidRPr="009B074D">
                  <w:rPr>
                    <w:rFonts w:ascii="Palatino Linotype" w:hAnsi="Palatino Linotype"/>
                    <w:b/>
                    <w:bCs/>
                    <w:color w:val="000000" w:themeColor="text1"/>
                    <w:sz w:val="22"/>
                    <w:szCs w:val="22"/>
                  </w:rPr>
                  <w:t>/INFOEM/IP/RR/2022</w:t>
                </w:r>
              </w:p>
            </w:tc>
          </w:tr>
          <w:tr w:rsidR="005557F7" w:rsidRPr="009B074D" w14:paraId="660FE942" w14:textId="6B2EDFC8" w:rsidTr="001171BD">
            <w:trPr>
              <w:trHeight w:val="144"/>
            </w:trPr>
            <w:tc>
              <w:tcPr>
                <w:tcW w:w="2727" w:type="dxa"/>
              </w:tcPr>
              <w:p w14:paraId="662BC787"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9B074D">
                  <w:rPr>
                    <w:rFonts w:ascii="Palatino Linotype" w:eastAsia="Calibri" w:hAnsi="Palatino Linotype" w:cs="Tahoma"/>
                    <w:b/>
                    <w:sz w:val="22"/>
                    <w:szCs w:val="22"/>
                    <w:lang w:eastAsia="en-US"/>
                  </w:rPr>
                  <w:t>Recurrente:</w:t>
                </w:r>
              </w:p>
            </w:tc>
            <w:tc>
              <w:tcPr>
                <w:tcW w:w="3402" w:type="dxa"/>
              </w:tcPr>
              <w:p w14:paraId="389277EF" w14:textId="3DB0E1CA" w:rsidR="005557F7" w:rsidRPr="009B074D" w:rsidRDefault="005557F7" w:rsidP="0045755A">
                <w:pPr>
                  <w:tabs>
                    <w:tab w:val="right" w:pos="8838"/>
                  </w:tabs>
                  <w:ind w:left="-74" w:right="-105"/>
                  <w:jc w:val="both"/>
                  <w:rPr>
                    <w:rFonts w:ascii="Palatino Linotype" w:eastAsia="Calibri" w:hAnsi="Palatino Linotype" w:cs="Tahoma"/>
                    <w:sz w:val="22"/>
                    <w:szCs w:val="22"/>
                    <w:lang w:eastAsia="en-US"/>
                  </w:rPr>
                </w:pPr>
              </w:p>
            </w:tc>
          </w:tr>
          <w:bookmarkEnd w:id="1"/>
          <w:tr w:rsidR="005557F7" w:rsidRPr="009B074D" w14:paraId="215691A8" w14:textId="77777777" w:rsidTr="001171BD">
            <w:trPr>
              <w:trHeight w:val="283"/>
            </w:trPr>
            <w:tc>
              <w:tcPr>
                <w:tcW w:w="2727" w:type="dxa"/>
              </w:tcPr>
              <w:p w14:paraId="0B74763A"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r w:rsidRPr="009B074D">
                  <w:rPr>
                    <w:rFonts w:ascii="Palatino Linotype" w:eastAsia="Calibri" w:hAnsi="Palatino Linotype" w:cs="Tahoma"/>
                    <w:b/>
                    <w:sz w:val="22"/>
                    <w:szCs w:val="22"/>
                    <w:lang w:eastAsia="en-US"/>
                  </w:rPr>
                  <w:t>Sujeto Obligado:</w:t>
                </w:r>
              </w:p>
            </w:tc>
            <w:tc>
              <w:tcPr>
                <w:tcW w:w="3402" w:type="dxa"/>
              </w:tcPr>
              <w:p w14:paraId="0DE83C1B" w14:textId="6003482D" w:rsidR="005557F7" w:rsidRPr="009B074D" w:rsidRDefault="00A62738" w:rsidP="0045755A">
                <w:pPr>
                  <w:tabs>
                    <w:tab w:val="right" w:pos="8838"/>
                  </w:tabs>
                  <w:ind w:left="-74" w:right="-105"/>
                  <w:jc w:val="both"/>
                  <w:rPr>
                    <w:rFonts w:ascii="Palatino Linotype" w:eastAsia="Calibri" w:hAnsi="Palatino Linotype" w:cs="Tahoma"/>
                    <w:sz w:val="22"/>
                    <w:szCs w:val="22"/>
                    <w:lang w:eastAsia="en-US"/>
                  </w:rPr>
                </w:pPr>
                <w:r w:rsidRPr="009B074D">
                  <w:rPr>
                    <w:rFonts w:ascii="Palatino Linotype" w:eastAsia="Calibri" w:hAnsi="Palatino Linotype" w:cs="Tahoma"/>
                    <w:sz w:val="22"/>
                    <w:szCs w:val="22"/>
                    <w:lang w:eastAsia="en-US"/>
                  </w:rPr>
                  <w:t xml:space="preserve">Ayuntamiento de </w:t>
                </w:r>
                <w:r w:rsidR="005A518B">
                  <w:rPr>
                    <w:rFonts w:ascii="Palatino Linotype" w:eastAsia="Calibri" w:hAnsi="Palatino Linotype" w:cs="Tahoma"/>
                    <w:sz w:val="22"/>
                    <w:szCs w:val="22"/>
                    <w:lang w:eastAsia="en-US"/>
                  </w:rPr>
                  <w:t>Teoloyucan</w:t>
                </w:r>
              </w:p>
            </w:tc>
          </w:tr>
          <w:tr w:rsidR="005557F7" w:rsidRPr="009B074D" w14:paraId="6B309D42" w14:textId="77777777" w:rsidTr="001171BD">
            <w:trPr>
              <w:trHeight w:val="283"/>
            </w:trPr>
            <w:tc>
              <w:tcPr>
                <w:tcW w:w="2727" w:type="dxa"/>
              </w:tcPr>
              <w:p w14:paraId="111E9634"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r w:rsidRPr="009B074D">
                  <w:rPr>
                    <w:rFonts w:ascii="Palatino Linotype" w:eastAsia="Calibri" w:hAnsi="Palatino Linotype" w:cs="Tahoma"/>
                    <w:b/>
                    <w:sz w:val="22"/>
                    <w:szCs w:val="22"/>
                    <w:lang w:eastAsia="en-US"/>
                  </w:rPr>
                  <w:t>Comisionado Ponente:</w:t>
                </w:r>
              </w:p>
            </w:tc>
            <w:tc>
              <w:tcPr>
                <w:tcW w:w="3402" w:type="dxa"/>
              </w:tcPr>
              <w:p w14:paraId="5D74F6E5" w14:textId="7E11CAF5" w:rsidR="005557F7" w:rsidRPr="009B074D" w:rsidRDefault="00C255D2" w:rsidP="00EA66FC">
                <w:pPr>
                  <w:tabs>
                    <w:tab w:val="right" w:pos="8838"/>
                  </w:tabs>
                  <w:ind w:left="-108" w:right="-105"/>
                  <w:jc w:val="both"/>
                  <w:rPr>
                    <w:rFonts w:ascii="Palatino Linotype" w:eastAsia="Calibri" w:hAnsi="Palatino Linotype" w:cs="Tahoma"/>
                    <w:sz w:val="22"/>
                    <w:szCs w:val="22"/>
                    <w:lang w:eastAsia="en-US"/>
                  </w:rPr>
                </w:pPr>
                <w:r w:rsidRPr="009B074D">
                  <w:rPr>
                    <w:rFonts w:ascii="Palatino Linotype" w:eastAsia="Calibri" w:hAnsi="Palatino Linotype" w:cs="Tahoma"/>
                    <w:sz w:val="22"/>
                    <w:szCs w:val="22"/>
                    <w:lang w:eastAsia="en-US"/>
                  </w:rPr>
                  <w:t>Luis Gustavo Parra Noriega</w:t>
                </w:r>
              </w:p>
            </w:tc>
          </w:tr>
        </w:tbl>
        <w:p w14:paraId="430DE6A9" w14:textId="77777777" w:rsidR="005557F7" w:rsidRPr="00330DA7" w:rsidRDefault="005557F7" w:rsidP="00DB7E5F">
          <w:pPr>
            <w:tabs>
              <w:tab w:val="right" w:pos="8838"/>
            </w:tabs>
            <w:ind w:left="-28"/>
            <w:jc w:val="both"/>
            <w:rPr>
              <w:rFonts w:ascii="Arial" w:eastAsia="Calibri" w:hAnsi="Arial" w:cs="Arial"/>
              <w:b/>
              <w:sz w:val="22"/>
              <w:szCs w:val="22"/>
              <w:lang w:eastAsia="en-US"/>
            </w:rPr>
          </w:pPr>
        </w:p>
      </w:tc>
    </w:tr>
  </w:tbl>
  <w:p w14:paraId="0CB98BDD" w14:textId="00A5E0D2" w:rsidR="005557F7" w:rsidRPr="00765661" w:rsidRDefault="00D454A6"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4.6pt;margin-top:-120.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785983"/>
    <w:multiLevelType w:val="hybridMultilevel"/>
    <w:tmpl w:val="6750C9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EF1204"/>
    <w:multiLevelType w:val="hybridMultilevel"/>
    <w:tmpl w:val="CC6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5C2255"/>
    <w:multiLevelType w:val="hybridMultilevel"/>
    <w:tmpl w:val="E0DCDA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77B91"/>
    <w:multiLevelType w:val="hybridMultilevel"/>
    <w:tmpl w:val="9A5A1C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985847"/>
    <w:multiLevelType w:val="hybridMultilevel"/>
    <w:tmpl w:val="D2C46960"/>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8" w15:restartNumberingAfterBreak="0">
    <w:nsid w:val="1FBA60E1"/>
    <w:multiLevelType w:val="hybridMultilevel"/>
    <w:tmpl w:val="DA1E4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16024E"/>
    <w:multiLevelType w:val="hybridMultilevel"/>
    <w:tmpl w:val="CACC9E98"/>
    <w:lvl w:ilvl="0" w:tplc="DC4CE8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E5D6EFA"/>
    <w:multiLevelType w:val="hybridMultilevel"/>
    <w:tmpl w:val="188AED2E"/>
    <w:lvl w:ilvl="0" w:tplc="98BC116E">
      <w:start w:val="1"/>
      <w:numFmt w:val="lowerLetter"/>
      <w:lvlText w:val="%1)"/>
      <w:lvlJc w:val="left"/>
      <w:pPr>
        <w:ind w:left="1800" w:hanging="360"/>
      </w:pPr>
      <w:rPr>
        <w:rFonts w:hint="default"/>
        <w: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CE4035"/>
    <w:multiLevelType w:val="multilevel"/>
    <w:tmpl w:val="CCE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96F6D"/>
    <w:multiLevelType w:val="hybridMultilevel"/>
    <w:tmpl w:val="2842D286"/>
    <w:lvl w:ilvl="0" w:tplc="4D369B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AD7312"/>
    <w:multiLevelType w:val="hybridMultilevel"/>
    <w:tmpl w:val="332A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CD0547"/>
    <w:multiLevelType w:val="hybridMultilevel"/>
    <w:tmpl w:val="5E182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DA6AAE"/>
    <w:multiLevelType w:val="hybridMultilevel"/>
    <w:tmpl w:val="A7A4DED4"/>
    <w:lvl w:ilvl="0" w:tplc="62827B4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FD0048"/>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261BFE"/>
    <w:multiLevelType w:val="hybridMultilevel"/>
    <w:tmpl w:val="122EA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EF2AE1"/>
    <w:multiLevelType w:val="hybridMultilevel"/>
    <w:tmpl w:val="2D7662BA"/>
    <w:lvl w:ilvl="0" w:tplc="D6FC0CF4">
      <w:start w:val="1"/>
      <w:numFmt w:val="decimal"/>
      <w:lvlText w:val="%1."/>
      <w:lvlJc w:val="left"/>
      <w:pPr>
        <w:ind w:left="720" w:hanging="360"/>
      </w:pPr>
      <w:rPr>
        <w:rFonts w:hint="default"/>
        <w: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84792B"/>
    <w:multiLevelType w:val="multilevel"/>
    <w:tmpl w:val="5284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C4287"/>
    <w:multiLevelType w:val="multilevel"/>
    <w:tmpl w:val="FA4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677D7"/>
    <w:multiLevelType w:val="hybridMultilevel"/>
    <w:tmpl w:val="6A9AFFF4"/>
    <w:lvl w:ilvl="0" w:tplc="219CBFE0">
      <w:start w:val="1"/>
      <w:numFmt w:val="upperRoman"/>
      <w:lvlText w:val="%1."/>
      <w:lvlJc w:val="left"/>
      <w:pPr>
        <w:ind w:left="1440" w:hanging="72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B5658C8"/>
    <w:multiLevelType w:val="hybridMultilevel"/>
    <w:tmpl w:val="6D5A8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EC2479"/>
    <w:multiLevelType w:val="hybridMultilevel"/>
    <w:tmpl w:val="D39A3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7B0468"/>
    <w:multiLevelType w:val="hybridMultilevel"/>
    <w:tmpl w:val="848C808A"/>
    <w:lvl w:ilvl="0" w:tplc="8D265F8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E95564"/>
    <w:multiLevelType w:val="hybridMultilevel"/>
    <w:tmpl w:val="6E6A5C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5021E4"/>
    <w:multiLevelType w:val="hybridMultilevel"/>
    <w:tmpl w:val="2842D2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357027"/>
    <w:multiLevelType w:val="hybridMultilevel"/>
    <w:tmpl w:val="C0DAE8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5F0BF2"/>
    <w:multiLevelType w:val="hybridMultilevel"/>
    <w:tmpl w:val="92D6C6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424181"/>
    <w:multiLevelType w:val="hybridMultilevel"/>
    <w:tmpl w:val="573E7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426C1A"/>
    <w:multiLevelType w:val="hybridMultilevel"/>
    <w:tmpl w:val="B6B859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15:restartNumberingAfterBreak="0">
    <w:nsid w:val="74BB6BA0"/>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0F6C7D"/>
    <w:multiLevelType w:val="hybridMultilevel"/>
    <w:tmpl w:val="CCC64F2C"/>
    <w:lvl w:ilvl="0" w:tplc="71D0CE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F2689B"/>
    <w:multiLevelType w:val="hybridMultilevel"/>
    <w:tmpl w:val="9274D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3034405">
    <w:abstractNumId w:val="0"/>
  </w:num>
  <w:num w:numId="2" w16cid:durableId="109399335">
    <w:abstractNumId w:val="36"/>
  </w:num>
  <w:num w:numId="3" w16cid:durableId="1338116772">
    <w:abstractNumId w:val="28"/>
  </w:num>
  <w:num w:numId="4" w16cid:durableId="1739279355">
    <w:abstractNumId w:val="4"/>
  </w:num>
  <w:num w:numId="5" w16cid:durableId="1486630426">
    <w:abstractNumId w:val="13"/>
  </w:num>
  <w:num w:numId="6" w16cid:durableId="1155998125">
    <w:abstractNumId w:val="34"/>
  </w:num>
  <w:num w:numId="7" w16cid:durableId="745491304">
    <w:abstractNumId w:val="35"/>
  </w:num>
  <w:num w:numId="8" w16cid:durableId="1883980310">
    <w:abstractNumId w:val="19"/>
  </w:num>
  <w:num w:numId="9" w16cid:durableId="716315813">
    <w:abstractNumId w:val="18"/>
  </w:num>
  <w:num w:numId="10" w16cid:durableId="1288124223">
    <w:abstractNumId w:val="16"/>
  </w:num>
  <w:num w:numId="11" w16cid:durableId="655652160">
    <w:abstractNumId w:val="6"/>
  </w:num>
  <w:num w:numId="12" w16cid:durableId="1035302939">
    <w:abstractNumId w:val="31"/>
  </w:num>
  <w:num w:numId="13" w16cid:durableId="58989347">
    <w:abstractNumId w:val="1"/>
  </w:num>
  <w:num w:numId="14" w16cid:durableId="859243947">
    <w:abstractNumId w:val="10"/>
  </w:num>
  <w:num w:numId="15" w16cid:durableId="1195122286">
    <w:abstractNumId w:val="20"/>
  </w:num>
  <w:num w:numId="16" w16cid:durableId="577524206">
    <w:abstractNumId w:val="2"/>
  </w:num>
  <w:num w:numId="17" w16cid:durableId="921260900">
    <w:abstractNumId w:val="8"/>
  </w:num>
  <w:num w:numId="18" w16cid:durableId="1777795610">
    <w:abstractNumId w:val="23"/>
  </w:num>
  <w:num w:numId="19" w16cid:durableId="1298531760">
    <w:abstractNumId w:val="22"/>
  </w:num>
  <w:num w:numId="20" w16cid:durableId="856164993">
    <w:abstractNumId w:val="14"/>
  </w:num>
  <w:num w:numId="21" w16cid:durableId="586502137">
    <w:abstractNumId w:val="25"/>
  </w:num>
  <w:num w:numId="22" w16cid:durableId="448165908">
    <w:abstractNumId w:val="11"/>
  </w:num>
  <w:num w:numId="23" w16cid:durableId="680549785">
    <w:abstractNumId w:val="3"/>
  </w:num>
  <w:num w:numId="24" w16cid:durableId="1973362623">
    <w:abstractNumId w:val="38"/>
  </w:num>
  <w:num w:numId="25" w16cid:durableId="7100805">
    <w:abstractNumId w:val="21"/>
  </w:num>
  <w:num w:numId="26" w16cid:durableId="293564470">
    <w:abstractNumId w:val="24"/>
  </w:num>
  <w:num w:numId="27" w16cid:durableId="727344835">
    <w:abstractNumId w:val="12"/>
  </w:num>
  <w:num w:numId="28" w16cid:durableId="1826781495">
    <w:abstractNumId w:val="32"/>
  </w:num>
  <w:num w:numId="29" w16cid:durableId="1629162672">
    <w:abstractNumId w:val="29"/>
  </w:num>
  <w:num w:numId="30" w16cid:durableId="7289229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7393383">
    <w:abstractNumId w:val="26"/>
  </w:num>
  <w:num w:numId="32" w16cid:durableId="1649826187">
    <w:abstractNumId w:val="5"/>
  </w:num>
  <w:num w:numId="33" w16cid:durableId="636037108">
    <w:abstractNumId w:val="15"/>
  </w:num>
  <w:num w:numId="34" w16cid:durableId="474956182">
    <w:abstractNumId w:val="30"/>
  </w:num>
  <w:num w:numId="35" w16cid:durableId="703674468">
    <w:abstractNumId w:val="17"/>
  </w:num>
  <w:num w:numId="36" w16cid:durableId="910000038">
    <w:abstractNumId w:val="33"/>
  </w:num>
  <w:num w:numId="37" w16cid:durableId="1468742779">
    <w:abstractNumId w:val="27"/>
  </w:num>
  <w:num w:numId="38" w16cid:durableId="1189375779">
    <w:abstractNumId w:val="7"/>
  </w:num>
  <w:num w:numId="39" w16cid:durableId="984164764">
    <w:abstractNumId w:val="9"/>
  </w:num>
  <w:num w:numId="40" w16cid:durableId="1391657163">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68D2"/>
    <w:rsid w:val="000072E1"/>
    <w:rsid w:val="00007ECA"/>
    <w:rsid w:val="00010D97"/>
    <w:rsid w:val="00010E29"/>
    <w:rsid w:val="0001124C"/>
    <w:rsid w:val="00011C35"/>
    <w:rsid w:val="00012C24"/>
    <w:rsid w:val="00012DBA"/>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410C"/>
    <w:rsid w:val="000241C5"/>
    <w:rsid w:val="00024A96"/>
    <w:rsid w:val="00024D74"/>
    <w:rsid w:val="00024F5F"/>
    <w:rsid w:val="0002561A"/>
    <w:rsid w:val="00025F5D"/>
    <w:rsid w:val="00026656"/>
    <w:rsid w:val="00026FE4"/>
    <w:rsid w:val="00027019"/>
    <w:rsid w:val="00027906"/>
    <w:rsid w:val="00027F0F"/>
    <w:rsid w:val="000312F0"/>
    <w:rsid w:val="000313A7"/>
    <w:rsid w:val="00031FB2"/>
    <w:rsid w:val="00032F5B"/>
    <w:rsid w:val="00033BE7"/>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64C"/>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115F"/>
    <w:rsid w:val="000614B4"/>
    <w:rsid w:val="0006199A"/>
    <w:rsid w:val="000620E1"/>
    <w:rsid w:val="000629EB"/>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2A29"/>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327F"/>
    <w:rsid w:val="00083520"/>
    <w:rsid w:val="00084CD3"/>
    <w:rsid w:val="000853C2"/>
    <w:rsid w:val="000861A5"/>
    <w:rsid w:val="00087158"/>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429"/>
    <w:rsid w:val="000A1CB7"/>
    <w:rsid w:val="000A1F83"/>
    <w:rsid w:val="000A20A4"/>
    <w:rsid w:val="000A2159"/>
    <w:rsid w:val="000A2D41"/>
    <w:rsid w:val="000A5058"/>
    <w:rsid w:val="000A50CC"/>
    <w:rsid w:val="000A5A1D"/>
    <w:rsid w:val="000A5C6A"/>
    <w:rsid w:val="000A60ED"/>
    <w:rsid w:val="000A61DD"/>
    <w:rsid w:val="000A6F77"/>
    <w:rsid w:val="000A7211"/>
    <w:rsid w:val="000A77E0"/>
    <w:rsid w:val="000B15D2"/>
    <w:rsid w:val="000B1A4E"/>
    <w:rsid w:val="000B1D37"/>
    <w:rsid w:val="000B1EE2"/>
    <w:rsid w:val="000B1EE8"/>
    <w:rsid w:val="000B2401"/>
    <w:rsid w:val="000B262E"/>
    <w:rsid w:val="000B2C93"/>
    <w:rsid w:val="000B36DD"/>
    <w:rsid w:val="000B5711"/>
    <w:rsid w:val="000B5B35"/>
    <w:rsid w:val="000B6020"/>
    <w:rsid w:val="000B7CE9"/>
    <w:rsid w:val="000C026D"/>
    <w:rsid w:val="000C17B2"/>
    <w:rsid w:val="000C180C"/>
    <w:rsid w:val="000C1D33"/>
    <w:rsid w:val="000C2283"/>
    <w:rsid w:val="000C27CA"/>
    <w:rsid w:val="000C3DD9"/>
    <w:rsid w:val="000C3F3D"/>
    <w:rsid w:val="000C589B"/>
    <w:rsid w:val="000C59CB"/>
    <w:rsid w:val="000C5A78"/>
    <w:rsid w:val="000C5CEE"/>
    <w:rsid w:val="000D06DE"/>
    <w:rsid w:val="000D0B08"/>
    <w:rsid w:val="000D1DDF"/>
    <w:rsid w:val="000D21AC"/>
    <w:rsid w:val="000D2A27"/>
    <w:rsid w:val="000D4028"/>
    <w:rsid w:val="000D49ED"/>
    <w:rsid w:val="000D4C39"/>
    <w:rsid w:val="000D5BFB"/>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146"/>
    <w:rsid w:val="001142C7"/>
    <w:rsid w:val="0011446F"/>
    <w:rsid w:val="001150E9"/>
    <w:rsid w:val="001155C0"/>
    <w:rsid w:val="001166C8"/>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A22"/>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57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67AD1"/>
    <w:rsid w:val="00170545"/>
    <w:rsid w:val="0017140B"/>
    <w:rsid w:val="00171613"/>
    <w:rsid w:val="00171ADD"/>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51B7"/>
    <w:rsid w:val="001954D2"/>
    <w:rsid w:val="0019579E"/>
    <w:rsid w:val="00195BA5"/>
    <w:rsid w:val="00195E1E"/>
    <w:rsid w:val="0019600C"/>
    <w:rsid w:val="00196522"/>
    <w:rsid w:val="001A1B94"/>
    <w:rsid w:val="001A22F5"/>
    <w:rsid w:val="001A2587"/>
    <w:rsid w:val="001A2B55"/>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33A4"/>
    <w:rsid w:val="002435DC"/>
    <w:rsid w:val="002438E1"/>
    <w:rsid w:val="00243B71"/>
    <w:rsid w:val="0024436B"/>
    <w:rsid w:val="002448A6"/>
    <w:rsid w:val="0024538A"/>
    <w:rsid w:val="00245C67"/>
    <w:rsid w:val="00245D77"/>
    <w:rsid w:val="0024639C"/>
    <w:rsid w:val="00246501"/>
    <w:rsid w:val="002465DF"/>
    <w:rsid w:val="00246DD4"/>
    <w:rsid w:val="00247B17"/>
    <w:rsid w:val="00247BFB"/>
    <w:rsid w:val="00250142"/>
    <w:rsid w:val="00250389"/>
    <w:rsid w:val="00251FF7"/>
    <w:rsid w:val="00252354"/>
    <w:rsid w:val="00252669"/>
    <w:rsid w:val="002527AF"/>
    <w:rsid w:val="00252E75"/>
    <w:rsid w:val="00252F31"/>
    <w:rsid w:val="00253D16"/>
    <w:rsid w:val="00254209"/>
    <w:rsid w:val="00254288"/>
    <w:rsid w:val="00254523"/>
    <w:rsid w:val="0025469C"/>
    <w:rsid w:val="002550C4"/>
    <w:rsid w:val="00255B8E"/>
    <w:rsid w:val="00255F1E"/>
    <w:rsid w:val="00257460"/>
    <w:rsid w:val="002579CE"/>
    <w:rsid w:val="002606CD"/>
    <w:rsid w:val="002606E8"/>
    <w:rsid w:val="00260FEC"/>
    <w:rsid w:val="00261DD6"/>
    <w:rsid w:val="00263023"/>
    <w:rsid w:val="0026324B"/>
    <w:rsid w:val="00263885"/>
    <w:rsid w:val="00264B3F"/>
    <w:rsid w:val="00264E5F"/>
    <w:rsid w:val="0026500A"/>
    <w:rsid w:val="00265550"/>
    <w:rsid w:val="002657E2"/>
    <w:rsid w:val="002671CF"/>
    <w:rsid w:val="00267528"/>
    <w:rsid w:val="00267875"/>
    <w:rsid w:val="002700CF"/>
    <w:rsid w:val="002700D6"/>
    <w:rsid w:val="00270DBB"/>
    <w:rsid w:val="00271098"/>
    <w:rsid w:val="002713C8"/>
    <w:rsid w:val="00271E0B"/>
    <w:rsid w:val="0027276F"/>
    <w:rsid w:val="002727CC"/>
    <w:rsid w:val="00273679"/>
    <w:rsid w:val="00273EC5"/>
    <w:rsid w:val="002751E1"/>
    <w:rsid w:val="00275268"/>
    <w:rsid w:val="0027585E"/>
    <w:rsid w:val="00275BA6"/>
    <w:rsid w:val="00275CC4"/>
    <w:rsid w:val="00275D99"/>
    <w:rsid w:val="0027656C"/>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1509"/>
    <w:rsid w:val="002D1BE4"/>
    <w:rsid w:val="002D1D6C"/>
    <w:rsid w:val="002D245E"/>
    <w:rsid w:val="002D25C1"/>
    <w:rsid w:val="002D3FA0"/>
    <w:rsid w:val="002D481C"/>
    <w:rsid w:val="002D4AFF"/>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170B"/>
    <w:rsid w:val="00323325"/>
    <w:rsid w:val="00323766"/>
    <w:rsid w:val="003243B0"/>
    <w:rsid w:val="00324F14"/>
    <w:rsid w:val="003250CF"/>
    <w:rsid w:val="00325EC0"/>
    <w:rsid w:val="00327913"/>
    <w:rsid w:val="00330729"/>
    <w:rsid w:val="00330DA7"/>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3B6D"/>
    <w:rsid w:val="003547EF"/>
    <w:rsid w:val="00354920"/>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803"/>
    <w:rsid w:val="003729CD"/>
    <w:rsid w:val="00372CCA"/>
    <w:rsid w:val="00373387"/>
    <w:rsid w:val="00373CE4"/>
    <w:rsid w:val="00374624"/>
    <w:rsid w:val="00374683"/>
    <w:rsid w:val="003749EC"/>
    <w:rsid w:val="00374AFC"/>
    <w:rsid w:val="00374D97"/>
    <w:rsid w:val="00374E2B"/>
    <w:rsid w:val="00374EB6"/>
    <w:rsid w:val="003756AF"/>
    <w:rsid w:val="00375815"/>
    <w:rsid w:val="00375AF7"/>
    <w:rsid w:val="00375B21"/>
    <w:rsid w:val="00377383"/>
    <w:rsid w:val="00377669"/>
    <w:rsid w:val="003800D0"/>
    <w:rsid w:val="00380441"/>
    <w:rsid w:val="003806DB"/>
    <w:rsid w:val="00381447"/>
    <w:rsid w:val="00381E0A"/>
    <w:rsid w:val="00382696"/>
    <w:rsid w:val="0038312D"/>
    <w:rsid w:val="0038358D"/>
    <w:rsid w:val="00383A84"/>
    <w:rsid w:val="00384242"/>
    <w:rsid w:val="0038438A"/>
    <w:rsid w:val="00384633"/>
    <w:rsid w:val="00384DF7"/>
    <w:rsid w:val="003858D9"/>
    <w:rsid w:val="00385F16"/>
    <w:rsid w:val="003864D2"/>
    <w:rsid w:val="00386796"/>
    <w:rsid w:val="003870E2"/>
    <w:rsid w:val="00387191"/>
    <w:rsid w:val="00387C00"/>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1B19"/>
    <w:rsid w:val="003A24F5"/>
    <w:rsid w:val="003A281B"/>
    <w:rsid w:val="003A357E"/>
    <w:rsid w:val="003A3A5A"/>
    <w:rsid w:val="003A407B"/>
    <w:rsid w:val="003A461D"/>
    <w:rsid w:val="003A47E4"/>
    <w:rsid w:val="003A693B"/>
    <w:rsid w:val="003A6E62"/>
    <w:rsid w:val="003A78B5"/>
    <w:rsid w:val="003A7BE8"/>
    <w:rsid w:val="003A7C85"/>
    <w:rsid w:val="003A7FBE"/>
    <w:rsid w:val="003B04F1"/>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4082"/>
    <w:rsid w:val="003C4742"/>
    <w:rsid w:val="003C532A"/>
    <w:rsid w:val="003C5C01"/>
    <w:rsid w:val="003C6486"/>
    <w:rsid w:val="003C6934"/>
    <w:rsid w:val="003C7F39"/>
    <w:rsid w:val="003C7FD0"/>
    <w:rsid w:val="003D0268"/>
    <w:rsid w:val="003D0E07"/>
    <w:rsid w:val="003D192F"/>
    <w:rsid w:val="003D1A43"/>
    <w:rsid w:val="003D1A64"/>
    <w:rsid w:val="003D46A3"/>
    <w:rsid w:val="003D537A"/>
    <w:rsid w:val="003D5FF4"/>
    <w:rsid w:val="003D6028"/>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60B"/>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28DA"/>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1E52"/>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6FD3"/>
    <w:rsid w:val="0043710C"/>
    <w:rsid w:val="00437A03"/>
    <w:rsid w:val="004406CF"/>
    <w:rsid w:val="00441804"/>
    <w:rsid w:val="00442002"/>
    <w:rsid w:val="00442A31"/>
    <w:rsid w:val="004435B4"/>
    <w:rsid w:val="0044360B"/>
    <w:rsid w:val="004439DD"/>
    <w:rsid w:val="004446C8"/>
    <w:rsid w:val="004448AE"/>
    <w:rsid w:val="00444B20"/>
    <w:rsid w:val="0044550A"/>
    <w:rsid w:val="004467C5"/>
    <w:rsid w:val="004468FA"/>
    <w:rsid w:val="00447544"/>
    <w:rsid w:val="00447F7D"/>
    <w:rsid w:val="00452064"/>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0902"/>
    <w:rsid w:val="00471899"/>
    <w:rsid w:val="00471C1B"/>
    <w:rsid w:val="00471DB3"/>
    <w:rsid w:val="00471F12"/>
    <w:rsid w:val="004720B0"/>
    <w:rsid w:val="004726BC"/>
    <w:rsid w:val="00472944"/>
    <w:rsid w:val="004734BA"/>
    <w:rsid w:val="0047369C"/>
    <w:rsid w:val="00473B2C"/>
    <w:rsid w:val="00473CBC"/>
    <w:rsid w:val="00474EF1"/>
    <w:rsid w:val="004751D6"/>
    <w:rsid w:val="0047586C"/>
    <w:rsid w:val="00475D20"/>
    <w:rsid w:val="00475DA5"/>
    <w:rsid w:val="00475E6B"/>
    <w:rsid w:val="0047616B"/>
    <w:rsid w:val="0047673C"/>
    <w:rsid w:val="00476AB2"/>
    <w:rsid w:val="00477DBA"/>
    <w:rsid w:val="00477E20"/>
    <w:rsid w:val="00480BB8"/>
    <w:rsid w:val="0048153E"/>
    <w:rsid w:val="00481D51"/>
    <w:rsid w:val="0048519E"/>
    <w:rsid w:val="0048524F"/>
    <w:rsid w:val="00485C4A"/>
    <w:rsid w:val="00485EC7"/>
    <w:rsid w:val="004860BD"/>
    <w:rsid w:val="00487430"/>
    <w:rsid w:val="0048794C"/>
    <w:rsid w:val="00487A54"/>
    <w:rsid w:val="00487D2B"/>
    <w:rsid w:val="00487F36"/>
    <w:rsid w:val="00490E60"/>
    <w:rsid w:val="00492721"/>
    <w:rsid w:val="004933B7"/>
    <w:rsid w:val="00493964"/>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3F4"/>
    <w:rsid w:val="004A7990"/>
    <w:rsid w:val="004A7F87"/>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24F"/>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2D88"/>
    <w:rsid w:val="004F3018"/>
    <w:rsid w:val="004F3D21"/>
    <w:rsid w:val="004F56BB"/>
    <w:rsid w:val="004F60EF"/>
    <w:rsid w:val="004F737E"/>
    <w:rsid w:val="00500D75"/>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93C"/>
    <w:rsid w:val="005220BE"/>
    <w:rsid w:val="00522703"/>
    <w:rsid w:val="00522D55"/>
    <w:rsid w:val="00523785"/>
    <w:rsid w:val="00523F88"/>
    <w:rsid w:val="005243C5"/>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2FE"/>
    <w:rsid w:val="00546769"/>
    <w:rsid w:val="00546BAE"/>
    <w:rsid w:val="00546C4E"/>
    <w:rsid w:val="0054766F"/>
    <w:rsid w:val="00547789"/>
    <w:rsid w:val="00547FD6"/>
    <w:rsid w:val="00551F6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43F"/>
    <w:rsid w:val="00561750"/>
    <w:rsid w:val="005619AA"/>
    <w:rsid w:val="0056271B"/>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419"/>
    <w:rsid w:val="00580891"/>
    <w:rsid w:val="00580A33"/>
    <w:rsid w:val="00580BBC"/>
    <w:rsid w:val="005813F2"/>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2E8F"/>
    <w:rsid w:val="00593664"/>
    <w:rsid w:val="0059369E"/>
    <w:rsid w:val="00593CB4"/>
    <w:rsid w:val="00593E68"/>
    <w:rsid w:val="00594652"/>
    <w:rsid w:val="00596010"/>
    <w:rsid w:val="00596234"/>
    <w:rsid w:val="005970E0"/>
    <w:rsid w:val="00597E65"/>
    <w:rsid w:val="005A02DB"/>
    <w:rsid w:val="005A05BA"/>
    <w:rsid w:val="005A1A4A"/>
    <w:rsid w:val="005A1C3D"/>
    <w:rsid w:val="005A2395"/>
    <w:rsid w:val="005A2EAD"/>
    <w:rsid w:val="005A3D27"/>
    <w:rsid w:val="005A457B"/>
    <w:rsid w:val="005A4799"/>
    <w:rsid w:val="005A518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5CB1"/>
    <w:rsid w:val="005B63D5"/>
    <w:rsid w:val="005B6854"/>
    <w:rsid w:val="005B73A4"/>
    <w:rsid w:val="005C00D2"/>
    <w:rsid w:val="005C0836"/>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4BCD"/>
    <w:rsid w:val="005C5D6F"/>
    <w:rsid w:val="005C651C"/>
    <w:rsid w:val="005C656A"/>
    <w:rsid w:val="005C6D86"/>
    <w:rsid w:val="005C71CF"/>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48F1"/>
    <w:rsid w:val="005F53A4"/>
    <w:rsid w:val="005F5A81"/>
    <w:rsid w:val="005F5BAA"/>
    <w:rsid w:val="005F6434"/>
    <w:rsid w:val="005F6506"/>
    <w:rsid w:val="005F67DB"/>
    <w:rsid w:val="005F69FA"/>
    <w:rsid w:val="005F739C"/>
    <w:rsid w:val="00600038"/>
    <w:rsid w:val="0060077A"/>
    <w:rsid w:val="00601E59"/>
    <w:rsid w:val="00603A46"/>
    <w:rsid w:val="0060400C"/>
    <w:rsid w:val="0060404B"/>
    <w:rsid w:val="006042B9"/>
    <w:rsid w:val="0060432C"/>
    <w:rsid w:val="00604E10"/>
    <w:rsid w:val="006057A8"/>
    <w:rsid w:val="00605816"/>
    <w:rsid w:val="00606194"/>
    <w:rsid w:val="00607F45"/>
    <w:rsid w:val="00610E0B"/>
    <w:rsid w:val="00611044"/>
    <w:rsid w:val="0061115C"/>
    <w:rsid w:val="00611233"/>
    <w:rsid w:val="00611A49"/>
    <w:rsid w:val="00612A69"/>
    <w:rsid w:val="00612CC0"/>
    <w:rsid w:val="00613017"/>
    <w:rsid w:val="00613344"/>
    <w:rsid w:val="00613703"/>
    <w:rsid w:val="00613A54"/>
    <w:rsid w:val="00613BF0"/>
    <w:rsid w:val="0061430E"/>
    <w:rsid w:val="006143FB"/>
    <w:rsid w:val="00614A81"/>
    <w:rsid w:val="00614F2F"/>
    <w:rsid w:val="006155D5"/>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94"/>
    <w:rsid w:val="0063101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524C"/>
    <w:rsid w:val="00645F7D"/>
    <w:rsid w:val="00646100"/>
    <w:rsid w:val="00646A84"/>
    <w:rsid w:val="006476CA"/>
    <w:rsid w:val="00647AD3"/>
    <w:rsid w:val="006506F5"/>
    <w:rsid w:val="006512E7"/>
    <w:rsid w:val="00651680"/>
    <w:rsid w:val="006516BF"/>
    <w:rsid w:val="0065263A"/>
    <w:rsid w:val="00652EBA"/>
    <w:rsid w:val="0065476A"/>
    <w:rsid w:val="00654E60"/>
    <w:rsid w:val="006552AE"/>
    <w:rsid w:val="00655773"/>
    <w:rsid w:val="0065625A"/>
    <w:rsid w:val="006563CA"/>
    <w:rsid w:val="00656EF9"/>
    <w:rsid w:val="00657066"/>
    <w:rsid w:val="006577CA"/>
    <w:rsid w:val="006578FC"/>
    <w:rsid w:val="00657ABF"/>
    <w:rsid w:val="006608AB"/>
    <w:rsid w:val="006620DA"/>
    <w:rsid w:val="00662E72"/>
    <w:rsid w:val="00663904"/>
    <w:rsid w:val="006642D0"/>
    <w:rsid w:val="006644B6"/>
    <w:rsid w:val="00664587"/>
    <w:rsid w:val="006656A5"/>
    <w:rsid w:val="0066578D"/>
    <w:rsid w:val="00665C2D"/>
    <w:rsid w:val="00665E05"/>
    <w:rsid w:val="00666F25"/>
    <w:rsid w:val="00667610"/>
    <w:rsid w:val="00667C1C"/>
    <w:rsid w:val="0067001F"/>
    <w:rsid w:val="00670A43"/>
    <w:rsid w:val="0067126A"/>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3066"/>
    <w:rsid w:val="0068338F"/>
    <w:rsid w:val="0068455C"/>
    <w:rsid w:val="00684887"/>
    <w:rsid w:val="006865C2"/>
    <w:rsid w:val="006867FA"/>
    <w:rsid w:val="006872AA"/>
    <w:rsid w:val="00687F1D"/>
    <w:rsid w:val="006906D6"/>
    <w:rsid w:val="00690BC2"/>
    <w:rsid w:val="00690F24"/>
    <w:rsid w:val="00692EC1"/>
    <w:rsid w:val="00693551"/>
    <w:rsid w:val="00693C8E"/>
    <w:rsid w:val="00694335"/>
    <w:rsid w:val="0069483F"/>
    <w:rsid w:val="00694E44"/>
    <w:rsid w:val="00694F73"/>
    <w:rsid w:val="0069560B"/>
    <w:rsid w:val="00695ED4"/>
    <w:rsid w:val="00696413"/>
    <w:rsid w:val="006964A4"/>
    <w:rsid w:val="006969BA"/>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A77D2"/>
    <w:rsid w:val="006B0298"/>
    <w:rsid w:val="006B0E83"/>
    <w:rsid w:val="006B1357"/>
    <w:rsid w:val="006B2679"/>
    <w:rsid w:val="006B286F"/>
    <w:rsid w:val="006B2A87"/>
    <w:rsid w:val="006B2DC9"/>
    <w:rsid w:val="006B4196"/>
    <w:rsid w:val="006B540E"/>
    <w:rsid w:val="006B5493"/>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EC0"/>
    <w:rsid w:val="006D3F60"/>
    <w:rsid w:val="006D522C"/>
    <w:rsid w:val="006D56AA"/>
    <w:rsid w:val="006D63A8"/>
    <w:rsid w:val="006D643F"/>
    <w:rsid w:val="006D7795"/>
    <w:rsid w:val="006D7ACB"/>
    <w:rsid w:val="006E00EF"/>
    <w:rsid w:val="006E06BB"/>
    <w:rsid w:val="006E15EA"/>
    <w:rsid w:val="006E18C7"/>
    <w:rsid w:val="006E19BF"/>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60D"/>
    <w:rsid w:val="006F0A11"/>
    <w:rsid w:val="006F15EB"/>
    <w:rsid w:val="006F1F3A"/>
    <w:rsid w:val="006F2F5E"/>
    <w:rsid w:val="006F384A"/>
    <w:rsid w:val="006F710A"/>
    <w:rsid w:val="006F7EB8"/>
    <w:rsid w:val="006F7F1C"/>
    <w:rsid w:val="00700324"/>
    <w:rsid w:val="0070094A"/>
    <w:rsid w:val="007013CB"/>
    <w:rsid w:val="007018AC"/>
    <w:rsid w:val="007019B1"/>
    <w:rsid w:val="00702C3C"/>
    <w:rsid w:val="00702CEF"/>
    <w:rsid w:val="00702D85"/>
    <w:rsid w:val="00702DD7"/>
    <w:rsid w:val="0070327B"/>
    <w:rsid w:val="00703D21"/>
    <w:rsid w:val="007047D3"/>
    <w:rsid w:val="00704FD0"/>
    <w:rsid w:val="00705663"/>
    <w:rsid w:val="00705C40"/>
    <w:rsid w:val="007076E0"/>
    <w:rsid w:val="00707F1C"/>
    <w:rsid w:val="0071087E"/>
    <w:rsid w:val="00711885"/>
    <w:rsid w:val="0071246B"/>
    <w:rsid w:val="007132EF"/>
    <w:rsid w:val="00713645"/>
    <w:rsid w:val="007147C2"/>
    <w:rsid w:val="00716001"/>
    <w:rsid w:val="007169A8"/>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6BD"/>
    <w:rsid w:val="00727A1C"/>
    <w:rsid w:val="00727ACB"/>
    <w:rsid w:val="0073051D"/>
    <w:rsid w:val="00730D35"/>
    <w:rsid w:val="0073135D"/>
    <w:rsid w:val="00731702"/>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37EB6"/>
    <w:rsid w:val="007400DA"/>
    <w:rsid w:val="007402A3"/>
    <w:rsid w:val="00740398"/>
    <w:rsid w:val="00740C8C"/>
    <w:rsid w:val="00741AC4"/>
    <w:rsid w:val="00742AE3"/>
    <w:rsid w:val="00742CA5"/>
    <w:rsid w:val="007460D7"/>
    <w:rsid w:val="00750EC3"/>
    <w:rsid w:val="007513F0"/>
    <w:rsid w:val="007515BC"/>
    <w:rsid w:val="00752204"/>
    <w:rsid w:val="00752223"/>
    <w:rsid w:val="00752606"/>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9C9"/>
    <w:rsid w:val="0078400A"/>
    <w:rsid w:val="0078483E"/>
    <w:rsid w:val="00785461"/>
    <w:rsid w:val="007866BA"/>
    <w:rsid w:val="00786FF3"/>
    <w:rsid w:val="007876CF"/>
    <w:rsid w:val="00787B77"/>
    <w:rsid w:val="007902F1"/>
    <w:rsid w:val="00790463"/>
    <w:rsid w:val="00790946"/>
    <w:rsid w:val="007909C3"/>
    <w:rsid w:val="00791361"/>
    <w:rsid w:val="0079260D"/>
    <w:rsid w:val="00793070"/>
    <w:rsid w:val="00793090"/>
    <w:rsid w:val="007931B1"/>
    <w:rsid w:val="0079334A"/>
    <w:rsid w:val="007948D3"/>
    <w:rsid w:val="00795066"/>
    <w:rsid w:val="0079546C"/>
    <w:rsid w:val="00795691"/>
    <w:rsid w:val="0079685C"/>
    <w:rsid w:val="00796C01"/>
    <w:rsid w:val="00796C9B"/>
    <w:rsid w:val="00796F2A"/>
    <w:rsid w:val="00797237"/>
    <w:rsid w:val="007A00D4"/>
    <w:rsid w:val="007A0176"/>
    <w:rsid w:val="007A0314"/>
    <w:rsid w:val="007A059A"/>
    <w:rsid w:val="007A06E4"/>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C7F34"/>
    <w:rsid w:val="007D0014"/>
    <w:rsid w:val="007D03E3"/>
    <w:rsid w:val="007D1EE1"/>
    <w:rsid w:val="007D22A8"/>
    <w:rsid w:val="007D2F75"/>
    <w:rsid w:val="007D3400"/>
    <w:rsid w:val="007D5162"/>
    <w:rsid w:val="007D5D16"/>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5F4C"/>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7C9"/>
    <w:rsid w:val="00805C77"/>
    <w:rsid w:val="00806051"/>
    <w:rsid w:val="008061A4"/>
    <w:rsid w:val="00806724"/>
    <w:rsid w:val="00806BBF"/>
    <w:rsid w:val="00807232"/>
    <w:rsid w:val="008074C4"/>
    <w:rsid w:val="0080799F"/>
    <w:rsid w:val="00807FA7"/>
    <w:rsid w:val="00810515"/>
    <w:rsid w:val="0081084A"/>
    <w:rsid w:val="00810C43"/>
    <w:rsid w:val="008117F6"/>
    <w:rsid w:val="0081283F"/>
    <w:rsid w:val="00812C0C"/>
    <w:rsid w:val="00812E19"/>
    <w:rsid w:val="00813BB1"/>
    <w:rsid w:val="00813C38"/>
    <w:rsid w:val="00813FF9"/>
    <w:rsid w:val="0081480A"/>
    <w:rsid w:val="0081526C"/>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0EA3"/>
    <w:rsid w:val="008315CE"/>
    <w:rsid w:val="00831BF5"/>
    <w:rsid w:val="00831E20"/>
    <w:rsid w:val="00832BAC"/>
    <w:rsid w:val="008336A5"/>
    <w:rsid w:val="00833D38"/>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D7"/>
    <w:rsid w:val="00844A83"/>
    <w:rsid w:val="00844AC9"/>
    <w:rsid w:val="00844CB5"/>
    <w:rsid w:val="00844DE7"/>
    <w:rsid w:val="008458F6"/>
    <w:rsid w:val="00845AED"/>
    <w:rsid w:val="00845BDD"/>
    <w:rsid w:val="008463D4"/>
    <w:rsid w:val="00846AA6"/>
    <w:rsid w:val="0084708E"/>
    <w:rsid w:val="0084784B"/>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60FBA"/>
    <w:rsid w:val="0086106B"/>
    <w:rsid w:val="0086231B"/>
    <w:rsid w:val="00862771"/>
    <w:rsid w:val="008631E0"/>
    <w:rsid w:val="00863A1C"/>
    <w:rsid w:val="00864241"/>
    <w:rsid w:val="008642BE"/>
    <w:rsid w:val="008650E3"/>
    <w:rsid w:val="0086515E"/>
    <w:rsid w:val="008659BA"/>
    <w:rsid w:val="0086682F"/>
    <w:rsid w:val="00867687"/>
    <w:rsid w:val="00867896"/>
    <w:rsid w:val="008704DF"/>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7A1"/>
    <w:rsid w:val="00896801"/>
    <w:rsid w:val="00897404"/>
    <w:rsid w:val="00897444"/>
    <w:rsid w:val="00897BD9"/>
    <w:rsid w:val="008A02C0"/>
    <w:rsid w:val="008A03A5"/>
    <w:rsid w:val="008A0600"/>
    <w:rsid w:val="008A0DF3"/>
    <w:rsid w:val="008A1134"/>
    <w:rsid w:val="008A1757"/>
    <w:rsid w:val="008A1B76"/>
    <w:rsid w:val="008A282C"/>
    <w:rsid w:val="008A2B45"/>
    <w:rsid w:val="008A3054"/>
    <w:rsid w:val="008A3F77"/>
    <w:rsid w:val="008A4138"/>
    <w:rsid w:val="008A4A47"/>
    <w:rsid w:val="008A4B66"/>
    <w:rsid w:val="008A5B9E"/>
    <w:rsid w:val="008A5D96"/>
    <w:rsid w:val="008A70D7"/>
    <w:rsid w:val="008A7498"/>
    <w:rsid w:val="008A7C03"/>
    <w:rsid w:val="008B0A26"/>
    <w:rsid w:val="008B0B01"/>
    <w:rsid w:val="008B0BDD"/>
    <w:rsid w:val="008B15D3"/>
    <w:rsid w:val="008B188E"/>
    <w:rsid w:val="008B1E85"/>
    <w:rsid w:val="008B2C03"/>
    <w:rsid w:val="008B2FB6"/>
    <w:rsid w:val="008B525E"/>
    <w:rsid w:val="008B5AB3"/>
    <w:rsid w:val="008B6765"/>
    <w:rsid w:val="008B6848"/>
    <w:rsid w:val="008B68B4"/>
    <w:rsid w:val="008B7ED8"/>
    <w:rsid w:val="008C0B03"/>
    <w:rsid w:val="008C0FE5"/>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031B"/>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360E"/>
    <w:rsid w:val="00903D37"/>
    <w:rsid w:val="00904523"/>
    <w:rsid w:val="00904866"/>
    <w:rsid w:val="009049CE"/>
    <w:rsid w:val="009052E4"/>
    <w:rsid w:val="00905BEE"/>
    <w:rsid w:val="009067F9"/>
    <w:rsid w:val="00906B23"/>
    <w:rsid w:val="009079D1"/>
    <w:rsid w:val="009103A8"/>
    <w:rsid w:val="0091055D"/>
    <w:rsid w:val="00910A37"/>
    <w:rsid w:val="00911265"/>
    <w:rsid w:val="00911A5A"/>
    <w:rsid w:val="00913724"/>
    <w:rsid w:val="009138F9"/>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501A3"/>
    <w:rsid w:val="009508A0"/>
    <w:rsid w:val="00951D6D"/>
    <w:rsid w:val="009520CC"/>
    <w:rsid w:val="009529E7"/>
    <w:rsid w:val="00952B2E"/>
    <w:rsid w:val="00953FF0"/>
    <w:rsid w:val="0095477B"/>
    <w:rsid w:val="00954B9C"/>
    <w:rsid w:val="00956711"/>
    <w:rsid w:val="00956F6E"/>
    <w:rsid w:val="009577D7"/>
    <w:rsid w:val="00960311"/>
    <w:rsid w:val="00960346"/>
    <w:rsid w:val="009604A1"/>
    <w:rsid w:val="00960524"/>
    <w:rsid w:val="00961564"/>
    <w:rsid w:val="00961752"/>
    <w:rsid w:val="009617D3"/>
    <w:rsid w:val="009623EB"/>
    <w:rsid w:val="009626AE"/>
    <w:rsid w:val="00962B35"/>
    <w:rsid w:val="009636AA"/>
    <w:rsid w:val="0096463B"/>
    <w:rsid w:val="00964F5E"/>
    <w:rsid w:val="00965671"/>
    <w:rsid w:val="00965929"/>
    <w:rsid w:val="00965F3C"/>
    <w:rsid w:val="00966E0E"/>
    <w:rsid w:val="009673D8"/>
    <w:rsid w:val="0096750C"/>
    <w:rsid w:val="00967869"/>
    <w:rsid w:val="0096796E"/>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BD7"/>
    <w:rsid w:val="00991FA0"/>
    <w:rsid w:val="00992D5A"/>
    <w:rsid w:val="009930DF"/>
    <w:rsid w:val="009934CF"/>
    <w:rsid w:val="00994396"/>
    <w:rsid w:val="00994D08"/>
    <w:rsid w:val="00994FB1"/>
    <w:rsid w:val="0099519F"/>
    <w:rsid w:val="00995E0A"/>
    <w:rsid w:val="00996C9B"/>
    <w:rsid w:val="00996D27"/>
    <w:rsid w:val="00997C76"/>
    <w:rsid w:val="009A0A94"/>
    <w:rsid w:val="009A0D75"/>
    <w:rsid w:val="009A0DD3"/>
    <w:rsid w:val="009A1912"/>
    <w:rsid w:val="009A2459"/>
    <w:rsid w:val="009A2784"/>
    <w:rsid w:val="009A3057"/>
    <w:rsid w:val="009A306D"/>
    <w:rsid w:val="009A347A"/>
    <w:rsid w:val="009A365E"/>
    <w:rsid w:val="009A4205"/>
    <w:rsid w:val="009A4615"/>
    <w:rsid w:val="009A5194"/>
    <w:rsid w:val="009A5671"/>
    <w:rsid w:val="009A620E"/>
    <w:rsid w:val="009A6AB4"/>
    <w:rsid w:val="009B02B2"/>
    <w:rsid w:val="009B074D"/>
    <w:rsid w:val="009B0A03"/>
    <w:rsid w:val="009B186F"/>
    <w:rsid w:val="009B1AA2"/>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52E7"/>
    <w:rsid w:val="009C548B"/>
    <w:rsid w:val="009C5F24"/>
    <w:rsid w:val="009C6014"/>
    <w:rsid w:val="009D048B"/>
    <w:rsid w:val="009D058F"/>
    <w:rsid w:val="009D1B43"/>
    <w:rsid w:val="009D1B5D"/>
    <w:rsid w:val="009D1EBA"/>
    <w:rsid w:val="009D2991"/>
    <w:rsid w:val="009D3221"/>
    <w:rsid w:val="009D3432"/>
    <w:rsid w:val="009D3841"/>
    <w:rsid w:val="009D3F7B"/>
    <w:rsid w:val="009D4254"/>
    <w:rsid w:val="009D43FE"/>
    <w:rsid w:val="009D4CFA"/>
    <w:rsid w:val="009D5C33"/>
    <w:rsid w:val="009D66E7"/>
    <w:rsid w:val="009D69C6"/>
    <w:rsid w:val="009D6F70"/>
    <w:rsid w:val="009D71A7"/>
    <w:rsid w:val="009D7ED9"/>
    <w:rsid w:val="009E10E1"/>
    <w:rsid w:val="009E110C"/>
    <w:rsid w:val="009E13EC"/>
    <w:rsid w:val="009E1487"/>
    <w:rsid w:val="009E1850"/>
    <w:rsid w:val="009E22A9"/>
    <w:rsid w:val="009E2329"/>
    <w:rsid w:val="009E31C4"/>
    <w:rsid w:val="009E39F4"/>
    <w:rsid w:val="009E3A32"/>
    <w:rsid w:val="009E487F"/>
    <w:rsid w:val="009E4AEF"/>
    <w:rsid w:val="009E4EF3"/>
    <w:rsid w:val="009E53A5"/>
    <w:rsid w:val="009E5419"/>
    <w:rsid w:val="009E5509"/>
    <w:rsid w:val="009E5A6E"/>
    <w:rsid w:val="009E5C14"/>
    <w:rsid w:val="009E5DC7"/>
    <w:rsid w:val="009E5DFA"/>
    <w:rsid w:val="009E6994"/>
    <w:rsid w:val="009E6A7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30E"/>
    <w:rsid w:val="00A02488"/>
    <w:rsid w:val="00A02BCA"/>
    <w:rsid w:val="00A030EA"/>
    <w:rsid w:val="00A03A13"/>
    <w:rsid w:val="00A03A1B"/>
    <w:rsid w:val="00A0451D"/>
    <w:rsid w:val="00A0636A"/>
    <w:rsid w:val="00A06CC5"/>
    <w:rsid w:val="00A07167"/>
    <w:rsid w:val="00A078E7"/>
    <w:rsid w:val="00A1041C"/>
    <w:rsid w:val="00A10C91"/>
    <w:rsid w:val="00A11CAD"/>
    <w:rsid w:val="00A11F7F"/>
    <w:rsid w:val="00A147A2"/>
    <w:rsid w:val="00A14C69"/>
    <w:rsid w:val="00A14EC0"/>
    <w:rsid w:val="00A15A51"/>
    <w:rsid w:val="00A1620D"/>
    <w:rsid w:val="00A16AC0"/>
    <w:rsid w:val="00A16C69"/>
    <w:rsid w:val="00A16DC1"/>
    <w:rsid w:val="00A2011B"/>
    <w:rsid w:val="00A20F4C"/>
    <w:rsid w:val="00A21D9F"/>
    <w:rsid w:val="00A22CAD"/>
    <w:rsid w:val="00A22D92"/>
    <w:rsid w:val="00A23325"/>
    <w:rsid w:val="00A23809"/>
    <w:rsid w:val="00A23D31"/>
    <w:rsid w:val="00A24C9B"/>
    <w:rsid w:val="00A25083"/>
    <w:rsid w:val="00A252B7"/>
    <w:rsid w:val="00A2536F"/>
    <w:rsid w:val="00A264CA"/>
    <w:rsid w:val="00A266BF"/>
    <w:rsid w:val="00A266E1"/>
    <w:rsid w:val="00A26ECD"/>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676"/>
    <w:rsid w:val="00A37793"/>
    <w:rsid w:val="00A37891"/>
    <w:rsid w:val="00A40A51"/>
    <w:rsid w:val="00A415BA"/>
    <w:rsid w:val="00A41622"/>
    <w:rsid w:val="00A41832"/>
    <w:rsid w:val="00A41B03"/>
    <w:rsid w:val="00A42B22"/>
    <w:rsid w:val="00A440BF"/>
    <w:rsid w:val="00A4594F"/>
    <w:rsid w:val="00A4649A"/>
    <w:rsid w:val="00A47916"/>
    <w:rsid w:val="00A50778"/>
    <w:rsid w:val="00A51058"/>
    <w:rsid w:val="00A5278F"/>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738"/>
    <w:rsid w:val="00A6289B"/>
    <w:rsid w:val="00A633C8"/>
    <w:rsid w:val="00A6491D"/>
    <w:rsid w:val="00A6550C"/>
    <w:rsid w:val="00A65A48"/>
    <w:rsid w:val="00A6697B"/>
    <w:rsid w:val="00A66D74"/>
    <w:rsid w:val="00A67022"/>
    <w:rsid w:val="00A67D6A"/>
    <w:rsid w:val="00A707BC"/>
    <w:rsid w:val="00A7087B"/>
    <w:rsid w:val="00A719AA"/>
    <w:rsid w:val="00A7221E"/>
    <w:rsid w:val="00A727AA"/>
    <w:rsid w:val="00A73DE3"/>
    <w:rsid w:val="00A74B97"/>
    <w:rsid w:val="00A74C2D"/>
    <w:rsid w:val="00A7512C"/>
    <w:rsid w:val="00A75171"/>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3DEF"/>
    <w:rsid w:val="00A9424D"/>
    <w:rsid w:val="00A943FD"/>
    <w:rsid w:val="00A954FE"/>
    <w:rsid w:val="00A95DA3"/>
    <w:rsid w:val="00A9629C"/>
    <w:rsid w:val="00A96E80"/>
    <w:rsid w:val="00AA013F"/>
    <w:rsid w:val="00AA0A82"/>
    <w:rsid w:val="00AA131E"/>
    <w:rsid w:val="00AA16A7"/>
    <w:rsid w:val="00AA2289"/>
    <w:rsid w:val="00AA247F"/>
    <w:rsid w:val="00AA2AFF"/>
    <w:rsid w:val="00AA2BAC"/>
    <w:rsid w:val="00AA35D5"/>
    <w:rsid w:val="00AA4116"/>
    <w:rsid w:val="00AA417B"/>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725"/>
    <w:rsid w:val="00AB5A5E"/>
    <w:rsid w:val="00AB613C"/>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EE6"/>
    <w:rsid w:val="00AC621A"/>
    <w:rsid w:val="00AC6303"/>
    <w:rsid w:val="00AC6417"/>
    <w:rsid w:val="00AC748B"/>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E0B4B"/>
    <w:rsid w:val="00AE1B95"/>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2E09"/>
    <w:rsid w:val="00B04644"/>
    <w:rsid w:val="00B049B9"/>
    <w:rsid w:val="00B05957"/>
    <w:rsid w:val="00B06723"/>
    <w:rsid w:val="00B07F12"/>
    <w:rsid w:val="00B07FE3"/>
    <w:rsid w:val="00B10BAE"/>
    <w:rsid w:val="00B10EE1"/>
    <w:rsid w:val="00B1106A"/>
    <w:rsid w:val="00B11DD5"/>
    <w:rsid w:val="00B11F74"/>
    <w:rsid w:val="00B12157"/>
    <w:rsid w:val="00B1256A"/>
    <w:rsid w:val="00B134F4"/>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E56"/>
    <w:rsid w:val="00B26E79"/>
    <w:rsid w:val="00B271EB"/>
    <w:rsid w:val="00B274AE"/>
    <w:rsid w:val="00B274BF"/>
    <w:rsid w:val="00B30788"/>
    <w:rsid w:val="00B30AB6"/>
    <w:rsid w:val="00B30BA5"/>
    <w:rsid w:val="00B31222"/>
    <w:rsid w:val="00B3127D"/>
    <w:rsid w:val="00B318C9"/>
    <w:rsid w:val="00B31CC2"/>
    <w:rsid w:val="00B31FDB"/>
    <w:rsid w:val="00B330C9"/>
    <w:rsid w:val="00B33D0A"/>
    <w:rsid w:val="00B33F64"/>
    <w:rsid w:val="00B349A2"/>
    <w:rsid w:val="00B34B9C"/>
    <w:rsid w:val="00B358A3"/>
    <w:rsid w:val="00B35A56"/>
    <w:rsid w:val="00B36095"/>
    <w:rsid w:val="00B36104"/>
    <w:rsid w:val="00B36693"/>
    <w:rsid w:val="00B366F1"/>
    <w:rsid w:val="00B37DE4"/>
    <w:rsid w:val="00B40D70"/>
    <w:rsid w:val="00B410E9"/>
    <w:rsid w:val="00B41744"/>
    <w:rsid w:val="00B41DF3"/>
    <w:rsid w:val="00B42118"/>
    <w:rsid w:val="00B4229B"/>
    <w:rsid w:val="00B4235B"/>
    <w:rsid w:val="00B42885"/>
    <w:rsid w:val="00B42C7F"/>
    <w:rsid w:val="00B42E81"/>
    <w:rsid w:val="00B43225"/>
    <w:rsid w:val="00B4329D"/>
    <w:rsid w:val="00B44EEE"/>
    <w:rsid w:val="00B45BEE"/>
    <w:rsid w:val="00B4666D"/>
    <w:rsid w:val="00B475BF"/>
    <w:rsid w:val="00B50893"/>
    <w:rsid w:val="00B50A04"/>
    <w:rsid w:val="00B520F9"/>
    <w:rsid w:val="00B52493"/>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5DF3"/>
    <w:rsid w:val="00B86C19"/>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3C9"/>
    <w:rsid w:val="00B9465C"/>
    <w:rsid w:val="00B94B30"/>
    <w:rsid w:val="00B94BEB"/>
    <w:rsid w:val="00B954F3"/>
    <w:rsid w:val="00B958B1"/>
    <w:rsid w:val="00B95B72"/>
    <w:rsid w:val="00B95BCD"/>
    <w:rsid w:val="00B95BD9"/>
    <w:rsid w:val="00B95CDC"/>
    <w:rsid w:val="00B95CE5"/>
    <w:rsid w:val="00B96107"/>
    <w:rsid w:val="00B96B5C"/>
    <w:rsid w:val="00B96C55"/>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277"/>
    <w:rsid w:val="00BB532B"/>
    <w:rsid w:val="00BB545D"/>
    <w:rsid w:val="00BB5656"/>
    <w:rsid w:val="00BB6A70"/>
    <w:rsid w:val="00BB6C54"/>
    <w:rsid w:val="00BC0924"/>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67D"/>
    <w:rsid w:val="00C005A5"/>
    <w:rsid w:val="00C007D9"/>
    <w:rsid w:val="00C016C5"/>
    <w:rsid w:val="00C021A6"/>
    <w:rsid w:val="00C02435"/>
    <w:rsid w:val="00C02957"/>
    <w:rsid w:val="00C031AF"/>
    <w:rsid w:val="00C04BB0"/>
    <w:rsid w:val="00C04D47"/>
    <w:rsid w:val="00C0545B"/>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4FB1"/>
    <w:rsid w:val="00C15121"/>
    <w:rsid w:val="00C15CE5"/>
    <w:rsid w:val="00C163F6"/>
    <w:rsid w:val="00C16B4B"/>
    <w:rsid w:val="00C17427"/>
    <w:rsid w:val="00C20766"/>
    <w:rsid w:val="00C207C5"/>
    <w:rsid w:val="00C20C00"/>
    <w:rsid w:val="00C210FD"/>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5F2"/>
    <w:rsid w:val="00C30BCF"/>
    <w:rsid w:val="00C31AD7"/>
    <w:rsid w:val="00C32167"/>
    <w:rsid w:val="00C3345C"/>
    <w:rsid w:val="00C3349B"/>
    <w:rsid w:val="00C33D75"/>
    <w:rsid w:val="00C34F5F"/>
    <w:rsid w:val="00C34F92"/>
    <w:rsid w:val="00C34FC7"/>
    <w:rsid w:val="00C35C2C"/>
    <w:rsid w:val="00C36051"/>
    <w:rsid w:val="00C36E6F"/>
    <w:rsid w:val="00C36F8A"/>
    <w:rsid w:val="00C40468"/>
    <w:rsid w:val="00C407E5"/>
    <w:rsid w:val="00C40A41"/>
    <w:rsid w:val="00C42DAC"/>
    <w:rsid w:val="00C43000"/>
    <w:rsid w:val="00C433F9"/>
    <w:rsid w:val="00C4342B"/>
    <w:rsid w:val="00C436E3"/>
    <w:rsid w:val="00C442B4"/>
    <w:rsid w:val="00C44829"/>
    <w:rsid w:val="00C44E88"/>
    <w:rsid w:val="00C44F2E"/>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5151"/>
    <w:rsid w:val="00C553D0"/>
    <w:rsid w:val="00C55558"/>
    <w:rsid w:val="00C5575D"/>
    <w:rsid w:val="00C558FF"/>
    <w:rsid w:val="00C560FA"/>
    <w:rsid w:val="00C56640"/>
    <w:rsid w:val="00C56772"/>
    <w:rsid w:val="00C56A84"/>
    <w:rsid w:val="00C57055"/>
    <w:rsid w:val="00C576AD"/>
    <w:rsid w:val="00C57FF9"/>
    <w:rsid w:val="00C60320"/>
    <w:rsid w:val="00C60927"/>
    <w:rsid w:val="00C6193B"/>
    <w:rsid w:val="00C61A98"/>
    <w:rsid w:val="00C63059"/>
    <w:rsid w:val="00C63158"/>
    <w:rsid w:val="00C633D7"/>
    <w:rsid w:val="00C633F2"/>
    <w:rsid w:val="00C64434"/>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803F7"/>
    <w:rsid w:val="00C82300"/>
    <w:rsid w:val="00C82ECE"/>
    <w:rsid w:val="00C830B2"/>
    <w:rsid w:val="00C834EF"/>
    <w:rsid w:val="00C83CDA"/>
    <w:rsid w:val="00C83CE0"/>
    <w:rsid w:val="00C85935"/>
    <w:rsid w:val="00C8631F"/>
    <w:rsid w:val="00C86432"/>
    <w:rsid w:val="00C86FC6"/>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FE"/>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CA5"/>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1F2B"/>
    <w:rsid w:val="00D01F75"/>
    <w:rsid w:val="00D01FC7"/>
    <w:rsid w:val="00D0215D"/>
    <w:rsid w:val="00D02BC6"/>
    <w:rsid w:val="00D02C0D"/>
    <w:rsid w:val="00D0310D"/>
    <w:rsid w:val="00D032BC"/>
    <w:rsid w:val="00D03AB3"/>
    <w:rsid w:val="00D03B48"/>
    <w:rsid w:val="00D03F9F"/>
    <w:rsid w:val="00D056CC"/>
    <w:rsid w:val="00D05803"/>
    <w:rsid w:val="00D05C7C"/>
    <w:rsid w:val="00D06906"/>
    <w:rsid w:val="00D07742"/>
    <w:rsid w:val="00D077DC"/>
    <w:rsid w:val="00D07D3A"/>
    <w:rsid w:val="00D106B7"/>
    <w:rsid w:val="00D1276A"/>
    <w:rsid w:val="00D132F9"/>
    <w:rsid w:val="00D143B7"/>
    <w:rsid w:val="00D14880"/>
    <w:rsid w:val="00D14DB7"/>
    <w:rsid w:val="00D15ED5"/>
    <w:rsid w:val="00D16656"/>
    <w:rsid w:val="00D16EB8"/>
    <w:rsid w:val="00D17448"/>
    <w:rsid w:val="00D1769A"/>
    <w:rsid w:val="00D17825"/>
    <w:rsid w:val="00D1790B"/>
    <w:rsid w:val="00D200AB"/>
    <w:rsid w:val="00D204F4"/>
    <w:rsid w:val="00D20613"/>
    <w:rsid w:val="00D20B81"/>
    <w:rsid w:val="00D223BF"/>
    <w:rsid w:val="00D244BD"/>
    <w:rsid w:val="00D25230"/>
    <w:rsid w:val="00D255F9"/>
    <w:rsid w:val="00D25F67"/>
    <w:rsid w:val="00D266C4"/>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3257"/>
    <w:rsid w:val="00D434EC"/>
    <w:rsid w:val="00D43E69"/>
    <w:rsid w:val="00D43EC7"/>
    <w:rsid w:val="00D44462"/>
    <w:rsid w:val="00D4453A"/>
    <w:rsid w:val="00D44E9D"/>
    <w:rsid w:val="00D454A6"/>
    <w:rsid w:val="00D454E0"/>
    <w:rsid w:val="00D45D5E"/>
    <w:rsid w:val="00D466D0"/>
    <w:rsid w:val="00D472A7"/>
    <w:rsid w:val="00D475A5"/>
    <w:rsid w:val="00D479E6"/>
    <w:rsid w:val="00D51515"/>
    <w:rsid w:val="00D51E27"/>
    <w:rsid w:val="00D520C6"/>
    <w:rsid w:val="00D52C05"/>
    <w:rsid w:val="00D53140"/>
    <w:rsid w:val="00D5499A"/>
    <w:rsid w:val="00D54BD5"/>
    <w:rsid w:val="00D54E33"/>
    <w:rsid w:val="00D554FA"/>
    <w:rsid w:val="00D575F0"/>
    <w:rsid w:val="00D57F43"/>
    <w:rsid w:val="00D60578"/>
    <w:rsid w:val="00D61A0E"/>
    <w:rsid w:val="00D61DA9"/>
    <w:rsid w:val="00D62840"/>
    <w:rsid w:val="00D63448"/>
    <w:rsid w:val="00D642CF"/>
    <w:rsid w:val="00D66CF4"/>
    <w:rsid w:val="00D71CF9"/>
    <w:rsid w:val="00D71DD4"/>
    <w:rsid w:val="00D71E69"/>
    <w:rsid w:val="00D72264"/>
    <w:rsid w:val="00D7238C"/>
    <w:rsid w:val="00D72970"/>
    <w:rsid w:val="00D72F49"/>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604B"/>
    <w:rsid w:val="00D96A99"/>
    <w:rsid w:val="00D96FC3"/>
    <w:rsid w:val="00D97756"/>
    <w:rsid w:val="00D97DCA"/>
    <w:rsid w:val="00DA0839"/>
    <w:rsid w:val="00DA0B7E"/>
    <w:rsid w:val="00DA0D92"/>
    <w:rsid w:val="00DA12C3"/>
    <w:rsid w:val="00DA1790"/>
    <w:rsid w:val="00DA1B87"/>
    <w:rsid w:val="00DA20A1"/>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34EE"/>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09DA"/>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550"/>
    <w:rsid w:val="00E227E4"/>
    <w:rsid w:val="00E22C3D"/>
    <w:rsid w:val="00E2330C"/>
    <w:rsid w:val="00E234C4"/>
    <w:rsid w:val="00E23912"/>
    <w:rsid w:val="00E240EF"/>
    <w:rsid w:val="00E24BF5"/>
    <w:rsid w:val="00E24E3E"/>
    <w:rsid w:val="00E25265"/>
    <w:rsid w:val="00E27DDF"/>
    <w:rsid w:val="00E27E01"/>
    <w:rsid w:val="00E30550"/>
    <w:rsid w:val="00E30A90"/>
    <w:rsid w:val="00E3109F"/>
    <w:rsid w:val="00E31325"/>
    <w:rsid w:val="00E32DBA"/>
    <w:rsid w:val="00E32FD6"/>
    <w:rsid w:val="00E34D57"/>
    <w:rsid w:val="00E36677"/>
    <w:rsid w:val="00E37186"/>
    <w:rsid w:val="00E400A0"/>
    <w:rsid w:val="00E403CC"/>
    <w:rsid w:val="00E40628"/>
    <w:rsid w:val="00E407A6"/>
    <w:rsid w:val="00E408D7"/>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F02"/>
    <w:rsid w:val="00E7356B"/>
    <w:rsid w:val="00E739D0"/>
    <w:rsid w:val="00E754F8"/>
    <w:rsid w:val="00E75AD6"/>
    <w:rsid w:val="00E7654C"/>
    <w:rsid w:val="00E76DE3"/>
    <w:rsid w:val="00E76E33"/>
    <w:rsid w:val="00E76E87"/>
    <w:rsid w:val="00E7778E"/>
    <w:rsid w:val="00E80000"/>
    <w:rsid w:val="00E8155D"/>
    <w:rsid w:val="00E82E27"/>
    <w:rsid w:val="00E83A16"/>
    <w:rsid w:val="00E8486F"/>
    <w:rsid w:val="00E84AD7"/>
    <w:rsid w:val="00E85763"/>
    <w:rsid w:val="00E85CC0"/>
    <w:rsid w:val="00E87C2D"/>
    <w:rsid w:val="00E90197"/>
    <w:rsid w:val="00E90C77"/>
    <w:rsid w:val="00E90FA6"/>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860"/>
    <w:rsid w:val="00EB3B88"/>
    <w:rsid w:val="00EB3EED"/>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E7AE2"/>
    <w:rsid w:val="00EF0517"/>
    <w:rsid w:val="00EF0EA0"/>
    <w:rsid w:val="00EF16A6"/>
    <w:rsid w:val="00EF2682"/>
    <w:rsid w:val="00EF27DF"/>
    <w:rsid w:val="00EF2C2D"/>
    <w:rsid w:val="00EF2CC6"/>
    <w:rsid w:val="00EF3247"/>
    <w:rsid w:val="00EF45F3"/>
    <w:rsid w:val="00EF4A64"/>
    <w:rsid w:val="00EF4D3F"/>
    <w:rsid w:val="00EF4D52"/>
    <w:rsid w:val="00EF6284"/>
    <w:rsid w:val="00EF665D"/>
    <w:rsid w:val="00EF72F4"/>
    <w:rsid w:val="00F00012"/>
    <w:rsid w:val="00F00847"/>
    <w:rsid w:val="00F00BCE"/>
    <w:rsid w:val="00F01166"/>
    <w:rsid w:val="00F018AD"/>
    <w:rsid w:val="00F01929"/>
    <w:rsid w:val="00F02171"/>
    <w:rsid w:val="00F033EF"/>
    <w:rsid w:val="00F03FF8"/>
    <w:rsid w:val="00F043CD"/>
    <w:rsid w:val="00F0528B"/>
    <w:rsid w:val="00F061A6"/>
    <w:rsid w:val="00F061AA"/>
    <w:rsid w:val="00F0710C"/>
    <w:rsid w:val="00F0778D"/>
    <w:rsid w:val="00F1106D"/>
    <w:rsid w:val="00F111B4"/>
    <w:rsid w:val="00F11AB3"/>
    <w:rsid w:val="00F13DBE"/>
    <w:rsid w:val="00F14017"/>
    <w:rsid w:val="00F1436E"/>
    <w:rsid w:val="00F14AFF"/>
    <w:rsid w:val="00F1562B"/>
    <w:rsid w:val="00F1684C"/>
    <w:rsid w:val="00F17EF1"/>
    <w:rsid w:val="00F20633"/>
    <w:rsid w:val="00F20876"/>
    <w:rsid w:val="00F21DD6"/>
    <w:rsid w:val="00F25CFE"/>
    <w:rsid w:val="00F269AB"/>
    <w:rsid w:val="00F26D62"/>
    <w:rsid w:val="00F2753A"/>
    <w:rsid w:val="00F3018B"/>
    <w:rsid w:val="00F30371"/>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BE6"/>
    <w:rsid w:val="00F51236"/>
    <w:rsid w:val="00F51438"/>
    <w:rsid w:val="00F5374C"/>
    <w:rsid w:val="00F541B8"/>
    <w:rsid w:val="00F5423F"/>
    <w:rsid w:val="00F546D7"/>
    <w:rsid w:val="00F560B2"/>
    <w:rsid w:val="00F56B6D"/>
    <w:rsid w:val="00F56CC2"/>
    <w:rsid w:val="00F5787E"/>
    <w:rsid w:val="00F57A7F"/>
    <w:rsid w:val="00F57ADE"/>
    <w:rsid w:val="00F60BC0"/>
    <w:rsid w:val="00F615A8"/>
    <w:rsid w:val="00F61B7F"/>
    <w:rsid w:val="00F62370"/>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7E6"/>
    <w:rsid w:val="00F720F5"/>
    <w:rsid w:val="00F72608"/>
    <w:rsid w:val="00F72EA2"/>
    <w:rsid w:val="00F73751"/>
    <w:rsid w:val="00F73DC5"/>
    <w:rsid w:val="00F74042"/>
    <w:rsid w:val="00F7521F"/>
    <w:rsid w:val="00F75B84"/>
    <w:rsid w:val="00F75EAD"/>
    <w:rsid w:val="00F76689"/>
    <w:rsid w:val="00F77154"/>
    <w:rsid w:val="00F77A98"/>
    <w:rsid w:val="00F80F33"/>
    <w:rsid w:val="00F8249B"/>
    <w:rsid w:val="00F824BB"/>
    <w:rsid w:val="00F8255E"/>
    <w:rsid w:val="00F82EC0"/>
    <w:rsid w:val="00F83DDA"/>
    <w:rsid w:val="00F846D6"/>
    <w:rsid w:val="00F84DFE"/>
    <w:rsid w:val="00F8647F"/>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79BF"/>
    <w:rsid w:val="00FA0437"/>
    <w:rsid w:val="00FA0988"/>
    <w:rsid w:val="00FA103E"/>
    <w:rsid w:val="00FA155E"/>
    <w:rsid w:val="00FA1D4C"/>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03E"/>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9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8631E0"/>
    <w:rPr>
      <w:color w:val="605E5C"/>
      <w:shd w:val="clear" w:color="auto" w:fill="E1DFDD"/>
    </w:rPr>
  </w:style>
  <w:style w:type="paragraph" w:styleId="NormalWeb">
    <w:name w:val="Normal (Web)"/>
    <w:basedOn w:val="Normal"/>
    <w:uiPriority w:val="99"/>
    <w:semiHidden/>
    <w:unhideWhenUsed/>
    <w:rsid w:val="00EF27DF"/>
    <w:pPr>
      <w:spacing w:after="160" w:line="259" w:lineRule="auto"/>
      <w:jc w:val="both"/>
    </w:pPr>
    <w:rPr>
      <w:rFonts w:eastAsiaTheme="minorHAnsi"/>
      <w:color w:val="000000" w:themeColor="text1"/>
      <w:sz w:val="24"/>
      <w:szCs w:val="24"/>
      <w:lang w:eastAsia="en-US"/>
    </w:rPr>
  </w:style>
  <w:style w:type="character" w:customStyle="1" w:styleId="Mencinsinresolver7">
    <w:name w:val="Mención sin resolver7"/>
    <w:basedOn w:val="Fuentedeprrafopredeter"/>
    <w:uiPriority w:val="99"/>
    <w:semiHidden/>
    <w:unhideWhenUsed/>
    <w:rsid w:val="00B40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3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9997679">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90583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190118">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408403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7688322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479079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2254861">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467351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3717514">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0078233">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4998480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o.edomex.gob.mx/teoloyuca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duv.edomexico.gob.mx/planes_municipales/Teoloyucan/E_1%20Layout1%20%281%29.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v.edomexico.gob.mx/planes_municipales/Teoloyucan/Teoloyucan%20FINAL.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islacion.edomex.gob.mx/node/2116"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F0485-E9F2-4A79-8F54-04C88E0A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3204</Words>
  <Characters>17624</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Sandra Ivette Razo De La Paz</cp:lastModifiedBy>
  <cp:revision>5</cp:revision>
  <cp:lastPrinted>2019-11-07T17:48:00Z</cp:lastPrinted>
  <dcterms:created xsi:type="dcterms:W3CDTF">2022-04-27T00:54:00Z</dcterms:created>
  <dcterms:modified xsi:type="dcterms:W3CDTF">2022-04-27T02:16:00Z</dcterms:modified>
</cp:coreProperties>
</file>