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F54F1" w:rsidR="00A4234F" w:rsidP="008948DC" w:rsidRDefault="00A4234F" w14:paraId="619C10A8" w14:textId="611C5997">
      <w:pPr>
        <w:spacing w:line="360" w:lineRule="auto"/>
        <w:jc w:val="both"/>
        <w:rPr>
          <w:rFonts w:ascii="Palatino Linotype" w:hAnsi="Palatino Linotype" w:cs="Tahoma"/>
          <w:sz w:val="22"/>
          <w:szCs w:val="22"/>
        </w:rPr>
      </w:pPr>
      <w:r w:rsidRPr="004F54F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4F54F1" w:rsidR="001A3C8F">
        <w:rPr>
          <w:rFonts w:ascii="Palatino Linotype" w:hAnsi="Palatino Linotype" w:cs="Tahoma"/>
          <w:bCs/>
          <w:sz w:val="22"/>
          <w:szCs w:val="22"/>
        </w:rPr>
        <w:t>cuatro de mayo</w:t>
      </w:r>
      <w:r w:rsidRPr="004F54F1" w:rsidR="00FE1E9B">
        <w:rPr>
          <w:rFonts w:ascii="Palatino Linotype" w:hAnsi="Palatino Linotype" w:cs="Tahoma"/>
          <w:bCs/>
          <w:sz w:val="22"/>
          <w:szCs w:val="22"/>
        </w:rPr>
        <w:t xml:space="preserve"> de </w:t>
      </w:r>
      <w:r w:rsidRPr="004F54F1" w:rsidR="00570A1B">
        <w:rPr>
          <w:rFonts w:ascii="Palatino Linotype" w:hAnsi="Palatino Linotype" w:cs="Tahoma"/>
          <w:bCs/>
          <w:sz w:val="22"/>
          <w:szCs w:val="22"/>
        </w:rPr>
        <w:t>dos mil veintidós.</w:t>
      </w:r>
    </w:p>
    <w:p w:rsidRPr="004F54F1" w:rsidR="00A4234F" w:rsidP="008948DC" w:rsidRDefault="00A4234F" w14:paraId="3B37D885" w14:textId="77777777">
      <w:pPr>
        <w:spacing w:line="360" w:lineRule="auto"/>
        <w:rPr>
          <w:rFonts w:ascii="Palatino Linotype" w:hAnsi="Palatino Linotype" w:cs="Tahoma"/>
          <w:bCs/>
          <w:sz w:val="22"/>
          <w:szCs w:val="22"/>
        </w:rPr>
      </w:pPr>
    </w:p>
    <w:p w:rsidRPr="004F54F1" w:rsidR="00A4234F" w:rsidP="0BF9716C" w:rsidRDefault="00A4234F" w14:paraId="687A37D6" w14:textId="3ECBA533">
      <w:pPr>
        <w:spacing w:line="360" w:lineRule="auto"/>
        <w:jc w:val="both"/>
        <w:rPr>
          <w:rFonts w:ascii="Palatino Linotype" w:hAnsi="Palatino Linotype" w:cs="Tahoma"/>
          <w:sz w:val="22"/>
          <w:szCs w:val="22"/>
        </w:rPr>
      </w:pPr>
      <w:r w:rsidRPr="0BF9716C" w:rsidR="0BF9716C">
        <w:rPr>
          <w:rFonts w:ascii="Palatino Linotype" w:hAnsi="Palatino Linotype" w:cs="Tahoma"/>
          <w:b w:val="1"/>
          <w:bCs w:val="1"/>
          <w:sz w:val="22"/>
          <w:szCs w:val="22"/>
        </w:rPr>
        <w:t xml:space="preserve">VISTO </w:t>
      </w:r>
      <w:r w:rsidRPr="0BF9716C" w:rsidR="0BF9716C">
        <w:rPr>
          <w:rFonts w:ascii="Palatino Linotype" w:hAnsi="Palatino Linotype" w:cs="Tahoma"/>
          <w:sz w:val="22"/>
          <w:szCs w:val="22"/>
        </w:rPr>
        <w:t xml:space="preserve">el expediente conformado con motivo del Recurso de Revisión </w:t>
      </w:r>
      <w:r w:rsidRPr="0BF9716C" w:rsidR="0BF9716C">
        <w:rPr>
          <w:rFonts w:ascii="Palatino Linotype" w:hAnsi="Palatino Linotype" w:cs="Tahoma"/>
          <w:color w:val="0D0D0D" w:themeColor="text1" w:themeTint="F2" w:themeShade="FF"/>
          <w:sz w:val="22"/>
          <w:szCs w:val="22"/>
        </w:rPr>
        <w:t>00901/INFOEM/IP/RR/2022</w:t>
      </w:r>
      <w:r w:rsidRPr="0BF9716C" w:rsidR="0BF9716C">
        <w:rPr>
          <w:rFonts w:ascii="Palatino Linotype" w:hAnsi="Palatino Linotype" w:cs="Tahoma"/>
          <w:sz w:val="22"/>
          <w:szCs w:val="22"/>
        </w:rPr>
        <w:t xml:space="preserve">, interpuesto por </w:t>
      </w:r>
      <w:r w:rsidRPr="0BF9716C" w:rsidR="0BF9716C">
        <w:rPr>
          <w:rFonts w:ascii="Palatino Linotype" w:hAnsi="Palatino Linotype" w:cs="Tahoma"/>
          <w:sz w:val="22"/>
          <w:szCs w:val="22"/>
          <w:highlight w:val="black"/>
        </w:rPr>
        <w:t>XXXXX</w:t>
      </w:r>
      <w:r w:rsidRPr="0BF9716C" w:rsidR="0BF9716C">
        <w:rPr>
          <w:rFonts w:ascii="Palatino Linotype" w:hAnsi="Palatino Linotype" w:cs="Tahoma"/>
          <w:sz w:val="22"/>
          <w:szCs w:val="22"/>
        </w:rPr>
        <w:t>, en lo sucesivo Recurrente o Particular, en contra de la respuesta del Sujeto Obligado, Ayuntamiento de Atizapán de Zaragoza, a la solicitud de acceso a la información pública con número de folio 00029/ATIZARA/IP/2022, se emite la presente Resolución, con base en los Antecedentes y Considerandos que se exponen a continuación:</w:t>
      </w:r>
    </w:p>
    <w:p w:rsidRPr="004F54F1" w:rsidR="00A4234F" w:rsidP="008948DC" w:rsidRDefault="00A4234F" w14:paraId="33BCFE8F" w14:textId="77777777">
      <w:pPr>
        <w:spacing w:line="360" w:lineRule="auto"/>
        <w:jc w:val="both"/>
        <w:rPr>
          <w:rFonts w:ascii="Palatino Linotype" w:hAnsi="Palatino Linotype" w:cs="Tahoma"/>
          <w:sz w:val="22"/>
          <w:szCs w:val="22"/>
        </w:rPr>
      </w:pPr>
    </w:p>
    <w:p w:rsidRPr="004F54F1" w:rsidR="00A4234F" w:rsidP="008948DC" w:rsidRDefault="00A4234F" w14:paraId="747E8A6A" w14:textId="10623C0E">
      <w:pPr>
        <w:tabs>
          <w:tab w:val="center" w:pos="4522"/>
          <w:tab w:val="left" w:pos="7245"/>
        </w:tabs>
        <w:spacing w:line="360" w:lineRule="auto"/>
        <w:jc w:val="center"/>
        <w:rPr>
          <w:rFonts w:ascii="Palatino Linotype" w:hAnsi="Palatino Linotype" w:cs="Tahoma"/>
          <w:b/>
          <w:sz w:val="22"/>
          <w:szCs w:val="22"/>
        </w:rPr>
      </w:pPr>
      <w:r w:rsidRPr="004F54F1">
        <w:rPr>
          <w:rFonts w:ascii="Palatino Linotype" w:hAnsi="Palatino Linotype" w:cs="Tahoma"/>
          <w:b/>
          <w:sz w:val="22"/>
          <w:szCs w:val="22"/>
        </w:rPr>
        <w:t>A</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N</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T</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E</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C</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E</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D</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E</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N</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T</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E</w:t>
      </w:r>
      <w:r w:rsidRPr="004F54F1" w:rsidR="00852F3A">
        <w:rPr>
          <w:rFonts w:ascii="Palatino Linotype" w:hAnsi="Palatino Linotype" w:cs="Tahoma"/>
          <w:b/>
          <w:sz w:val="22"/>
          <w:szCs w:val="22"/>
        </w:rPr>
        <w:t xml:space="preserve"> </w:t>
      </w:r>
      <w:r w:rsidRPr="004F54F1">
        <w:rPr>
          <w:rFonts w:ascii="Palatino Linotype" w:hAnsi="Palatino Linotype" w:cs="Tahoma"/>
          <w:b/>
          <w:sz w:val="22"/>
          <w:szCs w:val="22"/>
        </w:rPr>
        <w:t>S:</w:t>
      </w:r>
    </w:p>
    <w:p w:rsidRPr="004F54F1" w:rsidR="00A4234F" w:rsidP="008948DC" w:rsidRDefault="00A4234F" w14:paraId="3590F5E0" w14:textId="77777777">
      <w:pPr>
        <w:pStyle w:val="Prrafodelista"/>
        <w:tabs>
          <w:tab w:val="left" w:pos="567"/>
        </w:tabs>
        <w:spacing w:line="360" w:lineRule="auto"/>
        <w:ind w:left="0"/>
        <w:contextualSpacing w:val="0"/>
        <w:jc w:val="both"/>
        <w:rPr>
          <w:rFonts w:ascii="Palatino Linotype" w:hAnsi="Palatino Linotype" w:cs="Tahoma"/>
          <w:szCs w:val="22"/>
        </w:rPr>
      </w:pPr>
    </w:p>
    <w:p w:rsidRPr="004F54F1" w:rsidR="00A4234F" w:rsidP="008948DC" w:rsidRDefault="00A4234F" w14:paraId="15356579" w14:textId="77777777">
      <w:pPr>
        <w:pStyle w:val="Prrafodelista"/>
        <w:tabs>
          <w:tab w:val="left" w:pos="567"/>
        </w:tabs>
        <w:spacing w:line="360" w:lineRule="auto"/>
        <w:ind w:left="0"/>
        <w:contextualSpacing w:val="0"/>
        <w:jc w:val="both"/>
        <w:rPr>
          <w:rFonts w:ascii="Palatino Linotype" w:hAnsi="Palatino Linotype" w:cs="Tahoma"/>
          <w:b/>
          <w:szCs w:val="22"/>
        </w:rPr>
      </w:pPr>
      <w:r w:rsidRPr="004F54F1">
        <w:rPr>
          <w:rFonts w:ascii="Palatino Linotype" w:hAnsi="Palatino Linotype" w:cs="Tahoma"/>
          <w:b/>
          <w:szCs w:val="22"/>
        </w:rPr>
        <w:t xml:space="preserve">I. Presentación de la solicitud de información. </w:t>
      </w:r>
    </w:p>
    <w:p w:rsidRPr="004F54F1" w:rsidR="00A4234F" w:rsidP="008948DC" w:rsidRDefault="00A4234F" w14:paraId="3C82974B" w14:textId="77777777">
      <w:pPr>
        <w:pStyle w:val="Prrafodelista"/>
        <w:tabs>
          <w:tab w:val="left" w:pos="567"/>
        </w:tabs>
        <w:spacing w:line="360" w:lineRule="auto"/>
        <w:ind w:left="0"/>
        <w:contextualSpacing w:val="0"/>
        <w:jc w:val="both"/>
        <w:rPr>
          <w:rFonts w:ascii="Palatino Linotype" w:hAnsi="Palatino Linotype" w:cs="Tahoma"/>
          <w:szCs w:val="22"/>
        </w:rPr>
      </w:pPr>
    </w:p>
    <w:p w:rsidRPr="004F54F1" w:rsidR="00A4234F" w:rsidP="008948DC" w:rsidRDefault="00A4234F" w14:paraId="78F2E4E5" w14:textId="6DD859FB">
      <w:pPr>
        <w:autoSpaceDE w:val="0"/>
        <w:autoSpaceDN w:val="0"/>
        <w:adjustRightInd w:val="0"/>
        <w:spacing w:line="360" w:lineRule="auto"/>
        <w:jc w:val="both"/>
        <w:rPr>
          <w:rFonts w:ascii="Palatino Linotype" w:hAnsi="Palatino Linotype" w:eastAsia="Calibri" w:cs="Tahoma"/>
          <w:bCs/>
          <w:sz w:val="22"/>
          <w:szCs w:val="22"/>
          <w:lang w:eastAsia="en-US"/>
        </w:rPr>
      </w:pPr>
      <w:r w:rsidRPr="004F54F1">
        <w:rPr>
          <w:rFonts w:ascii="Palatino Linotype" w:hAnsi="Palatino Linotype" w:eastAsia="Calibri" w:cs="Tahoma"/>
          <w:bCs/>
          <w:sz w:val="22"/>
          <w:szCs w:val="22"/>
          <w:lang w:eastAsia="en-US"/>
        </w:rPr>
        <w:t xml:space="preserve">Con fecha </w:t>
      </w:r>
      <w:r w:rsidRPr="004F54F1" w:rsidR="00FE1E9B">
        <w:rPr>
          <w:rFonts w:ascii="Palatino Linotype" w:hAnsi="Palatino Linotype" w:eastAsia="Calibri" w:cs="Tahoma"/>
          <w:bCs/>
          <w:sz w:val="22"/>
          <w:szCs w:val="22"/>
          <w:lang w:eastAsia="en-US"/>
        </w:rPr>
        <w:t>diecisiete de enero de dos mil veintidós</w:t>
      </w:r>
      <w:r w:rsidRPr="004F54F1">
        <w:rPr>
          <w:rFonts w:ascii="Palatino Linotype" w:hAnsi="Palatino Linotype" w:eastAsia="Calibri" w:cs="Tahoma"/>
          <w:bCs/>
          <w:sz w:val="22"/>
          <w:szCs w:val="22"/>
          <w:lang w:eastAsia="en-US"/>
        </w:rPr>
        <w:t>, el Particular registró una solicitud de acceso a la información pública, a través del Sistema de Acceso a la Información Mexiquense (SAIMEX), ante el Ayuntamiento de Toluca, mediante la cual requirió lo siguiente:</w:t>
      </w:r>
    </w:p>
    <w:p w:rsidRPr="004F54F1" w:rsidR="00A4234F" w:rsidP="008948DC" w:rsidRDefault="00A4234F" w14:paraId="19441E6E" w14:textId="77777777">
      <w:pPr>
        <w:autoSpaceDE w:val="0"/>
        <w:autoSpaceDN w:val="0"/>
        <w:adjustRightInd w:val="0"/>
        <w:spacing w:line="360" w:lineRule="auto"/>
        <w:jc w:val="both"/>
        <w:rPr>
          <w:rFonts w:ascii="Palatino Linotype" w:hAnsi="Palatino Linotype" w:cs="Tahoma"/>
          <w:sz w:val="22"/>
          <w:szCs w:val="22"/>
          <w:lang w:val="es-ES"/>
        </w:rPr>
      </w:pPr>
    </w:p>
    <w:p w:rsidRPr="004F54F1" w:rsidR="00A4234F" w:rsidP="008948DC" w:rsidRDefault="00A4234F" w14:paraId="6550118A" w14:textId="77777777">
      <w:pPr>
        <w:tabs>
          <w:tab w:val="left" w:pos="4667"/>
        </w:tabs>
        <w:spacing w:line="360" w:lineRule="auto"/>
        <w:ind w:left="567" w:right="567"/>
        <w:jc w:val="both"/>
        <w:rPr>
          <w:rFonts w:ascii="Palatino Linotype" w:hAnsi="Palatino Linotype" w:cs="Tahoma"/>
          <w:b/>
          <w:bCs/>
          <w:i/>
        </w:rPr>
      </w:pPr>
      <w:r w:rsidRPr="004F54F1">
        <w:rPr>
          <w:rFonts w:ascii="Palatino Linotype" w:hAnsi="Palatino Linotype" w:cs="Tahoma"/>
          <w:b/>
          <w:bCs/>
          <w:i/>
        </w:rPr>
        <w:t>“DESCRIPCIÓN CLARA Y PRECISA DE LA INFORMACIÓN SOLICITADA:</w:t>
      </w:r>
    </w:p>
    <w:p w:rsidRPr="004F54F1" w:rsidR="00A4234F" w:rsidP="008948DC" w:rsidRDefault="00FE1E9B" w14:paraId="4BBDC215" w14:textId="7E5E6857">
      <w:pPr>
        <w:tabs>
          <w:tab w:val="left" w:pos="4667"/>
        </w:tabs>
        <w:spacing w:line="360" w:lineRule="auto"/>
        <w:ind w:left="567"/>
        <w:jc w:val="both"/>
        <w:rPr>
          <w:rFonts w:ascii="Palatino Linotype" w:hAnsi="Palatino Linotype" w:cs="Tahoma"/>
          <w:bCs/>
          <w:i/>
        </w:rPr>
      </w:pPr>
      <w:r w:rsidRPr="004F54F1">
        <w:rPr>
          <w:rFonts w:ascii="Palatino Linotype" w:hAnsi="Palatino Linotype" w:cs="Tahoma"/>
          <w:bCs/>
          <w:i/>
        </w:rPr>
        <w:t>solicito recibos de nomina de todos los empledos que entraron el 1 de enero de este año 2022 a su ayuntamiento, incluyendo todas las direcciones y unidades administrativas. ordenado por nombre de direccion por favor.</w:t>
      </w:r>
      <w:r w:rsidRPr="004F54F1" w:rsidR="00A4234F">
        <w:rPr>
          <w:rFonts w:ascii="Palatino Linotype" w:hAnsi="Palatino Linotype" w:cs="Tahoma"/>
          <w:bCs/>
          <w:i/>
        </w:rPr>
        <w:t>” (Sic.)</w:t>
      </w:r>
    </w:p>
    <w:p w:rsidRPr="004F54F1" w:rsidR="00A4234F" w:rsidP="008948DC" w:rsidRDefault="00A4234F" w14:paraId="49CB8F7F" w14:textId="77777777">
      <w:pPr>
        <w:tabs>
          <w:tab w:val="left" w:pos="4667"/>
        </w:tabs>
        <w:spacing w:line="360" w:lineRule="auto"/>
        <w:ind w:left="567"/>
        <w:jc w:val="both"/>
        <w:rPr>
          <w:rFonts w:ascii="Palatino Linotype" w:hAnsi="Palatino Linotype" w:cs="Tahoma"/>
          <w:b/>
          <w:bCs/>
          <w:i/>
        </w:rPr>
      </w:pPr>
    </w:p>
    <w:p w:rsidRPr="004F54F1" w:rsidR="00A4234F" w:rsidP="008948DC" w:rsidRDefault="00A4234F" w14:paraId="214CDC3F" w14:textId="77777777">
      <w:pPr>
        <w:tabs>
          <w:tab w:val="left" w:pos="4667"/>
        </w:tabs>
        <w:spacing w:line="360" w:lineRule="auto"/>
        <w:ind w:left="567"/>
        <w:jc w:val="both"/>
        <w:rPr>
          <w:rFonts w:ascii="Palatino Linotype" w:hAnsi="Palatino Linotype" w:cs="Tahoma"/>
          <w:b/>
          <w:bCs/>
          <w:i/>
        </w:rPr>
      </w:pPr>
      <w:r w:rsidRPr="004F54F1">
        <w:rPr>
          <w:rFonts w:ascii="Palatino Linotype" w:hAnsi="Palatino Linotype" w:cs="Tahoma"/>
          <w:b/>
          <w:bCs/>
          <w:i/>
        </w:rPr>
        <w:t xml:space="preserve">“Modalidad de Entrega: </w:t>
      </w:r>
    </w:p>
    <w:p w:rsidRPr="004F54F1" w:rsidR="00A4234F" w:rsidP="008948DC" w:rsidRDefault="00A4234F" w14:paraId="1CAA1FF3" w14:textId="77777777">
      <w:pPr>
        <w:tabs>
          <w:tab w:val="left" w:pos="4667"/>
        </w:tabs>
        <w:spacing w:line="360" w:lineRule="auto"/>
        <w:ind w:left="567"/>
        <w:jc w:val="both"/>
        <w:rPr>
          <w:rFonts w:ascii="Palatino Linotype" w:hAnsi="Palatino Linotype" w:cs="Tahoma"/>
          <w:bCs/>
          <w:i/>
        </w:rPr>
      </w:pPr>
      <w:r w:rsidRPr="004F54F1">
        <w:rPr>
          <w:rFonts w:ascii="Palatino Linotype" w:hAnsi="Palatino Linotype" w:cs="Tahoma"/>
          <w:bCs/>
          <w:i/>
        </w:rPr>
        <w:t>A través de SAIMEX.”</w:t>
      </w:r>
    </w:p>
    <w:p w:rsidRPr="004F54F1" w:rsidR="00A4234F" w:rsidP="008948DC" w:rsidRDefault="00A4234F" w14:paraId="4598768F" w14:textId="401F9FE9">
      <w:pPr>
        <w:tabs>
          <w:tab w:val="left" w:pos="4667"/>
        </w:tabs>
        <w:spacing w:line="360" w:lineRule="auto"/>
        <w:jc w:val="both"/>
        <w:rPr>
          <w:rFonts w:ascii="Palatino Linotype" w:hAnsi="Palatino Linotype" w:eastAsia="Calibri" w:cs="Tahoma"/>
          <w:b/>
          <w:bCs/>
          <w:sz w:val="22"/>
          <w:szCs w:val="22"/>
          <w:lang w:eastAsia="en-US"/>
        </w:rPr>
      </w:pPr>
    </w:p>
    <w:p w:rsidRPr="004F54F1" w:rsidR="009570C4" w:rsidP="008948DC" w:rsidRDefault="009570C4" w14:paraId="18468B02" w14:textId="77777777">
      <w:pPr>
        <w:tabs>
          <w:tab w:val="left" w:pos="4667"/>
        </w:tabs>
        <w:spacing w:line="360" w:lineRule="auto"/>
        <w:jc w:val="both"/>
        <w:rPr>
          <w:rFonts w:ascii="Palatino Linotype" w:hAnsi="Palatino Linotype" w:eastAsia="Calibri" w:cs="Tahoma"/>
          <w:b/>
          <w:bCs/>
          <w:sz w:val="22"/>
          <w:szCs w:val="22"/>
          <w:lang w:eastAsia="en-US"/>
        </w:rPr>
      </w:pPr>
    </w:p>
    <w:p w:rsidRPr="004F54F1" w:rsidR="00A4234F" w:rsidP="008948DC" w:rsidRDefault="00A4234F" w14:paraId="13B42172" w14:textId="06D5CF30">
      <w:pPr>
        <w:spacing w:line="360" w:lineRule="auto"/>
        <w:jc w:val="both"/>
        <w:rPr>
          <w:rFonts w:ascii="Palatino Linotype" w:hAnsi="Palatino Linotype" w:eastAsia="Calibri" w:cs="Tahoma"/>
          <w:sz w:val="22"/>
          <w:szCs w:val="22"/>
          <w:lang w:eastAsia="en-US"/>
        </w:rPr>
      </w:pPr>
      <w:r w:rsidRPr="004F54F1">
        <w:rPr>
          <w:rFonts w:ascii="Palatino Linotype" w:hAnsi="Palatino Linotype" w:eastAsia="Calibri" w:cs="Tahoma"/>
          <w:b/>
          <w:bCs/>
          <w:sz w:val="22"/>
          <w:szCs w:val="22"/>
          <w:lang w:eastAsia="en-US"/>
        </w:rPr>
        <w:t xml:space="preserve">II. </w:t>
      </w:r>
      <w:r w:rsidRPr="004F54F1">
        <w:rPr>
          <w:rFonts w:ascii="Palatino Linotype" w:hAnsi="Palatino Linotype" w:eastAsia="Calibri" w:cs="Tahoma"/>
          <w:b/>
          <w:sz w:val="22"/>
          <w:szCs w:val="22"/>
          <w:lang w:eastAsia="en-US"/>
        </w:rPr>
        <w:t>Respuesta</w:t>
      </w:r>
      <w:r w:rsidRPr="004F54F1">
        <w:rPr>
          <w:rFonts w:ascii="Palatino Linotype" w:hAnsi="Palatino Linotype" w:eastAsia="Calibri" w:cs="Tahoma"/>
          <w:b/>
          <w:bCs/>
          <w:sz w:val="22"/>
          <w:szCs w:val="22"/>
          <w:lang w:eastAsia="en-US"/>
        </w:rPr>
        <w:t xml:space="preserve"> del Sujeto Obligado.</w:t>
      </w:r>
    </w:p>
    <w:p w:rsidRPr="004F54F1" w:rsidR="00A4234F" w:rsidP="008948DC" w:rsidRDefault="00A4234F" w14:paraId="0073C1B3" w14:textId="093A44B2">
      <w:pPr>
        <w:spacing w:line="360" w:lineRule="auto"/>
        <w:jc w:val="both"/>
        <w:rPr>
          <w:rFonts w:ascii="Palatino Linotype" w:hAnsi="Palatino Linotype" w:eastAsia="Calibri" w:cs="Tahoma"/>
          <w:sz w:val="22"/>
          <w:szCs w:val="22"/>
          <w:lang w:eastAsia="en-US"/>
        </w:rPr>
      </w:pPr>
    </w:p>
    <w:p w:rsidRPr="004F54F1" w:rsidR="000C370F" w:rsidP="008948DC" w:rsidRDefault="00B3642E" w14:paraId="211FB670" w14:textId="31E1700E">
      <w:pPr>
        <w:spacing w:line="360" w:lineRule="auto"/>
        <w:jc w:val="both"/>
        <w:rPr>
          <w:rFonts w:ascii="Palatino Linotype" w:hAnsi="Palatino Linotype" w:cs="Tahoma"/>
          <w:bCs/>
          <w:sz w:val="22"/>
        </w:rPr>
      </w:pPr>
      <w:r w:rsidRPr="004F54F1">
        <w:rPr>
          <w:rFonts w:ascii="Palatino Linotype" w:hAnsi="Palatino Linotype" w:eastAsia="Calibri" w:cs="Tahoma"/>
          <w:sz w:val="22"/>
          <w:szCs w:val="22"/>
          <w:lang w:eastAsia="en-US"/>
        </w:rPr>
        <w:t xml:space="preserve">El </w:t>
      </w:r>
      <w:r w:rsidRPr="004F54F1" w:rsidR="0079106C">
        <w:rPr>
          <w:rFonts w:ascii="Palatino Linotype" w:hAnsi="Palatino Linotype" w:eastAsia="Calibri" w:cs="Tahoma"/>
          <w:sz w:val="22"/>
          <w:szCs w:val="22"/>
          <w:lang w:eastAsia="en-US"/>
        </w:rPr>
        <w:t>ocho de febrero de dos mil veintidós</w:t>
      </w:r>
      <w:r w:rsidRPr="004F54F1" w:rsidR="007B6094">
        <w:rPr>
          <w:rFonts w:ascii="Palatino Linotype" w:hAnsi="Palatino Linotype" w:eastAsia="Calibri" w:cs="Tahoma"/>
          <w:sz w:val="22"/>
          <w:szCs w:val="22"/>
          <w:lang w:eastAsia="en-US"/>
        </w:rPr>
        <w:t>, el Sujeto Obligado dio res</w:t>
      </w:r>
      <w:r w:rsidRPr="004F54F1" w:rsidR="00FD15F8">
        <w:rPr>
          <w:rFonts w:ascii="Palatino Linotype" w:hAnsi="Palatino Linotype" w:eastAsia="Calibri" w:cs="Tahoma"/>
          <w:sz w:val="22"/>
          <w:szCs w:val="22"/>
          <w:lang w:eastAsia="en-US"/>
        </w:rPr>
        <w:t>puesta a la solici</w:t>
      </w:r>
      <w:r w:rsidRPr="004F54F1" w:rsidR="000C370F">
        <w:rPr>
          <w:rFonts w:ascii="Palatino Linotype" w:hAnsi="Palatino Linotype" w:eastAsia="Calibri" w:cs="Tahoma"/>
          <w:sz w:val="22"/>
          <w:szCs w:val="22"/>
          <w:lang w:eastAsia="en-US"/>
        </w:rPr>
        <w:t xml:space="preserve">tud de acceso a la información </w:t>
      </w:r>
      <w:r w:rsidRPr="004F54F1">
        <w:rPr>
          <w:rFonts w:ascii="Palatino Linotype" w:hAnsi="Palatino Linotype" w:cs="Tahoma"/>
          <w:sz w:val="22"/>
        </w:rPr>
        <w:t xml:space="preserve">a través del Sistema de Acceso a la Información Mexiquense (SAIMEX), </w:t>
      </w:r>
      <w:r w:rsidRPr="004F54F1">
        <w:rPr>
          <w:rFonts w:ascii="Palatino Linotype" w:hAnsi="Palatino Linotype" w:cs="Tahoma"/>
          <w:bCs/>
          <w:sz w:val="22"/>
        </w:rPr>
        <w:t xml:space="preserve">a través de la digitalización de los diversos </w:t>
      </w:r>
      <w:r w:rsidRPr="004F54F1" w:rsidR="000C370F">
        <w:rPr>
          <w:rFonts w:ascii="Palatino Linotype" w:hAnsi="Palatino Linotype" w:cs="Tahoma"/>
          <w:bCs/>
          <w:sz w:val="22"/>
        </w:rPr>
        <w:t xml:space="preserve">documentos, siendo los siguientes: </w:t>
      </w:r>
    </w:p>
    <w:p w:rsidRPr="004F54F1" w:rsidR="000C370F" w:rsidP="008948DC" w:rsidRDefault="000C370F" w14:paraId="0C40FA3E" w14:textId="77777777">
      <w:pPr>
        <w:spacing w:line="360" w:lineRule="auto"/>
        <w:jc w:val="both"/>
        <w:rPr>
          <w:rFonts w:ascii="Palatino Linotype" w:hAnsi="Palatino Linotype" w:cs="Tahoma"/>
          <w:bCs/>
          <w:sz w:val="22"/>
        </w:rPr>
      </w:pPr>
    </w:p>
    <w:p w:rsidRPr="004F54F1" w:rsidR="000C370F" w:rsidP="008948DC" w:rsidRDefault="000C370F" w14:paraId="522F2EDD" w14:textId="063708F8">
      <w:pPr>
        <w:spacing w:line="360" w:lineRule="auto"/>
        <w:jc w:val="both"/>
        <w:rPr>
          <w:rFonts w:ascii="Palatino Linotype" w:hAnsi="Palatino Linotype" w:cs="Tahoma"/>
          <w:bCs/>
          <w:sz w:val="22"/>
        </w:rPr>
      </w:pPr>
      <w:r w:rsidRPr="004F54F1">
        <w:rPr>
          <w:rFonts w:ascii="Palatino Linotype" w:hAnsi="Palatino Linotype" w:cs="Tahoma"/>
          <w:bCs/>
          <w:sz w:val="22"/>
        </w:rPr>
        <w:t xml:space="preserve">i) </w:t>
      </w:r>
      <w:r w:rsidRPr="004F54F1" w:rsidR="0079106C">
        <w:rPr>
          <w:rFonts w:ascii="Palatino Linotype" w:hAnsi="Palatino Linotype" w:cs="Tahoma"/>
          <w:bCs/>
          <w:sz w:val="22"/>
        </w:rPr>
        <w:t>Memorándum SRH/024</w:t>
      </w:r>
      <w:r w:rsidRPr="004F54F1" w:rsidR="001A3C8F">
        <w:rPr>
          <w:rFonts w:ascii="Palatino Linotype" w:hAnsi="Palatino Linotype" w:cs="Tahoma"/>
          <w:bCs/>
          <w:sz w:val="22"/>
        </w:rPr>
        <w:t>,</w:t>
      </w:r>
      <w:r w:rsidRPr="004F54F1" w:rsidR="0079106C">
        <w:rPr>
          <w:rFonts w:ascii="Palatino Linotype" w:hAnsi="Palatino Linotype" w:cs="Tahoma"/>
          <w:bCs/>
          <w:sz w:val="22"/>
        </w:rPr>
        <w:t xml:space="preserve"> de</w:t>
      </w:r>
      <w:r w:rsidRPr="004F54F1" w:rsidR="001A3C8F">
        <w:rPr>
          <w:rFonts w:ascii="Palatino Linotype" w:hAnsi="Palatino Linotype" w:cs="Tahoma"/>
          <w:bCs/>
          <w:sz w:val="22"/>
        </w:rPr>
        <w:t>l</w:t>
      </w:r>
      <w:r w:rsidRPr="004F54F1" w:rsidR="0079106C">
        <w:rPr>
          <w:rFonts w:ascii="Palatino Linotype" w:hAnsi="Palatino Linotype" w:cs="Tahoma"/>
          <w:bCs/>
          <w:sz w:val="22"/>
        </w:rPr>
        <w:t xml:space="preserve"> ocho de febrero de dos mil veintidós,</w:t>
      </w:r>
      <w:r w:rsidRPr="004F54F1" w:rsidR="00E70823">
        <w:rPr>
          <w:rFonts w:ascii="Palatino Linotype" w:hAnsi="Palatino Linotype" w:cs="Tahoma"/>
          <w:bCs/>
          <w:sz w:val="22"/>
        </w:rPr>
        <w:t xml:space="preserve"> suscrito por</w:t>
      </w:r>
      <w:r w:rsidRPr="004F54F1" w:rsidR="0079106C">
        <w:rPr>
          <w:rFonts w:ascii="Palatino Linotype" w:hAnsi="Palatino Linotype" w:cs="Tahoma"/>
          <w:bCs/>
          <w:sz w:val="22"/>
        </w:rPr>
        <w:t xml:space="preserve"> la </w:t>
      </w:r>
      <w:r w:rsidRPr="004F54F1" w:rsidR="00E70823">
        <w:rPr>
          <w:rFonts w:ascii="Palatino Linotype" w:hAnsi="Palatino Linotype" w:cs="Tahoma"/>
          <w:bCs/>
          <w:sz w:val="22"/>
        </w:rPr>
        <w:t>Subdirectora</w:t>
      </w:r>
      <w:r w:rsidRPr="004F54F1" w:rsidR="0079106C">
        <w:rPr>
          <w:rFonts w:ascii="Palatino Linotype" w:hAnsi="Palatino Linotype" w:cs="Tahoma"/>
          <w:bCs/>
          <w:sz w:val="22"/>
        </w:rPr>
        <w:t xml:space="preserve"> d</w:t>
      </w:r>
      <w:r w:rsidRPr="004F54F1" w:rsidR="001A3C8F">
        <w:rPr>
          <w:rFonts w:ascii="Palatino Linotype" w:hAnsi="Palatino Linotype" w:cs="Tahoma"/>
          <w:bCs/>
          <w:sz w:val="22"/>
        </w:rPr>
        <w:t>e</w:t>
      </w:r>
      <w:r w:rsidRPr="004F54F1" w:rsidR="0079106C">
        <w:rPr>
          <w:rFonts w:ascii="Palatino Linotype" w:hAnsi="Palatino Linotype" w:cs="Tahoma"/>
          <w:bCs/>
          <w:sz w:val="22"/>
        </w:rPr>
        <w:t xml:space="preserve"> Recursos Humanos, </w:t>
      </w:r>
      <w:r w:rsidRPr="004F54F1" w:rsidR="00FD1D5A">
        <w:rPr>
          <w:rFonts w:ascii="Palatino Linotype" w:hAnsi="Palatino Linotype" w:cs="Tahoma"/>
          <w:bCs/>
          <w:sz w:val="22"/>
        </w:rPr>
        <w:t>por medio del</w:t>
      </w:r>
      <w:r w:rsidRPr="004F54F1" w:rsidR="00923B0A">
        <w:rPr>
          <w:rFonts w:ascii="Palatino Linotype" w:hAnsi="Palatino Linotype" w:cs="Tahoma"/>
          <w:bCs/>
          <w:sz w:val="22"/>
        </w:rPr>
        <w:t xml:space="preserve"> cual </w:t>
      </w:r>
      <w:r w:rsidRPr="004F54F1" w:rsidR="004D7222">
        <w:rPr>
          <w:rFonts w:ascii="Palatino Linotype" w:hAnsi="Palatino Linotype" w:cs="Tahoma"/>
          <w:bCs/>
          <w:sz w:val="22"/>
        </w:rPr>
        <w:t xml:space="preserve">manifiesta y expone: </w:t>
      </w:r>
    </w:p>
    <w:p w:rsidRPr="004F54F1" w:rsidR="004D7222" w:rsidP="008948DC" w:rsidRDefault="004D7222" w14:paraId="6B1E763E" w14:textId="77777777">
      <w:pPr>
        <w:spacing w:line="360" w:lineRule="auto"/>
        <w:jc w:val="both"/>
        <w:rPr>
          <w:rFonts w:ascii="Palatino Linotype" w:hAnsi="Palatino Linotype" w:cs="Tahoma"/>
          <w:bCs/>
          <w:sz w:val="22"/>
        </w:rPr>
      </w:pPr>
    </w:p>
    <w:p w:rsidRPr="004F54F1" w:rsidR="004D7222" w:rsidP="008948DC" w:rsidRDefault="004D7222" w14:paraId="5F72057E" w14:textId="02DCE8C3">
      <w:pPr>
        <w:spacing w:line="360" w:lineRule="auto"/>
        <w:ind w:left="567" w:right="567"/>
        <w:jc w:val="both"/>
        <w:rPr>
          <w:rFonts w:ascii="Palatino Linotype" w:hAnsi="Palatino Linotype" w:cs="Tahoma"/>
          <w:bCs/>
          <w:i/>
          <w:iCs/>
          <w:szCs w:val="18"/>
        </w:rPr>
      </w:pPr>
      <w:r w:rsidRPr="004F54F1">
        <w:rPr>
          <w:rFonts w:ascii="Palatino Linotype" w:hAnsi="Palatino Linotype" w:cs="Tahoma"/>
          <w:bCs/>
          <w:i/>
          <w:iCs/>
          <w:szCs w:val="18"/>
        </w:rPr>
        <w:t>“…</w:t>
      </w:r>
    </w:p>
    <w:p w:rsidRPr="004F54F1" w:rsidR="0079106C" w:rsidP="008948DC" w:rsidRDefault="0079106C" w14:paraId="44EAB000" w14:textId="73E66F7E">
      <w:pPr>
        <w:spacing w:line="360" w:lineRule="auto"/>
        <w:ind w:left="567" w:right="567"/>
        <w:jc w:val="both"/>
        <w:rPr>
          <w:rFonts w:ascii="Palatino Linotype" w:hAnsi="Palatino Linotype" w:cs="Tahoma"/>
          <w:bCs/>
          <w:i/>
          <w:iCs/>
          <w:szCs w:val="18"/>
        </w:rPr>
      </w:pPr>
      <w:r w:rsidRPr="004F54F1">
        <w:rPr>
          <w:rFonts w:ascii="Palatino Linotype" w:hAnsi="Palatino Linotype" w:cs="Tahoma"/>
          <w:bCs/>
          <w:i/>
          <w:iCs/>
          <w:szCs w:val="18"/>
        </w:rPr>
        <w:t>Tomando como referencia la quincena número 01, misma que comprende del primero al quince de enero de dos mil veintidós, se anexa archivo en formato PDF de nombre 00029_ATIZARA_IP_2022.pdf que contiene los recibos de nómina en versión pública del personal activo, lo anterior de conformidad con el acuerdo de clasificación emitido por el Comité de Transparencia en la Segunda Sesión Ordinaria  celebrada el veinticinco de enero de dos mil veintidós.</w:t>
      </w:r>
    </w:p>
    <w:p w:rsidRPr="004F54F1" w:rsidR="00067551" w:rsidP="008948DC" w:rsidRDefault="00067551" w14:paraId="47730107" w14:textId="07F413F4">
      <w:pPr>
        <w:spacing w:line="360" w:lineRule="auto"/>
        <w:ind w:left="567" w:right="567"/>
        <w:jc w:val="both"/>
        <w:rPr>
          <w:rFonts w:ascii="Palatino Linotype" w:hAnsi="Palatino Linotype" w:cs="Tahoma"/>
          <w:bCs/>
          <w:i/>
          <w:iCs/>
          <w:szCs w:val="18"/>
        </w:rPr>
      </w:pPr>
      <w:r w:rsidRPr="004F54F1">
        <w:rPr>
          <w:rFonts w:ascii="Palatino Linotype" w:hAnsi="Palatino Linotype" w:cs="Tahoma"/>
          <w:bCs/>
          <w:i/>
          <w:iCs/>
          <w:szCs w:val="18"/>
        </w:rPr>
        <w:t xml:space="preserve">…” (Sic) </w:t>
      </w:r>
    </w:p>
    <w:p w:rsidRPr="004F54F1" w:rsidR="00B3642E" w:rsidP="008948DC" w:rsidRDefault="00B3642E" w14:paraId="1B6A13B1" w14:textId="4F823B86">
      <w:pPr>
        <w:spacing w:line="360" w:lineRule="auto"/>
        <w:jc w:val="both"/>
        <w:rPr>
          <w:rFonts w:ascii="Palatino Linotype" w:hAnsi="Palatino Linotype" w:eastAsia="Calibri" w:cs="Tahoma"/>
          <w:sz w:val="22"/>
          <w:szCs w:val="22"/>
          <w:lang w:eastAsia="en-US"/>
        </w:rPr>
      </w:pPr>
    </w:p>
    <w:p w:rsidRPr="004F54F1" w:rsidR="0016078E" w:rsidP="008948DC" w:rsidRDefault="002C70E8" w14:paraId="5E0E5D33" w14:textId="75B0D694">
      <w:pPr>
        <w:spacing w:line="360" w:lineRule="auto"/>
        <w:jc w:val="both"/>
        <w:rPr>
          <w:rFonts w:ascii="Palatino Linotype" w:hAnsi="Palatino Linotype" w:eastAsia="Calibri" w:cs="Tahoma"/>
          <w:sz w:val="22"/>
          <w:szCs w:val="22"/>
          <w:lang w:eastAsia="en-US"/>
        </w:rPr>
      </w:pPr>
      <w:r w:rsidRPr="004F54F1">
        <w:rPr>
          <w:rFonts w:ascii="Palatino Linotype" w:hAnsi="Palatino Linotype" w:eastAsia="Calibri" w:cs="Tahoma"/>
          <w:sz w:val="22"/>
          <w:szCs w:val="22"/>
          <w:lang w:eastAsia="en-US"/>
        </w:rPr>
        <w:t xml:space="preserve">ii) </w:t>
      </w:r>
      <w:r w:rsidRPr="004F54F1" w:rsidR="0016078E">
        <w:rPr>
          <w:rFonts w:ascii="Palatino Linotype" w:hAnsi="Palatino Linotype" w:eastAsia="Calibri" w:cs="Tahoma"/>
          <w:sz w:val="22"/>
          <w:szCs w:val="22"/>
          <w:lang w:eastAsia="en-US"/>
        </w:rPr>
        <w:t xml:space="preserve"> </w:t>
      </w:r>
      <w:r w:rsidRPr="004F54F1" w:rsidR="00E70823">
        <w:rPr>
          <w:rFonts w:ascii="Palatino Linotype" w:hAnsi="Palatino Linotype" w:eastAsia="Calibri" w:cs="Tahoma"/>
          <w:sz w:val="22"/>
          <w:szCs w:val="22"/>
          <w:lang w:eastAsia="en-US"/>
        </w:rPr>
        <w:t>Mil setecientos cuarenta y cuatro</w:t>
      </w:r>
      <w:r w:rsidRPr="004F54F1" w:rsidR="0016078E">
        <w:rPr>
          <w:rFonts w:ascii="Palatino Linotype" w:hAnsi="Palatino Linotype" w:eastAsia="Calibri" w:cs="Tahoma"/>
          <w:sz w:val="22"/>
          <w:szCs w:val="22"/>
          <w:lang w:eastAsia="en-US"/>
        </w:rPr>
        <w:t xml:space="preserve"> recibos de nómina del Ayuntamiento de Atizapán de Zaragoza, correspondientes a la primera quincena de </w:t>
      </w:r>
      <w:r w:rsidRPr="004F54F1" w:rsidR="00FD1D5A">
        <w:rPr>
          <w:rFonts w:ascii="Palatino Linotype" w:hAnsi="Palatino Linotype" w:eastAsia="Calibri" w:cs="Tahoma"/>
          <w:sz w:val="22"/>
          <w:szCs w:val="22"/>
          <w:lang w:eastAsia="en-US"/>
        </w:rPr>
        <w:t xml:space="preserve">enero de </w:t>
      </w:r>
      <w:r w:rsidRPr="004F54F1" w:rsidR="0016078E">
        <w:rPr>
          <w:rFonts w:ascii="Palatino Linotype" w:hAnsi="Palatino Linotype" w:eastAsia="Calibri" w:cs="Tahoma"/>
          <w:sz w:val="22"/>
          <w:szCs w:val="22"/>
          <w:lang w:eastAsia="en-US"/>
        </w:rPr>
        <w:t>dos mil veintidós</w:t>
      </w:r>
      <w:r w:rsidRPr="004F54F1" w:rsidR="00E70823">
        <w:rPr>
          <w:rFonts w:ascii="Palatino Linotype" w:hAnsi="Palatino Linotype" w:eastAsia="Calibri" w:cs="Tahoma"/>
          <w:sz w:val="22"/>
          <w:szCs w:val="22"/>
          <w:lang w:eastAsia="en-US"/>
        </w:rPr>
        <w:t>.</w:t>
      </w:r>
    </w:p>
    <w:p w:rsidRPr="004F54F1" w:rsidR="00E70823" w:rsidP="008948DC" w:rsidRDefault="00E70823" w14:paraId="0CBE34E0" w14:textId="77777777">
      <w:pPr>
        <w:spacing w:line="360" w:lineRule="auto"/>
        <w:jc w:val="both"/>
        <w:rPr>
          <w:rFonts w:ascii="Palatino Linotype" w:hAnsi="Palatino Linotype" w:eastAsia="Calibri" w:cs="Tahoma"/>
          <w:szCs w:val="22"/>
          <w:lang w:eastAsia="en-US"/>
        </w:rPr>
      </w:pPr>
    </w:p>
    <w:p w:rsidRPr="004F54F1" w:rsidR="000615D9" w:rsidP="008948DC" w:rsidRDefault="00DA7F8A" w14:paraId="61302126" w14:textId="0955EADC">
      <w:pPr>
        <w:spacing w:line="360" w:lineRule="auto"/>
        <w:jc w:val="both"/>
        <w:rPr>
          <w:rFonts w:ascii="Palatino Linotype" w:hAnsi="Palatino Linotype" w:eastAsia="Calibri" w:cs="Tahoma"/>
          <w:sz w:val="22"/>
          <w:szCs w:val="22"/>
          <w:lang w:eastAsia="en-US"/>
        </w:rPr>
      </w:pPr>
      <w:r w:rsidRPr="004F54F1">
        <w:rPr>
          <w:rFonts w:ascii="Palatino Linotype" w:hAnsi="Palatino Linotype" w:eastAsia="Calibri" w:cs="Tahoma"/>
          <w:sz w:val="22"/>
          <w:szCs w:val="22"/>
          <w:lang w:eastAsia="en-US"/>
        </w:rPr>
        <w:t xml:space="preserve">iii) </w:t>
      </w:r>
      <w:r w:rsidRPr="004F54F1" w:rsidR="0016078E">
        <w:rPr>
          <w:rFonts w:ascii="Palatino Linotype" w:hAnsi="Palatino Linotype" w:eastAsia="Calibri" w:cs="Tahoma"/>
          <w:sz w:val="22"/>
          <w:szCs w:val="22"/>
          <w:lang w:eastAsia="en-US"/>
        </w:rPr>
        <w:t xml:space="preserve"> Acuerdo CIC/I/06/25/01/2022</w:t>
      </w:r>
      <w:r w:rsidRPr="004F54F1" w:rsidR="00E70823">
        <w:rPr>
          <w:rFonts w:ascii="Palatino Linotype" w:hAnsi="Palatino Linotype" w:eastAsia="Calibri" w:cs="Tahoma"/>
          <w:sz w:val="22"/>
          <w:szCs w:val="22"/>
          <w:lang w:eastAsia="en-US"/>
        </w:rPr>
        <w:t xml:space="preserve">, </w:t>
      </w:r>
      <w:r w:rsidRPr="004F54F1" w:rsidR="009570C4">
        <w:rPr>
          <w:rFonts w:ascii="Palatino Linotype" w:hAnsi="Palatino Linotype" w:eastAsia="Calibri" w:cs="Tahoma"/>
          <w:sz w:val="22"/>
          <w:szCs w:val="22"/>
          <w:lang w:eastAsia="en-US"/>
        </w:rPr>
        <w:t xml:space="preserve">referente al punto 8, de la Primera Sesión Extraordinaria, del veinticinco de enero de dos mil veintidós, suscrita por el </w:t>
      </w:r>
      <w:r w:rsidRPr="004F54F1" w:rsidR="0016078E">
        <w:rPr>
          <w:rFonts w:ascii="Palatino Linotype" w:hAnsi="Palatino Linotype" w:eastAsia="Calibri" w:cs="Tahoma"/>
          <w:sz w:val="22"/>
          <w:szCs w:val="22"/>
          <w:lang w:eastAsia="en-US"/>
        </w:rPr>
        <w:t xml:space="preserve">Comité de Transparencia, donde se confirma la clasificación </w:t>
      </w:r>
      <w:r w:rsidRPr="004F54F1" w:rsidR="00FD1D5A">
        <w:rPr>
          <w:rFonts w:ascii="Palatino Linotype" w:hAnsi="Palatino Linotype" w:eastAsia="Calibri" w:cs="Tahoma"/>
          <w:sz w:val="22"/>
          <w:szCs w:val="22"/>
          <w:lang w:eastAsia="en-US"/>
        </w:rPr>
        <w:t xml:space="preserve">como confidencial </w:t>
      </w:r>
      <w:r w:rsidRPr="004F54F1" w:rsidR="00E70823">
        <w:rPr>
          <w:rFonts w:ascii="Palatino Linotype" w:hAnsi="Palatino Linotype" w:eastAsia="Calibri" w:cs="Tahoma"/>
          <w:sz w:val="22"/>
          <w:szCs w:val="22"/>
          <w:lang w:eastAsia="en-US"/>
        </w:rPr>
        <w:t>de los datos testados en los recibos.</w:t>
      </w:r>
    </w:p>
    <w:p w:rsidRPr="004F54F1" w:rsidR="00E70823" w:rsidP="008948DC" w:rsidRDefault="00E70823" w14:paraId="12AAF380" w14:textId="77777777">
      <w:pPr>
        <w:spacing w:line="360" w:lineRule="auto"/>
        <w:jc w:val="both"/>
        <w:rPr>
          <w:rFonts w:ascii="Palatino Linotype" w:hAnsi="Palatino Linotype" w:eastAsia="Calibri" w:cs="Tahoma"/>
          <w:sz w:val="22"/>
          <w:szCs w:val="22"/>
          <w:lang w:eastAsia="en-US"/>
        </w:rPr>
      </w:pPr>
    </w:p>
    <w:p w:rsidRPr="004F54F1" w:rsidR="00A4234F" w:rsidP="008948DC" w:rsidRDefault="00A4234F" w14:paraId="21191361" w14:textId="6F0611BC">
      <w:pPr>
        <w:spacing w:line="360" w:lineRule="auto"/>
        <w:jc w:val="both"/>
        <w:rPr>
          <w:rFonts w:ascii="Palatino Linotype" w:hAnsi="Palatino Linotype" w:cs="Tahoma"/>
          <w:b/>
          <w:sz w:val="22"/>
          <w:szCs w:val="22"/>
        </w:rPr>
      </w:pPr>
      <w:r w:rsidRPr="004F54F1">
        <w:rPr>
          <w:rFonts w:ascii="Palatino Linotype" w:hAnsi="Palatino Linotype" w:cs="Tahoma"/>
          <w:b/>
          <w:sz w:val="22"/>
          <w:szCs w:val="22"/>
        </w:rPr>
        <w:t xml:space="preserve">IV. Interposición del Recurso de Revisión. </w:t>
      </w:r>
    </w:p>
    <w:p w:rsidRPr="004F54F1" w:rsidR="00860564" w:rsidP="008948DC" w:rsidRDefault="00860564" w14:paraId="3DD2AF52" w14:textId="77777777">
      <w:pPr>
        <w:autoSpaceDE w:val="0"/>
        <w:autoSpaceDN w:val="0"/>
        <w:adjustRightInd w:val="0"/>
        <w:spacing w:line="360" w:lineRule="auto"/>
        <w:jc w:val="both"/>
        <w:rPr>
          <w:rFonts w:ascii="Palatino Linotype" w:hAnsi="Palatino Linotype" w:cs="Tahoma"/>
          <w:bCs/>
          <w:sz w:val="22"/>
          <w:szCs w:val="22"/>
        </w:rPr>
      </w:pPr>
    </w:p>
    <w:p w:rsidRPr="004F54F1" w:rsidR="00A4234F" w:rsidP="008948DC" w:rsidRDefault="00A4234F" w14:paraId="5A09224A" w14:textId="14120615">
      <w:pPr>
        <w:widowControl w:val="0"/>
        <w:spacing w:line="360" w:lineRule="auto"/>
        <w:jc w:val="both"/>
        <w:rPr>
          <w:rFonts w:ascii="Palatino Linotype" w:hAnsi="Palatino Linotype" w:cs="Tahoma"/>
          <w:sz w:val="22"/>
          <w:szCs w:val="22"/>
          <w:lang w:val="es-ES"/>
        </w:rPr>
      </w:pPr>
      <w:r w:rsidRPr="004F54F1">
        <w:rPr>
          <w:rFonts w:ascii="Palatino Linotype" w:hAnsi="Palatino Linotype" w:cs="Tahoma"/>
          <w:sz w:val="22"/>
          <w:szCs w:val="22"/>
          <w:lang w:val="es-ES"/>
        </w:rPr>
        <w:lastRenderedPageBreak/>
        <w:t xml:space="preserve">El </w:t>
      </w:r>
      <w:r w:rsidRPr="004F54F1" w:rsidR="0016078E">
        <w:rPr>
          <w:rFonts w:ascii="Palatino Linotype" w:hAnsi="Palatino Linotype" w:cs="Tahoma"/>
          <w:sz w:val="22"/>
          <w:szCs w:val="22"/>
          <w:lang w:val="es-ES"/>
        </w:rPr>
        <w:t>dieciséis de febrero de dos mil veintidós</w:t>
      </w:r>
      <w:r w:rsidRPr="004F54F1">
        <w:rPr>
          <w:rFonts w:ascii="Palatino Linotype" w:hAnsi="Palatino Linotype" w:cs="Tahoma"/>
          <w:sz w:val="22"/>
          <w:szCs w:val="22"/>
          <w:lang w:val="es-ES"/>
        </w:rPr>
        <w:t>, se registró en este Instituto, a través del Sistema de Acceso a la Información Mexiquense (SAIMEX), Recurso de Revisión interpuesto por la parte Recurrente, en contra de la respuesta del Sujeto Obligado</w:t>
      </w:r>
      <w:r w:rsidRPr="004F54F1" w:rsidR="00156251">
        <w:rPr>
          <w:rFonts w:ascii="Palatino Linotype" w:hAnsi="Palatino Linotype" w:cs="Tahoma"/>
          <w:sz w:val="22"/>
          <w:szCs w:val="22"/>
          <w:lang w:val="es-ES"/>
        </w:rPr>
        <w:t>,</w:t>
      </w:r>
      <w:r w:rsidRPr="004F54F1">
        <w:rPr>
          <w:rFonts w:ascii="Palatino Linotype" w:hAnsi="Palatino Linotype" w:cs="Tahoma"/>
          <w:sz w:val="22"/>
          <w:szCs w:val="22"/>
          <w:lang w:val="es-ES"/>
        </w:rPr>
        <w:t xml:space="preserve"> en los términos siguientes:</w:t>
      </w:r>
    </w:p>
    <w:p w:rsidRPr="004F54F1" w:rsidR="00A4234F" w:rsidP="008948DC" w:rsidRDefault="00A4234F" w14:paraId="2B75579C" w14:textId="77777777">
      <w:pPr>
        <w:tabs>
          <w:tab w:val="left" w:pos="4667"/>
        </w:tabs>
        <w:spacing w:line="360" w:lineRule="auto"/>
        <w:ind w:left="567" w:right="567"/>
        <w:jc w:val="both"/>
        <w:rPr>
          <w:rFonts w:ascii="Palatino Linotype" w:hAnsi="Palatino Linotype" w:cs="Tahoma"/>
          <w:b/>
          <w:bCs/>
          <w:i/>
        </w:rPr>
      </w:pPr>
    </w:p>
    <w:p w:rsidRPr="004F54F1" w:rsidR="00A4234F" w:rsidP="008948DC" w:rsidRDefault="00A4234F" w14:paraId="4FAED6A2" w14:textId="77777777">
      <w:pPr>
        <w:tabs>
          <w:tab w:val="left" w:pos="4667"/>
        </w:tabs>
        <w:spacing w:line="360" w:lineRule="auto"/>
        <w:ind w:left="567" w:right="567"/>
        <w:jc w:val="both"/>
        <w:rPr>
          <w:rFonts w:ascii="Palatino Linotype" w:hAnsi="Palatino Linotype" w:cs="Tahoma"/>
          <w:b/>
          <w:bCs/>
          <w:i/>
        </w:rPr>
      </w:pPr>
      <w:r w:rsidRPr="004F54F1">
        <w:rPr>
          <w:rFonts w:ascii="Palatino Linotype" w:hAnsi="Palatino Linotype" w:cs="Tahoma"/>
          <w:b/>
          <w:bCs/>
          <w:i/>
        </w:rPr>
        <w:t>“ACTO IMPUGNADO</w:t>
      </w:r>
    </w:p>
    <w:p w:rsidRPr="004F54F1" w:rsidR="00A4234F" w:rsidP="008948DC" w:rsidRDefault="0016078E" w14:paraId="016CF253" w14:textId="68A81B4F">
      <w:pPr>
        <w:tabs>
          <w:tab w:val="left" w:pos="4667"/>
        </w:tabs>
        <w:spacing w:line="360" w:lineRule="auto"/>
        <w:ind w:left="567" w:right="567"/>
        <w:jc w:val="both"/>
        <w:rPr>
          <w:rFonts w:ascii="Palatino Linotype" w:hAnsi="Palatino Linotype" w:cs="Tahoma"/>
          <w:bCs/>
          <w:i/>
        </w:rPr>
      </w:pPr>
      <w:r w:rsidRPr="004F54F1">
        <w:rPr>
          <w:rFonts w:ascii="Palatino Linotype" w:hAnsi="Palatino Linotype" w:cs="Tahoma"/>
          <w:bCs/>
          <w:i/>
        </w:rPr>
        <w:t>mas de la mitad de los recibos de nomina no tienen area de adscripción es decir la que dirección a la que pertenecen dentro de su administración por lo que no se da la informacion completa,pues mas de la mitad de la infomacion no traen departamento de descripción</w:t>
      </w:r>
      <w:r w:rsidRPr="004F54F1" w:rsidR="00A4234F">
        <w:rPr>
          <w:rFonts w:ascii="Palatino Linotype" w:hAnsi="Palatino Linotype" w:cs="Tahoma"/>
          <w:bCs/>
          <w:i/>
        </w:rPr>
        <w:t>.” (Sic.)</w:t>
      </w:r>
    </w:p>
    <w:p w:rsidRPr="004F54F1" w:rsidR="00A4234F" w:rsidP="008948DC" w:rsidRDefault="00A4234F" w14:paraId="4B991C17" w14:textId="77777777">
      <w:pPr>
        <w:tabs>
          <w:tab w:val="left" w:pos="4667"/>
        </w:tabs>
        <w:spacing w:line="360" w:lineRule="auto"/>
        <w:ind w:left="567" w:right="567"/>
        <w:jc w:val="both"/>
        <w:rPr>
          <w:rFonts w:ascii="Palatino Linotype" w:hAnsi="Palatino Linotype" w:cs="Tahoma"/>
          <w:bCs/>
          <w:i/>
        </w:rPr>
      </w:pPr>
    </w:p>
    <w:p w:rsidRPr="004F54F1" w:rsidR="00A4234F" w:rsidP="008948DC" w:rsidRDefault="00A4234F" w14:paraId="4BD77233" w14:textId="77777777">
      <w:pPr>
        <w:tabs>
          <w:tab w:val="left" w:pos="4667"/>
        </w:tabs>
        <w:spacing w:line="360" w:lineRule="auto"/>
        <w:ind w:left="567" w:right="567"/>
        <w:jc w:val="both"/>
        <w:rPr>
          <w:rFonts w:ascii="Palatino Linotype" w:hAnsi="Palatino Linotype" w:cs="Tahoma"/>
          <w:b/>
          <w:bCs/>
          <w:i/>
        </w:rPr>
      </w:pPr>
      <w:r w:rsidRPr="004F54F1">
        <w:rPr>
          <w:rFonts w:ascii="Palatino Linotype" w:hAnsi="Palatino Linotype" w:cs="Tahoma"/>
          <w:b/>
          <w:bCs/>
          <w:i/>
        </w:rPr>
        <w:t>“RAZONES O MOTIVOS DE LA INCONFORMIDAD</w:t>
      </w:r>
    </w:p>
    <w:p w:rsidRPr="004F54F1" w:rsidR="00A4234F" w:rsidP="008948DC" w:rsidRDefault="0016078E" w14:paraId="2344FDA6" w14:textId="219D7677">
      <w:pPr>
        <w:tabs>
          <w:tab w:val="left" w:pos="4667"/>
        </w:tabs>
        <w:spacing w:line="360" w:lineRule="auto"/>
        <w:ind w:left="567" w:right="567"/>
        <w:jc w:val="both"/>
        <w:rPr>
          <w:rFonts w:ascii="Palatino Linotype" w:hAnsi="Palatino Linotype" w:cs="Tahoma"/>
          <w:i/>
        </w:rPr>
      </w:pPr>
      <w:r w:rsidRPr="004F54F1">
        <w:rPr>
          <w:rFonts w:ascii="Palatino Linotype" w:hAnsi="Palatino Linotype"/>
          <w:i/>
        </w:rPr>
        <w:t>información incompleta, omision de información</w:t>
      </w:r>
      <w:r w:rsidRPr="004F54F1" w:rsidR="00A4234F">
        <w:rPr>
          <w:rFonts w:ascii="Palatino Linotype" w:hAnsi="Palatino Linotype"/>
          <w:i/>
        </w:rPr>
        <w:t>.</w:t>
      </w:r>
      <w:r w:rsidRPr="004F54F1" w:rsidR="00A4234F">
        <w:rPr>
          <w:rFonts w:ascii="Palatino Linotype" w:hAnsi="Palatino Linotype" w:cs="Tahoma"/>
          <w:i/>
        </w:rPr>
        <w:t>” (Sic.)</w:t>
      </w:r>
    </w:p>
    <w:p w:rsidRPr="004F54F1" w:rsidR="00A4234F" w:rsidP="008948DC" w:rsidRDefault="00A4234F" w14:paraId="28C38B18" w14:textId="77777777">
      <w:pPr>
        <w:tabs>
          <w:tab w:val="left" w:pos="4667"/>
        </w:tabs>
        <w:spacing w:line="360" w:lineRule="auto"/>
        <w:ind w:right="567"/>
        <w:jc w:val="center"/>
        <w:rPr>
          <w:rFonts w:ascii="Palatino Linotype" w:hAnsi="Palatino Linotype" w:cs="Tahoma"/>
          <w:sz w:val="22"/>
        </w:rPr>
      </w:pPr>
    </w:p>
    <w:p w:rsidRPr="004F54F1" w:rsidR="00A4234F" w:rsidP="008948DC" w:rsidRDefault="00A4234F" w14:paraId="70BBDDA0" w14:textId="77777777">
      <w:pPr>
        <w:spacing w:line="360" w:lineRule="auto"/>
        <w:jc w:val="both"/>
        <w:rPr>
          <w:rFonts w:ascii="Palatino Linotype" w:hAnsi="Palatino Linotype" w:eastAsia="Batang" w:cs="Tahoma"/>
          <w:b/>
          <w:bCs/>
          <w:sz w:val="22"/>
          <w:szCs w:val="22"/>
        </w:rPr>
      </w:pPr>
      <w:r w:rsidRPr="004F54F1">
        <w:rPr>
          <w:rFonts w:ascii="Palatino Linotype" w:hAnsi="Palatino Linotype" w:cs="Tahoma"/>
          <w:b/>
          <w:sz w:val="22"/>
          <w:szCs w:val="22"/>
        </w:rPr>
        <w:t xml:space="preserve">V. </w:t>
      </w:r>
      <w:r w:rsidRPr="004F54F1">
        <w:rPr>
          <w:rFonts w:ascii="Palatino Linotype" w:hAnsi="Palatino Linotype" w:eastAsia="Batang" w:cs="Tahoma"/>
          <w:b/>
          <w:bCs/>
          <w:sz w:val="22"/>
          <w:szCs w:val="22"/>
        </w:rPr>
        <w:t xml:space="preserve">Trámite del </w:t>
      </w:r>
      <w:r w:rsidRPr="004F54F1">
        <w:rPr>
          <w:rFonts w:ascii="Palatino Linotype" w:hAnsi="Palatino Linotype" w:cs="Tahoma"/>
          <w:b/>
          <w:sz w:val="22"/>
          <w:szCs w:val="22"/>
        </w:rPr>
        <w:t xml:space="preserve">Recurso de Revisión </w:t>
      </w:r>
      <w:r w:rsidRPr="004F54F1">
        <w:rPr>
          <w:rFonts w:ascii="Palatino Linotype" w:hAnsi="Palatino Linotype" w:eastAsia="Batang" w:cs="Tahoma"/>
          <w:b/>
          <w:bCs/>
          <w:sz w:val="22"/>
          <w:szCs w:val="22"/>
        </w:rPr>
        <w:t>ante el Instituto.</w:t>
      </w:r>
    </w:p>
    <w:p w:rsidRPr="004F54F1" w:rsidR="00A4234F" w:rsidP="008948DC" w:rsidRDefault="00A4234F" w14:paraId="72322F05" w14:textId="77777777">
      <w:pPr>
        <w:spacing w:line="360" w:lineRule="auto"/>
        <w:jc w:val="both"/>
        <w:rPr>
          <w:rFonts w:ascii="Palatino Linotype" w:hAnsi="Palatino Linotype" w:eastAsia="Batang" w:cs="Tahoma"/>
          <w:b/>
          <w:bCs/>
          <w:sz w:val="22"/>
          <w:szCs w:val="22"/>
        </w:rPr>
      </w:pPr>
    </w:p>
    <w:p w:rsidRPr="004F54F1" w:rsidR="00A4234F" w:rsidP="008948DC" w:rsidRDefault="00A4234F" w14:paraId="0A42C23D" w14:textId="1734EDD2">
      <w:pPr>
        <w:spacing w:line="360" w:lineRule="auto"/>
        <w:jc w:val="both"/>
        <w:rPr>
          <w:rFonts w:ascii="Palatino Linotype" w:hAnsi="Palatino Linotype" w:eastAsia="Batang" w:cs="Tahoma"/>
          <w:bCs/>
          <w:sz w:val="22"/>
          <w:szCs w:val="22"/>
        </w:rPr>
      </w:pPr>
      <w:r w:rsidRPr="004F54F1">
        <w:rPr>
          <w:rFonts w:ascii="Palatino Linotype" w:hAnsi="Palatino Linotype" w:eastAsia="Batang" w:cs="Tahoma"/>
          <w:b/>
          <w:bCs/>
          <w:sz w:val="22"/>
          <w:szCs w:val="22"/>
        </w:rPr>
        <w:t xml:space="preserve">a) Turno del </w:t>
      </w:r>
      <w:r w:rsidRPr="004F54F1">
        <w:rPr>
          <w:rFonts w:ascii="Palatino Linotype" w:hAnsi="Palatino Linotype" w:cs="Tahoma"/>
          <w:b/>
          <w:sz w:val="22"/>
          <w:szCs w:val="22"/>
        </w:rPr>
        <w:t>Recurso de Revisión</w:t>
      </w:r>
      <w:r w:rsidRPr="004F54F1">
        <w:rPr>
          <w:rFonts w:ascii="Palatino Linotype" w:hAnsi="Palatino Linotype" w:eastAsia="Batang" w:cs="Tahoma"/>
          <w:b/>
          <w:bCs/>
          <w:sz w:val="22"/>
          <w:szCs w:val="22"/>
        </w:rPr>
        <w:t xml:space="preserve">. </w:t>
      </w:r>
      <w:r w:rsidRPr="004F54F1">
        <w:rPr>
          <w:rFonts w:ascii="Palatino Linotype" w:hAnsi="Palatino Linotype" w:eastAsia="Batang" w:cs="Tahoma"/>
          <w:bCs/>
          <w:sz w:val="22"/>
          <w:szCs w:val="22"/>
        </w:rPr>
        <w:t xml:space="preserve">El </w:t>
      </w:r>
      <w:r w:rsidRPr="004F54F1" w:rsidR="00E2470B">
        <w:rPr>
          <w:rFonts w:ascii="Palatino Linotype" w:hAnsi="Palatino Linotype" w:cs="Tahoma"/>
          <w:sz w:val="22"/>
          <w:szCs w:val="22"/>
          <w:lang w:val="es-ES"/>
        </w:rPr>
        <w:t>dieciséis de febrero de dos mil veintidós</w:t>
      </w:r>
      <w:r w:rsidRPr="004F54F1">
        <w:rPr>
          <w:rFonts w:ascii="Palatino Linotype" w:hAnsi="Palatino Linotype" w:eastAsia="Batang" w:cs="Tahoma"/>
          <w:bCs/>
          <w:sz w:val="22"/>
          <w:szCs w:val="22"/>
        </w:rPr>
        <w:t xml:space="preserve">, el </w:t>
      </w:r>
      <w:r w:rsidRPr="004F54F1">
        <w:rPr>
          <w:rFonts w:ascii="Palatino Linotype" w:hAnsi="Palatino Linotype" w:cs="Tahoma"/>
          <w:sz w:val="22"/>
          <w:szCs w:val="22"/>
          <w:lang w:val="es-ES"/>
        </w:rPr>
        <w:t>Sistema de Acceso a la Información Mexiquense (SAIMEX),</w:t>
      </w:r>
      <w:r w:rsidRPr="004F54F1">
        <w:rPr>
          <w:rFonts w:ascii="Palatino Linotype" w:hAnsi="Palatino Linotype" w:eastAsia="Batang" w:cs="Tahoma"/>
          <w:bCs/>
          <w:sz w:val="22"/>
          <w:szCs w:val="22"/>
        </w:rPr>
        <w:t xml:space="preserve"> asignó con número de expediente </w:t>
      </w:r>
      <w:r w:rsidRPr="004F54F1">
        <w:rPr>
          <w:rFonts w:ascii="Palatino Linotype" w:hAnsi="Palatino Linotype" w:eastAsia="Batang" w:cs="Tahoma"/>
          <w:b/>
          <w:bCs/>
          <w:sz w:val="22"/>
          <w:szCs w:val="22"/>
        </w:rPr>
        <w:t>0</w:t>
      </w:r>
      <w:r w:rsidRPr="004F54F1" w:rsidR="00E2470B">
        <w:rPr>
          <w:rFonts w:ascii="Palatino Linotype" w:hAnsi="Palatino Linotype" w:eastAsia="Batang" w:cs="Tahoma"/>
          <w:b/>
          <w:bCs/>
          <w:sz w:val="22"/>
          <w:szCs w:val="22"/>
        </w:rPr>
        <w:t>0901/INFOEM/IP/RR/2022</w:t>
      </w:r>
      <w:r w:rsidRPr="004F54F1">
        <w:rPr>
          <w:rFonts w:ascii="Palatino Linotype" w:hAnsi="Palatino Linotype" w:eastAsia="Batang" w:cs="Tahoma"/>
          <w:b/>
          <w:bCs/>
          <w:sz w:val="22"/>
          <w:szCs w:val="22"/>
        </w:rPr>
        <w:t xml:space="preserve"> </w:t>
      </w:r>
      <w:r w:rsidRPr="004F54F1">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4F54F1">
        <w:rPr>
          <w:rFonts w:ascii="Palatino Linotype" w:hAnsi="Palatino Linotype" w:eastAsia="Batang" w:cs="Tahoma"/>
          <w:b/>
          <w:bCs/>
          <w:sz w:val="22"/>
          <w:szCs w:val="22"/>
        </w:rPr>
        <w:t>Comisionado Ponente Luis Gustavo Parra Noriega</w:t>
      </w:r>
      <w:r w:rsidRPr="004F54F1">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4F54F1" w:rsidR="00A4234F" w:rsidP="008948DC" w:rsidRDefault="00A4234F" w14:paraId="3E225588" w14:textId="77777777">
      <w:pPr>
        <w:spacing w:line="360" w:lineRule="auto"/>
        <w:jc w:val="both"/>
        <w:rPr>
          <w:rFonts w:ascii="Palatino Linotype" w:hAnsi="Palatino Linotype" w:eastAsia="Batang" w:cs="Tahoma"/>
          <w:b/>
          <w:bCs/>
          <w:sz w:val="22"/>
          <w:szCs w:val="22"/>
        </w:rPr>
      </w:pPr>
    </w:p>
    <w:p w:rsidRPr="004F54F1" w:rsidR="00A4234F" w:rsidP="0BF9716C" w:rsidRDefault="00A4234F" w14:paraId="46382529" w14:textId="0E2D9437" w14:noSpellErr="1">
      <w:pPr>
        <w:spacing w:line="360" w:lineRule="auto"/>
        <w:jc w:val="left"/>
        <w:rPr>
          <w:rFonts w:ascii="Palatino Linotype" w:hAnsi="Palatino Linotype" w:eastAsia="Batang" w:cs="Tahoma"/>
          <w:sz w:val="22"/>
          <w:szCs w:val="22"/>
        </w:rPr>
      </w:pPr>
      <w:r w:rsidRPr="0BF9716C" w:rsidR="0BF9716C">
        <w:rPr>
          <w:rFonts w:ascii="Palatino Linotype" w:hAnsi="Palatino Linotype" w:eastAsia="Batang" w:cs="Tahoma"/>
          <w:b w:val="1"/>
          <w:bCs w:val="1"/>
          <w:sz w:val="22"/>
          <w:szCs w:val="22"/>
        </w:rPr>
        <w:t xml:space="preserve">b) Admisión del </w:t>
      </w:r>
      <w:r w:rsidRPr="0BF9716C" w:rsidR="0BF9716C">
        <w:rPr>
          <w:rFonts w:ascii="Palatino Linotype" w:hAnsi="Palatino Linotype" w:cs="Tahoma"/>
          <w:b w:val="1"/>
          <w:bCs w:val="1"/>
          <w:sz w:val="22"/>
          <w:szCs w:val="22"/>
        </w:rPr>
        <w:t>Recurso de Revisión</w:t>
      </w:r>
      <w:r w:rsidRPr="0BF9716C" w:rsidR="0BF9716C">
        <w:rPr>
          <w:rFonts w:ascii="Palatino Linotype" w:hAnsi="Palatino Linotype" w:eastAsia="Batang" w:cs="Tahoma"/>
          <w:b w:val="1"/>
          <w:bCs w:val="1"/>
          <w:sz w:val="22"/>
          <w:szCs w:val="22"/>
        </w:rPr>
        <w:t xml:space="preserve">. </w:t>
      </w:r>
      <w:r w:rsidRPr="0BF9716C" w:rsidR="0BF9716C">
        <w:rPr>
          <w:rFonts w:ascii="Palatino Linotype" w:hAnsi="Palatino Linotype" w:eastAsia="Batang" w:cs="Tahoma"/>
          <w:sz w:val="22"/>
          <w:szCs w:val="22"/>
        </w:rPr>
        <w:t xml:space="preserve">El </w:t>
      </w:r>
      <w:r w:rsidRPr="0BF9716C" w:rsidR="0BF9716C">
        <w:rPr>
          <w:rFonts w:ascii="Palatino Linotype" w:hAnsi="Palatino Linotype" w:eastAsia="Batang" w:cs="Tahoma"/>
          <w:sz w:val="22"/>
          <w:szCs w:val="22"/>
        </w:rPr>
        <w:t>veintiuno de febrero de dos mil veintidós</w:t>
      </w:r>
      <w:r w:rsidRPr="0BF9716C" w:rsidR="0BF9716C">
        <w:rPr>
          <w:rFonts w:ascii="Palatino Linotype" w:hAnsi="Palatino Linotype" w:eastAsia="Batang" w:cs="Tahoma"/>
          <w:sz w:val="22"/>
          <w:szCs w:val="22"/>
        </w:rPr>
        <w:t xml:space="preserve">,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w:t>
      </w:r>
      <w:r w:rsidRPr="0BF9716C" w:rsidR="0BF9716C">
        <w:rPr>
          <w:rFonts w:ascii="Palatino Linotype" w:hAnsi="Palatino Linotype" w:eastAsia="Batang" w:cs="Tahoma"/>
          <w:sz w:val="22"/>
          <w:szCs w:val="22"/>
        </w:rPr>
        <w:t>que se les otorgó un plazo de siete días hábiles posteriores a la misma, para que manifestaran lo que a su derecho conviniera y formularan alegatos.</w:t>
      </w:r>
    </w:p>
    <w:p w:rsidRPr="004F54F1" w:rsidR="00A4234F" w:rsidP="008948DC" w:rsidRDefault="00A4234F" w14:paraId="72F67F2A" w14:textId="77777777">
      <w:pPr>
        <w:spacing w:line="360" w:lineRule="auto"/>
        <w:jc w:val="both"/>
        <w:rPr>
          <w:rFonts w:ascii="Palatino Linotype" w:hAnsi="Palatino Linotype" w:cs="Tahoma"/>
          <w:b/>
          <w:sz w:val="22"/>
          <w:szCs w:val="22"/>
        </w:rPr>
      </w:pPr>
    </w:p>
    <w:p w:rsidRPr="004F54F1" w:rsidR="00185C90" w:rsidP="008948DC" w:rsidRDefault="00A4234F" w14:paraId="14497E74" w14:textId="6D8D3622">
      <w:pPr>
        <w:autoSpaceDE w:val="0"/>
        <w:autoSpaceDN w:val="0"/>
        <w:adjustRightInd w:val="0"/>
        <w:spacing w:line="360" w:lineRule="auto"/>
        <w:jc w:val="both"/>
        <w:rPr>
          <w:rFonts w:ascii="Palatino Linotype" w:hAnsi="Palatino Linotype" w:cs="Tahoma"/>
          <w:sz w:val="22"/>
          <w:szCs w:val="22"/>
        </w:rPr>
      </w:pPr>
      <w:r w:rsidRPr="004F54F1">
        <w:rPr>
          <w:rFonts w:ascii="Palatino Linotype" w:hAnsi="Palatino Linotype" w:cs="Tahoma"/>
          <w:b/>
          <w:sz w:val="22"/>
          <w:szCs w:val="22"/>
        </w:rPr>
        <w:t xml:space="preserve">c) Informe Justificado. </w:t>
      </w:r>
      <w:r w:rsidRPr="004F54F1">
        <w:rPr>
          <w:rFonts w:ascii="Palatino Linotype" w:hAnsi="Palatino Linotype" w:cs="Tahoma"/>
          <w:sz w:val="22"/>
          <w:szCs w:val="22"/>
        </w:rPr>
        <w:t xml:space="preserve">El </w:t>
      </w:r>
      <w:r w:rsidRPr="004F54F1" w:rsidR="00E2470B">
        <w:rPr>
          <w:rFonts w:ascii="Palatino Linotype" w:hAnsi="Palatino Linotype" w:cs="Tahoma"/>
          <w:sz w:val="22"/>
          <w:szCs w:val="22"/>
        </w:rPr>
        <w:t>veinticuatro de febrero de dos mil veintidós</w:t>
      </w:r>
      <w:r w:rsidRPr="004F54F1" w:rsidR="00185C90">
        <w:rPr>
          <w:rFonts w:ascii="Palatino Linotype" w:hAnsi="Palatino Linotype" w:cs="Tahoma"/>
          <w:sz w:val="22"/>
          <w:szCs w:val="22"/>
        </w:rPr>
        <w:t xml:space="preserve">, </w:t>
      </w:r>
      <w:r w:rsidRPr="004F54F1" w:rsidR="00331D29">
        <w:rPr>
          <w:rFonts w:ascii="Palatino Linotype" w:hAnsi="Palatino Linotype" w:cs="Tahoma"/>
          <w:bCs/>
          <w:sz w:val="22"/>
          <w:szCs w:val="22"/>
        </w:rPr>
        <w:t>el Sujeto Obligado</w:t>
      </w:r>
      <w:r w:rsidRPr="004F54F1" w:rsidR="00331D29">
        <w:rPr>
          <w:rFonts w:ascii="Palatino Linotype" w:hAnsi="Palatino Linotype" w:cs="Tahoma"/>
          <w:b/>
          <w:sz w:val="22"/>
          <w:szCs w:val="22"/>
        </w:rPr>
        <w:t xml:space="preserve"> </w:t>
      </w:r>
      <w:r w:rsidRPr="004F54F1" w:rsidR="00331D29">
        <w:rPr>
          <w:rFonts w:ascii="Palatino Linotype" w:hAnsi="Palatino Linotype" w:cs="Tahoma"/>
          <w:bCs/>
          <w:sz w:val="22"/>
          <w:szCs w:val="22"/>
        </w:rPr>
        <w:t xml:space="preserve">remitió su Informe Justificado, a través de </w:t>
      </w:r>
      <w:r w:rsidRPr="004F54F1" w:rsidR="00331D29">
        <w:rPr>
          <w:rFonts w:ascii="Palatino Linotype" w:hAnsi="Palatino Linotype" w:eastAsia="Batang" w:cs="Tahoma"/>
          <w:bCs/>
          <w:sz w:val="22"/>
          <w:szCs w:val="22"/>
          <w:lang w:val="es-ES_tradnl"/>
        </w:rPr>
        <w:t>Sistema de Acceso a la Información Mexiquense (SAIMEX)</w:t>
      </w:r>
      <w:r w:rsidRPr="004F54F1" w:rsidR="00331D29">
        <w:rPr>
          <w:rFonts w:ascii="Palatino Linotype" w:hAnsi="Palatino Linotype" w:cs="Tahoma"/>
          <w:bCs/>
          <w:sz w:val="22"/>
          <w:szCs w:val="22"/>
          <w:lang w:val="es-ES_tradnl"/>
        </w:rPr>
        <w:t xml:space="preserve">, por medio </w:t>
      </w:r>
      <w:r w:rsidRPr="004F54F1" w:rsidR="001F2B38">
        <w:rPr>
          <w:rFonts w:ascii="Palatino Linotype" w:hAnsi="Palatino Linotype" w:cs="Tahoma"/>
          <w:bCs/>
          <w:sz w:val="22"/>
          <w:szCs w:val="22"/>
          <w:lang w:val="es-ES_tradnl"/>
        </w:rPr>
        <w:t>del oficio</w:t>
      </w:r>
      <w:r w:rsidRPr="004F54F1" w:rsidR="00E2470B">
        <w:rPr>
          <w:rFonts w:ascii="Palatino Linotype" w:hAnsi="Palatino Linotype" w:cs="Tahoma"/>
          <w:bCs/>
          <w:sz w:val="22"/>
          <w:szCs w:val="22"/>
          <w:lang w:val="es-ES_tradnl"/>
        </w:rPr>
        <w:t xml:space="preserve"> DA/SRH/794/2022</w:t>
      </w:r>
      <w:r w:rsidRPr="004F54F1" w:rsidR="001F2B38">
        <w:rPr>
          <w:rFonts w:ascii="Palatino Linotype" w:hAnsi="Palatino Linotype" w:cs="Tahoma"/>
          <w:bCs/>
          <w:sz w:val="22"/>
          <w:szCs w:val="22"/>
          <w:lang w:val="es-ES_tradnl"/>
        </w:rPr>
        <w:t xml:space="preserve">, de fecha </w:t>
      </w:r>
      <w:r w:rsidRPr="004F54F1" w:rsidR="00E2470B">
        <w:rPr>
          <w:rFonts w:ascii="Palatino Linotype" w:hAnsi="Palatino Linotype" w:cs="Tahoma"/>
          <w:bCs/>
          <w:sz w:val="22"/>
          <w:szCs w:val="22"/>
          <w:lang w:val="es-ES_tradnl"/>
        </w:rPr>
        <w:t xml:space="preserve">veintidós de febrero de </w:t>
      </w:r>
      <w:r w:rsidRPr="004F54F1" w:rsidR="001F2B38">
        <w:rPr>
          <w:rFonts w:ascii="Palatino Linotype" w:hAnsi="Palatino Linotype" w:cs="Tahoma"/>
          <w:bCs/>
          <w:sz w:val="22"/>
          <w:szCs w:val="22"/>
          <w:lang w:val="es-ES_tradnl"/>
        </w:rPr>
        <w:t xml:space="preserve">dos mil </w:t>
      </w:r>
      <w:r w:rsidRPr="004F54F1" w:rsidR="00E2470B">
        <w:rPr>
          <w:rFonts w:ascii="Palatino Linotype" w:hAnsi="Palatino Linotype" w:cs="Tahoma"/>
          <w:bCs/>
          <w:sz w:val="22"/>
          <w:szCs w:val="22"/>
          <w:lang w:val="es-ES_tradnl"/>
        </w:rPr>
        <w:t>veintidós</w:t>
      </w:r>
      <w:r w:rsidRPr="004F54F1" w:rsidR="001F2B38">
        <w:rPr>
          <w:rFonts w:ascii="Palatino Linotype" w:hAnsi="Palatino Linotype" w:cs="Tahoma"/>
          <w:bCs/>
          <w:sz w:val="22"/>
          <w:szCs w:val="22"/>
          <w:lang w:val="es-ES_tradnl"/>
        </w:rPr>
        <w:t>,</w:t>
      </w:r>
      <w:r w:rsidRPr="004F54F1" w:rsidR="00F840ED">
        <w:rPr>
          <w:rFonts w:ascii="Palatino Linotype" w:hAnsi="Palatino Linotype" w:cs="Tahoma"/>
          <w:bCs/>
          <w:sz w:val="22"/>
          <w:szCs w:val="22"/>
          <w:lang w:val="es-ES_tradnl"/>
        </w:rPr>
        <w:t xml:space="preserve"> signado por el Director de Administración, </w:t>
      </w:r>
      <w:r w:rsidRPr="004F54F1" w:rsidR="001F2B38">
        <w:rPr>
          <w:rFonts w:ascii="Palatino Linotype" w:hAnsi="Palatino Linotype" w:cs="Tahoma"/>
          <w:bCs/>
          <w:sz w:val="22"/>
          <w:szCs w:val="22"/>
          <w:lang w:val="es-ES_tradnl"/>
        </w:rPr>
        <w:t xml:space="preserve">de </w:t>
      </w:r>
      <w:r w:rsidRPr="004F54F1" w:rsidR="006514E2">
        <w:rPr>
          <w:rFonts w:ascii="Palatino Linotype" w:hAnsi="Palatino Linotype" w:cs="Tahoma"/>
          <w:bCs/>
          <w:sz w:val="22"/>
          <w:szCs w:val="22"/>
          <w:lang w:val="es-ES_tradnl"/>
        </w:rPr>
        <w:t xml:space="preserve">cuyo análisis se desprende lo siguiente: </w:t>
      </w:r>
    </w:p>
    <w:p w:rsidRPr="004F54F1" w:rsidR="00185C90" w:rsidP="008948DC" w:rsidRDefault="00185C90" w14:paraId="2974C796" w14:textId="77777777">
      <w:pPr>
        <w:autoSpaceDE w:val="0"/>
        <w:autoSpaceDN w:val="0"/>
        <w:adjustRightInd w:val="0"/>
        <w:spacing w:line="360" w:lineRule="auto"/>
        <w:jc w:val="both"/>
        <w:rPr>
          <w:rFonts w:ascii="Palatino Linotype" w:hAnsi="Palatino Linotype" w:cs="Tahoma"/>
          <w:sz w:val="22"/>
          <w:szCs w:val="22"/>
        </w:rPr>
      </w:pPr>
    </w:p>
    <w:p w:rsidRPr="004F54F1" w:rsidR="00B23D9A" w:rsidP="008948DC" w:rsidRDefault="00B23D9A" w14:paraId="11EB577C" w14:textId="02DF9868">
      <w:pPr>
        <w:autoSpaceDE w:val="0"/>
        <w:autoSpaceDN w:val="0"/>
        <w:adjustRightInd w:val="0"/>
        <w:spacing w:line="360" w:lineRule="auto"/>
        <w:ind w:left="567" w:right="567"/>
        <w:jc w:val="both"/>
        <w:rPr>
          <w:rFonts w:ascii="Palatino Linotype" w:hAnsi="Palatino Linotype" w:cs="Tahoma"/>
          <w:i/>
          <w:iCs/>
        </w:rPr>
      </w:pPr>
      <w:r w:rsidRPr="004F54F1">
        <w:rPr>
          <w:rFonts w:ascii="Palatino Linotype" w:hAnsi="Palatino Linotype" w:cs="Tahoma"/>
          <w:i/>
          <w:iCs/>
        </w:rPr>
        <w:t>“…</w:t>
      </w:r>
      <w:r w:rsidRPr="004F54F1" w:rsidR="00E2470B">
        <w:rPr>
          <w:rFonts w:ascii="Palatino Linotype" w:hAnsi="Palatino Linotype" w:cs="Tahoma"/>
          <w:i/>
          <w:iCs/>
        </w:rPr>
        <w:t xml:space="preserve">me permito ratificar la respuesta emitida a la solicitud 00029/ATIZARA/IP/2022, a través de lo descrito en el MEMORANDUM SRH/024, ya que del análisis de la información proporcionada </w:t>
      </w:r>
      <w:r w:rsidRPr="004F54F1" w:rsidR="00F840ED">
        <w:rPr>
          <w:rFonts w:ascii="Palatino Linotype" w:hAnsi="Palatino Linotype" w:cs="Tahoma"/>
          <w:i/>
          <w:iCs/>
        </w:rPr>
        <w:t>por</w:t>
      </w:r>
      <w:r w:rsidRPr="004F54F1" w:rsidR="00E2470B">
        <w:rPr>
          <w:rFonts w:ascii="Palatino Linotype" w:hAnsi="Palatino Linotype" w:cs="Tahoma"/>
          <w:i/>
          <w:iCs/>
        </w:rPr>
        <w:t xml:space="preserve"> la Subdirección de Recursos Humanos se aprecia que la información referente  a los recibos de  nómina en versión pública del personal activo, relativos a la </w:t>
      </w:r>
      <w:r w:rsidRPr="004F54F1" w:rsidR="00F840ED">
        <w:rPr>
          <w:rFonts w:ascii="Palatino Linotype" w:hAnsi="Palatino Linotype" w:cs="Tahoma"/>
          <w:i/>
          <w:iCs/>
        </w:rPr>
        <w:t>quincena</w:t>
      </w:r>
      <w:r w:rsidRPr="004F54F1" w:rsidR="00E2470B">
        <w:rPr>
          <w:rFonts w:ascii="Palatino Linotype" w:hAnsi="Palatino Linotype" w:cs="Tahoma"/>
          <w:i/>
          <w:iCs/>
        </w:rPr>
        <w:t xml:space="preserve"> número 01, misma que comprende del primero al quince de enero de dos mil veintidós, se hizo entrega de la información completa, testando únicamente</w:t>
      </w:r>
      <w:r w:rsidRPr="004F54F1" w:rsidR="00F840ED">
        <w:rPr>
          <w:rFonts w:ascii="Palatino Linotype" w:hAnsi="Palatino Linotype" w:cs="Tahoma"/>
          <w:i/>
          <w:iCs/>
        </w:rPr>
        <w:t xml:space="preserve"> los datos personales (CURP, número de ISSEMYM y otras deducciones que no corresponden  a erogaciones de recursos públicos), lo anterior de conformidad al acuerdo de clasificación emitido por el Comité de Transparencia en la Segunda Sesión Ordinaria celebrada el veinticinco de enero de dos mil veintidós mismo que anexo a la contestación, aunado lo anterior es importante mencionar que los recibos de nómina cuentan  con el centro de costo el cual corresponde al área de adscripción de los servidores públicos, por lo que se advierte que se dio la debida atención a la solicitud de información</w:t>
      </w:r>
    </w:p>
    <w:p w:rsidRPr="004F54F1" w:rsidR="00185C90" w:rsidP="008948DC" w:rsidRDefault="00B23D9A" w14:paraId="70DA3EDE" w14:textId="7D703379">
      <w:pPr>
        <w:autoSpaceDE w:val="0"/>
        <w:autoSpaceDN w:val="0"/>
        <w:adjustRightInd w:val="0"/>
        <w:spacing w:line="360" w:lineRule="auto"/>
        <w:ind w:left="567" w:right="567"/>
        <w:jc w:val="both"/>
        <w:rPr>
          <w:rFonts w:ascii="Palatino Linotype" w:hAnsi="Palatino Linotype" w:cs="Tahoma"/>
          <w:i/>
          <w:iCs/>
        </w:rPr>
      </w:pPr>
      <w:r w:rsidRPr="004F54F1">
        <w:rPr>
          <w:rFonts w:ascii="Palatino Linotype" w:hAnsi="Palatino Linotype" w:cs="Tahoma"/>
          <w:i/>
          <w:iCs/>
        </w:rPr>
        <w:t xml:space="preserve">…” (Sic) </w:t>
      </w:r>
    </w:p>
    <w:p w:rsidRPr="004F54F1" w:rsidR="00185C90" w:rsidP="008948DC" w:rsidRDefault="00185C90" w14:paraId="56828929" w14:textId="77777777">
      <w:pPr>
        <w:autoSpaceDE w:val="0"/>
        <w:autoSpaceDN w:val="0"/>
        <w:adjustRightInd w:val="0"/>
        <w:spacing w:line="360" w:lineRule="auto"/>
        <w:jc w:val="both"/>
        <w:rPr>
          <w:rFonts w:ascii="Palatino Linotype" w:hAnsi="Palatino Linotype" w:cs="Tahoma"/>
          <w:sz w:val="22"/>
          <w:szCs w:val="22"/>
        </w:rPr>
      </w:pPr>
    </w:p>
    <w:p w:rsidRPr="004F54F1" w:rsidR="00A4234F" w:rsidP="008948DC" w:rsidRDefault="00A4234F" w14:paraId="73F10268" w14:textId="39502F9F">
      <w:pPr>
        <w:spacing w:line="360" w:lineRule="auto"/>
        <w:jc w:val="both"/>
        <w:rPr>
          <w:rFonts w:ascii="Palatino Linotype" w:hAnsi="Palatino Linotype" w:cs="Tahoma"/>
          <w:b/>
          <w:bCs/>
          <w:color w:val="000000" w:themeColor="text1"/>
          <w:sz w:val="22"/>
          <w:szCs w:val="22"/>
        </w:rPr>
      </w:pPr>
      <w:r w:rsidRPr="004F54F1">
        <w:rPr>
          <w:rFonts w:ascii="Palatino Linotype" w:hAnsi="Palatino Linotype" w:cs="Tahoma"/>
          <w:b/>
          <w:bCs/>
          <w:sz w:val="22"/>
          <w:szCs w:val="22"/>
        </w:rPr>
        <w:t xml:space="preserve">d) Vista del informe justificado. </w:t>
      </w:r>
      <w:r w:rsidRPr="004F54F1">
        <w:rPr>
          <w:rFonts w:ascii="Palatino Linotype" w:hAnsi="Palatino Linotype" w:cs="Tahoma"/>
          <w:sz w:val="22"/>
          <w:szCs w:val="22"/>
        </w:rPr>
        <w:t xml:space="preserve">El </w:t>
      </w:r>
      <w:r w:rsidRPr="004F54F1" w:rsidR="00F840ED">
        <w:rPr>
          <w:rFonts w:ascii="Palatino Linotype" w:hAnsi="Palatino Linotype" w:cs="Tahoma"/>
          <w:sz w:val="22"/>
          <w:szCs w:val="22"/>
        </w:rPr>
        <w:t>cuatro de abril de dos mil veintidós</w:t>
      </w:r>
      <w:r w:rsidRPr="004F54F1">
        <w:rPr>
          <w:rFonts w:ascii="Palatino Linotype" w:hAnsi="Palatino Linotype" w:cs="Tahoma"/>
          <w:sz w:val="22"/>
          <w:szCs w:val="22"/>
        </w:rPr>
        <w:t xml:space="preserve">, se dictó acuerdo mediante el cual </w:t>
      </w:r>
      <w:r w:rsidRPr="004F54F1">
        <w:rPr>
          <w:rFonts w:ascii="Palatino Linotype" w:hAnsi="Palatino Linotype" w:cs="Tahoma"/>
          <w:bCs/>
          <w:sz w:val="22"/>
          <w:szCs w:val="22"/>
        </w:rPr>
        <w:t>se puso a la vista del Particular el Informe Justificado</w:t>
      </w:r>
      <w:r w:rsidRPr="004F54F1">
        <w:rPr>
          <w:rFonts w:ascii="Palatino Linotype" w:hAnsi="Palatino Linotype" w:cs="Tahoma"/>
          <w:sz w:val="22"/>
          <w:szCs w:val="22"/>
        </w:rPr>
        <w:t xml:space="preserve"> entregado por el Sujeto Obligado, el cual fue notificado, a través del Sistema de Acceso a la Información Mexiquense (SAIMEX)</w:t>
      </w:r>
      <w:r w:rsidRPr="004F54F1" w:rsidR="00DE3289">
        <w:rPr>
          <w:rFonts w:ascii="Palatino Linotype" w:hAnsi="Palatino Linotype" w:cs="Tahoma"/>
          <w:sz w:val="22"/>
          <w:szCs w:val="22"/>
        </w:rPr>
        <w:t xml:space="preserve">. </w:t>
      </w:r>
      <w:r w:rsidRPr="004F54F1">
        <w:rPr>
          <w:rFonts w:ascii="Palatino Linotype" w:hAnsi="Palatino Linotype" w:cs="Tahoma"/>
          <w:b/>
          <w:bCs/>
          <w:color w:val="000000" w:themeColor="text1"/>
          <w:sz w:val="22"/>
          <w:szCs w:val="22"/>
        </w:rPr>
        <w:t>Cabe señalar que la parte Recurrente fue omisa en emitir manifestaciones.</w:t>
      </w:r>
    </w:p>
    <w:p w:rsidRPr="004F54F1" w:rsidR="00A4234F" w:rsidP="008948DC" w:rsidRDefault="00A4234F" w14:paraId="7FF65394" w14:textId="77777777">
      <w:pPr>
        <w:spacing w:line="360" w:lineRule="auto"/>
        <w:jc w:val="both"/>
        <w:rPr>
          <w:rFonts w:ascii="Palatino Linotype" w:hAnsi="Palatino Linotype" w:cs="Tahoma"/>
          <w:sz w:val="22"/>
          <w:szCs w:val="22"/>
          <w:lang w:val="es-ES"/>
        </w:rPr>
      </w:pPr>
    </w:p>
    <w:p w:rsidRPr="004F54F1" w:rsidR="00FC0E02" w:rsidP="008948DC" w:rsidRDefault="00427ADA" w14:paraId="12B11DC9" w14:textId="21628975">
      <w:pPr>
        <w:spacing w:line="360" w:lineRule="auto"/>
        <w:jc w:val="both"/>
        <w:rPr>
          <w:rFonts w:ascii="Palatino Linotype" w:hAnsi="Palatino Linotype" w:cs="Tahoma"/>
          <w:bCs/>
          <w:color w:val="000000"/>
          <w:sz w:val="22"/>
          <w:szCs w:val="22"/>
          <w:lang w:val="es-ES"/>
        </w:rPr>
      </w:pPr>
      <w:r w:rsidRPr="004F54F1">
        <w:rPr>
          <w:rFonts w:ascii="Palatino Linotype" w:hAnsi="Palatino Linotype" w:cs="Tahoma"/>
          <w:b/>
          <w:bCs/>
          <w:color w:val="000000"/>
          <w:sz w:val="22"/>
          <w:szCs w:val="22"/>
          <w:lang w:val="es-ES"/>
        </w:rPr>
        <w:lastRenderedPageBreak/>
        <w:t>e</w:t>
      </w:r>
      <w:r w:rsidRPr="004F54F1" w:rsidR="00FC0E02">
        <w:rPr>
          <w:rFonts w:ascii="Palatino Linotype" w:hAnsi="Palatino Linotype" w:cs="Tahoma"/>
          <w:b/>
          <w:bCs/>
          <w:color w:val="000000"/>
          <w:sz w:val="22"/>
          <w:szCs w:val="22"/>
          <w:lang w:val="es-ES"/>
        </w:rPr>
        <w:t xml:space="preserve">) Ampliación del plazo para resolver. </w:t>
      </w:r>
      <w:r w:rsidRPr="004F54F1" w:rsidR="00FC0E02">
        <w:rPr>
          <w:rFonts w:ascii="Palatino Linotype" w:hAnsi="Palatino Linotype" w:cs="Tahoma"/>
          <w:bCs/>
          <w:color w:val="000000"/>
          <w:sz w:val="22"/>
          <w:szCs w:val="22"/>
          <w:lang w:val="es-ES"/>
        </w:rPr>
        <w:t xml:space="preserve">El </w:t>
      </w:r>
      <w:r w:rsidRPr="004F54F1" w:rsidR="00CD596E">
        <w:rPr>
          <w:rFonts w:ascii="Palatino Linotype" w:hAnsi="Palatino Linotype" w:cs="Tahoma"/>
          <w:bCs/>
          <w:color w:val="000000"/>
          <w:sz w:val="22"/>
          <w:szCs w:val="22"/>
          <w:lang w:val="es-ES"/>
        </w:rPr>
        <w:t>siete</w:t>
      </w:r>
      <w:r w:rsidRPr="004F54F1" w:rsidR="00F840ED">
        <w:rPr>
          <w:rFonts w:ascii="Palatino Linotype" w:hAnsi="Palatino Linotype" w:cs="Tahoma"/>
          <w:bCs/>
          <w:color w:val="000000"/>
          <w:sz w:val="22"/>
          <w:szCs w:val="22"/>
          <w:lang w:val="es-ES"/>
        </w:rPr>
        <w:t xml:space="preserve"> de abril de dos mil veintidós</w:t>
      </w:r>
      <w:r w:rsidRPr="004F54F1" w:rsidR="00FC0E02">
        <w:rPr>
          <w:rFonts w:ascii="Palatino Linotype" w:hAnsi="Palatino Linotype" w:cs="Tahoma"/>
          <w:bCs/>
          <w:color w:val="000000"/>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w:t>
      </w:r>
      <w:r w:rsidRPr="004F54F1" w:rsidR="008B2A3F">
        <w:rPr>
          <w:rFonts w:ascii="Palatino Linotype" w:hAnsi="Palatino Linotype" w:cs="Tahoma"/>
          <w:bCs/>
          <w:color w:val="000000"/>
          <w:sz w:val="22"/>
          <w:szCs w:val="22"/>
          <w:lang w:val="es-ES"/>
        </w:rPr>
        <w:t xml:space="preserve"> el </w:t>
      </w:r>
      <w:r w:rsidRPr="004F54F1" w:rsidR="00815651">
        <w:rPr>
          <w:rFonts w:ascii="Palatino Linotype" w:hAnsi="Palatino Linotype" w:cs="Tahoma"/>
          <w:bCs/>
          <w:color w:val="000000"/>
          <w:sz w:val="22"/>
          <w:szCs w:val="22"/>
          <w:lang w:val="es-ES"/>
        </w:rPr>
        <w:t>diecinueve</w:t>
      </w:r>
      <w:r w:rsidRPr="004F54F1" w:rsidR="00CD596E">
        <w:rPr>
          <w:rFonts w:ascii="Palatino Linotype" w:hAnsi="Palatino Linotype" w:cs="Tahoma"/>
          <w:bCs/>
          <w:color w:val="000000"/>
          <w:sz w:val="22"/>
          <w:szCs w:val="22"/>
          <w:lang w:val="es-ES"/>
        </w:rPr>
        <w:t xml:space="preserve"> de abril</w:t>
      </w:r>
      <w:r w:rsidRPr="004F54F1" w:rsidR="008B2A3F">
        <w:rPr>
          <w:rFonts w:ascii="Palatino Linotype" w:hAnsi="Palatino Linotype" w:cs="Tahoma"/>
          <w:bCs/>
          <w:color w:val="000000"/>
          <w:sz w:val="22"/>
          <w:szCs w:val="22"/>
          <w:lang w:val="es-ES"/>
        </w:rPr>
        <w:t xml:space="preserve"> del presente año</w:t>
      </w:r>
      <w:r w:rsidRPr="004F54F1" w:rsidR="00FC0E02">
        <w:rPr>
          <w:rFonts w:ascii="Palatino Linotype" w:hAnsi="Palatino Linotype" w:cs="Tahoma"/>
          <w:bCs/>
          <w:color w:val="000000"/>
          <w:sz w:val="22"/>
          <w:szCs w:val="22"/>
          <w:lang w:val="es-ES"/>
        </w:rPr>
        <w:t>, mediante el Sistema de Acceso a la Información Mexiquense (SAIMEX).</w:t>
      </w:r>
    </w:p>
    <w:p w:rsidRPr="004F54F1" w:rsidR="00FC0E02" w:rsidP="008948DC" w:rsidRDefault="00FC0E02" w14:paraId="6C39D711" w14:textId="77777777">
      <w:pPr>
        <w:spacing w:line="360" w:lineRule="auto"/>
        <w:jc w:val="both"/>
        <w:rPr>
          <w:rFonts w:ascii="Palatino Linotype" w:hAnsi="Palatino Linotype" w:cs="Tahoma"/>
          <w:sz w:val="22"/>
          <w:szCs w:val="22"/>
          <w:lang w:val="es-ES"/>
        </w:rPr>
      </w:pPr>
    </w:p>
    <w:p w:rsidRPr="004F54F1" w:rsidR="00A4234F" w:rsidP="008948DC" w:rsidRDefault="00676EDE" w14:paraId="27F14216" w14:textId="0193B93C">
      <w:pPr>
        <w:spacing w:line="360" w:lineRule="auto"/>
        <w:jc w:val="both"/>
        <w:rPr>
          <w:rFonts w:ascii="Palatino Linotype" w:hAnsi="Palatino Linotype" w:cs="Tahoma"/>
          <w:sz w:val="22"/>
          <w:szCs w:val="22"/>
        </w:rPr>
      </w:pPr>
      <w:r w:rsidRPr="004F54F1">
        <w:rPr>
          <w:rFonts w:ascii="Palatino Linotype" w:hAnsi="Palatino Linotype" w:cs="Tahoma"/>
          <w:b/>
          <w:sz w:val="22"/>
          <w:szCs w:val="22"/>
        </w:rPr>
        <w:t>f</w:t>
      </w:r>
      <w:r w:rsidRPr="004F54F1" w:rsidR="00A4234F">
        <w:rPr>
          <w:rFonts w:ascii="Palatino Linotype" w:hAnsi="Palatino Linotype" w:cs="Tahoma"/>
          <w:b/>
          <w:sz w:val="22"/>
          <w:szCs w:val="22"/>
        </w:rPr>
        <w:t>) Cierre de instrucción.</w:t>
      </w:r>
      <w:r w:rsidRPr="004F54F1" w:rsidR="00A4234F">
        <w:rPr>
          <w:rFonts w:ascii="Palatino Linotype" w:hAnsi="Palatino Linotype" w:cs="Tahoma"/>
          <w:sz w:val="22"/>
          <w:szCs w:val="22"/>
        </w:rPr>
        <w:t xml:space="preserve"> El </w:t>
      </w:r>
      <w:r w:rsidRPr="004F54F1" w:rsidR="009570C4">
        <w:rPr>
          <w:rFonts w:ascii="Palatino Linotype" w:hAnsi="Palatino Linotype" w:cs="Tahoma"/>
          <w:sz w:val="22"/>
          <w:szCs w:val="22"/>
        </w:rPr>
        <w:t>veintiocho</w:t>
      </w:r>
      <w:r w:rsidRPr="004F54F1" w:rsidR="00F840ED">
        <w:rPr>
          <w:rFonts w:ascii="Palatino Linotype" w:hAnsi="Palatino Linotype" w:cs="Tahoma"/>
          <w:sz w:val="22"/>
          <w:szCs w:val="22"/>
        </w:rPr>
        <w:t xml:space="preserve"> de abril de dos mil veintidós</w:t>
      </w:r>
      <w:r w:rsidRPr="004F54F1" w:rsidR="00A4234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veintiséis de mismo mes y año, a través del </w:t>
      </w:r>
      <w:r w:rsidRPr="004F54F1" w:rsidR="00A4234F">
        <w:rPr>
          <w:rFonts w:ascii="Palatino Linotype" w:hAnsi="Palatino Linotype" w:cs="Tahoma"/>
          <w:sz w:val="22"/>
          <w:szCs w:val="22"/>
          <w:lang w:val="es-ES"/>
        </w:rPr>
        <w:t>Sistema de Acceso a la Información Mexiquense (SAIMEX)</w:t>
      </w:r>
      <w:r w:rsidRPr="004F54F1" w:rsidR="00A4234F">
        <w:rPr>
          <w:rFonts w:ascii="Palatino Linotype" w:hAnsi="Palatino Linotype" w:cs="Tahoma"/>
          <w:sz w:val="22"/>
          <w:szCs w:val="22"/>
        </w:rPr>
        <w:t>.</w:t>
      </w:r>
    </w:p>
    <w:p w:rsidRPr="004F54F1" w:rsidR="00A4234F" w:rsidP="008948DC" w:rsidRDefault="00A4234F" w14:paraId="7FD51B62" w14:textId="77777777">
      <w:pPr>
        <w:spacing w:line="360" w:lineRule="auto"/>
        <w:jc w:val="both"/>
        <w:rPr>
          <w:rFonts w:ascii="Palatino Linotype" w:hAnsi="Palatino Linotype" w:cs="Tahoma"/>
          <w:sz w:val="22"/>
          <w:szCs w:val="22"/>
        </w:rPr>
      </w:pPr>
    </w:p>
    <w:p w:rsidRPr="004F54F1" w:rsidR="00A4234F" w:rsidP="008948DC" w:rsidRDefault="00A4234F" w14:paraId="2D888420" w14:textId="77777777">
      <w:pPr>
        <w:spacing w:line="360" w:lineRule="auto"/>
        <w:jc w:val="both"/>
        <w:rPr>
          <w:rFonts w:ascii="Palatino Linotype" w:hAnsi="Palatino Linotype" w:cs="Tahoma"/>
          <w:b/>
          <w:bCs/>
          <w:sz w:val="22"/>
          <w:szCs w:val="22"/>
        </w:rPr>
      </w:pPr>
      <w:r w:rsidRPr="004F54F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4F54F1" w:rsidR="00A4234F" w:rsidP="008948DC" w:rsidRDefault="00A4234F" w14:paraId="69418D79" w14:textId="77777777">
      <w:pPr>
        <w:spacing w:line="360" w:lineRule="auto"/>
        <w:jc w:val="both"/>
        <w:rPr>
          <w:rFonts w:ascii="Palatino Linotype" w:hAnsi="Palatino Linotype" w:cs="Tahoma"/>
          <w:color w:val="000000"/>
          <w:sz w:val="22"/>
          <w:szCs w:val="22"/>
        </w:rPr>
      </w:pPr>
    </w:p>
    <w:p w:rsidRPr="004F54F1" w:rsidR="00A4234F" w:rsidP="008948DC" w:rsidRDefault="00A4234F" w14:paraId="12DD5099" w14:textId="4D50CD9C">
      <w:pPr>
        <w:spacing w:line="360" w:lineRule="auto"/>
        <w:jc w:val="center"/>
        <w:rPr>
          <w:rFonts w:ascii="Palatino Linotype" w:hAnsi="Palatino Linotype" w:cs="Tahoma"/>
          <w:b/>
          <w:sz w:val="22"/>
          <w:szCs w:val="22"/>
          <w:lang w:val="es-ES"/>
        </w:rPr>
      </w:pPr>
      <w:r w:rsidRPr="004F54F1">
        <w:rPr>
          <w:rFonts w:ascii="Palatino Linotype" w:hAnsi="Palatino Linotype" w:cs="Tahoma"/>
          <w:b/>
          <w:sz w:val="22"/>
          <w:szCs w:val="22"/>
          <w:lang w:val="es-ES"/>
        </w:rPr>
        <w:t>C</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O</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N</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S</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I</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D</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E</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R</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A</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N</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D</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O</w:t>
      </w:r>
      <w:r w:rsidRPr="004F54F1" w:rsidR="00B32251">
        <w:rPr>
          <w:rFonts w:ascii="Palatino Linotype" w:hAnsi="Palatino Linotype" w:cs="Tahoma"/>
          <w:b/>
          <w:sz w:val="22"/>
          <w:szCs w:val="22"/>
          <w:lang w:val="es-ES"/>
        </w:rPr>
        <w:t xml:space="preserve"> </w:t>
      </w:r>
      <w:r w:rsidRPr="004F54F1">
        <w:rPr>
          <w:rFonts w:ascii="Palatino Linotype" w:hAnsi="Palatino Linotype" w:cs="Tahoma"/>
          <w:b/>
          <w:sz w:val="22"/>
          <w:szCs w:val="22"/>
          <w:lang w:val="es-ES"/>
        </w:rPr>
        <w:t>S:</w:t>
      </w:r>
    </w:p>
    <w:p w:rsidRPr="004F54F1" w:rsidR="00A4234F" w:rsidP="008948DC" w:rsidRDefault="00A4234F" w14:paraId="4F69B7CD" w14:textId="77777777">
      <w:pPr>
        <w:spacing w:line="360" w:lineRule="auto"/>
        <w:jc w:val="center"/>
        <w:rPr>
          <w:rFonts w:ascii="Palatino Linotype" w:hAnsi="Palatino Linotype" w:cs="Tahoma"/>
          <w:b/>
          <w:sz w:val="22"/>
          <w:szCs w:val="22"/>
          <w:lang w:val="es-ES"/>
        </w:rPr>
      </w:pPr>
    </w:p>
    <w:p w:rsidRPr="004F54F1" w:rsidR="00A4234F" w:rsidP="008948DC" w:rsidRDefault="00A4234F" w14:paraId="25BD127C" w14:textId="77777777">
      <w:pPr>
        <w:autoSpaceDE w:val="0"/>
        <w:autoSpaceDN w:val="0"/>
        <w:adjustRightInd w:val="0"/>
        <w:spacing w:line="360" w:lineRule="auto"/>
        <w:jc w:val="both"/>
        <w:rPr>
          <w:rFonts w:ascii="Palatino Linotype" w:hAnsi="Palatino Linotype" w:cs="Tahoma"/>
          <w:b/>
          <w:color w:val="0D0D0D" w:themeColor="text1" w:themeTint="F2"/>
          <w:sz w:val="22"/>
          <w:szCs w:val="24"/>
          <w:lang w:val="es-ES"/>
        </w:rPr>
      </w:pPr>
      <w:r w:rsidRPr="004F54F1">
        <w:rPr>
          <w:rFonts w:ascii="Palatino Linotype" w:hAnsi="Palatino Linotype" w:eastAsia="Calibri" w:cs="Tahoma"/>
          <w:b/>
          <w:color w:val="0D0D0D" w:themeColor="text1" w:themeTint="F2"/>
          <w:sz w:val="22"/>
          <w:szCs w:val="24"/>
          <w:lang w:val="es-ES" w:eastAsia="es-MX"/>
        </w:rPr>
        <w:t>PRIMERO</w:t>
      </w:r>
      <w:r w:rsidRPr="004F54F1">
        <w:rPr>
          <w:rFonts w:ascii="Palatino Linotype" w:hAnsi="Palatino Linotype" w:eastAsia="Calibri" w:cs="Tahoma"/>
          <w:color w:val="0D0D0D" w:themeColor="text1" w:themeTint="F2"/>
          <w:sz w:val="22"/>
          <w:szCs w:val="24"/>
          <w:lang w:val="es-ES" w:eastAsia="es-MX"/>
        </w:rPr>
        <w:t xml:space="preserve">. </w:t>
      </w:r>
      <w:r w:rsidRPr="004F54F1">
        <w:rPr>
          <w:rFonts w:ascii="Palatino Linotype" w:hAnsi="Palatino Linotype" w:cs="Tahoma"/>
          <w:b/>
          <w:color w:val="0D0D0D" w:themeColor="text1" w:themeTint="F2"/>
          <w:sz w:val="22"/>
          <w:szCs w:val="24"/>
          <w:lang w:val="es-ES"/>
        </w:rPr>
        <w:t>Competencia.</w:t>
      </w:r>
    </w:p>
    <w:p w:rsidRPr="004F54F1" w:rsidR="00A4234F" w:rsidP="008948DC" w:rsidRDefault="00A4234F" w14:paraId="617ADECF" w14:textId="77777777">
      <w:pPr>
        <w:autoSpaceDE w:val="0"/>
        <w:autoSpaceDN w:val="0"/>
        <w:adjustRightInd w:val="0"/>
        <w:spacing w:line="360" w:lineRule="auto"/>
        <w:jc w:val="both"/>
        <w:rPr>
          <w:rFonts w:ascii="Palatino Linotype" w:hAnsi="Palatino Linotype" w:cs="Tahoma"/>
          <w:b/>
          <w:color w:val="0D0D0D" w:themeColor="text1" w:themeTint="F2"/>
          <w:sz w:val="22"/>
          <w:szCs w:val="24"/>
          <w:lang w:val="es-ES"/>
        </w:rPr>
      </w:pPr>
    </w:p>
    <w:p w:rsidRPr="004F54F1" w:rsidR="00A4234F" w:rsidP="008948DC" w:rsidRDefault="00A4234F" w14:paraId="41C29B24" w14:textId="77777777">
      <w:pPr>
        <w:spacing w:line="360" w:lineRule="auto"/>
        <w:jc w:val="both"/>
        <w:rPr>
          <w:rFonts w:ascii="Palatino Linotype" w:hAnsi="Palatino Linotype" w:cs="Tahoma"/>
          <w:bCs/>
          <w:color w:val="0D0D0D" w:themeColor="text1" w:themeTint="F2"/>
          <w:sz w:val="22"/>
        </w:rPr>
      </w:pPr>
      <w:r w:rsidRPr="004F54F1">
        <w:rPr>
          <w:rFonts w:ascii="Palatino Linotype" w:hAnsi="Palatino Linotype" w:cs="Tahoma"/>
          <w:bCs/>
          <w:color w:val="0D0D0D" w:themeColor="text1" w:themeTint="F2"/>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4F54F1">
        <w:rPr>
          <w:rFonts w:ascii="Palatino Linotype" w:hAnsi="Palatino Linotype" w:cs="Tahoma"/>
          <w:bCs/>
          <w:color w:val="0D0D0D" w:themeColor="text1" w:themeTint="F2"/>
          <w:sz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F54F1">
        <w:rPr>
          <w:rFonts w:ascii="Palatino Linotype" w:hAnsi="Palatino Linotype"/>
          <w:bCs/>
          <w:color w:val="0D0D0D" w:themeColor="text1" w:themeTint="F2"/>
          <w:sz w:val="22"/>
        </w:rPr>
        <w:t xml:space="preserve"> 7°, </w:t>
      </w:r>
      <w:r w:rsidRPr="004F54F1">
        <w:rPr>
          <w:rFonts w:ascii="Palatino Linotype" w:hAnsi="Palatino Linotype" w:cs="Tahoma"/>
          <w:bCs/>
          <w:color w:val="0D0D0D" w:themeColor="text1" w:themeTint="F2"/>
          <w:sz w:val="22"/>
        </w:rPr>
        <w:t>9°, fracciones I y XXIV y 11 del Reglamento Interior del Instituto de Transparencia, Acceso a la Información Pública y Protección de Datos Personales del Estado de México y Municipios.</w:t>
      </w:r>
    </w:p>
    <w:p w:rsidRPr="004F54F1" w:rsidR="00A4234F" w:rsidP="008948DC" w:rsidRDefault="00A4234F" w14:paraId="61C69C27" w14:textId="77777777">
      <w:pPr>
        <w:spacing w:line="360" w:lineRule="auto"/>
        <w:jc w:val="both"/>
        <w:rPr>
          <w:rFonts w:ascii="Palatino Linotype" w:hAnsi="Palatino Linotype"/>
          <w:color w:val="0D0D0D" w:themeColor="text1" w:themeTint="F2"/>
          <w:sz w:val="22"/>
        </w:rPr>
      </w:pPr>
    </w:p>
    <w:p w:rsidRPr="004F54F1" w:rsidR="00C70F01" w:rsidP="008948DC" w:rsidRDefault="00C70F01" w14:paraId="5F03C196"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r w:rsidRPr="004F54F1">
        <w:rPr>
          <w:rFonts w:ascii="Palatino Linotype" w:hAnsi="Palatino Linotype" w:eastAsia="Calibri" w:cs="Tahoma"/>
          <w:b/>
          <w:color w:val="0D0D0D" w:themeColor="text1" w:themeTint="F2"/>
          <w:sz w:val="22"/>
          <w:szCs w:val="24"/>
          <w:lang w:val="es-ES" w:eastAsia="es-MX"/>
        </w:rPr>
        <w:t>SEGUNDO. Causales de procedencia y sobreseimiento.</w:t>
      </w:r>
    </w:p>
    <w:p w:rsidRPr="004F54F1" w:rsidR="00C70F01" w:rsidP="008948DC" w:rsidRDefault="00C70F01" w14:paraId="2E268976"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4F54F1" w:rsidR="00C70F01" w:rsidP="008948DC" w:rsidRDefault="00C70F01" w14:paraId="17743D60" w14:textId="77777777">
      <w:pPr>
        <w:tabs>
          <w:tab w:val="left" w:pos="4962"/>
        </w:tabs>
        <w:spacing w:line="360" w:lineRule="auto"/>
        <w:jc w:val="both"/>
        <w:rPr>
          <w:rFonts w:ascii="Palatino Linotype" w:hAnsi="Palatino Linotype" w:eastAsia="Calibri" w:cs="Tahoma"/>
          <w:bCs/>
          <w:color w:val="0D0D0D" w:themeColor="text1" w:themeTint="F2"/>
          <w:sz w:val="22"/>
          <w:szCs w:val="24"/>
          <w:lang w:val="es-ES" w:eastAsia="es-MX"/>
        </w:rPr>
      </w:pPr>
      <w:r w:rsidRPr="004F54F1">
        <w:rPr>
          <w:rFonts w:ascii="Palatino Linotype" w:hAnsi="Palatino Linotype" w:eastAsia="Calibri" w:cs="Tahoma"/>
          <w:bCs/>
          <w:color w:val="0D0D0D" w:themeColor="text1" w:themeTint="F2"/>
          <w:sz w:val="22"/>
          <w:szCs w:val="24"/>
          <w:lang w:val="es-ES" w:eastAsia="es-MX"/>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4F54F1" w:rsidR="00C70F01" w:rsidP="008948DC" w:rsidRDefault="00C70F01" w14:paraId="6163469E"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4F54F1" w:rsidR="00C70F01" w:rsidP="008948DC" w:rsidRDefault="00C70F01" w14:paraId="389904D3"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r w:rsidRPr="004F54F1">
        <w:rPr>
          <w:rFonts w:ascii="Palatino Linotype" w:hAnsi="Palatino Linotype" w:eastAsia="Calibri" w:cs="Tahoma"/>
          <w:b/>
          <w:color w:val="0D0D0D" w:themeColor="text1" w:themeTint="F2"/>
          <w:sz w:val="22"/>
          <w:szCs w:val="24"/>
          <w:lang w:val="es-ES" w:eastAsia="es-MX"/>
        </w:rPr>
        <w:t>Causales de improcedencia.</w:t>
      </w:r>
    </w:p>
    <w:p w:rsidRPr="004F54F1" w:rsidR="00C70F01" w:rsidP="008948DC" w:rsidRDefault="00C70F01" w14:paraId="615ADBEE"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4F54F1" w:rsidR="00C70F01" w:rsidP="008948DC" w:rsidRDefault="00C70F01" w14:paraId="75B42C06"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4F54F1">
        <w:rPr>
          <w:rFonts w:ascii="Palatino Linotype" w:hAnsi="Palatino Linotype" w:eastAsia="Calibri" w:cs="Tahoma"/>
          <w:color w:val="0D0D0D" w:themeColor="text1" w:themeTint="F2"/>
          <w:sz w:val="22"/>
          <w:szCs w:val="24"/>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F54F1" w:rsidR="00C70F01" w:rsidP="008948DC" w:rsidRDefault="00C70F01" w14:paraId="1C09D7F8" w14:textId="77777777">
      <w:pPr>
        <w:tabs>
          <w:tab w:val="left" w:pos="4962"/>
        </w:tabs>
        <w:spacing w:line="360" w:lineRule="auto"/>
        <w:jc w:val="both"/>
        <w:rPr>
          <w:rFonts w:ascii="Palatino Linotype" w:hAnsi="Palatino Linotype" w:eastAsia="Calibri" w:cs="Tahoma"/>
          <w:b/>
          <w:bCs/>
          <w:color w:val="0D0D0D" w:themeColor="text1" w:themeTint="F2"/>
          <w:sz w:val="22"/>
          <w:szCs w:val="24"/>
          <w:lang w:eastAsia="es-MX"/>
        </w:rPr>
      </w:pPr>
    </w:p>
    <w:p w:rsidRPr="004F54F1" w:rsidR="00C70F01" w:rsidP="008948DC" w:rsidRDefault="00C70F01" w14:paraId="40AF0D40"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4F54F1">
        <w:rPr>
          <w:rFonts w:ascii="Palatino Linotype" w:hAnsi="Palatino Linotype" w:eastAsia="Calibri" w:cs="Tahoma"/>
          <w:color w:val="0D0D0D" w:themeColor="text1" w:themeTint="F2"/>
          <w:sz w:val="22"/>
          <w:szCs w:val="24"/>
          <w:lang w:eastAsia="es-MX"/>
        </w:rPr>
        <w:t xml:space="preserve">En el presente caso, no se actualiza alguna de las causales de improcedencia establecidas en el ordenamiento jurídico previamente señalado, toda vez que: el recurso fue presentado dentro </w:t>
      </w:r>
      <w:r w:rsidRPr="004F54F1">
        <w:rPr>
          <w:rFonts w:ascii="Palatino Linotype" w:hAnsi="Palatino Linotype" w:eastAsia="Calibri" w:cs="Tahoma"/>
          <w:color w:val="0D0D0D" w:themeColor="text1" w:themeTint="F2"/>
          <w:sz w:val="22"/>
          <w:szCs w:val="24"/>
          <w:lang w:eastAsia="es-MX"/>
        </w:rPr>
        <w:lastRenderedPageBreak/>
        <w:t>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4F54F1" w:rsidR="00C70F01" w:rsidP="008948DC" w:rsidRDefault="00C70F01" w14:paraId="169C2705"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p>
    <w:p w:rsidRPr="004F54F1" w:rsidR="00C70F01" w:rsidP="008948DC" w:rsidRDefault="00C70F01" w14:paraId="7F91AB53" w14:textId="684B30B1">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4F54F1">
        <w:rPr>
          <w:rFonts w:ascii="Palatino Linotype" w:hAnsi="Palatino Linotype" w:eastAsia="Calibri" w:cs="Tahoma"/>
          <w:color w:val="0D0D0D" w:themeColor="text1" w:themeTint="F2"/>
          <w:sz w:val="22"/>
          <w:szCs w:val="24"/>
          <w:lang w:eastAsia="es-MX"/>
        </w:rPr>
        <w:t xml:space="preserve">Asimismo, se actualiza la causal de procedencia del Recurso de Revisión señalada en el artículo 179, fracción </w:t>
      </w:r>
      <w:r w:rsidRPr="004F54F1" w:rsidR="00F840ED">
        <w:rPr>
          <w:rFonts w:ascii="Palatino Linotype" w:hAnsi="Palatino Linotype" w:eastAsia="Calibri" w:cs="Tahoma"/>
          <w:color w:val="0D0D0D" w:themeColor="text1" w:themeTint="F2"/>
          <w:sz w:val="22"/>
          <w:szCs w:val="24"/>
          <w:lang w:eastAsia="es-MX"/>
        </w:rPr>
        <w:t>V</w:t>
      </w:r>
      <w:r w:rsidRPr="004F54F1">
        <w:rPr>
          <w:rFonts w:ascii="Palatino Linotype" w:hAnsi="Palatino Linotype" w:eastAsia="Calibri" w:cs="Tahoma"/>
          <w:color w:val="0D0D0D" w:themeColor="text1" w:themeTint="F2"/>
          <w:sz w:val="22"/>
          <w:szCs w:val="24"/>
          <w:lang w:eastAsia="es-MX"/>
        </w:rPr>
        <w:t xml:space="preserve">, de la Ley en cita, pues el Recurrente se inconformó </w:t>
      </w:r>
      <w:r w:rsidRPr="004F54F1" w:rsidR="00DF268E">
        <w:rPr>
          <w:rFonts w:ascii="Palatino Linotype" w:hAnsi="Palatino Linotype" w:eastAsia="Calibri" w:cs="Tahoma"/>
          <w:color w:val="0D0D0D" w:themeColor="text1" w:themeTint="F2"/>
          <w:sz w:val="22"/>
          <w:szCs w:val="24"/>
          <w:lang w:val="es-ES" w:eastAsia="es-MX"/>
        </w:rPr>
        <w:t xml:space="preserve">con la </w:t>
      </w:r>
      <w:r w:rsidRPr="004F54F1" w:rsidR="00F840ED">
        <w:rPr>
          <w:rFonts w:ascii="Palatino Linotype" w:hAnsi="Palatino Linotype" w:eastAsia="Calibri" w:cs="Tahoma"/>
          <w:color w:val="0D0D0D" w:themeColor="text1" w:themeTint="F2"/>
          <w:sz w:val="22"/>
          <w:szCs w:val="24"/>
          <w:lang w:val="es-ES" w:eastAsia="es-MX"/>
        </w:rPr>
        <w:t>entrega de la información incompleta.</w:t>
      </w:r>
    </w:p>
    <w:p w:rsidRPr="004F54F1" w:rsidR="00C70F01" w:rsidP="008948DC" w:rsidRDefault="00C70F01" w14:paraId="12669E6B"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4F54F1" w:rsidR="00C70F01" w:rsidP="008948DC" w:rsidRDefault="00C70F01" w14:paraId="05D82DBD" w14:textId="77777777">
      <w:pPr>
        <w:tabs>
          <w:tab w:val="left" w:pos="4962"/>
        </w:tabs>
        <w:spacing w:line="360" w:lineRule="auto"/>
        <w:jc w:val="both"/>
        <w:rPr>
          <w:rFonts w:ascii="Palatino Linotype" w:hAnsi="Palatino Linotype" w:eastAsia="Calibri" w:cs="Tahoma"/>
          <w:b/>
          <w:color w:val="0D0D0D" w:themeColor="text1" w:themeTint="F2"/>
          <w:sz w:val="22"/>
          <w:szCs w:val="24"/>
          <w:lang w:eastAsia="es-MX"/>
        </w:rPr>
      </w:pPr>
      <w:r w:rsidRPr="004F54F1">
        <w:rPr>
          <w:rFonts w:ascii="Palatino Linotype" w:hAnsi="Palatino Linotype" w:eastAsia="Calibri" w:cs="Tahoma"/>
          <w:b/>
          <w:color w:val="0D0D0D" w:themeColor="text1" w:themeTint="F2"/>
          <w:sz w:val="22"/>
          <w:szCs w:val="24"/>
          <w:lang w:eastAsia="es-MX"/>
        </w:rPr>
        <w:t>Causales de sobreseimiento.</w:t>
      </w:r>
    </w:p>
    <w:p w:rsidRPr="004F54F1" w:rsidR="00C70F01" w:rsidP="008948DC" w:rsidRDefault="00C70F01" w14:paraId="515F6E58" w14:textId="77777777">
      <w:pPr>
        <w:tabs>
          <w:tab w:val="left" w:pos="4962"/>
        </w:tabs>
        <w:spacing w:line="360" w:lineRule="auto"/>
        <w:jc w:val="both"/>
        <w:rPr>
          <w:rFonts w:ascii="Palatino Linotype" w:hAnsi="Palatino Linotype" w:eastAsia="Calibri" w:cs="Tahoma"/>
          <w:b/>
          <w:bCs/>
          <w:color w:val="0D0D0D" w:themeColor="text1" w:themeTint="F2"/>
          <w:sz w:val="22"/>
          <w:szCs w:val="24"/>
          <w:lang w:eastAsia="es-MX"/>
        </w:rPr>
      </w:pPr>
    </w:p>
    <w:p w:rsidRPr="004F54F1" w:rsidR="00C70F01" w:rsidP="008948DC" w:rsidRDefault="00C70F01" w14:paraId="55191922" w14:textId="1B35EC32">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4F54F1">
        <w:rPr>
          <w:rFonts w:ascii="Palatino Linotype" w:hAnsi="Palatino Linotype" w:eastAsia="Calibri" w:cs="Tahoma"/>
          <w:color w:val="0D0D0D" w:themeColor="text1" w:themeTint="F2"/>
          <w:sz w:val="22"/>
          <w:szCs w:val="24"/>
          <w:lang w:eastAsia="es-MX"/>
        </w:rPr>
        <w:t>Por ser de previo y especial pronunciamiento, este Instituto analiza si se actualiza alguna causal de sobreseimiento.</w:t>
      </w:r>
    </w:p>
    <w:p w:rsidRPr="004F54F1" w:rsidR="009570C4" w:rsidP="008948DC" w:rsidRDefault="009570C4" w14:paraId="7EB2F2E2" w14:textId="1419672D">
      <w:pPr>
        <w:tabs>
          <w:tab w:val="left" w:pos="4962"/>
        </w:tabs>
        <w:spacing w:line="360" w:lineRule="auto"/>
        <w:jc w:val="both"/>
        <w:rPr>
          <w:rFonts w:ascii="Palatino Linotype" w:hAnsi="Palatino Linotype" w:eastAsia="Calibri" w:cs="Tahoma"/>
          <w:color w:val="0D0D0D" w:themeColor="text1" w:themeTint="F2"/>
          <w:sz w:val="22"/>
          <w:szCs w:val="24"/>
          <w:lang w:eastAsia="es-MX"/>
        </w:rPr>
      </w:pPr>
    </w:p>
    <w:p w:rsidRPr="004F54F1" w:rsidR="00C70F01" w:rsidP="008948DC" w:rsidRDefault="00C70F01" w14:paraId="1ABA0873"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4F54F1">
        <w:rPr>
          <w:rFonts w:ascii="Palatino Linotype" w:hAnsi="Palatino Linotype" w:eastAsia="Calibri" w:cs="Tahoma"/>
          <w:color w:val="0D0D0D" w:themeColor="text1" w:themeTint="F2"/>
          <w:sz w:val="22"/>
          <w:szCs w:val="24"/>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4F54F1" w:rsidR="00C70F01" w:rsidP="008948DC" w:rsidRDefault="00C70F01" w14:paraId="6DE2D72D"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p>
    <w:p w:rsidRPr="004F54F1" w:rsidR="00C70F01" w:rsidP="008948DC" w:rsidRDefault="00C70F01" w14:paraId="3265CA6A"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4F54F1">
        <w:rPr>
          <w:rFonts w:ascii="Palatino Linotype" w:hAnsi="Palatino Linotype" w:eastAsia="Calibri" w:cs="Tahoma"/>
          <w:color w:val="0D0D0D" w:themeColor="text1" w:themeTint="F2"/>
          <w:sz w:val="22"/>
          <w:szCs w:val="24"/>
          <w:lang w:eastAsia="es-MX"/>
        </w:rPr>
        <w:t>Por tales motivos, se considera procedente entrar al fondo del presente asunto.</w:t>
      </w:r>
    </w:p>
    <w:p w:rsidRPr="004F54F1" w:rsidR="00C70F01" w:rsidP="008948DC" w:rsidRDefault="00C70F01" w14:paraId="3B838BC0" w14:textId="77777777">
      <w:pPr>
        <w:tabs>
          <w:tab w:val="left" w:pos="4962"/>
        </w:tabs>
        <w:spacing w:line="360" w:lineRule="auto"/>
        <w:jc w:val="both"/>
        <w:rPr>
          <w:rFonts w:ascii="Palatino Linotype" w:hAnsi="Palatino Linotype" w:eastAsia="Calibri" w:cs="Tahoma"/>
          <w:b/>
          <w:iCs/>
          <w:sz w:val="22"/>
          <w:szCs w:val="22"/>
          <w:lang w:val="es-ES"/>
        </w:rPr>
      </w:pPr>
    </w:p>
    <w:p w:rsidRPr="004F54F1" w:rsidR="00A4234F" w:rsidP="008948DC" w:rsidRDefault="00A4234F" w14:paraId="48A7869B" w14:textId="6EFB589E">
      <w:pPr>
        <w:tabs>
          <w:tab w:val="left" w:pos="4962"/>
        </w:tabs>
        <w:spacing w:line="360" w:lineRule="auto"/>
        <w:jc w:val="both"/>
        <w:rPr>
          <w:rFonts w:ascii="Palatino Linotype" w:hAnsi="Palatino Linotype" w:eastAsia="Calibri" w:cs="Tahoma"/>
          <w:b/>
          <w:iCs/>
          <w:sz w:val="22"/>
          <w:szCs w:val="22"/>
          <w:lang w:val="es-ES"/>
        </w:rPr>
      </w:pPr>
      <w:r w:rsidRPr="004F54F1">
        <w:rPr>
          <w:rFonts w:ascii="Palatino Linotype" w:hAnsi="Palatino Linotype" w:eastAsia="Calibri" w:cs="Tahoma"/>
          <w:b/>
          <w:iCs/>
          <w:sz w:val="22"/>
          <w:szCs w:val="22"/>
          <w:lang w:val="es-ES"/>
        </w:rPr>
        <w:t xml:space="preserve">TERCERO. Determinación de la Controversia. </w:t>
      </w:r>
    </w:p>
    <w:p w:rsidRPr="004F54F1" w:rsidR="00A4234F" w:rsidP="008948DC" w:rsidRDefault="00A4234F" w14:paraId="5DE3D028" w14:textId="77777777">
      <w:pPr>
        <w:tabs>
          <w:tab w:val="left" w:pos="4962"/>
        </w:tabs>
        <w:spacing w:line="360" w:lineRule="auto"/>
        <w:jc w:val="both"/>
        <w:rPr>
          <w:rFonts w:ascii="Palatino Linotype" w:hAnsi="Palatino Linotype" w:eastAsia="Calibri" w:cs="Tahoma"/>
          <w:b/>
          <w:iCs/>
          <w:sz w:val="22"/>
          <w:szCs w:val="22"/>
          <w:lang w:val="es-ES"/>
        </w:rPr>
      </w:pPr>
    </w:p>
    <w:p w:rsidRPr="004F54F1" w:rsidR="0068052A" w:rsidP="008948DC" w:rsidRDefault="00542B40" w14:paraId="631D6358" w14:textId="2D97DC27">
      <w:pPr>
        <w:tabs>
          <w:tab w:val="left" w:pos="4962"/>
        </w:tabs>
        <w:spacing w:line="360" w:lineRule="auto"/>
        <w:jc w:val="both"/>
        <w:rPr>
          <w:rFonts w:ascii="Palatino Linotype" w:hAnsi="Palatino Linotype" w:eastAsia="Calibri" w:cs="Tahoma"/>
          <w:iCs/>
          <w:sz w:val="22"/>
          <w:szCs w:val="22"/>
          <w:lang w:val="es-ES"/>
        </w:rPr>
      </w:pPr>
      <w:r w:rsidRPr="004F54F1">
        <w:rPr>
          <w:rFonts w:ascii="Palatino Linotype" w:hAnsi="Palatino Linotype" w:eastAsia="Calibri" w:cs="Tahoma"/>
          <w:iCs/>
          <w:sz w:val="22"/>
          <w:szCs w:val="22"/>
          <w:lang w:val="es-ES"/>
        </w:rPr>
        <w:lastRenderedPageBreak/>
        <w:t xml:space="preserve">Una vez realizado el estudio de las constancias que integran el expediente en que se actúa, se desprende que </w:t>
      </w:r>
      <w:r w:rsidRPr="004F54F1" w:rsidR="00667B34">
        <w:rPr>
          <w:rFonts w:ascii="Palatino Linotype" w:hAnsi="Palatino Linotype" w:eastAsia="Calibri" w:cs="Tahoma"/>
          <w:iCs/>
          <w:sz w:val="22"/>
          <w:szCs w:val="22"/>
          <w:lang w:val="es-ES"/>
        </w:rPr>
        <w:t xml:space="preserve">el </w:t>
      </w:r>
      <w:r w:rsidRPr="004F54F1">
        <w:rPr>
          <w:rFonts w:ascii="Palatino Linotype" w:hAnsi="Palatino Linotype" w:eastAsia="Calibri" w:cs="Tahoma"/>
          <w:iCs/>
          <w:sz w:val="22"/>
          <w:szCs w:val="22"/>
          <w:lang w:val="es-ES"/>
        </w:rPr>
        <w:t xml:space="preserve">Recurrente, solicitó </w:t>
      </w:r>
      <w:r w:rsidRPr="004F54F1" w:rsidR="00C40363">
        <w:rPr>
          <w:rFonts w:ascii="Palatino Linotype" w:hAnsi="Palatino Linotype" w:eastAsia="Calibri" w:cs="Tahoma"/>
          <w:iCs/>
          <w:sz w:val="22"/>
          <w:szCs w:val="22"/>
          <w:lang w:val="es-ES"/>
        </w:rPr>
        <w:t xml:space="preserve">los </w:t>
      </w:r>
      <w:r w:rsidRPr="004F54F1" w:rsidR="00B80E17">
        <w:rPr>
          <w:rFonts w:ascii="Palatino Linotype" w:hAnsi="Palatino Linotype" w:eastAsia="Calibri" w:cs="Tahoma"/>
          <w:iCs/>
          <w:sz w:val="22"/>
          <w:szCs w:val="22"/>
          <w:lang w:val="es-ES"/>
        </w:rPr>
        <w:t xml:space="preserve">recibos de nómina </w:t>
      </w:r>
      <w:r w:rsidRPr="004F54F1" w:rsidR="0068052A">
        <w:rPr>
          <w:rFonts w:ascii="Palatino Linotype" w:hAnsi="Palatino Linotype" w:eastAsia="Calibri" w:cs="Tahoma"/>
          <w:iCs/>
          <w:sz w:val="22"/>
          <w:szCs w:val="22"/>
          <w:lang w:val="es-ES"/>
        </w:rPr>
        <w:t>de los servidores públicos del Ayuntamiento de Atizapán de Zaragoza, que ingresaron el primero de enero de dos mil veintidós.</w:t>
      </w:r>
    </w:p>
    <w:p w:rsidRPr="004F54F1" w:rsidR="009570C4" w:rsidP="008948DC" w:rsidRDefault="009570C4" w14:paraId="35E57D7D" w14:textId="77777777">
      <w:pPr>
        <w:tabs>
          <w:tab w:val="left" w:pos="4962"/>
        </w:tabs>
        <w:spacing w:line="360" w:lineRule="auto"/>
        <w:jc w:val="both"/>
        <w:rPr>
          <w:rFonts w:ascii="Palatino Linotype" w:hAnsi="Palatino Linotype" w:eastAsia="Calibri" w:cs="Tahoma"/>
          <w:iCs/>
          <w:sz w:val="22"/>
          <w:szCs w:val="22"/>
          <w:lang w:val="es-ES"/>
        </w:rPr>
      </w:pPr>
    </w:p>
    <w:p w:rsidRPr="004F54F1" w:rsidR="00D64BC8" w:rsidP="008948DC" w:rsidRDefault="00270AEE" w14:paraId="1867B83A" w14:textId="2D7D72C6">
      <w:pPr>
        <w:spacing w:line="360" w:lineRule="auto"/>
        <w:jc w:val="both"/>
        <w:rPr>
          <w:rFonts w:ascii="Palatino Linotype" w:hAnsi="Palatino Linotype" w:eastAsia="Calibri" w:cs="Tahoma"/>
          <w:bCs/>
          <w:iCs/>
          <w:color w:val="000000"/>
          <w:sz w:val="22"/>
        </w:rPr>
      </w:pPr>
      <w:r w:rsidRPr="004F54F1">
        <w:rPr>
          <w:rFonts w:ascii="Palatino Linotype" w:hAnsi="Palatino Linotype" w:eastAsia="Calibri" w:cs="Tahoma"/>
          <w:iCs/>
          <w:sz w:val="22"/>
          <w:szCs w:val="22"/>
          <w:lang w:val="es-ES"/>
        </w:rPr>
        <w:t>En respuesta, el Sujeto Obligado, proporcion</w:t>
      </w:r>
      <w:r w:rsidRPr="004F54F1" w:rsidR="00DF268E">
        <w:rPr>
          <w:rFonts w:ascii="Palatino Linotype" w:hAnsi="Palatino Linotype" w:eastAsia="Calibri" w:cs="Tahoma"/>
          <w:iCs/>
          <w:sz w:val="22"/>
          <w:szCs w:val="22"/>
          <w:lang w:val="es-ES"/>
        </w:rPr>
        <w:t>ó</w:t>
      </w:r>
      <w:r w:rsidRPr="004F54F1" w:rsidR="009B4C6D">
        <w:rPr>
          <w:rFonts w:ascii="Palatino Linotype" w:hAnsi="Palatino Linotype" w:eastAsia="Calibri" w:cs="Tahoma"/>
          <w:iCs/>
          <w:sz w:val="22"/>
          <w:szCs w:val="22"/>
          <w:lang w:val="es-ES"/>
        </w:rPr>
        <w:t xml:space="preserve"> </w:t>
      </w:r>
      <w:r w:rsidRPr="004F54F1" w:rsidR="009570C4">
        <w:rPr>
          <w:rFonts w:ascii="Palatino Linotype" w:hAnsi="Palatino Linotype" w:eastAsia="Calibri" w:cs="Tahoma"/>
          <w:iCs/>
          <w:sz w:val="22"/>
          <w:szCs w:val="22"/>
          <w:lang w:val="es-ES"/>
        </w:rPr>
        <w:t>mil setecientos cuarenta y cuatro</w:t>
      </w:r>
      <w:r w:rsidRPr="004F54F1" w:rsidR="009B4C6D">
        <w:rPr>
          <w:rFonts w:ascii="Palatino Linotype" w:hAnsi="Palatino Linotype" w:eastAsia="Calibri" w:cs="Tahoma"/>
          <w:iCs/>
          <w:sz w:val="22"/>
          <w:szCs w:val="22"/>
          <w:lang w:val="es-ES"/>
        </w:rPr>
        <w:t xml:space="preserve"> recib</w:t>
      </w:r>
      <w:r w:rsidRPr="004F54F1" w:rsidR="0068052A">
        <w:rPr>
          <w:rFonts w:ascii="Palatino Linotype" w:hAnsi="Palatino Linotype" w:eastAsia="Calibri" w:cs="Tahoma"/>
          <w:iCs/>
          <w:sz w:val="22"/>
          <w:szCs w:val="22"/>
          <w:lang w:val="es-ES"/>
        </w:rPr>
        <w:t>os de nómina;</w:t>
      </w:r>
      <w:r w:rsidRPr="004F54F1" w:rsidR="00DF268E">
        <w:rPr>
          <w:rFonts w:ascii="Palatino Linotype" w:hAnsi="Palatino Linotype" w:eastAsia="Calibri" w:cs="Tahoma"/>
          <w:sz w:val="22"/>
          <w:szCs w:val="22"/>
          <w:lang w:eastAsia="en-US"/>
        </w:rPr>
        <w:t xml:space="preserve"> ante dicha circunstancia</w:t>
      </w:r>
      <w:r w:rsidRPr="004F54F1" w:rsidR="00B925F6">
        <w:rPr>
          <w:rFonts w:ascii="Palatino Linotype" w:hAnsi="Palatino Linotype" w:eastAsia="Calibri" w:cs="Tahoma"/>
          <w:sz w:val="22"/>
          <w:szCs w:val="22"/>
          <w:lang w:eastAsia="en-US"/>
        </w:rPr>
        <w:t>, el Recurrente se inconform</w:t>
      </w:r>
      <w:r w:rsidRPr="004F54F1" w:rsidR="0068052A">
        <w:rPr>
          <w:rFonts w:ascii="Palatino Linotype" w:hAnsi="Palatino Linotype" w:eastAsia="Calibri" w:cs="Tahoma"/>
          <w:sz w:val="22"/>
          <w:szCs w:val="22"/>
          <w:lang w:eastAsia="en-US"/>
        </w:rPr>
        <w:t xml:space="preserve">ó, por la entrega de información incompleta, </w:t>
      </w:r>
      <w:r w:rsidRPr="004F54F1" w:rsidR="009570C4">
        <w:rPr>
          <w:rFonts w:ascii="Palatino Linotype" w:hAnsi="Palatino Linotype" w:eastAsia="Calibri" w:cs="Tahoma"/>
          <w:sz w:val="22"/>
          <w:szCs w:val="22"/>
          <w:lang w:eastAsia="en-US"/>
        </w:rPr>
        <w:t>al señalar que en algunos recibos no contaban con el dato de área de adscripción (departamento)</w:t>
      </w:r>
      <w:r w:rsidRPr="004F54F1" w:rsidR="0068052A">
        <w:rPr>
          <w:rFonts w:ascii="Palatino Linotype" w:hAnsi="Palatino Linotype" w:eastAsia="Calibri" w:cs="Tahoma"/>
          <w:sz w:val="22"/>
          <w:szCs w:val="22"/>
          <w:lang w:eastAsia="en-US"/>
        </w:rPr>
        <w:t xml:space="preserve">, </w:t>
      </w:r>
      <w:r w:rsidRPr="004F54F1" w:rsidR="00516BA9">
        <w:rPr>
          <w:rFonts w:ascii="Palatino Linotype" w:hAnsi="Palatino Linotype" w:eastAsia="Calibri" w:cs="Tahoma"/>
          <w:sz w:val="22"/>
          <w:szCs w:val="22"/>
          <w:lang w:eastAsia="en-US"/>
        </w:rPr>
        <w:t xml:space="preserve">circunstancia que acredita la causal </w:t>
      </w:r>
      <w:r w:rsidRPr="004F54F1" w:rsidR="000D1B14">
        <w:rPr>
          <w:rFonts w:ascii="Palatino Linotype" w:hAnsi="Palatino Linotype" w:eastAsia="Calibri" w:cs="Tahoma"/>
          <w:sz w:val="22"/>
          <w:szCs w:val="22"/>
          <w:lang w:eastAsia="en-US"/>
        </w:rPr>
        <w:t xml:space="preserve">de la fracción </w:t>
      </w:r>
      <w:r w:rsidRPr="004F54F1" w:rsidR="00EE535C">
        <w:rPr>
          <w:rFonts w:ascii="Palatino Linotype" w:hAnsi="Palatino Linotype" w:eastAsia="Calibri" w:cs="Tahoma"/>
          <w:sz w:val="22"/>
          <w:szCs w:val="22"/>
          <w:lang w:eastAsia="en-US"/>
        </w:rPr>
        <w:t>V del artículo 179 de la Ley de Transparencia y Acceso a la Información Pública del Estado de México y Municipios.</w:t>
      </w:r>
    </w:p>
    <w:p w:rsidRPr="004F54F1" w:rsidR="00DF268E" w:rsidP="008948DC" w:rsidRDefault="00DF268E" w14:paraId="3E468F22" w14:textId="33EDEAF6">
      <w:pPr>
        <w:tabs>
          <w:tab w:val="left" w:pos="4962"/>
        </w:tabs>
        <w:spacing w:line="360" w:lineRule="auto"/>
        <w:jc w:val="both"/>
        <w:rPr>
          <w:rFonts w:ascii="Palatino Linotype" w:hAnsi="Palatino Linotype" w:eastAsia="Calibri" w:cs="Tahoma"/>
          <w:sz w:val="22"/>
          <w:szCs w:val="22"/>
          <w:lang w:eastAsia="en-US"/>
        </w:rPr>
      </w:pPr>
    </w:p>
    <w:p w:rsidRPr="004F54F1" w:rsidR="008D3ECD" w:rsidP="008948DC" w:rsidRDefault="008D3ECD" w14:paraId="015A7E0C" w14:textId="0D396C5E">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t>Conforme a lo anterior, se logra vislumbrar que el ahora Recurrente no se agravió con los recibos de nómina entregados, sino</w:t>
      </w:r>
      <w:r w:rsidRPr="004F54F1" w:rsidR="00D64BC8">
        <w:rPr>
          <w:rFonts w:ascii="Palatino Linotype" w:hAnsi="Palatino Linotype"/>
          <w:color w:val="000000"/>
          <w:sz w:val="22"/>
          <w:szCs w:val="22"/>
          <w:lang w:eastAsia="es-ES_tradnl"/>
        </w:rPr>
        <w:t xml:space="preserve"> que</w:t>
      </w:r>
      <w:r w:rsidRPr="004F54F1">
        <w:rPr>
          <w:rFonts w:ascii="Palatino Linotype" w:hAnsi="Palatino Linotype"/>
          <w:color w:val="000000"/>
          <w:sz w:val="22"/>
          <w:szCs w:val="22"/>
          <w:lang w:eastAsia="es-ES_tradnl"/>
        </w:rPr>
        <w:t xml:space="preserve"> únicamente de la </w:t>
      </w:r>
      <w:r w:rsidRPr="004F54F1" w:rsidR="0068052A">
        <w:rPr>
          <w:rFonts w:ascii="Palatino Linotype" w:hAnsi="Palatino Linotype"/>
          <w:color w:val="000000"/>
          <w:sz w:val="22"/>
          <w:szCs w:val="22"/>
          <w:lang w:eastAsia="es-ES_tradnl"/>
        </w:rPr>
        <w:t>falta de área de adscripción en algunos de los recibos</w:t>
      </w:r>
      <w:r w:rsidRPr="004F54F1">
        <w:rPr>
          <w:rFonts w:ascii="Palatino Linotype" w:hAnsi="Palatino Linotype"/>
          <w:color w:val="000000"/>
          <w:sz w:val="22"/>
          <w:szCs w:val="22"/>
          <w:lang w:eastAsia="es-ES_tradnl"/>
        </w:rPr>
        <w:t>;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4F54F1">
        <w:rPr>
          <w:rFonts w:ascii="Palatino Linotype" w:hAnsi="Palatino Linotype"/>
          <w:b/>
          <w:bCs/>
          <w:color w:val="000000"/>
          <w:sz w:val="22"/>
          <w:szCs w:val="22"/>
          <w:lang w:eastAsia="es-ES_tradnl"/>
        </w:rPr>
        <w:t>los actos que se hayan consentido tácitamente,</w:t>
      </w:r>
      <w:r w:rsidRPr="004F54F1">
        <w:rPr>
          <w:rFonts w:ascii="Palatino Linotype" w:hAnsi="Palatino Linotype"/>
          <w:color w:val="000000"/>
          <w:sz w:val="22"/>
          <w:szCs w:val="22"/>
          <w:lang w:eastAsia="es-ES_tradnl"/>
        </w:rPr>
        <w:t> entendiéndose por estos cuando el agravio no se haya promovido en el plazo señalado para el efecto.</w:t>
      </w:r>
    </w:p>
    <w:p w:rsidRPr="004F54F1" w:rsidR="008D3ECD" w:rsidP="008948DC" w:rsidRDefault="008D3ECD" w14:paraId="07A24FBB" w14:textId="77777777">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t> </w:t>
      </w:r>
    </w:p>
    <w:p w:rsidRPr="004F54F1" w:rsidR="008D3ECD" w:rsidP="008948DC" w:rsidRDefault="008D3ECD" w14:paraId="78D96357" w14:textId="77777777">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t>De la misma manera resulta aplicable el criterio sostenido por el Poder Judicial de la Federación de rubro </w:t>
      </w:r>
      <w:r w:rsidRPr="004F54F1">
        <w:rPr>
          <w:rFonts w:ascii="Palatino Linotype" w:hAnsi="Palatino Linotype"/>
          <w:b/>
          <w:bCs/>
          <w:color w:val="000000"/>
          <w:sz w:val="22"/>
          <w:szCs w:val="22"/>
          <w:lang w:eastAsia="es-ES_tradnl"/>
        </w:rPr>
        <w:t>ACTOS CONSENTIDOS TÁCITAMENTE</w:t>
      </w:r>
      <w:r w:rsidRPr="004F54F1">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4F54F1" w:rsidR="008D3ECD" w:rsidP="008948DC" w:rsidRDefault="008D3ECD" w14:paraId="0F5C5FCF" w14:textId="1B476DD1">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lastRenderedPageBreak/>
        <w:t> 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4F54F1" w:rsidR="008D3ECD" w:rsidP="008948DC" w:rsidRDefault="008D3ECD" w14:paraId="65D44723" w14:textId="77777777">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t> </w:t>
      </w:r>
    </w:p>
    <w:p w:rsidRPr="004F54F1" w:rsidR="008D3ECD" w:rsidP="008948DC" w:rsidRDefault="008D3ECD" w14:paraId="1BB9F9BC" w14:textId="77777777">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Pr="004F54F1" w:rsidR="008D3ECD" w:rsidP="008948DC" w:rsidRDefault="008D3ECD" w14:paraId="48AE69FA" w14:textId="77777777">
      <w:pPr>
        <w:spacing w:line="360" w:lineRule="auto"/>
        <w:jc w:val="both"/>
        <w:rPr>
          <w:rFonts w:ascii="Palatino Linotype" w:hAnsi="Palatino Linotype"/>
          <w:color w:val="000000"/>
          <w:sz w:val="22"/>
          <w:szCs w:val="22"/>
          <w:lang w:eastAsia="es-ES_tradnl"/>
        </w:rPr>
      </w:pPr>
      <w:r w:rsidRPr="004F54F1">
        <w:rPr>
          <w:rFonts w:ascii="Palatino Linotype" w:hAnsi="Palatino Linotype"/>
          <w:color w:val="000000"/>
          <w:sz w:val="22"/>
          <w:szCs w:val="22"/>
          <w:lang w:eastAsia="es-ES_tradnl"/>
        </w:rPr>
        <w:t> </w:t>
      </w:r>
    </w:p>
    <w:p w:rsidRPr="004F54F1" w:rsidR="008D3ECD" w:rsidP="008948DC" w:rsidRDefault="008D3ECD" w14:paraId="66247D00" w14:textId="1C122645">
      <w:pPr>
        <w:spacing w:line="360" w:lineRule="auto"/>
        <w:ind w:left="567" w:right="567"/>
        <w:jc w:val="both"/>
        <w:rPr>
          <w:rFonts w:ascii="Palatino Linotype" w:hAnsi="Palatino Linotype"/>
          <w:i/>
          <w:iCs/>
          <w:color w:val="000000"/>
          <w:lang w:eastAsia="es-ES_tradnl"/>
        </w:rPr>
      </w:pPr>
      <w:r w:rsidRPr="004F54F1">
        <w:rPr>
          <w:rFonts w:ascii="Palatino Linotype" w:hAnsi="Palatino Linotype"/>
          <w:b/>
          <w:bCs/>
          <w:i/>
          <w:iCs/>
          <w:color w:val="000000"/>
          <w:lang w:eastAsia="es-ES_tradnl"/>
        </w:rPr>
        <w:t>“Actos consentidos tácitamente. Improcedencia de su análisis. </w:t>
      </w:r>
      <w:r w:rsidRPr="004F54F1">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4F54F1" w:rsidR="00B6184C" w:rsidP="008948DC" w:rsidRDefault="00B6184C" w14:paraId="7F52E461" w14:textId="77777777">
      <w:pPr>
        <w:spacing w:line="360" w:lineRule="auto"/>
        <w:ind w:left="567" w:right="567"/>
        <w:jc w:val="both"/>
        <w:rPr>
          <w:rFonts w:ascii="Palatino Linotype" w:hAnsi="Palatino Linotype"/>
          <w:color w:val="000000"/>
          <w:sz w:val="22"/>
          <w:szCs w:val="22"/>
          <w:lang w:eastAsia="es-ES_tradnl"/>
        </w:rPr>
      </w:pPr>
    </w:p>
    <w:p w:rsidRPr="004F54F1" w:rsidR="00542B40" w:rsidP="008948DC" w:rsidRDefault="008D3ECD" w14:paraId="2DD128BD" w14:textId="51D0098C">
      <w:pPr>
        <w:spacing w:line="360" w:lineRule="auto"/>
        <w:jc w:val="both"/>
        <w:rPr>
          <w:rFonts w:ascii="Palatino Linotype" w:hAnsi="Palatino Linotype" w:eastAsia="Calibri" w:cs="Tahoma"/>
          <w:bCs/>
          <w:iCs/>
          <w:color w:val="000000"/>
          <w:sz w:val="22"/>
        </w:rPr>
      </w:pPr>
      <w:r w:rsidRPr="004F54F1">
        <w:rPr>
          <w:rFonts w:ascii="Palatino Linotype" w:hAnsi="Palatino Linotype"/>
          <w:color w:val="000000"/>
          <w:sz w:val="22"/>
          <w:szCs w:val="22"/>
          <w:lang w:eastAsia="es-ES_tradnl"/>
        </w:rPr>
        <w:t>Conforme al Criterio establecido, es improcedente entrar al análisis de las partes de la respuesta del Sujeto Obligado que no fueron impugnadas por el Recurrente; por lo que, en el presente caso, se tiene por consentid</w:t>
      </w:r>
      <w:r w:rsidRPr="004F54F1" w:rsidR="00D64BC8">
        <w:rPr>
          <w:rFonts w:ascii="Palatino Linotype" w:hAnsi="Palatino Linotype"/>
          <w:color w:val="000000"/>
          <w:sz w:val="22"/>
          <w:szCs w:val="22"/>
          <w:lang w:eastAsia="es-ES_tradnl"/>
        </w:rPr>
        <w:t>o</w:t>
      </w:r>
      <w:r w:rsidRPr="004F54F1">
        <w:rPr>
          <w:rFonts w:ascii="Palatino Linotype" w:hAnsi="Palatino Linotype"/>
          <w:color w:val="000000"/>
          <w:sz w:val="22"/>
          <w:szCs w:val="22"/>
          <w:lang w:eastAsia="es-ES_tradnl"/>
        </w:rPr>
        <w:t xml:space="preserve"> </w:t>
      </w:r>
      <w:r w:rsidRPr="004F54F1" w:rsidR="00D64BC8">
        <w:rPr>
          <w:rFonts w:ascii="Palatino Linotype" w:hAnsi="Palatino Linotype"/>
          <w:color w:val="000000"/>
          <w:sz w:val="22"/>
          <w:szCs w:val="22"/>
          <w:lang w:eastAsia="es-ES_tradnl"/>
        </w:rPr>
        <w:t>la entrega de mil setecientos cuarenta y cuatro recibos y únicamente se entrará al análisis del contenido de estos.</w:t>
      </w:r>
      <w:r w:rsidRPr="004F54F1" w:rsidR="0068052A">
        <w:rPr>
          <w:rFonts w:ascii="Palatino Linotype" w:hAnsi="Palatino Linotype"/>
          <w:color w:val="000000"/>
          <w:sz w:val="22"/>
          <w:szCs w:val="22"/>
          <w:lang w:eastAsia="es-ES_tradnl"/>
        </w:rPr>
        <w:t xml:space="preserve"> </w:t>
      </w:r>
      <w:r w:rsidRPr="004F54F1" w:rsidR="00D64BC8">
        <w:rPr>
          <w:rFonts w:ascii="Palatino Linotype" w:hAnsi="Palatino Linotype" w:eastAsia="Calibri" w:cs="Tahoma"/>
          <w:bCs/>
          <w:iCs/>
          <w:color w:val="000000"/>
          <w:sz w:val="22"/>
        </w:rPr>
        <w:t>Así las cosas, una vez interpuestos y notificado el Recurso de Revisión a las partes, el Sujeto Obligado, ratificó su respuesta.</w:t>
      </w:r>
    </w:p>
    <w:p w:rsidRPr="004F54F1" w:rsidR="00D64BC8" w:rsidP="008948DC" w:rsidRDefault="00D64BC8" w14:paraId="350B0E89" w14:textId="77777777">
      <w:pPr>
        <w:spacing w:line="360" w:lineRule="auto"/>
        <w:jc w:val="both"/>
        <w:rPr>
          <w:rFonts w:ascii="Palatino Linotype" w:hAnsi="Palatino Linotype" w:cs="Tahoma"/>
          <w:bCs/>
          <w:iCs/>
          <w:color w:val="000000"/>
          <w:sz w:val="22"/>
          <w:szCs w:val="22"/>
        </w:rPr>
      </w:pPr>
    </w:p>
    <w:p w:rsidRPr="004F54F1" w:rsidR="00542B40" w:rsidP="008948DC" w:rsidRDefault="00542B40" w14:paraId="4C149494" w14:textId="455022E4">
      <w:pPr>
        <w:spacing w:line="360" w:lineRule="auto"/>
        <w:jc w:val="both"/>
        <w:rPr>
          <w:rFonts w:ascii="Palatino Linotype" w:hAnsi="Palatino Linotype" w:cs="Tahoma"/>
          <w:bCs/>
          <w:iCs/>
          <w:color w:val="000000"/>
          <w:sz w:val="22"/>
          <w:szCs w:val="22"/>
        </w:rPr>
      </w:pPr>
      <w:r w:rsidRPr="004F54F1">
        <w:rPr>
          <w:rFonts w:ascii="Palatino Linotype" w:hAnsi="Palatino Linotype" w:cs="Tahoma"/>
          <w:bCs/>
          <w:iCs/>
          <w:color w:val="000000"/>
          <w:sz w:val="22"/>
          <w:szCs w:val="22"/>
        </w:rPr>
        <w:t xml:space="preserve">Lo anterior, se desprende de las documentales que obran en el expediente de referencia, materia de la presente resolución, consistente en: </w:t>
      </w:r>
      <w:r w:rsidRPr="004F54F1" w:rsidR="00D44441">
        <w:rPr>
          <w:rFonts w:ascii="Palatino Linotype" w:hAnsi="Palatino Linotype" w:cs="Tahoma"/>
          <w:bCs/>
          <w:iCs/>
          <w:color w:val="000000"/>
          <w:sz w:val="22"/>
          <w:szCs w:val="22"/>
        </w:rPr>
        <w:t xml:space="preserve">la solicitud de información, </w:t>
      </w:r>
      <w:r w:rsidRPr="004F54F1" w:rsidR="006F4074">
        <w:rPr>
          <w:rFonts w:ascii="Palatino Linotype" w:hAnsi="Palatino Linotype" w:cs="Tahoma"/>
          <w:bCs/>
          <w:iCs/>
          <w:color w:val="000000"/>
          <w:sz w:val="22"/>
          <w:szCs w:val="22"/>
        </w:rPr>
        <w:t xml:space="preserve">la respuesta </w:t>
      </w:r>
      <w:r w:rsidRPr="004F54F1" w:rsidR="000D6A83">
        <w:rPr>
          <w:rFonts w:ascii="Palatino Linotype" w:hAnsi="Palatino Linotype" w:cs="Tahoma"/>
          <w:bCs/>
          <w:iCs/>
          <w:color w:val="000000"/>
          <w:sz w:val="22"/>
          <w:szCs w:val="22"/>
        </w:rPr>
        <w:t>del Ente Recurrido</w:t>
      </w:r>
      <w:r w:rsidRPr="004F54F1" w:rsidR="006F4074">
        <w:rPr>
          <w:rFonts w:ascii="Palatino Linotype" w:hAnsi="Palatino Linotype" w:cs="Tahoma"/>
          <w:bCs/>
          <w:iCs/>
          <w:color w:val="000000"/>
          <w:sz w:val="22"/>
          <w:szCs w:val="22"/>
        </w:rPr>
        <w:t xml:space="preserve">, el escrito recursal y el informe justificado presentado por el Sujeto </w:t>
      </w:r>
      <w:r w:rsidRPr="004F54F1" w:rsidR="00744F45">
        <w:rPr>
          <w:rFonts w:ascii="Palatino Linotype" w:hAnsi="Palatino Linotype" w:cs="Tahoma"/>
          <w:bCs/>
          <w:iCs/>
          <w:color w:val="000000"/>
          <w:sz w:val="22"/>
          <w:szCs w:val="22"/>
        </w:rPr>
        <w:t>Obligado instrumentales</w:t>
      </w:r>
      <w:r w:rsidRPr="004F54F1">
        <w:rPr>
          <w:rFonts w:ascii="Palatino Linotype" w:hAnsi="Palatino Linotype" w:cs="Tahoma"/>
          <w:bCs/>
          <w:iCs/>
          <w:color w:val="000000"/>
          <w:sz w:val="22"/>
          <w:szCs w:val="22"/>
        </w:rPr>
        <w:t xml:space="preserve"> que se toman en cuenta a efecto de resolver el presente medio de impugnación, conforme a lo dispuesto por el artículo 185, fracción IV, de la Ley de Transparencia y Acceso a la Información Pública del Estado de México y Municipios.</w:t>
      </w:r>
    </w:p>
    <w:p w:rsidRPr="004F54F1" w:rsidR="00A4234F" w:rsidP="008948DC" w:rsidRDefault="00A4234F" w14:paraId="53FC2524" w14:textId="77777777">
      <w:pPr>
        <w:spacing w:line="360" w:lineRule="auto"/>
        <w:jc w:val="both"/>
        <w:rPr>
          <w:rFonts w:ascii="Palatino Linotype" w:hAnsi="Palatino Linotype" w:cs="Tahoma"/>
          <w:b/>
          <w:sz w:val="22"/>
          <w:szCs w:val="22"/>
        </w:rPr>
      </w:pPr>
      <w:r w:rsidRPr="004F54F1">
        <w:rPr>
          <w:rFonts w:ascii="Palatino Linotype" w:hAnsi="Palatino Linotype" w:cs="Tahoma"/>
          <w:b/>
          <w:sz w:val="22"/>
          <w:szCs w:val="22"/>
        </w:rPr>
        <w:lastRenderedPageBreak/>
        <w:t>CUARTO. Marco normativo aplicable en materia de transparencia y acceso a la información pública.</w:t>
      </w:r>
    </w:p>
    <w:p w:rsidRPr="004F54F1" w:rsidR="00A4234F" w:rsidP="008948DC" w:rsidRDefault="00A4234F" w14:paraId="0B29CA98" w14:textId="77777777">
      <w:pPr>
        <w:spacing w:line="360" w:lineRule="auto"/>
        <w:jc w:val="both"/>
        <w:rPr>
          <w:rFonts w:ascii="Palatino Linotype" w:hAnsi="Palatino Linotype" w:cs="Tahoma"/>
          <w:b/>
          <w:sz w:val="22"/>
          <w:szCs w:val="22"/>
        </w:rPr>
      </w:pPr>
    </w:p>
    <w:p w:rsidRPr="004F54F1" w:rsidR="00A4234F" w:rsidP="008948DC" w:rsidRDefault="00A4234F" w14:paraId="5D4DEE00" w14:textId="77777777">
      <w:pPr>
        <w:widowControl w:val="0"/>
        <w:spacing w:line="360" w:lineRule="auto"/>
        <w:contextualSpacing/>
        <w:jc w:val="both"/>
        <w:rPr>
          <w:rFonts w:ascii="Palatino Linotype" w:hAnsi="Palatino Linotype" w:cs="Tahoma"/>
          <w:sz w:val="22"/>
          <w:szCs w:val="22"/>
        </w:rPr>
      </w:pPr>
      <w:r w:rsidRPr="004F54F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F54F1" w:rsidR="00A4234F" w:rsidP="008948DC" w:rsidRDefault="00A4234F" w14:paraId="11B06C77" w14:textId="2A1049BC">
      <w:pPr>
        <w:spacing w:line="360" w:lineRule="auto"/>
        <w:contextualSpacing/>
        <w:jc w:val="both"/>
        <w:rPr>
          <w:rFonts w:ascii="Palatino Linotype" w:hAnsi="Palatino Linotype" w:cs="Tahoma"/>
          <w:sz w:val="22"/>
          <w:szCs w:val="22"/>
        </w:rPr>
      </w:pPr>
    </w:p>
    <w:p w:rsidRPr="004F54F1" w:rsidR="00A4234F" w:rsidP="008948DC" w:rsidRDefault="00A4234F" w14:paraId="383DCB60" w14:textId="77777777">
      <w:pPr>
        <w:widowControl w:val="0"/>
        <w:spacing w:line="360" w:lineRule="auto"/>
        <w:jc w:val="both"/>
        <w:rPr>
          <w:rFonts w:ascii="Palatino Linotype" w:hAnsi="Palatino Linotype" w:cs="Tahoma"/>
          <w:sz w:val="22"/>
          <w:szCs w:val="22"/>
        </w:rPr>
      </w:pPr>
      <w:r w:rsidRPr="004F54F1">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F54F1" w:rsidR="00A4234F" w:rsidP="008948DC" w:rsidRDefault="00A4234F" w14:paraId="35AFF9EB" w14:textId="77777777">
      <w:pPr>
        <w:spacing w:line="360" w:lineRule="auto"/>
        <w:jc w:val="both"/>
        <w:rPr>
          <w:rFonts w:ascii="Palatino Linotype" w:hAnsi="Palatino Linotype" w:cs="Tahoma"/>
          <w:sz w:val="22"/>
          <w:szCs w:val="22"/>
        </w:rPr>
      </w:pPr>
    </w:p>
    <w:p w:rsidRPr="004F54F1" w:rsidR="00A4234F" w:rsidP="008948DC" w:rsidRDefault="00A4234F" w14:paraId="3B137042" w14:textId="77777777">
      <w:pPr>
        <w:spacing w:line="360" w:lineRule="auto"/>
        <w:contextualSpacing/>
        <w:jc w:val="both"/>
        <w:rPr>
          <w:rFonts w:ascii="Palatino Linotype" w:hAnsi="Palatino Linotype" w:cs="Tahoma"/>
          <w:sz w:val="22"/>
          <w:szCs w:val="22"/>
        </w:rPr>
      </w:pPr>
      <w:r w:rsidRPr="004F54F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4F54F1" w:rsidR="00A4234F" w:rsidP="008948DC" w:rsidRDefault="00A4234F" w14:paraId="73C65D2E" w14:textId="77777777">
      <w:pPr>
        <w:spacing w:line="360" w:lineRule="auto"/>
        <w:jc w:val="both"/>
        <w:rPr>
          <w:rFonts w:ascii="Palatino Linotype" w:hAnsi="Palatino Linotype" w:cs="Tahoma"/>
          <w:sz w:val="22"/>
          <w:szCs w:val="22"/>
        </w:rPr>
      </w:pPr>
    </w:p>
    <w:p w:rsidRPr="004F54F1" w:rsidR="00A4234F" w:rsidP="008948DC" w:rsidRDefault="00A4234F" w14:paraId="1BF1994F" w14:textId="77777777">
      <w:pPr>
        <w:spacing w:line="360" w:lineRule="auto"/>
        <w:jc w:val="both"/>
        <w:rPr>
          <w:rFonts w:ascii="Palatino Linotype" w:hAnsi="Palatino Linotype" w:cs="Tahoma"/>
          <w:sz w:val="22"/>
          <w:szCs w:val="22"/>
        </w:rPr>
      </w:pPr>
      <w:r w:rsidRPr="004F54F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F54F1" w:rsidR="00A4234F" w:rsidP="008948DC" w:rsidRDefault="00A4234F" w14:paraId="1E933F3F" w14:textId="77777777">
      <w:pPr>
        <w:spacing w:line="360" w:lineRule="auto"/>
        <w:jc w:val="both"/>
        <w:rPr>
          <w:rFonts w:ascii="Palatino Linotype" w:hAnsi="Palatino Linotype" w:cs="Tahoma"/>
          <w:sz w:val="22"/>
          <w:szCs w:val="22"/>
        </w:rPr>
      </w:pPr>
    </w:p>
    <w:p w:rsidRPr="004F54F1" w:rsidR="00A4234F" w:rsidP="008948DC" w:rsidRDefault="00A4234F" w14:paraId="11EE1BAC" w14:textId="77777777">
      <w:pPr>
        <w:spacing w:line="360" w:lineRule="auto"/>
        <w:jc w:val="both"/>
        <w:rPr>
          <w:rFonts w:ascii="Palatino Linotype" w:hAnsi="Palatino Linotype" w:cs="Tahoma"/>
          <w:sz w:val="22"/>
          <w:szCs w:val="22"/>
        </w:rPr>
      </w:pPr>
      <w:r w:rsidRPr="004F54F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4F54F1" w:rsidR="00A4234F" w:rsidP="008948DC" w:rsidRDefault="00A4234F" w14:paraId="76A84968" w14:textId="7CAFA1C1">
      <w:pPr>
        <w:spacing w:line="360" w:lineRule="auto"/>
        <w:jc w:val="both"/>
        <w:rPr>
          <w:rFonts w:ascii="Palatino Linotype" w:hAnsi="Palatino Linotype" w:cs="Tahoma"/>
          <w:sz w:val="22"/>
          <w:szCs w:val="22"/>
        </w:rPr>
      </w:pPr>
    </w:p>
    <w:p w:rsidRPr="004F54F1" w:rsidR="008129FF" w:rsidP="008948DC" w:rsidRDefault="008129FF" w14:paraId="78DD5E3A" w14:textId="77777777">
      <w:pPr>
        <w:spacing w:line="360" w:lineRule="auto"/>
        <w:jc w:val="both"/>
        <w:rPr>
          <w:rFonts w:ascii="Palatino Linotype" w:hAnsi="Palatino Linotype" w:cs="Tahoma"/>
          <w:sz w:val="22"/>
          <w:szCs w:val="22"/>
        </w:rPr>
      </w:pPr>
    </w:p>
    <w:p w:rsidRPr="004F54F1" w:rsidR="00A4234F" w:rsidP="008948DC" w:rsidRDefault="00A4234F" w14:paraId="31151644" w14:textId="77777777">
      <w:pPr>
        <w:spacing w:line="360" w:lineRule="auto"/>
        <w:jc w:val="both"/>
        <w:rPr>
          <w:rFonts w:ascii="Palatino Linotype" w:hAnsi="Palatino Linotype" w:cs="Tahoma"/>
          <w:sz w:val="22"/>
          <w:szCs w:val="22"/>
        </w:rPr>
      </w:pPr>
      <w:r w:rsidRPr="004F54F1">
        <w:rPr>
          <w:rFonts w:ascii="Palatino Linotype" w:hAnsi="Palatino Linotype" w:cs="Tahoma"/>
          <w:sz w:val="22"/>
          <w:szCs w:val="22"/>
        </w:rPr>
        <w:t>El artículo 12, que, quienes generen, recopilen, administren, manejen, procesen, archiven o conserven información pública serán responsables de la misma.</w:t>
      </w:r>
    </w:p>
    <w:p w:rsidRPr="004F54F1" w:rsidR="00A4234F" w:rsidP="008948DC" w:rsidRDefault="00A4234F" w14:paraId="1103EF5F" w14:textId="77777777">
      <w:pPr>
        <w:spacing w:line="360" w:lineRule="auto"/>
        <w:jc w:val="both"/>
        <w:rPr>
          <w:rFonts w:ascii="Palatino Linotype" w:hAnsi="Palatino Linotype" w:cs="Tahoma"/>
          <w:sz w:val="22"/>
          <w:szCs w:val="22"/>
        </w:rPr>
      </w:pPr>
    </w:p>
    <w:p w:rsidRPr="004F54F1" w:rsidR="00A4234F" w:rsidP="008948DC" w:rsidRDefault="00A4234F" w14:paraId="5F02B99F" w14:textId="77777777">
      <w:pPr>
        <w:widowControl w:val="0"/>
        <w:spacing w:line="360" w:lineRule="auto"/>
        <w:jc w:val="both"/>
        <w:rPr>
          <w:rFonts w:ascii="Palatino Linotype" w:hAnsi="Palatino Linotype" w:cs="Tahoma"/>
          <w:sz w:val="22"/>
          <w:szCs w:val="22"/>
        </w:rPr>
      </w:pPr>
      <w:r w:rsidRPr="004F54F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4F54F1" w:rsidR="00B6184C" w:rsidP="008948DC" w:rsidRDefault="00B6184C" w14:paraId="5E3BF17A" w14:textId="77777777">
      <w:pPr>
        <w:spacing w:line="360" w:lineRule="auto"/>
        <w:jc w:val="both"/>
        <w:rPr>
          <w:rFonts w:ascii="Palatino Linotype" w:hAnsi="Palatino Linotype" w:cs="Tahoma"/>
          <w:sz w:val="22"/>
          <w:szCs w:val="22"/>
        </w:rPr>
      </w:pPr>
    </w:p>
    <w:p w:rsidRPr="004F54F1" w:rsidR="00A4234F" w:rsidP="008948DC" w:rsidRDefault="00A4234F" w14:paraId="0C55BA30" w14:textId="77777777">
      <w:pPr>
        <w:spacing w:line="360" w:lineRule="auto"/>
        <w:jc w:val="both"/>
        <w:rPr>
          <w:rFonts w:ascii="Palatino Linotype" w:hAnsi="Palatino Linotype" w:cs="Tahoma"/>
          <w:sz w:val="22"/>
          <w:szCs w:val="22"/>
        </w:rPr>
      </w:pPr>
      <w:r w:rsidRPr="004F54F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F54F1" w:rsidR="00A4234F" w:rsidP="008948DC" w:rsidRDefault="00A4234F" w14:paraId="4FD48932" w14:textId="77777777">
      <w:pPr>
        <w:spacing w:line="360" w:lineRule="auto"/>
        <w:jc w:val="both"/>
        <w:rPr>
          <w:rFonts w:ascii="Palatino Linotype" w:hAnsi="Palatino Linotype" w:eastAsia="Calibri" w:cs="Tahoma"/>
          <w:b/>
          <w:bCs/>
          <w:sz w:val="22"/>
          <w:szCs w:val="22"/>
          <w:lang w:eastAsia="en-US"/>
        </w:rPr>
      </w:pPr>
    </w:p>
    <w:p w:rsidRPr="004F54F1" w:rsidR="00A4234F" w:rsidP="008948DC" w:rsidRDefault="00A4234F" w14:paraId="27A02120" w14:textId="77777777">
      <w:pPr>
        <w:spacing w:line="360" w:lineRule="auto"/>
        <w:jc w:val="both"/>
        <w:rPr>
          <w:rFonts w:ascii="Palatino Linotype" w:hAnsi="Palatino Linotype" w:cs="Tahoma"/>
          <w:sz w:val="22"/>
          <w:szCs w:val="22"/>
        </w:rPr>
      </w:pPr>
      <w:r w:rsidRPr="004F54F1">
        <w:rPr>
          <w:rFonts w:ascii="Palatino Linotype" w:hAnsi="Palatino Linotype" w:cs="Tahoma"/>
          <w:sz w:val="22"/>
          <w:szCs w:val="22"/>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rsidRPr="004F54F1" w:rsidR="00A4234F" w:rsidP="008948DC" w:rsidRDefault="00A4234F" w14:paraId="452399EC" w14:textId="77777777">
      <w:pPr>
        <w:spacing w:line="360" w:lineRule="auto"/>
        <w:jc w:val="both"/>
        <w:rPr>
          <w:rFonts w:ascii="Palatino Linotype" w:hAnsi="Palatino Linotype" w:cs="Tahoma"/>
          <w:sz w:val="22"/>
          <w:szCs w:val="22"/>
        </w:rPr>
      </w:pPr>
    </w:p>
    <w:p w:rsidRPr="004F54F1" w:rsidR="00A4234F" w:rsidP="008948DC" w:rsidRDefault="00A4234F" w14:paraId="01D4CFA6" w14:textId="77777777">
      <w:pPr>
        <w:spacing w:line="360" w:lineRule="auto"/>
        <w:jc w:val="both"/>
        <w:rPr>
          <w:rFonts w:ascii="Palatino Linotype" w:hAnsi="Palatino Linotype" w:cs="Tahoma"/>
          <w:b/>
          <w:sz w:val="22"/>
          <w:szCs w:val="22"/>
        </w:rPr>
      </w:pPr>
      <w:r w:rsidRPr="004F54F1">
        <w:rPr>
          <w:rFonts w:ascii="Palatino Linotype" w:hAnsi="Palatino Linotype" w:cs="Tahoma"/>
          <w:b/>
          <w:sz w:val="22"/>
          <w:szCs w:val="22"/>
        </w:rPr>
        <w:t>QUINTO. Estudio de Fondo.</w:t>
      </w:r>
    </w:p>
    <w:p w:rsidRPr="004F54F1" w:rsidR="00A4234F" w:rsidP="008948DC" w:rsidRDefault="00A4234F" w14:paraId="5C2ECFC5" w14:textId="77777777">
      <w:pPr>
        <w:spacing w:line="360" w:lineRule="auto"/>
        <w:jc w:val="both"/>
        <w:rPr>
          <w:rFonts w:ascii="Palatino Linotype" w:hAnsi="Palatino Linotype" w:eastAsia="Calibri" w:cs="Tahoma"/>
          <w:sz w:val="22"/>
          <w:szCs w:val="22"/>
          <w:lang w:eastAsia="en-US"/>
        </w:rPr>
      </w:pPr>
    </w:p>
    <w:p w:rsidRPr="004F54F1" w:rsidR="00254DAB" w:rsidP="008948DC" w:rsidRDefault="00644A5F" w14:paraId="5B8571EC" w14:textId="02867E80">
      <w:pPr>
        <w:spacing w:line="360" w:lineRule="auto"/>
        <w:jc w:val="both"/>
        <w:rPr>
          <w:rFonts w:ascii="Palatino Linotype" w:hAnsi="Palatino Linotype" w:cs="Tahoma"/>
          <w:bCs/>
          <w:iCs/>
          <w:sz w:val="22"/>
          <w:szCs w:val="22"/>
        </w:rPr>
      </w:pPr>
      <w:r w:rsidRPr="004F54F1">
        <w:rPr>
          <w:rFonts w:ascii="Palatino Linotype" w:hAnsi="Palatino Linotype" w:cs="Tahoma"/>
          <w:bCs/>
          <w:iCs/>
          <w:sz w:val="22"/>
          <w:szCs w:val="22"/>
        </w:rPr>
        <w:t xml:space="preserve">Expuestas las posturas de las partes, se procede al análisis del agravio hecho valer por el ahora Recurrente, concerniente </w:t>
      </w:r>
      <w:r w:rsidRPr="004F54F1" w:rsidR="008D3ECD">
        <w:rPr>
          <w:rFonts w:ascii="Palatino Linotype" w:hAnsi="Palatino Linotype" w:cs="Tahoma"/>
          <w:bCs/>
          <w:iCs/>
          <w:sz w:val="22"/>
          <w:szCs w:val="22"/>
        </w:rPr>
        <w:t xml:space="preserve">a la </w:t>
      </w:r>
      <w:r w:rsidRPr="004F54F1" w:rsidR="00DE3CED">
        <w:rPr>
          <w:rFonts w:ascii="Palatino Linotype" w:hAnsi="Palatino Linotype" w:cs="Tahoma"/>
          <w:bCs/>
          <w:iCs/>
          <w:sz w:val="22"/>
          <w:szCs w:val="22"/>
        </w:rPr>
        <w:t xml:space="preserve">falta de área de adscripción en algunos de </w:t>
      </w:r>
      <w:r w:rsidRPr="004F54F1" w:rsidR="008D3ECD">
        <w:rPr>
          <w:rFonts w:ascii="Palatino Linotype" w:hAnsi="Palatino Linotype" w:cs="Tahoma"/>
          <w:bCs/>
          <w:iCs/>
          <w:sz w:val="22"/>
          <w:szCs w:val="22"/>
        </w:rPr>
        <w:t xml:space="preserve">los recibos de nómina </w:t>
      </w:r>
      <w:r w:rsidRPr="004F54F1" w:rsidR="00DE3CED">
        <w:rPr>
          <w:rFonts w:ascii="Palatino Linotype" w:hAnsi="Palatino Linotype" w:cs="Tahoma"/>
          <w:bCs/>
          <w:iCs/>
          <w:sz w:val="22"/>
          <w:szCs w:val="22"/>
        </w:rPr>
        <w:t>entregados</w:t>
      </w:r>
      <w:r w:rsidRPr="004F54F1" w:rsidR="008129FF">
        <w:rPr>
          <w:rFonts w:ascii="Palatino Linotype" w:hAnsi="Palatino Linotype" w:cs="Tahoma"/>
          <w:bCs/>
          <w:iCs/>
          <w:sz w:val="22"/>
          <w:szCs w:val="22"/>
        </w:rPr>
        <w:t>.</w:t>
      </w:r>
      <w:r w:rsidRPr="004F54F1" w:rsidR="00DE3CED">
        <w:rPr>
          <w:rFonts w:ascii="Palatino Linotype" w:hAnsi="Palatino Linotype" w:cs="Tahoma"/>
          <w:bCs/>
          <w:iCs/>
          <w:sz w:val="22"/>
          <w:szCs w:val="22"/>
        </w:rPr>
        <w:t xml:space="preserve"> </w:t>
      </w:r>
    </w:p>
    <w:p w:rsidRPr="004F54F1" w:rsidR="00254DAB" w:rsidP="008948DC" w:rsidRDefault="00254DAB" w14:paraId="55C98D21" w14:textId="77777777">
      <w:pPr>
        <w:spacing w:line="360" w:lineRule="auto"/>
        <w:jc w:val="both"/>
        <w:rPr>
          <w:rFonts w:ascii="Palatino Linotype" w:hAnsi="Palatino Linotype" w:cs="Tahoma"/>
          <w:bCs/>
          <w:iCs/>
          <w:sz w:val="22"/>
          <w:szCs w:val="22"/>
        </w:rPr>
      </w:pPr>
    </w:p>
    <w:p w:rsidRPr="004F54F1" w:rsidR="00F60E31" w:rsidP="008948DC" w:rsidRDefault="00F60E31" w14:paraId="19E14A7E" w14:textId="77777777">
      <w:pPr>
        <w:spacing w:line="360" w:lineRule="auto"/>
        <w:jc w:val="both"/>
        <w:rPr>
          <w:rFonts w:ascii="Palatino Linotype" w:hAnsi="Palatino Linotype" w:eastAsia="Calibri"/>
          <w:bCs/>
          <w:color w:val="000000"/>
          <w:sz w:val="22"/>
          <w:szCs w:val="22"/>
          <w:lang w:eastAsia="en-US"/>
        </w:rPr>
      </w:pPr>
      <w:r w:rsidRPr="004F54F1">
        <w:rPr>
          <w:rFonts w:ascii="Palatino Linotype" w:hAnsi="Palatino Linotype" w:eastAsia="Calibri"/>
          <w:bCs/>
          <w:color w:val="000000"/>
          <w:sz w:val="22"/>
          <w:szCs w:val="22"/>
          <w:lang w:val="es-ES" w:eastAsia="en-US"/>
        </w:rPr>
        <w:t>Sobre el tema, en principio, es necesario</w:t>
      </w:r>
      <w:r w:rsidRPr="004F54F1">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w:t>
      </w:r>
      <w:r w:rsidRPr="004F54F1">
        <w:rPr>
          <w:rFonts w:ascii="Palatino Linotype" w:hAnsi="Palatino Linotype" w:eastAsia="Calibri"/>
          <w:bCs/>
          <w:color w:val="000000"/>
          <w:sz w:val="22"/>
          <w:szCs w:val="22"/>
          <w:lang w:eastAsia="en-US"/>
        </w:rPr>
        <w:lastRenderedPageBreak/>
        <w:t xml:space="preserve">e irrenunciable por el desempeño de su empleo, cargo o comisión, que será determinada en el presupuesto de egresos que corresponda. </w:t>
      </w:r>
    </w:p>
    <w:p w:rsidRPr="004F54F1" w:rsidR="00F60E31" w:rsidP="008948DC" w:rsidRDefault="00F60E31" w14:paraId="72F37E11" w14:textId="77777777">
      <w:pPr>
        <w:spacing w:line="360" w:lineRule="auto"/>
        <w:jc w:val="both"/>
        <w:rPr>
          <w:rFonts w:ascii="Palatino Linotype" w:hAnsi="Palatino Linotype" w:eastAsia="Calibri"/>
          <w:color w:val="000000"/>
          <w:sz w:val="22"/>
          <w:szCs w:val="22"/>
          <w:lang w:eastAsia="en-US"/>
        </w:rPr>
      </w:pPr>
    </w:p>
    <w:p w:rsidRPr="004F54F1" w:rsidR="00F60E31" w:rsidP="008948DC" w:rsidRDefault="00F60E31" w14:paraId="02383828" w14:textId="77777777">
      <w:pPr>
        <w:spacing w:line="360" w:lineRule="auto"/>
        <w:jc w:val="both"/>
        <w:rPr>
          <w:rFonts w:ascii="Palatino Linotype" w:hAnsi="Palatino Linotype" w:eastAsia="Calibri"/>
          <w:bCs/>
          <w:color w:val="000000"/>
          <w:sz w:val="22"/>
          <w:szCs w:val="22"/>
          <w:lang w:eastAsia="en-US"/>
        </w:rPr>
      </w:pPr>
      <w:r w:rsidRPr="004F54F1">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4F54F1" w:rsidR="00F60E31" w:rsidP="008948DC" w:rsidRDefault="00F60E31" w14:paraId="41CF1240" w14:textId="77777777">
      <w:pPr>
        <w:spacing w:line="360" w:lineRule="auto"/>
        <w:jc w:val="both"/>
        <w:rPr>
          <w:rFonts w:ascii="Palatino Linotype" w:hAnsi="Palatino Linotype" w:eastAsia="Calibri"/>
          <w:bCs/>
          <w:color w:val="000000"/>
          <w:sz w:val="22"/>
          <w:szCs w:val="22"/>
          <w:lang w:eastAsia="en-US"/>
        </w:rPr>
      </w:pPr>
    </w:p>
    <w:p w:rsidRPr="004F54F1" w:rsidR="00F60E31" w:rsidP="008948DC" w:rsidRDefault="00F60E31" w14:paraId="3FFBF22D" w14:textId="0660858B">
      <w:pPr>
        <w:spacing w:line="360" w:lineRule="auto"/>
        <w:jc w:val="both"/>
        <w:rPr>
          <w:rFonts w:ascii="Palatino Linotype" w:hAnsi="Palatino Linotype" w:eastAsia="Calibri"/>
          <w:bCs/>
          <w:color w:val="000000"/>
          <w:sz w:val="22"/>
          <w:szCs w:val="22"/>
          <w:lang w:eastAsia="en-US"/>
        </w:rPr>
      </w:pPr>
      <w:r w:rsidRPr="004F54F1">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w:t>
      </w:r>
      <w:r w:rsidRPr="004F54F1" w:rsidR="008129FF">
        <w:rPr>
          <w:rFonts w:ascii="Palatino Linotype" w:hAnsi="Palatino Linotype" w:eastAsia="Calibri"/>
          <w:bCs/>
          <w:color w:val="000000"/>
          <w:sz w:val="22"/>
          <w:szCs w:val="22"/>
          <w:lang w:eastAsia="en-US"/>
        </w:rPr>
        <w:t>eintidós</w:t>
      </w:r>
      <w:r w:rsidRPr="004F54F1">
        <w:rPr>
          <w:rFonts w:ascii="Palatino Linotype" w:hAnsi="Palatino Linotype" w:eastAsia="Calibri"/>
          <w:bCs/>
          <w:color w:val="000000"/>
          <w:sz w:val="22"/>
          <w:szCs w:val="22"/>
          <w:lang w:eastAsia="en-US"/>
        </w:rPr>
        <w:t>, establece que la remuneración es la percepción de un trabajador o retribución monetaria que se da en pago por su servicio o actividad desarrollada.</w:t>
      </w:r>
    </w:p>
    <w:p w:rsidRPr="004F54F1" w:rsidR="00F60E31" w:rsidP="008948DC" w:rsidRDefault="00F60E31" w14:paraId="3F86796C" w14:textId="77777777">
      <w:pPr>
        <w:spacing w:line="360" w:lineRule="auto"/>
        <w:jc w:val="both"/>
        <w:rPr>
          <w:rFonts w:ascii="Palatino Linotype" w:hAnsi="Palatino Linotype" w:eastAsia="Calibri"/>
          <w:bCs/>
          <w:color w:val="000000"/>
          <w:sz w:val="22"/>
          <w:szCs w:val="22"/>
          <w:lang w:eastAsia="en-US"/>
        </w:rPr>
      </w:pPr>
    </w:p>
    <w:p w:rsidRPr="004F54F1" w:rsidR="00F60E31" w:rsidP="008948DC" w:rsidRDefault="00F60E31" w14:paraId="35329ED1" w14:textId="77777777">
      <w:pPr>
        <w:spacing w:line="360" w:lineRule="auto"/>
        <w:jc w:val="both"/>
        <w:rPr>
          <w:rFonts w:ascii="Palatino Linotype" w:hAnsi="Palatino Linotype" w:eastAsia="Calibri"/>
          <w:b/>
          <w:bCs/>
          <w:iCs/>
          <w:color w:val="000000"/>
          <w:sz w:val="22"/>
          <w:szCs w:val="22"/>
          <w:lang w:val="es-ES" w:eastAsia="en-US"/>
        </w:rPr>
      </w:pPr>
      <w:r w:rsidRPr="004F54F1">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4F54F1">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4F54F1" w:rsidR="00F60E31" w:rsidP="008948DC" w:rsidRDefault="00F60E31" w14:paraId="720379B6" w14:textId="77777777">
      <w:pPr>
        <w:spacing w:line="360" w:lineRule="auto"/>
        <w:jc w:val="both"/>
        <w:rPr>
          <w:rFonts w:ascii="Palatino Linotype" w:hAnsi="Palatino Linotype" w:eastAsia="Calibri"/>
          <w:b/>
          <w:bCs/>
          <w:iCs/>
          <w:color w:val="000000"/>
          <w:sz w:val="22"/>
          <w:szCs w:val="22"/>
          <w:lang w:val="es-ES" w:eastAsia="en-US"/>
        </w:rPr>
      </w:pPr>
    </w:p>
    <w:p w:rsidRPr="004F54F1" w:rsidR="00F60E31" w:rsidP="008948DC" w:rsidRDefault="00F60E31" w14:paraId="0A612764" w14:textId="1938B58C">
      <w:pPr>
        <w:spacing w:line="360" w:lineRule="auto"/>
        <w:jc w:val="both"/>
        <w:rPr>
          <w:rFonts w:ascii="Palatino Linotype" w:hAnsi="Palatino Linotype" w:eastAsia="Calibri"/>
          <w:b/>
          <w:bCs/>
          <w:iCs/>
          <w:color w:val="000000"/>
          <w:sz w:val="22"/>
          <w:szCs w:val="22"/>
          <w:lang w:val="es-ES" w:eastAsia="en-US"/>
        </w:rPr>
      </w:pPr>
      <w:r w:rsidRPr="004F54F1">
        <w:rPr>
          <w:rFonts w:ascii="Palatino Linotype" w:hAnsi="Palatino Linotype" w:eastAsia="Calibri"/>
          <w:bCs/>
          <w:iCs/>
          <w:color w:val="000000"/>
          <w:sz w:val="22"/>
          <w:szCs w:val="22"/>
          <w:lang w:val="es-ES" w:eastAsia="en-US"/>
        </w:rPr>
        <w:t xml:space="preserve">Además, el Anexo IV.2 Clasificación por objeto del gasto, del Manual para la Planeación, Programación y Presupuesto de Egresos Municipal para el ejercicio fiscal dos mil </w:t>
      </w:r>
      <w:r w:rsidRPr="004F54F1" w:rsidR="008129FF">
        <w:rPr>
          <w:rFonts w:ascii="Palatino Linotype" w:hAnsi="Palatino Linotype" w:eastAsia="Calibri"/>
          <w:bCs/>
          <w:iCs/>
          <w:color w:val="000000"/>
          <w:sz w:val="22"/>
          <w:szCs w:val="22"/>
          <w:lang w:val="es-ES" w:eastAsia="en-US"/>
        </w:rPr>
        <w:t>veintidós</w:t>
      </w:r>
      <w:r w:rsidRPr="004F54F1">
        <w:rPr>
          <w:rFonts w:ascii="Palatino Linotype" w:hAnsi="Palatino Linotype" w:eastAsia="Calibri"/>
          <w:bCs/>
          <w:iCs/>
          <w:color w:val="000000"/>
          <w:sz w:val="22"/>
          <w:szCs w:val="22"/>
          <w:lang w:val="es-ES" w:eastAsia="en-US"/>
        </w:rPr>
        <w:t xml:space="preserve">, establece que los Presupuestos de Egresos Municipales, se tendrán que generar, conforme al “Clasificador por Objeto del Gasto”, el cual se conforma de diversos capítulos, entre los cuales, se encuentra el </w:t>
      </w:r>
      <w:r w:rsidRPr="004F54F1">
        <w:rPr>
          <w:rFonts w:ascii="Palatino Linotype" w:hAnsi="Palatino Linotype" w:eastAsia="Calibri"/>
          <w:b/>
          <w:bCs/>
          <w:iCs/>
          <w:color w:val="000000"/>
          <w:sz w:val="22"/>
          <w:szCs w:val="22"/>
          <w:lang w:val="es-ES" w:eastAsia="en-US"/>
        </w:rPr>
        <w:t>1000 Servicios Personales</w:t>
      </w:r>
      <w:r w:rsidRPr="004F54F1">
        <w:rPr>
          <w:rFonts w:ascii="Palatino Linotype" w:hAnsi="Palatino Linotype" w:eastAsia="Calibri"/>
          <w:bCs/>
          <w:iCs/>
          <w:color w:val="000000"/>
          <w:sz w:val="22"/>
          <w:szCs w:val="22"/>
          <w:lang w:val="es-ES" w:eastAsia="en-US"/>
        </w:rPr>
        <w:t>,</w:t>
      </w:r>
      <w:r w:rsidRPr="004F54F1">
        <w:rPr>
          <w:rFonts w:ascii="Palatino Linotype" w:hAnsi="Palatino Linotype" w:eastAsia="Calibri"/>
          <w:b/>
          <w:bCs/>
          <w:iCs/>
          <w:color w:val="000000"/>
          <w:sz w:val="22"/>
          <w:szCs w:val="22"/>
          <w:lang w:val="es-ES" w:eastAsia="en-US"/>
        </w:rPr>
        <w:t xml:space="preserve"> que agrupa las remuneraciones del personal al </w:t>
      </w:r>
      <w:r w:rsidRPr="004F54F1">
        <w:rPr>
          <w:rFonts w:ascii="Palatino Linotype" w:hAnsi="Palatino Linotype" w:eastAsia="Calibri"/>
          <w:b/>
          <w:bCs/>
          <w:iCs/>
          <w:color w:val="000000"/>
          <w:sz w:val="22"/>
          <w:szCs w:val="22"/>
          <w:lang w:val="es-ES" w:eastAsia="en-US"/>
        </w:rPr>
        <w:lastRenderedPageBreak/>
        <w:t>servicio de los entes públicos, tales como el sueldo, salarios, dietas, honorarios, prestaciones, obligaciones laborales, gratificaciones, entre otras.</w:t>
      </w:r>
    </w:p>
    <w:p w:rsidRPr="004F54F1" w:rsidR="00F60E31" w:rsidP="008948DC" w:rsidRDefault="00F60E31" w14:paraId="4C30ECF0" w14:textId="77777777">
      <w:pPr>
        <w:spacing w:line="360" w:lineRule="auto"/>
        <w:jc w:val="both"/>
        <w:rPr>
          <w:rFonts w:ascii="Palatino Linotype" w:hAnsi="Palatino Linotype" w:eastAsia="Calibri"/>
          <w:bCs/>
          <w:color w:val="000000"/>
          <w:sz w:val="22"/>
          <w:szCs w:val="22"/>
          <w:lang w:eastAsia="en-US"/>
        </w:rPr>
      </w:pPr>
    </w:p>
    <w:p w:rsidRPr="004F54F1" w:rsidR="00F60E31" w:rsidP="008948DC" w:rsidRDefault="00F60E31" w14:paraId="0BFE8337" w14:textId="77777777">
      <w:pPr>
        <w:spacing w:line="360" w:lineRule="auto"/>
        <w:jc w:val="both"/>
        <w:rPr>
          <w:rFonts w:ascii="Palatino Linotype" w:hAnsi="Palatino Linotype" w:eastAsia="Calibri"/>
          <w:bCs/>
          <w:iCs/>
          <w:color w:val="000000"/>
          <w:sz w:val="22"/>
          <w:szCs w:val="22"/>
          <w:lang w:val="es-ES" w:eastAsia="en-US"/>
        </w:rPr>
      </w:pPr>
      <w:r w:rsidRPr="004F54F1">
        <w:rPr>
          <w:rFonts w:ascii="Palatino Linotype" w:hAnsi="Palatino Linotype" w:eastAsia="Calibri"/>
          <w:bCs/>
          <w:color w:val="000000"/>
          <w:sz w:val="22"/>
          <w:szCs w:val="22"/>
          <w:lang w:eastAsia="en-US"/>
        </w:rPr>
        <w:t xml:space="preserve">Además, la Ley del Trabajo de los Servidores Públicos del Estado y Municipios, en su artículo 220 K, fracciones II y IV, establece los documentos que tiene la obligación de conservar el Sujeto Obligado, entre los que se encuentra los </w:t>
      </w:r>
      <w:r w:rsidRPr="004F54F1">
        <w:rPr>
          <w:rFonts w:ascii="Palatino Linotype" w:hAnsi="Palatino Linotype" w:eastAsia="Calibri"/>
          <w:b/>
          <w:bCs/>
          <w:color w:val="000000"/>
          <w:sz w:val="22"/>
          <w:szCs w:val="22"/>
          <w:lang w:eastAsia="en-US"/>
        </w:rPr>
        <w:t>recibos de pago de salarios o las</w:t>
      </w:r>
      <w:r w:rsidRPr="004F54F1">
        <w:rPr>
          <w:rFonts w:ascii="Palatino Linotype" w:hAnsi="Palatino Linotype" w:eastAsia="Calibri"/>
          <w:bCs/>
          <w:color w:val="000000"/>
          <w:sz w:val="22"/>
          <w:szCs w:val="22"/>
          <w:lang w:eastAsia="en-US"/>
        </w:rPr>
        <w:t xml:space="preserve"> </w:t>
      </w:r>
      <w:r w:rsidRPr="004F54F1">
        <w:rPr>
          <w:rFonts w:ascii="Palatino Linotype" w:hAnsi="Palatino Linotype" w:eastAsia="Calibri"/>
          <w:b/>
          <w:bCs/>
          <w:color w:val="000000"/>
          <w:sz w:val="22"/>
          <w:szCs w:val="22"/>
          <w:lang w:eastAsia="en-US"/>
        </w:rPr>
        <w:t xml:space="preserve">constancias documentales del pago de sueldos, </w:t>
      </w:r>
      <w:r w:rsidRPr="004F54F1">
        <w:rPr>
          <w:rFonts w:ascii="Palatino Linotype" w:hAnsi="Palatino Linotype" w:eastAsia="Calibri"/>
          <w:bCs/>
          <w:color w:val="000000"/>
          <w:sz w:val="22"/>
          <w:szCs w:val="22"/>
          <w:lang w:eastAsia="en-US"/>
        </w:rPr>
        <w:t xml:space="preserve">cuando sea por depósito o mediante información electrónica; así como los recibos o constancias de depósito o del medio de información magnética o electrónica que sean utilizadas para el pago de salarios, prima </w:t>
      </w:r>
      <w:r w:rsidRPr="004F54F1">
        <w:rPr>
          <w:rFonts w:ascii="Palatino Linotype" w:hAnsi="Palatino Linotype" w:eastAsia="Calibri"/>
          <w:bCs/>
          <w:iCs/>
          <w:color w:val="000000"/>
          <w:sz w:val="22"/>
          <w:szCs w:val="22"/>
          <w:lang w:val="es-ES" w:eastAsia="en-US"/>
        </w:rPr>
        <w:t>vacacional, aguinaldo y demás prestaciones.</w:t>
      </w:r>
    </w:p>
    <w:p w:rsidRPr="004F54F1" w:rsidR="00F60E31" w:rsidP="008948DC" w:rsidRDefault="00F60E31" w14:paraId="3DFC8828" w14:textId="77777777">
      <w:pPr>
        <w:spacing w:line="360" w:lineRule="auto"/>
        <w:jc w:val="both"/>
        <w:rPr>
          <w:rFonts w:ascii="Palatino Linotype" w:hAnsi="Palatino Linotype" w:cs="Tahoma" w:eastAsiaTheme="minorHAnsi"/>
          <w:color w:val="000000"/>
          <w:sz w:val="22"/>
          <w:szCs w:val="22"/>
          <w:lang w:eastAsia="en-US"/>
        </w:rPr>
      </w:pPr>
    </w:p>
    <w:p w:rsidRPr="004F54F1" w:rsidR="00F60E31" w:rsidP="008948DC" w:rsidRDefault="00F60E31" w14:paraId="1C0042B2" w14:textId="65FA27D3">
      <w:pPr>
        <w:spacing w:line="360" w:lineRule="auto"/>
        <w:jc w:val="both"/>
        <w:rPr>
          <w:rFonts w:ascii="Palatino Linotype" w:hAnsi="Palatino Linotype" w:eastAsia="Calibri"/>
          <w:bCs/>
          <w:iCs/>
          <w:color w:val="000000"/>
          <w:sz w:val="22"/>
          <w:szCs w:val="22"/>
          <w:lang w:val="es-ES" w:eastAsia="en-US"/>
        </w:rPr>
      </w:pPr>
      <w:r w:rsidRPr="004F54F1">
        <w:rPr>
          <w:rFonts w:ascii="Palatino Linotype" w:hAnsi="Palatino Linotype" w:cs="Tahoma" w:eastAsiaTheme="minorHAnsi"/>
          <w:color w:val="000000"/>
          <w:sz w:val="22"/>
          <w:szCs w:val="22"/>
          <w:lang w:eastAsia="en-US"/>
        </w:rPr>
        <w:t>De tal circunstancia, se considera que la pretensión de la ahora Recurrente es obtener el documento donde conste el sueldo y percepciones netas recibidas por los servidores públicos del Ayuntamiento de Atizapán de Zaragoza</w:t>
      </w:r>
      <w:r w:rsidRPr="004F54F1" w:rsidR="00CD596E">
        <w:rPr>
          <w:rFonts w:ascii="Palatino Linotype" w:hAnsi="Palatino Linotype" w:cs="Tahoma" w:eastAsiaTheme="minorHAnsi"/>
          <w:color w:val="000000"/>
          <w:sz w:val="22"/>
          <w:szCs w:val="22"/>
          <w:lang w:eastAsia="en-US"/>
        </w:rPr>
        <w:t xml:space="preserve"> que causaron alta el primero de enero de dos mil veintidós.</w:t>
      </w:r>
    </w:p>
    <w:p w:rsidRPr="004F54F1" w:rsidR="00F60E31" w:rsidP="008948DC" w:rsidRDefault="00F60E31" w14:paraId="510B6A2C" w14:textId="77777777">
      <w:pPr>
        <w:spacing w:line="360" w:lineRule="auto"/>
        <w:jc w:val="both"/>
        <w:rPr>
          <w:rFonts w:ascii="Palatino Linotype" w:hAnsi="Palatino Linotype" w:eastAsia="Calibri"/>
          <w:bCs/>
          <w:iCs/>
          <w:color w:val="000000"/>
          <w:sz w:val="22"/>
          <w:szCs w:val="22"/>
          <w:lang w:val="es-ES" w:eastAsia="en-US"/>
        </w:rPr>
      </w:pPr>
    </w:p>
    <w:p w:rsidRPr="004F54F1" w:rsidR="008129FF" w:rsidP="008948DC" w:rsidRDefault="008129FF" w14:paraId="43CC1F4C" w14:textId="77777777">
      <w:pPr>
        <w:spacing w:line="360" w:lineRule="auto"/>
        <w:jc w:val="both"/>
        <w:rPr>
          <w:rFonts w:ascii="Palatino Linotype" w:hAnsi="Palatino Linotype" w:cs="Tahoma"/>
          <w:color w:val="000000"/>
          <w:sz w:val="22"/>
          <w:szCs w:val="22"/>
        </w:rPr>
      </w:pPr>
      <w:r w:rsidRPr="004F54F1">
        <w:rPr>
          <w:rFonts w:ascii="Palatino Linotype" w:hAnsi="Palatino Linotype" w:cs="Tahoma"/>
          <w:bCs/>
          <w:sz w:val="22"/>
          <w:szCs w:val="22"/>
        </w:rPr>
        <w:t xml:space="preserve">En ese orden de ideas, las Políticas para la Integración del Informe Trimestral de los Sujetos de Fiscalización Municipales para el ejercicio fiscal dos mil veintiuno, entre los formatos que maneja en el </w:t>
      </w:r>
      <w:r w:rsidRPr="004F54F1">
        <w:rPr>
          <w:rFonts w:ascii="Palatino Linotype" w:hAnsi="Palatino Linotype" w:cs="Tahoma"/>
          <w:b/>
          <w:sz w:val="22"/>
          <w:szCs w:val="22"/>
        </w:rPr>
        <w:t>Módulo 4</w:t>
      </w:r>
      <w:r w:rsidRPr="004F54F1">
        <w:rPr>
          <w:rFonts w:ascii="Palatino Linotype" w:hAnsi="Palatino Linotype" w:cs="Tahoma"/>
          <w:bCs/>
          <w:sz w:val="22"/>
          <w:szCs w:val="22"/>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rsidRPr="004F54F1" w:rsidR="00F60E31" w:rsidP="008948DC" w:rsidRDefault="00F60E31" w14:paraId="7D036BBD" w14:textId="77777777">
      <w:pPr>
        <w:spacing w:line="360" w:lineRule="auto"/>
        <w:jc w:val="both"/>
        <w:rPr>
          <w:rFonts w:ascii="Palatino Linotype" w:hAnsi="Palatino Linotype" w:cs="Tahoma"/>
          <w:bCs/>
          <w:sz w:val="22"/>
          <w:szCs w:val="22"/>
          <w:lang w:val="es-ES_tradnl"/>
        </w:rPr>
      </w:pPr>
    </w:p>
    <w:p w:rsidRPr="004F54F1" w:rsidR="00F60E31" w:rsidP="008948DC" w:rsidRDefault="00F60E31" w14:paraId="074929B3" w14:textId="040BBEFD">
      <w:pPr>
        <w:spacing w:line="360" w:lineRule="auto"/>
        <w:jc w:val="both"/>
        <w:rPr>
          <w:rFonts w:ascii="Palatino Linotype" w:hAnsi="Palatino Linotype" w:cs="Tahoma"/>
          <w:bCs/>
          <w:iCs/>
          <w:sz w:val="22"/>
          <w:szCs w:val="22"/>
        </w:rPr>
      </w:pPr>
      <w:r w:rsidRPr="004F54F1">
        <w:rPr>
          <w:rFonts w:ascii="Palatino Linotype" w:hAnsi="Palatino Linotype" w:cs="Tahoma"/>
          <w:bCs/>
          <w:iCs/>
          <w:sz w:val="22"/>
          <w:szCs w:val="22"/>
        </w:rPr>
        <w:t xml:space="preserve">Conforme a lo anterior, se logra advertir que el Sujeto Obligado cuenta con competencia para conocer de la información solicitada, </w:t>
      </w:r>
      <w:r w:rsidRPr="004F54F1" w:rsidR="00051D7D">
        <w:rPr>
          <w:rFonts w:ascii="Palatino Linotype" w:hAnsi="Palatino Linotype" w:cs="Tahoma"/>
          <w:bCs/>
          <w:iCs/>
          <w:sz w:val="22"/>
          <w:szCs w:val="22"/>
        </w:rPr>
        <w:t>tan es así, que proporcionó los documentos que daban cuenta de lo solicitado</w:t>
      </w:r>
      <w:r w:rsidRPr="004F54F1" w:rsidR="0004253C">
        <w:rPr>
          <w:rFonts w:ascii="Palatino Linotype" w:hAnsi="Palatino Linotype" w:cs="Tahoma"/>
          <w:bCs/>
          <w:iCs/>
          <w:sz w:val="22"/>
          <w:szCs w:val="22"/>
        </w:rPr>
        <w:t>, a saber, los recibos de nómina.</w:t>
      </w:r>
    </w:p>
    <w:p w:rsidRPr="004F54F1" w:rsidR="0004253C" w:rsidP="008948DC" w:rsidRDefault="0004253C" w14:paraId="51AAABDA" w14:textId="3A05AA8B">
      <w:pPr>
        <w:spacing w:line="360" w:lineRule="auto"/>
        <w:jc w:val="both"/>
        <w:rPr>
          <w:rFonts w:ascii="Palatino Linotype" w:hAnsi="Palatino Linotype" w:cs="Tahoma"/>
          <w:bCs/>
          <w:iCs/>
          <w:sz w:val="22"/>
          <w:szCs w:val="22"/>
        </w:rPr>
      </w:pPr>
    </w:p>
    <w:p w:rsidRPr="004F54F1" w:rsidR="007C3C1F" w:rsidP="008948DC" w:rsidRDefault="007C3C1F" w14:paraId="066C578A" w14:textId="1BE33C57">
      <w:pPr>
        <w:spacing w:line="360" w:lineRule="auto"/>
        <w:jc w:val="both"/>
        <w:rPr>
          <w:rFonts w:ascii="Palatino Linotype" w:hAnsi="Palatino Linotype" w:cs="Tahoma"/>
          <w:bCs/>
          <w:iCs/>
          <w:sz w:val="22"/>
          <w:szCs w:val="22"/>
        </w:rPr>
      </w:pPr>
      <w:r w:rsidRPr="004F54F1">
        <w:rPr>
          <w:rFonts w:ascii="Palatino Linotype" w:hAnsi="Palatino Linotype" w:cs="Tahoma"/>
          <w:bCs/>
          <w:iCs/>
          <w:sz w:val="22"/>
          <w:szCs w:val="22"/>
        </w:rPr>
        <w:lastRenderedPageBreak/>
        <w:t>Ahora bien, se procede analizar los recibos de nómina entregados, a efecto de verificar que contengan el área de adscripción de los servidores públicos, se muestra un extracto de algunos de manera de ejemplo:</w:t>
      </w:r>
    </w:p>
    <w:p w:rsidRPr="004F54F1" w:rsidR="007C3C1F" w:rsidP="008948DC" w:rsidRDefault="007C3C1F" w14:paraId="59075496" w14:textId="77777777">
      <w:pPr>
        <w:spacing w:line="360" w:lineRule="auto"/>
        <w:jc w:val="both"/>
        <w:rPr>
          <w:rFonts w:ascii="Palatino Linotype" w:hAnsi="Palatino Linotype" w:cs="Tahoma"/>
          <w:bCs/>
          <w:iCs/>
          <w:sz w:val="22"/>
          <w:szCs w:val="22"/>
        </w:rPr>
      </w:pPr>
    </w:p>
    <w:p w:rsidRPr="004F54F1" w:rsidR="0004253C" w:rsidP="008948DC" w:rsidRDefault="007C3C1F" w14:paraId="7260AA3F" w14:textId="709E626F">
      <w:pPr>
        <w:spacing w:line="360" w:lineRule="auto"/>
        <w:jc w:val="both"/>
        <w:rPr>
          <w:rFonts w:ascii="Palatino Linotype" w:hAnsi="Palatino Linotype" w:eastAsia="Calibri" w:cs="Tahoma"/>
          <w:bCs/>
          <w:color w:val="000000" w:themeColor="text1"/>
          <w:sz w:val="22"/>
          <w:szCs w:val="22"/>
          <w:lang w:eastAsia="en-US"/>
        </w:rPr>
      </w:pPr>
      <w:r w:rsidRPr="004F54F1">
        <w:rPr>
          <w:noProof/>
        </w:rPr>
        <w:drawing>
          <wp:inline distT="0" distB="0" distL="0" distR="0" wp14:anchorId="07333F9A" wp14:editId="474C4B59">
            <wp:extent cx="5741670" cy="19748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1670" cy="1974850"/>
                    </a:xfrm>
                    <a:prstGeom prst="rect">
                      <a:avLst/>
                    </a:prstGeom>
                  </pic:spPr>
                </pic:pic>
              </a:graphicData>
            </a:graphic>
          </wp:inline>
        </w:drawing>
      </w:r>
    </w:p>
    <w:p w:rsidRPr="004F54F1" w:rsidR="009B7E7E" w:rsidP="008948DC" w:rsidRDefault="009B7E7E" w14:paraId="261809CA" w14:textId="778EA15B">
      <w:pPr>
        <w:spacing w:line="360" w:lineRule="auto"/>
        <w:jc w:val="both"/>
        <w:rPr>
          <w:rFonts w:ascii="Palatino Linotype" w:hAnsi="Palatino Linotype" w:eastAsia="Calibri"/>
          <w:bCs/>
          <w:color w:val="000000" w:themeColor="text1"/>
          <w:sz w:val="22"/>
          <w:szCs w:val="22"/>
          <w:lang w:eastAsia="en-US"/>
        </w:rPr>
      </w:pPr>
    </w:p>
    <w:p w:rsidRPr="004F54F1" w:rsidR="007C3C1F" w:rsidP="008948DC" w:rsidRDefault="007C3C1F" w14:paraId="35D11266" w14:textId="09169F8E">
      <w:pPr>
        <w:spacing w:line="360" w:lineRule="auto"/>
        <w:jc w:val="both"/>
        <w:rPr>
          <w:rFonts w:ascii="Palatino Linotype" w:hAnsi="Palatino Linotype" w:eastAsia="Calibri"/>
          <w:bCs/>
          <w:color w:val="000000" w:themeColor="text1"/>
          <w:sz w:val="22"/>
          <w:szCs w:val="22"/>
          <w:lang w:eastAsia="en-US"/>
        </w:rPr>
      </w:pPr>
      <w:r w:rsidRPr="004F54F1">
        <w:rPr>
          <w:noProof/>
        </w:rPr>
        <w:drawing>
          <wp:inline distT="0" distB="0" distL="0" distR="0" wp14:anchorId="43F3B8D1" wp14:editId="59645F1E">
            <wp:extent cx="5741670" cy="20961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1670" cy="2096135"/>
                    </a:xfrm>
                    <a:prstGeom prst="rect">
                      <a:avLst/>
                    </a:prstGeom>
                  </pic:spPr>
                </pic:pic>
              </a:graphicData>
            </a:graphic>
          </wp:inline>
        </w:drawing>
      </w:r>
    </w:p>
    <w:p w:rsidRPr="004F54F1" w:rsidR="009B7E7E" w:rsidP="008948DC" w:rsidRDefault="009B7E7E" w14:paraId="529CC89A" w14:textId="7EB2E488">
      <w:pPr>
        <w:autoSpaceDE w:val="0"/>
        <w:autoSpaceDN w:val="0"/>
        <w:adjustRightInd w:val="0"/>
        <w:spacing w:line="360" w:lineRule="auto"/>
        <w:jc w:val="both"/>
        <w:rPr>
          <w:rFonts w:ascii="Palatino Linotype" w:hAnsi="Palatino Linotype" w:cs="Tahoma"/>
          <w:bCs/>
          <w:sz w:val="22"/>
          <w:szCs w:val="22"/>
          <w:lang w:val="es-ES"/>
        </w:rPr>
      </w:pPr>
    </w:p>
    <w:p w:rsidRPr="004F54F1" w:rsidR="009B7E7E" w:rsidP="008948DC" w:rsidRDefault="001A295C" w14:paraId="63C899C1" w14:textId="30919217">
      <w:pPr>
        <w:spacing w:line="360" w:lineRule="auto"/>
        <w:jc w:val="both"/>
        <w:rPr>
          <w:rFonts w:ascii="Palatino Linotype" w:hAnsi="Palatino Linotype" w:cs="Tahoma"/>
          <w:b/>
          <w:iCs/>
          <w:sz w:val="22"/>
          <w:szCs w:val="22"/>
          <w:lang w:val="es-ES"/>
        </w:rPr>
      </w:pPr>
      <w:r w:rsidRPr="004F54F1">
        <w:rPr>
          <w:rFonts w:ascii="Palatino Linotype" w:hAnsi="Palatino Linotype" w:cs="Tahoma"/>
          <w:bCs/>
          <w:iCs/>
          <w:sz w:val="22"/>
          <w:szCs w:val="22"/>
          <w:lang w:val="es-ES"/>
        </w:rPr>
        <w:t>Del análisis realizado a los recibos de nómina, se logra vislumbrar que tal como lo señaló el ahora Recurrente, algunos recibos de nómina no contienen el dato departamento, es decir, el área de adscripción</w:t>
      </w:r>
      <w:r w:rsidRPr="004F54F1" w:rsidR="004D290F">
        <w:rPr>
          <w:rFonts w:ascii="Palatino Linotype" w:hAnsi="Palatino Linotype" w:cs="Tahoma"/>
          <w:bCs/>
          <w:iCs/>
          <w:sz w:val="22"/>
          <w:szCs w:val="22"/>
          <w:lang w:val="es-ES"/>
        </w:rPr>
        <w:t xml:space="preserve">, cuando en otros casos si aparecen, por lo que, se logra vislumbrar que tal como lo refirió el ahora Recurrente, el contenido de los recibos de pago, se encuentra incompleto, lo cual da como resultado que el agravio sea </w:t>
      </w:r>
      <w:r w:rsidRPr="004F54F1" w:rsidR="004D290F">
        <w:rPr>
          <w:rFonts w:ascii="Palatino Linotype" w:hAnsi="Palatino Linotype" w:cs="Tahoma"/>
          <w:b/>
          <w:iCs/>
          <w:sz w:val="22"/>
          <w:szCs w:val="22"/>
          <w:lang w:val="es-ES"/>
        </w:rPr>
        <w:t>FUNDADO.</w:t>
      </w:r>
    </w:p>
    <w:p w:rsidRPr="004F54F1" w:rsidR="007C3C1F" w:rsidP="008948DC" w:rsidRDefault="007C3C1F" w14:paraId="2D8BFDF0" w14:textId="6E99B23B">
      <w:pPr>
        <w:spacing w:line="360" w:lineRule="auto"/>
        <w:jc w:val="both"/>
        <w:rPr>
          <w:rFonts w:ascii="Palatino Linotype" w:hAnsi="Palatino Linotype" w:cs="Tahoma"/>
          <w:bCs/>
          <w:iCs/>
          <w:sz w:val="22"/>
          <w:szCs w:val="22"/>
          <w:lang w:val="es-ES"/>
        </w:rPr>
      </w:pPr>
    </w:p>
    <w:p w:rsidRPr="004F54F1" w:rsidR="007C3C1F" w:rsidP="008948DC" w:rsidRDefault="004D290F" w14:paraId="19577DAB" w14:textId="6529345E">
      <w:pPr>
        <w:spacing w:line="360" w:lineRule="auto"/>
        <w:jc w:val="both"/>
        <w:rPr>
          <w:rFonts w:ascii="Palatino Linotype" w:hAnsi="Palatino Linotype" w:cs="Tahoma"/>
          <w:bCs/>
          <w:iCs/>
          <w:sz w:val="22"/>
          <w:szCs w:val="22"/>
          <w:lang w:val="es-ES"/>
        </w:rPr>
      </w:pPr>
      <w:r w:rsidRPr="004F54F1">
        <w:rPr>
          <w:rFonts w:ascii="Palatino Linotype" w:hAnsi="Palatino Linotype" w:cs="Tahoma"/>
          <w:bCs/>
          <w:iCs/>
          <w:sz w:val="22"/>
          <w:szCs w:val="22"/>
          <w:lang w:val="es-ES"/>
        </w:rPr>
        <w:lastRenderedPageBreak/>
        <w:t xml:space="preserve">Poe tal circunstancia, se considera </w:t>
      </w:r>
      <w:r w:rsidRPr="004F54F1" w:rsidR="009128D9">
        <w:rPr>
          <w:rFonts w:ascii="Palatino Linotype" w:hAnsi="Palatino Linotype" w:cs="Tahoma"/>
          <w:bCs/>
          <w:iCs/>
          <w:sz w:val="22"/>
          <w:szCs w:val="22"/>
          <w:lang w:val="es-ES"/>
        </w:rPr>
        <w:t>que,</w:t>
      </w:r>
      <w:r w:rsidRPr="004F54F1">
        <w:rPr>
          <w:rFonts w:ascii="Palatino Linotype" w:hAnsi="Palatino Linotype" w:cs="Tahoma"/>
          <w:bCs/>
          <w:iCs/>
          <w:sz w:val="22"/>
          <w:szCs w:val="22"/>
          <w:lang w:val="es-ES"/>
        </w:rPr>
        <w:t xml:space="preserve"> para atender el requerimiento de información, el Sujeto Obligado deberá proporcionar los recibos de nómina</w:t>
      </w:r>
      <w:r w:rsidRPr="004F54F1" w:rsidR="009128D9">
        <w:rPr>
          <w:rFonts w:ascii="Palatino Linotype" w:hAnsi="Palatino Linotype" w:cs="Tahoma"/>
          <w:bCs/>
          <w:iCs/>
          <w:sz w:val="22"/>
          <w:szCs w:val="22"/>
          <w:lang w:val="es-ES"/>
        </w:rPr>
        <w:t xml:space="preserve"> entregados en respuesta, los cuales deben de incluye del dato departamento, con el fin de dar cumplimiento a los artículos 12 y 160 de la Ley de Transparencia y Acceso a la Información Pública del Estado de México y Municipios.</w:t>
      </w:r>
    </w:p>
    <w:p w:rsidRPr="004F54F1" w:rsidR="009128D9" w:rsidP="008948DC" w:rsidRDefault="009128D9" w14:paraId="7850618C" w14:textId="3EBB3717">
      <w:pPr>
        <w:spacing w:line="360" w:lineRule="auto"/>
        <w:jc w:val="both"/>
        <w:rPr>
          <w:rFonts w:ascii="Palatino Linotype" w:hAnsi="Palatino Linotype" w:cs="Tahoma"/>
          <w:bCs/>
          <w:iCs/>
          <w:sz w:val="22"/>
          <w:szCs w:val="22"/>
          <w:lang w:val="es-ES"/>
        </w:rPr>
      </w:pPr>
    </w:p>
    <w:p w:rsidRPr="004F54F1" w:rsidR="009128D9" w:rsidP="008948DC" w:rsidRDefault="009128D9" w14:paraId="2F3D3151" w14:textId="77583A17">
      <w:pPr>
        <w:spacing w:line="360" w:lineRule="auto"/>
        <w:jc w:val="both"/>
        <w:rPr>
          <w:rFonts w:ascii="Palatino Linotype" w:hAnsi="Palatino Linotype" w:cs="Tahoma"/>
          <w:bCs/>
          <w:iCs/>
          <w:sz w:val="22"/>
          <w:szCs w:val="22"/>
          <w:lang w:val="es-ES"/>
        </w:rPr>
      </w:pPr>
      <w:r w:rsidRPr="004F54F1">
        <w:rPr>
          <w:rFonts w:ascii="Palatino Linotype" w:hAnsi="Palatino Linotype" w:cs="Tahoma"/>
          <w:bCs/>
          <w:iCs/>
          <w:sz w:val="22"/>
          <w:szCs w:val="22"/>
          <w:lang w:val="es-ES"/>
        </w:rPr>
        <w:t xml:space="preserve">Para tal circunstancia, resulta necesario recordar </w:t>
      </w:r>
      <w:r w:rsidRPr="004F54F1" w:rsidR="00F92628">
        <w:rPr>
          <w:rFonts w:ascii="Palatino Linotype" w:hAnsi="Palatino Linotype" w:cs="Tahoma"/>
          <w:bCs/>
          <w:iCs/>
          <w:sz w:val="22"/>
          <w:szCs w:val="22"/>
          <w:lang w:val="es-ES"/>
        </w:rPr>
        <w:t>que los recibos fueron proporcionados en versión pública, por lo que, del análisis de estos y el Acuerdo del Comité de Transparencia</w:t>
      </w:r>
      <w:r w:rsidRPr="004F54F1" w:rsidR="006929FF">
        <w:rPr>
          <w:rFonts w:ascii="Palatino Linotype" w:hAnsi="Palatino Linotype" w:cs="Tahoma"/>
          <w:bCs/>
          <w:iCs/>
          <w:sz w:val="22"/>
          <w:szCs w:val="22"/>
          <w:lang w:val="es-ES"/>
        </w:rPr>
        <w:t>, se logra vislumbrar que el Sujeto Obligado clasificó los siguientes datos:</w:t>
      </w:r>
    </w:p>
    <w:p w:rsidRPr="004F54F1" w:rsidR="006929FF" w:rsidP="008948DC" w:rsidRDefault="006929FF" w14:paraId="0EB98EC0" w14:textId="7FA6221B">
      <w:pPr>
        <w:spacing w:line="360" w:lineRule="auto"/>
        <w:jc w:val="both"/>
        <w:rPr>
          <w:rFonts w:ascii="Palatino Linotype" w:hAnsi="Palatino Linotype" w:cs="Tahoma"/>
          <w:bCs/>
          <w:iCs/>
          <w:sz w:val="22"/>
          <w:szCs w:val="22"/>
          <w:lang w:val="es-ES"/>
        </w:rPr>
      </w:pPr>
    </w:p>
    <w:p w:rsidRPr="004F54F1" w:rsidR="006929FF" w:rsidP="008948DC" w:rsidRDefault="006929FF" w14:paraId="23775527" w14:textId="5965A0F7">
      <w:pPr>
        <w:pStyle w:val="Prrafodelista"/>
        <w:numPr>
          <w:ilvl w:val="0"/>
          <w:numId w:val="25"/>
        </w:numPr>
        <w:spacing w:line="360" w:lineRule="auto"/>
        <w:jc w:val="both"/>
        <w:rPr>
          <w:rFonts w:ascii="Palatino Linotype" w:hAnsi="Palatino Linotype" w:cs="Tahoma"/>
          <w:bCs/>
          <w:iCs/>
          <w:szCs w:val="22"/>
          <w:lang w:val="es-ES"/>
        </w:rPr>
      </w:pPr>
      <w:r w:rsidRPr="004F54F1">
        <w:rPr>
          <w:rFonts w:ascii="Palatino Linotype" w:hAnsi="Palatino Linotype" w:cs="Tahoma"/>
          <w:bCs/>
          <w:iCs/>
          <w:szCs w:val="22"/>
          <w:lang w:val="es-ES"/>
        </w:rPr>
        <w:t>Registro Federal de Contribuyentes;</w:t>
      </w:r>
    </w:p>
    <w:p w:rsidRPr="004F54F1" w:rsidR="006929FF" w:rsidP="008948DC" w:rsidRDefault="006929FF" w14:paraId="6CD70BCF" w14:textId="77777777">
      <w:pPr>
        <w:pStyle w:val="Prrafodelista"/>
        <w:numPr>
          <w:ilvl w:val="0"/>
          <w:numId w:val="25"/>
        </w:numPr>
        <w:spacing w:line="360" w:lineRule="auto"/>
        <w:rPr>
          <w:rFonts w:ascii="Palatino Linotype" w:hAnsi="Palatino Linotype" w:cs="Tahoma"/>
          <w:bCs/>
          <w:iCs/>
          <w:szCs w:val="22"/>
          <w:lang w:val="es-ES"/>
        </w:rPr>
      </w:pPr>
      <w:r w:rsidRPr="004F54F1">
        <w:rPr>
          <w:rFonts w:ascii="Palatino Linotype" w:hAnsi="Palatino Linotype" w:cs="Tahoma"/>
          <w:bCs/>
          <w:iCs/>
          <w:szCs w:val="22"/>
          <w:lang w:val="es-ES"/>
        </w:rPr>
        <w:t>Número de seguridad social del Instituto de Seguridad Social del Estado de México y Municipios;</w:t>
      </w:r>
    </w:p>
    <w:p w:rsidRPr="004F54F1" w:rsidR="006929FF" w:rsidP="008948DC" w:rsidRDefault="006929FF" w14:paraId="5E22CC17" w14:textId="6290C507">
      <w:pPr>
        <w:pStyle w:val="Prrafodelista"/>
        <w:numPr>
          <w:ilvl w:val="0"/>
          <w:numId w:val="25"/>
        </w:numPr>
        <w:spacing w:line="360" w:lineRule="auto"/>
        <w:jc w:val="both"/>
        <w:rPr>
          <w:rFonts w:ascii="Palatino Linotype" w:hAnsi="Palatino Linotype" w:cs="Tahoma"/>
          <w:bCs/>
          <w:iCs/>
          <w:szCs w:val="22"/>
          <w:lang w:val="es-ES"/>
        </w:rPr>
      </w:pPr>
      <w:r w:rsidRPr="004F54F1">
        <w:rPr>
          <w:rFonts w:ascii="Palatino Linotype" w:hAnsi="Palatino Linotype" w:cs="Tahoma"/>
          <w:bCs/>
          <w:iCs/>
          <w:szCs w:val="22"/>
          <w:lang w:val="es-ES"/>
        </w:rPr>
        <w:t>Número de empleado, y</w:t>
      </w:r>
    </w:p>
    <w:p w:rsidRPr="004F54F1" w:rsidR="006929FF" w:rsidP="008948DC" w:rsidRDefault="006929FF" w14:paraId="255BD064" w14:textId="03FA4D1E">
      <w:pPr>
        <w:pStyle w:val="Prrafodelista"/>
        <w:numPr>
          <w:ilvl w:val="0"/>
          <w:numId w:val="25"/>
        </w:numPr>
        <w:spacing w:line="360" w:lineRule="auto"/>
        <w:jc w:val="both"/>
        <w:rPr>
          <w:rFonts w:ascii="Palatino Linotype" w:hAnsi="Palatino Linotype" w:cs="Tahoma"/>
          <w:bCs/>
          <w:iCs/>
          <w:szCs w:val="22"/>
          <w:lang w:val="es-ES"/>
        </w:rPr>
      </w:pPr>
      <w:r w:rsidRPr="004F54F1">
        <w:rPr>
          <w:rFonts w:ascii="Palatino Linotype" w:hAnsi="Palatino Linotype" w:cs="Tahoma"/>
          <w:bCs/>
          <w:iCs/>
          <w:szCs w:val="22"/>
          <w:lang w:val="es-ES"/>
        </w:rPr>
        <w:t>Deducciones personales.</w:t>
      </w:r>
    </w:p>
    <w:p w:rsidRPr="004F54F1" w:rsidR="007C3C1F" w:rsidP="008948DC" w:rsidRDefault="007C3C1F" w14:paraId="694D8063" w14:textId="77777777">
      <w:pPr>
        <w:spacing w:line="360" w:lineRule="auto"/>
        <w:jc w:val="both"/>
        <w:rPr>
          <w:rFonts w:ascii="Palatino Linotype" w:hAnsi="Palatino Linotype" w:cs="Tahoma"/>
          <w:bCs/>
          <w:iCs/>
          <w:sz w:val="22"/>
          <w:szCs w:val="22"/>
          <w:lang w:val="es-ES"/>
        </w:rPr>
      </w:pPr>
    </w:p>
    <w:p w:rsidRPr="004F54F1" w:rsidR="006929FF" w:rsidP="008948DC" w:rsidRDefault="006929FF" w14:paraId="3C97EDA1"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4F54F1" w:rsidR="006929FF" w:rsidP="008948DC" w:rsidRDefault="006929FF" w14:paraId="2B840AB6" w14:textId="5FB9A56B">
      <w:pPr>
        <w:spacing w:line="360" w:lineRule="auto"/>
        <w:jc w:val="both"/>
        <w:rPr>
          <w:rFonts w:ascii="Palatino Linotype" w:hAnsi="Palatino Linotype" w:eastAsia="Calibri"/>
          <w:bCs/>
          <w:color w:val="000000" w:themeColor="text1"/>
          <w:sz w:val="22"/>
          <w:szCs w:val="22"/>
          <w:lang w:eastAsia="en-US"/>
        </w:rPr>
      </w:pPr>
    </w:p>
    <w:p w:rsidRPr="004F54F1" w:rsidR="006F7221" w:rsidP="008948DC" w:rsidRDefault="006F7221" w14:paraId="700BDEDF"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39BBE10"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F54F1" w:rsidR="006929FF" w:rsidP="008948DC" w:rsidRDefault="006929FF" w14:paraId="08D72C68"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41CF34EC"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F54F1" w:rsidR="006929FF" w:rsidP="008948DC" w:rsidRDefault="006929FF" w14:paraId="452E22D7"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15FB7B88"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F54F1" w:rsidR="006929FF" w:rsidP="008948DC" w:rsidRDefault="006929FF" w14:paraId="6BBED9AF"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13B20125"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F54F1" w:rsidR="006929FF" w:rsidP="008948DC" w:rsidRDefault="006929FF" w14:paraId="2EE29194"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44F7A9E4"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4F54F1">
        <w:rPr>
          <w:rFonts w:ascii="Palatino Linotype" w:hAnsi="Palatino Linotype" w:eastAsia="Calibri"/>
          <w:bCs/>
          <w:color w:val="000000" w:themeColor="text1"/>
          <w:sz w:val="22"/>
          <w:szCs w:val="22"/>
          <w:lang w:eastAsia="en-US"/>
        </w:rPr>
        <w:lastRenderedPageBreak/>
        <w:t>derechos de terceros o cuando se transmita entre sujetos obligados en términos de los tratados y los acuerdos interinstitucionales.</w:t>
      </w:r>
    </w:p>
    <w:p w:rsidRPr="004F54F1" w:rsidR="006929FF" w:rsidP="008948DC" w:rsidRDefault="006929FF" w14:paraId="6C3D6279"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9F7A336"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En términos de lo expuesto, la documentación y aquellos datos que se consideren confidenciales, serán una limitante del derecho de acceso a la información, siempre y cuando:</w:t>
      </w:r>
    </w:p>
    <w:p w:rsidRPr="004F54F1" w:rsidR="006929FF" w:rsidP="008948DC" w:rsidRDefault="006929FF" w14:paraId="7C3D0DC7"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4D469037" w14:textId="12720B86">
      <w:pPr>
        <w:numPr>
          <w:ilvl w:val="0"/>
          <w:numId w:val="26"/>
        </w:num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rsidRPr="004F54F1" w:rsidR="006F7221" w:rsidP="006F7221" w:rsidRDefault="006F7221" w14:paraId="3C30C68E" w14:textId="77777777">
      <w:pPr>
        <w:spacing w:line="360" w:lineRule="auto"/>
        <w:ind w:left="720"/>
        <w:jc w:val="both"/>
        <w:rPr>
          <w:rFonts w:ascii="Palatino Linotype" w:hAnsi="Palatino Linotype" w:eastAsia="Calibri"/>
          <w:bCs/>
          <w:color w:val="000000" w:themeColor="text1"/>
          <w:sz w:val="22"/>
          <w:szCs w:val="22"/>
          <w:lang w:eastAsia="en-US"/>
        </w:rPr>
      </w:pPr>
    </w:p>
    <w:p w:rsidRPr="004F54F1" w:rsidR="006929FF" w:rsidP="008948DC" w:rsidRDefault="006929FF" w14:paraId="494FA571" w14:textId="77777777">
      <w:pPr>
        <w:numPr>
          <w:ilvl w:val="0"/>
          <w:numId w:val="26"/>
        </w:num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Para la difusión de los datos, se requiera el consentimiento del titular. </w:t>
      </w:r>
    </w:p>
    <w:p w:rsidRPr="004F54F1" w:rsidR="006929FF" w:rsidP="008948DC" w:rsidRDefault="006929FF" w14:paraId="0F8ABDA4"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5899EB08"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4F54F1" w:rsidR="006929FF" w:rsidP="008948DC" w:rsidRDefault="006929FF" w14:paraId="23DA836D"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10F0A732"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Además, en el artículo 5° de dicho ordenamiento jurídico, establece que es la Ley aplicable para todo tratamiento de datos personales.</w:t>
      </w:r>
    </w:p>
    <w:p w:rsidRPr="004F54F1" w:rsidR="006929FF" w:rsidP="008948DC" w:rsidRDefault="006929FF" w14:paraId="7B4ADE49"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23E8E69" w14:textId="363E1C3D">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4F54F1">
        <w:rPr>
          <w:rFonts w:ascii="Palatino Linotype" w:hAnsi="Palatino Linotype" w:eastAsia="Calibri"/>
          <w:bCs/>
          <w:color w:val="000000" w:themeColor="text1"/>
          <w:sz w:val="22"/>
          <w:szCs w:val="22"/>
          <w:lang w:eastAsia="en-US"/>
        </w:rPr>
        <w:lastRenderedPageBreak/>
        <w:t>además, que dicho tratamiento deberá obedecer exclusivamente a sus atribuciones legales y con el consentimiento de su titular, además de que debe estar justificado en ley (principio de finalidad).</w:t>
      </w:r>
    </w:p>
    <w:p w:rsidRPr="004F54F1" w:rsidR="006F7221" w:rsidP="008948DC" w:rsidRDefault="006F7221" w14:paraId="07CE2429"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EBE8F45"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F54F1" w:rsidR="006929FF" w:rsidP="008948DC" w:rsidRDefault="006929FF" w14:paraId="3F8B05B6"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5366E112"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F54F1" w:rsidR="006929FF" w:rsidP="008948DC" w:rsidRDefault="006929FF" w14:paraId="2CD55418"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F07ED6B"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4F54F1" w:rsidR="006929FF" w:rsidP="008948DC" w:rsidRDefault="006929FF" w14:paraId="3E2BED66"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363F3F7E"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w:t>
      </w:r>
      <w:r w:rsidRPr="004F54F1">
        <w:rPr>
          <w:rFonts w:ascii="Palatino Linotype" w:hAnsi="Palatino Linotype" w:eastAsia="Calibri"/>
          <w:bCs/>
          <w:color w:val="000000" w:themeColor="text1"/>
          <w:sz w:val="22"/>
          <w:szCs w:val="22"/>
          <w:lang w:eastAsia="en-US"/>
        </w:rPr>
        <w:lastRenderedPageBreak/>
        <w:t>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4F54F1" w:rsidR="006929FF" w:rsidP="008948DC" w:rsidRDefault="006929FF" w14:paraId="33738BA8"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72C17F6C"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F54F1" w:rsidR="006929FF" w:rsidP="008948DC" w:rsidRDefault="006929FF" w14:paraId="044258CF"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055B95F"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4F54F1" w:rsidR="006929FF" w:rsidP="008948DC" w:rsidRDefault="006929FF" w14:paraId="73B51F84"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0686F907"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Pr="004F54F1" w:rsidR="006929FF" w:rsidP="008948DC" w:rsidRDefault="006929FF" w14:paraId="030C3CF7" w14:textId="0A4DDDC3">
      <w:pPr>
        <w:spacing w:line="360" w:lineRule="auto"/>
        <w:jc w:val="both"/>
        <w:rPr>
          <w:rFonts w:ascii="Palatino Linotype" w:hAnsi="Palatino Linotype" w:eastAsia="Calibri"/>
          <w:bCs/>
          <w:color w:val="000000" w:themeColor="text1"/>
          <w:sz w:val="22"/>
          <w:szCs w:val="22"/>
          <w:lang w:eastAsia="en-US"/>
        </w:rPr>
      </w:pPr>
    </w:p>
    <w:p w:rsidRPr="004F54F1" w:rsidR="006F7221" w:rsidP="008948DC" w:rsidRDefault="006F7221" w14:paraId="68414366"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5E760B32" w14:textId="57DA971A">
      <w:pPr>
        <w:numPr>
          <w:ilvl w:val="0"/>
          <w:numId w:val="27"/>
        </w:numPr>
        <w:spacing w:line="360" w:lineRule="auto"/>
        <w:jc w:val="both"/>
        <w:rPr>
          <w:rFonts w:ascii="Palatino Linotype" w:hAnsi="Palatino Linotype" w:eastAsia="Calibri"/>
          <w:b/>
          <w:bCs/>
          <w:iCs/>
          <w:color w:val="000000" w:themeColor="text1"/>
          <w:sz w:val="22"/>
          <w:szCs w:val="22"/>
          <w:lang w:val="es-ES_tradnl" w:eastAsia="en-US"/>
        </w:rPr>
      </w:pPr>
      <w:r w:rsidRPr="004F54F1">
        <w:rPr>
          <w:rFonts w:ascii="Palatino Linotype" w:hAnsi="Palatino Linotype" w:eastAsia="Calibri"/>
          <w:b/>
          <w:bCs/>
          <w:iCs/>
          <w:color w:val="000000" w:themeColor="text1"/>
          <w:sz w:val="22"/>
          <w:szCs w:val="22"/>
          <w:lang w:val="es-ES_tradnl" w:eastAsia="en-US"/>
        </w:rPr>
        <w:t>Registro Federal de Contribuyentes (RFC).</w:t>
      </w:r>
    </w:p>
    <w:p w:rsidRPr="004F54F1" w:rsidR="008948DC" w:rsidP="008948DC" w:rsidRDefault="008948DC" w14:paraId="77E3A213" w14:textId="77777777">
      <w:pPr>
        <w:spacing w:line="360" w:lineRule="auto"/>
        <w:ind w:left="720"/>
        <w:jc w:val="both"/>
        <w:rPr>
          <w:rFonts w:ascii="Palatino Linotype" w:hAnsi="Palatino Linotype" w:eastAsia="Calibri"/>
          <w:b/>
          <w:bCs/>
          <w:iCs/>
          <w:color w:val="000000" w:themeColor="text1"/>
          <w:sz w:val="22"/>
          <w:szCs w:val="22"/>
          <w:lang w:val="es-ES_tradnl" w:eastAsia="en-US"/>
        </w:rPr>
      </w:pPr>
    </w:p>
    <w:p w:rsidRPr="004F54F1" w:rsidR="006929FF" w:rsidP="008948DC" w:rsidRDefault="006929FF" w14:paraId="7E9618C7"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4F54F1" w:rsidR="006929FF" w:rsidP="008948DC" w:rsidRDefault="006929FF" w14:paraId="5F419189"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71792FB9"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4F54F1" w:rsidR="006929FF" w:rsidP="008948DC" w:rsidRDefault="006929FF" w14:paraId="5128CF2E"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25A10509"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4F54F1" w:rsidR="006929FF" w:rsidP="008948DC" w:rsidRDefault="006929FF" w14:paraId="2D4ADE45"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2C3DD928"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4F54F1" w:rsidR="006929FF" w:rsidP="008948DC" w:rsidRDefault="006929FF" w14:paraId="5BC09012"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0563F9C1"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Lo anterior, resulta congruente con el Criterio 19/17 emitido por el Instituto Nacional de Transparencia, Acceso a la Información y Protección de Datos Personales, en el cual se señala lo siguiente:</w:t>
      </w:r>
    </w:p>
    <w:p w:rsidRPr="004F54F1" w:rsidR="006929FF" w:rsidP="008948DC" w:rsidRDefault="006929FF" w14:paraId="67711436"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7821572C" w14:textId="77777777">
      <w:pPr>
        <w:spacing w:line="360" w:lineRule="auto"/>
        <w:ind w:left="567" w:right="567"/>
        <w:jc w:val="both"/>
        <w:rPr>
          <w:rFonts w:ascii="Palatino Linotype" w:hAnsi="Palatino Linotype" w:eastAsia="Calibri"/>
          <w:bCs/>
          <w:i/>
          <w:iCs/>
          <w:color w:val="000000" w:themeColor="text1"/>
          <w:lang w:eastAsia="en-US"/>
        </w:rPr>
      </w:pPr>
      <w:r w:rsidRPr="004F54F1">
        <w:rPr>
          <w:rFonts w:ascii="Palatino Linotype" w:hAnsi="Palatino Linotype" w:eastAsia="Calibri"/>
          <w:b/>
          <w:bCs/>
          <w:i/>
          <w:iCs/>
          <w:color w:val="000000" w:themeColor="text1"/>
          <w:lang w:eastAsia="en-US"/>
        </w:rPr>
        <w:t>“Registro Federal de Contribuyentes (RFC) de personas físicas.</w:t>
      </w:r>
      <w:r w:rsidRPr="004F54F1">
        <w:rPr>
          <w:rFonts w:ascii="Palatino Linotype" w:hAnsi="Palatino Linotype" w:eastAsia="Calibri"/>
          <w:bCs/>
          <w:i/>
          <w:iCs/>
          <w:color w:val="000000" w:themeColor="text1"/>
          <w:lang w:eastAsia="en-US"/>
        </w:rPr>
        <w:t xml:space="preserve"> El RFC es una clave de carácter fiscal, única e irrepetible, que permite identificar al titular, su edad y fecha de nacimiento, por lo que es un dato personal de carácter confidencial.”</w:t>
      </w:r>
    </w:p>
    <w:p w:rsidRPr="004F54F1" w:rsidR="006929FF" w:rsidP="008948DC" w:rsidRDefault="006929FF" w14:paraId="321A20FB"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2F700989"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4F54F1" w:rsidR="006929FF" w:rsidP="008948DC" w:rsidRDefault="006929FF" w14:paraId="782AAA21"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3920FE7F" w14:textId="77777777">
      <w:pPr>
        <w:numPr>
          <w:ilvl w:val="0"/>
          <w:numId w:val="27"/>
        </w:numPr>
        <w:spacing w:line="360" w:lineRule="auto"/>
        <w:jc w:val="both"/>
        <w:rPr>
          <w:rFonts w:ascii="Palatino Linotype" w:hAnsi="Palatino Linotype" w:eastAsia="Calibri"/>
          <w:b/>
          <w:bCs/>
          <w:iCs/>
          <w:color w:val="000000" w:themeColor="text1"/>
          <w:sz w:val="22"/>
          <w:szCs w:val="22"/>
          <w:lang w:eastAsia="en-US"/>
        </w:rPr>
      </w:pPr>
      <w:r w:rsidRPr="004F54F1">
        <w:rPr>
          <w:rFonts w:ascii="Palatino Linotype" w:hAnsi="Palatino Linotype" w:eastAsia="Calibri"/>
          <w:b/>
          <w:bCs/>
          <w:iCs/>
          <w:color w:val="000000" w:themeColor="text1"/>
          <w:sz w:val="22"/>
          <w:szCs w:val="22"/>
          <w:lang w:eastAsia="en-US"/>
        </w:rPr>
        <w:t>Número de seguridad social del Instituto de Seguridad Social del Estado de México y Municipios.</w:t>
      </w:r>
    </w:p>
    <w:p w:rsidRPr="004F54F1" w:rsidR="006929FF" w:rsidP="008948DC" w:rsidRDefault="006929FF" w14:paraId="41D01D30" w14:textId="77777777">
      <w:pPr>
        <w:spacing w:line="360" w:lineRule="auto"/>
        <w:jc w:val="both"/>
        <w:rPr>
          <w:rFonts w:ascii="Palatino Linotype" w:hAnsi="Palatino Linotype" w:eastAsia="Calibri"/>
          <w:b/>
          <w:bCs/>
          <w:iCs/>
          <w:color w:val="000000" w:themeColor="text1"/>
          <w:sz w:val="22"/>
          <w:szCs w:val="22"/>
          <w:lang w:eastAsia="en-US"/>
        </w:rPr>
      </w:pPr>
    </w:p>
    <w:p w:rsidRPr="004F54F1" w:rsidR="006929FF" w:rsidP="008948DC" w:rsidRDefault="006929FF" w14:paraId="67FC861D"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4F54F1" w:rsidR="006929FF" w:rsidP="008948DC" w:rsidRDefault="006929FF" w14:paraId="5DB1F1E8"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0E9A364A"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w:t>
      </w:r>
      <w:r w:rsidRPr="004F54F1">
        <w:rPr>
          <w:rFonts w:ascii="Palatino Linotype" w:hAnsi="Palatino Linotype" w:eastAsia="Calibri"/>
          <w:bCs/>
          <w:iCs/>
          <w:color w:val="000000" w:themeColor="text1"/>
          <w:sz w:val="22"/>
          <w:szCs w:val="22"/>
          <w:lang w:eastAsia="en-US"/>
        </w:rPr>
        <w:lastRenderedPageBreak/>
        <w:t>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4F54F1" w:rsidR="006929FF" w:rsidP="008948DC" w:rsidRDefault="006929FF" w14:paraId="4D2162AA"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14D2ECED"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4F54F1" w:rsidR="006929FF" w:rsidP="008948DC" w:rsidRDefault="006929FF" w14:paraId="7AD7F96A"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4A8855FD" w14:textId="77777777">
      <w:pPr>
        <w:spacing w:line="360" w:lineRule="auto"/>
        <w:jc w:val="both"/>
        <w:rPr>
          <w:rFonts w:ascii="Palatino Linotype" w:hAnsi="Palatino Linotype" w:eastAsia="Calibri"/>
          <w:bCs/>
          <w:iCs/>
          <w:color w:val="000000" w:themeColor="text1"/>
          <w:sz w:val="22"/>
          <w:szCs w:val="22"/>
          <w:lang w:eastAsia="en-US"/>
        </w:rPr>
      </w:pPr>
      <w:r w:rsidRPr="004F54F1">
        <w:rPr>
          <w:rFonts w:ascii="Palatino Linotype" w:hAnsi="Palatino Linotype" w:eastAsia="Calibri"/>
          <w:bCs/>
          <w:iCs/>
          <w:color w:val="000000" w:themeColor="text1"/>
          <w:sz w:val="22"/>
          <w:szCs w:val="22"/>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4F54F1" w:rsidR="006929FF" w:rsidP="008948DC" w:rsidRDefault="006929FF" w14:paraId="6B5795C3" w14:textId="77777777">
      <w:pPr>
        <w:spacing w:line="360" w:lineRule="auto"/>
        <w:jc w:val="both"/>
        <w:rPr>
          <w:rFonts w:ascii="Palatino Linotype" w:hAnsi="Palatino Linotype" w:eastAsia="Calibri"/>
          <w:bCs/>
          <w:iCs/>
          <w:color w:val="000000" w:themeColor="text1"/>
          <w:sz w:val="22"/>
          <w:szCs w:val="22"/>
          <w:lang w:eastAsia="en-US"/>
        </w:rPr>
      </w:pPr>
    </w:p>
    <w:p w:rsidRPr="004F54F1" w:rsidR="006929FF" w:rsidP="008948DC" w:rsidRDefault="006929FF" w14:paraId="1A19454A" w14:textId="77777777">
      <w:pPr>
        <w:numPr>
          <w:ilvl w:val="0"/>
          <w:numId w:val="27"/>
        </w:numPr>
        <w:spacing w:line="360" w:lineRule="auto"/>
        <w:jc w:val="both"/>
        <w:rPr>
          <w:rFonts w:ascii="Palatino Linotype" w:hAnsi="Palatino Linotype" w:eastAsia="Calibri"/>
          <w:b/>
          <w:bCs/>
          <w:color w:val="000000" w:themeColor="text1"/>
          <w:sz w:val="22"/>
          <w:szCs w:val="22"/>
          <w:lang w:eastAsia="en-US"/>
        </w:rPr>
      </w:pPr>
      <w:r w:rsidRPr="004F54F1">
        <w:rPr>
          <w:rFonts w:ascii="Palatino Linotype" w:hAnsi="Palatino Linotype" w:eastAsia="Calibri"/>
          <w:b/>
          <w:bCs/>
          <w:color w:val="000000" w:themeColor="text1"/>
          <w:sz w:val="22"/>
          <w:szCs w:val="22"/>
          <w:lang w:eastAsia="en-US"/>
        </w:rPr>
        <w:t xml:space="preserve">Deducciones personales. </w:t>
      </w:r>
    </w:p>
    <w:p w:rsidRPr="004F54F1" w:rsidR="006929FF" w:rsidP="008948DC" w:rsidRDefault="006929FF" w14:paraId="5683EDA4" w14:textId="77777777">
      <w:pPr>
        <w:spacing w:line="360" w:lineRule="auto"/>
        <w:jc w:val="both"/>
        <w:rPr>
          <w:rFonts w:ascii="Palatino Linotype" w:hAnsi="Palatino Linotype" w:eastAsia="Calibri"/>
          <w:b/>
          <w:bCs/>
          <w:iCs/>
          <w:color w:val="000000" w:themeColor="text1"/>
          <w:sz w:val="22"/>
          <w:szCs w:val="22"/>
          <w:lang w:eastAsia="en-US"/>
        </w:rPr>
      </w:pPr>
    </w:p>
    <w:p w:rsidRPr="004F54F1" w:rsidR="006929FF" w:rsidP="008948DC" w:rsidRDefault="006929FF" w14:paraId="1E408A8A"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4F54F1">
        <w:rPr>
          <w:rFonts w:ascii="Palatino Linotype" w:hAnsi="Palatino Linotype" w:eastAsia="Calibri"/>
          <w:bCs/>
          <w:color w:val="000000" w:themeColor="text1"/>
          <w:sz w:val="22"/>
          <w:szCs w:val="22"/>
          <w:lang w:eastAsia="en-US"/>
        </w:rPr>
        <w:lastRenderedPageBreak/>
        <w:t>Institución Descentralizadas del Estado de México, seguro de vida, accidentes y enfermedades.</w:t>
      </w:r>
    </w:p>
    <w:p w:rsidRPr="004F54F1" w:rsidR="006929FF" w:rsidP="008948DC" w:rsidRDefault="006929FF" w14:paraId="2D0FA16E"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4BB0D5DF"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rsidRPr="004F54F1" w:rsidR="006929FF" w:rsidP="008948DC" w:rsidRDefault="006929FF" w14:paraId="5A09AED7"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40855E59"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4F54F1" w:rsidR="006929FF" w:rsidP="008948DC" w:rsidRDefault="006929FF" w14:paraId="578159EB"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18636131"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4F54F1" w:rsidR="008948DC" w:rsidP="008948DC" w:rsidRDefault="008948DC" w14:paraId="568299F8" w14:textId="77777777">
      <w:pPr>
        <w:spacing w:line="360" w:lineRule="auto"/>
        <w:ind w:left="720"/>
        <w:jc w:val="both"/>
        <w:rPr>
          <w:rFonts w:ascii="Palatino Linotype" w:hAnsi="Palatino Linotype" w:eastAsia="Calibri"/>
          <w:b/>
          <w:bCs/>
          <w:iCs/>
          <w:color w:val="000000" w:themeColor="text1"/>
          <w:sz w:val="22"/>
          <w:szCs w:val="22"/>
          <w:lang w:val="es-ES_tradnl" w:eastAsia="en-US"/>
        </w:rPr>
      </w:pPr>
    </w:p>
    <w:p w:rsidRPr="004F54F1" w:rsidR="006929FF" w:rsidP="008948DC" w:rsidRDefault="006929FF" w14:paraId="5D5F3323" w14:textId="72CDA6BD">
      <w:pPr>
        <w:numPr>
          <w:ilvl w:val="0"/>
          <w:numId w:val="27"/>
        </w:numPr>
        <w:spacing w:line="360" w:lineRule="auto"/>
        <w:jc w:val="both"/>
        <w:rPr>
          <w:rFonts w:ascii="Palatino Linotype" w:hAnsi="Palatino Linotype" w:eastAsia="Calibri"/>
          <w:b/>
          <w:bCs/>
          <w:iCs/>
          <w:color w:val="000000" w:themeColor="text1"/>
          <w:sz w:val="22"/>
          <w:szCs w:val="22"/>
          <w:lang w:val="es-ES_tradnl" w:eastAsia="en-US"/>
        </w:rPr>
      </w:pPr>
      <w:r w:rsidRPr="004F54F1">
        <w:rPr>
          <w:rFonts w:ascii="Palatino Linotype" w:hAnsi="Palatino Linotype" w:eastAsia="Calibri"/>
          <w:b/>
          <w:bCs/>
          <w:iCs/>
          <w:color w:val="000000" w:themeColor="text1"/>
          <w:sz w:val="22"/>
          <w:szCs w:val="22"/>
          <w:lang w:val="es-ES_tradnl" w:eastAsia="en-US"/>
        </w:rPr>
        <w:t>Número de empleado</w:t>
      </w:r>
    </w:p>
    <w:p w:rsidRPr="004F54F1" w:rsidR="006929FF" w:rsidP="008948DC" w:rsidRDefault="006929FF" w14:paraId="2839A83F" w14:textId="77777777">
      <w:pPr>
        <w:spacing w:line="360" w:lineRule="auto"/>
        <w:jc w:val="both"/>
        <w:rPr>
          <w:rFonts w:ascii="Palatino Linotype" w:hAnsi="Palatino Linotype" w:eastAsia="Calibri"/>
          <w:b/>
          <w:bCs/>
          <w:iCs/>
          <w:color w:val="000000" w:themeColor="text1"/>
          <w:sz w:val="22"/>
          <w:szCs w:val="22"/>
          <w:lang w:val="es-ES_tradnl" w:eastAsia="en-US"/>
        </w:rPr>
      </w:pPr>
    </w:p>
    <w:p w:rsidRPr="004F54F1" w:rsidR="006929FF" w:rsidP="008948DC" w:rsidRDefault="006929FF" w14:paraId="46F84D42"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4F54F1" w:rsidR="006929FF" w:rsidP="008948DC" w:rsidRDefault="006929FF" w14:paraId="3EB8A4AF" w14:textId="2AC39DC9">
      <w:pPr>
        <w:spacing w:line="360" w:lineRule="auto"/>
        <w:jc w:val="both"/>
        <w:rPr>
          <w:rFonts w:ascii="Palatino Linotype" w:hAnsi="Palatino Linotype" w:eastAsia="Calibri"/>
          <w:bCs/>
          <w:color w:val="000000" w:themeColor="text1"/>
          <w:sz w:val="22"/>
          <w:szCs w:val="22"/>
          <w:lang w:eastAsia="en-US"/>
        </w:rPr>
      </w:pPr>
    </w:p>
    <w:p w:rsidRPr="004F54F1" w:rsidR="006F7221" w:rsidP="008948DC" w:rsidRDefault="006F7221" w14:paraId="2D88F9EB" w14:textId="7AE8744D">
      <w:pPr>
        <w:spacing w:line="360" w:lineRule="auto"/>
        <w:jc w:val="both"/>
        <w:rPr>
          <w:rFonts w:ascii="Palatino Linotype" w:hAnsi="Palatino Linotype" w:eastAsia="Calibri"/>
          <w:bCs/>
          <w:color w:val="000000" w:themeColor="text1"/>
          <w:sz w:val="22"/>
          <w:szCs w:val="22"/>
          <w:lang w:eastAsia="en-US"/>
        </w:rPr>
      </w:pPr>
    </w:p>
    <w:p w:rsidRPr="004F54F1" w:rsidR="006F7221" w:rsidP="008948DC" w:rsidRDefault="006F7221" w14:paraId="42C29633"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4C92A0E5"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4F54F1" w:rsidR="006929FF" w:rsidP="008948DC" w:rsidRDefault="006929FF" w14:paraId="30334A6F"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3ABB449D" w14:textId="77777777">
      <w:pPr>
        <w:spacing w:line="360" w:lineRule="auto"/>
        <w:jc w:val="both"/>
        <w:rPr>
          <w:rFonts w:ascii="Palatino Linotype" w:hAnsi="Palatino Linotype" w:eastAsia="Calibri"/>
          <w:bCs/>
          <w:color w:val="000000" w:themeColor="text1"/>
          <w:sz w:val="22"/>
          <w:szCs w:val="22"/>
          <w:lang w:eastAsia="en-US"/>
        </w:rPr>
      </w:pPr>
      <w:r w:rsidRPr="004F54F1">
        <w:rPr>
          <w:rFonts w:ascii="Palatino Linotype" w:hAnsi="Palatino Linotype" w:eastAsia="Calibri"/>
          <w:bCs/>
          <w:color w:val="000000" w:themeColor="text1"/>
          <w:sz w:val="22"/>
          <w:szCs w:val="22"/>
          <w:lang w:eastAsia="en-US"/>
        </w:rPr>
        <w:t>Lo anterior, toma sustento en el Criterio 06/19, emitido por el Instituto Nacional de Transparencia, Acceso a la Información y Protección de Datos Personales, que establece lo siguiente:</w:t>
      </w:r>
    </w:p>
    <w:p w:rsidRPr="004F54F1" w:rsidR="006929FF" w:rsidP="008948DC" w:rsidRDefault="006929FF" w14:paraId="3D440F08" w14:textId="77777777">
      <w:pPr>
        <w:spacing w:line="360" w:lineRule="auto"/>
        <w:ind w:left="567" w:right="567"/>
        <w:jc w:val="both"/>
        <w:rPr>
          <w:rFonts w:ascii="Palatino Linotype" w:hAnsi="Palatino Linotype" w:eastAsia="Calibri"/>
          <w:b/>
          <w:bCs/>
          <w:i/>
          <w:iCs/>
          <w:color w:val="000000" w:themeColor="text1"/>
          <w:lang w:eastAsia="en-US"/>
        </w:rPr>
      </w:pPr>
    </w:p>
    <w:p w:rsidRPr="004F54F1" w:rsidR="006929FF" w:rsidP="008948DC" w:rsidRDefault="006929FF" w14:paraId="77017122" w14:textId="77777777">
      <w:pPr>
        <w:spacing w:line="360" w:lineRule="auto"/>
        <w:ind w:left="567" w:right="567"/>
        <w:jc w:val="both"/>
        <w:rPr>
          <w:rFonts w:ascii="Palatino Linotype" w:hAnsi="Palatino Linotype" w:eastAsia="Calibri"/>
          <w:b/>
          <w:bCs/>
          <w:i/>
          <w:iCs/>
          <w:color w:val="000000" w:themeColor="text1"/>
          <w:lang w:eastAsia="en-US"/>
        </w:rPr>
      </w:pPr>
      <w:r w:rsidRPr="004F54F1">
        <w:rPr>
          <w:rFonts w:ascii="Palatino Linotype" w:hAnsi="Palatino Linotype" w:eastAsia="Calibri"/>
          <w:b/>
          <w:bCs/>
          <w:i/>
          <w:iCs/>
          <w:color w:val="000000" w:themeColor="text1"/>
          <w:lang w:eastAsia="en-US"/>
        </w:rPr>
        <w:t xml:space="preserve">“Número de empleado. </w:t>
      </w:r>
      <w:r w:rsidRPr="004F54F1">
        <w:rPr>
          <w:rFonts w:ascii="Palatino Linotype" w:hAnsi="Palatino Linotype" w:eastAsia="Calibri"/>
          <w:i/>
          <w:iCs/>
          <w:color w:val="000000" w:themeColor="text1"/>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Pr="004F54F1" w:rsidR="006929FF" w:rsidP="008948DC" w:rsidRDefault="006929FF" w14:paraId="0D5E0D48" w14:textId="77777777">
      <w:pPr>
        <w:spacing w:line="360" w:lineRule="auto"/>
        <w:jc w:val="both"/>
        <w:rPr>
          <w:rFonts w:ascii="Palatino Linotype" w:hAnsi="Palatino Linotype" w:eastAsia="Calibri"/>
          <w:bCs/>
          <w:color w:val="000000" w:themeColor="text1"/>
          <w:sz w:val="22"/>
          <w:szCs w:val="22"/>
          <w:lang w:eastAsia="en-US"/>
        </w:rPr>
      </w:pPr>
    </w:p>
    <w:p w:rsidRPr="004F54F1" w:rsidR="006929FF" w:rsidP="008948DC" w:rsidRDefault="006929FF" w14:paraId="6C30343B" w14:textId="3A4F659F">
      <w:pPr>
        <w:spacing w:line="360" w:lineRule="auto"/>
        <w:jc w:val="both"/>
        <w:rPr>
          <w:rFonts w:ascii="Palatino Linotype" w:hAnsi="Palatino Linotype" w:eastAsia="Calibri" w:cs="Tahoma"/>
          <w:bCs/>
          <w:iCs/>
          <w:sz w:val="22"/>
          <w:szCs w:val="22"/>
          <w:lang w:eastAsia="en-US"/>
        </w:rPr>
      </w:pPr>
      <w:r w:rsidRPr="004F54F1">
        <w:rPr>
          <w:rFonts w:ascii="Palatino Linotype" w:hAnsi="Palatino Linotype" w:eastAsia="Calibri"/>
          <w:bCs/>
          <w:color w:val="000000" w:themeColor="text1"/>
          <w:sz w:val="22"/>
          <w:szCs w:val="22"/>
          <w:lang w:eastAsia="en-US"/>
        </w:rPr>
        <w:t>Así, se colige que solamente procederá la clasificación del número de empleado, cuando se integre con datos personales de los servidores públicos o funcione como clave de acceso que no requiera una</w:t>
      </w:r>
      <w:r w:rsidRPr="004F54F1">
        <w:rPr>
          <w:rFonts w:ascii="Palatino Linotype" w:hAnsi="Palatino Linotype" w:eastAsia="Calibri" w:cs="Tahoma"/>
          <w:bCs/>
          <w:iCs/>
          <w:sz w:val="22"/>
          <w:szCs w:val="22"/>
          <w:lang w:eastAsia="en-US"/>
        </w:rPr>
        <w:t xml:space="preserve"> contraseña para ingresar a sistemas o bases de datos</w:t>
      </w:r>
      <w:r w:rsidRPr="004F54F1" w:rsidR="00D300D0">
        <w:rPr>
          <w:rFonts w:ascii="Palatino Linotype" w:hAnsi="Palatino Linotype" w:eastAsia="Calibri" w:cs="Tahoma"/>
          <w:bCs/>
          <w:iCs/>
          <w:sz w:val="22"/>
          <w:szCs w:val="22"/>
          <w:lang w:eastAsia="en-US"/>
        </w:rPr>
        <w:t>; en el presente caso, el número de empleado</w:t>
      </w:r>
      <w:r w:rsidRPr="004F54F1" w:rsidR="00AD1776">
        <w:rPr>
          <w:rFonts w:ascii="Palatino Linotype" w:hAnsi="Palatino Linotype" w:eastAsia="Calibri" w:cs="Tahoma"/>
          <w:bCs/>
          <w:iCs/>
          <w:sz w:val="22"/>
          <w:szCs w:val="22"/>
          <w:lang w:eastAsia="en-US"/>
        </w:rPr>
        <w:t>, únicamente se conforma por una serie de número, que no dan cuenta de información personal del trabajador, por lo que, no procede su clasificación, al no actualizar la causal de procedencia establecida en el artículo 143, fracción I, de la Ley de Transparencia y Acceso a la Información Pública del Estado de México y Municipios.</w:t>
      </w:r>
    </w:p>
    <w:p w:rsidRPr="004F54F1" w:rsidR="00AD1776" w:rsidP="008948DC" w:rsidRDefault="00AD1776" w14:paraId="12FA657E" w14:textId="2B144640">
      <w:pPr>
        <w:spacing w:line="360" w:lineRule="auto"/>
        <w:jc w:val="both"/>
        <w:rPr>
          <w:rFonts w:ascii="Palatino Linotype" w:hAnsi="Palatino Linotype" w:eastAsia="Calibri" w:cs="Tahoma"/>
          <w:bCs/>
          <w:iCs/>
          <w:sz w:val="22"/>
          <w:szCs w:val="22"/>
          <w:lang w:eastAsia="en-US"/>
        </w:rPr>
      </w:pPr>
    </w:p>
    <w:p w:rsidRPr="004F54F1" w:rsidR="00AD1776" w:rsidP="008948DC" w:rsidRDefault="00AD1776" w14:paraId="43D7D6EC" w14:textId="73A06148">
      <w:pPr>
        <w:spacing w:line="360" w:lineRule="auto"/>
        <w:jc w:val="both"/>
        <w:rPr>
          <w:rFonts w:ascii="Palatino Linotype" w:hAnsi="Palatino Linotype" w:eastAsia="Calibri" w:cs="Tahoma"/>
          <w:bCs/>
          <w:iCs/>
          <w:sz w:val="22"/>
          <w:szCs w:val="22"/>
          <w:lang w:eastAsia="en-US"/>
        </w:rPr>
      </w:pPr>
      <w:r w:rsidRPr="004F54F1">
        <w:rPr>
          <w:rFonts w:ascii="Palatino Linotype" w:hAnsi="Palatino Linotype" w:eastAsia="Calibri" w:cs="Tahoma"/>
          <w:bCs/>
          <w:iCs/>
          <w:sz w:val="22"/>
          <w:szCs w:val="22"/>
          <w:lang w:eastAsia="en-US"/>
        </w:rPr>
        <w:t xml:space="preserve">Además, es de señalar que el Comité de Transparencia, clasificó dicho dato, cuando es de naturaleza pública, por lo que, no se puede validar el Acuerdo emitido; por lo que, en el </w:t>
      </w:r>
      <w:r w:rsidRPr="004F54F1">
        <w:rPr>
          <w:rFonts w:ascii="Palatino Linotype" w:hAnsi="Palatino Linotype" w:eastAsia="Calibri" w:cs="Tahoma"/>
          <w:bCs/>
          <w:iCs/>
          <w:sz w:val="22"/>
          <w:szCs w:val="22"/>
          <w:lang w:eastAsia="en-US"/>
        </w:rPr>
        <w:lastRenderedPageBreak/>
        <w:t>presente caso, el Sujeto Obligado deberá entregar</w:t>
      </w:r>
      <w:r w:rsidRPr="004F54F1" w:rsidR="000D4754">
        <w:rPr>
          <w:rFonts w:ascii="Palatino Linotype" w:hAnsi="Palatino Linotype" w:eastAsia="Calibri" w:cs="Tahoma"/>
          <w:bCs/>
          <w:iCs/>
          <w:sz w:val="22"/>
          <w:szCs w:val="22"/>
          <w:lang w:eastAsia="en-US"/>
        </w:rPr>
        <w:t>, en versión pública, los recibos de pago entregados en respuesta, que contenga el departamento, y el Acuerdo del Comité donde clasifique de manera correcta, los datos personales, consistente en el Registro Federal de Contribuyentes, el número de seguridad social del Instituto de Seguridad Social del Estado de México y Municipios y las deducciones personales.</w:t>
      </w:r>
    </w:p>
    <w:p w:rsidRPr="004F54F1" w:rsidR="00CC0275" w:rsidP="008948DC" w:rsidRDefault="00CC0275" w14:paraId="6AC0F779" w14:textId="77777777">
      <w:pPr>
        <w:spacing w:line="360" w:lineRule="auto"/>
        <w:jc w:val="both"/>
        <w:rPr>
          <w:rFonts w:ascii="Palatino Linotype" w:hAnsi="Palatino Linotype" w:eastAsia="Calibri" w:cs="Tahoma"/>
          <w:bCs/>
          <w:iCs/>
          <w:sz w:val="22"/>
          <w:szCs w:val="22"/>
          <w:lang w:eastAsia="en-US"/>
        </w:rPr>
      </w:pPr>
    </w:p>
    <w:p w:rsidRPr="004F54F1" w:rsidR="006A7CAA" w:rsidP="008948DC" w:rsidRDefault="006A7CAA" w14:paraId="7AD38835" w14:textId="77777777">
      <w:pPr>
        <w:spacing w:line="360" w:lineRule="auto"/>
        <w:jc w:val="both"/>
        <w:rPr>
          <w:rFonts w:ascii="Palatino Linotype" w:hAnsi="Palatino Linotype" w:cs="Tahoma"/>
          <w:b/>
          <w:sz w:val="22"/>
          <w:szCs w:val="22"/>
        </w:rPr>
      </w:pPr>
      <w:r w:rsidRPr="004F54F1">
        <w:rPr>
          <w:rFonts w:ascii="Palatino Linotype" w:hAnsi="Palatino Linotype" w:cs="Tahoma"/>
          <w:b/>
          <w:sz w:val="22"/>
          <w:szCs w:val="22"/>
        </w:rPr>
        <w:t xml:space="preserve">SEXTO. Decisión. </w:t>
      </w:r>
    </w:p>
    <w:p w:rsidRPr="004F54F1" w:rsidR="006A7CAA" w:rsidP="008948DC" w:rsidRDefault="006A7CAA" w14:paraId="201D5796" w14:textId="77777777">
      <w:pPr>
        <w:spacing w:line="360" w:lineRule="auto"/>
        <w:jc w:val="both"/>
        <w:rPr>
          <w:rFonts w:ascii="Palatino Linotype" w:hAnsi="Palatino Linotype" w:cs="Tahoma"/>
          <w:bCs/>
          <w:sz w:val="22"/>
          <w:szCs w:val="22"/>
        </w:rPr>
      </w:pPr>
    </w:p>
    <w:p w:rsidRPr="004F54F1" w:rsidR="000D4754" w:rsidP="000D4754" w:rsidRDefault="000D4754" w14:paraId="516F2F53" w14:textId="2DBE3826">
      <w:pPr>
        <w:widowControl w:val="0"/>
        <w:spacing w:line="360" w:lineRule="auto"/>
        <w:jc w:val="both"/>
        <w:rPr>
          <w:rFonts w:ascii="Palatino Linotype" w:hAnsi="Palatino Linotype" w:eastAsia="Calibri" w:cs="Tahoma"/>
          <w:iCs/>
          <w:color w:val="000000" w:themeColor="text1"/>
          <w:sz w:val="22"/>
          <w:szCs w:val="22"/>
          <w:lang w:eastAsia="es-ES_tradnl"/>
        </w:rPr>
      </w:pPr>
      <w:r w:rsidRPr="004F54F1">
        <w:rPr>
          <w:rFonts w:ascii="Palatino Linotype" w:hAnsi="Palatino Linotype" w:eastAsia="Calibri" w:cs="Tahoma"/>
          <w:color w:val="000000" w:themeColor="text1"/>
          <w:sz w:val="22"/>
          <w:szCs w:val="22"/>
          <w:lang w:eastAsia="en-US"/>
        </w:rPr>
        <w:t xml:space="preserve">Con fundamento en el artículo 186, fracción III, de la Ley de Transparencia y Acceso a la Información Pública del Estado de México y Municipios, este Instituto considera procedente </w:t>
      </w:r>
      <w:r w:rsidRPr="004F54F1">
        <w:rPr>
          <w:rFonts w:ascii="Palatino Linotype" w:hAnsi="Palatino Linotype" w:eastAsia="Calibri" w:cs="Tahoma"/>
          <w:b/>
          <w:color w:val="000000" w:themeColor="text1"/>
          <w:sz w:val="22"/>
          <w:szCs w:val="22"/>
          <w:lang w:eastAsia="en-US"/>
        </w:rPr>
        <w:t xml:space="preserve">MODICAR </w:t>
      </w:r>
      <w:r w:rsidRPr="004F54F1">
        <w:rPr>
          <w:rFonts w:ascii="Palatino Linotype" w:hAnsi="Palatino Linotype" w:eastAsia="Calibri" w:cs="Tahoma"/>
          <w:bCs/>
          <w:color w:val="000000" w:themeColor="text1"/>
          <w:sz w:val="22"/>
          <w:szCs w:val="22"/>
          <w:lang w:eastAsia="en-US"/>
        </w:rPr>
        <w:t>la</w:t>
      </w:r>
      <w:r w:rsidRPr="004F54F1">
        <w:rPr>
          <w:rFonts w:ascii="Palatino Linotype" w:hAnsi="Palatino Linotype" w:eastAsia="Calibri" w:cs="Tahoma"/>
          <w:color w:val="000000" w:themeColor="text1"/>
          <w:sz w:val="22"/>
          <w:szCs w:val="22"/>
          <w:lang w:eastAsia="en-US"/>
        </w:rPr>
        <w:t xml:space="preserve"> respuesta otorgada por el Ayuntamiento de Atizapán de Zaragoza, e instruye al Sujeto Obligado a efecto de que, entregue, </w:t>
      </w:r>
      <w:r w:rsidRPr="004F54F1">
        <w:rPr>
          <w:rFonts w:ascii="Palatino Linotype" w:hAnsi="Palatino Linotype" w:eastAsia="Calibri" w:cs="Tahoma"/>
          <w:iCs/>
          <w:color w:val="000000" w:themeColor="text1"/>
          <w:sz w:val="22"/>
          <w:szCs w:val="22"/>
          <w:lang w:eastAsia="es-ES_tradnl"/>
        </w:rPr>
        <w:t>a través del Sistema de Acceso a la Información Mexiquense (SAIMEX), en versión pública, los recibos de nómina entregados en respuesta, que incluyan el Departamento de adscripción.</w:t>
      </w:r>
    </w:p>
    <w:p w:rsidRPr="004F54F1" w:rsidR="000D4754" w:rsidP="000D4754" w:rsidRDefault="000D4754" w14:paraId="317768C2" w14:textId="6156B717">
      <w:pPr>
        <w:widowControl w:val="0"/>
        <w:spacing w:line="360" w:lineRule="auto"/>
        <w:jc w:val="both"/>
        <w:rPr>
          <w:rFonts w:ascii="Palatino Linotype" w:hAnsi="Palatino Linotype" w:eastAsia="Calibri" w:cs="Tahoma"/>
          <w:iCs/>
          <w:color w:val="000000" w:themeColor="text1"/>
          <w:sz w:val="22"/>
          <w:szCs w:val="22"/>
          <w:lang w:eastAsia="es-ES_tradnl"/>
        </w:rPr>
      </w:pPr>
    </w:p>
    <w:p w:rsidRPr="004F54F1" w:rsidR="00CC0275" w:rsidP="00CC0275" w:rsidRDefault="00CC0275" w14:paraId="7B836677" w14:textId="77777777">
      <w:pPr>
        <w:tabs>
          <w:tab w:val="left" w:pos="4962"/>
        </w:tabs>
        <w:spacing w:line="360" w:lineRule="auto"/>
        <w:jc w:val="both"/>
        <w:rPr>
          <w:rFonts w:ascii="Palatino Linotype" w:hAnsi="Palatino Linotype" w:eastAsia="Calibri" w:cs="Tahoma"/>
          <w:bCs/>
          <w:iCs/>
          <w:sz w:val="22"/>
          <w:szCs w:val="22"/>
          <w:lang w:val="es-ES" w:eastAsia="en-US"/>
        </w:rPr>
      </w:pPr>
      <w:r w:rsidRPr="004F54F1">
        <w:rPr>
          <w:rFonts w:ascii="Palatino Linotype" w:hAnsi="Palatino Linotype" w:eastAsia="Calibri"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4F54F1" w:rsidR="006A7CAA" w:rsidP="008948DC" w:rsidRDefault="006A7CAA" w14:paraId="7A5B9335" w14:textId="77777777">
      <w:pPr>
        <w:spacing w:line="360" w:lineRule="auto"/>
        <w:jc w:val="both"/>
        <w:rPr>
          <w:rFonts w:ascii="Palatino Linotype" w:hAnsi="Palatino Linotype" w:cs="Tahoma"/>
          <w:bCs/>
          <w:sz w:val="22"/>
          <w:szCs w:val="22"/>
        </w:rPr>
      </w:pPr>
    </w:p>
    <w:p w:rsidRPr="004F54F1" w:rsidR="006A7CAA" w:rsidP="008948DC" w:rsidRDefault="006A7CAA" w14:paraId="262B6199" w14:textId="77777777">
      <w:pPr>
        <w:spacing w:line="360" w:lineRule="auto"/>
        <w:jc w:val="both"/>
        <w:rPr>
          <w:rFonts w:ascii="Palatino Linotype" w:hAnsi="Palatino Linotype" w:cs="Tahoma"/>
          <w:b/>
          <w:sz w:val="22"/>
          <w:szCs w:val="22"/>
        </w:rPr>
      </w:pPr>
      <w:r w:rsidRPr="004F54F1">
        <w:rPr>
          <w:rFonts w:ascii="Palatino Linotype" w:hAnsi="Palatino Linotype" w:cs="Tahoma"/>
          <w:b/>
          <w:sz w:val="22"/>
          <w:szCs w:val="22"/>
        </w:rPr>
        <w:t>Términos de la Resolución para conocimiento del Particular.</w:t>
      </w:r>
    </w:p>
    <w:p w:rsidRPr="004F54F1" w:rsidR="006A7CAA" w:rsidP="008948DC" w:rsidRDefault="006A7CAA" w14:paraId="694C0279" w14:textId="77777777">
      <w:pPr>
        <w:spacing w:line="360" w:lineRule="auto"/>
        <w:jc w:val="both"/>
        <w:rPr>
          <w:rFonts w:ascii="Palatino Linotype" w:hAnsi="Palatino Linotype" w:cs="Tahoma"/>
          <w:bCs/>
          <w:sz w:val="22"/>
          <w:szCs w:val="22"/>
        </w:rPr>
      </w:pPr>
    </w:p>
    <w:p w:rsidRPr="004F54F1" w:rsidR="00CC0275" w:rsidP="008948DC" w:rsidRDefault="006A7CAA" w14:paraId="7EABDB10" w14:textId="53A50EF4">
      <w:pPr>
        <w:spacing w:line="360" w:lineRule="auto"/>
        <w:jc w:val="both"/>
        <w:rPr>
          <w:rFonts w:ascii="Palatino Linotype" w:hAnsi="Palatino Linotype" w:cs="Tahoma"/>
          <w:bCs/>
          <w:sz w:val="22"/>
          <w:szCs w:val="22"/>
        </w:rPr>
      </w:pPr>
      <w:r w:rsidRPr="004F54F1">
        <w:rPr>
          <w:rFonts w:ascii="Palatino Linotype" w:hAnsi="Palatino Linotype" w:cs="Tahoma"/>
          <w:bCs/>
          <w:sz w:val="22"/>
          <w:szCs w:val="22"/>
        </w:rPr>
        <w:t xml:space="preserve">Se le hace del conocimiento al Particular, que, en el presente caso, </w:t>
      </w:r>
      <w:r w:rsidRPr="004F54F1" w:rsidR="00CC0275">
        <w:rPr>
          <w:rFonts w:ascii="Palatino Linotype" w:hAnsi="Palatino Linotype" w:cs="Tahoma"/>
          <w:bCs/>
          <w:sz w:val="22"/>
          <w:szCs w:val="22"/>
        </w:rPr>
        <w:t>s</w:t>
      </w:r>
      <w:r w:rsidRPr="004F54F1">
        <w:rPr>
          <w:rFonts w:ascii="Palatino Linotype" w:hAnsi="Palatino Linotype" w:cs="Tahoma"/>
          <w:bCs/>
          <w:sz w:val="22"/>
          <w:szCs w:val="22"/>
        </w:rPr>
        <w:t xml:space="preserve">e le da la razón pues el Sujeto Obligado </w:t>
      </w:r>
      <w:r w:rsidRPr="004F54F1" w:rsidR="00716EC1">
        <w:rPr>
          <w:rFonts w:ascii="Palatino Linotype" w:hAnsi="Palatino Linotype" w:cs="Tahoma"/>
          <w:bCs/>
          <w:sz w:val="22"/>
          <w:szCs w:val="22"/>
        </w:rPr>
        <w:t>remitió</w:t>
      </w:r>
      <w:r w:rsidRPr="004F54F1" w:rsidR="00CC0275">
        <w:rPr>
          <w:rFonts w:ascii="Palatino Linotype" w:hAnsi="Palatino Linotype" w:cs="Tahoma"/>
          <w:bCs/>
          <w:sz w:val="22"/>
          <w:szCs w:val="22"/>
        </w:rPr>
        <w:t xml:space="preserve"> algunos recibos de nómina sin el área de adscripción de los servidores públicos, por lo que, deberá entregar dichas documentales de manera correcta.</w:t>
      </w:r>
    </w:p>
    <w:p w:rsidRPr="004F54F1" w:rsidR="00716EC1" w:rsidP="008948DC" w:rsidRDefault="00716EC1" w14:paraId="0D1525EC" w14:textId="3E08EF7B">
      <w:pPr>
        <w:spacing w:line="360" w:lineRule="auto"/>
        <w:jc w:val="both"/>
        <w:rPr>
          <w:rFonts w:ascii="Palatino Linotype" w:hAnsi="Palatino Linotype" w:cs="Tahoma"/>
          <w:bCs/>
          <w:sz w:val="22"/>
          <w:szCs w:val="22"/>
        </w:rPr>
      </w:pPr>
    </w:p>
    <w:p w:rsidRPr="004F54F1" w:rsidR="006F7221" w:rsidP="008948DC" w:rsidRDefault="006F7221" w14:paraId="77D80A10" w14:textId="3606F37C">
      <w:pPr>
        <w:spacing w:line="360" w:lineRule="auto"/>
        <w:jc w:val="both"/>
        <w:rPr>
          <w:rFonts w:ascii="Palatino Linotype" w:hAnsi="Palatino Linotype" w:cs="Tahoma"/>
          <w:bCs/>
          <w:sz w:val="22"/>
          <w:szCs w:val="22"/>
        </w:rPr>
      </w:pPr>
    </w:p>
    <w:p w:rsidRPr="004F54F1" w:rsidR="006F7221" w:rsidP="008948DC" w:rsidRDefault="006F7221" w14:paraId="43B7B6A3" w14:textId="77777777">
      <w:pPr>
        <w:spacing w:line="360" w:lineRule="auto"/>
        <w:jc w:val="both"/>
        <w:rPr>
          <w:rFonts w:ascii="Palatino Linotype" w:hAnsi="Palatino Linotype" w:cs="Tahoma"/>
          <w:bCs/>
          <w:sz w:val="22"/>
          <w:szCs w:val="22"/>
        </w:rPr>
      </w:pPr>
    </w:p>
    <w:p w:rsidRPr="004F54F1" w:rsidR="00CC0275" w:rsidP="00CC0275" w:rsidRDefault="00CC0275" w14:paraId="506925D7" w14:textId="77777777">
      <w:pPr>
        <w:spacing w:line="360" w:lineRule="auto"/>
        <w:ind w:right="-28"/>
        <w:jc w:val="both"/>
        <w:rPr>
          <w:rFonts w:ascii="Palatino Linotype" w:hAnsi="Palatino Linotype" w:eastAsia="Calibri" w:cs="Tahoma"/>
          <w:color w:val="000000" w:themeColor="text1"/>
          <w:sz w:val="22"/>
          <w:szCs w:val="22"/>
          <w:lang w:eastAsia="en-US"/>
        </w:rPr>
      </w:pPr>
      <w:r w:rsidRPr="004F54F1">
        <w:rPr>
          <w:rFonts w:ascii="Palatino Linotype" w:hAnsi="Palatino Linotype" w:eastAsia="Calibri" w:cs="Tahoma"/>
          <w:bCs/>
          <w:iCs/>
          <w:sz w:val="22"/>
          <w:szCs w:val="22"/>
          <w:lang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4F54F1" w:rsidR="006A7CAA" w:rsidP="008948DC" w:rsidRDefault="006A7CAA" w14:paraId="64557F46" w14:textId="77777777">
      <w:pPr>
        <w:spacing w:line="360" w:lineRule="auto"/>
        <w:jc w:val="both"/>
        <w:rPr>
          <w:rFonts w:ascii="Palatino Linotype" w:hAnsi="Palatino Linotype" w:cs="Tahoma"/>
          <w:bCs/>
          <w:sz w:val="22"/>
          <w:szCs w:val="22"/>
        </w:rPr>
      </w:pPr>
    </w:p>
    <w:p w:rsidRPr="004F54F1" w:rsidR="006A7CAA" w:rsidP="008948DC" w:rsidRDefault="006A7CAA" w14:paraId="13D7B2C8" w14:textId="79E655D7">
      <w:pPr>
        <w:spacing w:line="360" w:lineRule="auto"/>
        <w:jc w:val="both"/>
        <w:rPr>
          <w:rFonts w:ascii="Palatino Linotype" w:hAnsi="Palatino Linotype" w:cs="Tahoma"/>
          <w:bCs/>
          <w:sz w:val="22"/>
          <w:szCs w:val="22"/>
        </w:rPr>
      </w:pPr>
      <w:r w:rsidRPr="004F54F1">
        <w:rPr>
          <w:rFonts w:ascii="Palatino Linotype" w:hAnsi="Palatino Linotype" w:cs="Tahoma"/>
          <w:bCs/>
          <w:sz w:val="22"/>
          <w:szCs w:val="22"/>
        </w:rPr>
        <w:t>Por lo expuesto y fundado, este Pleno:</w:t>
      </w:r>
    </w:p>
    <w:p w:rsidRPr="004F54F1" w:rsidR="00CC0275" w:rsidP="008948DC" w:rsidRDefault="00CC0275" w14:paraId="21296F29" w14:textId="77777777">
      <w:pPr>
        <w:spacing w:line="360" w:lineRule="auto"/>
        <w:jc w:val="both"/>
        <w:rPr>
          <w:rFonts w:ascii="Palatino Linotype" w:hAnsi="Palatino Linotype" w:cs="Tahoma"/>
          <w:bCs/>
          <w:sz w:val="22"/>
          <w:szCs w:val="22"/>
        </w:rPr>
      </w:pPr>
    </w:p>
    <w:p w:rsidRPr="004F54F1" w:rsidR="006A7CAA" w:rsidP="008948DC" w:rsidRDefault="006A7CAA" w14:paraId="54F24E43" w14:textId="77777777">
      <w:pPr>
        <w:spacing w:line="360" w:lineRule="auto"/>
        <w:jc w:val="center"/>
        <w:rPr>
          <w:rFonts w:ascii="Palatino Linotype" w:hAnsi="Palatino Linotype" w:cs="Tahoma"/>
          <w:b/>
          <w:sz w:val="22"/>
          <w:szCs w:val="22"/>
        </w:rPr>
      </w:pPr>
      <w:r w:rsidRPr="004F54F1">
        <w:rPr>
          <w:rFonts w:ascii="Palatino Linotype" w:hAnsi="Palatino Linotype" w:cs="Tahoma"/>
          <w:b/>
          <w:sz w:val="22"/>
          <w:szCs w:val="22"/>
        </w:rPr>
        <w:t>R E S U E L V E:</w:t>
      </w:r>
    </w:p>
    <w:p w:rsidRPr="004F54F1" w:rsidR="006A7CAA" w:rsidP="008948DC" w:rsidRDefault="006A7CAA" w14:paraId="0DEC94FA" w14:textId="6924B868">
      <w:pPr>
        <w:spacing w:line="360" w:lineRule="auto"/>
        <w:jc w:val="both"/>
        <w:rPr>
          <w:rFonts w:ascii="Palatino Linotype" w:hAnsi="Palatino Linotype" w:cs="Tahoma"/>
          <w:bCs/>
          <w:sz w:val="22"/>
          <w:szCs w:val="22"/>
        </w:rPr>
      </w:pPr>
    </w:p>
    <w:p w:rsidRPr="004F54F1" w:rsidR="00CC0275" w:rsidP="00CC0275" w:rsidRDefault="00CC0275" w14:paraId="2CF16E1D" w14:textId="6D8EE94C">
      <w:pPr>
        <w:spacing w:after="160" w:line="360" w:lineRule="auto"/>
        <w:contextualSpacing/>
        <w:jc w:val="both"/>
        <w:rPr>
          <w:rFonts w:ascii="Palatino Linotype" w:hAnsi="Palatino Linotype" w:eastAsia="Calibri" w:cs="Tahoma"/>
          <w:bCs/>
          <w:color w:val="000000" w:themeColor="text1"/>
          <w:sz w:val="22"/>
          <w:szCs w:val="22"/>
          <w:lang w:eastAsia="en-US"/>
        </w:rPr>
      </w:pPr>
      <w:r w:rsidRPr="004F54F1">
        <w:rPr>
          <w:rFonts w:ascii="Palatino Linotype" w:hAnsi="Palatino Linotype" w:eastAsia="Calibri" w:cs="Tahoma"/>
          <w:b/>
          <w:bCs/>
          <w:color w:val="000000" w:themeColor="text1"/>
          <w:sz w:val="22"/>
          <w:szCs w:val="22"/>
          <w:lang w:eastAsia="en-US"/>
        </w:rPr>
        <w:t xml:space="preserve">PRIMERO. </w:t>
      </w:r>
      <w:r w:rsidRPr="004F54F1">
        <w:rPr>
          <w:rFonts w:ascii="Palatino Linotype" w:hAnsi="Palatino Linotype" w:eastAsia="Calibri" w:cs="Tahoma"/>
          <w:bCs/>
          <w:color w:val="000000" w:themeColor="text1"/>
          <w:sz w:val="22"/>
          <w:szCs w:val="22"/>
          <w:lang w:eastAsia="en-US"/>
        </w:rPr>
        <w:t xml:space="preserve">Se </w:t>
      </w:r>
      <w:r w:rsidRPr="004F54F1">
        <w:rPr>
          <w:rFonts w:ascii="Palatino Linotype" w:hAnsi="Palatino Linotype" w:eastAsia="Calibri" w:cs="Tahoma"/>
          <w:b/>
          <w:bCs/>
          <w:color w:val="000000" w:themeColor="text1"/>
          <w:sz w:val="22"/>
          <w:szCs w:val="22"/>
          <w:lang w:eastAsia="en-US"/>
        </w:rPr>
        <w:t>MODIFICA</w:t>
      </w:r>
      <w:r w:rsidRPr="004F54F1">
        <w:rPr>
          <w:rFonts w:ascii="Palatino Linotype" w:hAnsi="Palatino Linotype" w:eastAsia="Calibri" w:cs="Tahoma"/>
          <w:bCs/>
          <w:color w:val="000000" w:themeColor="text1"/>
          <w:sz w:val="22"/>
          <w:szCs w:val="22"/>
          <w:lang w:eastAsia="en-US"/>
        </w:rPr>
        <w:t xml:space="preserve"> la respuesta entregada por el </w:t>
      </w:r>
      <w:r w:rsidRPr="004F54F1">
        <w:rPr>
          <w:rFonts w:ascii="Palatino Linotype" w:hAnsi="Palatino Linotype" w:eastAsia="Calibri" w:cs="Tahoma"/>
          <w:color w:val="000000" w:themeColor="text1"/>
          <w:sz w:val="22"/>
          <w:szCs w:val="22"/>
          <w:lang w:eastAsia="en-US"/>
        </w:rPr>
        <w:t xml:space="preserve">Ayuntamiento de </w:t>
      </w:r>
      <w:r w:rsidRPr="004F54F1" w:rsidR="006F7221">
        <w:rPr>
          <w:rFonts w:ascii="Palatino Linotype" w:hAnsi="Palatino Linotype" w:eastAsia="Calibri" w:cs="Tahoma"/>
          <w:color w:val="000000" w:themeColor="text1"/>
          <w:sz w:val="22"/>
          <w:szCs w:val="22"/>
          <w:lang w:eastAsia="en-US"/>
        </w:rPr>
        <w:t>Atizapán de Zaragoza</w:t>
      </w:r>
      <w:r w:rsidRPr="004F54F1">
        <w:rPr>
          <w:rFonts w:ascii="Palatino Linotype" w:hAnsi="Palatino Linotype" w:eastAsia="Calibri" w:cs="Tahoma"/>
          <w:color w:val="000000" w:themeColor="text1"/>
          <w:sz w:val="22"/>
          <w:szCs w:val="22"/>
          <w:lang w:eastAsia="en-US"/>
        </w:rPr>
        <w:t>,</w:t>
      </w:r>
      <w:r w:rsidRPr="004F54F1">
        <w:rPr>
          <w:rFonts w:ascii="Palatino Linotype" w:hAnsi="Palatino Linotype" w:eastAsia="Calibri" w:cs="Tahoma"/>
          <w:bCs/>
          <w:color w:val="000000" w:themeColor="text1"/>
          <w:sz w:val="22"/>
          <w:szCs w:val="22"/>
          <w:lang w:eastAsia="en-US"/>
        </w:rPr>
        <w:t xml:space="preserve"> a la solicitud de </w:t>
      </w:r>
      <w:r w:rsidRPr="004F54F1">
        <w:rPr>
          <w:rFonts w:ascii="Palatino Linotype" w:hAnsi="Palatino Linotype" w:eastAsia="Calibri" w:cs="Tahoma"/>
          <w:color w:val="000000" w:themeColor="text1"/>
          <w:sz w:val="22"/>
          <w:szCs w:val="22"/>
          <w:lang w:eastAsia="en-US"/>
        </w:rPr>
        <w:t xml:space="preserve">información </w:t>
      </w:r>
      <w:r w:rsidRPr="004F54F1">
        <w:rPr>
          <w:rFonts w:ascii="Palatino Linotype" w:hAnsi="Palatino Linotype" w:eastAsia="Calibri" w:cs="Tahoma"/>
          <w:b/>
          <w:bCs/>
          <w:color w:val="000000" w:themeColor="text1"/>
          <w:sz w:val="22"/>
          <w:szCs w:val="22"/>
          <w:lang w:eastAsia="en-US"/>
        </w:rPr>
        <w:t xml:space="preserve">00029/ATIZARA/IP/2022, </w:t>
      </w:r>
      <w:r w:rsidRPr="004F54F1">
        <w:rPr>
          <w:rFonts w:ascii="Palatino Linotype" w:hAnsi="Palatino Linotype" w:eastAsia="Calibri"/>
          <w:color w:val="000000" w:themeColor="text1"/>
          <w:sz w:val="22"/>
          <w:szCs w:val="22"/>
          <w:lang w:eastAsia="en-US"/>
        </w:rPr>
        <w:t xml:space="preserve">por resultar </w:t>
      </w:r>
      <w:r w:rsidRPr="004F54F1">
        <w:rPr>
          <w:rFonts w:ascii="Palatino Linotype" w:hAnsi="Palatino Linotype" w:eastAsia="Calibri"/>
          <w:b/>
          <w:color w:val="000000" w:themeColor="text1"/>
          <w:sz w:val="22"/>
          <w:szCs w:val="22"/>
          <w:lang w:eastAsia="en-US"/>
        </w:rPr>
        <w:t>FUNDADAS</w:t>
      </w:r>
      <w:r w:rsidRPr="004F54F1">
        <w:rPr>
          <w:rFonts w:ascii="Palatino Linotype" w:hAnsi="Palatino Linotype" w:eastAsia="Calibri" w:cs="Tahoma"/>
          <w:color w:val="000000" w:themeColor="text1"/>
          <w:sz w:val="22"/>
          <w:szCs w:val="22"/>
          <w:lang w:eastAsia="en-US"/>
        </w:rPr>
        <w:t xml:space="preserve"> las razones o motivos de inconformidad hechos valer por el Particular, en</w:t>
      </w:r>
      <w:r w:rsidRPr="004F54F1">
        <w:rPr>
          <w:rFonts w:ascii="Palatino Linotype" w:hAnsi="Palatino Linotype" w:eastAsia="Calibri" w:cs="Tahoma"/>
          <w:bCs/>
          <w:color w:val="000000" w:themeColor="text1"/>
          <w:sz w:val="22"/>
          <w:szCs w:val="22"/>
          <w:lang w:eastAsia="en-US"/>
        </w:rPr>
        <w:t xml:space="preserve"> términos de los considerandos </w:t>
      </w:r>
      <w:r w:rsidRPr="004F54F1">
        <w:rPr>
          <w:rFonts w:ascii="Palatino Linotype" w:hAnsi="Palatino Linotype" w:eastAsia="Calibri" w:cs="Tahoma"/>
          <w:color w:val="000000" w:themeColor="text1"/>
          <w:sz w:val="22"/>
          <w:szCs w:val="22"/>
          <w:lang w:eastAsia="en-US"/>
        </w:rPr>
        <w:t>QUINTO y SEXTO</w:t>
      </w:r>
      <w:r w:rsidRPr="004F54F1">
        <w:rPr>
          <w:rFonts w:ascii="Palatino Linotype" w:hAnsi="Palatino Linotype" w:eastAsia="Calibri" w:cs="Tahoma"/>
          <w:bCs/>
          <w:color w:val="000000" w:themeColor="text1"/>
          <w:sz w:val="22"/>
          <w:szCs w:val="22"/>
          <w:lang w:eastAsia="en-US"/>
        </w:rPr>
        <w:t xml:space="preserve"> de la presente Resolución.</w:t>
      </w:r>
    </w:p>
    <w:p w:rsidRPr="004F54F1" w:rsidR="00CC0275" w:rsidP="00CC0275" w:rsidRDefault="00CC0275" w14:paraId="451A14D1" w14:textId="77777777">
      <w:pPr>
        <w:spacing w:after="160" w:line="360" w:lineRule="auto"/>
        <w:contextualSpacing/>
        <w:jc w:val="both"/>
        <w:rPr>
          <w:rFonts w:ascii="Palatino Linotype" w:hAnsi="Palatino Linotype" w:eastAsia="Calibri" w:cs="Tahoma"/>
          <w:bCs/>
          <w:color w:val="000000" w:themeColor="text1"/>
          <w:sz w:val="22"/>
          <w:szCs w:val="22"/>
          <w:lang w:eastAsia="en-US"/>
        </w:rPr>
      </w:pPr>
    </w:p>
    <w:p w:rsidRPr="004F54F1" w:rsidR="00CC0275" w:rsidP="00CC0275" w:rsidRDefault="00CC0275" w14:paraId="149D7E4E" w14:textId="7358D8FD">
      <w:pPr>
        <w:spacing w:after="160" w:line="360" w:lineRule="auto"/>
        <w:contextualSpacing/>
        <w:jc w:val="both"/>
        <w:rPr>
          <w:rFonts w:ascii="Palatino Linotype" w:hAnsi="Palatino Linotype" w:eastAsia="Calibri" w:cs="Tahoma"/>
          <w:color w:val="000000" w:themeColor="text1"/>
          <w:sz w:val="22"/>
          <w:szCs w:val="22"/>
          <w:lang w:eastAsia="en-US"/>
        </w:rPr>
      </w:pPr>
      <w:r w:rsidRPr="004F54F1">
        <w:rPr>
          <w:rFonts w:ascii="Palatino Linotype" w:hAnsi="Palatino Linotype" w:eastAsia="Calibri" w:cs="Tahoma"/>
          <w:b/>
          <w:bCs/>
          <w:color w:val="000000" w:themeColor="text1"/>
          <w:sz w:val="22"/>
          <w:szCs w:val="22"/>
          <w:lang w:eastAsia="en-US"/>
        </w:rPr>
        <w:t xml:space="preserve">SEGUNDO. </w:t>
      </w:r>
      <w:r w:rsidRPr="004F54F1">
        <w:rPr>
          <w:rFonts w:ascii="Palatino Linotype" w:hAnsi="Palatino Linotype" w:eastAsia="Calibri" w:cs="Tahoma"/>
          <w:color w:val="000000" w:themeColor="text1"/>
          <w:sz w:val="22"/>
          <w:szCs w:val="22"/>
          <w:lang w:eastAsia="en-US"/>
        </w:rPr>
        <w:t xml:space="preserve">Se </w:t>
      </w:r>
      <w:r w:rsidRPr="004F54F1">
        <w:rPr>
          <w:rFonts w:ascii="Palatino Linotype" w:hAnsi="Palatino Linotype" w:eastAsia="Calibri" w:cs="Tahoma"/>
          <w:b/>
          <w:color w:val="000000" w:themeColor="text1"/>
          <w:sz w:val="22"/>
          <w:szCs w:val="22"/>
          <w:lang w:eastAsia="en-US"/>
        </w:rPr>
        <w:t xml:space="preserve">ORDENA </w:t>
      </w:r>
      <w:r w:rsidRPr="004F54F1">
        <w:rPr>
          <w:rFonts w:ascii="Palatino Linotype" w:hAnsi="Palatino Linotype" w:eastAsia="Calibri" w:cs="Tahoma"/>
          <w:bCs/>
          <w:color w:val="000000" w:themeColor="text1"/>
          <w:sz w:val="22"/>
          <w:szCs w:val="22"/>
          <w:lang w:eastAsia="en-US"/>
        </w:rPr>
        <w:t xml:space="preserve">al </w:t>
      </w:r>
      <w:r w:rsidRPr="004F54F1">
        <w:rPr>
          <w:rFonts w:ascii="Palatino Linotype" w:hAnsi="Palatino Linotype" w:eastAsia="Calibri" w:cs="Tahoma"/>
          <w:color w:val="000000" w:themeColor="text1"/>
          <w:sz w:val="22"/>
          <w:szCs w:val="22"/>
          <w:lang w:eastAsia="en-US"/>
        </w:rPr>
        <w:t>Ente Recurrido, a efecto de</w:t>
      </w:r>
      <w:r w:rsidRPr="004F54F1">
        <w:rPr>
          <w:rFonts w:ascii="Palatino Linotype" w:hAnsi="Palatino Linotype" w:eastAsia="Calibri" w:cs="Tahoma"/>
          <w:color w:val="000000" w:themeColor="text1"/>
          <w:sz w:val="22"/>
          <w:szCs w:val="22"/>
          <w:lang w:eastAsia="es-MX"/>
        </w:rPr>
        <w:t xml:space="preserve"> que entregue</w:t>
      </w:r>
      <w:r w:rsidRPr="004F54F1">
        <w:rPr>
          <w:rFonts w:ascii="Palatino Linotype" w:hAnsi="Palatino Linotype" w:eastAsia="Calibri" w:cs="Tahoma"/>
          <w:color w:val="000000" w:themeColor="text1"/>
          <w:sz w:val="22"/>
          <w:szCs w:val="22"/>
          <w:lang w:eastAsia="en-US"/>
        </w:rPr>
        <w:t>, a través del Sistema de Acceso a la Información Mexiquense (SAIMEX), en versión pública, lo siguiente:</w:t>
      </w:r>
    </w:p>
    <w:p w:rsidRPr="004F54F1" w:rsidR="00CC0275" w:rsidP="008948DC" w:rsidRDefault="00CC0275" w14:paraId="40C36524" w14:textId="2576BBCB">
      <w:pPr>
        <w:spacing w:line="360" w:lineRule="auto"/>
        <w:jc w:val="both"/>
        <w:rPr>
          <w:rFonts w:ascii="Palatino Linotype" w:hAnsi="Palatino Linotype" w:cs="Tahoma"/>
          <w:bCs/>
          <w:sz w:val="22"/>
          <w:szCs w:val="22"/>
        </w:rPr>
      </w:pPr>
    </w:p>
    <w:p w:rsidRPr="004F54F1" w:rsidR="00CC0275" w:rsidP="00CC0275" w:rsidRDefault="00CC0275" w14:paraId="6570D2F3" w14:textId="74E7EF2B">
      <w:pPr>
        <w:pStyle w:val="Prrafodelista"/>
        <w:widowControl w:val="0"/>
        <w:numPr>
          <w:ilvl w:val="0"/>
          <w:numId w:val="30"/>
        </w:numPr>
        <w:spacing w:line="360" w:lineRule="auto"/>
        <w:jc w:val="both"/>
        <w:rPr>
          <w:rFonts w:ascii="Palatino Linotype" w:hAnsi="Palatino Linotype" w:eastAsia="Calibri" w:cs="Tahoma"/>
          <w:iCs/>
          <w:color w:val="000000" w:themeColor="text1"/>
          <w:szCs w:val="22"/>
          <w:lang w:eastAsia="es-ES_tradnl"/>
        </w:rPr>
      </w:pPr>
      <w:r w:rsidRPr="004F54F1">
        <w:rPr>
          <w:rFonts w:ascii="Palatino Linotype" w:hAnsi="Palatino Linotype" w:eastAsia="Calibri" w:cs="Tahoma"/>
          <w:iCs/>
          <w:color w:val="000000" w:themeColor="text1"/>
          <w:szCs w:val="22"/>
          <w:lang w:eastAsia="es-ES_tradnl"/>
        </w:rPr>
        <w:t>Los recibos de nómina entregados en respuesta, que incluyan el Departamento de adscripción.</w:t>
      </w:r>
    </w:p>
    <w:p w:rsidRPr="004F54F1" w:rsidR="00CC0275" w:rsidP="00CC0275" w:rsidRDefault="00CC0275" w14:paraId="3459A57F" w14:textId="77777777">
      <w:pPr>
        <w:widowControl w:val="0"/>
        <w:spacing w:line="360" w:lineRule="auto"/>
        <w:jc w:val="both"/>
        <w:rPr>
          <w:rFonts w:ascii="Palatino Linotype" w:hAnsi="Palatino Linotype" w:eastAsia="Calibri" w:cs="Tahoma"/>
          <w:iCs/>
          <w:color w:val="000000" w:themeColor="text1"/>
          <w:sz w:val="22"/>
          <w:szCs w:val="22"/>
          <w:lang w:eastAsia="es-ES_tradnl"/>
        </w:rPr>
      </w:pPr>
    </w:p>
    <w:p w:rsidRPr="004F54F1" w:rsidR="00CC0275" w:rsidP="00CC0275" w:rsidRDefault="00CC0275" w14:paraId="6E2EBE38" w14:textId="77777777">
      <w:pPr>
        <w:tabs>
          <w:tab w:val="left" w:pos="4962"/>
        </w:tabs>
        <w:spacing w:line="360" w:lineRule="auto"/>
        <w:jc w:val="both"/>
        <w:rPr>
          <w:rFonts w:ascii="Palatino Linotype" w:hAnsi="Palatino Linotype" w:eastAsia="Calibri" w:cs="Tahoma"/>
          <w:bCs/>
          <w:iCs/>
          <w:sz w:val="22"/>
          <w:szCs w:val="22"/>
          <w:lang w:val="es-ES" w:eastAsia="en-US"/>
        </w:rPr>
      </w:pPr>
      <w:r w:rsidRPr="004F54F1">
        <w:rPr>
          <w:rFonts w:ascii="Palatino Linotype" w:hAnsi="Palatino Linotype" w:eastAsia="Calibri"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4F54F1" w:rsidR="00CC0275" w:rsidP="008948DC" w:rsidRDefault="00CC0275" w14:paraId="570F2B98" w14:textId="7C083FAE">
      <w:pPr>
        <w:spacing w:line="360" w:lineRule="auto"/>
        <w:jc w:val="both"/>
        <w:rPr>
          <w:rFonts w:ascii="Palatino Linotype" w:hAnsi="Palatino Linotype" w:cs="Tahoma"/>
          <w:bCs/>
          <w:sz w:val="22"/>
          <w:szCs w:val="22"/>
        </w:rPr>
      </w:pPr>
    </w:p>
    <w:p w:rsidRPr="004F54F1" w:rsidR="006F7221" w:rsidP="006F7221" w:rsidRDefault="006F7221" w14:paraId="41F924F2" w14:textId="77777777">
      <w:pPr>
        <w:spacing w:line="360" w:lineRule="auto"/>
        <w:jc w:val="both"/>
        <w:rPr>
          <w:rFonts w:ascii="Palatino Linotype" w:hAnsi="Palatino Linotype" w:eastAsia="Calibri" w:cs="Tahoma"/>
          <w:color w:val="000000" w:themeColor="text1"/>
          <w:sz w:val="22"/>
          <w:szCs w:val="22"/>
          <w:lang w:eastAsia="en-US"/>
        </w:rPr>
      </w:pPr>
      <w:r w:rsidRPr="004F54F1">
        <w:rPr>
          <w:rFonts w:ascii="Palatino Linotype" w:hAnsi="Palatino Linotype" w:eastAsia="Calibri" w:cs="Arial"/>
          <w:b/>
          <w:color w:val="000000" w:themeColor="text1"/>
          <w:sz w:val="22"/>
          <w:szCs w:val="22"/>
          <w:lang w:val="es-ES_tradnl" w:eastAsia="en-US"/>
        </w:rPr>
        <w:t>TERCERO.</w:t>
      </w:r>
      <w:r w:rsidRPr="004F54F1">
        <w:rPr>
          <w:rFonts w:ascii="Palatino Linotype" w:hAnsi="Palatino Linotype" w:eastAsia="Calibri" w:cs="Tahoma"/>
          <w:b/>
          <w:color w:val="000000" w:themeColor="text1"/>
          <w:sz w:val="22"/>
          <w:szCs w:val="22"/>
          <w:lang w:eastAsia="en-US"/>
        </w:rPr>
        <w:t xml:space="preserve"> NOTIFÍQUESE </w:t>
      </w:r>
      <w:r w:rsidRPr="004F54F1">
        <w:rPr>
          <w:rFonts w:ascii="Palatino Linotype" w:hAnsi="Palatino Linotype" w:eastAsia="Calibri" w:cs="Tahoma"/>
          <w:color w:val="000000" w:themeColor="text1"/>
          <w:sz w:val="22"/>
          <w:szCs w:val="22"/>
          <w:lang w:eastAsia="en-US"/>
        </w:rPr>
        <w:t xml:space="preserve">la presente resolución al Titular de la Unidad de Transparencia del Sujeto Obligado, para que conforme al artículo 186, último párrafo, 189, segundo párrafo </w:t>
      </w:r>
      <w:r w:rsidRPr="004F54F1">
        <w:rPr>
          <w:rFonts w:ascii="Palatino Linotype" w:hAnsi="Palatino Linotype" w:eastAsia="Calibri" w:cs="Tahoma"/>
          <w:color w:val="000000" w:themeColor="text1"/>
          <w:sz w:val="22"/>
          <w:szCs w:val="22"/>
          <w:lang w:eastAsia="en-US"/>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4F54F1" w:rsidR="006F7221" w:rsidP="006F7221" w:rsidRDefault="006F7221" w14:paraId="0E0B20AC" w14:textId="77777777">
      <w:pPr>
        <w:spacing w:line="360" w:lineRule="auto"/>
        <w:jc w:val="both"/>
        <w:rPr>
          <w:rFonts w:ascii="Palatino Linotype" w:hAnsi="Palatino Linotype" w:eastAsia="Calibri" w:cs="Tahoma"/>
          <w:color w:val="000000" w:themeColor="text1"/>
          <w:sz w:val="22"/>
          <w:szCs w:val="22"/>
          <w:lang w:eastAsia="en-US"/>
        </w:rPr>
      </w:pPr>
    </w:p>
    <w:p w:rsidRPr="004F54F1" w:rsidR="006F7221" w:rsidP="006F7221" w:rsidRDefault="006F7221" w14:paraId="5BF12845" w14:textId="77777777">
      <w:pPr>
        <w:spacing w:after="160" w:line="360" w:lineRule="auto"/>
        <w:contextualSpacing/>
        <w:jc w:val="both"/>
        <w:rPr>
          <w:rFonts w:ascii="Palatino Linotype" w:hAnsi="Palatino Linotype" w:eastAsia="Calibri" w:cs="Tahoma"/>
          <w:iCs/>
          <w:color w:val="000000" w:themeColor="text1"/>
          <w:sz w:val="22"/>
          <w:szCs w:val="22"/>
          <w:lang w:eastAsia="en-US"/>
        </w:rPr>
      </w:pPr>
      <w:bookmarkStart w:name="_Hlk61509110" w:id="0"/>
      <w:r w:rsidRPr="004F54F1">
        <w:rPr>
          <w:rFonts w:ascii="Palatino Linotype" w:hAnsi="Palatino Linotype" w:eastAsia="Calibri" w:cs="Tahoma"/>
          <w:iCs/>
          <w:color w:val="000000" w:themeColor="text1"/>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4F54F1" w:rsidR="006F7221" w:rsidP="006F7221" w:rsidRDefault="006F7221" w14:paraId="4DA2CB56" w14:textId="77777777">
      <w:pPr>
        <w:spacing w:line="360" w:lineRule="auto"/>
        <w:jc w:val="both"/>
        <w:rPr>
          <w:rFonts w:ascii="Palatino Linotype" w:hAnsi="Palatino Linotype" w:eastAsia="Calibri" w:cs="Tahoma"/>
          <w:color w:val="000000" w:themeColor="text1"/>
          <w:sz w:val="22"/>
          <w:szCs w:val="22"/>
          <w:lang w:eastAsia="en-US"/>
        </w:rPr>
      </w:pPr>
    </w:p>
    <w:p w:rsidRPr="004F54F1" w:rsidR="006F7221" w:rsidP="006F7221" w:rsidRDefault="006F7221" w14:paraId="795F8E23" w14:textId="77777777">
      <w:pPr>
        <w:spacing w:line="360" w:lineRule="auto"/>
        <w:jc w:val="both"/>
        <w:rPr>
          <w:rFonts w:ascii="Palatino Linotype" w:hAnsi="Palatino Linotype" w:eastAsia="Calibri" w:cs="Tahoma"/>
          <w:color w:val="000000" w:themeColor="text1"/>
          <w:sz w:val="22"/>
          <w:szCs w:val="22"/>
          <w:lang w:eastAsia="en-US"/>
        </w:rPr>
      </w:pPr>
      <w:r w:rsidRPr="004F54F1">
        <w:rPr>
          <w:rFonts w:ascii="Palatino Linotype" w:hAnsi="Palatino Linotype" w:eastAsia="Calibri" w:cs="Tahoma"/>
          <w:b/>
          <w:color w:val="000000" w:themeColor="text1"/>
          <w:sz w:val="22"/>
          <w:szCs w:val="22"/>
          <w:lang w:eastAsia="en-US"/>
        </w:rPr>
        <w:t>CUARTO. NOTIFÍQUESE</w:t>
      </w:r>
      <w:r w:rsidRPr="004F54F1">
        <w:rPr>
          <w:rFonts w:ascii="Palatino Linotype" w:hAnsi="Palatino Linotype" w:eastAsia="Calibri" w:cs="Tahoma"/>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F54F1" w:rsidR="006A7CAA" w:rsidP="008948DC" w:rsidRDefault="006A7CAA" w14:paraId="53F7CF45" w14:textId="77777777">
      <w:pPr>
        <w:spacing w:line="360" w:lineRule="auto"/>
        <w:jc w:val="both"/>
        <w:rPr>
          <w:rFonts w:ascii="Palatino Linotype" w:hAnsi="Palatino Linotype" w:cs="Tahoma"/>
          <w:bCs/>
          <w:sz w:val="22"/>
          <w:szCs w:val="22"/>
        </w:rPr>
      </w:pPr>
    </w:p>
    <w:p w:rsidR="006A7CAA" w:rsidP="008948DC" w:rsidRDefault="006A7CAA" w14:paraId="64D75F08" w14:textId="513E2912">
      <w:pPr>
        <w:spacing w:line="360" w:lineRule="auto"/>
        <w:jc w:val="both"/>
        <w:rPr>
          <w:rFonts w:ascii="Palatino Linotype" w:hAnsi="Palatino Linotype" w:cs="Tahoma"/>
          <w:bCs/>
          <w:sz w:val="22"/>
          <w:szCs w:val="22"/>
        </w:rPr>
      </w:pPr>
      <w:r w:rsidRPr="004F54F1">
        <w:rPr>
          <w:rFonts w:ascii="Palatino Linotype" w:hAnsi="Palatino Linotype" w:cs="Tahoma"/>
          <w:bCs/>
          <w:sz w:val="22"/>
          <w:szCs w:val="22"/>
        </w:rPr>
        <w:t xml:space="preserve">ASÍ LO RESUELVE, POR </w:t>
      </w:r>
      <w:r w:rsidRPr="004F54F1">
        <w:rPr>
          <w:rFonts w:ascii="Palatino Linotype" w:hAnsi="Palatino Linotype" w:cs="Tahoma"/>
          <w:b/>
          <w:sz w:val="22"/>
          <w:szCs w:val="22"/>
        </w:rPr>
        <w:t>UNANIMIDAD</w:t>
      </w:r>
      <w:r w:rsidRPr="004F54F1">
        <w:rPr>
          <w:rFonts w:ascii="Palatino Linotype" w:hAnsi="Palatino Linotype" w:cs="Tahoma"/>
          <w:b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4F54F1" w:rsidR="00FD1D5A">
        <w:rPr>
          <w:rFonts w:ascii="Palatino Linotype" w:hAnsi="Palatino Linotype" w:cs="Tahoma"/>
          <w:bCs/>
          <w:sz w:val="22"/>
          <w:szCs w:val="22"/>
        </w:rPr>
        <w:t xml:space="preserve">DÉCIMA </w:t>
      </w:r>
      <w:r w:rsidRPr="004F54F1" w:rsidR="006F7221">
        <w:rPr>
          <w:rFonts w:ascii="Palatino Linotype" w:hAnsi="Palatino Linotype" w:cs="Tahoma"/>
          <w:bCs/>
          <w:sz w:val="22"/>
          <w:szCs w:val="22"/>
        </w:rPr>
        <w:t>SEXTA</w:t>
      </w:r>
      <w:r w:rsidRPr="004F54F1" w:rsidR="00FD1D5A">
        <w:rPr>
          <w:rFonts w:ascii="Palatino Linotype" w:hAnsi="Palatino Linotype" w:cs="Tahoma"/>
          <w:bCs/>
          <w:sz w:val="22"/>
          <w:szCs w:val="22"/>
        </w:rPr>
        <w:t xml:space="preserve"> </w:t>
      </w:r>
      <w:r w:rsidRPr="004F54F1">
        <w:rPr>
          <w:rFonts w:ascii="Palatino Linotype" w:hAnsi="Palatino Linotype" w:cs="Tahoma"/>
          <w:bCs/>
          <w:sz w:val="22"/>
          <w:szCs w:val="22"/>
        </w:rPr>
        <w:t xml:space="preserve">SESIÓN ORDINARIA, CELEBRADA </w:t>
      </w:r>
      <w:r w:rsidRPr="004F54F1" w:rsidR="00FD1D5A">
        <w:rPr>
          <w:rFonts w:ascii="Palatino Linotype" w:hAnsi="Palatino Linotype" w:cs="Tahoma"/>
          <w:bCs/>
          <w:sz w:val="22"/>
          <w:szCs w:val="22"/>
        </w:rPr>
        <w:t xml:space="preserve">EL </w:t>
      </w:r>
      <w:r w:rsidRPr="004F54F1" w:rsidR="006F7221">
        <w:rPr>
          <w:rFonts w:ascii="Palatino Linotype" w:hAnsi="Palatino Linotype" w:cs="Tahoma"/>
          <w:bCs/>
          <w:sz w:val="22"/>
          <w:szCs w:val="22"/>
        </w:rPr>
        <w:t>CUATRO DE MAYO</w:t>
      </w:r>
      <w:r w:rsidRPr="004F54F1" w:rsidR="00FD1D5A">
        <w:rPr>
          <w:rFonts w:ascii="Palatino Linotype" w:hAnsi="Palatino Linotype" w:cs="Tahoma"/>
          <w:bCs/>
          <w:sz w:val="22"/>
          <w:szCs w:val="22"/>
        </w:rPr>
        <w:t xml:space="preserve"> DE DOS MIL VEINTIDÓS</w:t>
      </w:r>
      <w:r w:rsidRPr="004F54F1">
        <w:rPr>
          <w:rFonts w:ascii="Palatino Linotype" w:hAnsi="Palatino Linotype" w:cs="Tahoma"/>
          <w:bCs/>
          <w:sz w:val="22"/>
          <w:szCs w:val="22"/>
        </w:rPr>
        <w:t>, ANTE EL SECRETARIO TÉCNICO DEL PLENO, ALEXIS TAPIA RAMÍREZ</w:t>
      </w:r>
      <w:r w:rsidRPr="004F54F1" w:rsidR="000B248A">
        <w:rPr>
          <w:rFonts w:ascii="Palatino Linotype" w:hAnsi="Palatino Linotype" w:cs="Tahoma"/>
          <w:bCs/>
          <w:sz w:val="22"/>
          <w:szCs w:val="22"/>
        </w:rPr>
        <w:t>.</w:t>
      </w:r>
    </w:p>
    <w:p w:rsidR="00800C1A" w:rsidRDefault="00800C1A" w14:paraId="03F085D5" w14:textId="7E50C4CC">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rsidRPr="00FD3851" w:rsidR="009B7E7E" w:rsidP="008948DC" w:rsidRDefault="009B7E7E" w14:paraId="7B9AB839" w14:textId="77777777">
      <w:pPr>
        <w:spacing w:line="360" w:lineRule="auto"/>
        <w:jc w:val="both"/>
        <w:rPr>
          <w:rFonts w:ascii="Palatino Linotype" w:hAnsi="Palatino Linotype" w:cs="Tahoma"/>
          <w:sz w:val="22"/>
          <w:szCs w:val="22"/>
          <w:lang w:val="es-ES"/>
        </w:rPr>
      </w:pPr>
    </w:p>
    <w:sectPr w:rsidRPr="00FD3851" w:rsidR="009B7E7E" w:rsidSect="00A4234F">
      <w:headerReference w:type="even" r:id="rId9"/>
      <w:headerReference w:type="default" r:id="rId10"/>
      <w:footerReference w:type="default" r:id="rId11"/>
      <w:headerReference w:type="first" r:id="rId12"/>
      <w:footerReference w:type="first" r:id="rId13"/>
      <w:pgSz w:w="12240" w:h="15840" w:orient="portrait"/>
      <w:pgMar w:top="79" w:right="1610" w:bottom="1418" w:left="1588" w:header="709" w:footer="3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2B8" w:rsidP="00A4234F" w:rsidRDefault="005162B8" w14:paraId="46EC74E7" w14:textId="77777777">
      <w:r>
        <w:separator/>
      </w:r>
    </w:p>
  </w:endnote>
  <w:endnote w:type="continuationSeparator" w:id="0">
    <w:p w:rsidR="005162B8" w:rsidP="00A4234F" w:rsidRDefault="005162B8" w14:paraId="5717B3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3457"/>
      <w:docPartObj>
        <w:docPartGallery w:val="AutoText"/>
      </w:docPartObj>
    </w:sdtPr>
    <w:sdtEndPr/>
    <w:sdtContent>
      <w:sdt>
        <w:sdtPr>
          <w:id w:val="131982259"/>
          <w:docPartObj>
            <w:docPartGallery w:val="AutoText"/>
          </w:docPartObj>
        </w:sdtPr>
        <w:sdtEndPr/>
        <w:sdtContent>
          <w:p w:rsidR="00FE1E9B" w:rsidP="00AD2C7F" w:rsidRDefault="00FE1E9B" w14:paraId="29D91D9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565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5651">
              <w:rPr>
                <w:b/>
                <w:bCs/>
                <w:noProof/>
              </w:rPr>
              <w:t>21</w:t>
            </w:r>
            <w:r>
              <w:rPr>
                <w:b/>
                <w:bCs/>
                <w:sz w:val="24"/>
                <w:szCs w:val="24"/>
              </w:rPr>
              <w:fldChar w:fldCharType="end"/>
            </w:r>
          </w:p>
        </w:sdtContent>
      </w:sdt>
    </w:sdtContent>
  </w:sdt>
  <w:p w:rsidR="00FE1E9B" w:rsidRDefault="00FE1E9B" w14:paraId="0950B9B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E9B" w:rsidRDefault="00FE1E9B" w14:paraId="4BFDDEE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56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5651">
      <w:rPr>
        <w:b/>
        <w:bCs/>
        <w:noProof/>
      </w:rPr>
      <w:t>21</w:t>
    </w:r>
    <w:r>
      <w:rPr>
        <w:b/>
        <w:bCs/>
        <w:sz w:val="24"/>
        <w:szCs w:val="24"/>
      </w:rPr>
      <w:fldChar w:fldCharType="end"/>
    </w:r>
  </w:p>
  <w:p w:rsidR="00FE1E9B" w:rsidRDefault="00FE1E9B" w14:paraId="655C3780" w14:textId="77777777">
    <w:pPr>
      <w:pStyle w:val="Piedepgina"/>
    </w:pPr>
  </w:p>
  <w:p w:rsidR="00FE1E9B" w:rsidRDefault="00FE1E9B" w14:paraId="1DCA1A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2B8" w:rsidP="00A4234F" w:rsidRDefault="005162B8" w14:paraId="012AFE2A" w14:textId="77777777">
      <w:r>
        <w:separator/>
      </w:r>
    </w:p>
  </w:footnote>
  <w:footnote w:type="continuationSeparator" w:id="0">
    <w:p w:rsidR="005162B8" w:rsidP="00A4234F" w:rsidRDefault="005162B8" w14:paraId="6AAF0D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E9B" w:rsidRDefault="004F54F1" w14:paraId="06550C3C" w14:textId="77777777">
    <w:pPr>
      <w:pStyle w:val="Encabezado"/>
    </w:pPr>
    <w:r>
      <w:rPr>
        <w:noProof/>
        <w:lang w:eastAsia="es-MX"/>
      </w:rPr>
      <w:pict w14:anchorId="0E4C88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9893391" style="position:absolute;margin-left:0;margin-top:0;width:663.5pt;height:12in;z-index:-251656192;mso-position-horizontal:center;mso-position-horizontal-relative:margin;mso-position-vertical:center;mso-position-vertical-relative:margin" o:spid="_x0000_s1026" o:allowincell="f" type="#_x0000_t75">
          <v:imagedata o:title="marcaaguaINFOEM" r:id="rId1"/>
          <w10:wrap anchorx="margin" anchory="margin"/>
        </v:shape>
      </w:pict>
    </w:r>
  </w:p>
  <w:p w:rsidR="00FE1E9B" w:rsidRDefault="00FE1E9B" w14:paraId="07C317C4" w14:textId="77777777"/>
  <w:p w:rsidR="00FE1E9B" w:rsidRDefault="00FE1E9B" w14:paraId="627375FE" w14:textId="77777777"/>
  <w:p w:rsidR="00FE1E9B" w:rsidRDefault="00FE1E9B" w14:paraId="02828F88" w14:textId="77777777"/>
  <w:p w:rsidR="00FE1E9B" w:rsidRDefault="00FE1E9B" w14:paraId="65C90A5A" w14:textId="77777777"/>
  <w:p w:rsidR="00FE1E9B" w:rsidRDefault="00FE1E9B" w14:paraId="6C9F1681" w14:textId="77777777"/>
  <w:p w:rsidR="00FE1E9B" w:rsidRDefault="00FE1E9B" w14:paraId="2E2F54B7" w14:textId="77777777"/>
  <w:p w:rsidR="00FE1E9B" w:rsidRDefault="00FE1E9B" w14:paraId="68D1C213" w14:textId="77777777"/>
  <w:p w:rsidR="00FE1E9B" w:rsidRDefault="00FE1E9B" w14:paraId="520F4BB0" w14:textId="77777777"/>
  <w:p w:rsidR="00FE1E9B" w:rsidRDefault="00FE1E9B" w14:paraId="2FD77149" w14:textId="77777777"/>
  <w:p w:rsidR="00FE1E9B" w:rsidRDefault="00FE1E9B" w14:paraId="7721C8E5" w14:textId="77777777"/>
  <w:p w:rsidR="00FE1E9B" w:rsidRDefault="00FE1E9B" w14:paraId="6624EF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Layout w:type="fixed"/>
      <w:tblLook w:val="04A0" w:firstRow="1" w:lastRow="0" w:firstColumn="1" w:lastColumn="0" w:noHBand="0" w:noVBand="1"/>
    </w:tblPr>
    <w:tblGrid>
      <w:gridCol w:w="2977"/>
      <w:gridCol w:w="6733"/>
    </w:tblGrid>
    <w:tr w:rsidR="00FE1E9B" w:rsidTr="00AD2C7F" w14:paraId="444A7B85" w14:textId="77777777">
      <w:trPr>
        <w:trHeight w:val="1435"/>
      </w:trPr>
      <w:tc>
        <w:tcPr>
          <w:tcW w:w="2977" w:type="dxa"/>
          <w:tcBorders>
            <w:top w:val="single" w:color="FFFFFF" w:themeColor="background1" w:sz="4" w:space="0"/>
          </w:tcBorders>
          <w:shd w:val="clear" w:color="auto" w:fill="auto"/>
        </w:tcPr>
        <w:p w:rsidR="00FE1E9B" w:rsidRDefault="00FE1E9B" w14:paraId="6E64B922" w14:textId="77777777">
          <w:pPr>
            <w:tabs>
              <w:tab w:val="right" w:pos="4273"/>
            </w:tabs>
            <w:rPr>
              <w:rFonts w:ascii="Garamond" w:hAnsi="Garamond" w:eastAsia="Calibri"/>
              <w:sz w:val="16"/>
              <w:szCs w:val="16"/>
              <w:lang w:eastAsia="en-US"/>
            </w:rPr>
          </w:pPr>
          <w:r>
            <w:rPr>
              <w:rFonts w:ascii="Garamond" w:hAnsi="Garamond" w:eastAsia="Calibri"/>
              <w:sz w:val="16"/>
              <w:szCs w:val="16"/>
              <w:lang w:eastAsia="en-US"/>
            </w:rPr>
            <w:t xml:space="preserve"> </w:t>
          </w:r>
        </w:p>
      </w:tc>
      <w:tc>
        <w:tcPr>
          <w:tcW w:w="6733" w:type="dxa"/>
          <w:tcBorders>
            <w:top w:val="single" w:color="FFFFFF" w:themeColor="background1" w:sz="4" w:space="0"/>
          </w:tcBorders>
          <w:shd w:val="clear" w:color="auto" w:fill="auto"/>
        </w:tcPr>
        <w:p w:rsidRPr="00AE60F7" w:rsidR="00FE1E9B" w:rsidRDefault="00FE1E9B" w14:paraId="291F307C" w14:textId="77777777">
          <w:pPr>
            <w:rPr>
              <w:sz w:val="22"/>
              <w:szCs w:val="22"/>
            </w:rPr>
          </w:pPr>
        </w:p>
        <w:tbl>
          <w:tblPr>
            <w:tblStyle w:val="Tablaconcuadrcula"/>
            <w:tblW w:w="6419"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27"/>
            <w:gridCol w:w="3692"/>
          </w:tblGrid>
          <w:tr w:rsidR="00FE1E9B" w:rsidTr="00AD2C7F" w14:paraId="1B078A98" w14:textId="77777777">
            <w:trPr>
              <w:trHeight w:val="338"/>
            </w:trPr>
            <w:tc>
              <w:tcPr>
                <w:tcW w:w="2727" w:type="dxa"/>
                <w:tcBorders>
                  <w:right w:val="single" w:color="FFFFFF" w:themeColor="background1" w:sz="4" w:space="0"/>
                </w:tcBorders>
              </w:tcPr>
              <w:p w:rsidR="00FE1E9B" w:rsidRDefault="00FE1E9B" w14:paraId="2C93C483"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Recurso de Revisión:</w:t>
                </w:r>
              </w:p>
            </w:tc>
            <w:tc>
              <w:tcPr>
                <w:tcW w:w="3692" w:type="dxa"/>
                <w:tcBorders>
                  <w:left w:val="single" w:color="FFFFFF" w:themeColor="background1" w:sz="4" w:space="0"/>
                </w:tcBorders>
              </w:tcPr>
              <w:p w:rsidR="00FE1E9B" w:rsidP="00AD2C7F" w:rsidRDefault="00C225F2" w14:paraId="3BE6A9A9" w14:textId="54E66406">
                <w:pPr>
                  <w:tabs>
                    <w:tab w:val="right" w:pos="8838"/>
                  </w:tabs>
                  <w:ind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00901</w:t>
                </w:r>
                <w:r w:rsidR="00FD1D5A">
                  <w:rPr>
                    <w:rFonts w:ascii="Palatino Linotype" w:hAnsi="Palatino Linotype" w:eastAsia="Calibri" w:cs="Tahoma"/>
                    <w:bCs/>
                    <w:sz w:val="22"/>
                    <w:szCs w:val="22"/>
                    <w:lang w:eastAsia="en-US"/>
                  </w:rPr>
                  <w:t>/INFOEM/IP/RR/2022</w:t>
                </w:r>
              </w:p>
            </w:tc>
          </w:tr>
          <w:tr w:rsidR="00FE1E9B" w:rsidTr="00AD2C7F" w14:paraId="4E9E0217" w14:textId="77777777">
            <w:trPr>
              <w:trHeight w:val="130"/>
            </w:trPr>
            <w:tc>
              <w:tcPr>
                <w:tcW w:w="2727" w:type="dxa"/>
                <w:tcBorders>
                  <w:right w:val="single" w:color="FFFFFF" w:themeColor="background1" w:sz="4" w:space="0"/>
                </w:tcBorders>
              </w:tcPr>
              <w:p w:rsidR="00FE1E9B" w:rsidRDefault="00FE1E9B" w14:paraId="0B5CA6AA" w14:textId="77777777">
                <w:pPr>
                  <w:tabs>
                    <w:tab w:val="right" w:pos="8838"/>
                  </w:tabs>
                  <w:ind w:right="-105"/>
                  <w:rPr>
                    <w:rFonts w:ascii="Palatino Linotype" w:hAnsi="Palatino Linotype" w:eastAsia="Calibri" w:cs="Tahoma"/>
                    <w:b/>
                    <w:sz w:val="22"/>
                    <w:szCs w:val="22"/>
                    <w:lang w:eastAsia="en-US"/>
                  </w:rPr>
                </w:pPr>
                <w:bookmarkStart w:name="_Hlk33010189" w:id="1"/>
                <w:r>
                  <w:rPr>
                    <w:rFonts w:ascii="Palatino Linotype" w:hAnsi="Palatino Linotype" w:eastAsia="Calibri" w:cs="Tahoma"/>
                    <w:b/>
                    <w:sz w:val="22"/>
                    <w:szCs w:val="22"/>
                    <w:lang w:eastAsia="en-US"/>
                  </w:rPr>
                  <w:t>Sujeto Obligado:</w:t>
                </w:r>
              </w:p>
            </w:tc>
            <w:tc>
              <w:tcPr>
                <w:tcW w:w="3692" w:type="dxa"/>
                <w:tcBorders>
                  <w:left w:val="single" w:color="FFFFFF" w:themeColor="background1" w:sz="4" w:space="0"/>
                </w:tcBorders>
              </w:tcPr>
              <w:p w:rsidR="00C225F2" w:rsidP="00AD2C7F" w:rsidRDefault="00C225F2" w14:paraId="4E53B9E7" w14:textId="77777777">
                <w:pPr>
                  <w:tabs>
                    <w:tab w:val="left" w:pos="2834"/>
                    <w:tab w:val="right" w:pos="8838"/>
                  </w:tabs>
                  <w:ind w:left="-28" w:right="-105"/>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Atizapán</w:t>
                </w:r>
              </w:p>
              <w:p w:rsidR="00FE1E9B" w:rsidP="00AD2C7F" w:rsidRDefault="00C225F2" w14:paraId="7C727922" w14:textId="10326879">
                <w:pPr>
                  <w:tabs>
                    <w:tab w:val="left" w:pos="2834"/>
                    <w:tab w:val="right" w:pos="8838"/>
                  </w:tabs>
                  <w:ind w:left="-2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val="es-MX" w:eastAsia="en-US"/>
                  </w:rPr>
                  <w:t>de Zaragoza</w:t>
                </w:r>
              </w:p>
            </w:tc>
          </w:tr>
          <w:bookmarkEnd w:id="1"/>
          <w:tr w:rsidR="00FE1E9B" w:rsidTr="00AD2C7F" w14:paraId="11D55423" w14:textId="77777777">
            <w:trPr>
              <w:trHeight w:val="283"/>
            </w:trPr>
            <w:tc>
              <w:tcPr>
                <w:tcW w:w="2727" w:type="dxa"/>
                <w:tcBorders>
                  <w:right w:val="single" w:color="FFFFFF" w:themeColor="background1" w:sz="4" w:space="0"/>
                </w:tcBorders>
              </w:tcPr>
              <w:p w:rsidR="00FE1E9B" w:rsidRDefault="00FE1E9B" w14:paraId="1EC30632"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692" w:type="dxa"/>
                <w:tcBorders>
                  <w:left w:val="single" w:color="FFFFFF" w:themeColor="background1" w:sz="4" w:space="0"/>
                </w:tcBorders>
              </w:tcPr>
              <w:p w:rsidR="00FE1E9B" w:rsidRDefault="00FE1E9B" w14:paraId="3AD17DD6" w14:textId="77777777">
                <w:pPr>
                  <w:tabs>
                    <w:tab w:val="right" w:pos="8838"/>
                  </w:tabs>
                  <w:ind w:left="-2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00FE1E9B" w:rsidRDefault="00FE1E9B" w14:paraId="40096A94" w14:textId="77777777">
          <w:pPr>
            <w:tabs>
              <w:tab w:val="right" w:pos="8838"/>
            </w:tabs>
            <w:ind w:left="-28"/>
            <w:jc w:val="both"/>
            <w:rPr>
              <w:rFonts w:ascii="Arial" w:hAnsi="Arial" w:eastAsia="Calibri" w:cs="Arial"/>
              <w:b/>
              <w:sz w:val="22"/>
              <w:szCs w:val="22"/>
              <w:lang w:eastAsia="en-US"/>
            </w:rPr>
          </w:pPr>
        </w:p>
      </w:tc>
    </w:tr>
  </w:tbl>
  <w:p w:rsidR="00FE1E9B" w:rsidP="00AD2C7F" w:rsidRDefault="004F54F1" w14:paraId="7871694A" w14:textId="77777777">
    <w:pPr>
      <w:pStyle w:val="Encabezado"/>
    </w:pPr>
    <w:r>
      <w:rPr>
        <w:noProof/>
        <w:lang w:eastAsia="es-MX"/>
      </w:rPr>
      <w:pict w14:anchorId="291A19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9893392" style="position:absolute;margin-left:-90.8pt;margin-top:-131.5pt;width:663.5pt;height:12in;z-index:-251655168;mso-position-horizontal-relative:margin;mso-position-vertical-relative:margin" o:spid="_x0000_s1027" o:allowincell="f" type="#_x0000_t75">
          <v:imagedata o:title="marcaaguaINFOEM"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2268"/>
      <w:gridCol w:w="7513"/>
    </w:tblGrid>
    <w:tr w:rsidR="00FE1E9B" w:rsidTr="0BF9716C" w14:paraId="5A47064F" w14:textId="77777777">
      <w:trPr>
        <w:trHeight w:val="1435"/>
      </w:trPr>
      <w:tc>
        <w:tcPr>
          <w:tcW w:w="2268" w:type="dxa"/>
          <w:shd w:val="clear" w:color="auto" w:fill="auto"/>
          <w:tcMar/>
        </w:tcPr>
        <w:p w:rsidR="00FE1E9B" w:rsidRDefault="00FE1E9B" w14:paraId="087E9B8D" w14:textId="77777777">
          <w:pPr>
            <w:tabs>
              <w:tab w:val="right" w:pos="4273"/>
            </w:tabs>
            <w:rPr>
              <w:rFonts w:ascii="Garamond" w:hAnsi="Garamond" w:eastAsia="Calibri"/>
              <w:sz w:val="22"/>
              <w:szCs w:val="22"/>
              <w:lang w:eastAsia="en-US"/>
            </w:rPr>
          </w:pPr>
        </w:p>
      </w:tc>
      <w:tc>
        <w:tcPr>
          <w:tcW w:w="7513" w:type="dxa"/>
          <w:shd w:val="clear" w:color="auto" w:fill="auto"/>
          <w:tcMar/>
        </w:tcPr>
        <w:tbl>
          <w:tblPr>
            <w:tblStyle w:val="Tablaconcuadrcula"/>
            <w:tblW w:w="9497" w:type="dxa"/>
            <w:tblInd w:w="13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4"/>
            <w:gridCol w:w="3651"/>
            <w:gridCol w:w="3402"/>
          </w:tblGrid>
          <w:tr w:rsidR="00FE1E9B" w:rsidTr="0BF9716C" w14:paraId="28D48C54" w14:textId="77777777">
            <w:trPr>
              <w:trHeight w:val="144"/>
            </w:trPr>
            <w:tc>
              <w:tcPr>
                <w:tcW w:w="2444" w:type="dxa"/>
                <w:tcMar/>
              </w:tcPr>
              <w:p w:rsidR="00FE1E9B" w:rsidP="00AD2C7F" w:rsidRDefault="00FE1E9B" w14:paraId="7C222618" w14:textId="77777777">
                <w:pPr>
                  <w:tabs>
                    <w:tab w:val="right" w:pos="8838"/>
                  </w:tabs>
                  <w:ind w:left="-74" w:right="-105"/>
                  <w:rPr>
                    <w:rFonts w:ascii="Palatino Linotype" w:hAnsi="Palatino Linotype" w:eastAsia="Calibri" w:cs="Tahoma"/>
                    <w:b/>
                    <w:sz w:val="22"/>
                    <w:szCs w:val="22"/>
                    <w:lang w:eastAsia="en-US"/>
                  </w:rPr>
                </w:pPr>
                <w:bookmarkStart w:name="_Hlk12526980" w:id="2"/>
                <w:r>
                  <w:rPr>
                    <w:rFonts w:ascii="Palatino Linotype" w:hAnsi="Palatino Linotype" w:eastAsia="Calibri" w:cs="Tahoma"/>
                    <w:b/>
                    <w:sz w:val="22"/>
                    <w:szCs w:val="22"/>
                    <w:lang w:eastAsia="en-US"/>
                  </w:rPr>
                  <w:t>Recurso de Revisión:</w:t>
                </w:r>
              </w:p>
            </w:tc>
            <w:tc>
              <w:tcPr>
                <w:tcW w:w="3651" w:type="dxa"/>
                <w:tcMar/>
              </w:tcPr>
              <w:p w:rsidR="00FE1E9B" w:rsidP="00AD2C7F" w:rsidRDefault="00FE1E9B" w14:paraId="451C5790" w14:textId="2BB0D69D">
                <w:pPr>
                  <w:tabs>
                    <w:tab w:val="right" w:pos="8838"/>
                  </w:tabs>
                  <w:ind w:left="-3"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00901/INFOEM/IP/RR/2022</w:t>
                </w:r>
              </w:p>
            </w:tc>
            <w:tc>
              <w:tcPr>
                <w:tcW w:w="3402" w:type="dxa"/>
                <w:tcMar/>
              </w:tcPr>
              <w:p w:rsidR="00FE1E9B" w:rsidRDefault="00FE1E9B" w14:paraId="6B57F811" w14:textId="77777777">
                <w:pPr>
                  <w:tabs>
                    <w:tab w:val="right" w:pos="8838"/>
                  </w:tabs>
                  <w:ind w:left="-74" w:right="-105"/>
                  <w:jc w:val="both"/>
                  <w:rPr>
                    <w:rFonts w:ascii="Palatino Linotype" w:hAnsi="Palatino Linotype" w:eastAsia="Calibri" w:cs="Tahoma"/>
                    <w:bCs/>
                    <w:sz w:val="22"/>
                    <w:szCs w:val="22"/>
                    <w:lang w:eastAsia="en-US"/>
                  </w:rPr>
                </w:pPr>
              </w:p>
            </w:tc>
          </w:tr>
          <w:tr w:rsidR="00FE1E9B" w:rsidTr="0BF9716C" w14:paraId="0FA1DB97" w14:textId="77777777">
            <w:trPr>
              <w:trHeight w:val="144"/>
            </w:trPr>
            <w:tc>
              <w:tcPr>
                <w:tcW w:w="2444" w:type="dxa"/>
                <w:tcMar/>
              </w:tcPr>
              <w:p w:rsidR="00FE1E9B" w:rsidP="00AD2C7F" w:rsidRDefault="00FE1E9B" w14:paraId="7D183892"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Pr>
                    <w:rFonts w:ascii="Palatino Linotype" w:hAnsi="Palatino Linotype" w:eastAsia="Calibri" w:cs="Tahoma"/>
                    <w:b/>
                    <w:sz w:val="22"/>
                    <w:szCs w:val="22"/>
                    <w:lang w:eastAsia="en-US"/>
                  </w:rPr>
                  <w:t>Recurrente:</w:t>
                </w:r>
              </w:p>
            </w:tc>
            <w:tc>
              <w:tcPr>
                <w:tcW w:w="3651" w:type="dxa"/>
                <w:tcMar/>
              </w:tcPr>
              <w:p w:rsidR="00FE1E9B" w:rsidP="0BF9716C" w:rsidRDefault="00FE1E9B" w14:paraId="253F32E0" w14:textId="5E7B0CD1">
                <w:pPr>
                  <w:tabs>
                    <w:tab w:val="left" w:pos="3122"/>
                    <w:tab w:val="right" w:pos="8838"/>
                  </w:tabs>
                  <w:ind w:left="-3" w:right="-105"/>
                  <w:jc w:val="both"/>
                  <w:rPr>
                    <w:rFonts w:ascii="Palatino Linotype" w:hAnsi="Palatino Linotype" w:eastAsia="Calibri" w:cs="Tahoma"/>
                    <w:sz w:val="22"/>
                    <w:szCs w:val="22"/>
                    <w:highlight w:val="black"/>
                    <w:lang w:eastAsia="en-US"/>
                  </w:rPr>
                </w:pPr>
                <w:r w:rsidRPr="0BF9716C" w:rsidR="0BF9716C">
                  <w:rPr>
                    <w:rFonts w:ascii="Palatino Linotype" w:hAnsi="Palatino Linotype" w:eastAsia="Calibri" w:cs="Tahoma"/>
                    <w:sz w:val="22"/>
                    <w:szCs w:val="22"/>
                    <w:highlight w:val="black"/>
                    <w:lang w:eastAsia="en-US"/>
                  </w:rPr>
                  <w:t>XXXXXX</w:t>
                </w:r>
              </w:p>
            </w:tc>
            <w:tc>
              <w:tcPr>
                <w:tcW w:w="3402" w:type="dxa"/>
                <w:tcMar/>
              </w:tcPr>
              <w:p w:rsidR="00FE1E9B" w:rsidRDefault="00FE1E9B" w14:paraId="048F7C57" w14:textId="77777777">
                <w:pPr>
                  <w:tabs>
                    <w:tab w:val="left" w:pos="3122"/>
                    <w:tab w:val="right" w:pos="8838"/>
                  </w:tabs>
                  <w:ind w:left="-74" w:right="-105"/>
                  <w:jc w:val="both"/>
                  <w:rPr>
                    <w:rFonts w:ascii="Palatino Linotype" w:hAnsi="Palatino Linotype" w:eastAsia="Calibri" w:cs="Tahoma"/>
                    <w:sz w:val="22"/>
                    <w:szCs w:val="22"/>
                    <w:lang w:eastAsia="en-US"/>
                  </w:rPr>
                </w:pPr>
              </w:p>
            </w:tc>
          </w:tr>
          <w:bookmarkEnd w:id="3"/>
          <w:tr w:rsidR="00FE1E9B" w:rsidTr="0BF9716C" w14:paraId="05A0B7FD" w14:textId="77777777">
            <w:trPr>
              <w:trHeight w:val="258"/>
            </w:trPr>
            <w:tc>
              <w:tcPr>
                <w:tcW w:w="2444" w:type="dxa"/>
                <w:tcMar/>
              </w:tcPr>
              <w:p w:rsidR="00FE1E9B" w:rsidP="00AD2C7F" w:rsidRDefault="00FE1E9B" w14:paraId="4F71FC5B"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Sujeto Obligado:</w:t>
                </w:r>
              </w:p>
            </w:tc>
            <w:tc>
              <w:tcPr>
                <w:tcW w:w="3651" w:type="dxa"/>
                <w:tcMar/>
              </w:tcPr>
              <w:p w:rsidR="00FD1D5A" w:rsidP="00FE1E9B" w:rsidRDefault="00FE1E9B" w14:paraId="0870E7DD" w14:textId="77777777">
                <w:pPr>
                  <w:tabs>
                    <w:tab w:val="left" w:pos="2834"/>
                    <w:tab w:val="right" w:pos="8838"/>
                  </w:tabs>
                  <w:ind w:left="-3" w:right="-105"/>
                  <w:jc w:val="both"/>
                  <w:rPr>
                    <w:rFonts w:ascii="Palatino Linotype" w:hAnsi="Palatino Linotype" w:eastAsia="Calibri" w:cs="Tahoma"/>
                    <w:sz w:val="22"/>
                    <w:szCs w:val="22"/>
                    <w:lang w:val="es-MX" w:eastAsia="en-US"/>
                  </w:rPr>
                </w:pPr>
                <w:r w:rsidRPr="00A4234F">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Atizapán</w:t>
                </w:r>
              </w:p>
              <w:p w:rsidR="00FE1E9B" w:rsidP="00FE1E9B" w:rsidRDefault="00FE1E9B" w14:paraId="62EB1A5B" w14:textId="0F17DE66">
                <w:pPr>
                  <w:tabs>
                    <w:tab w:val="left" w:pos="2834"/>
                    <w:tab w:val="right" w:pos="8838"/>
                  </w:tabs>
                  <w:ind w:left="-3"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val="es-MX" w:eastAsia="en-US"/>
                  </w:rPr>
                  <w:t>de Zaragoza</w:t>
                </w:r>
              </w:p>
            </w:tc>
            <w:tc>
              <w:tcPr>
                <w:tcW w:w="3402" w:type="dxa"/>
                <w:tcMar/>
              </w:tcPr>
              <w:p w:rsidR="00FE1E9B" w:rsidRDefault="00FE1E9B" w14:paraId="705EF317" w14:textId="77777777">
                <w:pPr>
                  <w:tabs>
                    <w:tab w:val="left" w:pos="2834"/>
                    <w:tab w:val="right" w:pos="8838"/>
                  </w:tabs>
                  <w:ind w:left="-74" w:right="-105"/>
                  <w:jc w:val="both"/>
                  <w:rPr>
                    <w:rFonts w:ascii="Palatino Linotype" w:hAnsi="Palatino Linotype" w:eastAsia="Calibri" w:cs="Tahoma"/>
                    <w:sz w:val="22"/>
                    <w:szCs w:val="22"/>
                    <w:lang w:eastAsia="en-US"/>
                  </w:rPr>
                </w:pPr>
              </w:p>
            </w:tc>
          </w:tr>
          <w:tr w:rsidR="00FE1E9B" w:rsidTr="0BF9716C" w14:paraId="29EF6C65" w14:textId="77777777">
            <w:trPr>
              <w:trHeight w:val="283"/>
            </w:trPr>
            <w:tc>
              <w:tcPr>
                <w:tcW w:w="2444" w:type="dxa"/>
                <w:tcMar/>
              </w:tcPr>
              <w:p w:rsidR="00FE1E9B" w:rsidP="00AD2C7F" w:rsidRDefault="00FE1E9B" w14:paraId="01BF177E"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651" w:type="dxa"/>
                <w:tcMar/>
              </w:tcPr>
              <w:p w:rsidRPr="00A4234F" w:rsidR="00FE1E9B" w:rsidP="00A4234F" w:rsidRDefault="00FE1E9B" w14:paraId="3F6FD2EB" w14:textId="794AAEC0">
                <w:pPr>
                  <w:tabs>
                    <w:tab w:val="right" w:pos="8838"/>
                  </w:tabs>
                  <w:ind w:left="-3"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c>
              <w:tcPr>
                <w:tcW w:w="3402" w:type="dxa"/>
                <w:tcMar/>
              </w:tcPr>
              <w:p w:rsidR="00FE1E9B" w:rsidRDefault="00FE1E9B" w14:paraId="3FFB621B" w14:textId="77777777">
                <w:pPr>
                  <w:tabs>
                    <w:tab w:val="right" w:pos="8838"/>
                  </w:tabs>
                  <w:ind w:left="-74" w:right="-105"/>
                  <w:jc w:val="both"/>
                  <w:rPr>
                    <w:rFonts w:ascii="Palatino Linotype" w:hAnsi="Palatino Linotype" w:eastAsia="Calibri" w:cs="Tahoma"/>
                    <w:sz w:val="22"/>
                    <w:szCs w:val="22"/>
                    <w:lang w:eastAsia="en-US"/>
                  </w:rPr>
                </w:pPr>
              </w:p>
            </w:tc>
          </w:tr>
        </w:tbl>
        <w:p w:rsidR="00FE1E9B" w:rsidRDefault="00FE1E9B" w14:paraId="611E1636" w14:textId="77777777">
          <w:pPr>
            <w:tabs>
              <w:tab w:val="right" w:pos="8838"/>
            </w:tabs>
            <w:ind w:left="-28"/>
            <w:jc w:val="both"/>
            <w:rPr>
              <w:rFonts w:ascii="Arial" w:hAnsi="Arial" w:eastAsia="Calibri" w:cs="Arial"/>
              <w:b/>
              <w:sz w:val="22"/>
              <w:szCs w:val="22"/>
              <w:lang w:eastAsia="en-US"/>
            </w:rPr>
          </w:pPr>
        </w:p>
      </w:tc>
    </w:tr>
  </w:tbl>
  <w:p w:rsidR="00FE1E9B" w:rsidP="00AD2C7F" w:rsidRDefault="004F54F1" w14:paraId="71C9E5BB" w14:textId="77777777">
    <w:r>
      <w:rPr>
        <w:noProof/>
        <w:lang w:eastAsia="es-MX"/>
      </w:rPr>
      <w:pict w14:anchorId="6947E6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9893390" style="position:absolute;margin-left:-106.55pt;margin-top:-121.2pt;width:663.5pt;height:12in;z-index:-251657216;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54E"/>
    <w:multiLevelType w:val="hybridMultilevel"/>
    <w:tmpl w:val="675493B0"/>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 w15:restartNumberingAfterBreak="0">
    <w:nsid w:val="02AC2FC7"/>
    <w:multiLevelType w:val="hybridMultilevel"/>
    <w:tmpl w:val="3F38A1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2E4902"/>
    <w:multiLevelType w:val="hybridMultilevel"/>
    <w:tmpl w:val="6D9090D8"/>
    <w:lvl w:ilvl="0" w:tplc="7AA0B6C0">
      <w:start w:val="1"/>
      <w:numFmt w:val="bullet"/>
      <w:lvlText w:val=""/>
      <w:lvlJc w:val="left"/>
      <w:pPr>
        <w:ind w:left="1423" w:hanging="360"/>
      </w:pPr>
      <w:rPr>
        <w:rFonts w:hint="default" w:ascii="Symbol" w:hAnsi="Symbol"/>
      </w:rPr>
    </w:lvl>
    <w:lvl w:ilvl="1" w:tplc="080A0003" w:tentative="1">
      <w:start w:val="1"/>
      <w:numFmt w:val="bullet"/>
      <w:lvlText w:val="o"/>
      <w:lvlJc w:val="left"/>
      <w:pPr>
        <w:ind w:left="2143" w:hanging="360"/>
      </w:pPr>
      <w:rPr>
        <w:rFonts w:hint="default" w:ascii="Courier New" w:hAnsi="Courier New" w:cs="Courier New"/>
      </w:rPr>
    </w:lvl>
    <w:lvl w:ilvl="2" w:tplc="080A0005" w:tentative="1">
      <w:start w:val="1"/>
      <w:numFmt w:val="bullet"/>
      <w:lvlText w:val=""/>
      <w:lvlJc w:val="left"/>
      <w:pPr>
        <w:ind w:left="2863" w:hanging="360"/>
      </w:pPr>
      <w:rPr>
        <w:rFonts w:hint="default" w:ascii="Wingdings" w:hAnsi="Wingdings"/>
      </w:rPr>
    </w:lvl>
    <w:lvl w:ilvl="3" w:tplc="080A0001" w:tentative="1">
      <w:start w:val="1"/>
      <w:numFmt w:val="bullet"/>
      <w:lvlText w:val=""/>
      <w:lvlJc w:val="left"/>
      <w:pPr>
        <w:ind w:left="3583" w:hanging="360"/>
      </w:pPr>
      <w:rPr>
        <w:rFonts w:hint="default" w:ascii="Symbol" w:hAnsi="Symbol"/>
      </w:rPr>
    </w:lvl>
    <w:lvl w:ilvl="4" w:tplc="080A0003" w:tentative="1">
      <w:start w:val="1"/>
      <w:numFmt w:val="bullet"/>
      <w:lvlText w:val="o"/>
      <w:lvlJc w:val="left"/>
      <w:pPr>
        <w:ind w:left="4303" w:hanging="360"/>
      </w:pPr>
      <w:rPr>
        <w:rFonts w:hint="default" w:ascii="Courier New" w:hAnsi="Courier New" w:cs="Courier New"/>
      </w:rPr>
    </w:lvl>
    <w:lvl w:ilvl="5" w:tplc="080A0005" w:tentative="1">
      <w:start w:val="1"/>
      <w:numFmt w:val="bullet"/>
      <w:lvlText w:val=""/>
      <w:lvlJc w:val="left"/>
      <w:pPr>
        <w:ind w:left="5023" w:hanging="360"/>
      </w:pPr>
      <w:rPr>
        <w:rFonts w:hint="default" w:ascii="Wingdings" w:hAnsi="Wingdings"/>
      </w:rPr>
    </w:lvl>
    <w:lvl w:ilvl="6" w:tplc="080A0001" w:tentative="1">
      <w:start w:val="1"/>
      <w:numFmt w:val="bullet"/>
      <w:lvlText w:val=""/>
      <w:lvlJc w:val="left"/>
      <w:pPr>
        <w:ind w:left="5743" w:hanging="360"/>
      </w:pPr>
      <w:rPr>
        <w:rFonts w:hint="default" w:ascii="Symbol" w:hAnsi="Symbol"/>
      </w:rPr>
    </w:lvl>
    <w:lvl w:ilvl="7" w:tplc="080A0003" w:tentative="1">
      <w:start w:val="1"/>
      <w:numFmt w:val="bullet"/>
      <w:lvlText w:val="o"/>
      <w:lvlJc w:val="left"/>
      <w:pPr>
        <w:ind w:left="6463" w:hanging="360"/>
      </w:pPr>
      <w:rPr>
        <w:rFonts w:hint="default" w:ascii="Courier New" w:hAnsi="Courier New" w:cs="Courier New"/>
      </w:rPr>
    </w:lvl>
    <w:lvl w:ilvl="8" w:tplc="080A0005" w:tentative="1">
      <w:start w:val="1"/>
      <w:numFmt w:val="bullet"/>
      <w:lvlText w:val=""/>
      <w:lvlJc w:val="left"/>
      <w:pPr>
        <w:ind w:left="7183" w:hanging="360"/>
      </w:pPr>
      <w:rPr>
        <w:rFonts w:hint="default" w:ascii="Wingdings" w:hAnsi="Wingdings"/>
      </w:rPr>
    </w:lvl>
  </w:abstractNum>
  <w:abstractNum w:abstractNumId="6" w15:restartNumberingAfterBreak="0">
    <w:nsid w:val="0DEC5C31"/>
    <w:multiLevelType w:val="hybridMultilevel"/>
    <w:tmpl w:val="11C8A3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57F619A"/>
    <w:multiLevelType w:val="hybridMultilevel"/>
    <w:tmpl w:val="C88E80FE"/>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8564FA0"/>
    <w:multiLevelType w:val="hybridMultilevel"/>
    <w:tmpl w:val="FB72F7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EB41FAB"/>
    <w:multiLevelType w:val="hybridMultilevel"/>
    <w:tmpl w:val="50B8FD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BA60E1"/>
    <w:multiLevelType w:val="hybridMultilevel"/>
    <w:tmpl w:val="F368964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multilevel"/>
    <w:tmpl w:val="2838302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BC6082E"/>
    <w:multiLevelType w:val="hybridMultilevel"/>
    <w:tmpl w:val="1406ABAE"/>
    <w:lvl w:ilvl="0" w:tplc="B628A1B6">
      <w:numFmt w:val="bullet"/>
      <w:lvlText w:val=""/>
      <w:lvlJc w:val="left"/>
      <w:pPr>
        <w:ind w:left="1122" w:hanging="360"/>
      </w:pPr>
      <w:rPr>
        <w:rFonts w:hint="default" w:ascii="Symbol" w:hAnsi="Symbol" w:eastAsia="Symbol" w:cs="Symbol"/>
        <w:b w:val="0"/>
        <w:bCs w:val="0"/>
        <w:i w:val="0"/>
        <w:iCs w:val="0"/>
        <w:w w:val="99"/>
        <w:sz w:val="8"/>
        <w:szCs w:val="8"/>
        <w:lang w:val="es-MX" w:eastAsia="en-US" w:bidi="ar-SA"/>
      </w:rPr>
    </w:lvl>
    <w:lvl w:ilvl="1" w:tplc="63F8B23C">
      <w:numFmt w:val="bullet"/>
      <w:lvlText w:val="•"/>
      <w:lvlJc w:val="left"/>
      <w:pPr>
        <w:ind w:left="1944" w:hanging="360"/>
      </w:pPr>
      <w:rPr>
        <w:rFonts w:hint="default"/>
        <w:lang w:val="es-MX" w:eastAsia="en-US" w:bidi="ar-SA"/>
      </w:rPr>
    </w:lvl>
    <w:lvl w:ilvl="2" w:tplc="5F886156">
      <w:numFmt w:val="bullet"/>
      <w:lvlText w:val="•"/>
      <w:lvlJc w:val="left"/>
      <w:pPr>
        <w:ind w:left="2768" w:hanging="360"/>
      </w:pPr>
      <w:rPr>
        <w:rFonts w:hint="default"/>
        <w:lang w:val="es-MX" w:eastAsia="en-US" w:bidi="ar-SA"/>
      </w:rPr>
    </w:lvl>
    <w:lvl w:ilvl="3" w:tplc="7930A5D6">
      <w:numFmt w:val="bullet"/>
      <w:lvlText w:val="•"/>
      <w:lvlJc w:val="left"/>
      <w:pPr>
        <w:ind w:left="3592" w:hanging="360"/>
      </w:pPr>
      <w:rPr>
        <w:rFonts w:hint="default"/>
        <w:lang w:val="es-MX" w:eastAsia="en-US" w:bidi="ar-SA"/>
      </w:rPr>
    </w:lvl>
    <w:lvl w:ilvl="4" w:tplc="6AB2ADE6">
      <w:numFmt w:val="bullet"/>
      <w:lvlText w:val="•"/>
      <w:lvlJc w:val="left"/>
      <w:pPr>
        <w:ind w:left="4416" w:hanging="360"/>
      </w:pPr>
      <w:rPr>
        <w:rFonts w:hint="default"/>
        <w:lang w:val="es-MX" w:eastAsia="en-US" w:bidi="ar-SA"/>
      </w:rPr>
    </w:lvl>
    <w:lvl w:ilvl="5" w:tplc="C1743B56">
      <w:numFmt w:val="bullet"/>
      <w:lvlText w:val="•"/>
      <w:lvlJc w:val="left"/>
      <w:pPr>
        <w:ind w:left="5240" w:hanging="360"/>
      </w:pPr>
      <w:rPr>
        <w:rFonts w:hint="default"/>
        <w:lang w:val="es-MX" w:eastAsia="en-US" w:bidi="ar-SA"/>
      </w:rPr>
    </w:lvl>
    <w:lvl w:ilvl="6" w:tplc="CBE4883C">
      <w:numFmt w:val="bullet"/>
      <w:lvlText w:val="•"/>
      <w:lvlJc w:val="left"/>
      <w:pPr>
        <w:ind w:left="6064" w:hanging="360"/>
      </w:pPr>
      <w:rPr>
        <w:rFonts w:hint="default"/>
        <w:lang w:val="es-MX" w:eastAsia="en-US" w:bidi="ar-SA"/>
      </w:rPr>
    </w:lvl>
    <w:lvl w:ilvl="7" w:tplc="F6DE6310">
      <w:numFmt w:val="bullet"/>
      <w:lvlText w:val="•"/>
      <w:lvlJc w:val="left"/>
      <w:pPr>
        <w:ind w:left="6888" w:hanging="360"/>
      </w:pPr>
      <w:rPr>
        <w:rFonts w:hint="default"/>
        <w:lang w:val="es-MX" w:eastAsia="en-US" w:bidi="ar-SA"/>
      </w:rPr>
    </w:lvl>
    <w:lvl w:ilvl="8" w:tplc="C3C61862">
      <w:numFmt w:val="bullet"/>
      <w:lvlText w:val="•"/>
      <w:lvlJc w:val="left"/>
      <w:pPr>
        <w:ind w:left="7712" w:hanging="360"/>
      </w:pPr>
      <w:rPr>
        <w:rFonts w:hint="default"/>
        <w:lang w:val="es-MX" w:eastAsia="en-US" w:bidi="ar-SA"/>
      </w:rPr>
    </w:lvl>
  </w:abstractNum>
  <w:abstractNum w:abstractNumId="15"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205315"/>
    <w:multiLevelType w:val="hybridMultilevel"/>
    <w:tmpl w:val="34DA12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F2755DE"/>
    <w:multiLevelType w:val="hybridMultilevel"/>
    <w:tmpl w:val="61406A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2BF2D71"/>
    <w:multiLevelType w:val="hybridMultilevel"/>
    <w:tmpl w:val="8EC6C7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5B9726E"/>
    <w:multiLevelType w:val="hybridMultilevel"/>
    <w:tmpl w:val="FFBC795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B17EC"/>
    <w:multiLevelType w:val="hybridMultilevel"/>
    <w:tmpl w:val="F9DAD9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5422B96"/>
    <w:multiLevelType w:val="multilevel"/>
    <w:tmpl w:val="75422B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669866891">
    <w:abstractNumId w:val="13"/>
  </w:num>
  <w:num w:numId="2" w16cid:durableId="531383198">
    <w:abstractNumId w:val="23"/>
  </w:num>
  <w:num w:numId="3" w16cid:durableId="2130933992">
    <w:abstractNumId w:val="15"/>
  </w:num>
  <w:num w:numId="4" w16cid:durableId="163322081">
    <w:abstractNumId w:val="12"/>
  </w:num>
  <w:num w:numId="5" w16cid:durableId="24258389">
    <w:abstractNumId w:val="7"/>
  </w:num>
  <w:num w:numId="6" w16cid:durableId="1882352808">
    <w:abstractNumId w:val="11"/>
  </w:num>
  <w:num w:numId="7" w16cid:durableId="1192307043">
    <w:abstractNumId w:val="3"/>
  </w:num>
  <w:num w:numId="8" w16cid:durableId="1773283198">
    <w:abstractNumId w:val="20"/>
  </w:num>
  <w:num w:numId="9" w16cid:durableId="2017538660">
    <w:abstractNumId w:val="16"/>
  </w:num>
  <w:num w:numId="10" w16cid:durableId="533471087">
    <w:abstractNumId w:val="6"/>
  </w:num>
  <w:num w:numId="11" w16cid:durableId="2120903658">
    <w:abstractNumId w:val="5"/>
  </w:num>
  <w:num w:numId="12" w16cid:durableId="393550432">
    <w:abstractNumId w:val="14"/>
  </w:num>
  <w:num w:numId="13" w16cid:durableId="16494347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506407">
    <w:abstractNumId w:val="19"/>
  </w:num>
  <w:num w:numId="15" w16cid:durableId="435951561">
    <w:abstractNumId w:val="9"/>
  </w:num>
  <w:num w:numId="16" w16cid:durableId="668405836">
    <w:abstractNumId w:val="24"/>
  </w:num>
  <w:num w:numId="17" w16cid:durableId="1361280503">
    <w:abstractNumId w:val="10"/>
  </w:num>
  <w:num w:numId="18" w16cid:durableId="790592972">
    <w:abstractNumId w:val="18"/>
  </w:num>
  <w:num w:numId="19" w16cid:durableId="981734062">
    <w:abstractNumId w:val="4"/>
  </w:num>
  <w:num w:numId="20" w16cid:durableId="116724894">
    <w:abstractNumId w:val="17"/>
  </w:num>
  <w:num w:numId="21" w16cid:durableId="979652646">
    <w:abstractNumId w:val="1"/>
  </w:num>
  <w:num w:numId="22" w16cid:durableId="409540672">
    <w:abstractNumId w:val="0"/>
  </w:num>
  <w:num w:numId="23" w16cid:durableId="1049450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075779">
    <w:abstractNumId w:val="2"/>
  </w:num>
  <w:num w:numId="25" w16cid:durableId="278099927">
    <w:abstractNumId w:val="21"/>
  </w:num>
  <w:num w:numId="26" w16cid:durableId="345790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049076">
    <w:abstractNumId w:val="12"/>
  </w:num>
  <w:num w:numId="28" w16cid:durableId="242221219">
    <w:abstractNumId w:val="3"/>
  </w:num>
  <w:num w:numId="29" w16cid:durableId="262610070">
    <w:abstractNumId w:val="4"/>
  </w:num>
  <w:num w:numId="30" w16cid:durableId="1523744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4F"/>
    <w:rsid w:val="000203AC"/>
    <w:rsid w:val="00023035"/>
    <w:rsid w:val="00025CA7"/>
    <w:rsid w:val="00034C42"/>
    <w:rsid w:val="000368B0"/>
    <w:rsid w:val="0004253C"/>
    <w:rsid w:val="0004311C"/>
    <w:rsid w:val="00045F82"/>
    <w:rsid w:val="000463BE"/>
    <w:rsid w:val="00051D7D"/>
    <w:rsid w:val="00055A62"/>
    <w:rsid w:val="000615D9"/>
    <w:rsid w:val="00063CED"/>
    <w:rsid w:val="00067551"/>
    <w:rsid w:val="0009587F"/>
    <w:rsid w:val="000A00B4"/>
    <w:rsid w:val="000A347A"/>
    <w:rsid w:val="000A3583"/>
    <w:rsid w:val="000B1402"/>
    <w:rsid w:val="000B248A"/>
    <w:rsid w:val="000B30C3"/>
    <w:rsid w:val="000C01CE"/>
    <w:rsid w:val="000C04B6"/>
    <w:rsid w:val="000C370F"/>
    <w:rsid w:val="000C3DC4"/>
    <w:rsid w:val="000D1B14"/>
    <w:rsid w:val="000D4754"/>
    <w:rsid w:val="000D6A83"/>
    <w:rsid w:val="000F049D"/>
    <w:rsid w:val="00100DC0"/>
    <w:rsid w:val="001027DA"/>
    <w:rsid w:val="00114386"/>
    <w:rsid w:val="001219A0"/>
    <w:rsid w:val="00121D52"/>
    <w:rsid w:val="0014345B"/>
    <w:rsid w:val="00156251"/>
    <w:rsid w:val="001567AA"/>
    <w:rsid w:val="0016078E"/>
    <w:rsid w:val="00175AAF"/>
    <w:rsid w:val="00185C90"/>
    <w:rsid w:val="00192CAD"/>
    <w:rsid w:val="001A295C"/>
    <w:rsid w:val="001A30B8"/>
    <w:rsid w:val="001A3289"/>
    <w:rsid w:val="001A39B4"/>
    <w:rsid w:val="001A3C8F"/>
    <w:rsid w:val="001A3E45"/>
    <w:rsid w:val="001A5C07"/>
    <w:rsid w:val="001B1CA4"/>
    <w:rsid w:val="001D36D1"/>
    <w:rsid w:val="001D405F"/>
    <w:rsid w:val="001D4837"/>
    <w:rsid w:val="001D7AB3"/>
    <w:rsid w:val="001E2733"/>
    <w:rsid w:val="001E4758"/>
    <w:rsid w:val="001F2B38"/>
    <w:rsid w:val="002038D6"/>
    <w:rsid w:val="00205C72"/>
    <w:rsid w:val="0021562D"/>
    <w:rsid w:val="00221823"/>
    <w:rsid w:val="0023018E"/>
    <w:rsid w:val="00230C72"/>
    <w:rsid w:val="00247305"/>
    <w:rsid w:val="00251427"/>
    <w:rsid w:val="00254DAB"/>
    <w:rsid w:val="00263192"/>
    <w:rsid w:val="0026686E"/>
    <w:rsid w:val="00270300"/>
    <w:rsid w:val="00270AEE"/>
    <w:rsid w:val="00280C33"/>
    <w:rsid w:val="00280CCA"/>
    <w:rsid w:val="00283984"/>
    <w:rsid w:val="00285849"/>
    <w:rsid w:val="00292446"/>
    <w:rsid w:val="002956DC"/>
    <w:rsid w:val="002B3593"/>
    <w:rsid w:val="002B4F53"/>
    <w:rsid w:val="002C4B5F"/>
    <w:rsid w:val="002C691D"/>
    <w:rsid w:val="002C70E8"/>
    <w:rsid w:val="002D1181"/>
    <w:rsid w:val="002D13BC"/>
    <w:rsid w:val="002E2AC0"/>
    <w:rsid w:val="002E3781"/>
    <w:rsid w:val="002E5E3D"/>
    <w:rsid w:val="002F22DE"/>
    <w:rsid w:val="00301273"/>
    <w:rsid w:val="003062D2"/>
    <w:rsid w:val="003153D5"/>
    <w:rsid w:val="00322877"/>
    <w:rsid w:val="0032337C"/>
    <w:rsid w:val="003235E9"/>
    <w:rsid w:val="00324A88"/>
    <w:rsid w:val="00327CD6"/>
    <w:rsid w:val="00331D29"/>
    <w:rsid w:val="003332D9"/>
    <w:rsid w:val="0034082B"/>
    <w:rsid w:val="003502B9"/>
    <w:rsid w:val="003565D7"/>
    <w:rsid w:val="00376B3E"/>
    <w:rsid w:val="003777A4"/>
    <w:rsid w:val="00377C68"/>
    <w:rsid w:val="00387B87"/>
    <w:rsid w:val="00392AA3"/>
    <w:rsid w:val="00393E93"/>
    <w:rsid w:val="003A39C1"/>
    <w:rsid w:val="003A6251"/>
    <w:rsid w:val="003B1032"/>
    <w:rsid w:val="003C0877"/>
    <w:rsid w:val="003E24AF"/>
    <w:rsid w:val="003F0756"/>
    <w:rsid w:val="004152A5"/>
    <w:rsid w:val="00415A0D"/>
    <w:rsid w:val="00420126"/>
    <w:rsid w:val="00421266"/>
    <w:rsid w:val="00425DAC"/>
    <w:rsid w:val="00427ADA"/>
    <w:rsid w:val="00442B0B"/>
    <w:rsid w:val="00443C6F"/>
    <w:rsid w:val="0044616D"/>
    <w:rsid w:val="00446AAD"/>
    <w:rsid w:val="0047231F"/>
    <w:rsid w:val="00474CAE"/>
    <w:rsid w:val="00476822"/>
    <w:rsid w:val="004772F3"/>
    <w:rsid w:val="004774D3"/>
    <w:rsid w:val="004A10FC"/>
    <w:rsid w:val="004A16A9"/>
    <w:rsid w:val="004B59BC"/>
    <w:rsid w:val="004C0D3C"/>
    <w:rsid w:val="004C187B"/>
    <w:rsid w:val="004D290F"/>
    <w:rsid w:val="004D3412"/>
    <w:rsid w:val="004D4220"/>
    <w:rsid w:val="004D7222"/>
    <w:rsid w:val="004F2AA6"/>
    <w:rsid w:val="004F54F1"/>
    <w:rsid w:val="0050415C"/>
    <w:rsid w:val="00504D0F"/>
    <w:rsid w:val="00510271"/>
    <w:rsid w:val="005162B8"/>
    <w:rsid w:val="005163C1"/>
    <w:rsid w:val="00516BA9"/>
    <w:rsid w:val="005172D8"/>
    <w:rsid w:val="00520A66"/>
    <w:rsid w:val="00524483"/>
    <w:rsid w:val="00542B40"/>
    <w:rsid w:val="00542C7B"/>
    <w:rsid w:val="00550B83"/>
    <w:rsid w:val="00552BE2"/>
    <w:rsid w:val="00554600"/>
    <w:rsid w:val="00556841"/>
    <w:rsid w:val="00564E8D"/>
    <w:rsid w:val="00567D22"/>
    <w:rsid w:val="00570A1B"/>
    <w:rsid w:val="00576D4F"/>
    <w:rsid w:val="00580ED4"/>
    <w:rsid w:val="00581C3F"/>
    <w:rsid w:val="00583B25"/>
    <w:rsid w:val="005A23A8"/>
    <w:rsid w:val="005B577D"/>
    <w:rsid w:val="005D4201"/>
    <w:rsid w:val="005D5693"/>
    <w:rsid w:val="005E2EA2"/>
    <w:rsid w:val="005E64AE"/>
    <w:rsid w:val="0060654A"/>
    <w:rsid w:val="0061276E"/>
    <w:rsid w:val="00615081"/>
    <w:rsid w:val="0062378B"/>
    <w:rsid w:val="006249A7"/>
    <w:rsid w:val="00626A9F"/>
    <w:rsid w:val="00643C2B"/>
    <w:rsid w:val="00644A5F"/>
    <w:rsid w:val="006514E2"/>
    <w:rsid w:val="00660FA7"/>
    <w:rsid w:val="006642D6"/>
    <w:rsid w:val="00667B34"/>
    <w:rsid w:val="00672E90"/>
    <w:rsid w:val="00676EDE"/>
    <w:rsid w:val="0068052A"/>
    <w:rsid w:val="00681F4B"/>
    <w:rsid w:val="00684D43"/>
    <w:rsid w:val="006929FF"/>
    <w:rsid w:val="006A7CAA"/>
    <w:rsid w:val="006B21BC"/>
    <w:rsid w:val="006B2FDF"/>
    <w:rsid w:val="006B47CB"/>
    <w:rsid w:val="006B6DD0"/>
    <w:rsid w:val="006B741A"/>
    <w:rsid w:val="006C3FE4"/>
    <w:rsid w:val="006D1765"/>
    <w:rsid w:val="006D666E"/>
    <w:rsid w:val="006E1B12"/>
    <w:rsid w:val="006E2D7A"/>
    <w:rsid w:val="006E3D13"/>
    <w:rsid w:val="006E6D20"/>
    <w:rsid w:val="006E73FA"/>
    <w:rsid w:val="006F4074"/>
    <w:rsid w:val="006F7221"/>
    <w:rsid w:val="00701B0A"/>
    <w:rsid w:val="00716EC1"/>
    <w:rsid w:val="00717331"/>
    <w:rsid w:val="00721242"/>
    <w:rsid w:val="00721286"/>
    <w:rsid w:val="00725511"/>
    <w:rsid w:val="00732008"/>
    <w:rsid w:val="007403D4"/>
    <w:rsid w:val="00740747"/>
    <w:rsid w:val="00741E0E"/>
    <w:rsid w:val="00744F2C"/>
    <w:rsid w:val="00744F45"/>
    <w:rsid w:val="00771DF5"/>
    <w:rsid w:val="00782522"/>
    <w:rsid w:val="0079106C"/>
    <w:rsid w:val="00792B0D"/>
    <w:rsid w:val="00797EB7"/>
    <w:rsid w:val="007B18B2"/>
    <w:rsid w:val="007B5708"/>
    <w:rsid w:val="007B6094"/>
    <w:rsid w:val="007C3C1F"/>
    <w:rsid w:val="007C504D"/>
    <w:rsid w:val="007C5F11"/>
    <w:rsid w:val="007C6A81"/>
    <w:rsid w:val="007C6ACC"/>
    <w:rsid w:val="007C7DDF"/>
    <w:rsid w:val="007D2E69"/>
    <w:rsid w:val="007E1F28"/>
    <w:rsid w:val="007E42AE"/>
    <w:rsid w:val="007E486B"/>
    <w:rsid w:val="007E5DD4"/>
    <w:rsid w:val="007F2279"/>
    <w:rsid w:val="007F3307"/>
    <w:rsid w:val="00800C1A"/>
    <w:rsid w:val="00805423"/>
    <w:rsid w:val="00812758"/>
    <w:rsid w:val="008129FF"/>
    <w:rsid w:val="00815651"/>
    <w:rsid w:val="0082581E"/>
    <w:rsid w:val="00827E0A"/>
    <w:rsid w:val="00832916"/>
    <w:rsid w:val="008408E1"/>
    <w:rsid w:val="00850973"/>
    <w:rsid w:val="00852F3A"/>
    <w:rsid w:val="00853963"/>
    <w:rsid w:val="00860564"/>
    <w:rsid w:val="00861272"/>
    <w:rsid w:val="0086185A"/>
    <w:rsid w:val="00877255"/>
    <w:rsid w:val="008821CA"/>
    <w:rsid w:val="008948DC"/>
    <w:rsid w:val="00895783"/>
    <w:rsid w:val="00897C96"/>
    <w:rsid w:val="00897EF7"/>
    <w:rsid w:val="008A1B9B"/>
    <w:rsid w:val="008A3CFE"/>
    <w:rsid w:val="008B00FD"/>
    <w:rsid w:val="008B0A33"/>
    <w:rsid w:val="008B2068"/>
    <w:rsid w:val="008B2A3F"/>
    <w:rsid w:val="008C7093"/>
    <w:rsid w:val="008D2F77"/>
    <w:rsid w:val="008D3ECD"/>
    <w:rsid w:val="008D711B"/>
    <w:rsid w:val="008E371F"/>
    <w:rsid w:val="008E7247"/>
    <w:rsid w:val="008E767A"/>
    <w:rsid w:val="008F6BDF"/>
    <w:rsid w:val="00901EA7"/>
    <w:rsid w:val="00906F7F"/>
    <w:rsid w:val="009128D9"/>
    <w:rsid w:val="009137F1"/>
    <w:rsid w:val="00922707"/>
    <w:rsid w:val="00923B0A"/>
    <w:rsid w:val="00924B37"/>
    <w:rsid w:val="0092671C"/>
    <w:rsid w:val="0093008E"/>
    <w:rsid w:val="009543F4"/>
    <w:rsid w:val="009570C4"/>
    <w:rsid w:val="00965CDB"/>
    <w:rsid w:val="0097601E"/>
    <w:rsid w:val="009932AA"/>
    <w:rsid w:val="00997009"/>
    <w:rsid w:val="009A025C"/>
    <w:rsid w:val="009A0951"/>
    <w:rsid w:val="009B0F2E"/>
    <w:rsid w:val="009B16E7"/>
    <w:rsid w:val="009B3B3F"/>
    <w:rsid w:val="009B4C6D"/>
    <w:rsid w:val="009B7E7E"/>
    <w:rsid w:val="009C150A"/>
    <w:rsid w:val="009D2CE6"/>
    <w:rsid w:val="009D595E"/>
    <w:rsid w:val="009D6A2A"/>
    <w:rsid w:val="009E3E4F"/>
    <w:rsid w:val="00A0196E"/>
    <w:rsid w:val="00A10188"/>
    <w:rsid w:val="00A30F2F"/>
    <w:rsid w:val="00A33BF6"/>
    <w:rsid w:val="00A36485"/>
    <w:rsid w:val="00A36941"/>
    <w:rsid w:val="00A4234F"/>
    <w:rsid w:val="00A45EEC"/>
    <w:rsid w:val="00A568E0"/>
    <w:rsid w:val="00A60A34"/>
    <w:rsid w:val="00A6614E"/>
    <w:rsid w:val="00A76A52"/>
    <w:rsid w:val="00A76D98"/>
    <w:rsid w:val="00AA08C8"/>
    <w:rsid w:val="00AA1138"/>
    <w:rsid w:val="00AA2744"/>
    <w:rsid w:val="00AC684F"/>
    <w:rsid w:val="00AD1776"/>
    <w:rsid w:val="00AD2C7F"/>
    <w:rsid w:val="00AD59F1"/>
    <w:rsid w:val="00AD7FDF"/>
    <w:rsid w:val="00AE7EE8"/>
    <w:rsid w:val="00AF364B"/>
    <w:rsid w:val="00AF58E8"/>
    <w:rsid w:val="00B01C98"/>
    <w:rsid w:val="00B0573B"/>
    <w:rsid w:val="00B22742"/>
    <w:rsid w:val="00B23D9A"/>
    <w:rsid w:val="00B255B2"/>
    <w:rsid w:val="00B3008F"/>
    <w:rsid w:val="00B32251"/>
    <w:rsid w:val="00B3642E"/>
    <w:rsid w:val="00B6184C"/>
    <w:rsid w:val="00B71EE9"/>
    <w:rsid w:val="00B80E17"/>
    <w:rsid w:val="00B925F6"/>
    <w:rsid w:val="00BA6BB2"/>
    <w:rsid w:val="00BA7FDB"/>
    <w:rsid w:val="00BC1877"/>
    <w:rsid w:val="00BC30E2"/>
    <w:rsid w:val="00BC4DBC"/>
    <w:rsid w:val="00BC5AFE"/>
    <w:rsid w:val="00BD02B2"/>
    <w:rsid w:val="00BD262A"/>
    <w:rsid w:val="00BD4BF6"/>
    <w:rsid w:val="00BD5A8C"/>
    <w:rsid w:val="00BE1F8D"/>
    <w:rsid w:val="00BE6B3D"/>
    <w:rsid w:val="00C03E0A"/>
    <w:rsid w:val="00C0522E"/>
    <w:rsid w:val="00C05336"/>
    <w:rsid w:val="00C05B12"/>
    <w:rsid w:val="00C07279"/>
    <w:rsid w:val="00C225F2"/>
    <w:rsid w:val="00C26FFE"/>
    <w:rsid w:val="00C3260C"/>
    <w:rsid w:val="00C33261"/>
    <w:rsid w:val="00C3625F"/>
    <w:rsid w:val="00C40363"/>
    <w:rsid w:val="00C558D4"/>
    <w:rsid w:val="00C56678"/>
    <w:rsid w:val="00C61D01"/>
    <w:rsid w:val="00C70F01"/>
    <w:rsid w:val="00C806B5"/>
    <w:rsid w:val="00C80807"/>
    <w:rsid w:val="00C9161C"/>
    <w:rsid w:val="00C9393B"/>
    <w:rsid w:val="00C93E0B"/>
    <w:rsid w:val="00C963AA"/>
    <w:rsid w:val="00CA4A61"/>
    <w:rsid w:val="00CB2DB5"/>
    <w:rsid w:val="00CC0275"/>
    <w:rsid w:val="00CD13CE"/>
    <w:rsid w:val="00CD596E"/>
    <w:rsid w:val="00CE66EE"/>
    <w:rsid w:val="00CF0942"/>
    <w:rsid w:val="00CF499B"/>
    <w:rsid w:val="00D02D02"/>
    <w:rsid w:val="00D05324"/>
    <w:rsid w:val="00D15033"/>
    <w:rsid w:val="00D167F1"/>
    <w:rsid w:val="00D209B6"/>
    <w:rsid w:val="00D23D4A"/>
    <w:rsid w:val="00D2450C"/>
    <w:rsid w:val="00D24B2E"/>
    <w:rsid w:val="00D300D0"/>
    <w:rsid w:val="00D358A5"/>
    <w:rsid w:val="00D44441"/>
    <w:rsid w:val="00D4559B"/>
    <w:rsid w:val="00D47C27"/>
    <w:rsid w:val="00D55F30"/>
    <w:rsid w:val="00D6076B"/>
    <w:rsid w:val="00D60F18"/>
    <w:rsid w:val="00D64BC8"/>
    <w:rsid w:val="00D714AA"/>
    <w:rsid w:val="00D83F30"/>
    <w:rsid w:val="00DA7F8A"/>
    <w:rsid w:val="00DA7FC2"/>
    <w:rsid w:val="00DB089B"/>
    <w:rsid w:val="00DC1B04"/>
    <w:rsid w:val="00DC1E00"/>
    <w:rsid w:val="00DD3B5A"/>
    <w:rsid w:val="00DD7E07"/>
    <w:rsid w:val="00DE3289"/>
    <w:rsid w:val="00DE3CED"/>
    <w:rsid w:val="00DF1A34"/>
    <w:rsid w:val="00DF268E"/>
    <w:rsid w:val="00DF3622"/>
    <w:rsid w:val="00DF61CB"/>
    <w:rsid w:val="00E11577"/>
    <w:rsid w:val="00E12324"/>
    <w:rsid w:val="00E16D44"/>
    <w:rsid w:val="00E22993"/>
    <w:rsid w:val="00E23B02"/>
    <w:rsid w:val="00E2470B"/>
    <w:rsid w:val="00E26B12"/>
    <w:rsid w:val="00E32EE3"/>
    <w:rsid w:val="00E33864"/>
    <w:rsid w:val="00E35F52"/>
    <w:rsid w:val="00E459FB"/>
    <w:rsid w:val="00E51295"/>
    <w:rsid w:val="00E56AC7"/>
    <w:rsid w:val="00E70823"/>
    <w:rsid w:val="00E71ABA"/>
    <w:rsid w:val="00E73FDA"/>
    <w:rsid w:val="00E86626"/>
    <w:rsid w:val="00E868EB"/>
    <w:rsid w:val="00EA251B"/>
    <w:rsid w:val="00EB123C"/>
    <w:rsid w:val="00EB1591"/>
    <w:rsid w:val="00EB5C54"/>
    <w:rsid w:val="00EB6BBA"/>
    <w:rsid w:val="00EC7049"/>
    <w:rsid w:val="00ED5B33"/>
    <w:rsid w:val="00EE2AD8"/>
    <w:rsid w:val="00EE535C"/>
    <w:rsid w:val="00EE6EB9"/>
    <w:rsid w:val="00EF0083"/>
    <w:rsid w:val="00EF2BDC"/>
    <w:rsid w:val="00F05899"/>
    <w:rsid w:val="00F36513"/>
    <w:rsid w:val="00F5004E"/>
    <w:rsid w:val="00F52291"/>
    <w:rsid w:val="00F52E14"/>
    <w:rsid w:val="00F60E31"/>
    <w:rsid w:val="00F67758"/>
    <w:rsid w:val="00F72498"/>
    <w:rsid w:val="00F823D0"/>
    <w:rsid w:val="00F82422"/>
    <w:rsid w:val="00F83DFC"/>
    <w:rsid w:val="00F840ED"/>
    <w:rsid w:val="00F92628"/>
    <w:rsid w:val="00FA19CD"/>
    <w:rsid w:val="00FA1AAF"/>
    <w:rsid w:val="00FA1DD7"/>
    <w:rsid w:val="00FB4F4E"/>
    <w:rsid w:val="00FC0E02"/>
    <w:rsid w:val="00FC5D2E"/>
    <w:rsid w:val="00FD15F8"/>
    <w:rsid w:val="00FD1D5A"/>
    <w:rsid w:val="00FD4382"/>
    <w:rsid w:val="00FE1E9B"/>
    <w:rsid w:val="00FF0442"/>
    <w:rsid w:val="00FF6788"/>
    <w:rsid w:val="0BF971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1A65"/>
  <w15:chartTrackingRefBased/>
  <w15:docId w15:val="{AB181E40-E13E-4708-A2DD-24E45F7C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275"/>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qFormat/>
    <w:rsid w:val="00A4234F"/>
    <w:pPr>
      <w:tabs>
        <w:tab w:val="center" w:pos="4419"/>
        <w:tab w:val="right" w:pos="8838"/>
      </w:tabs>
    </w:pPr>
  </w:style>
  <w:style w:type="character" w:styleId="EncabezadoCar" w:customStyle="1">
    <w:name w:val="Encabezado Car"/>
    <w:basedOn w:val="Fuentedeprrafopredeter"/>
    <w:link w:val="Encabezado"/>
    <w:uiPriority w:val="99"/>
    <w:qFormat/>
    <w:rsid w:val="00A4234F"/>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qFormat/>
    <w:rsid w:val="00A4234F"/>
    <w:pPr>
      <w:tabs>
        <w:tab w:val="center" w:pos="4419"/>
        <w:tab w:val="right" w:pos="8838"/>
      </w:tabs>
    </w:pPr>
  </w:style>
  <w:style w:type="character" w:styleId="PiedepginaCar" w:customStyle="1">
    <w:name w:val="Pie de página Car"/>
    <w:basedOn w:val="Fuentedeprrafopredeter"/>
    <w:link w:val="Piedepgina"/>
    <w:uiPriority w:val="99"/>
    <w:qFormat/>
    <w:rsid w:val="00A4234F"/>
    <w:rPr>
      <w:rFonts w:ascii="Times New Roman" w:hAnsi="Times New Roman" w:eastAsia="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4234F"/>
    <w:rPr>
      <w:color w:val="0563C1" w:themeColor="hyperlink"/>
      <w:u w:val="single"/>
    </w:rPr>
  </w:style>
  <w:style w:type="table" w:styleId="Tablaconcuadrcula">
    <w:name w:val="Table Grid"/>
    <w:basedOn w:val="Tablanormal"/>
    <w:uiPriority w:val="59"/>
    <w:qFormat/>
    <w:rsid w:val="00A4234F"/>
    <w:pPr>
      <w:spacing w:after="0" w:line="240" w:lineRule="auto"/>
    </w:pPr>
    <w:rPr>
      <w:rFonts w:ascii="Times New Roman" w:hAnsi="Times New Roman" w:eastAsia="SimSun"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234F"/>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4234F"/>
    <w:rPr>
      <w:rFonts w:ascii="Century Gothic" w:hAnsi="Century Gothic" w:eastAsia="Times New Roman" w:cs="Times New Roman"/>
      <w:szCs w:val="24"/>
      <w:lang w:eastAsia="es-ES"/>
    </w:rPr>
  </w:style>
  <w:style w:type="paragraph" w:styleId="NormalWeb">
    <w:name w:val="Normal (Web)"/>
    <w:basedOn w:val="Normal"/>
    <w:uiPriority w:val="99"/>
    <w:semiHidden/>
    <w:unhideWhenUsed/>
    <w:rsid w:val="00542B40"/>
    <w:pPr>
      <w:spacing w:before="100" w:beforeAutospacing="1" w:after="100" w:afterAutospacing="1"/>
    </w:pPr>
    <w:rPr>
      <w:sz w:val="24"/>
      <w:szCs w:val="24"/>
      <w:lang w:val="es-ES"/>
    </w:rPr>
  </w:style>
  <w:style w:type="character" w:styleId="Ttulodellibro">
    <w:name w:val="Book Title"/>
    <w:basedOn w:val="Fuentedeprrafopredeter"/>
    <w:uiPriority w:val="33"/>
    <w:qFormat/>
    <w:rsid w:val="007E1F2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3172">
      <w:bodyDiv w:val="1"/>
      <w:marLeft w:val="0"/>
      <w:marRight w:val="0"/>
      <w:marTop w:val="0"/>
      <w:marBottom w:val="0"/>
      <w:divBdr>
        <w:top w:val="none" w:sz="0" w:space="0" w:color="auto"/>
        <w:left w:val="none" w:sz="0" w:space="0" w:color="auto"/>
        <w:bottom w:val="none" w:sz="0" w:space="0" w:color="auto"/>
        <w:right w:val="none" w:sz="0" w:space="0" w:color="auto"/>
      </w:divBdr>
    </w:div>
    <w:div w:id="258487067">
      <w:bodyDiv w:val="1"/>
      <w:marLeft w:val="0"/>
      <w:marRight w:val="0"/>
      <w:marTop w:val="0"/>
      <w:marBottom w:val="0"/>
      <w:divBdr>
        <w:top w:val="none" w:sz="0" w:space="0" w:color="auto"/>
        <w:left w:val="none" w:sz="0" w:space="0" w:color="auto"/>
        <w:bottom w:val="none" w:sz="0" w:space="0" w:color="auto"/>
        <w:right w:val="none" w:sz="0" w:space="0" w:color="auto"/>
      </w:divBdr>
    </w:div>
    <w:div w:id="482625101">
      <w:bodyDiv w:val="1"/>
      <w:marLeft w:val="0"/>
      <w:marRight w:val="0"/>
      <w:marTop w:val="0"/>
      <w:marBottom w:val="0"/>
      <w:divBdr>
        <w:top w:val="none" w:sz="0" w:space="0" w:color="auto"/>
        <w:left w:val="none" w:sz="0" w:space="0" w:color="auto"/>
        <w:bottom w:val="none" w:sz="0" w:space="0" w:color="auto"/>
        <w:right w:val="none" w:sz="0" w:space="0" w:color="auto"/>
      </w:divBdr>
    </w:div>
    <w:div w:id="586692269">
      <w:bodyDiv w:val="1"/>
      <w:marLeft w:val="0"/>
      <w:marRight w:val="0"/>
      <w:marTop w:val="0"/>
      <w:marBottom w:val="0"/>
      <w:divBdr>
        <w:top w:val="none" w:sz="0" w:space="0" w:color="auto"/>
        <w:left w:val="none" w:sz="0" w:space="0" w:color="auto"/>
        <w:bottom w:val="none" w:sz="0" w:space="0" w:color="auto"/>
        <w:right w:val="none" w:sz="0" w:space="0" w:color="auto"/>
      </w:divBdr>
    </w:div>
    <w:div w:id="737552302">
      <w:bodyDiv w:val="1"/>
      <w:marLeft w:val="0"/>
      <w:marRight w:val="0"/>
      <w:marTop w:val="0"/>
      <w:marBottom w:val="0"/>
      <w:divBdr>
        <w:top w:val="none" w:sz="0" w:space="0" w:color="auto"/>
        <w:left w:val="none" w:sz="0" w:space="0" w:color="auto"/>
        <w:bottom w:val="none" w:sz="0" w:space="0" w:color="auto"/>
        <w:right w:val="none" w:sz="0" w:space="0" w:color="auto"/>
      </w:divBdr>
    </w:div>
    <w:div w:id="967709578">
      <w:bodyDiv w:val="1"/>
      <w:marLeft w:val="0"/>
      <w:marRight w:val="0"/>
      <w:marTop w:val="0"/>
      <w:marBottom w:val="0"/>
      <w:divBdr>
        <w:top w:val="none" w:sz="0" w:space="0" w:color="auto"/>
        <w:left w:val="none" w:sz="0" w:space="0" w:color="auto"/>
        <w:bottom w:val="none" w:sz="0" w:space="0" w:color="auto"/>
        <w:right w:val="none" w:sz="0" w:space="0" w:color="auto"/>
      </w:divBdr>
    </w:div>
    <w:div w:id="1009869174">
      <w:bodyDiv w:val="1"/>
      <w:marLeft w:val="0"/>
      <w:marRight w:val="0"/>
      <w:marTop w:val="0"/>
      <w:marBottom w:val="0"/>
      <w:divBdr>
        <w:top w:val="none" w:sz="0" w:space="0" w:color="auto"/>
        <w:left w:val="none" w:sz="0" w:space="0" w:color="auto"/>
        <w:bottom w:val="none" w:sz="0" w:space="0" w:color="auto"/>
        <w:right w:val="none" w:sz="0" w:space="0" w:color="auto"/>
      </w:divBdr>
    </w:div>
    <w:div w:id="1026757734">
      <w:bodyDiv w:val="1"/>
      <w:marLeft w:val="0"/>
      <w:marRight w:val="0"/>
      <w:marTop w:val="0"/>
      <w:marBottom w:val="0"/>
      <w:divBdr>
        <w:top w:val="none" w:sz="0" w:space="0" w:color="auto"/>
        <w:left w:val="none" w:sz="0" w:space="0" w:color="auto"/>
        <w:bottom w:val="none" w:sz="0" w:space="0" w:color="auto"/>
        <w:right w:val="none" w:sz="0" w:space="0" w:color="auto"/>
      </w:divBdr>
    </w:div>
    <w:div w:id="1106583562">
      <w:bodyDiv w:val="1"/>
      <w:marLeft w:val="0"/>
      <w:marRight w:val="0"/>
      <w:marTop w:val="0"/>
      <w:marBottom w:val="0"/>
      <w:divBdr>
        <w:top w:val="none" w:sz="0" w:space="0" w:color="auto"/>
        <w:left w:val="none" w:sz="0" w:space="0" w:color="auto"/>
        <w:bottom w:val="none" w:sz="0" w:space="0" w:color="auto"/>
        <w:right w:val="none" w:sz="0" w:space="0" w:color="auto"/>
      </w:divBdr>
    </w:div>
    <w:div w:id="1336424421">
      <w:bodyDiv w:val="1"/>
      <w:marLeft w:val="0"/>
      <w:marRight w:val="0"/>
      <w:marTop w:val="0"/>
      <w:marBottom w:val="0"/>
      <w:divBdr>
        <w:top w:val="none" w:sz="0" w:space="0" w:color="auto"/>
        <w:left w:val="none" w:sz="0" w:space="0" w:color="auto"/>
        <w:bottom w:val="none" w:sz="0" w:space="0" w:color="auto"/>
        <w:right w:val="none" w:sz="0" w:space="0" w:color="auto"/>
      </w:divBdr>
    </w:div>
    <w:div w:id="1785036680">
      <w:bodyDiv w:val="1"/>
      <w:marLeft w:val="0"/>
      <w:marRight w:val="0"/>
      <w:marTop w:val="0"/>
      <w:marBottom w:val="0"/>
      <w:divBdr>
        <w:top w:val="none" w:sz="0" w:space="0" w:color="auto"/>
        <w:left w:val="none" w:sz="0" w:space="0" w:color="auto"/>
        <w:bottom w:val="none" w:sz="0" w:space="0" w:color="auto"/>
        <w:right w:val="none" w:sz="0" w:space="0" w:color="auto"/>
      </w:divBdr>
    </w:div>
    <w:div w:id="1905137463">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524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35e01c8c4857425e"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55f846d-bd31-4a41-b289-72d661783c30}"/>
      </w:docPartPr>
      <w:docPartBody>
        <w:p w14:paraId="5E0C1EB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8</revision>
  <dcterms:created xsi:type="dcterms:W3CDTF">2022-04-27T20:25:00.0000000Z</dcterms:created>
  <dcterms:modified xsi:type="dcterms:W3CDTF">2022-05-20T15:13:36.2211944Z</dcterms:modified>
</coreProperties>
</file>