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trece de julio del dos mil veintidós. </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03969/INFOEM/IP/RR/2022</w:t>
      </w:r>
      <w:r>
        <w:rPr>
          <w:rFonts w:ascii="Palatino Linotype" w:eastAsia="Palatino Linotype" w:hAnsi="Palatino Linotype" w:cs="Palatino Linotype"/>
        </w:rPr>
        <w:t xml:space="preserve">, interpuesto por </w:t>
      </w:r>
      <w:r w:rsidR="00FE299D">
        <w:rPr>
          <w:rFonts w:ascii="Palatino Linotype" w:eastAsia="Palatino Linotype" w:hAnsi="Palatino Linotype" w:cs="Palatino Linotype"/>
          <w:b/>
        </w:rPr>
        <w:t xml:space="preserve">XXXXX XXXX </w:t>
      </w:r>
      <w:proofErr w:type="spellStart"/>
      <w:r w:rsidR="00FE299D">
        <w:rPr>
          <w:rFonts w:ascii="Palatino Linotype" w:eastAsia="Palatino Linotype" w:hAnsi="Palatino Linotype" w:cs="Palatino Linotype"/>
          <w:b/>
        </w:rPr>
        <w:t>XXXX</w:t>
      </w:r>
      <w:proofErr w:type="spellEnd"/>
      <w:r>
        <w:rPr>
          <w:rFonts w:ascii="Palatino Linotype" w:eastAsia="Palatino Linotype" w:hAnsi="Palatino Linotype" w:cs="Palatino Linotype"/>
        </w:rPr>
        <w:t xml:space="preserve">, en lo sucesivo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00518/TOLUCA/IP/2022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Toluca,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054755" w:rsidRDefault="00C50A35">
      <w:pPr>
        <w:numPr>
          <w:ilvl w:val="0"/>
          <w:numId w:val="2"/>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054755" w:rsidRDefault="00C50A3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veintiuno de febrero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054755" w:rsidRDefault="00C50A35">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“Cuantas denuncias tienen por presunto incumplimiento a las obligaciones de transparencia de la Ley de la materia desde el año 2019 a febrero 2022. También necesito sabe el sentido de la resolución de dichas denuncias.” (Sic)</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quince de marzo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054755" w:rsidRDefault="00C50A35">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054755" w:rsidRDefault="00C50A35">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atención a la solicitud de información número 00518/TOLUCA/IP/2022, me permito adjuntar al presente la respuesta correspondiente. Sin más por el momento, le envío un cordial saludo.</w:t>
      </w:r>
    </w:p>
    <w:p w:rsidR="00054755" w:rsidRDefault="00C50A3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054755" w:rsidRDefault="00C50A3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Lic. Norma Sofía Pérez Martínez” (Sic)</w:t>
      </w:r>
    </w:p>
    <w:p w:rsidR="00054755" w:rsidRDefault="00054755">
      <w:pPr>
        <w:ind w:left="851" w:right="902"/>
        <w:jc w:val="both"/>
        <w:rPr>
          <w:rFonts w:ascii="Palatino Linotype" w:eastAsia="Palatino Linotype" w:hAnsi="Palatino Linotype" w:cs="Palatino Linotype"/>
          <w:i/>
          <w:sz w:val="22"/>
          <w:szCs w:val="22"/>
        </w:rPr>
      </w:pP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el archivo electrónico siguiente: </w:t>
      </w:r>
    </w:p>
    <w:p w:rsidR="00054755" w:rsidRDefault="00C50A35">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8">
        <w:r>
          <w:rPr>
            <w:rFonts w:ascii="Palatino Linotype" w:eastAsia="Palatino Linotype" w:hAnsi="Palatino Linotype" w:cs="Palatino Linotype"/>
            <w:b/>
            <w:color w:val="000000"/>
          </w:rPr>
          <w:t>Respuesta 00518_2022.pdf</w:t>
        </w:r>
      </w:hyperlink>
      <w:r>
        <w:rPr>
          <w:rFonts w:ascii="Palatino Linotype" w:eastAsia="Palatino Linotype" w:hAnsi="Palatino Linotype" w:cs="Palatino Linotype"/>
          <w:b/>
          <w:color w:val="000000"/>
        </w:rPr>
        <w:t>”,</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el cual contiene la respuesta de la Titular de la Unidad de Transparencia en donde le informó a la solicitante, que respecto a su solicitud se precisa que del periodo referido del 2019 a la fecha de su solicitud del año 2022, esta unidad de transparencia recibió 15 denuncias por presunto incumplimiento a las obligaciones de transparencia de la Ley de la Materia, las cuales sus resoluciones son sobreseídas, </w:t>
      </w:r>
      <w:r w:rsidRPr="005E1519">
        <w:rPr>
          <w:rFonts w:ascii="Palatino Linotype" w:eastAsia="Palatino Linotype" w:hAnsi="Palatino Linotype" w:cs="Palatino Linotype"/>
          <w:color w:val="000000"/>
        </w:rPr>
        <w:t xml:space="preserve">infundadas, declara la inexistencia </w:t>
      </w:r>
      <w:r w:rsidR="005E1519" w:rsidRPr="005E1519">
        <w:rPr>
          <w:rFonts w:ascii="Palatino Linotype" w:eastAsia="Palatino Linotype" w:hAnsi="Palatino Linotype" w:cs="Palatino Linotype"/>
          <w:color w:val="000000"/>
        </w:rPr>
        <w:t xml:space="preserve">y </w:t>
      </w:r>
      <w:r w:rsidRPr="005E1519">
        <w:rPr>
          <w:rFonts w:ascii="Palatino Linotype" w:eastAsia="Palatino Linotype" w:hAnsi="Palatino Linotype" w:cs="Palatino Linotype"/>
          <w:color w:val="000000"/>
        </w:rPr>
        <w:t>de incumplimiento, las</w:t>
      </w:r>
      <w:r>
        <w:rPr>
          <w:rFonts w:ascii="Palatino Linotype" w:eastAsia="Palatino Linotype" w:hAnsi="Palatino Linotype" w:cs="Palatino Linotype"/>
          <w:color w:val="000000"/>
        </w:rPr>
        <w:t xml:space="preserve"> cuales corresponden a los años 2019-2021, toda vez que durante el año 2022, no se ha recibido denuncia alguna al respecto. </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respuesta del </w:t>
      </w:r>
      <w:r>
        <w:rPr>
          <w:rFonts w:ascii="Palatino Linotype" w:eastAsia="Palatino Linotype" w:hAnsi="Palatino Linotype" w:cs="Palatino Linotype"/>
          <w:b/>
        </w:rPr>
        <w:t xml:space="preserve">SUJETO OBLIGADO el ahora RECURRENTE </w:t>
      </w:r>
      <w:r>
        <w:rPr>
          <w:rFonts w:ascii="Palatino Linotype" w:eastAsia="Palatino Linotype" w:hAnsi="Palatino Linotype" w:cs="Palatino Linotype"/>
        </w:rPr>
        <w:t>interpuso recurso de revisión a través del SAIMEX en fecha dieciséis de marzo de dos mil veintidós, a través del cual expresó lo siguiente:</w:t>
      </w:r>
    </w:p>
    <w:p w:rsidR="00054755" w:rsidRDefault="00C50A35">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054755" w:rsidRDefault="00C50A35">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RESPUESTA PROPORCIONADA” (Sic)</w:t>
      </w:r>
    </w:p>
    <w:p w:rsidR="00054755" w:rsidRDefault="00C50A3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054755" w:rsidRDefault="00C50A35">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“LA RESPUESTA PROPORCIONADA (Sic)</w:t>
      </w:r>
    </w:p>
    <w:p w:rsidR="00054755" w:rsidRDefault="00C50A3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03969/INFOEM/IP/RR/2022,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054755" w:rsidRDefault="00054755">
      <w:pPr>
        <w:spacing w:line="360" w:lineRule="auto"/>
        <w:jc w:val="both"/>
        <w:rPr>
          <w:rFonts w:ascii="Palatino Linotype" w:eastAsia="Palatino Linotype" w:hAnsi="Palatino Linotype" w:cs="Palatino Linotype"/>
        </w:rPr>
      </w:pP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veintidós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rsidR="00054755" w:rsidRDefault="00C50A3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b/>
          <w:color w:val="000000"/>
          <w:sz w:val="22"/>
          <w:szCs w:val="22"/>
        </w:rPr>
        <w:t>6. Manifestaciones</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rPr>
        <w:t xml:space="preserve">De las constancias que integran el expediente en que se actúa se advierte que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fue omis</w:t>
      </w:r>
      <w:r>
        <w:rPr>
          <w:rFonts w:ascii="Palatino Linotype" w:eastAsia="Palatino Linotype" w:hAnsi="Palatino Linotype" w:cs="Palatino Linotype"/>
        </w:rPr>
        <w:t xml:space="preserve">a </w:t>
      </w:r>
      <w:r>
        <w:rPr>
          <w:rFonts w:ascii="Palatino Linotype" w:eastAsia="Palatino Linotype" w:hAnsi="Palatino Linotype" w:cs="Palatino Linotype"/>
          <w:color w:val="000000"/>
        </w:rPr>
        <w:t xml:space="preserve">en presentar sus alegatos. </w:t>
      </w: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 xml:space="preserve">treinta y uno de marzo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a través del SAIMEX, su informe justificado, mediante el cual ratifica en lo sustancial la respuesta proporcionada en primera instancia.</w:t>
      </w: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en fecha cuatro de julio del año en curso,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a través del SAIMEX, un alcance al informe justificado, en donde precisó </w:t>
      </w:r>
      <w:r w:rsidR="005E1519">
        <w:rPr>
          <w:rFonts w:ascii="Palatino Linotype" w:eastAsia="Palatino Linotype" w:hAnsi="Palatino Linotype" w:cs="Palatino Linotype"/>
        </w:rPr>
        <w:t>que,</w:t>
      </w:r>
      <w:r>
        <w:rPr>
          <w:rFonts w:ascii="Palatino Linotype" w:eastAsia="Palatino Linotype" w:hAnsi="Palatino Linotype" w:cs="Palatino Linotype"/>
        </w:rPr>
        <w:t xml:space="preserve"> de las 15 denuncias señaladas en respuesta, se resolvieron de la siguiente </w:t>
      </w:r>
      <w:r>
        <w:rPr>
          <w:rFonts w:ascii="Palatino Linotype" w:eastAsia="Palatino Linotype" w:hAnsi="Palatino Linotype" w:cs="Palatino Linotype"/>
        </w:rPr>
        <w:lastRenderedPageBreak/>
        <w:t xml:space="preserve">manera, dos son sobreseídas, ocho infundadas, cuatro se declararon inexistencias y una procedente. </w:t>
      </w: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una vez analizados, se hicieron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fue omisa en presentar sus alegatos. </w:t>
      </w:r>
    </w:p>
    <w:p w:rsidR="00054755" w:rsidRDefault="00C50A35">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diez de junio del año dos mil veintidós, con fundamento en el artículo 181, párrafo tercero de la Ley de Transparencia y Acceso a la Información Pública del Estado de México y Municipios, se acordó la ampliación del plazo para su resolución.</w:t>
      </w: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445709">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strike/>
          <w:color w:val="FF0000"/>
        </w:rPr>
      </w:pPr>
      <w:r w:rsidRPr="0044570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numPr>
          <w:ilvl w:val="0"/>
          <w:numId w:val="3"/>
        </w:num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5E1519" w:rsidRPr="00445709" w:rsidRDefault="005E1519" w:rsidP="005E1519">
      <w:pPr>
        <w:numPr>
          <w:ilvl w:val="0"/>
          <w:numId w:val="3"/>
        </w:num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Actividad Procesal del interesado. Acciones u omisiones del interesado.</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numPr>
          <w:ilvl w:val="0"/>
          <w:numId w:val="3"/>
        </w:num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5E1519" w:rsidRPr="00445709" w:rsidRDefault="005E1519" w:rsidP="005E1519">
      <w:pPr>
        <w:spacing w:line="360" w:lineRule="auto"/>
        <w:ind w:left="567"/>
        <w:jc w:val="both"/>
        <w:rPr>
          <w:rFonts w:ascii="Palatino Linotype" w:eastAsia="Palatino Linotype" w:hAnsi="Palatino Linotype" w:cs="Palatino Linotype"/>
        </w:rPr>
      </w:pPr>
      <w:r w:rsidRPr="00445709">
        <w:rPr>
          <w:rFonts w:ascii="Palatino Linotype" w:eastAsia="Palatino Linotype" w:hAnsi="Palatino Linotype" w:cs="Palatino Linotype"/>
        </w:rPr>
        <w:t>d) La afectación generada en la situación jurídica de la persona involucrada en el proceso: Violación a sus derechos humanos.</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b/>
        </w:rPr>
      </w:pPr>
      <w:r w:rsidRPr="0044570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4570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45709">
        <w:rPr>
          <w:rFonts w:ascii="Palatino Linotype" w:eastAsia="Palatino Linotype" w:hAnsi="Palatino Linotype" w:cs="Palatino Linotype"/>
        </w:rPr>
        <w:t>, visible en la Gaceta del Seminario Judicial de la Federación con el registro digital 205635.</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445709">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 </w:t>
      </w:r>
      <w:r w:rsidRPr="00445709">
        <w:rPr>
          <w:rFonts w:ascii="Palatino Linotype" w:eastAsia="Palatino Linotype" w:hAnsi="Palatino Linotype" w:cs="Palatino Linotype"/>
          <w:i/>
        </w:rPr>
        <w:t>“PLAZO RAZONABLE PARA RESOLVER. DIMENSIÓN Y EFECTOS DE ESTE CONCEPTO CUANDO SE ADUCE EXCESIVA CARGA DE TRABAJO.”</w:t>
      </w:r>
      <w:r w:rsidRPr="00445709">
        <w:rPr>
          <w:rFonts w:ascii="Palatino Linotype" w:eastAsia="Palatino Linotype" w:hAnsi="Palatino Linotype" w:cs="Palatino Linotype"/>
        </w:rPr>
        <w:t xml:space="preserve"> consultable en el Seminario Judicial de la Federación y su gaceta, con el registro digital 2002351.</w:t>
      </w:r>
    </w:p>
    <w:p w:rsidR="005E1519" w:rsidRPr="00445709" w:rsidRDefault="005E1519" w:rsidP="005E1519">
      <w:pPr>
        <w:spacing w:line="360" w:lineRule="auto"/>
        <w:jc w:val="both"/>
        <w:rPr>
          <w:rFonts w:ascii="Palatino Linotype" w:eastAsia="Palatino Linotype" w:hAnsi="Palatino Linotype" w:cs="Palatino Linotype"/>
          <w:b/>
        </w:rPr>
      </w:pP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i/>
        </w:rPr>
        <w:t>“PLAZO RAZONABLE PARA RESOLVER. CONCEPTO Y ELEMENTOS QUE LO INTEGRAN A LA LUZ DEL DERECHO INTERNACIONAL DE LOS DERECHOS HUMANOS.”</w:t>
      </w:r>
      <w:r w:rsidRPr="00445709">
        <w:rPr>
          <w:rFonts w:ascii="Palatino Linotype" w:eastAsia="Palatino Linotype" w:hAnsi="Palatino Linotype" w:cs="Palatino Linotype"/>
        </w:rPr>
        <w:t>, visible en el Seminario Judicial de la Federación y su gaceta, con el registro digital 2002350.</w:t>
      </w:r>
    </w:p>
    <w:p w:rsidR="005E1519" w:rsidRPr="00445709" w:rsidRDefault="005E1519" w:rsidP="005E1519">
      <w:pPr>
        <w:spacing w:line="360" w:lineRule="auto"/>
        <w:jc w:val="both"/>
        <w:rPr>
          <w:rFonts w:ascii="Palatino Linotype" w:eastAsia="Palatino Linotype" w:hAnsi="Palatino Linotype" w:cs="Palatino Linotype"/>
        </w:rPr>
      </w:pPr>
    </w:p>
    <w:p w:rsidR="005E1519" w:rsidRPr="00445709" w:rsidRDefault="005E1519" w:rsidP="005E1519">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054755" w:rsidRDefault="00C50A3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sidR="00595F53">
        <w:rPr>
          <w:rFonts w:ascii="Palatino Linotype" w:eastAsia="Palatino Linotype" w:hAnsi="Palatino Linotype" w:cs="Palatino Linotype"/>
        </w:rPr>
        <w:t>En fecha trece</w:t>
      </w:r>
      <w:r>
        <w:rPr>
          <w:rFonts w:ascii="Palatino Linotype" w:eastAsia="Palatino Linotype" w:hAnsi="Palatino Linotype" w:cs="Palatino Linotype"/>
        </w:rPr>
        <w:t xml:space="preserve"> de julio de dos mil veintidós la </w:t>
      </w:r>
      <w:r>
        <w:rPr>
          <w:rFonts w:ascii="Palatino Linotype" w:eastAsia="Palatino Linotype" w:hAnsi="Palatino Linotype" w:cs="Palatino Linotype"/>
        </w:rPr>
        <w:lastRenderedPageBreak/>
        <w:t>Comisionada ponente determinó el cierre de instrucción en términos de la fracción VI del artículo 185 de la Ley de Transparencia y Acceso a la Información Pública del Estado de México y Municipios.</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054755" w:rsidRDefault="00C50A35">
      <w:pPr>
        <w:numPr>
          <w:ilvl w:val="0"/>
          <w:numId w:val="2"/>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054755" w:rsidRDefault="00C50A35">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deben reunir el recurso de revisión interpuesto, previstos en los artículos 178 y 180 de la Ley de Transparencia y Acceso a la Información Pública del Estado de México y Municipios; </w:t>
      </w:r>
      <w:r>
        <w:rPr>
          <w:rFonts w:ascii="Palatino Linotype" w:eastAsia="Palatino Linotype" w:hAnsi="Palatino Linotype" w:cs="Palatino Linotype"/>
        </w:rPr>
        <w:lastRenderedPageBreak/>
        <w:t xml:space="preserve">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la solicitante en fecha quince de marzo del año dos mil veintidós y 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presentó su recurso de revisión el dieciséis del mismo mes y año, esto es al primer día 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054755" w:rsidRDefault="00C50A3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054755" w:rsidRDefault="00C50A3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054755" w:rsidRDefault="00C50A3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de la información solicitada; …”</w:t>
      </w:r>
      <w:r>
        <w:rPr>
          <w:rFonts w:ascii="Palatino Linotype" w:eastAsia="Palatino Linotype" w:hAnsi="Palatino Linotype" w:cs="Palatino Linotype"/>
          <w:i/>
        </w:rPr>
        <w:t xml:space="preserve"> (Sic)</w:t>
      </w:r>
    </w:p>
    <w:p w:rsidR="00054755" w:rsidRDefault="00054755">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054755" w:rsidRDefault="00C50A35">
      <w:pPr>
        <w:spacing w:before="240" w:after="240" w:line="360" w:lineRule="auto"/>
        <w:ind w:right="60"/>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Análisis de las causales de sobreseimiento del recurso de revisión. De manera preliminar en el caso concreto conviene analizar si se actualiza alguna de </w:t>
      </w:r>
      <w:r>
        <w:rPr>
          <w:rFonts w:ascii="Palatino Linotype" w:eastAsia="Palatino Linotype" w:hAnsi="Palatino Linotype" w:cs="Palatino Linotype"/>
        </w:rPr>
        <w:lastRenderedPageBreak/>
        <w:t>las causales de sobreseimiento del recurso de revisión, derivado del contenido de lo entregado por el Sujeto Obligado como parte de sus manifestaciones.</w:t>
      </w:r>
    </w:p>
    <w:p w:rsidR="00054755" w:rsidRDefault="00054755">
      <w:pPr>
        <w:spacing w:before="240" w:after="240" w:line="360" w:lineRule="auto"/>
        <w:jc w:val="both"/>
        <w:rPr>
          <w:rFonts w:ascii="Palatino Linotype" w:eastAsia="Palatino Linotype" w:hAnsi="Palatino Linotype" w:cs="Palatino Linotype"/>
          <w:b/>
        </w:rPr>
      </w:pPr>
    </w:p>
    <w:p w:rsidR="00054755" w:rsidRDefault="00C50A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análisis de la solicitud de acceso a la información pública que motivó el recurso de revisión que ahora se resuelve, se advierte que la particular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lo siguiente:</w:t>
      </w:r>
    </w:p>
    <w:p w:rsidR="00054755" w:rsidRDefault="00C50A3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Cuantas denuncias tienen por presunto incumplimiento a las obligaciones de transparencia de la Ley de la materia desde el año 2019 a febrero 2022 y el sentido de la resolución de dichas denuncias.</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 los siguientes archivos electrónicos:</w:t>
      </w:r>
    </w:p>
    <w:p w:rsidR="00054755" w:rsidRDefault="00C50A35">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9">
        <w:r>
          <w:rPr>
            <w:rFonts w:ascii="Palatino Linotype" w:eastAsia="Palatino Linotype" w:hAnsi="Palatino Linotype" w:cs="Palatino Linotype"/>
            <w:b/>
            <w:color w:val="000000"/>
          </w:rPr>
          <w:t>Respuesta 00518_2022.pdf</w:t>
        </w:r>
      </w:hyperlink>
      <w:r>
        <w:rPr>
          <w:rFonts w:ascii="Palatino Linotype" w:eastAsia="Palatino Linotype" w:hAnsi="Palatino Linotype" w:cs="Palatino Linotype"/>
          <w:b/>
          <w:color w:val="000000"/>
        </w:rPr>
        <w:t>”,</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el cual contiene la respuesta de la Titular de la Unidad de Transparencia en donde le informó a la solicitante, que respecto a su solicitud se precisa que del periodo referido del 2019 a la fecha de su solicitud del año 2022, esta unidad de transparencia recibió 15 denuncias por presunto incumplimiento a las obligaciones de transparencia de la Ley de la Materia, las cuales sus resoluciones son sobreseídas, infundadas, declara la inexistencia de incumplimiento a la resolución e incumplimiento, las cuales corresponden a los años 2019-2021, toda vez que durante el año 2022, no se ha recibido denuncia alguna al respecto. </w:t>
      </w:r>
    </w:p>
    <w:p w:rsidR="00054755" w:rsidRDefault="00C50A35">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conforme el particular con la respuesta, interpone el recurso de revisión que se resuelve, por la respuesta proporcionada.</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a través del cual ratificó su respuesta inicial. </w:t>
      </w: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en alcance al informe justificado, el Ayuntamiento de Toluca, precisó </w:t>
      </w:r>
      <w:r w:rsidR="005E1519">
        <w:rPr>
          <w:rFonts w:ascii="Palatino Linotype" w:eastAsia="Palatino Linotype" w:hAnsi="Palatino Linotype" w:cs="Palatino Linotype"/>
        </w:rPr>
        <w:t>que,</w:t>
      </w:r>
      <w:r>
        <w:rPr>
          <w:rFonts w:ascii="Palatino Linotype" w:eastAsia="Palatino Linotype" w:hAnsi="Palatino Linotype" w:cs="Palatino Linotype"/>
        </w:rPr>
        <w:t xml:space="preserve"> de las 15 denuncias señaladas en respuesta, se resolvieron de la siguiente manera, dos son sobreseídas, ocho infundadas, cuatro se declararon inexistencias y una procedente. </w:t>
      </w: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sobre las denuncias por incumplimiento a las obligaciones de transparencia, la Ley de Transparencia y Acceso a la Información Pública del Estado de México y Municipios en su artículos 106 al 121, establece el procedimiento que se debe seguir, siendo el siguiente:</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106.</w:t>
      </w:r>
      <w:r>
        <w:rPr>
          <w:rFonts w:ascii="Palatino Linotype" w:eastAsia="Palatino Linotype" w:hAnsi="Palatino Linotype" w:cs="Palatino Linotype"/>
          <w:i/>
          <w:sz w:val="22"/>
          <w:szCs w:val="22"/>
        </w:rPr>
        <w:t xml:space="preserve"> Las determinaciones que emita el Instituto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107.</w:t>
      </w:r>
      <w:r>
        <w:rPr>
          <w:rFonts w:ascii="Palatino Linotype" w:eastAsia="Palatino Linotype" w:hAnsi="Palatino Linotype" w:cs="Palatino Linotype"/>
          <w:i/>
          <w:sz w:val="22"/>
          <w:szCs w:val="22"/>
        </w:rPr>
        <w:t xml:space="preserve"> El Instituto vigilará que las obligaciones de transparencia que publiquen los sujetos obligados cumplan con lo dispuesto en esta Ley y demás disposiciones jurídicas aplicables. </w:t>
      </w:r>
    </w:p>
    <w:p w:rsidR="00054755" w:rsidRDefault="00C50A35">
      <w:pPr>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Como parte de la información difundida sobre los trámites que ofrecen, deberá </w:t>
      </w:r>
      <w:r>
        <w:rPr>
          <w:rFonts w:ascii="Palatino Linotype" w:eastAsia="Palatino Linotype" w:hAnsi="Palatino Linotype" w:cs="Palatino Linotype"/>
          <w:b/>
          <w:i/>
          <w:sz w:val="22"/>
          <w:szCs w:val="22"/>
        </w:rPr>
        <w:t xml:space="preserve">incluirse la denuncia ciudadana por incumplimiento a las obligaciones de transparencia.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Asimismo, los sujetos obligados publicarán una leyenda visible en la sección de transparencia de su portal de Internet, mediante la cual se informe a los usuarios sobre el procedimiento para presentar una denuncia.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108</w:t>
      </w:r>
      <w:r>
        <w:rPr>
          <w:rFonts w:ascii="Palatino Linotype" w:eastAsia="Palatino Linotype" w:hAnsi="Palatino Linotype" w:cs="Palatino Linotype"/>
          <w:i/>
          <w:sz w:val="22"/>
          <w:szCs w:val="22"/>
        </w:rPr>
        <w:t xml:space="preserve">. Las acciones de vigilancia a que se refiere este Capítulo se realizarán a través de la verificación virtual.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Esta vigilancia surgirá de los resultados de la verificación que se lleve a cabo de manera oficiosa por el Instituto al portal de Internet de los sujetos obligados o de Plataforma Nacional, ya sea de forma aleatoria o de muestreo y periódica.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109.</w:t>
      </w:r>
      <w:r>
        <w:rPr>
          <w:rFonts w:ascii="Palatino Linotype" w:eastAsia="Palatino Linotype" w:hAnsi="Palatino Linotype" w:cs="Palatino Linotype"/>
          <w:i/>
          <w:sz w:val="22"/>
          <w:szCs w:val="22"/>
        </w:rPr>
        <w:t xml:space="preserve"> La verificación tendrá por objeto revisar y constatar el debido cumplimiento a las obligaciones de transparencia según corresponda a cada sujeto </w:t>
      </w:r>
      <w:r>
        <w:rPr>
          <w:rFonts w:ascii="Palatino Linotype" w:eastAsia="Palatino Linotype" w:hAnsi="Palatino Linotype" w:cs="Palatino Linotype"/>
          <w:i/>
          <w:sz w:val="22"/>
          <w:szCs w:val="22"/>
        </w:rPr>
        <w:lastRenderedPageBreak/>
        <w:t xml:space="preserve">obligado, en términos de la presente Ley y demás disposiciones jurídicas aplicables.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110</w:t>
      </w:r>
      <w:r>
        <w:rPr>
          <w:rFonts w:ascii="Palatino Linotype" w:eastAsia="Palatino Linotype" w:hAnsi="Palatino Linotype" w:cs="Palatino Linotype"/>
          <w:i/>
          <w:sz w:val="22"/>
          <w:szCs w:val="22"/>
        </w:rPr>
        <w:t xml:space="preserve">. La verificación que realice el Instituto en el ámbito de sus respectivas competencias, se sujetará a lo siguiente: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Constatar que la información esté completa, publicada y actualizada en tiempo y forma; </w:t>
      </w:r>
    </w:p>
    <w:p w:rsidR="00054755" w:rsidRDefault="00C50A35">
      <w:pPr>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Emitir un dictamen en el que podrán determinar que el sujeto obligado se ajusta a lo establecido por esta Ley y demás disposiciones o contrariamente determinar que existe incumplimiento a lo previsto por la Ley y demás disposiciones jurídicas aplicables, en cuyo caso, formulará los requerimientos que procedan a efecto de que el sujeto obligado subsane las inconsistencias detectadas dentro de un plazo no mayor a veinte días hábiles;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sujeto obligado deberá informar al Instituto sobre el cumplimiento de los requerimientos del dictamen; y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 El Instituto verificará el cumplimiento de la resolución una vez transcurrido el plazo y si consideran que se dio cumplimiento a los requerimientos del dictamen, se emitirá un acuerdo del cumplimiento.</w:t>
      </w:r>
      <w:r>
        <w:rPr>
          <w:rFonts w:ascii="Palatino Linotype" w:eastAsia="Palatino Linotype" w:hAnsi="Palatino Linotype" w:cs="Palatino Linotype"/>
          <w:i/>
          <w:sz w:val="22"/>
          <w:szCs w:val="22"/>
        </w:rPr>
        <w:t xml:space="preserve">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Instituto podrá solicitar los informes complementarios al sujeto obligado que requiera para allegarse de los elementos de juicio que considere necesarios para llevar a cabo la verificación.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Cuando el Instituto considere que existe un incumplimiento total o parcial de la determinación, le notificarán, por conducto de la </w:t>
      </w:r>
      <w:r>
        <w:rPr>
          <w:rFonts w:ascii="Palatino Linotype" w:eastAsia="Palatino Linotype" w:hAnsi="Palatino Linotype" w:cs="Palatino Linotype"/>
          <w:b/>
          <w:i/>
          <w:sz w:val="22"/>
          <w:szCs w:val="22"/>
          <w:u w:val="single"/>
        </w:rPr>
        <w:t>Unidad de Transparencia</w:t>
      </w:r>
      <w:r>
        <w:rPr>
          <w:rFonts w:ascii="Palatino Linotype" w:eastAsia="Palatino Linotype" w:hAnsi="Palatino Linotype" w:cs="Palatino Linotype"/>
          <w:b/>
          <w:i/>
          <w:sz w:val="22"/>
          <w:szCs w:val="22"/>
        </w:rPr>
        <w:t>, al superior jerárquico del servidor público responsable de dar cumplimiento, para efecto que en un plazo no mayor a cinco días hábiles se dé cumplimiento a los requerimientos del dictamen.</w:t>
      </w:r>
      <w:r>
        <w:rPr>
          <w:rFonts w:ascii="Palatino Linotype" w:eastAsia="Palatino Linotype" w:hAnsi="Palatino Linotype" w:cs="Palatino Linotype"/>
          <w:i/>
          <w:sz w:val="22"/>
          <w:szCs w:val="22"/>
        </w:rPr>
        <w:t xml:space="preserve">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que el Instituto considere que subsiste el incumplimiento total o parcial de la resolución, en un plazo no mayor a cinco días hábiles, se informará al Pleno para que, imponga las medidas de apremio o sanciones, conforme a lo establecido por esta Ley. </w:t>
      </w: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personal del Instituto tendrá acceso a la información y documentación de los sujetos obligados para llevar a cabo las verificaciones previstas en el presente </w:t>
      </w:r>
    </w:p>
    <w:p w:rsidR="00054755" w:rsidRDefault="00054755">
      <w:pPr>
        <w:ind w:left="851" w:right="900"/>
        <w:jc w:val="both"/>
        <w:rPr>
          <w:rFonts w:ascii="Palatino Linotype" w:eastAsia="Palatino Linotype" w:hAnsi="Palatino Linotype" w:cs="Palatino Linotype"/>
          <w:i/>
          <w:sz w:val="22"/>
          <w:szCs w:val="22"/>
        </w:rPr>
      </w:pPr>
    </w:p>
    <w:p w:rsidR="00054755" w:rsidRDefault="00C50A3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Capítulo.</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Capítulo VI Del Incumplimiento a las Obligaciones de Transparencia </w:t>
      </w:r>
    </w:p>
    <w:p w:rsidR="00054755" w:rsidRDefault="00054755">
      <w:pPr>
        <w:ind w:left="851" w:right="758"/>
        <w:jc w:val="both"/>
        <w:rPr>
          <w:rFonts w:ascii="Palatino Linotype" w:eastAsia="Palatino Linotype" w:hAnsi="Palatino Linotype" w:cs="Palatino Linotype"/>
          <w:i/>
          <w:sz w:val="22"/>
          <w:szCs w:val="22"/>
        </w:rPr>
      </w:pP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111. Cualquier persona podrá denunciar ante el Instituto la falta de publicación de las obligaciones de transparencia previstas en la presente Ley y demás disposiciones jurídicas aplicables, en sus respectivos ámbitos de competencia.</w:t>
      </w:r>
      <w:r>
        <w:rPr>
          <w:rFonts w:ascii="Palatino Linotype" w:eastAsia="Palatino Linotype" w:hAnsi="Palatino Linotype" w:cs="Palatino Linotype"/>
          <w:i/>
          <w:sz w:val="22"/>
          <w:szCs w:val="22"/>
        </w:rPr>
        <w:t xml:space="preserv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Las denuncias presentadas por los particulares podrán realizarse en cualquier momento, de conformidad con el procedimiento señalado en la presente Ley. </w:t>
      </w:r>
      <w:r>
        <w:rPr>
          <w:rFonts w:ascii="Palatino Linotype" w:eastAsia="Palatino Linotype" w:hAnsi="Palatino Linotype" w:cs="Palatino Linotype"/>
          <w:b/>
          <w:i/>
          <w:sz w:val="22"/>
          <w:szCs w:val="22"/>
        </w:rPr>
        <w:t>Artículo 112. El procedimiento de la denuncia se integra por las etapas siguientes</w:t>
      </w:r>
      <w:r>
        <w:rPr>
          <w:rFonts w:ascii="Palatino Linotype" w:eastAsia="Palatino Linotype" w:hAnsi="Palatino Linotype" w:cs="Palatino Linotype"/>
          <w:i/>
          <w:sz w:val="22"/>
          <w:szCs w:val="22"/>
        </w:rPr>
        <w:t xml:space="preserv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Presentación de la denuncia ante el Instituto;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Solicitud por parte del Instituto de un informe al sujeto obligado;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Resolución de la denuncia</w:t>
      </w:r>
      <w:r>
        <w:rPr>
          <w:rFonts w:ascii="Palatino Linotype" w:eastAsia="Palatino Linotype" w:hAnsi="Palatino Linotype" w:cs="Palatino Linotype"/>
          <w:i/>
          <w:sz w:val="22"/>
          <w:szCs w:val="22"/>
        </w:rPr>
        <w:t xml:space="preserve">; y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Ejecución de la resolución de la denuncia.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113. La denuncia por incumplimiento a las obligaciones de transparencia deberá cumplir, al menos, los requisitos siguientes: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Nombre del sujeto obligado denunciado;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Descripción clara y precisa del incumplimiento denunciado;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denunciante podrá adjuntar los medios de prueba que estime necesarios para respaldar el incumplimiento denunciado;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En caso de que la denuncia se presente por escrito, el denunciante deberá señalar el domicilio en la jurisdicción que corresponda o la dirección de correo electrónico para recibir notificaciones.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que la denuncia se presente por medios electrónicos, se entenderá que se acepta que las notificaciones se efectúen por el mismo medio.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que no se señale domicilio o dirección de correo electrónico o se señale un domicilio fuera de la jurisdicción respectiva, las notificaciones, aún las de carácter personal, se practicarán a través de los estrados físicos del Instituto; y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El nombre del denunciante y, opcionalmente su perfil, únicamente para propósitos estadísticos.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Esta información será proporcionada por el denunciante de manera voluntaria. En ningún caso el dato sobre el nombre y el perfil podrán ser un requisito para la procedencia y trámite de la denuncia.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114. La denuncia podrá presentarse de la forma siguiente: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Por medio electrónico: A través del sitio o plataforma electrónica respectiva que se habilite, o por correo electrónico, dirigido a la dirección electrónica que al efecto se establezca; y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Por escrito: presentado físicamente, ante la Unidad de Transparencia del Instituto.</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115. El Instituto pondrá a disposición de los particulares el formato de denuncia correspondiente, a efecto de que estos, si así lo deciden, puedan utilizarlos. Asimismo, los particulares podrán optar por un escrito libre, conforme a lo previsto en esta Ley.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116. El Instituto, en el ámbito de su competencia, debe resolver sobre la admisión de la denuncia, dentro de los tres días hábiles siguientes a su recepción</w:t>
      </w:r>
      <w:r>
        <w:rPr>
          <w:rFonts w:ascii="Palatino Linotype" w:eastAsia="Palatino Linotype" w:hAnsi="Palatino Linotype" w:cs="Palatino Linotype"/>
          <w:i/>
          <w:sz w:val="22"/>
          <w:szCs w:val="22"/>
        </w:rPr>
        <w:t xml:space="preserv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El instituto, en el ámbito de su competencia, debe notificar al sujeto obligado la denuncia dentro de los tres días hábiles siguientes a su admisión</w:t>
      </w:r>
      <w:r>
        <w:rPr>
          <w:rFonts w:ascii="Palatino Linotype" w:eastAsia="Palatino Linotype" w:hAnsi="Palatino Linotype" w:cs="Palatino Linotype"/>
          <w:i/>
          <w:sz w:val="22"/>
          <w:szCs w:val="22"/>
        </w:rPr>
        <w:t xml:space="preserv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117. El sujeto obligado debe enviar al Instituto, un informe con la justificación respecto de los hechos o motivos de la denuncia dentro de los tres días hábiles siguientes a la notificación anterior.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El Instituto, en el ámbito de su competencia, puede realizar las verificaciones virtuales que procedan, así como solicitar los informes complementarios al sujeto obligado que requiera, para allegarse de los elementos de juicio que considere necesarios </w:t>
      </w:r>
      <w:r>
        <w:rPr>
          <w:rFonts w:ascii="Palatino Linotype" w:eastAsia="Palatino Linotype" w:hAnsi="Palatino Linotype" w:cs="Palatino Linotype"/>
          <w:b/>
          <w:i/>
          <w:sz w:val="22"/>
          <w:szCs w:val="22"/>
          <w:u w:val="single"/>
        </w:rPr>
        <w:t>para resolver la denuncia</w:t>
      </w:r>
      <w:r>
        <w:rPr>
          <w:rFonts w:ascii="Palatino Linotype" w:eastAsia="Palatino Linotype" w:hAnsi="Palatino Linotype" w:cs="Palatino Linotype"/>
          <w:i/>
          <w:sz w:val="22"/>
          <w:szCs w:val="22"/>
        </w:rPr>
        <w:t xml:space="preserv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de los informes complementarios, el sujeto obligado deberá responder a los mismos, en el término de tres días hábiles siguientes a la notificación correspondiente.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118. El Instituto, en el ámbito de su competencia, debe resolver la denuncia dentro de los veinte días hábiles siguientes al término del plazo en que el sujeto obligado debe presentar su informe o, en su caso, los informes complementarios</w:t>
      </w:r>
      <w:r>
        <w:rPr>
          <w:rFonts w:ascii="Palatino Linotype" w:eastAsia="Palatino Linotype" w:hAnsi="Palatino Linotype" w:cs="Palatino Linotype"/>
          <w:i/>
          <w:sz w:val="22"/>
          <w:szCs w:val="22"/>
        </w:rPr>
        <w:t xml:space="preserv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La resolución debe ser fundada y motivada e invariablemente debe pronunciarse sobre el cumplimiento de la publicación de la información por parte del sujeto obligado</w:t>
      </w:r>
      <w:r>
        <w:rPr>
          <w:rFonts w:ascii="Palatino Linotype" w:eastAsia="Palatino Linotype" w:hAnsi="Palatino Linotype" w:cs="Palatino Linotype"/>
          <w:i/>
          <w:sz w:val="22"/>
          <w:szCs w:val="22"/>
        </w:rPr>
        <w:t xml:space="preserv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119. El Instituto, en el ámbito de su competencia, debe notificar la resolución al denunciante y al </w:t>
      </w:r>
      <w:r>
        <w:rPr>
          <w:rFonts w:ascii="Palatino Linotype" w:eastAsia="Palatino Linotype" w:hAnsi="Palatino Linotype" w:cs="Palatino Linotype"/>
          <w:b/>
          <w:i/>
          <w:sz w:val="22"/>
          <w:szCs w:val="22"/>
          <w:u w:val="single"/>
        </w:rPr>
        <w:t>sujeto obligado,</w:t>
      </w:r>
      <w:r>
        <w:rPr>
          <w:rFonts w:ascii="Palatino Linotype" w:eastAsia="Palatino Linotype" w:hAnsi="Palatino Linotype" w:cs="Palatino Linotype"/>
          <w:b/>
          <w:i/>
          <w:sz w:val="22"/>
          <w:szCs w:val="22"/>
        </w:rPr>
        <w:t xml:space="preserve"> dentro de los tres días hábiles siguientes a su emisión.</w:t>
      </w:r>
      <w:r>
        <w:rPr>
          <w:rFonts w:ascii="Palatino Linotype" w:eastAsia="Palatino Linotype" w:hAnsi="Palatino Linotype" w:cs="Palatino Linotype"/>
          <w:i/>
          <w:sz w:val="22"/>
          <w:szCs w:val="22"/>
        </w:rPr>
        <w:t xml:space="preserv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resoluciones que emita el Instituto, a que se refiere este capítulo, son definitivas e inatacables para los sujetos obligados.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particular podrá impugnar la resolución por la vía del juicio de amparo que corresponda, en los términos de la legislación aplicable.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sujeto obligado deberá cumplir con la resolución en el plazo de quince días hábiles, a partir del día siguiente al en que se le notifique la misma.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120</w:t>
      </w:r>
      <w:r>
        <w:rPr>
          <w:rFonts w:ascii="Palatino Linotype" w:eastAsia="Palatino Linotype" w:hAnsi="Palatino Linotype" w:cs="Palatino Linotype"/>
          <w:i/>
          <w:sz w:val="22"/>
          <w:szCs w:val="22"/>
        </w:rPr>
        <w:t xml:space="preserve">. Transcurrido el plazo señalado en el artículo anterior, el sujeto obligado deberá informar al Instituto sobre el cumplimiento de la resolución.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Instituto verificará el cumplimiento a la resolución si considera que se dio cumplimiento a la resolución, se emitirá un acuerdo de cumplimiento y se ordenará el cierre del expediente.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Cuando el Instituto considere que exista un incumplimiento total o parcial de la resolución, le notificarán por conducto de la </w:t>
      </w:r>
      <w:r>
        <w:rPr>
          <w:rFonts w:ascii="Palatino Linotype" w:eastAsia="Palatino Linotype" w:hAnsi="Palatino Linotype" w:cs="Palatino Linotype"/>
          <w:b/>
          <w:i/>
          <w:sz w:val="22"/>
          <w:szCs w:val="22"/>
          <w:u w:val="single"/>
        </w:rPr>
        <w:t>Unidad de Transparencia del sujeto obligado</w:t>
      </w:r>
      <w:r>
        <w:rPr>
          <w:rFonts w:ascii="Palatino Linotype" w:eastAsia="Palatino Linotype" w:hAnsi="Palatino Linotype" w:cs="Palatino Linotype"/>
          <w:i/>
          <w:sz w:val="22"/>
          <w:szCs w:val="22"/>
        </w:rPr>
        <w:t xml:space="preserve">, al superior jerárquico del servidor público responsable de dar cumplimiento, para el efecto que en un plazo no mayor a cinco días hábiles, se dé cumplimiento a la resolución. </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121. En caso de que el Instituto considere que subsiste el incumplimiento total o parcial de la resolución, en un plazo no mayor a cinco días hábiles posteriores al aviso de incumplimiento al superior jerárquico del servidor público responsable del mismo, se emitirá un acuerdo de incumplimiento y se informará al Pleno para que, en su caso, imponga las medidas de apremio o determinaciones que resulten procedentes.” (Sic)</w:t>
      </w:r>
    </w:p>
    <w:p w:rsidR="00054755" w:rsidRDefault="00054755">
      <w:pPr>
        <w:spacing w:after="240" w:line="360" w:lineRule="auto"/>
        <w:jc w:val="both"/>
        <w:rPr>
          <w:rFonts w:ascii="Palatino Linotype" w:eastAsia="Palatino Linotype" w:hAnsi="Palatino Linotype" w:cs="Palatino Linotype"/>
        </w:rPr>
      </w:pP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anteriores preceptos legales, se observa en qué casos es un incumplimiento a las obligaciones de transparencia, que puede ser por oficio o denuncia, para el caso de la denuncia el competente para resolver dicha denuncia es el Instituto de Transparencia, Acceso a la Información Pública y Protección de Datos Personales del Estado de México y Municipios, quien deberá notificar la resolución al Sujeto Obligado a través de la Unidad de Transparencia; en ese sentido, en el presente caso en particular se advierte que quien otorgó la respuesta, informe justificado y alcance, fue la Titular de la Unidad de Transparencia del Ayuntamiento de Toluca, que conforme a los preceptos legales señalados en el párrafo anterior, es el competente para conocer y poseer la información solicitada, lo que se robustece, con lo señalado por el artículo 53 fracción XII de la Ley de la Materia, que señala:</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53. Las Unidades de Transparencia tendrán las siguientes funciones:</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(Sic)</w:t>
      </w:r>
    </w:p>
    <w:p w:rsidR="00054755" w:rsidRDefault="00054755">
      <w:pPr>
        <w:ind w:left="851" w:right="758"/>
        <w:jc w:val="both"/>
        <w:rPr>
          <w:rFonts w:ascii="Palatino Linotype" w:eastAsia="Palatino Linotype" w:hAnsi="Palatino Linotype" w:cs="Palatino Linotype"/>
          <w:i/>
          <w:sz w:val="22"/>
          <w:szCs w:val="22"/>
        </w:rPr>
      </w:pPr>
    </w:p>
    <w:p w:rsidR="00054755" w:rsidRDefault="00C50A3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054755" w:rsidRDefault="00C50A35">
      <w:pPr>
        <w:spacing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t>Regresando con la respuesta, se advierte que la Titular de la Unidad de Transparencia informó al solicitante que recibió 15 denuncias, de las cuales sus resoluciones fueron sobreseídas, infundadas, declara la inexistencia</w:t>
      </w:r>
      <w:r w:rsidR="00B15BD2">
        <w:rPr>
          <w:rFonts w:ascii="Palatino Linotype" w:eastAsia="Palatino Linotype" w:hAnsi="Palatino Linotype" w:cs="Palatino Linotype"/>
        </w:rPr>
        <w:t xml:space="preserve"> y</w:t>
      </w:r>
      <w:r>
        <w:rPr>
          <w:rFonts w:ascii="Palatino Linotype" w:eastAsia="Palatino Linotype" w:hAnsi="Palatino Linotype" w:cs="Palatino Linotype"/>
        </w:rPr>
        <w:t xml:space="preserve"> de </w:t>
      </w:r>
      <w:r w:rsidR="00B15BD2">
        <w:rPr>
          <w:rFonts w:ascii="Palatino Linotype" w:eastAsia="Palatino Linotype" w:hAnsi="Palatino Linotype" w:cs="Palatino Linotype"/>
        </w:rPr>
        <w:lastRenderedPageBreak/>
        <w:t xml:space="preserve">incumplimiento, </w:t>
      </w:r>
      <w:r>
        <w:rPr>
          <w:rFonts w:ascii="Palatino Linotype" w:eastAsia="Palatino Linotype" w:hAnsi="Palatino Linotype" w:cs="Palatino Linotype"/>
        </w:rPr>
        <w:t>las cuales corresponde a los años 2019 al 2021, sin que se advierta de esas quince denuncias, cual es el sentido de cada uno de ellas, como lo requirió el particular.</w:t>
      </w:r>
    </w:p>
    <w:p w:rsidR="00054755" w:rsidRDefault="00054755">
      <w:pPr>
        <w:spacing w:line="360" w:lineRule="auto"/>
        <w:jc w:val="both"/>
        <w:rPr>
          <w:rFonts w:ascii="Palatino Linotype" w:eastAsia="Palatino Linotype" w:hAnsi="Palatino Linotype" w:cs="Palatino Linotype"/>
        </w:rPr>
      </w:pPr>
    </w:p>
    <w:p w:rsidR="00054755" w:rsidRDefault="00C50A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 no es hasta el alcance al informe justificado, que la Titular de la Unidad de Transparencia del Ayuntamiento de Toluca, precisó el sentido de cada una de esas quince denuncias recibidas, como se observa en la siguiente imagen, que se inserta de manera ilustrativa:</w:t>
      </w:r>
    </w:p>
    <w:p w:rsidR="00054755" w:rsidRDefault="00C50A35">
      <w:pPr>
        <w:spacing w:line="360" w:lineRule="auto"/>
        <w:jc w:val="both"/>
        <w:rPr>
          <w:rFonts w:ascii="Palatino Linotype" w:eastAsia="Palatino Linotype" w:hAnsi="Palatino Linotype" w:cs="Palatino Linotype"/>
        </w:rPr>
      </w:pPr>
      <w:r>
        <w:rPr>
          <w:noProof/>
          <w:lang w:val="es-MX" w:eastAsia="es-MX"/>
        </w:rPr>
        <w:drawing>
          <wp:inline distT="0" distB="0" distL="0" distR="0">
            <wp:extent cx="5590127" cy="1988237"/>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35290" t="24881" r="20129" b="24987"/>
                    <a:stretch>
                      <a:fillRect/>
                    </a:stretch>
                  </pic:blipFill>
                  <pic:spPr>
                    <a:xfrm>
                      <a:off x="0" y="0"/>
                      <a:ext cx="5590127" cy="1988237"/>
                    </a:xfrm>
                    <a:prstGeom prst="rect">
                      <a:avLst/>
                    </a:prstGeom>
                    <a:ln/>
                  </pic:spPr>
                </pic:pic>
              </a:graphicData>
            </a:graphic>
          </wp:inline>
        </w:drawing>
      </w:r>
    </w:p>
    <w:p w:rsidR="00054755" w:rsidRDefault="00C50A35">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rPr>
        <w:t xml:space="preserve">Respecto del año 2022 que solicitó la particular, 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señaló que durante el año 2022 no se ha recibió denuncia alguna al respecto; por consiguiente, </w:t>
      </w:r>
      <w:r>
        <w:rPr>
          <w:rFonts w:ascii="Palatino Linotype" w:eastAsia="Palatino Linotype" w:hAnsi="Palatino Linotype" w:cs="Palatino Linotype"/>
          <w:highlight w:val="white"/>
        </w:rPr>
        <w:t>dicha manifestación se traduce como hecho negativo y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054755" w:rsidRDefault="00C50A35">
      <w:pPr>
        <w:spacing w:before="240"/>
        <w:ind w:left="993"/>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highlight w:val="white"/>
        </w:rPr>
        <w:t xml:space="preserve"> “</w:t>
      </w:r>
      <w:r>
        <w:rPr>
          <w:rFonts w:ascii="Palatino Linotype" w:eastAsia="Palatino Linotype" w:hAnsi="Palatino Linotype" w:cs="Palatino Linotype"/>
          <w:b/>
          <w:i/>
          <w:sz w:val="22"/>
          <w:szCs w:val="22"/>
          <w:highlight w:val="white"/>
        </w:rPr>
        <w:t>HECHOS NEGATIVOS, NO SON SUSCEPTIBLES DE DEMOSTRACIÓN</w:t>
      </w:r>
      <w:r>
        <w:rPr>
          <w:rFonts w:ascii="Palatino Linotype" w:eastAsia="Palatino Linotype" w:hAnsi="Palatino Linotype" w:cs="Palatino Linotype"/>
          <w:i/>
          <w:sz w:val="22"/>
          <w:szCs w:val="22"/>
          <w:highlight w:val="white"/>
        </w:rPr>
        <w:t>.</w:t>
      </w:r>
    </w:p>
    <w:p w:rsidR="00054755" w:rsidRDefault="00C50A35">
      <w:pPr>
        <w:ind w:left="993" w:right="860"/>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lastRenderedPageBreak/>
        <w:t>Tratándose de un hecho negativo, el Juez no tiene por qué invocar prueba alguna de la que se desprenda, ya que es bien sabido que esta clase de hechos no son susceptibles de demostración.</w:t>
      </w:r>
    </w:p>
    <w:p w:rsidR="00054755" w:rsidRDefault="00C50A35">
      <w:pPr>
        <w:ind w:left="860" w:right="860"/>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 xml:space="preserve"> Amparo en revisión 2022/61. José García Florín (Menor). 9 de octubre de 1961. Cinco votos. Ponente: José Rivera Pérez Campos.” (Sic)</w:t>
      </w:r>
    </w:p>
    <w:p w:rsidR="00054755" w:rsidRDefault="00054755">
      <w:pPr>
        <w:spacing w:line="360" w:lineRule="auto"/>
        <w:jc w:val="both"/>
        <w:rPr>
          <w:rFonts w:ascii="Palatino Linotype" w:eastAsia="Palatino Linotype" w:hAnsi="Palatino Linotype" w:cs="Palatino Linotype"/>
        </w:rPr>
      </w:pPr>
    </w:p>
    <w:p w:rsidR="00054755" w:rsidRDefault="00C50A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Colmando con ello el derecho de acceso a la información pública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p>
    <w:p w:rsidR="00054755" w:rsidRDefault="00054755">
      <w:pPr>
        <w:spacing w:line="360" w:lineRule="auto"/>
        <w:jc w:val="both"/>
        <w:rPr>
          <w:rFonts w:ascii="Palatino Linotype" w:eastAsia="Palatino Linotype" w:hAnsi="Palatino Linotype" w:cs="Palatino Linotype"/>
        </w:rPr>
      </w:pPr>
    </w:p>
    <w:p w:rsidR="00054755" w:rsidRDefault="00C50A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este Organismo Garante estima conveniente señalar que no está facultado para manifestarse sobre la veracidad de la información proporcionada en respuesta como en alcance al informe justificado,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054755" w:rsidRDefault="00C50A35">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054755" w:rsidRDefault="0005475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54755" w:rsidRDefault="00C50A3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054755" w:rsidRDefault="0005475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54755" w:rsidRDefault="00C50A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w:t>
      </w:r>
      <w:r w:rsidR="00B15BD2">
        <w:rPr>
          <w:rFonts w:ascii="Palatino Linotype" w:eastAsia="Palatino Linotype" w:hAnsi="Palatino Linotype" w:cs="Palatino Linotype"/>
        </w:rPr>
        <w:t>consecuencia,</w:t>
      </w:r>
      <w:r>
        <w:rPr>
          <w:rFonts w:ascii="Palatino Linotype" w:eastAsia="Palatino Linotype" w:hAnsi="Palatino Linotype" w:cs="Palatino Linotype"/>
        </w:rPr>
        <w:t xml:space="preserve"> de todo lo anterior, se actualiza la causal de sobreseimiento prevista en la fracción III del artículo 192 de la Ley de Transparencia y Acceso a la Información Pública del Estado de México y Municipios, que dispone lo siguiente:</w:t>
      </w:r>
    </w:p>
    <w:p w:rsidR="00054755" w:rsidRDefault="00054755">
      <w:pPr>
        <w:spacing w:line="360" w:lineRule="auto"/>
        <w:jc w:val="both"/>
        <w:rPr>
          <w:rFonts w:ascii="Palatino Linotype" w:eastAsia="Palatino Linotype" w:hAnsi="Palatino Linotype" w:cs="Palatino Linotype"/>
          <w:color w:val="FF0000"/>
        </w:rPr>
      </w:pPr>
    </w:p>
    <w:p w:rsidR="00054755" w:rsidRDefault="00C50A3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192. </w:t>
      </w:r>
      <w:r>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054755" w:rsidRDefault="00C50A3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054755" w:rsidRDefault="00C50A35">
      <w:pPr>
        <w:ind w:left="992" w:right="104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rsidR="00054755" w:rsidRDefault="00054755">
      <w:pPr>
        <w:spacing w:line="360" w:lineRule="auto"/>
        <w:jc w:val="both"/>
        <w:rPr>
          <w:rFonts w:ascii="Palatino Linotype" w:eastAsia="Palatino Linotype" w:hAnsi="Palatino Linotype" w:cs="Palatino Linotype"/>
          <w:b/>
          <w:i/>
        </w:rPr>
      </w:pP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establecido en el precepto legal citado se advierte que el sobreseimiento del recurso de revisión procede en los siguientes casos:</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Cuando el sujeto obligado modifique el acto impugnado.</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 Cuando el sujeto obligado revoque el acto impugnado.</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de lo anterior, un acto impugnado es modificado en aquellos casos en los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después de haber otorgado una respuesta, emite una diversa de manera posterior y en esta subsana las deficiencias que hubiera </w:t>
      </w:r>
      <w:r>
        <w:rPr>
          <w:rFonts w:ascii="Palatino Linotype" w:eastAsia="Palatino Linotype" w:hAnsi="Palatino Linotype" w:cs="Palatino Linotype"/>
        </w:rPr>
        <w:lastRenderedPageBreak/>
        <w:t xml:space="preserve">tenido, quedando satisfecho el derecho subjetivo accionado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hace a la revocación, esta se actualiza cuando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rsidR="00054755" w:rsidRDefault="00C50A3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tanto, en el presente caso queda sin materia, toda vez que con el alcance al Informe Justificado,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modificó la respuesta al remitir y precisar los sentidos de cada una de las quince denuncias que recibió en los años 2019 al 2021.</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Tomando en consideración dicha circunstancia, así como el hecho de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puesta a la vista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resumen,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completa a la solicitud de acceso a la información pública del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rsidR="00054755" w:rsidRDefault="00C50A3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w:t>
      </w:r>
      <w:r>
        <w:rPr>
          <w:rFonts w:ascii="Palatino Linotype" w:eastAsia="Palatino Linotype" w:hAnsi="Palatino Linotype" w:cs="Palatino Linotype"/>
          <w:b/>
        </w:rPr>
        <w:t>RECURRENTE</w:t>
      </w:r>
      <w:r>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rsidR="00054755" w:rsidRDefault="00C50A35">
      <w:pPr>
        <w:spacing w:before="240"/>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rsidR="00054755" w:rsidRDefault="00C50A3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054755" w:rsidRDefault="00C50A3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54755" w:rsidRDefault="00054755">
      <w:pPr>
        <w:ind w:left="567" w:right="567"/>
        <w:jc w:val="both"/>
        <w:rPr>
          <w:rFonts w:ascii="Palatino Linotype" w:eastAsia="Palatino Linotype" w:hAnsi="Palatino Linotype" w:cs="Palatino Linotype"/>
          <w:i/>
          <w:sz w:val="22"/>
          <w:szCs w:val="22"/>
        </w:rPr>
      </w:pP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054755" w:rsidRDefault="00C50A35">
      <w:pPr>
        <w:spacing w:before="240"/>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“DESECHAMIENTO O SOBRESEIMIENTO EN EL JUICIO DE AMPARO. NO IMPLICA DENEGACIÓN DE JUSTICIA NI GENERA INSEGURIDAD JURÍDICA”</w:t>
      </w:r>
    </w:p>
    <w:p w:rsidR="00054755" w:rsidRDefault="00C50A3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054755" w:rsidRDefault="00054755">
      <w:pPr>
        <w:ind w:left="567" w:right="567"/>
        <w:jc w:val="both"/>
        <w:rPr>
          <w:rFonts w:ascii="Palatino Linotype" w:eastAsia="Palatino Linotype" w:hAnsi="Palatino Linotype" w:cs="Palatino Linotype"/>
          <w:i/>
          <w:sz w:val="22"/>
          <w:szCs w:val="22"/>
        </w:rPr>
      </w:pP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54755" w:rsidRDefault="00C50A35">
      <w:pPr>
        <w:spacing w:before="240"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III.R E S U E L V E:</w:t>
      </w:r>
    </w:p>
    <w:p w:rsidR="00054755" w:rsidRDefault="00C50A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Primero</w:t>
      </w:r>
      <w:r>
        <w:rPr>
          <w:rFonts w:ascii="Palatino Linotype" w:eastAsia="Palatino Linotype" w:hAnsi="Palatino Linotype" w:cs="Palatino Linotype"/>
          <w:highlight w:val="white"/>
        </w:rPr>
        <w:t xml:space="preserve">. Se </w:t>
      </w:r>
      <w:r>
        <w:rPr>
          <w:rFonts w:ascii="Palatino Linotype" w:eastAsia="Palatino Linotype" w:hAnsi="Palatino Linotype" w:cs="Palatino Linotype"/>
          <w:b/>
          <w:highlight w:val="white"/>
        </w:rPr>
        <w:t>SOBRESEE</w:t>
      </w:r>
      <w:r>
        <w:rPr>
          <w:rFonts w:ascii="Palatino Linotype" w:eastAsia="Palatino Linotype" w:hAnsi="Palatino Linotype" w:cs="Palatino Linotype"/>
          <w:highlight w:val="white"/>
        </w:rPr>
        <w:t xml:space="preserve"> el recurso de revisión número </w:t>
      </w:r>
      <w:r>
        <w:rPr>
          <w:rFonts w:ascii="Palatino Linotype" w:eastAsia="Palatino Linotype" w:hAnsi="Palatino Linotype" w:cs="Palatino Linotype"/>
          <w:b/>
          <w:highlight w:val="white"/>
        </w:rPr>
        <w:t>03969/INFOEM/IP/RR/2022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porque al </w:t>
      </w:r>
      <w:r>
        <w:rPr>
          <w:rFonts w:ascii="Palatino Linotype" w:eastAsia="Palatino Linotype" w:hAnsi="Palatino Linotype" w:cs="Palatino Linotype"/>
          <w:b/>
        </w:rPr>
        <w:t>modificar la respuesta</w:t>
      </w:r>
      <w:r>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Pr>
          <w:rFonts w:ascii="Palatino Linotype" w:eastAsia="Palatino Linotype" w:hAnsi="Palatino Linotype" w:cs="Palatino Linotype"/>
          <w:b/>
        </w:rPr>
        <w:t xml:space="preserve">Tercero </w:t>
      </w:r>
      <w:r>
        <w:rPr>
          <w:rFonts w:ascii="Palatino Linotype" w:eastAsia="Palatino Linotype" w:hAnsi="Palatino Linotype" w:cs="Palatino Linotype"/>
        </w:rPr>
        <w:t>de la presente Resolución.</w:t>
      </w:r>
    </w:p>
    <w:p w:rsidR="00054755" w:rsidRDefault="00054755">
      <w:pPr>
        <w:spacing w:line="360" w:lineRule="auto"/>
        <w:jc w:val="both"/>
        <w:rPr>
          <w:rFonts w:ascii="Palatino Linotype" w:eastAsia="Palatino Linotype" w:hAnsi="Palatino Linotype" w:cs="Palatino Linotype"/>
        </w:rPr>
      </w:pPr>
    </w:p>
    <w:p w:rsidR="00054755" w:rsidRDefault="00054755">
      <w:pPr>
        <w:spacing w:line="360" w:lineRule="auto"/>
        <w:jc w:val="both"/>
        <w:rPr>
          <w:rFonts w:ascii="Palatino Linotype" w:eastAsia="Palatino Linotype" w:hAnsi="Palatino Linotype" w:cs="Palatino Linotype"/>
          <w:b/>
          <w:sz w:val="20"/>
          <w:szCs w:val="20"/>
        </w:rPr>
      </w:pPr>
    </w:p>
    <w:p w:rsidR="00054755" w:rsidRDefault="00C50A35">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lastRenderedPageBreak/>
        <w:t xml:space="preserve">Segundo. Notifíquese vía </w:t>
      </w:r>
      <w:r>
        <w:rPr>
          <w:rFonts w:ascii="Palatino Linotype" w:eastAsia="Palatino Linotype" w:hAnsi="Palatino Linotype" w:cs="Palatino Linotype"/>
        </w:rPr>
        <w:t>Sistema de Acceso a la Información Mexiquense (</w:t>
      </w:r>
      <w:r>
        <w:rPr>
          <w:rFonts w:ascii="Palatino Linotype" w:eastAsia="Palatino Linotype" w:hAnsi="Palatino Linotype" w:cs="Palatino Linotype"/>
          <w:b/>
          <w:highlight w:val="white"/>
        </w:rPr>
        <w:t>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Titular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su conocimiento. </w:t>
      </w:r>
    </w:p>
    <w:p w:rsidR="00054755" w:rsidRDefault="00054755">
      <w:pPr>
        <w:spacing w:line="360" w:lineRule="auto"/>
        <w:jc w:val="both"/>
        <w:rPr>
          <w:rFonts w:ascii="Palatino Linotype" w:eastAsia="Palatino Linotype" w:hAnsi="Palatino Linotype" w:cs="Palatino Linotype"/>
          <w:highlight w:val="white"/>
        </w:rPr>
      </w:pPr>
    </w:p>
    <w:p w:rsidR="00054755" w:rsidRDefault="00C50A3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a través </w:t>
      </w:r>
      <w:r>
        <w:rPr>
          <w:rFonts w:ascii="Palatino Linotype" w:eastAsia="Palatino Linotype" w:hAnsi="Palatino Linotype" w:cs="Palatino Linotype"/>
        </w:rPr>
        <w:t xml:space="preserve">del Sistema de Acceso a la Información </w:t>
      </w:r>
      <w:r w:rsidRPr="00FE299D">
        <w:rPr>
          <w:rFonts w:ascii="Palatino Linotype" w:eastAsia="Palatino Linotype" w:hAnsi="Palatino Linotype" w:cs="Palatino Linotype"/>
        </w:rPr>
        <w:t>Mexiquense</w:t>
      </w:r>
      <w:r w:rsidRPr="00FE299D">
        <w:rPr>
          <w:rFonts w:ascii="Palatino Linotype" w:eastAsia="Palatino Linotype" w:hAnsi="Palatino Linotype" w:cs="Palatino Linotype"/>
          <w:color w:val="980000"/>
        </w:rPr>
        <w:t xml:space="preserve"> </w:t>
      </w:r>
      <w:r w:rsidRPr="00FE299D">
        <w:rPr>
          <w:rFonts w:ascii="Palatino Linotype" w:eastAsia="Palatino Linotype" w:hAnsi="Palatino Linotype" w:cs="Palatino Linotype"/>
        </w:rPr>
        <w:t>a</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w:t>
      </w:r>
      <w:bookmarkStart w:id="2" w:name="_GoBack"/>
      <w:bookmarkEnd w:id="2"/>
      <w:r>
        <w:rPr>
          <w:rFonts w:ascii="Palatino Linotype" w:eastAsia="Palatino Linotype" w:hAnsi="Palatino Linotype" w:cs="Palatino Linotype"/>
        </w:rPr>
        <w:t>y Acceso a la Información Pública del Estado de México y Municipios, podrá impugnarla en la vía Juicio de Amparo en los términos de las leyes aplicables.</w:t>
      </w:r>
    </w:p>
    <w:p w:rsidR="00054755" w:rsidRDefault="00C50A35">
      <w:pPr>
        <w:spacing w:before="240" w:after="240" w:line="360" w:lineRule="auto"/>
        <w:jc w:val="both"/>
        <w:rPr>
          <w:rFonts w:ascii="Palatino Linotype" w:eastAsia="Palatino Linotype" w:hAnsi="Palatino Linotype" w:cs="Palatino Linotype"/>
        </w:rPr>
      </w:pPr>
      <w:bookmarkStart w:id="3" w:name="_heading=h.3rdcrjn" w:colFirst="0" w:colLast="0"/>
      <w:bookmarkEnd w:id="3"/>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w:t>
      </w:r>
      <w:r w:rsidR="00595F53">
        <w:rPr>
          <w:rFonts w:ascii="Palatino Linotype" w:eastAsia="Palatino Linotype" w:hAnsi="Palatino Linotype" w:cs="Palatino Linotype"/>
        </w:rPr>
        <w:t>A</w:t>
      </w:r>
      <w:r>
        <w:rPr>
          <w:rFonts w:ascii="Palatino Linotype" w:eastAsia="Palatino Linotype" w:hAnsi="Palatino Linotype" w:cs="Palatino Linotype"/>
        </w:rPr>
        <w:t xml:space="preserve"> SESIÓN ORDINARIA CELEBRADA EL TRECE DE JULIO DE DOS MIL VEINTIDÓS, ANTE EL SECRETARIO TÉCNICO DEL PLENO ALEXIS TAPIA RAMÍREZ.</w:t>
      </w:r>
    </w:p>
    <w:p w:rsidR="00054755" w:rsidRDefault="00054755">
      <w:pPr>
        <w:spacing w:before="240" w:after="240" w:line="360" w:lineRule="auto"/>
        <w:jc w:val="both"/>
        <w:rPr>
          <w:rFonts w:ascii="Palatino Linotype" w:eastAsia="Palatino Linotype" w:hAnsi="Palatino Linotype" w:cs="Palatino Linotype"/>
          <w:color w:val="222222"/>
          <w:highlight w:val="white"/>
        </w:rPr>
      </w:pPr>
    </w:p>
    <w:p w:rsidR="00054755" w:rsidRDefault="00054755">
      <w:pPr>
        <w:spacing w:before="240" w:after="240" w:line="360" w:lineRule="auto"/>
        <w:jc w:val="both"/>
        <w:rPr>
          <w:rFonts w:ascii="Palatino Linotype" w:eastAsia="Palatino Linotype" w:hAnsi="Palatino Linotype" w:cs="Palatino Linotype"/>
          <w:color w:val="222222"/>
          <w:highlight w:val="white"/>
        </w:rPr>
      </w:pPr>
    </w:p>
    <w:p w:rsidR="00054755" w:rsidRDefault="00C50A35">
      <w:pPr>
        <w:spacing w:before="240" w:after="240" w:line="360" w:lineRule="auto"/>
        <w:jc w:val="both"/>
        <w:rPr>
          <w:rFonts w:ascii="Palatino Linotype" w:eastAsia="Palatino Linotype" w:hAnsi="Palatino Linotype" w:cs="Palatino Linotype"/>
        </w:rPr>
        <w:sectPr w:rsidR="00054755">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Pr>
          <w:rFonts w:ascii="Palatino Linotype" w:eastAsia="Palatino Linotype" w:hAnsi="Palatino Linotype" w:cs="Palatino Linotype"/>
        </w:rPr>
        <w:t xml:space="preserve">        </w:t>
      </w:r>
    </w:p>
    <w:p w:rsidR="00054755" w:rsidRDefault="00054755">
      <w:pPr>
        <w:spacing w:before="240" w:after="240" w:line="360" w:lineRule="auto"/>
        <w:jc w:val="both"/>
        <w:rPr>
          <w:rFonts w:ascii="Palatino Linotype" w:eastAsia="Palatino Linotype" w:hAnsi="Palatino Linotype" w:cs="Palatino Linotype"/>
        </w:rPr>
      </w:pPr>
    </w:p>
    <w:sectPr w:rsidR="00054755">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12" w:rsidRDefault="001E3412">
      <w:r>
        <w:separator/>
      </w:r>
    </w:p>
  </w:endnote>
  <w:endnote w:type="continuationSeparator" w:id="0">
    <w:p w:rsidR="001E3412" w:rsidRDefault="001E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55" w:rsidRDefault="00C50A3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299D">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299D">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054755" w:rsidRDefault="00054755">
    <w:pPr>
      <w:pBdr>
        <w:top w:val="nil"/>
        <w:left w:val="nil"/>
        <w:bottom w:val="nil"/>
        <w:right w:val="nil"/>
        <w:between w:val="nil"/>
      </w:pBdr>
      <w:tabs>
        <w:tab w:val="center" w:pos="4252"/>
        <w:tab w:val="right" w:pos="8504"/>
      </w:tabs>
      <w:rPr>
        <w:color w:val="000000"/>
      </w:rPr>
    </w:pPr>
  </w:p>
  <w:p w:rsidR="00054755" w:rsidRDefault="0005475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55" w:rsidRDefault="00C50A3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299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299D">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054755" w:rsidRDefault="0005475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12" w:rsidRDefault="001E3412">
      <w:r>
        <w:separator/>
      </w:r>
    </w:p>
  </w:footnote>
  <w:footnote w:type="continuationSeparator" w:id="0">
    <w:p w:rsidR="001E3412" w:rsidRDefault="001E3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55" w:rsidRDefault="00054755">
    <w:pPr>
      <w:widowControl w:val="0"/>
      <w:pBdr>
        <w:top w:val="nil"/>
        <w:left w:val="nil"/>
        <w:bottom w:val="nil"/>
        <w:right w:val="nil"/>
        <w:between w:val="nil"/>
      </w:pBdr>
      <w:spacing w:line="276" w:lineRule="auto"/>
      <w:rPr>
        <w:rFonts w:ascii="Calibri" w:eastAsia="Calibri" w:hAnsi="Calibri" w:cs="Calibri"/>
        <w:color w:val="000000"/>
      </w:rPr>
    </w:pPr>
  </w:p>
  <w:tbl>
    <w:tblPr>
      <w:tblStyle w:val="ad"/>
      <w:tblW w:w="5528" w:type="dxa"/>
      <w:tblInd w:w="3261" w:type="dxa"/>
      <w:tblLayout w:type="fixed"/>
      <w:tblLook w:val="0400" w:firstRow="0" w:lastRow="0" w:firstColumn="0" w:lastColumn="0" w:noHBand="0" w:noVBand="1"/>
    </w:tblPr>
    <w:tblGrid>
      <w:gridCol w:w="2551"/>
      <w:gridCol w:w="2977"/>
    </w:tblGrid>
    <w:tr w:rsidR="00054755">
      <w:tc>
        <w:tcPr>
          <w:tcW w:w="2551" w:type="dxa"/>
          <w:vAlign w:val="center"/>
        </w:tcPr>
        <w:p w:rsidR="00054755" w:rsidRDefault="00C50A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054755" w:rsidRDefault="00C50A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03969/INFOEM/IP/RR/2022</w:t>
          </w:r>
        </w:p>
      </w:tc>
    </w:tr>
    <w:tr w:rsidR="00054755">
      <w:trPr>
        <w:trHeight w:val="228"/>
      </w:trPr>
      <w:tc>
        <w:tcPr>
          <w:tcW w:w="2551" w:type="dxa"/>
          <w:vAlign w:val="center"/>
        </w:tcPr>
        <w:p w:rsidR="00054755" w:rsidRDefault="00C50A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054755" w:rsidRDefault="00C50A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54755">
      <w:tc>
        <w:tcPr>
          <w:tcW w:w="2551" w:type="dxa"/>
          <w:vAlign w:val="center"/>
        </w:tcPr>
        <w:p w:rsidR="00054755" w:rsidRDefault="00C50A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054755" w:rsidRDefault="00C50A3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54755" w:rsidRDefault="00C50A3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-695768</wp:posOffset>
          </wp:positionH>
          <wp:positionV relativeFrom="paragraph">
            <wp:posOffset>-1200943</wp:posOffset>
          </wp:positionV>
          <wp:extent cx="7809876" cy="10165823"/>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55" w:rsidRDefault="00C50A3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-846158</wp:posOffset>
          </wp:positionH>
          <wp:positionV relativeFrom="paragraph">
            <wp:posOffset>-171229</wp:posOffset>
          </wp:positionV>
          <wp:extent cx="7809876" cy="10165823"/>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c"/>
      <w:tblW w:w="5670" w:type="dxa"/>
      <w:tblInd w:w="3119" w:type="dxa"/>
      <w:tblLayout w:type="fixed"/>
      <w:tblLook w:val="0400" w:firstRow="0" w:lastRow="0" w:firstColumn="0" w:lastColumn="0" w:noHBand="0" w:noVBand="1"/>
    </w:tblPr>
    <w:tblGrid>
      <w:gridCol w:w="2551"/>
      <w:gridCol w:w="3119"/>
    </w:tblGrid>
    <w:tr w:rsidR="00054755">
      <w:tc>
        <w:tcPr>
          <w:tcW w:w="2551" w:type="dxa"/>
          <w:vAlign w:val="center"/>
        </w:tcPr>
        <w:p w:rsidR="00054755" w:rsidRDefault="00C50A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054755" w:rsidRDefault="00C50A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03969/INFOEM/IP/RR/2022. </w:t>
          </w:r>
        </w:p>
      </w:tc>
    </w:tr>
    <w:tr w:rsidR="00054755">
      <w:tc>
        <w:tcPr>
          <w:tcW w:w="2551" w:type="dxa"/>
          <w:vAlign w:val="center"/>
        </w:tcPr>
        <w:p w:rsidR="00054755" w:rsidRDefault="00C50A3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054755" w:rsidRDefault="00FE299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sidR="00C50A35">
            <w:rPr>
              <w:rFonts w:ascii="Palatino Linotype" w:eastAsia="Palatino Linotype" w:hAnsi="Palatino Linotype" w:cs="Palatino Linotype"/>
              <w:b/>
              <w:sz w:val="22"/>
              <w:szCs w:val="22"/>
            </w:rPr>
            <w:t>.</w:t>
          </w:r>
        </w:p>
      </w:tc>
    </w:tr>
    <w:tr w:rsidR="00054755">
      <w:trPr>
        <w:trHeight w:val="228"/>
      </w:trPr>
      <w:tc>
        <w:tcPr>
          <w:tcW w:w="2551" w:type="dxa"/>
          <w:vAlign w:val="center"/>
        </w:tcPr>
        <w:p w:rsidR="00054755" w:rsidRDefault="00C50A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054755" w:rsidRDefault="00C50A3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54755">
      <w:tc>
        <w:tcPr>
          <w:tcW w:w="2551" w:type="dxa"/>
          <w:vAlign w:val="center"/>
        </w:tcPr>
        <w:p w:rsidR="00054755" w:rsidRDefault="00C50A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054755" w:rsidRDefault="00C50A3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54755" w:rsidRDefault="0005475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55" w:rsidRDefault="00054755">
    <w:pPr>
      <w:pBdr>
        <w:top w:val="nil"/>
        <w:left w:val="nil"/>
        <w:bottom w:val="nil"/>
        <w:right w:val="nil"/>
        <w:between w:val="nil"/>
      </w:pBdr>
      <w:tabs>
        <w:tab w:val="center" w:pos="4252"/>
        <w:tab w:val="right" w:pos="8504"/>
      </w:tabs>
      <w:jc w:val="both"/>
      <w:rPr>
        <w:rFonts w:ascii="Calibri" w:eastAsia="Calibri" w:hAnsi="Calibri" w:cs="Calibri"/>
        <w:color w:val="000000"/>
      </w:rPr>
    </w:pPr>
  </w:p>
  <w:p w:rsidR="00054755" w:rsidRDefault="0005475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FB5720E"/>
    <w:multiLevelType w:val="multilevel"/>
    <w:tmpl w:val="9BA0E7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B74BAD"/>
    <w:multiLevelType w:val="multilevel"/>
    <w:tmpl w:val="F1FE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55"/>
    <w:rsid w:val="00054755"/>
    <w:rsid w:val="001E3412"/>
    <w:rsid w:val="00595F53"/>
    <w:rsid w:val="005E1519"/>
    <w:rsid w:val="008F4C88"/>
    <w:rsid w:val="00B15BD2"/>
    <w:rsid w:val="00C50A35"/>
    <w:rsid w:val="00C95CDD"/>
    <w:rsid w:val="00FE2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D9822-9671-451D-871C-AE7C17F2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64524.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364524.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UIK1llGJpe5sPhRvgTFUpZwONQ==">AMUW2mXNvLFoGDhXRkTmiG7Z1GP48rJj5KU3SKeFbBxZO49LnECtCZjyHZt9EO6HamYCzsbQyM+CZU8X3iviX8SkL6jfdavaK00ISpOmotlJuVZoIF993iE0v/D3vqvlyjYo1IOF+lMzXnrshC9iG6gaHclwD5DANQ==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5677</Words>
  <Characters>31227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Jhancarlo</cp:lastModifiedBy>
  <cp:revision>7</cp:revision>
  <dcterms:created xsi:type="dcterms:W3CDTF">2022-07-06T19:33:00Z</dcterms:created>
  <dcterms:modified xsi:type="dcterms:W3CDTF">2022-08-03T22:24:00Z</dcterms:modified>
</cp:coreProperties>
</file>