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E83" w:rsidRPr="005E2ED7" w:rsidRDefault="00B907A0">
      <w:pPr>
        <w:spacing w:before="240" w:after="24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veintiocho de septiembre de dos mil veintidós.</w:t>
      </w:r>
    </w:p>
    <w:p w:rsidR="00B23E83" w:rsidRPr="00740251" w:rsidRDefault="00B907A0">
      <w:pPr>
        <w:spacing w:after="8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 xml:space="preserve">Visto </w:t>
      </w:r>
      <w:r w:rsidRPr="005E2ED7">
        <w:rPr>
          <w:rFonts w:ascii="Palatino Linotype" w:eastAsia="Palatino Linotype" w:hAnsi="Palatino Linotype" w:cs="Palatino Linotype"/>
          <w:sz w:val="24"/>
          <w:szCs w:val="24"/>
        </w:rPr>
        <w:t xml:space="preserve">el expediente relativo al recurso de revisión </w:t>
      </w:r>
      <w:r w:rsidRPr="005E2ED7">
        <w:rPr>
          <w:rFonts w:ascii="Palatino Linotype" w:eastAsia="Palatino Linotype" w:hAnsi="Palatino Linotype" w:cs="Palatino Linotype"/>
          <w:b/>
          <w:sz w:val="24"/>
          <w:szCs w:val="24"/>
        </w:rPr>
        <w:t>05614/INFOEM/IP/RR/2022</w:t>
      </w:r>
      <w:r w:rsidRPr="005E2ED7">
        <w:rPr>
          <w:rFonts w:ascii="Palatino Linotype" w:eastAsia="Palatino Linotype" w:hAnsi="Palatino Linotype" w:cs="Palatino Linotype"/>
          <w:sz w:val="24"/>
          <w:szCs w:val="24"/>
        </w:rPr>
        <w:t xml:space="preserve"> interpuesto por </w:t>
      </w:r>
      <w:r w:rsidR="00ED7BD2">
        <w:rPr>
          <w:rFonts w:ascii="Palatino Linotype" w:eastAsia="Palatino Linotype" w:hAnsi="Palatino Linotype" w:cs="Palatino Linotype"/>
          <w:b/>
          <w:sz w:val="24"/>
          <w:szCs w:val="24"/>
        </w:rPr>
        <w:t>XXXXXXXX XXXXXXXX XXXXXXXXXXXX</w:t>
      </w:r>
      <w:bookmarkStart w:id="0" w:name="_GoBack"/>
      <w:bookmarkEnd w:id="0"/>
      <w:r w:rsidRPr="005E2ED7">
        <w:rPr>
          <w:rFonts w:ascii="Palatino Linotype" w:eastAsia="Palatino Linotype" w:hAnsi="Palatino Linotype" w:cs="Palatino Linotype"/>
          <w:sz w:val="24"/>
          <w:szCs w:val="24"/>
        </w:rPr>
        <w:t xml:space="preserve">, el cual en lo sucesivo se le denominara </w:t>
      </w:r>
      <w:r w:rsidRPr="005E2ED7">
        <w:rPr>
          <w:rFonts w:ascii="Palatino Linotype" w:eastAsia="Palatino Linotype" w:hAnsi="Palatino Linotype" w:cs="Palatino Linotype"/>
          <w:b/>
          <w:sz w:val="24"/>
          <w:szCs w:val="24"/>
        </w:rPr>
        <w:t>EL RECURRENTE</w:t>
      </w:r>
      <w:r w:rsidRPr="005E2ED7">
        <w:rPr>
          <w:rFonts w:ascii="Palatino Linotype" w:eastAsia="Palatino Linotype" w:hAnsi="Palatino Linotype" w:cs="Palatino Linotype"/>
          <w:sz w:val="24"/>
          <w:szCs w:val="24"/>
        </w:rPr>
        <w:t xml:space="preserve">, en contra de la respuesta a la solicitud de información con número de folio </w:t>
      </w:r>
      <w:r w:rsidRPr="005E2ED7">
        <w:rPr>
          <w:rFonts w:ascii="Palatino Linotype" w:eastAsia="Palatino Linotype" w:hAnsi="Palatino Linotype" w:cs="Palatino Linotype"/>
          <w:b/>
          <w:sz w:val="24"/>
          <w:szCs w:val="24"/>
        </w:rPr>
        <w:t>00270/TLALNEPA/IP/2022</w:t>
      </w:r>
      <w:r w:rsidRPr="005E2ED7">
        <w:rPr>
          <w:rFonts w:ascii="Palatino Linotype" w:eastAsia="Palatino Linotype" w:hAnsi="Palatino Linotype" w:cs="Palatino Linotype"/>
          <w:sz w:val="24"/>
          <w:szCs w:val="24"/>
        </w:rPr>
        <w:t xml:space="preserve">, por parte del Ayuntamiento de Tlalnepantla de Baz, en lo sucesivo </w:t>
      </w:r>
      <w:r w:rsidRPr="005E2ED7">
        <w:rPr>
          <w:rFonts w:ascii="Palatino Linotype" w:eastAsia="Palatino Linotype" w:hAnsi="Palatino Linotype" w:cs="Palatino Linotype"/>
          <w:b/>
          <w:sz w:val="24"/>
          <w:szCs w:val="24"/>
        </w:rPr>
        <w:t>EL</w:t>
      </w:r>
      <w:r w:rsidRPr="005E2ED7">
        <w:rPr>
          <w:rFonts w:ascii="Palatino Linotype" w:eastAsia="Palatino Linotype" w:hAnsi="Palatino Linotype" w:cs="Palatino Linotype"/>
          <w:sz w:val="24"/>
          <w:szCs w:val="24"/>
        </w:rPr>
        <w:t xml:space="preserve"> </w:t>
      </w:r>
      <w:r w:rsidRPr="005E2ED7">
        <w:rPr>
          <w:rFonts w:ascii="Palatino Linotype" w:eastAsia="Palatino Linotype" w:hAnsi="Palatino Linotype" w:cs="Palatino Linotype"/>
          <w:b/>
          <w:sz w:val="24"/>
          <w:szCs w:val="24"/>
        </w:rPr>
        <w:t xml:space="preserve">SUJETO OBLIGADO; </w:t>
      </w:r>
      <w:r w:rsidRPr="005E2ED7">
        <w:rPr>
          <w:rFonts w:ascii="Palatino Linotype" w:eastAsia="Palatino Linotype" w:hAnsi="Palatino Linotype" w:cs="Palatino Linotype"/>
          <w:sz w:val="24"/>
          <w:szCs w:val="24"/>
        </w:rPr>
        <w:t>se procede a dictar la presente resolución, con base en lo siguiente.</w:t>
      </w:r>
    </w:p>
    <w:p w:rsidR="00B23E83" w:rsidRPr="005E2ED7" w:rsidRDefault="00B23E83">
      <w:pPr>
        <w:spacing w:after="80" w:line="360" w:lineRule="auto"/>
        <w:jc w:val="both"/>
        <w:rPr>
          <w:rFonts w:ascii="Palatino Linotype" w:eastAsia="Palatino Linotype" w:hAnsi="Palatino Linotype" w:cs="Palatino Linotype"/>
          <w:sz w:val="24"/>
          <w:szCs w:val="24"/>
        </w:rPr>
      </w:pPr>
    </w:p>
    <w:p w:rsidR="00B23E83" w:rsidRPr="005E2ED7" w:rsidRDefault="00B907A0">
      <w:pPr>
        <w:spacing w:before="80" w:after="240" w:line="360" w:lineRule="auto"/>
        <w:ind w:right="49"/>
        <w:jc w:val="center"/>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t>A N T E C E D E N T E S</w:t>
      </w:r>
    </w:p>
    <w:p w:rsidR="00B23E83" w:rsidRPr="005E2ED7" w:rsidRDefault="00B907A0">
      <w:pPr>
        <w:spacing w:before="240" w:after="24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t xml:space="preserve">1. SOLICITUD. </w:t>
      </w:r>
      <w:r w:rsidRPr="005E2ED7">
        <w:rPr>
          <w:rFonts w:ascii="Palatino Linotype" w:eastAsia="Palatino Linotype" w:hAnsi="Palatino Linotype" w:cs="Palatino Linotype"/>
          <w:sz w:val="24"/>
          <w:szCs w:val="24"/>
        </w:rPr>
        <w:t xml:space="preserve">Con fecha nueve de marzo de dos mil veintidós, </w:t>
      </w:r>
      <w:r w:rsidRPr="005E2ED7">
        <w:rPr>
          <w:rFonts w:ascii="Palatino Linotype" w:eastAsia="Palatino Linotype" w:hAnsi="Palatino Linotype" w:cs="Palatino Linotype"/>
          <w:b/>
          <w:sz w:val="24"/>
          <w:szCs w:val="24"/>
        </w:rPr>
        <w:t>EL RECURRENTE</w:t>
      </w:r>
      <w:r w:rsidRPr="005E2ED7">
        <w:rPr>
          <w:rFonts w:ascii="Palatino Linotype" w:eastAsia="Palatino Linotype" w:hAnsi="Palatino Linotype" w:cs="Palatino Linotype"/>
          <w:sz w:val="24"/>
          <w:szCs w:val="24"/>
        </w:rPr>
        <w:t>, presentó a través del Sistema de Acceso a la Información Mexiquense (</w:t>
      </w:r>
      <w:r w:rsidRPr="005E2ED7">
        <w:rPr>
          <w:rFonts w:ascii="Palatino Linotype" w:eastAsia="Palatino Linotype" w:hAnsi="Palatino Linotype" w:cs="Palatino Linotype"/>
          <w:b/>
          <w:sz w:val="24"/>
          <w:szCs w:val="24"/>
        </w:rPr>
        <w:t>SAIMEX)</w:t>
      </w:r>
      <w:r w:rsidRPr="005E2ED7">
        <w:rPr>
          <w:rFonts w:ascii="Palatino Linotype" w:eastAsia="Palatino Linotype" w:hAnsi="Palatino Linotype" w:cs="Palatino Linotype"/>
          <w:sz w:val="24"/>
          <w:szCs w:val="24"/>
        </w:rPr>
        <w:t xml:space="preserve"> ante </w:t>
      </w:r>
      <w:r w:rsidRPr="005E2ED7">
        <w:rPr>
          <w:rFonts w:ascii="Palatino Linotype" w:eastAsia="Palatino Linotype" w:hAnsi="Palatino Linotype" w:cs="Palatino Linotype"/>
          <w:b/>
          <w:sz w:val="24"/>
          <w:szCs w:val="24"/>
        </w:rPr>
        <w:t>EL SUJETO OBLIGADO</w:t>
      </w:r>
      <w:r w:rsidRPr="005E2ED7">
        <w:rPr>
          <w:rFonts w:ascii="Palatino Linotype" w:eastAsia="Palatino Linotype" w:hAnsi="Palatino Linotype" w:cs="Palatino Linotype"/>
          <w:sz w:val="24"/>
          <w:szCs w:val="24"/>
        </w:rPr>
        <w:t>, solicitud de acceso a la información pública, registrada bajo el número de expediente</w:t>
      </w:r>
      <w:r w:rsidRPr="005E2ED7">
        <w:rPr>
          <w:rFonts w:ascii="Palatino Linotype" w:eastAsia="Palatino Linotype" w:hAnsi="Palatino Linotype" w:cs="Palatino Linotype"/>
          <w:b/>
          <w:sz w:val="24"/>
          <w:szCs w:val="24"/>
        </w:rPr>
        <w:t xml:space="preserve"> 00270/TLALNEPA/IP/2022</w:t>
      </w:r>
      <w:r w:rsidRPr="005E2ED7">
        <w:rPr>
          <w:rFonts w:ascii="Palatino Linotype" w:eastAsia="Palatino Linotype" w:hAnsi="Palatino Linotype" w:cs="Palatino Linotype"/>
          <w:sz w:val="24"/>
          <w:szCs w:val="24"/>
        </w:rPr>
        <w:t>,</w:t>
      </w:r>
      <w:r w:rsidRPr="005E2ED7">
        <w:rPr>
          <w:rFonts w:ascii="Palatino Linotype" w:eastAsia="Palatino Linotype" w:hAnsi="Palatino Linotype" w:cs="Palatino Linotype"/>
          <w:b/>
          <w:sz w:val="24"/>
          <w:szCs w:val="24"/>
        </w:rPr>
        <w:t xml:space="preserve"> </w:t>
      </w:r>
      <w:r w:rsidRPr="005E2ED7">
        <w:rPr>
          <w:rFonts w:ascii="Palatino Linotype" w:eastAsia="Palatino Linotype" w:hAnsi="Palatino Linotype" w:cs="Palatino Linotype"/>
          <w:sz w:val="24"/>
          <w:szCs w:val="24"/>
        </w:rPr>
        <w:t>mediante el cual solicitó información en el siguiente tenor:</w:t>
      </w:r>
    </w:p>
    <w:p w:rsidR="00B23E83" w:rsidRPr="005E2ED7" w:rsidRDefault="00B907A0">
      <w:pPr>
        <w:spacing w:before="240" w:after="240" w:line="276"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 “Solicito la experiencia en temas de Transparencia de C. Alberto y C. Clara su curriculum vitae y toda la documentación con la que fue dada de alta en recursos humanos y su certificación en materia de transparencia así también solicito me </w:t>
      </w:r>
      <w:r w:rsidRPr="005E2ED7">
        <w:rPr>
          <w:rFonts w:ascii="Palatino Linotype" w:eastAsia="Palatino Linotype" w:hAnsi="Palatino Linotype" w:cs="Palatino Linotype"/>
          <w:i/>
        </w:rPr>
        <w:lastRenderedPageBreak/>
        <w:t>envié su reglamento o lineamientos con los que fundamentan sus contestaciones. “(Sic)</w:t>
      </w:r>
    </w:p>
    <w:p w:rsidR="00B23E83" w:rsidRPr="005E2ED7" w:rsidRDefault="00B907A0">
      <w:pPr>
        <w:spacing w:before="240" w:after="24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 xml:space="preserve">2. DE LA SOLICITUD DE ACLARACIÓN. </w:t>
      </w:r>
      <w:r w:rsidRPr="005E2ED7">
        <w:rPr>
          <w:rFonts w:ascii="Palatino Linotype" w:eastAsia="Palatino Linotype" w:hAnsi="Palatino Linotype" w:cs="Palatino Linotype"/>
          <w:sz w:val="24"/>
          <w:szCs w:val="24"/>
        </w:rPr>
        <w:t xml:space="preserve">Con fecha catorce de marzo del dos mil veintidós, </w:t>
      </w:r>
      <w:r w:rsidRPr="005E2ED7">
        <w:rPr>
          <w:rFonts w:ascii="Palatino Linotype" w:eastAsia="Palatino Linotype" w:hAnsi="Palatino Linotype" w:cs="Palatino Linotype"/>
          <w:b/>
          <w:sz w:val="24"/>
          <w:szCs w:val="24"/>
        </w:rPr>
        <w:t>EL SUJETO OBLIGADO</w:t>
      </w:r>
      <w:r w:rsidRPr="005E2ED7">
        <w:rPr>
          <w:rFonts w:ascii="Palatino Linotype" w:eastAsia="Palatino Linotype" w:hAnsi="Palatino Linotype" w:cs="Palatino Linotype"/>
          <w:sz w:val="24"/>
          <w:szCs w:val="24"/>
        </w:rPr>
        <w:t xml:space="preserve"> solicitó aclaración, a través del SAIMEX, a la solicitud de acceso a la información de la siguiente manera:</w:t>
      </w:r>
      <w:r w:rsidRPr="005E2ED7">
        <w:t xml:space="preserve"> </w:t>
      </w:r>
    </w:p>
    <w:p w:rsidR="00B23E83" w:rsidRPr="005E2ED7" w:rsidRDefault="00B907A0">
      <w:pPr>
        <w:spacing w:after="0" w:line="276"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“Con fundamento en el articulo 159 de la Ley de Transparencia y Acceso a la Información Pública del Estado de México y Municipios, se le requiere para que dentro del plazo de diez días hábiles realice lo siguiente:</w:t>
      </w:r>
    </w:p>
    <w:p w:rsidR="00B23E83" w:rsidRPr="005E2ED7" w:rsidRDefault="00B23E83">
      <w:pPr>
        <w:spacing w:after="0" w:line="276" w:lineRule="auto"/>
        <w:ind w:left="851" w:right="900"/>
        <w:jc w:val="both"/>
        <w:rPr>
          <w:rFonts w:ascii="Palatino Linotype" w:eastAsia="Palatino Linotype" w:hAnsi="Palatino Linotype" w:cs="Palatino Linotype"/>
          <w:i/>
        </w:rPr>
      </w:pPr>
    </w:p>
    <w:p w:rsidR="00B23E83" w:rsidRPr="005E2ED7" w:rsidRDefault="00B907A0">
      <w:pPr>
        <w:spacing w:after="0" w:line="276"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Por este medio reciba un cordial saludo y asimismo de conformidad con el articulo 159 primer párrafo de la Ley de Transparencia y Acceso a la Información Publica del Estado de México y Municipios, que a la letra dice: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De lo anterior, solicito de la manera más respetuosa tenga a bien de especificar el nombre completo de las personas de las cuales requiere la información, toda vez que se cuenta con una plantilla de más de 3mil servidores públicos.</w:t>
      </w:r>
    </w:p>
    <w:p w:rsidR="00B23E83" w:rsidRPr="005E2ED7" w:rsidRDefault="00B23E83">
      <w:pPr>
        <w:spacing w:after="0" w:line="276" w:lineRule="auto"/>
        <w:ind w:left="851" w:right="900"/>
        <w:jc w:val="both"/>
        <w:rPr>
          <w:rFonts w:ascii="Palatino Linotype" w:eastAsia="Palatino Linotype" w:hAnsi="Palatino Linotype" w:cs="Palatino Linotype"/>
          <w:i/>
        </w:rPr>
      </w:pPr>
    </w:p>
    <w:p w:rsidR="00B23E83" w:rsidRPr="005E2ED7" w:rsidRDefault="00B907A0">
      <w:pPr>
        <w:spacing w:after="0" w:line="276"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B23E83" w:rsidRPr="005E2ED7" w:rsidRDefault="00B23E83">
      <w:pPr>
        <w:spacing w:after="0" w:line="276" w:lineRule="auto"/>
        <w:ind w:left="851" w:right="900"/>
        <w:jc w:val="both"/>
        <w:rPr>
          <w:rFonts w:ascii="Palatino Linotype" w:eastAsia="Palatino Linotype" w:hAnsi="Palatino Linotype" w:cs="Palatino Linotype"/>
          <w:i/>
        </w:rPr>
      </w:pPr>
    </w:p>
    <w:p w:rsidR="00B23E83" w:rsidRPr="005E2ED7" w:rsidRDefault="00B907A0">
      <w:pPr>
        <w:spacing w:after="0" w:line="276"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ATENTAMENTE</w:t>
      </w:r>
    </w:p>
    <w:p w:rsidR="00B23E83" w:rsidRPr="005E2ED7" w:rsidRDefault="00B907A0">
      <w:pPr>
        <w:spacing w:after="0" w:line="276"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MTRA. CLARA CAMACHO MÉNDEZ”(Sic) </w:t>
      </w:r>
    </w:p>
    <w:p w:rsidR="00B23E83" w:rsidRPr="005E2ED7" w:rsidRDefault="00B23E83">
      <w:pPr>
        <w:spacing w:after="0" w:line="276" w:lineRule="auto"/>
        <w:ind w:left="851" w:right="900"/>
        <w:jc w:val="both"/>
        <w:rPr>
          <w:rFonts w:ascii="Palatino Linotype" w:eastAsia="Palatino Linotype" w:hAnsi="Palatino Linotype" w:cs="Palatino Linotype"/>
          <w:i/>
        </w:rPr>
      </w:pPr>
    </w:p>
    <w:p w:rsidR="00B23E83" w:rsidRPr="005E2ED7" w:rsidRDefault="00B907A0">
      <w:pPr>
        <w:spacing w:after="0" w:line="360" w:lineRule="auto"/>
        <w:jc w:val="both"/>
        <w:rPr>
          <w:rFonts w:ascii="Palatino Linotype" w:eastAsia="Palatino Linotype" w:hAnsi="Palatino Linotype" w:cs="Palatino Linotype"/>
          <w:b/>
          <w:sz w:val="28"/>
          <w:szCs w:val="28"/>
        </w:rPr>
      </w:pPr>
      <w:r w:rsidRPr="005E2ED7">
        <w:rPr>
          <w:rFonts w:ascii="Palatino Linotype" w:eastAsia="Palatino Linotype" w:hAnsi="Palatino Linotype" w:cs="Palatino Linotype"/>
          <w:b/>
          <w:sz w:val="24"/>
          <w:szCs w:val="24"/>
        </w:rPr>
        <w:lastRenderedPageBreak/>
        <w:t>3. DE LA RESPUESTA DE ACLARACIÓN</w:t>
      </w:r>
      <w:r w:rsidRPr="005E2ED7">
        <w:rPr>
          <w:rFonts w:ascii="Palatino Linotype" w:eastAsia="Palatino Linotype" w:hAnsi="Palatino Linotype" w:cs="Palatino Linotype"/>
          <w:b/>
          <w:sz w:val="28"/>
          <w:szCs w:val="28"/>
        </w:rPr>
        <w:t xml:space="preserve">. </w:t>
      </w:r>
      <w:r w:rsidRPr="005E2ED7">
        <w:rPr>
          <w:rFonts w:ascii="Palatino Linotype" w:eastAsia="Palatino Linotype" w:hAnsi="Palatino Linotype" w:cs="Palatino Linotype"/>
          <w:sz w:val="24"/>
          <w:szCs w:val="24"/>
        </w:rPr>
        <w:t>Con quince de marzo del dos mil veintidós, el particular remitió su aclaración en los siguientes términos:</w:t>
      </w:r>
    </w:p>
    <w:p w:rsidR="00B23E83" w:rsidRPr="005E2ED7" w:rsidRDefault="00B907A0">
      <w:pPr>
        <w:spacing w:before="240" w:after="240" w:line="276"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“HE SIDO MUY CLARO CON MI SOLICITUD DDBERIAN DE ANALIZAR ANTES DE MANDARLA ACLARAR SOLICITE TODA LA DOCUMENTACION CON LA QUE SE DIO DE ALTA EN RECURSOS HUMANOS, RECIBOS DE NOMINA, EXPERIENCIA EN MATERIA DE TRANSPARENCIA, CURRICULUM, DE LA TITULAR DE TRANSPARENCIA CLARA Y EL TRABAJADOR QUE TIENE AHI ALBERTO (CREO QUE ES CLARO A QUIEN ME REFIERO LINEAMINETOS A LOS QUE SE BASAN, AVISOS DE PRIVASIDAD QUE ELLOS GENERARON, CBDP DE TODAS LAS AREAS, DOCUMENTO DE SEGURIDAD DE TRANSPARENCIA, MANUAL DE PRCEDIMIENTOS Y SUS PBRM, TRAMITES Y SERVICIOS” (Sic)</w:t>
      </w:r>
    </w:p>
    <w:p w:rsidR="00B23E83" w:rsidRPr="005E2ED7" w:rsidRDefault="00B907A0">
      <w:pPr>
        <w:spacing w:before="120" w:after="120" w:line="360" w:lineRule="auto"/>
        <w:ind w:right="-234"/>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t xml:space="preserve">4. RESPUESTA. </w:t>
      </w:r>
      <w:r w:rsidRPr="005E2ED7">
        <w:rPr>
          <w:rFonts w:ascii="Palatino Linotype" w:eastAsia="Palatino Linotype" w:hAnsi="Palatino Linotype" w:cs="Palatino Linotype"/>
          <w:sz w:val="24"/>
          <w:szCs w:val="24"/>
        </w:rPr>
        <w:t xml:space="preserve">Con fecha seis de abril del dos mil veintidós, 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otorgó, a través del SAIMEX, respuesta a la solicitud de acceso a la información de la siguiente manera:</w:t>
      </w:r>
    </w:p>
    <w:p w:rsidR="00B23E83" w:rsidRPr="005E2ED7" w:rsidRDefault="00B907A0">
      <w:pPr>
        <w:spacing w:before="120" w:after="120" w:line="276" w:lineRule="auto"/>
        <w:ind w:left="851" w:right="1041"/>
        <w:jc w:val="both"/>
        <w:rPr>
          <w:rFonts w:ascii="Palatino Linotype" w:eastAsia="Palatino Linotype" w:hAnsi="Palatino Linotype" w:cs="Palatino Linotype"/>
          <w:b/>
          <w:i/>
          <w:u w:val="single"/>
        </w:rPr>
      </w:pPr>
      <w:r w:rsidRPr="005E2ED7">
        <w:rPr>
          <w:rFonts w:ascii="Palatino Linotype" w:eastAsia="Palatino Linotype" w:hAnsi="Palatino Linotype" w:cs="Palatino Linotype"/>
          <w:i/>
        </w:rPr>
        <w:t xml:space="preserve">“Por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 sin embargo </w:t>
      </w:r>
      <w:r w:rsidRPr="005E2ED7">
        <w:rPr>
          <w:rFonts w:ascii="Palatino Linotype" w:eastAsia="Palatino Linotype" w:hAnsi="Palatino Linotype" w:cs="Palatino Linotype"/>
          <w:b/>
          <w:i/>
          <w:u w:val="single"/>
        </w:rPr>
        <w:t>le informo que del total de 80 hojas señaladas como resultado de la búsqueda de documentación requerida, se le descontaron la gratuidad de las 20 hojas simples, de conformidad con el articulo 174 ultimo párrafo de la Ley de Transparencia y Acceso a la Información Publica del Estado de México y Municipios</w:t>
      </w:r>
    </w:p>
    <w:p w:rsidR="00B23E83" w:rsidRPr="005E2ED7" w:rsidRDefault="00B907A0">
      <w:pPr>
        <w:spacing w:before="120" w:after="120" w:line="276" w:lineRule="auto"/>
        <w:ind w:left="851" w:right="1041"/>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ATENTAMENTE</w:t>
      </w:r>
    </w:p>
    <w:p w:rsidR="00B23E83" w:rsidRPr="005E2ED7" w:rsidRDefault="00B907A0">
      <w:pPr>
        <w:spacing w:before="120" w:after="120" w:line="276" w:lineRule="auto"/>
        <w:ind w:left="851" w:right="1041"/>
        <w:jc w:val="both"/>
        <w:rPr>
          <w:rFonts w:ascii="Palatino Linotype" w:eastAsia="Palatino Linotype" w:hAnsi="Palatino Linotype" w:cs="Palatino Linotype"/>
          <w:i/>
        </w:rPr>
      </w:pPr>
      <w:r w:rsidRPr="005E2ED7">
        <w:rPr>
          <w:rFonts w:ascii="Palatino Linotype" w:eastAsia="Palatino Linotype" w:hAnsi="Palatino Linotype" w:cs="Palatino Linotype"/>
          <w:i/>
        </w:rPr>
        <w:t>MTRA. CLARA CAMACHO MÉNDEZ</w:t>
      </w:r>
    </w:p>
    <w:p w:rsidR="00B23E83" w:rsidRPr="005E2ED7" w:rsidRDefault="00B907A0">
      <w:pPr>
        <w:spacing w:before="120" w:after="120" w:line="276" w:lineRule="auto"/>
        <w:ind w:left="851" w:right="1041"/>
        <w:jc w:val="both"/>
        <w:rPr>
          <w:rFonts w:ascii="Palatino Linotype" w:eastAsia="Palatino Linotype" w:hAnsi="Palatino Linotype" w:cs="Palatino Linotype"/>
          <w:i/>
        </w:rPr>
      </w:pPr>
      <w:r w:rsidRPr="005E2ED7">
        <w:rPr>
          <w:rFonts w:ascii="Palatino Linotype" w:eastAsia="Palatino Linotype" w:hAnsi="Palatino Linotype" w:cs="Palatino Linotype"/>
          <w:i/>
        </w:rPr>
        <w:t>Responsable de la Unidad de Transparencia</w:t>
      </w:r>
    </w:p>
    <w:p w:rsidR="00B23E83" w:rsidRPr="005E2ED7" w:rsidRDefault="00B907A0">
      <w:pPr>
        <w:spacing w:before="120" w:after="120" w:line="276" w:lineRule="auto"/>
        <w:ind w:left="851" w:right="1041"/>
        <w:jc w:val="both"/>
        <w:rPr>
          <w:rFonts w:ascii="Palatino Linotype" w:eastAsia="Palatino Linotype" w:hAnsi="Palatino Linotype" w:cs="Palatino Linotype"/>
          <w:i/>
        </w:rPr>
      </w:pPr>
      <w:r w:rsidRPr="005E2ED7">
        <w:rPr>
          <w:rFonts w:ascii="Palatino Linotype" w:eastAsia="Palatino Linotype" w:hAnsi="Palatino Linotype" w:cs="Palatino Linotype"/>
          <w:i/>
        </w:rPr>
        <w:t>Ayuntamiento de Tlalnepantla de Baz” (Sic).</w:t>
      </w:r>
    </w:p>
    <w:p w:rsidR="00B23E83" w:rsidRPr="005E2ED7" w:rsidRDefault="00B23E83">
      <w:pPr>
        <w:spacing w:before="120" w:after="0" w:line="360" w:lineRule="auto"/>
        <w:ind w:left="851" w:right="1041"/>
        <w:jc w:val="both"/>
        <w:rPr>
          <w:rFonts w:ascii="Palatino Linotype" w:eastAsia="Palatino Linotype" w:hAnsi="Palatino Linotype" w:cs="Palatino Linotype"/>
          <w:i/>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El Sujeto Obligado para tal efecto adjuntó el siguiente archivo electrónico denominado:</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ED7BD2">
      <w:pPr>
        <w:spacing w:after="80" w:line="360" w:lineRule="auto"/>
        <w:jc w:val="both"/>
        <w:rPr>
          <w:rFonts w:ascii="Palatino Linotype" w:eastAsia="Palatino Linotype" w:hAnsi="Palatino Linotype" w:cs="Palatino Linotype"/>
          <w:sz w:val="24"/>
          <w:szCs w:val="24"/>
        </w:rPr>
      </w:pPr>
      <w:hyperlink r:id="rId8">
        <w:r w:rsidR="00B907A0" w:rsidRPr="005E2ED7">
          <w:rPr>
            <w:rFonts w:ascii="Palatino Linotype" w:eastAsia="Palatino Linotype" w:hAnsi="Palatino Linotype" w:cs="Palatino Linotype"/>
            <w:b/>
            <w:i/>
            <w:sz w:val="24"/>
            <w:szCs w:val="24"/>
            <w:u w:val="single"/>
          </w:rPr>
          <w:t>SAIMEX 00270.zip</w:t>
        </w:r>
      </w:hyperlink>
      <w:r w:rsidR="00B907A0" w:rsidRPr="005E2ED7">
        <w:rPr>
          <w:rFonts w:ascii="Palatino Linotype" w:eastAsia="Palatino Linotype" w:hAnsi="Palatino Linotype" w:cs="Palatino Linotype"/>
          <w:b/>
          <w:i/>
          <w:sz w:val="24"/>
          <w:szCs w:val="24"/>
          <w:u w:val="single"/>
        </w:rPr>
        <w:t xml:space="preserve"> </w:t>
      </w:r>
      <w:r w:rsidR="00B907A0" w:rsidRPr="005E2ED7">
        <w:rPr>
          <w:rFonts w:ascii="Palatino Linotype" w:eastAsia="Palatino Linotype" w:hAnsi="Palatino Linotype" w:cs="Palatino Linotype"/>
          <w:sz w:val="24"/>
          <w:szCs w:val="24"/>
        </w:rPr>
        <w:t xml:space="preserve">El cual contiene el oficio DA/001706/2022 de fecha primero de abril de dos mil veintidós, signado por el Titular de la Dirección de Administración mediante el cual refiere que la modalidad de reproducción atrae un costo de $46.18 pesos moneda nacional derivado de que se generaron ochenta páginas en razón de la información solicitada y ubicada por el área de recursos humanos, fundamentando dicha situación de conformidad al Código Financiero del Estado de México. </w:t>
      </w:r>
    </w:p>
    <w:p w:rsidR="00B23E83" w:rsidRPr="005E2ED7" w:rsidRDefault="00B23E83">
      <w:pPr>
        <w:spacing w:after="8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ind w:right="-234"/>
        <w:jc w:val="both"/>
        <w:rPr>
          <w:rFonts w:ascii="Palatino Linotype" w:eastAsia="Palatino Linotype" w:hAnsi="Palatino Linotype" w:cs="Palatino Linotype"/>
          <w:sz w:val="24"/>
          <w:szCs w:val="24"/>
        </w:rPr>
      </w:pPr>
      <w:bookmarkStart w:id="1" w:name="_heading=h.gjdgxs" w:colFirst="0" w:colLast="0"/>
      <w:bookmarkEnd w:id="1"/>
      <w:r w:rsidRPr="005E2ED7">
        <w:rPr>
          <w:rFonts w:ascii="Palatino Linotype" w:eastAsia="Palatino Linotype" w:hAnsi="Palatino Linotype" w:cs="Palatino Linotype"/>
          <w:b/>
          <w:sz w:val="24"/>
          <w:szCs w:val="24"/>
        </w:rPr>
        <w:t xml:space="preserve">5. RECURSO DE REVISIÓN. </w:t>
      </w:r>
      <w:r w:rsidRPr="005E2ED7">
        <w:rPr>
          <w:rFonts w:ascii="Palatino Linotype" w:eastAsia="Palatino Linotype" w:hAnsi="Palatino Linotype" w:cs="Palatino Linotype"/>
          <w:sz w:val="24"/>
          <w:szCs w:val="24"/>
        </w:rPr>
        <w:t>Inconforme con la respuesta del</w:t>
      </w:r>
      <w:r w:rsidRPr="005E2ED7">
        <w:rPr>
          <w:rFonts w:ascii="Palatino Linotype" w:eastAsia="Palatino Linotype" w:hAnsi="Palatino Linotype" w:cs="Palatino Linotype"/>
          <w:b/>
          <w:sz w:val="24"/>
          <w:szCs w:val="24"/>
        </w:rPr>
        <w:t xml:space="preserve"> SUJETO OBLIGADO, </w:t>
      </w:r>
      <w:r w:rsidRPr="005E2ED7">
        <w:rPr>
          <w:rFonts w:ascii="Palatino Linotype" w:eastAsia="Palatino Linotype" w:hAnsi="Palatino Linotype" w:cs="Palatino Linotype"/>
          <w:sz w:val="24"/>
          <w:szCs w:val="24"/>
        </w:rPr>
        <w:t>en fecha seis de abril de dos mil veintidós,</w:t>
      </w:r>
      <w:r w:rsidRPr="005E2ED7">
        <w:rPr>
          <w:rFonts w:ascii="Palatino Linotype" w:eastAsia="Palatino Linotype" w:hAnsi="Palatino Linotype" w:cs="Palatino Linotype"/>
          <w:b/>
          <w:sz w:val="24"/>
          <w:szCs w:val="24"/>
        </w:rPr>
        <w:t xml:space="preserve"> EL RECURRENTE </w:t>
      </w:r>
      <w:r w:rsidRPr="005E2ED7">
        <w:rPr>
          <w:rFonts w:ascii="Palatino Linotype" w:eastAsia="Palatino Linotype" w:hAnsi="Palatino Linotype" w:cs="Palatino Linotype"/>
          <w:sz w:val="24"/>
          <w:szCs w:val="24"/>
        </w:rPr>
        <w:t>interpuso el recurso de revisión, el cual fue registrado</w:t>
      </w:r>
      <w:r w:rsidRPr="005E2ED7">
        <w:rPr>
          <w:rFonts w:ascii="Palatino Linotype" w:eastAsia="Palatino Linotype" w:hAnsi="Palatino Linotype" w:cs="Palatino Linotype"/>
          <w:b/>
          <w:sz w:val="24"/>
          <w:szCs w:val="24"/>
        </w:rPr>
        <w:t xml:space="preserve"> </w:t>
      </w:r>
      <w:r w:rsidRPr="005E2ED7">
        <w:rPr>
          <w:rFonts w:ascii="Palatino Linotype" w:eastAsia="Palatino Linotype" w:hAnsi="Palatino Linotype" w:cs="Palatino Linotype"/>
          <w:sz w:val="24"/>
          <w:szCs w:val="24"/>
        </w:rPr>
        <w:t xml:space="preserve">en el sistema electrónico con el expediente número </w:t>
      </w:r>
      <w:r w:rsidRPr="005E2ED7">
        <w:rPr>
          <w:rFonts w:ascii="Palatino Linotype" w:eastAsia="Palatino Linotype" w:hAnsi="Palatino Linotype" w:cs="Palatino Linotype"/>
          <w:b/>
          <w:sz w:val="24"/>
          <w:szCs w:val="24"/>
        </w:rPr>
        <w:t>05614/INFOEM/IP/RR/2022</w:t>
      </w:r>
      <w:r w:rsidRPr="005E2ED7">
        <w:rPr>
          <w:rFonts w:ascii="Palatino Linotype" w:eastAsia="Palatino Linotype" w:hAnsi="Palatino Linotype" w:cs="Palatino Linotype"/>
          <w:sz w:val="24"/>
          <w:szCs w:val="24"/>
        </w:rPr>
        <w:t>, en el cual manifiesta, lo siguiente:</w:t>
      </w:r>
    </w:p>
    <w:p w:rsidR="00B23E83" w:rsidRPr="005E2ED7" w:rsidRDefault="00B23E83">
      <w:pPr>
        <w:spacing w:after="0" w:line="360" w:lineRule="auto"/>
        <w:ind w:right="-234"/>
        <w:jc w:val="both"/>
        <w:rPr>
          <w:rFonts w:ascii="Palatino Linotype" w:eastAsia="Palatino Linotype" w:hAnsi="Palatino Linotype" w:cs="Palatino Linotype"/>
          <w:sz w:val="24"/>
          <w:szCs w:val="24"/>
        </w:rPr>
      </w:pPr>
    </w:p>
    <w:p w:rsidR="00B23E83" w:rsidRPr="005E2ED7" w:rsidRDefault="00B907A0">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5E2ED7">
        <w:rPr>
          <w:rFonts w:ascii="Palatino Linotype" w:eastAsia="Palatino Linotype" w:hAnsi="Palatino Linotype" w:cs="Palatino Linotype"/>
          <w:b/>
          <w:i/>
          <w:sz w:val="24"/>
          <w:szCs w:val="24"/>
        </w:rPr>
        <w:t>Acto Impugnado:</w:t>
      </w:r>
    </w:p>
    <w:p w:rsidR="00B23E83" w:rsidRPr="005E2ED7" w:rsidRDefault="00B907A0">
      <w:pPr>
        <w:spacing w:before="240" w:after="240" w:line="276" w:lineRule="auto"/>
        <w:ind w:left="851" w:right="616"/>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“Que poco ético y falta de conocimiento y capacidad tienes Clara dar una contestación tan burla, es claro la falta de conocimiento que tienes en la materia no te confundas con la ley y la uses a tu modo la ley es muy clara y si revisas existe modalidades de entrega de la información y en ningún momento solicite yo que fuera por pago, pido al instituto y al comisionado que revise este recurso que obligue a la "Maestra Clara" entregar la respuesta de mi solicitud así mismo impondré una denuncia por la violación de mi derechos y publicare la respuesta que me enviaron y el Presidente sepa el tipo de personal que tiene laborando gracias.” [sic]</w:t>
      </w:r>
    </w:p>
    <w:p w:rsidR="00B23E83" w:rsidRPr="005E2ED7" w:rsidRDefault="00B907A0">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5E2ED7">
        <w:rPr>
          <w:rFonts w:ascii="Palatino Linotype" w:eastAsia="Palatino Linotype" w:hAnsi="Palatino Linotype" w:cs="Palatino Linotype"/>
          <w:b/>
          <w:i/>
          <w:sz w:val="24"/>
          <w:szCs w:val="24"/>
        </w:rPr>
        <w:t>Razones o Motivos de Inconformidad</w:t>
      </w:r>
      <w:r w:rsidRPr="005E2ED7">
        <w:rPr>
          <w:rFonts w:ascii="Palatino Linotype" w:eastAsia="Palatino Linotype" w:hAnsi="Palatino Linotype" w:cs="Palatino Linotype"/>
          <w:i/>
          <w:sz w:val="24"/>
          <w:szCs w:val="24"/>
        </w:rPr>
        <w:t>:</w:t>
      </w:r>
    </w:p>
    <w:p w:rsidR="00B23E83" w:rsidRPr="005E2ED7" w:rsidRDefault="00B907A0">
      <w:pPr>
        <w:spacing w:after="0" w:line="276" w:lineRule="auto"/>
        <w:ind w:left="851" w:right="616"/>
        <w:jc w:val="both"/>
        <w:rPr>
          <w:rFonts w:ascii="Palatino Linotype" w:eastAsia="Palatino Linotype" w:hAnsi="Palatino Linotype" w:cs="Palatino Linotype"/>
          <w:i/>
        </w:rPr>
      </w:pPr>
      <w:r w:rsidRPr="005E2ED7">
        <w:rPr>
          <w:rFonts w:ascii="Palatino Linotype" w:eastAsia="Palatino Linotype" w:hAnsi="Palatino Linotype" w:cs="Palatino Linotype"/>
          <w:i/>
          <w:sz w:val="24"/>
          <w:szCs w:val="24"/>
        </w:rPr>
        <w:t>“</w:t>
      </w:r>
      <w:r w:rsidRPr="005E2ED7">
        <w:rPr>
          <w:rFonts w:ascii="Palatino Linotype" w:eastAsia="Palatino Linotype" w:hAnsi="Palatino Linotype" w:cs="Palatino Linotype"/>
          <w:i/>
        </w:rPr>
        <w:t>Que poco ético y falta de conocimiento y capacidad tienes Clara dar una contestación tan burla, es claro la falta de conocimiento que tienes en la materia no te confundas con la ley y la uses a tu modo la ley es muy clara y si revisas existe modalidades de entrega de la información y en ningún momento solicite yo que fuera por pago, pido al instituto y al comisionado que revise este recurso que obligue a la "Maestra Clara" entregar la respuesta de mi solicitud así mismo impondré una denuncia por la violación de mi derechos y publicare la respuesta que me enviaron y el Presidente sepa el tipo de personal que tiene laborando gracias.” [sic]</w:t>
      </w:r>
    </w:p>
    <w:p w:rsidR="00B23E83" w:rsidRPr="005E2ED7" w:rsidRDefault="00B23E83">
      <w:pPr>
        <w:spacing w:after="8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bookmarkStart w:id="2" w:name="_heading=h.30j0zll" w:colFirst="0" w:colLast="0"/>
      <w:bookmarkEnd w:id="2"/>
      <w:r w:rsidRPr="005E2ED7">
        <w:rPr>
          <w:rFonts w:ascii="Palatino Linotype" w:eastAsia="Palatino Linotype" w:hAnsi="Palatino Linotype" w:cs="Palatino Linotype"/>
          <w:b/>
          <w:sz w:val="24"/>
          <w:szCs w:val="24"/>
        </w:rPr>
        <w:t xml:space="preserve">6. TURNO. </w:t>
      </w:r>
      <w:r w:rsidRPr="005E2ED7">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5E2ED7">
        <w:rPr>
          <w:rFonts w:ascii="Palatino Linotype" w:eastAsia="Palatino Linotype" w:hAnsi="Palatino Linotype" w:cs="Palatino Linotype"/>
          <w:b/>
          <w:sz w:val="24"/>
          <w:szCs w:val="24"/>
        </w:rPr>
        <w:t>05614/INFOEM/IP/RR/2022</w:t>
      </w:r>
      <w:r w:rsidRPr="005E2ED7">
        <w:rPr>
          <w:rFonts w:ascii="Palatino Linotype" w:eastAsia="Palatino Linotype" w:hAnsi="Palatino Linotype" w:cs="Palatino Linotype"/>
          <w:sz w:val="24"/>
          <w:szCs w:val="24"/>
        </w:rPr>
        <w:t xml:space="preserve"> fue turnado a la Comisionada </w:t>
      </w:r>
      <w:r w:rsidRPr="005E2ED7">
        <w:rPr>
          <w:rFonts w:ascii="Palatino Linotype" w:eastAsia="Palatino Linotype" w:hAnsi="Palatino Linotype" w:cs="Palatino Linotype"/>
          <w:b/>
          <w:sz w:val="24"/>
          <w:szCs w:val="24"/>
        </w:rPr>
        <w:t>Guadalupe Ramírez Peña</w:t>
      </w:r>
      <w:r w:rsidRPr="005E2ED7">
        <w:rPr>
          <w:rFonts w:ascii="Palatino Linotype" w:eastAsia="Palatino Linotype" w:hAnsi="Palatino Linotype" w:cs="Palatino Linotype"/>
          <w:sz w:val="24"/>
          <w:szCs w:val="24"/>
        </w:rPr>
        <w:t>; a efecto de presentar al Pleno el proyecto de resolución correspondiente.</w:t>
      </w:r>
    </w:p>
    <w:p w:rsidR="00B23E83" w:rsidRPr="005E2ED7" w:rsidRDefault="00B23E83">
      <w:pPr>
        <w:spacing w:after="8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bookmarkStart w:id="3" w:name="_heading=h.1fob9te" w:colFirst="0" w:colLast="0"/>
      <w:bookmarkEnd w:id="3"/>
      <w:r w:rsidRPr="005E2ED7">
        <w:rPr>
          <w:rFonts w:ascii="Palatino Linotype" w:eastAsia="Palatino Linotype" w:hAnsi="Palatino Linotype" w:cs="Palatino Linotype"/>
          <w:b/>
          <w:sz w:val="24"/>
          <w:szCs w:val="24"/>
        </w:rPr>
        <w:t xml:space="preserve">7. ADMISIÓN. </w:t>
      </w:r>
      <w:r w:rsidRPr="005E2ED7">
        <w:rPr>
          <w:rFonts w:ascii="Palatino Linotype" w:eastAsia="Palatino Linotype" w:hAnsi="Palatino Linotype" w:cs="Palatino Linotype"/>
          <w:sz w:val="24"/>
          <w:szCs w:val="24"/>
        </w:rPr>
        <w:t xml:space="preserve">En fecha </w:t>
      </w:r>
      <w:r w:rsidRPr="005E2ED7">
        <w:rPr>
          <w:rFonts w:ascii="Palatino Linotype" w:eastAsia="Palatino Linotype" w:hAnsi="Palatino Linotype" w:cs="Palatino Linotype"/>
          <w:b/>
          <w:sz w:val="24"/>
          <w:szCs w:val="24"/>
        </w:rPr>
        <w:t>dieciocho de abril dos mil veintidós</w:t>
      </w:r>
      <w:r w:rsidRPr="005E2ED7">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admitió a trámite el recurso de revisión al rubro indicado</w:t>
      </w:r>
      <w:r w:rsidRPr="005E2ED7">
        <w:rPr>
          <w:rFonts w:ascii="Palatino Linotype" w:eastAsia="Palatino Linotype" w:hAnsi="Palatino Linotype" w:cs="Palatino Linotype"/>
          <w:b/>
          <w:sz w:val="24"/>
          <w:szCs w:val="24"/>
        </w:rPr>
        <w:t>.</w:t>
      </w:r>
    </w:p>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360" w:lineRule="auto"/>
        <w:ind w:right="-234"/>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t>8. MANIFESTACIONES.</w:t>
      </w:r>
      <w:r w:rsidRPr="005E2ED7">
        <w:rPr>
          <w:rFonts w:ascii="Palatino Linotype" w:eastAsia="Palatino Linotype" w:hAnsi="Palatino Linotype" w:cs="Palatino Linotype"/>
          <w:sz w:val="24"/>
          <w:szCs w:val="24"/>
        </w:rPr>
        <w:t xml:space="preserve"> El veintisiete de abril y el siete de abril de dos mil veintidós, se recibió, a través del Sistema de Acceso a la Información Mexiquense (SAIMEX), el Informe Justificado del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mediante los siguientes archivos electrónicos: </w:t>
      </w:r>
    </w:p>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i/>
          <w:sz w:val="24"/>
          <w:szCs w:val="24"/>
          <w:u w:val="single"/>
        </w:rPr>
        <w:t xml:space="preserve">MANIFESTACIONES.zip: </w:t>
      </w:r>
      <w:r w:rsidRPr="005E2ED7">
        <w:rPr>
          <w:rFonts w:ascii="Palatino Linotype" w:eastAsia="Palatino Linotype" w:hAnsi="Palatino Linotype" w:cs="Palatino Linotype"/>
          <w:sz w:val="24"/>
          <w:szCs w:val="24"/>
        </w:rPr>
        <w:t xml:space="preserve">Cabe resaltar que dicho archivo no se puso a la vista </w:t>
      </w:r>
      <w:r w:rsidRPr="005E2ED7">
        <w:rPr>
          <w:rFonts w:ascii="Palatino Linotype" w:eastAsia="Palatino Linotype" w:hAnsi="Palatino Linotype" w:cs="Palatino Linotype"/>
          <w:b/>
          <w:sz w:val="24"/>
          <w:szCs w:val="24"/>
        </w:rPr>
        <w:t xml:space="preserve">RECURRENTE, </w:t>
      </w:r>
      <w:r w:rsidRPr="005E2ED7">
        <w:rPr>
          <w:rFonts w:ascii="Palatino Linotype" w:eastAsia="Palatino Linotype" w:hAnsi="Palatino Linotype" w:cs="Palatino Linotype"/>
          <w:sz w:val="24"/>
          <w:szCs w:val="24"/>
        </w:rPr>
        <w:t>debido que se observa información susceptible de clasificar en su totalidad en carácter de confidencial, como es el certificado de no deudor alimentario moroso.</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ED7BD2">
      <w:pPr>
        <w:spacing w:after="0" w:line="360" w:lineRule="auto"/>
        <w:jc w:val="both"/>
        <w:rPr>
          <w:rFonts w:ascii="Palatino Linotype" w:eastAsia="Palatino Linotype" w:hAnsi="Palatino Linotype" w:cs="Palatino Linotype"/>
          <w:i/>
          <w:sz w:val="24"/>
          <w:szCs w:val="24"/>
        </w:rPr>
      </w:pPr>
      <w:hyperlink r:id="rId9">
        <w:r w:rsidR="00B907A0" w:rsidRPr="005E2ED7">
          <w:rPr>
            <w:rFonts w:ascii="Palatino Linotype" w:eastAsia="Palatino Linotype" w:hAnsi="Palatino Linotype" w:cs="Palatino Linotype"/>
            <w:b/>
            <w:i/>
            <w:sz w:val="24"/>
            <w:szCs w:val="24"/>
            <w:u w:val="single"/>
          </w:rPr>
          <w:t>Alcance a las Manifestaciones RR5614 (3).zip</w:t>
        </w:r>
      </w:hyperlink>
      <w:r w:rsidR="00B907A0" w:rsidRPr="005E2ED7">
        <w:rPr>
          <w:rFonts w:ascii="Palatino Linotype" w:eastAsia="Palatino Linotype" w:hAnsi="Palatino Linotype" w:cs="Palatino Linotype"/>
          <w:i/>
          <w:sz w:val="24"/>
          <w:szCs w:val="24"/>
        </w:rPr>
        <w:t xml:space="preserve">: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Oficio con fecha dos de septiembre de dos mil veintidós, signado por la Servidora Pública Habilitada de la Dirección de Administración, mediante el cual manifiesta que se aprobó la clasificación como confidencial de forma parcial de los antecedentes penales y de forma total del certificado de no deudor alimentario de los servidores públicos solicitados y la cédula profesional de la titular de la Unidad de Transparencia, por lo cual precisa que anexa las documentales en referencia.</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Oficio con fecha dos de septiembre de dos mil veintidós, signado por la Titular de la Unidad de Transparencia, mediante el cual describe las constancias que obran en el expediente electrónico del presente asunto, además de mencionar que hace llegar la información solicitada, de acuerdo en el siguiente cuadro:</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noProof/>
        </w:rPr>
        <w:lastRenderedPageBreak/>
        <w:drawing>
          <wp:inline distT="0" distB="0" distL="0" distR="0">
            <wp:extent cx="5660253" cy="1169254"/>
            <wp:effectExtent l="0" t="0" r="0" b="0"/>
            <wp:docPr id="1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l="32417" t="37719" r="31433" b="49003"/>
                    <a:stretch>
                      <a:fillRect/>
                    </a:stretch>
                  </pic:blipFill>
                  <pic:spPr>
                    <a:xfrm>
                      <a:off x="0" y="0"/>
                      <a:ext cx="5660253" cy="1169254"/>
                    </a:xfrm>
                    <a:prstGeom prst="rect">
                      <a:avLst/>
                    </a:prstGeom>
                    <a:ln/>
                  </pic:spPr>
                </pic:pic>
              </a:graphicData>
            </a:graphic>
          </wp:inline>
        </w:drawing>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noProof/>
        </w:rPr>
        <w:lastRenderedPageBreak/>
        <w:drawing>
          <wp:inline distT="0" distB="0" distL="0" distR="0">
            <wp:extent cx="5503083" cy="6132007"/>
            <wp:effectExtent l="0" t="0" r="0" b="0"/>
            <wp:docPr id="10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l="32417" t="20821" r="31941" b="8568"/>
                    <a:stretch>
                      <a:fillRect/>
                    </a:stretch>
                  </pic:blipFill>
                  <pic:spPr>
                    <a:xfrm>
                      <a:off x="0" y="0"/>
                      <a:ext cx="5503083" cy="6132007"/>
                    </a:xfrm>
                    <a:prstGeom prst="rect">
                      <a:avLst/>
                    </a:prstGeom>
                    <a:ln/>
                  </pic:spPr>
                </pic:pic>
              </a:graphicData>
            </a:graphic>
          </wp:inline>
        </w:drawing>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noProof/>
        </w:rPr>
        <w:lastRenderedPageBreak/>
        <w:drawing>
          <wp:inline distT="0" distB="0" distL="0" distR="0">
            <wp:extent cx="5628346" cy="1189088"/>
            <wp:effectExtent l="0" t="0" r="0" b="0"/>
            <wp:docPr id="10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l="32417" t="58539" r="31433" b="27881"/>
                    <a:stretch>
                      <a:fillRect/>
                    </a:stretch>
                  </pic:blipFill>
                  <pic:spPr>
                    <a:xfrm>
                      <a:off x="0" y="0"/>
                      <a:ext cx="5628346" cy="1189088"/>
                    </a:xfrm>
                    <a:prstGeom prst="rect">
                      <a:avLst/>
                    </a:prstGeom>
                    <a:ln/>
                  </pic:spPr>
                </pic:pic>
              </a:graphicData>
            </a:graphic>
          </wp:inline>
        </w:drawing>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Acuerdo de Clasificación 12/CT/32-ORD/2022, de  la Trigésima Segunda Sesión Ordinaria del Comité de Transparencia, en la que se somete la aprobación de la versión pública de los CFDI de la primera y segunda quincena del mes de enero a marzo de dos mil veintidós de la Titular de la Unidad de Transparencia y del Titular de Protección de Datos Personales.</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Acuerdo de Clasificación 11/CT/32-ORD/2022, de la Trigésima Segunda Sesión Ordinaria del Comité de Transparencia, en donde se somete a la aprobación versión pública de los documentos de seguridad del Ayuntamiento de Tlalnepantla de Baz.</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Acuerdo de Clasificación 10/CT/32-ORD/2022, de la Trigésima Segunda Sesión Ordinaria del Comité de Transparencia, en donde se somete la aprobación de la clasificación total del certificado de no deudor alimentario moroso de la Titular de la Unidad de Transparencia y del Titular de Protección de Datos Personales.</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Acuerdo de Clasificación 09/CT/32-ORD/2022, de la Trigésima Segunda Sesión Ordinaria del Comité de Transparencia, en donde se somete la aprobación la versión pública del informe de antecedentes no penales Titular de Protección de Datos </w:t>
      </w:r>
      <w:r w:rsidRPr="005E2ED7">
        <w:rPr>
          <w:rFonts w:ascii="Palatino Linotype" w:eastAsia="Palatino Linotype" w:hAnsi="Palatino Linotype" w:cs="Palatino Linotype"/>
          <w:sz w:val="24"/>
          <w:szCs w:val="24"/>
        </w:rPr>
        <w:lastRenderedPageBreak/>
        <w:t xml:space="preserve">Personales y de la Titular de la Unidad de Transparencia, así como la versión pública de la cédula profesional de esta última servidora pública en referencia.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Cédula de Trámites y Servicios de la Unidad de Transparencia.</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Versión pública de los recibos de nómina de la primera y segunda quincena del mes de enero a marzo de dos mil veintidós de la Titular de la Unidad de Transparencia y del Titular de Protección de Datos Personales.</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Los PbRM, generados por la Unidad de Transparencia.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Manual de Procedimientos Unidad de Transparencia y Acceso a la Información Pública Municipal.</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Acuerdo de Aprobación 06/CT/26-ORD/2022, de la Trigésima Segunda Sesión Ordinaria del Comité de Transparencia, en donde se somete la aprobación de la Vigésimo Sexta Sesión Ordinaria del Comité de Transparencia en el que se aprueba   se observan los lineamientos para la integración y funcionamiento del Comité de Transparencia y Políticas Internas de Acceso a la Información Pública, Protección de Datos Personales y Transparencia de Tlalnepantla de Baz, Estado de México.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Versión Pública del informe de antecedentes no penales, de la constancia de no inhabilitación, certificado de competencia laboral y ficha curricular de la Titular de la Unidad de Transparencia y del Titular de Protección de Datos Personales; el </w:t>
      </w:r>
      <w:r w:rsidRPr="005E2ED7">
        <w:rPr>
          <w:rFonts w:ascii="Palatino Linotype" w:eastAsia="Palatino Linotype" w:hAnsi="Palatino Linotype" w:cs="Palatino Linotype"/>
          <w:sz w:val="24"/>
          <w:szCs w:val="24"/>
        </w:rPr>
        <w:lastRenderedPageBreak/>
        <w:t>correo electrónico con el que acredita que se encuentra en proceso de emisión el certificado de competencia laboral y la versión pública de la Cédula Profesional de la Titular de la Unidad de Transparencia  el Título del Último Grado de Estudios del Titular de Protección de Datos Personales.</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Versión Pública de los documentos de seguridad de las diversas áreas que componen al </w:t>
      </w:r>
      <w:r w:rsidRPr="005E2ED7">
        <w:rPr>
          <w:rFonts w:ascii="Palatino Linotype" w:eastAsia="Palatino Linotype" w:hAnsi="Palatino Linotype" w:cs="Palatino Linotype"/>
          <w:b/>
          <w:sz w:val="24"/>
          <w:szCs w:val="24"/>
        </w:rPr>
        <w:t xml:space="preserve">SUJETO OBLIGADO, </w:t>
      </w:r>
      <w:r w:rsidRPr="005E2ED7">
        <w:rPr>
          <w:rFonts w:ascii="Palatino Linotype" w:eastAsia="Palatino Linotype" w:hAnsi="Palatino Linotype" w:cs="Palatino Linotype"/>
          <w:sz w:val="24"/>
          <w:szCs w:val="24"/>
        </w:rPr>
        <w:t xml:space="preserve">entre las que se encuentra la Unidad de Transparencia.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Cédula de Base de Datos Personales del Departamento de Uso de Suelo, Subdirección de Planeación y Contratación, Instituto de Apoyo a la Vivienda Social, Defensoría Municipal de Derechos Humanos, Capacitación Integral y Actualización para la Protección Civil, Subdirección de Programas Sociales, Contraloría Interna Municipal, Subcontraloría de Auditoria Administrativa Financiar de Obra y Social, Subcontraloría de Sustanciación, Resolución y Responsabilidades, Departamento de Prevención y Atención a la Alerta de Violencia de Genero Contra las Mujeres, Departamento de Transversalización de la Perspectiva de Género, Departamento de Control Gestión, Departamento de Reclutamiento y Sección, Subdirección de Recursos Materiales, Instituto Municipal de Cultura, Física, Deporte y Juventud, Centro de Atención Empresarial, Departamento Jurídico y Normatividad Empresarial, Departamento de Operación y Desarrollo de la Movilidad, Departamento de Casas Cultura y Bibliotecas, Coordinación de la Juventud, Departamento de Bacheo y Señalización Vial, Departamento de Barrido Manual, </w:t>
      </w:r>
      <w:r w:rsidRPr="005E2ED7">
        <w:rPr>
          <w:rFonts w:ascii="Palatino Linotype" w:eastAsia="Palatino Linotype" w:hAnsi="Palatino Linotype" w:cs="Palatino Linotype"/>
          <w:sz w:val="24"/>
          <w:szCs w:val="24"/>
        </w:rPr>
        <w:lastRenderedPageBreak/>
        <w:t>Coordinación de Iluminación, Departamento de Nómino, Departamento de Recolección de Residuos, Departamento de Panteones, Consejería Jurídica, Unidad de Transparencia, Consejos de Participación Ciudadana, Coordinación de Difusión y Medios, Instituto Municipal de Educación, Dirección de Infraestructura Urbana, Departamento de Adjudicación y Contratación, Coordinación de Justicia Restaurativa, Comisaria General de Seguridad Pública, Departamento de Mejora Regulatoria, Secretaria del Ayuntamiento, Ayuntamiento de Tlalnepantla de Baz, Coordinación Municipal de Protección Civil,  Contraloría Interna Municipal, Dirección de Promoción Económica, Dirección de Promoción Económica/Coordinación del Centro de Atención Empresarial,</w:t>
      </w:r>
      <w:r w:rsidRPr="005E2ED7">
        <w:t xml:space="preserve"> </w:t>
      </w:r>
      <w:r w:rsidRPr="005E2ED7">
        <w:rPr>
          <w:rFonts w:ascii="Palatino Linotype" w:eastAsia="Palatino Linotype" w:hAnsi="Palatino Linotype" w:cs="Palatino Linotype"/>
          <w:sz w:val="24"/>
          <w:szCs w:val="24"/>
        </w:rPr>
        <w:t>Instituto Municipal de la Juventud, Departamento de Atención Ciudadana.</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t>9. AMPLIACIÓN DEL PLAZO PARA EMITIR RESOLUCIÓN</w:t>
      </w:r>
      <w:r w:rsidRPr="005E2ED7">
        <w:rPr>
          <w:rFonts w:ascii="Palatino Linotype" w:eastAsia="Palatino Linotype" w:hAnsi="Palatino Linotype" w:cs="Palatino Linotype"/>
          <w:sz w:val="24"/>
          <w:szCs w:val="24"/>
        </w:rPr>
        <w:t>. En fecha tres de agosto de dos mil veintidós, se amplió el término para resolver el recurso de revisión en términos del artículo 181 párrafo tercero de la Ley de Transparencia y Acceso a la Información Pública del Estado de México y Municipios.</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5E2ED7">
        <w:rPr>
          <w:rFonts w:ascii="Palatino Linotype" w:eastAsia="Palatino Linotype" w:hAnsi="Palatino Linotype" w:cs="Palatino Linotype"/>
          <w:sz w:val="24"/>
          <w:szCs w:val="24"/>
        </w:rPr>
        <w:lastRenderedPageBreak/>
        <w:t>las capacidades técnicas y humanas del personal encargado de la proyección de las resoluciones a dichos medios de impugnación.</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trike/>
          <w:sz w:val="24"/>
          <w:szCs w:val="24"/>
        </w:rPr>
      </w:pPr>
      <w:r w:rsidRPr="005E2ED7">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numPr>
          <w:ilvl w:val="0"/>
          <w:numId w:val="4"/>
        </w:num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B23E83" w:rsidRPr="005E2ED7" w:rsidRDefault="00B23E83">
      <w:pPr>
        <w:spacing w:after="0" w:line="360" w:lineRule="auto"/>
        <w:ind w:left="927"/>
        <w:jc w:val="both"/>
        <w:rPr>
          <w:rFonts w:ascii="Palatino Linotype" w:eastAsia="Palatino Linotype" w:hAnsi="Palatino Linotype" w:cs="Palatino Linotype"/>
          <w:sz w:val="24"/>
          <w:szCs w:val="24"/>
        </w:rPr>
      </w:pPr>
    </w:p>
    <w:p w:rsidR="00B23E83" w:rsidRPr="005E2ED7" w:rsidRDefault="00B907A0">
      <w:pPr>
        <w:numPr>
          <w:ilvl w:val="0"/>
          <w:numId w:val="4"/>
        </w:num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Actividad Procesal del interesado. Acciones u omisiones del interesado.</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numPr>
          <w:ilvl w:val="0"/>
          <w:numId w:val="4"/>
        </w:num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B23E83" w:rsidRPr="005E2ED7" w:rsidRDefault="00B23E83">
      <w:pPr>
        <w:spacing w:after="0" w:line="360" w:lineRule="auto"/>
        <w:ind w:left="708"/>
        <w:rPr>
          <w:rFonts w:ascii="Palatino Linotype" w:eastAsia="Palatino Linotype" w:hAnsi="Palatino Linotype" w:cs="Palatino Linotype"/>
          <w:sz w:val="24"/>
          <w:szCs w:val="24"/>
        </w:rPr>
      </w:pPr>
    </w:p>
    <w:p w:rsidR="00B23E83" w:rsidRPr="005E2ED7" w:rsidRDefault="00B907A0">
      <w:pPr>
        <w:spacing w:after="0" w:line="360" w:lineRule="auto"/>
        <w:ind w:left="567"/>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B23E83" w:rsidRPr="005E2ED7" w:rsidRDefault="00B23E83">
      <w:pPr>
        <w:spacing w:after="0" w:line="360" w:lineRule="auto"/>
        <w:ind w:left="567"/>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5E2ED7">
        <w:rPr>
          <w:rFonts w:ascii="Palatino Linotype" w:eastAsia="Palatino Linotype" w:hAnsi="Palatino Linotype" w:cs="Palatino Linotype"/>
          <w:i/>
          <w:sz w:val="24"/>
          <w:szCs w:val="24"/>
        </w:rPr>
        <w:t xml:space="preserve">“TÉRMINOS PROCESALES. PARA DETERMINAR SI UN FUNCIONARIO JUDICIAL ACTUÓ </w:t>
      </w:r>
      <w:r w:rsidRPr="005E2ED7">
        <w:rPr>
          <w:rFonts w:ascii="Palatino Linotype" w:eastAsia="Palatino Linotype" w:hAnsi="Palatino Linotype" w:cs="Palatino Linotype"/>
          <w:i/>
          <w:sz w:val="24"/>
          <w:szCs w:val="24"/>
        </w:rPr>
        <w:lastRenderedPageBreak/>
        <w:t>INDEBIDAMENTE POR NO RESPETARLOS SE DEBE ATENDER AL PRESUPUESTO QUE CONSIDERÓ EL LEGISLADOR AL FIJARLOS Y LAS CARACTERÍSTICAS DEL CASO.”</w:t>
      </w:r>
      <w:r w:rsidRPr="005E2ED7">
        <w:rPr>
          <w:rFonts w:ascii="Palatino Linotype" w:eastAsia="Palatino Linotype" w:hAnsi="Palatino Linotype" w:cs="Palatino Linotype"/>
          <w:sz w:val="24"/>
          <w:szCs w:val="24"/>
        </w:rPr>
        <w:t>, visible en la Gaceta del Seminario Judicial de la Federación con el registro digital 205635.</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 </w:t>
      </w:r>
      <w:r w:rsidRPr="005E2ED7">
        <w:rPr>
          <w:rFonts w:ascii="Palatino Linotype" w:eastAsia="Palatino Linotype" w:hAnsi="Palatino Linotype" w:cs="Palatino Linotype"/>
          <w:i/>
          <w:sz w:val="24"/>
          <w:szCs w:val="24"/>
        </w:rPr>
        <w:t>“PLAZO RAZONABLE PARA RESOLVER. DIMENSIÓN Y EFECTOS DE ESTE CONCEPTO CUANDO SE ADUCE EXCESIVA CARGA DE TRABAJO.”</w:t>
      </w:r>
      <w:r w:rsidRPr="005E2ED7">
        <w:rPr>
          <w:rFonts w:ascii="Palatino Linotype" w:eastAsia="Palatino Linotype" w:hAnsi="Palatino Linotype" w:cs="Palatino Linotype"/>
          <w:sz w:val="24"/>
          <w:szCs w:val="24"/>
        </w:rPr>
        <w:t xml:space="preserve"> consultable en el Seminario Judicial de la Federación y su gaceta, con el registro digital 2002351.</w:t>
      </w:r>
    </w:p>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5E2ED7">
        <w:rPr>
          <w:rFonts w:ascii="Palatino Linotype" w:eastAsia="Palatino Linotype" w:hAnsi="Palatino Linotype" w:cs="Palatino Linotype"/>
          <w:sz w:val="24"/>
          <w:szCs w:val="24"/>
        </w:rPr>
        <w:t>, visible en el Seminario Judicial de la Federación y su gaceta, con el registro digital 2002350.</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ind w:right="-234"/>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t xml:space="preserve">10. CIERRE DE INSTRUCCIÓN. </w:t>
      </w:r>
      <w:r w:rsidRPr="005E2ED7">
        <w:rPr>
          <w:rFonts w:ascii="Palatino Linotype" w:eastAsia="Palatino Linotype" w:hAnsi="Palatino Linotype" w:cs="Palatino Linotype"/>
          <w:sz w:val="24"/>
          <w:szCs w:val="24"/>
        </w:rPr>
        <w:t xml:space="preserve">El catorce de septiembre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rsidR="00B23E83" w:rsidRPr="005E2ED7" w:rsidRDefault="00B23E83">
      <w:pPr>
        <w:spacing w:after="0" w:line="360" w:lineRule="auto"/>
        <w:ind w:right="-234"/>
        <w:jc w:val="both"/>
        <w:rPr>
          <w:rFonts w:ascii="Palatino Linotype" w:eastAsia="Palatino Linotype" w:hAnsi="Palatino Linotype" w:cs="Palatino Linotype"/>
          <w:sz w:val="24"/>
          <w:szCs w:val="24"/>
        </w:rPr>
      </w:pPr>
    </w:p>
    <w:p w:rsidR="00B23E83" w:rsidRPr="005E2ED7" w:rsidRDefault="00B907A0">
      <w:pPr>
        <w:spacing w:after="0" w:line="360" w:lineRule="auto"/>
        <w:ind w:right="-234"/>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rsidR="00B23E83" w:rsidRPr="005E2ED7" w:rsidRDefault="00B23E83">
      <w:pPr>
        <w:spacing w:after="0" w:line="360" w:lineRule="auto"/>
        <w:ind w:right="-234"/>
        <w:jc w:val="both"/>
        <w:rPr>
          <w:rFonts w:ascii="Palatino Linotype" w:eastAsia="Palatino Linotype" w:hAnsi="Palatino Linotype" w:cs="Palatino Linotype"/>
          <w:sz w:val="24"/>
          <w:szCs w:val="24"/>
        </w:rPr>
      </w:pPr>
    </w:p>
    <w:p w:rsidR="00B23E83" w:rsidRPr="005E2ED7" w:rsidRDefault="00B907A0">
      <w:pPr>
        <w:spacing w:after="0" w:line="360" w:lineRule="auto"/>
        <w:jc w:val="center"/>
        <w:rPr>
          <w:rFonts w:ascii="Palatino Linotype" w:eastAsia="Palatino Linotype" w:hAnsi="Palatino Linotype" w:cs="Palatino Linotype"/>
          <w:b/>
          <w:sz w:val="24"/>
          <w:szCs w:val="24"/>
        </w:rPr>
      </w:pPr>
      <w:bookmarkStart w:id="4" w:name="_heading=h.3znysh7" w:colFirst="0" w:colLast="0"/>
      <w:bookmarkEnd w:id="4"/>
      <w:r w:rsidRPr="005E2ED7">
        <w:rPr>
          <w:rFonts w:ascii="Palatino Linotype" w:eastAsia="Palatino Linotype" w:hAnsi="Palatino Linotype" w:cs="Palatino Linotype"/>
          <w:b/>
          <w:sz w:val="24"/>
          <w:szCs w:val="24"/>
        </w:rPr>
        <w:t>CONSIDERANDOS:</w:t>
      </w:r>
    </w:p>
    <w:p w:rsidR="00B23E83" w:rsidRPr="005E2ED7" w:rsidRDefault="00B23E83">
      <w:pPr>
        <w:spacing w:after="0" w:line="360" w:lineRule="auto"/>
        <w:jc w:val="center"/>
        <w:rPr>
          <w:rFonts w:ascii="Palatino Linotype" w:eastAsia="Palatino Linotype" w:hAnsi="Palatino Linotype" w:cs="Palatino Linotype"/>
          <w:b/>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lastRenderedPageBreak/>
        <w:t xml:space="preserve">PRIMERO. COMPETENCIA. </w:t>
      </w:r>
      <w:r w:rsidRPr="005E2ED7">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t xml:space="preserve">SEGUNDO. OPORTUNIDAD Y PROCEDIBILIDAD DEL RECURSO DE REVISIÓN.  </w:t>
      </w:r>
      <w:r w:rsidRPr="005E2ED7">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sidRPr="005E2ED7">
        <w:rPr>
          <w:rFonts w:ascii="Palatino Linotype" w:eastAsia="Palatino Linotype" w:hAnsi="Palatino Linotype" w:cs="Palatino Linotype"/>
          <w:b/>
          <w:sz w:val="24"/>
          <w:szCs w:val="24"/>
        </w:rPr>
        <w:t xml:space="preserve">EL SUJETO OBLIGADO </w:t>
      </w:r>
      <w:r w:rsidRPr="005E2ED7">
        <w:rPr>
          <w:rFonts w:ascii="Palatino Linotype" w:eastAsia="Palatino Linotype" w:hAnsi="Palatino Linotype" w:cs="Palatino Linotype"/>
          <w:sz w:val="24"/>
          <w:szCs w:val="24"/>
        </w:rPr>
        <w:t xml:space="preserve">emitió la respuesta, toda vez que esta fue pronunciada el día </w:t>
      </w:r>
      <w:r w:rsidRPr="005E2ED7">
        <w:rPr>
          <w:rFonts w:ascii="Palatino Linotype" w:eastAsia="Palatino Linotype" w:hAnsi="Palatino Linotype" w:cs="Palatino Linotype"/>
          <w:sz w:val="24"/>
          <w:szCs w:val="24"/>
        </w:rPr>
        <w:lastRenderedPageBreak/>
        <w:t xml:space="preserve">seis de abril de dos mil veintidós, mientras que la parte </w:t>
      </w:r>
      <w:r w:rsidRPr="005E2ED7">
        <w:rPr>
          <w:rFonts w:ascii="Palatino Linotype" w:eastAsia="Palatino Linotype" w:hAnsi="Palatino Linotype" w:cs="Palatino Linotype"/>
          <w:b/>
          <w:sz w:val="24"/>
          <w:szCs w:val="24"/>
        </w:rPr>
        <w:t>RECURRENTE</w:t>
      </w:r>
      <w:r w:rsidRPr="005E2ED7">
        <w:rPr>
          <w:rFonts w:ascii="Palatino Linotype" w:eastAsia="Palatino Linotype" w:hAnsi="Palatino Linotype" w:cs="Palatino Linotype"/>
          <w:sz w:val="24"/>
          <w:szCs w:val="24"/>
        </w:rPr>
        <w:t xml:space="preserve"> interpuso el recurso de revisión en la misma fecha que se pronunció la respuesta, circunstancia que no es determinante para declararlo extemporáneo, toda vez que el tiempo concedido es para delimitar el término en que puede impugnarse la respuesta, lo cual no impide que se presente antes de iniciado el plazo previsto.</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ind w:right="-234"/>
        <w:jc w:val="both"/>
        <w:rPr>
          <w:sz w:val="24"/>
          <w:szCs w:val="24"/>
        </w:rPr>
      </w:pPr>
      <w:r w:rsidRPr="005E2ED7">
        <w:rPr>
          <w:rFonts w:ascii="Palatino Linotype" w:eastAsia="Palatino Linotype" w:hAnsi="Palatino Linotype" w:cs="Palatino Linotype"/>
          <w:sz w:val="24"/>
          <w:szCs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5E2ED7">
        <w:rPr>
          <w:i/>
          <w:sz w:val="24"/>
          <w:szCs w:val="24"/>
        </w:rPr>
        <w:t> </w:t>
      </w:r>
    </w:p>
    <w:p w:rsidR="00B23E83" w:rsidRPr="005E2ED7" w:rsidRDefault="00B23E83">
      <w:pPr>
        <w:shd w:val="clear" w:color="auto" w:fill="FFFFFF"/>
        <w:spacing w:after="0" w:line="360" w:lineRule="auto"/>
        <w:ind w:left="567" w:right="760"/>
        <w:jc w:val="both"/>
        <w:rPr>
          <w:rFonts w:ascii="Palatino Linotype" w:eastAsia="Palatino Linotype" w:hAnsi="Palatino Linotype" w:cs="Palatino Linotype"/>
        </w:rPr>
      </w:pPr>
    </w:p>
    <w:p w:rsidR="00B23E83" w:rsidRPr="005E2ED7" w:rsidRDefault="00B907A0">
      <w:pPr>
        <w:shd w:val="clear" w:color="auto" w:fill="FFFFFF"/>
        <w:spacing w:after="0" w:line="360" w:lineRule="auto"/>
        <w:ind w:left="567" w:right="760"/>
        <w:jc w:val="both"/>
      </w:pPr>
      <w:r w:rsidRPr="005E2ED7">
        <w:rPr>
          <w:rFonts w:ascii="Palatino Linotype" w:eastAsia="Palatino Linotype" w:hAnsi="Palatino Linotype" w:cs="Palatino Linotype"/>
        </w:rPr>
        <w:t>"</w:t>
      </w:r>
      <w:r w:rsidRPr="005E2ED7">
        <w:rPr>
          <w:rFonts w:ascii="Palatino Linotype" w:eastAsia="Palatino Linotype" w:hAnsi="Palatino Linotype" w:cs="Palatino Linotype"/>
          <w:i/>
        </w:rPr>
        <w:t>RECURSO DE RECLAMACIÓN. SU INTERPOSICIÓN NO ES EXTEMPORÁNEA SI SE REALIZA ANTES DE QUE INICIE EL PLAZO PARA HACERLO.</w:t>
      </w:r>
    </w:p>
    <w:p w:rsidR="00B23E83" w:rsidRPr="005E2ED7" w:rsidRDefault="00B907A0">
      <w:pPr>
        <w:shd w:val="clear" w:color="auto" w:fill="FFFFFF"/>
        <w:spacing w:after="240" w:line="276" w:lineRule="auto"/>
        <w:ind w:left="567" w:right="760"/>
        <w:jc w:val="both"/>
      </w:pPr>
      <w:r w:rsidRPr="005E2ED7">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B23E83" w:rsidRPr="005E2ED7" w:rsidRDefault="00B907A0">
      <w:pPr>
        <w:shd w:val="clear" w:color="auto" w:fill="FFFFFF"/>
        <w:spacing w:before="240" w:after="0" w:line="360" w:lineRule="auto"/>
        <w:ind w:left="567" w:right="760"/>
        <w:jc w:val="both"/>
        <w:rPr>
          <w:rFonts w:ascii="Palatino Linotype" w:eastAsia="Palatino Linotype" w:hAnsi="Palatino Linotype" w:cs="Palatino Linotype"/>
        </w:rPr>
      </w:pPr>
      <w:r w:rsidRPr="005E2ED7">
        <w:rPr>
          <w:rFonts w:ascii="Palatino Linotype" w:eastAsia="Palatino Linotype" w:hAnsi="Palatino Linotype" w:cs="Palatino Linotype"/>
          <w:i/>
        </w:rPr>
        <w:t>De ahí que si dicho recurso se interpone antes de que inicie el plazo para hacerlo, su presentación no es extemporánea…</w:t>
      </w:r>
      <w:r w:rsidRPr="005E2ED7">
        <w:rPr>
          <w:rFonts w:ascii="Palatino Linotype" w:eastAsia="Palatino Linotype" w:hAnsi="Palatino Linotype" w:cs="Palatino Linotype"/>
        </w:rPr>
        <w:t>"(Sic)</w:t>
      </w:r>
    </w:p>
    <w:p w:rsidR="00B23E83" w:rsidRPr="005E2ED7" w:rsidRDefault="00B23E83">
      <w:pPr>
        <w:shd w:val="clear" w:color="auto" w:fill="FFFFFF"/>
        <w:spacing w:after="0" w:line="360" w:lineRule="auto"/>
        <w:ind w:left="567" w:right="760"/>
        <w:jc w:val="both"/>
        <w:rPr>
          <w:rFonts w:ascii="Palatino Linotype" w:eastAsia="Palatino Linotype" w:hAnsi="Palatino Linotype" w:cs="Palatino Linotype"/>
        </w:rPr>
      </w:pPr>
    </w:p>
    <w:p w:rsidR="00B23E83" w:rsidRPr="005E2ED7" w:rsidRDefault="00B907A0">
      <w:pPr>
        <w:spacing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lastRenderedPageBreak/>
        <w:t xml:space="preserve">Además, por cuanto hace a la procedibilidad del recurso de revisión, es de suma importancia señalar que la parte </w:t>
      </w:r>
      <w:r w:rsidRPr="005E2ED7">
        <w:rPr>
          <w:rFonts w:ascii="Palatino Linotype" w:eastAsia="Palatino Linotype" w:hAnsi="Palatino Linotype" w:cs="Palatino Linotype"/>
          <w:b/>
          <w:sz w:val="24"/>
          <w:szCs w:val="24"/>
        </w:rPr>
        <w:t>RECURRENTE</w:t>
      </w:r>
      <w:r w:rsidRPr="005E2ED7">
        <w:rPr>
          <w:rFonts w:ascii="Palatino Linotype" w:eastAsia="Palatino Linotype" w:hAnsi="Palatino Linotype" w:cs="Palatino Linotype"/>
          <w:sz w:val="24"/>
          <w:szCs w:val="24"/>
        </w:rPr>
        <w:t>, señaló un seudónimo con el cual desea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23E83" w:rsidRPr="005E2ED7" w:rsidRDefault="00B907A0">
      <w:pPr>
        <w:spacing w:before="240" w:after="240" w:line="276" w:lineRule="auto"/>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"Las solicitudes anónimas, con nombre incompleto o </w:t>
      </w:r>
      <w:r w:rsidRPr="005E2ED7">
        <w:rPr>
          <w:rFonts w:ascii="Palatino Linotype" w:eastAsia="Palatino Linotype" w:hAnsi="Palatino Linotype" w:cs="Palatino Linotype"/>
          <w:b/>
          <w:i/>
        </w:rPr>
        <w:t>seudónimo</w:t>
      </w:r>
      <w:r w:rsidRPr="005E2ED7">
        <w:rPr>
          <w:rFonts w:ascii="Palatino Linotype" w:eastAsia="Palatino Linotype" w:hAnsi="Palatino Linotype" w:cs="Palatino Linotype"/>
          <w:i/>
        </w:rPr>
        <w:t xml:space="preserve"> </w:t>
      </w:r>
      <w:r w:rsidRPr="005E2ED7">
        <w:rPr>
          <w:rFonts w:ascii="Palatino Linotype" w:eastAsia="Palatino Linotype" w:hAnsi="Palatino Linotype" w:cs="Palatino Linotype"/>
          <w:b/>
          <w:i/>
        </w:rPr>
        <w:t>serán procedentes para su trámite por parte del sujeto obligado ante quien se presente</w:t>
      </w:r>
      <w:r w:rsidRPr="005E2ED7">
        <w:rPr>
          <w:rFonts w:ascii="Palatino Linotype" w:eastAsia="Palatino Linotype" w:hAnsi="Palatino Linotype" w:cs="Palatino Linotype"/>
          <w:i/>
        </w:rPr>
        <w:t>. No podrá requerirse información adicional con motivo del nombre proporcionado por el solicitante."</w:t>
      </w:r>
    </w:p>
    <w:p w:rsidR="00B23E83" w:rsidRPr="005E2ED7" w:rsidRDefault="00B907A0">
      <w:pPr>
        <w:spacing w:before="240"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5E2ED7">
        <w:rPr>
          <w:rFonts w:ascii="Palatino Linotype" w:eastAsia="Palatino Linotype" w:hAnsi="Palatino Linotype" w:cs="Palatino Linotype"/>
          <w:b/>
          <w:sz w:val="24"/>
          <w:szCs w:val="24"/>
        </w:rPr>
        <w:t xml:space="preserve">EL SAIMEX.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Finalmente, resulta procedente la interposición del recurso, según lo aducido por la parte </w:t>
      </w:r>
      <w:r w:rsidRPr="005E2ED7">
        <w:rPr>
          <w:rFonts w:ascii="Palatino Linotype" w:eastAsia="Palatino Linotype" w:hAnsi="Palatino Linotype" w:cs="Palatino Linotype"/>
          <w:b/>
          <w:sz w:val="24"/>
          <w:szCs w:val="24"/>
        </w:rPr>
        <w:t>RECURRENTE</w:t>
      </w:r>
      <w:r w:rsidRPr="005E2ED7">
        <w:rPr>
          <w:rFonts w:ascii="Palatino Linotype" w:eastAsia="Palatino Linotype" w:hAnsi="Palatino Linotype" w:cs="Palatino Linotype"/>
          <w:sz w:val="24"/>
          <w:szCs w:val="24"/>
        </w:rPr>
        <w:t xml:space="preserve"> en sus razones o motivos de inconformidad, de acuerdo al artículo 179, fracciones VIII y X de la Ley de Transparencia y Acceso a la Información Pública del Estado de México y Municipios; que a la letra dice:</w:t>
      </w:r>
    </w:p>
    <w:p w:rsidR="00B23E83" w:rsidRPr="005E2ED7" w:rsidRDefault="00B23E83">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B23E83" w:rsidRPr="005E2ED7" w:rsidRDefault="00B907A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E2ED7">
        <w:rPr>
          <w:rFonts w:ascii="Palatino Linotype" w:eastAsia="Palatino Linotype" w:hAnsi="Palatino Linotype" w:cs="Palatino Linotype"/>
          <w:b/>
          <w:i/>
        </w:rPr>
        <w:lastRenderedPageBreak/>
        <w:t>“Artículo 179</w:t>
      </w:r>
      <w:r w:rsidRPr="005E2ED7">
        <w:rPr>
          <w:rFonts w:ascii="Palatino Linotype" w:eastAsia="Palatino Linotype" w:hAnsi="Palatino Linotype" w:cs="Palatino Linotype"/>
          <w:i/>
        </w:rPr>
        <w:t xml:space="preserve">. </w:t>
      </w:r>
      <w:r w:rsidRPr="005E2ED7">
        <w:rPr>
          <w:rFonts w:ascii="Palatino Linotype" w:eastAsia="Palatino Linotype" w:hAnsi="Palatino Linotype" w:cs="Palatino Linotype"/>
          <w:b/>
          <w:i/>
        </w:rPr>
        <w:t>El recurso de revisión</w:t>
      </w:r>
      <w:r w:rsidRPr="005E2ED7">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5E2ED7">
        <w:rPr>
          <w:rFonts w:ascii="Palatino Linotype" w:eastAsia="Palatino Linotype" w:hAnsi="Palatino Linotype" w:cs="Palatino Linotype"/>
          <w:b/>
          <w:i/>
        </w:rPr>
        <w:t>, y procederá en contra de las siguientes causas</w:t>
      </w:r>
      <w:r w:rsidRPr="005E2ED7">
        <w:rPr>
          <w:rFonts w:ascii="Palatino Linotype" w:eastAsia="Palatino Linotype" w:hAnsi="Palatino Linotype" w:cs="Palatino Linotype"/>
          <w:i/>
        </w:rPr>
        <w:t>:</w:t>
      </w:r>
    </w:p>
    <w:p w:rsidR="00B23E83" w:rsidRPr="005E2ED7" w:rsidRDefault="00B907A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E2ED7">
        <w:rPr>
          <w:rFonts w:ascii="Palatino Linotype" w:eastAsia="Palatino Linotype" w:hAnsi="Palatino Linotype" w:cs="Palatino Linotype"/>
          <w:i/>
        </w:rPr>
        <w:t>VIII. La notificación, entrega o puesta a disposición de información en una modalidad o formato distinto al solicitado;</w:t>
      </w:r>
    </w:p>
    <w:p w:rsidR="00B23E83" w:rsidRPr="005E2ED7" w:rsidRDefault="00B907A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X. Los costos o tiempos de entrega de la información;” </w:t>
      </w:r>
    </w:p>
    <w:p w:rsidR="00B23E83" w:rsidRPr="005E2ED7" w:rsidRDefault="00B23E83">
      <w:pPr>
        <w:pBdr>
          <w:top w:val="nil"/>
          <w:left w:val="nil"/>
          <w:bottom w:val="nil"/>
          <w:right w:val="nil"/>
          <w:between w:val="nil"/>
        </w:pBdr>
        <w:spacing w:after="0"/>
        <w:ind w:left="992" w:right="1043"/>
        <w:jc w:val="both"/>
        <w:rPr>
          <w:rFonts w:ascii="Palatino Linotype" w:eastAsia="Palatino Linotype" w:hAnsi="Palatino Linotype" w:cs="Palatino Linotype"/>
          <w:i/>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t xml:space="preserve">TERCERO. MATERIA DE LA REVISIÓN. </w:t>
      </w:r>
      <w:r w:rsidRPr="005E2ED7">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es adecuada y suficiente para satisfacer el derecho de acceso a la información pública de la parte </w:t>
      </w:r>
      <w:r w:rsidRPr="005E2ED7">
        <w:rPr>
          <w:rFonts w:ascii="Palatino Linotype" w:eastAsia="Palatino Linotype" w:hAnsi="Palatino Linotype" w:cs="Palatino Linotype"/>
          <w:b/>
          <w:sz w:val="24"/>
          <w:szCs w:val="24"/>
        </w:rPr>
        <w:t>RECURRENTE</w:t>
      </w:r>
      <w:r w:rsidRPr="005E2ED7">
        <w:rPr>
          <w:rFonts w:ascii="Palatino Linotype" w:eastAsia="Palatino Linotype" w:hAnsi="Palatino Linotype" w:cs="Palatino Linotype"/>
          <w:sz w:val="24"/>
          <w:szCs w:val="24"/>
        </w:rPr>
        <w:t>, o en su defecto, en caso de ser procedente, ordenar la entrega de información oportuna.</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t xml:space="preserve">CUARTO. ESTUDIO Y RESOLUCIÓN DEL ASUNTO.  </w:t>
      </w:r>
      <w:r w:rsidRPr="005E2ED7">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B23E83" w:rsidRPr="005E2ED7" w:rsidRDefault="00B23E83">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276"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 “</w:t>
      </w:r>
      <w:r w:rsidRPr="005E2ED7">
        <w:rPr>
          <w:rFonts w:ascii="Palatino Linotype" w:eastAsia="Palatino Linotype" w:hAnsi="Palatino Linotype" w:cs="Palatino Linotype"/>
          <w:b/>
          <w:i/>
        </w:rPr>
        <w:t>Artículo 4.</w:t>
      </w:r>
      <w:r w:rsidRPr="005E2ED7">
        <w:rPr>
          <w:rFonts w:ascii="Palatino Linotype" w:eastAsia="Palatino Linotype" w:hAnsi="Palatino Linotype" w:cs="Palatino Linotype"/>
          <w:i/>
        </w:rPr>
        <w:t xml:space="preserve"> El derecho humano de acceso a la información pública es la prerrogativa de las personas para buscar, difundir, investigar, recabar, recibir y </w:t>
      </w:r>
      <w:r w:rsidRPr="005E2ED7">
        <w:rPr>
          <w:rFonts w:ascii="Palatino Linotype" w:eastAsia="Palatino Linotype" w:hAnsi="Palatino Linotype" w:cs="Palatino Linotype"/>
          <w:i/>
        </w:rPr>
        <w:lastRenderedPageBreak/>
        <w:t xml:space="preserve">solicitar información pública, sin necesidad de acreditar personalidad ni interés jurídico. </w:t>
      </w:r>
    </w:p>
    <w:p w:rsidR="00B23E83" w:rsidRPr="005E2ED7" w:rsidRDefault="00B907A0">
      <w:pPr>
        <w:spacing w:after="0" w:line="276"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E2ED7">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23E83" w:rsidRPr="005E2ED7" w:rsidRDefault="00B23E83">
      <w:pPr>
        <w:spacing w:after="0" w:line="360" w:lineRule="auto"/>
        <w:ind w:left="851" w:right="900"/>
        <w:jc w:val="both"/>
        <w:rPr>
          <w:rFonts w:ascii="Palatino Linotype" w:eastAsia="Palatino Linotype" w:hAnsi="Palatino Linotype" w:cs="Palatino Linotype"/>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276" w:lineRule="auto"/>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“Artículo 12</w:t>
      </w:r>
      <w:r w:rsidRPr="005E2ED7">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B23E83" w:rsidRPr="005E2ED7" w:rsidRDefault="00B907A0">
      <w:pPr>
        <w:spacing w:after="0" w:line="276" w:lineRule="auto"/>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23E83" w:rsidRPr="005E2ED7" w:rsidRDefault="00B23E83">
      <w:pPr>
        <w:spacing w:after="0" w:line="360" w:lineRule="auto"/>
        <w:ind w:left="851" w:right="902"/>
        <w:jc w:val="both"/>
        <w:rPr>
          <w:rFonts w:ascii="Palatino Linotype" w:eastAsia="Palatino Linotype" w:hAnsi="Palatino Linotype" w:cs="Palatino Linotype"/>
          <w:i/>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Lo anterior, refiere a que el derecho de acceso a la información pública se satisface en aquellos casos en que se entregue el documento en que conste la información </w:t>
      </w:r>
      <w:r w:rsidRPr="005E2ED7">
        <w:rPr>
          <w:rFonts w:ascii="Palatino Linotype" w:eastAsia="Palatino Linotype" w:hAnsi="Palatino Linotype" w:cs="Palatino Linotype"/>
          <w:sz w:val="24"/>
          <w:szCs w:val="24"/>
        </w:rPr>
        <w:lastRenderedPageBreak/>
        <w:t>pública, toda vez que, los Sujetos Obligados</w:t>
      </w:r>
      <w:r w:rsidRPr="005E2ED7">
        <w:rPr>
          <w:rFonts w:ascii="Palatino Linotype" w:eastAsia="Palatino Linotype" w:hAnsi="Palatino Linotype" w:cs="Palatino Linotype"/>
          <w:b/>
          <w:sz w:val="24"/>
          <w:szCs w:val="24"/>
        </w:rPr>
        <w:t xml:space="preserve"> </w:t>
      </w:r>
      <w:r w:rsidRPr="005E2ED7">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5E2ED7">
        <w:rPr>
          <w:rFonts w:ascii="Palatino Linotype" w:eastAsia="Palatino Linotype" w:hAnsi="Palatino Linotype" w:cs="Palatino Linotype"/>
          <w:i/>
          <w:sz w:val="24"/>
          <w:szCs w:val="24"/>
        </w:rPr>
        <w:t>ad hoc</w:t>
      </w:r>
      <w:r w:rsidRPr="005E2ED7">
        <w:rPr>
          <w:rFonts w:ascii="Palatino Linotype" w:eastAsia="Palatino Linotype" w:hAnsi="Palatino Linotype" w:cs="Palatino Linotype"/>
          <w:sz w:val="24"/>
          <w:szCs w:val="24"/>
        </w:rPr>
        <w:t>, para satisfacer el derecho de acceso a la información pública.</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Aunado a ello el artículo 24 de la Ley de la materia</w:t>
      </w:r>
      <w:r w:rsidRPr="005E2ED7">
        <w:rPr>
          <w:rFonts w:ascii="Palatino Linotype" w:eastAsia="Palatino Linotype" w:hAnsi="Palatino Linotype" w:cs="Palatino Linotype"/>
          <w:sz w:val="24"/>
          <w:szCs w:val="24"/>
          <w:vertAlign w:val="superscript"/>
        </w:rPr>
        <w:footnoteReference w:id="1"/>
      </w:r>
      <w:r w:rsidRPr="005E2ED7">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rPr>
      </w:pPr>
      <w:r w:rsidRPr="005E2ED7">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5E2ED7">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5E2ED7">
        <w:rPr>
          <w:rFonts w:ascii="Palatino Linotype" w:eastAsia="Palatino Linotype" w:hAnsi="Palatino Linotype" w:cs="Palatino Linotype"/>
          <w:sz w:val="24"/>
          <w:szCs w:val="24"/>
        </w:rPr>
        <w:t xml:space="preserve">; los que, podrán estar en cualquier medio, sea escrito, impreso, sonoro, visual, electrónico, </w:t>
      </w:r>
      <w:r w:rsidRPr="005E2ED7">
        <w:rPr>
          <w:rFonts w:ascii="Palatino Linotype" w:eastAsia="Palatino Linotype" w:hAnsi="Palatino Linotype" w:cs="Palatino Linotype"/>
          <w:sz w:val="24"/>
          <w:szCs w:val="24"/>
        </w:rPr>
        <w:lastRenderedPageBreak/>
        <w:t>informático u holográfico de conformidad con el artículo 3, fracción XI de la Ley de la materia, el cual señala lo siguiente:</w:t>
      </w:r>
      <w:r w:rsidRPr="005E2ED7">
        <w:rPr>
          <w:rFonts w:ascii="Palatino Linotype" w:eastAsia="Palatino Linotype" w:hAnsi="Palatino Linotype" w:cs="Palatino Linotype"/>
        </w:rPr>
        <w:t xml:space="preserve"> </w:t>
      </w:r>
    </w:p>
    <w:p w:rsidR="00B23E83" w:rsidRPr="005E2ED7" w:rsidRDefault="00B23E83">
      <w:pPr>
        <w:spacing w:after="0" w:line="360" w:lineRule="auto"/>
        <w:jc w:val="both"/>
        <w:rPr>
          <w:rFonts w:ascii="Palatino Linotype" w:eastAsia="Palatino Linotype" w:hAnsi="Palatino Linotype" w:cs="Palatino Linotype"/>
        </w:rPr>
      </w:pP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r w:rsidRPr="005E2ED7">
        <w:rPr>
          <w:rFonts w:ascii="Palatino Linotype" w:eastAsia="Palatino Linotype" w:hAnsi="Palatino Linotype" w:cs="Palatino Linotype"/>
          <w:b/>
          <w:i/>
        </w:rPr>
        <w:t xml:space="preserve">Artículo 3. </w:t>
      </w:r>
      <w:r w:rsidRPr="005E2ED7">
        <w:rPr>
          <w:rFonts w:ascii="Palatino Linotype" w:eastAsia="Palatino Linotype" w:hAnsi="Palatino Linotype" w:cs="Palatino Linotype"/>
          <w:i/>
        </w:rPr>
        <w:t>Para los efectos de la presente Ley se entenderá por:</w:t>
      </w:r>
    </w:p>
    <w:p w:rsidR="00B23E83" w:rsidRPr="005E2ED7" w:rsidRDefault="00B907A0">
      <w:pPr>
        <w:ind w:left="1134"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ind w:left="1134"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t>XI. Documento:</w:t>
      </w:r>
      <w:r w:rsidRPr="005E2ED7">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E2ED7">
        <w:rPr>
          <w:rFonts w:ascii="Palatino Linotype" w:eastAsia="Palatino Linotype" w:hAnsi="Palatino Linotype" w:cs="Palatino Linotype"/>
          <w:b/>
          <w:i/>
        </w:rPr>
        <w:t>…</w:t>
      </w:r>
      <w:r w:rsidRPr="005E2ED7">
        <w:rPr>
          <w:rFonts w:ascii="Palatino Linotype" w:eastAsia="Palatino Linotype" w:hAnsi="Palatino Linotype" w:cs="Palatino Linotype"/>
          <w:i/>
        </w:rPr>
        <w:t>”</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ind w:left="851" w:right="902"/>
        <w:jc w:val="both"/>
        <w:rPr>
          <w:rFonts w:ascii="Palatino Linotype" w:eastAsia="Palatino Linotype" w:hAnsi="Palatino Linotype" w:cs="Palatino Linotype"/>
          <w:b/>
          <w:i/>
        </w:rPr>
      </w:pPr>
      <w:r w:rsidRPr="005E2ED7">
        <w:rPr>
          <w:rFonts w:ascii="Palatino Linotype" w:eastAsia="Palatino Linotype" w:hAnsi="Palatino Linotype" w:cs="Palatino Linotype"/>
          <w:b/>
        </w:rPr>
        <w:t>“</w:t>
      </w:r>
      <w:r w:rsidRPr="005E2ED7">
        <w:rPr>
          <w:rFonts w:ascii="Palatino Linotype" w:eastAsia="Palatino Linotype" w:hAnsi="Palatino Linotype" w:cs="Palatino Linotype"/>
          <w:b/>
          <w:i/>
        </w:rPr>
        <w:t>CRITERIO 0002-11</w:t>
      </w:r>
    </w:p>
    <w:p w:rsidR="00B23E83" w:rsidRPr="005E2ED7" w:rsidRDefault="00B907A0">
      <w:pPr>
        <w:spacing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E2ED7">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23E83" w:rsidRPr="005E2ED7" w:rsidRDefault="00B907A0">
      <w:pPr>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En consecuencia el acceso a la información se refiere a que se cumplan cualquiera de los siguientes tres supuestos:</w:t>
      </w:r>
    </w:p>
    <w:p w:rsidR="00B23E83" w:rsidRPr="005E2ED7" w:rsidRDefault="00B907A0">
      <w:pPr>
        <w:spacing w:before="120" w:after="120"/>
        <w:ind w:left="1134" w:right="902"/>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B23E83" w:rsidRPr="005E2ED7" w:rsidRDefault="00B23E83">
      <w:pPr>
        <w:spacing w:before="120" w:after="120"/>
        <w:ind w:left="1134" w:right="902"/>
        <w:jc w:val="both"/>
        <w:rPr>
          <w:rFonts w:ascii="Palatino Linotype" w:eastAsia="Palatino Linotype" w:hAnsi="Palatino Linotype" w:cs="Palatino Linotype"/>
          <w:i/>
        </w:rPr>
      </w:pPr>
    </w:p>
    <w:p w:rsidR="00B23E8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5E2ED7">
        <w:rPr>
          <w:rFonts w:ascii="Palatino Linotype" w:eastAsia="Palatino Linotype" w:hAnsi="Palatino Linotype" w:cs="Palatino Linotype"/>
          <w:b/>
          <w:sz w:val="24"/>
          <w:szCs w:val="24"/>
        </w:rPr>
        <w:t>RECURRENTE</w:t>
      </w:r>
      <w:r w:rsidRPr="005E2ED7">
        <w:rPr>
          <w:rFonts w:ascii="Palatino Linotype" w:eastAsia="Palatino Linotype" w:hAnsi="Palatino Linotype" w:cs="Palatino Linotype"/>
          <w:sz w:val="24"/>
          <w:szCs w:val="24"/>
        </w:rPr>
        <w:t xml:space="preserve"> requirió al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le proporcione, información consistente en lo siguiente:</w:t>
      </w:r>
    </w:p>
    <w:p w:rsidR="00B23E83" w:rsidRPr="005E2ED7" w:rsidRDefault="00B23E83"/>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  Experiencia en temas de Transparencia de C. Alberto y C. Clara su curriculum vitae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 Toda la documentación con la que fue dada de alta en recursos humanos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 Su certificación en materia de transparencia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 Su reglamento o lineamientos con los que fundamentan sus contestaciones,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Recibos de nómina</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Avisos de privacidad que ellos generaron</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CBDP de todas las áreas</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Documento de seguridad de transparencia</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Manual de procedimientos</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lastRenderedPageBreak/>
        <w:t>- Sus PBRM</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Trámites y servicios”</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En respuesta, el </w:t>
      </w:r>
      <w:r w:rsidRPr="005E2ED7">
        <w:rPr>
          <w:rFonts w:ascii="Palatino Linotype" w:eastAsia="Palatino Linotype" w:hAnsi="Palatino Linotype" w:cs="Palatino Linotype"/>
          <w:b/>
          <w:sz w:val="24"/>
          <w:szCs w:val="24"/>
        </w:rPr>
        <w:t xml:space="preserve">SUJETO OBLIGADO </w:t>
      </w:r>
      <w:r w:rsidRPr="005E2ED7">
        <w:rPr>
          <w:rFonts w:ascii="Palatino Linotype" w:eastAsia="Palatino Linotype" w:hAnsi="Palatino Linotype" w:cs="Palatino Linotype"/>
          <w:sz w:val="24"/>
          <w:szCs w:val="24"/>
        </w:rPr>
        <w:t xml:space="preserve">por conducto de la Dirección de Administración, con fundamento en el Código Financiero del Estado de México, requirió un pago a efecto de hacer entrega de la información solicitada.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por el cobro de la información.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Cabe precisar que una vez notificado el recurso de revisión al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remitió su informe justificado en donde entrega diversos documentos, sin embargo, no se pusieron a la vista del </w:t>
      </w:r>
      <w:r w:rsidRPr="005E2ED7">
        <w:rPr>
          <w:rFonts w:ascii="Palatino Linotype" w:eastAsia="Palatino Linotype" w:hAnsi="Palatino Linotype" w:cs="Palatino Linotype"/>
          <w:b/>
          <w:sz w:val="24"/>
          <w:szCs w:val="24"/>
        </w:rPr>
        <w:t xml:space="preserve">RECURRENTE, </w:t>
      </w:r>
      <w:r w:rsidRPr="005E2ED7">
        <w:rPr>
          <w:rFonts w:ascii="Palatino Linotype" w:eastAsia="Palatino Linotype" w:hAnsi="Palatino Linotype" w:cs="Palatino Linotype"/>
          <w:sz w:val="24"/>
          <w:szCs w:val="24"/>
        </w:rPr>
        <w:t xml:space="preserve">toda vez que se observan datos susceptible de clasificar como confidenciales como es el caso del certificado de no deudor alimentario moroso, no obstante mediante alcance al informe justificado remite lo siguiente: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La versión pública de los recibos de nómina de la primera y segunda quincena del mes de enero a marzo de dos mil veintidós, informe de antecedentes no penales, de la constancia de no inhabilitación, certificado de competencia laboral y ficha curricular de la Titular de la Unidad de Transparencia y del Titular de Protección de Datos Personales, los PbRM, generados por la Unidad de Transparencia, el Manual </w:t>
      </w:r>
      <w:r w:rsidRPr="005E2ED7">
        <w:rPr>
          <w:rFonts w:ascii="Palatino Linotype" w:eastAsia="Palatino Linotype" w:hAnsi="Palatino Linotype" w:cs="Palatino Linotype"/>
          <w:sz w:val="24"/>
          <w:szCs w:val="24"/>
        </w:rPr>
        <w:lastRenderedPageBreak/>
        <w:t xml:space="preserve">de Procedimientos Unidad de Transparencia y Acceso a la Información Pública Municipal, la Cédula Profesional de la Titular de la Unidad de Transparencia  el Título del Último Grado de Estudios del Titular de Protección de Datos Personales, la versión pública de los documentos de seguridad de las diversas áreas que componen al </w:t>
      </w:r>
      <w:r w:rsidRPr="005E2ED7">
        <w:rPr>
          <w:rFonts w:ascii="Palatino Linotype" w:eastAsia="Palatino Linotype" w:hAnsi="Palatino Linotype" w:cs="Palatino Linotype"/>
          <w:b/>
          <w:sz w:val="24"/>
          <w:szCs w:val="24"/>
        </w:rPr>
        <w:t xml:space="preserve">SUJETO OBLIGADO, </w:t>
      </w:r>
      <w:r w:rsidRPr="005E2ED7">
        <w:rPr>
          <w:rFonts w:ascii="Palatino Linotype" w:eastAsia="Palatino Linotype" w:hAnsi="Palatino Linotype" w:cs="Palatino Linotype"/>
          <w:sz w:val="24"/>
          <w:szCs w:val="24"/>
        </w:rPr>
        <w:t xml:space="preserve">entre las que se encuentra la Unidad de Transparencia, así como la Cédula de Base de Datos Personales del Departamento de Uso de Suelo, Subdirección de Planeación y Contratación, Instituto de Apoyo a la Vivienda Social, Defensoría Municipal de Derechos Humanos, Capacitación Integral y Actualización para la Protección Civil, Subdirección de Programas Sociales, Contraloría Interna Municipal, Subcontraloría de Auditoria Administrativa Financiar de Obra y Social, Subcontraloría de Sustanciación, Resolución y Responsabilidades, Departamento de Prevención y Atención a la Alerta de Violencia de Genero Contra las Mujeres, Departamento de Transversalización de la Perspectiva de Género, Departamento de Control Gestión, Departamento de Reclutamiento y Sección, Subdirección de Recursos Materiales, Instituto Municipal de Cultura, Física, Deporte y Juventud, Centro de Atención Empresarial, Departamento Jurídico y Normatividad Empresarial, Departamento de Operación y Desarrollo de la Movilidad, Departamento de Casas Cultura y Bibliotecas, Coordinación de la Juventud, Departamento de Bacheo y Señalización Vial, Departamento de Barrido Manual, Coordinación de Iluminación, Departamento de Nómino, Departamento de Recolección de Residuos, Departamento de Panteones, Consejería Jurídica, Unidad de Transparencia, Consejos de Participación Ciudadana, Coordinación de Difusión y Medios, Instituto </w:t>
      </w:r>
      <w:r w:rsidRPr="005E2ED7">
        <w:rPr>
          <w:rFonts w:ascii="Palatino Linotype" w:eastAsia="Palatino Linotype" w:hAnsi="Palatino Linotype" w:cs="Palatino Linotype"/>
          <w:sz w:val="24"/>
          <w:szCs w:val="24"/>
        </w:rPr>
        <w:lastRenderedPageBreak/>
        <w:t>Municipal de Educación, Dirección de Infraestructura Urbana, Departamento de Adjudicación y Contratación, Coordinación de Justicia Restaurativa, Comisaria General de Seguridad Pública, Departamento de Mejora Regulatoria, Secretaria del Ayuntamiento, Ayuntamiento de Tlalnepantla de Baz, Coordinación Municipal de Protección Civil,  Contraloría Interna Municipal, Dirección de Promoción Económica, Dirección de Promoción Económica/Coordinación del Centro de Atención Empresarial,</w:t>
      </w:r>
      <w:r w:rsidRPr="005E2ED7">
        <w:t xml:space="preserve"> </w:t>
      </w:r>
      <w:r w:rsidRPr="005E2ED7">
        <w:rPr>
          <w:rFonts w:ascii="Palatino Linotype" w:eastAsia="Palatino Linotype" w:hAnsi="Palatino Linotype" w:cs="Palatino Linotype"/>
          <w:sz w:val="24"/>
          <w:szCs w:val="24"/>
        </w:rPr>
        <w:t>Instituto Municipal de la Juventud, Departamento de Atención Ciudadana.</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Mismos que se pusieron a la vista del particular en fecha siete de septiembre  por su parte el ahora </w:t>
      </w:r>
      <w:r w:rsidRPr="005E2ED7">
        <w:rPr>
          <w:rFonts w:ascii="Palatino Linotype" w:eastAsia="Palatino Linotype" w:hAnsi="Palatino Linotype" w:cs="Palatino Linotype"/>
          <w:b/>
          <w:sz w:val="24"/>
          <w:szCs w:val="24"/>
        </w:rPr>
        <w:t>RECURRENTE</w:t>
      </w:r>
      <w:r w:rsidRPr="005E2ED7">
        <w:rPr>
          <w:rFonts w:ascii="Palatino Linotype" w:eastAsia="Palatino Linotype" w:hAnsi="Palatino Linotype" w:cs="Palatino Linotype"/>
          <w:sz w:val="24"/>
          <w:szCs w:val="24"/>
        </w:rPr>
        <w:t xml:space="preserve"> fue omiso en emitir sus manifestaciones.  </w:t>
      </w:r>
    </w:p>
    <w:p w:rsidR="00B23E83" w:rsidRPr="005E2ED7" w:rsidRDefault="00B23E83">
      <w:pPr>
        <w:spacing w:after="0" w:line="360" w:lineRule="auto"/>
        <w:jc w:val="both"/>
        <w:rPr>
          <w:rFonts w:ascii="Palatino Linotype" w:eastAsia="Palatino Linotype" w:hAnsi="Palatino Linotype" w:cs="Palatino Linotype"/>
          <w:sz w:val="24"/>
          <w:szCs w:val="24"/>
        </w:rPr>
      </w:pPr>
      <w:bookmarkStart w:id="5" w:name="_heading=h.2et92p0" w:colFirst="0" w:colLast="0"/>
      <w:bookmarkEnd w:id="5"/>
    </w:p>
    <w:p w:rsidR="00B23E83" w:rsidRPr="005E2ED7" w:rsidRDefault="00B907A0">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Ahora bien, respecto a los servidores públicos de los cuales se requiere información,  resulta conveniente precisar que el servidor público “Alberto” se desempeña como Encargado de la Protección de Datos Personales de la Unidad de Transparencia y la servidor pública “Clara”, es la Titular de la Unidad de Transparencia del sujeto Obligado, tal como se aprecia en el Acuerdo de Clasificación de la Trigésima Segunda Sesión Ordinaria del Comité de Transparencia remitido en informe justificado, por lo que a manera de efectuar un adecuado estudio se anexa un extracto de dicho acuerdo a efecto de mostrar únicamente el nombre y cargo de dichos servidores públicos. </w:t>
      </w:r>
    </w:p>
    <w:p w:rsidR="00B23E83" w:rsidRPr="005E2ED7" w:rsidRDefault="00B907A0">
      <w:pPr>
        <w:tabs>
          <w:tab w:val="left" w:pos="975"/>
        </w:tabs>
        <w:spacing w:after="0" w:line="360" w:lineRule="auto"/>
        <w:jc w:val="center"/>
        <w:rPr>
          <w:rFonts w:ascii="Palatino Linotype" w:eastAsia="Palatino Linotype" w:hAnsi="Palatino Linotype" w:cs="Palatino Linotype"/>
          <w:sz w:val="24"/>
          <w:szCs w:val="24"/>
        </w:rPr>
      </w:pPr>
      <w:r w:rsidRPr="005E2ED7">
        <w:rPr>
          <w:noProof/>
        </w:rPr>
        <w:lastRenderedPageBreak/>
        <w:drawing>
          <wp:inline distT="0" distB="0" distL="0" distR="0">
            <wp:extent cx="3318255" cy="739215"/>
            <wp:effectExtent l="0" t="0" r="0" b="0"/>
            <wp:docPr id="105" name="image24.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png" descr="Interfaz de usuario gráfica, Aplicación&#10;&#10;Descripción generada automáticamente"/>
                    <pic:cNvPicPr preferRelativeResize="0"/>
                  </pic:nvPicPr>
                  <pic:blipFill>
                    <a:blip r:embed="rId13"/>
                    <a:srcRect l="10014" t="52504" r="21418" b="20337"/>
                    <a:stretch>
                      <a:fillRect/>
                    </a:stretch>
                  </pic:blipFill>
                  <pic:spPr>
                    <a:xfrm>
                      <a:off x="0" y="0"/>
                      <a:ext cx="3318255" cy="739215"/>
                    </a:xfrm>
                    <a:prstGeom prst="rect">
                      <a:avLst/>
                    </a:prstGeom>
                    <a:ln/>
                  </pic:spPr>
                </pic:pic>
              </a:graphicData>
            </a:graphic>
          </wp:inline>
        </w:drawing>
      </w:r>
      <w:r w:rsidRPr="005E2ED7">
        <w:rPr>
          <w:noProof/>
        </w:rPr>
        <w:drawing>
          <wp:inline distT="0" distB="0" distL="0" distR="0">
            <wp:extent cx="3457575" cy="1000125"/>
            <wp:effectExtent l="0" t="0" r="0" b="0"/>
            <wp:docPr id="104" name="image23.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png" descr="Interfaz de usuario gráfica, Texto&#10;&#10;Descripción generada automáticamente"/>
                    <pic:cNvPicPr preferRelativeResize="0"/>
                  </pic:nvPicPr>
                  <pic:blipFill>
                    <a:blip r:embed="rId14"/>
                    <a:srcRect l="30888" t="46168" r="7502" b="22149"/>
                    <a:stretch>
                      <a:fillRect/>
                    </a:stretch>
                  </pic:blipFill>
                  <pic:spPr>
                    <a:xfrm>
                      <a:off x="0" y="0"/>
                      <a:ext cx="3457575" cy="1000125"/>
                    </a:xfrm>
                    <a:prstGeom prst="rect">
                      <a:avLst/>
                    </a:prstGeom>
                    <a:ln/>
                  </pic:spPr>
                </pic:pic>
              </a:graphicData>
            </a:graphic>
          </wp:inline>
        </w:drawing>
      </w:r>
    </w:p>
    <w:p w:rsidR="00B23E83" w:rsidRPr="005E2ED7" w:rsidRDefault="00B23E83">
      <w:pPr>
        <w:tabs>
          <w:tab w:val="left" w:pos="975"/>
        </w:tabs>
        <w:spacing w:after="0" w:line="360" w:lineRule="auto"/>
        <w:jc w:val="both"/>
        <w:rPr>
          <w:rFonts w:ascii="Palatino Linotype" w:eastAsia="Palatino Linotype" w:hAnsi="Palatino Linotype" w:cs="Palatino Linotype"/>
          <w:b/>
          <w:u w:val="single"/>
        </w:rPr>
      </w:pPr>
    </w:p>
    <w:p w:rsidR="00B23E83" w:rsidRPr="005E2ED7" w:rsidRDefault="00B907A0">
      <w:pPr>
        <w:tabs>
          <w:tab w:val="left" w:pos="8647"/>
        </w:tabs>
        <w:spacing w:after="0" w:line="360" w:lineRule="auto"/>
        <w:ind w:right="141"/>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 Precisado lo anterior, se procede al análisis de la solicitud de información, la respuesta, y el alcance al informe justificado, para verificar la procedencia de las razones o motivos de inconformidad expuestos por el particular.</w:t>
      </w:r>
    </w:p>
    <w:p w:rsidR="00B23E83" w:rsidRPr="005E2ED7" w:rsidRDefault="00B23E83">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sz w:val="24"/>
          <w:szCs w:val="24"/>
        </w:rPr>
      </w:pPr>
    </w:p>
    <w:p w:rsidR="00B23E83" w:rsidRPr="005E2ED7" w:rsidRDefault="00B907A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 xml:space="preserve">Respecto al Cambio de modalidad por cobro para la entrega de información.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Por cuanto hace a este punto, debe recordarse que 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en su respuesta manifestó, por conducto de la Dirección de Administración, que la información solicitada consta en 80 hojas, por lo que será necesario cubrir el costo correspondiente, lo cual da un total de $46.18 (Cuarenta y Seis PESOS  18/100 M.N), de manera que en el presente asunto se advierte un cambio de modalidad de la entrega de información, toda vez que debemos recordar que la información se requirió vía SAIMEX, como se visualiza en la siguiente captura de pantalla:</w:t>
      </w:r>
    </w:p>
    <w:p w:rsidR="00B23E83" w:rsidRPr="005E2ED7" w:rsidRDefault="00B907A0">
      <w:pPr>
        <w:spacing w:after="120" w:line="360" w:lineRule="auto"/>
        <w:jc w:val="both"/>
        <w:rPr>
          <w:rFonts w:ascii="Palatino Linotype" w:eastAsia="Palatino Linotype" w:hAnsi="Palatino Linotype" w:cs="Palatino Linotype"/>
          <w:sz w:val="24"/>
          <w:szCs w:val="24"/>
        </w:rPr>
      </w:pPr>
      <w:r w:rsidRPr="005E2ED7">
        <w:rPr>
          <w:noProof/>
        </w:rPr>
        <w:drawing>
          <wp:inline distT="0" distB="0" distL="0" distR="0">
            <wp:extent cx="5668323" cy="888124"/>
            <wp:effectExtent l="0" t="0" r="0" b="0"/>
            <wp:docPr id="10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l="8147" t="45866" r="55024" b="43875"/>
                    <a:stretch>
                      <a:fillRect/>
                    </a:stretch>
                  </pic:blipFill>
                  <pic:spPr>
                    <a:xfrm>
                      <a:off x="0" y="0"/>
                      <a:ext cx="5668323" cy="888124"/>
                    </a:xfrm>
                    <a:prstGeom prst="rect">
                      <a:avLst/>
                    </a:prstGeom>
                    <a:ln/>
                  </pic:spPr>
                </pic:pic>
              </a:graphicData>
            </a:graphic>
          </wp:inline>
        </w:drawing>
      </w:r>
    </w:p>
    <w:p w:rsidR="00B23E83" w:rsidRPr="005E2ED7" w:rsidRDefault="00B907A0">
      <w:pPr>
        <w:spacing w:before="120" w:after="28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lastRenderedPageBreak/>
        <w:t xml:space="preserve">En tal contexto respecto al pago requerido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w:t>
      </w:r>
      <w:r w:rsidRPr="005E2ED7">
        <w:rPr>
          <w:rFonts w:ascii="Palatino Linotype" w:eastAsia="Palatino Linotype" w:hAnsi="Palatino Linotype" w:cs="Palatino Linotype"/>
          <w:b/>
          <w:sz w:val="24"/>
          <w:szCs w:val="24"/>
        </w:rPr>
        <w:t>gratuidad</w:t>
      </w:r>
      <w:r w:rsidRPr="005E2ED7">
        <w:rPr>
          <w:rFonts w:ascii="Palatino Linotype" w:eastAsia="Palatino Linotype" w:hAnsi="Palatino Linotype" w:cs="Palatino Linotype"/>
          <w:sz w:val="24"/>
          <w:szCs w:val="24"/>
        </w:rPr>
        <w:t>, de certeza, de celeridad, de objetividad, entre otros.</w:t>
      </w:r>
    </w:p>
    <w:p w:rsidR="00B23E83" w:rsidRPr="005E2ED7" w:rsidRDefault="00B907A0">
      <w:pPr>
        <w:spacing w:before="280" w:after="28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rsidR="00B23E83" w:rsidRPr="005E2ED7" w:rsidRDefault="00B907A0">
      <w:pPr>
        <w:spacing w:before="280" w:after="28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5E2ED7">
        <w:rPr>
          <w:rFonts w:ascii="Palatino Linotype" w:eastAsia="Palatino Linotype" w:hAnsi="Palatino Linotype" w:cs="Palatino Linotype"/>
          <w:b/>
          <w:sz w:val="24"/>
          <w:szCs w:val="24"/>
        </w:rPr>
        <w:t>reproducción</w:t>
      </w:r>
      <w:r w:rsidRPr="005E2ED7">
        <w:rPr>
          <w:rFonts w:ascii="Palatino Linotype" w:eastAsia="Palatino Linotype" w:hAnsi="Palatino Linotype" w:cs="Palatino Linotype"/>
          <w:sz w:val="24"/>
          <w:szCs w:val="24"/>
        </w:rPr>
        <w:t xml:space="preserve"> de la información, y en su caso del costo de </w:t>
      </w:r>
      <w:r w:rsidRPr="005E2ED7">
        <w:rPr>
          <w:rFonts w:ascii="Palatino Linotype" w:eastAsia="Palatino Linotype" w:hAnsi="Palatino Linotype" w:cs="Palatino Linotype"/>
          <w:b/>
          <w:sz w:val="24"/>
          <w:szCs w:val="24"/>
        </w:rPr>
        <w:t>envío</w:t>
      </w:r>
      <w:r w:rsidRPr="005E2ED7">
        <w:rPr>
          <w:rFonts w:ascii="Palatino Linotype" w:eastAsia="Palatino Linotype" w:hAnsi="Palatino Linotype" w:cs="Palatino Linotype"/>
          <w:sz w:val="24"/>
          <w:szCs w:val="24"/>
        </w:rPr>
        <w:t>, finalmente, conlleva implícitamente un esfuerzo por parte de los Sujetos Obligados para reducir los costos de entrega de la información.</w:t>
      </w:r>
    </w:p>
    <w:p w:rsidR="00B23E83" w:rsidRPr="005E2ED7" w:rsidRDefault="00B907A0">
      <w:pPr>
        <w:spacing w:before="280" w:after="28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Atento a lo anterior, nuestra Carta Magna, así como la Constitución Política de nuestro Estado, contemplan el ejercicio del derecho de acceso a la información bajo el principio de gratuidad, garantizando la protección a un derecho fundamental que </w:t>
      </w:r>
      <w:r w:rsidRPr="005E2ED7">
        <w:rPr>
          <w:rFonts w:ascii="Palatino Linotype" w:eastAsia="Palatino Linotype" w:hAnsi="Palatino Linotype" w:cs="Palatino Linotype"/>
          <w:sz w:val="24"/>
          <w:szCs w:val="24"/>
        </w:rPr>
        <w:lastRenderedPageBreak/>
        <w:t>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rsidR="00B23E83" w:rsidRPr="005E2ED7" w:rsidRDefault="00B907A0">
      <w:pPr>
        <w:spacing w:before="280" w:after="28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5E2ED7">
        <w:rPr>
          <w:rFonts w:ascii="Palatino Linotype" w:eastAsia="Palatino Linotype" w:hAnsi="Palatino Linotype" w:cs="Palatino Linotype"/>
          <w:b/>
          <w:i/>
          <w:sz w:val="24"/>
          <w:szCs w:val="24"/>
        </w:rPr>
        <w:t>gratuitos</w:t>
      </w:r>
      <w:r w:rsidRPr="005E2ED7">
        <w:rPr>
          <w:rFonts w:ascii="Palatino Linotype" w:eastAsia="Palatino Linotype" w:hAnsi="Palatino Linotype" w:cs="Palatino Linotype"/>
          <w:sz w:val="24"/>
          <w:szCs w:val="24"/>
        </w:rPr>
        <w:t xml:space="preserve">, refiere en los artículos 17 y 150, que la búsqueda y acceso a la información es gratuita y </w:t>
      </w:r>
      <w:r w:rsidRPr="005E2ED7">
        <w:rPr>
          <w:rFonts w:ascii="Palatino Linotype" w:eastAsia="Palatino Linotype" w:hAnsi="Palatino Linotype" w:cs="Palatino Linotype"/>
          <w:b/>
          <w:i/>
          <w:sz w:val="24"/>
          <w:szCs w:val="24"/>
        </w:rPr>
        <w:t xml:space="preserve">sólo se cubrirá en su caso, los gastos de reproducción, </w:t>
      </w:r>
      <w:r w:rsidRPr="005E2ED7">
        <w:rPr>
          <w:rFonts w:ascii="Palatino Linotype" w:eastAsia="Palatino Linotype" w:hAnsi="Palatino Linotype" w:cs="Palatino Linotype"/>
          <w:b/>
          <w:i/>
          <w:sz w:val="24"/>
          <w:szCs w:val="24"/>
          <w:u w:val="single"/>
        </w:rPr>
        <w:t>por la modalidad de entrega solicitada, o por el envió</w:t>
      </w:r>
      <w:r w:rsidRPr="005E2ED7">
        <w:rPr>
          <w:rFonts w:ascii="Palatino Linotype" w:eastAsia="Palatino Linotype" w:hAnsi="Palatino Linotype" w:cs="Palatino Linotype"/>
          <w:sz w:val="24"/>
          <w:szCs w:val="24"/>
          <w:u w:val="single"/>
        </w:rPr>
        <w:t xml:space="preserve"> </w:t>
      </w:r>
      <w:r w:rsidRPr="005E2ED7">
        <w:rPr>
          <w:rFonts w:ascii="Palatino Linotype" w:eastAsia="Palatino Linotype" w:hAnsi="Palatino Linotype" w:cs="Palatino Linotype"/>
          <w:sz w:val="24"/>
          <w:szCs w:val="24"/>
        </w:rPr>
        <w:t xml:space="preserve">de conformidad con los derechos, productos y aprovechamientos establecidos en la legislación aplicable, en razón de que el procedimiento de acceso a la información es la garantía primaria del derecho en cuestión y </w:t>
      </w:r>
      <w:r w:rsidRPr="005E2ED7">
        <w:rPr>
          <w:rFonts w:ascii="Palatino Linotype" w:eastAsia="Palatino Linotype" w:hAnsi="Palatino Linotype" w:cs="Palatino Linotype"/>
          <w:i/>
          <w:sz w:val="24"/>
          <w:szCs w:val="24"/>
        </w:rPr>
        <w:t>se rige por los principios de simplicidad, rapidez</w:t>
      </w:r>
      <w:r w:rsidRPr="005E2ED7">
        <w:rPr>
          <w:rFonts w:ascii="Palatino Linotype" w:eastAsia="Palatino Linotype" w:hAnsi="Palatino Linotype" w:cs="Palatino Linotype"/>
          <w:sz w:val="24"/>
          <w:szCs w:val="24"/>
        </w:rPr>
        <w:t xml:space="preserve">, </w:t>
      </w:r>
      <w:r w:rsidRPr="005E2ED7">
        <w:rPr>
          <w:rFonts w:ascii="Palatino Linotype" w:eastAsia="Palatino Linotype" w:hAnsi="Palatino Linotype" w:cs="Palatino Linotype"/>
          <w:i/>
          <w:sz w:val="24"/>
          <w:szCs w:val="24"/>
        </w:rPr>
        <w:t>gratuidad</w:t>
      </w:r>
      <w:r w:rsidRPr="005E2ED7">
        <w:rPr>
          <w:rFonts w:ascii="Palatino Linotype" w:eastAsia="Palatino Linotype" w:hAnsi="Palatino Linotype" w:cs="Palatino Linotype"/>
          <w:sz w:val="24"/>
          <w:szCs w:val="24"/>
        </w:rPr>
        <w:t>,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rsidR="00B23E83" w:rsidRPr="005E2ED7" w:rsidRDefault="00B907A0">
      <w:pPr>
        <w:spacing w:before="280" w:after="28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En este tenor, por regla general la entrega de la información que se solicite en ejercicio del derecho de acceso a la información pública, deberá ser en congruencia con el principio de gratuidad y solamente en casos excepcionales se procederá al </w:t>
      </w:r>
      <w:r w:rsidRPr="005E2ED7">
        <w:rPr>
          <w:rFonts w:ascii="Palatino Linotype" w:eastAsia="Palatino Linotype" w:hAnsi="Palatino Linotype" w:cs="Palatino Linotype"/>
          <w:sz w:val="24"/>
          <w:szCs w:val="24"/>
        </w:rPr>
        <w:lastRenderedPageBreak/>
        <w:t xml:space="preserve">cobro para la entrega de la información, lo cual ocurrirá </w:t>
      </w:r>
      <w:r w:rsidRPr="005E2ED7">
        <w:rPr>
          <w:rFonts w:ascii="Palatino Linotype" w:eastAsia="Palatino Linotype" w:hAnsi="Palatino Linotype" w:cs="Palatino Linotype"/>
          <w:b/>
          <w:i/>
          <w:sz w:val="24"/>
          <w:szCs w:val="24"/>
        </w:rPr>
        <w:t>en caso de que se tenga que generar un gasto por la reproducción, por el envío, o por la modalidad de entrega solicitada</w:t>
      </w:r>
      <w:r w:rsidRPr="005E2ED7">
        <w:rPr>
          <w:rFonts w:ascii="Palatino Linotype" w:eastAsia="Palatino Linotype" w:hAnsi="Palatino Linotype" w:cs="Palatino Linotype"/>
          <w:sz w:val="24"/>
          <w:szCs w:val="24"/>
        </w:rPr>
        <w:t>, supuestos que encuadran con lo establecido en los artículos 9 fracción III, 17, 165, 174, 175 de la Ley de Acceso a la Información Pública del Estado de México y Municipios, así como el artículo 4.22 de su Reglamento.</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rPr>
        <w:t>“</w:t>
      </w:r>
      <w:r w:rsidRPr="005E2ED7">
        <w:rPr>
          <w:rFonts w:ascii="Palatino Linotype" w:eastAsia="Palatino Linotype" w:hAnsi="Palatino Linotype" w:cs="Palatino Linotype"/>
          <w:b/>
          <w:i/>
        </w:rPr>
        <w:t xml:space="preserve">Artículo 9. </w:t>
      </w:r>
      <w:r w:rsidRPr="005E2ED7">
        <w:rPr>
          <w:rFonts w:ascii="Palatino Linotype" w:eastAsia="Palatino Linotype" w:hAnsi="Palatino Linotype" w:cs="Palatino Linotype"/>
          <w:i/>
        </w:rPr>
        <w:t xml:space="preserve">El Instituto deberá regir su funcionamiento de acuerdo a los siguientes </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i/>
        </w:rPr>
        <w:t>principios:</w:t>
      </w:r>
    </w:p>
    <w:p w:rsidR="00B23E83" w:rsidRPr="005E2ED7" w:rsidRDefault="00B907A0">
      <w:pPr>
        <w:spacing w:before="280" w:after="280" w:line="276" w:lineRule="auto"/>
        <w:ind w:left="567" w:right="615"/>
        <w:jc w:val="both"/>
        <w:rPr>
          <w:rFonts w:ascii="Palatino Linotype" w:eastAsia="Palatino Linotype" w:hAnsi="Palatino Linotype" w:cs="Palatino Linotype"/>
        </w:rPr>
      </w:pPr>
      <w:r w:rsidRPr="005E2ED7">
        <w:rPr>
          <w:rFonts w:ascii="Palatino Linotype" w:eastAsia="Palatino Linotype" w:hAnsi="Palatino Linotype" w:cs="Palatino Linotype"/>
        </w:rPr>
        <w:t>...</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b/>
          <w:i/>
        </w:rPr>
        <w:t>III. Gratuidad:</w:t>
      </w:r>
      <w:r w:rsidRPr="005E2ED7">
        <w:rPr>
          <w:rFonts w:ascii="Palatino Linotype" w:eastAsia="Palatino Linotype" w:hAnsi="Palatino Linotype" w:cs="Palatino Linotype"/>
          <w:i/>
        </w:rPr>
        <w:t xml:space="preserve"> Consiste en que el acceso a la información pública no genera costo alguno para los solicitantes, </w:t>
      </w:r>
      <w:r w:rsidRPr="005E2ED7">
        <w:rPr>
          <w:rFonts w:ascii="Palatino Linotype" w:eastAsia="Palatino Linotype" w:hAnsi="Palatino Linotype" w:cs="Palatino Linotype"/>
          <w:b/>
          <w:i/>
        </w:rPr>
        <w:t>sólo podrá requerirse el cobro correspondiente a la modalidad de reproducción y</w:t>
      </w:r>
      <w:r w:rsidRPr="005E2ED7">
        <w:rPr>
          <w:rFonts w:ascii="Palatino Linotype" w:eastAsia="Palatino Linotype" w:hAnsi="Palatino Linotype" w:cs="Palatino Linotype"/>
          <w:i/>
        </w:rPr>
        <w:t xml:space="preserve"> </w:t>
      </w:r>
      <w:r w:rsidRPr="005E2ED7">
        <w:rPr>
          <w:rFonts w:ascii="Palatino Linotype" w:eastAsia="Palatino Linotype" w:hAnsi="Palatino Linotype" w:cs="Palatino Linotype"/>
          <w:b/>
          <w:i/>
        </w:rPr>
        <w:t>entrega solicitada</w:t>
      </w:r>
      <w:r w:rsidRPr="005E2ED7">
        <w:rPr>
          <w:rFonts w:ascii="Palatino Linotype" w:eastAsia="Palatino Linotype" w:hAnsi="Palatino Linotype" w:cs="Palatino Linotype"/>
          <w:i/>
        </w:rPr>
        <w:t xml:space="preserve"> conforme a lo establecido en la presente Ley y demás disposiciones jurídicas aplicables;</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b/>
          <w:i/>
        </w:rPr>
        <w:t>Artículo 17.</w:t>
      </w:r>
      <w:r w:rsidRPr="005E2ED7">
        <w:rPr>
          <w:rFonts w:ascii="Palatino Linotype" w:eastAsia="Palatino Linotype" w:hAnsi="Palatino Linotype" w:cs="Palatino Linotype"/>
          <w:i/>
        </w:rPr>
        <w:t xml:space="preserve"> La búsqueda y acceso a la información es gratuita y </w:t>
      </w:r>
      <w:r w:rsidRPr="005E2ED7">
        <w:rPr>
          <w:rFonts w:ascii="Palatino Linotype" w:eastAsia="Palatino Linotype" w:hAnsi="Palatino Linotype" w:cs="Palatino Linotype"/>
          <w:b/>
          <w:i/>
        </w:rPr>
        <w:t>solo se cubrirán los gastos de reproducción, o por la modalidad de entrega solicitada, así como por el envío,</w:t>
      </w:r>
      <w:r w:rsidRPr="005E2ED7">
        <w:rPr>
          <w:rFonts w:ascii="Palatino Linotype" w:eastAsia="Palatino Linotype" w:hAnsi="Palatino Linotype" w:cs="Palatino Linotype"/>
          <w:i/>
        </w:rPr>
        <w:t xml:space="preserve"> que en su caso se genere, de conformidad con los derechos, productos y aprovechamientos establecidos en la legislación aplicable, sin que exceda de los límites establecidos en la presente Ley.</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spacing w:before="280" w:after="280" w:line="276" w:lineRule="auto"/>
        <w:ind w:left="567" w:right="615"/>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Artículo 165. …</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La información que se entregue en versión pública, </w:t>
      </w:r>
      <w:r w:rsidRPr="005E2ED7">
        <w:rPr>
          <w:rFonts w:ascii="Palatino Linotype" w:eastAsia="Palatino Linotype" w:hAnsi="Palatino Linotype" w:cs="Palatino Linotype"/>
          <w:b/>
          <w:i/>
        </w:rPr>
        <w:t>cuya modalidad de reproducción o envío tenga un costo,</w:t>
      </w:r>
      <w:r w:rsidRPr="005E2ED7">
        <w:rPr>
          <w:rFonts w:ascii="Palatino Linotype" w:eastAsia="Palatino Linotype" w:hAnsi="Palatino Linotype" w:cs="Palatino Linotype"/>
          <w:i/>
        </w:rPr>
        <w:t xml:space="preserve"> procederá una vez que se acredite el pago respectivo. No puede entenderse como reproducción la elaboración de la misma.</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w:t>
      </w:r>
    </w:p>
    <w:p w:rsidR="00B23E83" w:rsidRPr="005E2ED7" w:rsidRDefault="00B907A0">
      <w:pPr>
        <w:spacing w:before="280" w:after="280" w:line="276" w:lineRule="auto"/>
        <w:ind w:left="567" w:right="615"/>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 xml:space="preserve">Artículo 174. En caso de existir costos para obtener la información </w:t>
      </w:r>
      <w:r w:rsidRPr="005E2ED7">
        <w:rPr>
          <w:rFonts w:ascii="Palatino Linotype" w:eastAsia="Palatino Linotype" w:hAnsi="Palatino Linotype" w:cs="Palatino Linotype"/>
          <w:i/>
        </w:rPr>
        <w:t xml:space="preserve">deberán cubrirse de manera previa a la entrega y </w:t>
      </w:r>
      <w:r w:rsidRPr="005E2ED7">
        <w:rPr>
          <w:rFonts w:ascii="Palatino Linotype" w:eastAsia="Palatino Linotype" w:hAnsi="Palatino Linotype" w:cs="Palatino Linotype"/>
          <w:b/>
          <w:i/>
        </w:rPr>
        <w:t xml:space="preserve">no podrán ser superiores a la suma de: </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b/>
          <w:i/>
        </w:rPr>
        <w:t>I. El costo de los materiales utilizados en la reproducción</w:t>
      </w:r>
      <w:r w:rsidRPr="005E2ED7">
        <w:rPr>
          <w:rFonts w:ascii="Palatino Linotype" w:eastAsia="Palatino Linotype" w:hAnsi="Palatino Linotype" w:cs="Palatino Linotype"/>
          <w:i/>
        </w:rPr>
        <w:t xml:space="preserve"> de la información;</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b/>
          <w:i/>
        </w:rPr>
        <w:t>II. El costo de envío,</w:t>
      </w:r>
      <w:r w:rsidRPr="005E2ED7">
        <w:rPr>
          <w:rFonts w:ascii="Palatino Linotype" w:eastAsia="Palatino Linotype" w:hAnsi="Palatino Linotype" w:cs="Palatino Linotype"/>
          <w:i/>
        </w:rPr>
        <w:t xml:space="preserve"> en su caso; y</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b/>
          <w:i/>
        </w:rPr>
        <w:t>III. El pago de la certificación de los documentos,</w:t>
      </w:r>
      <w:r w:rsidRPr="005E2ED7">
        <w:rPr>
          <w:rFonts w:ascii="Palatino Linotype" w:eastAsia="Palatino Linotype" w:hAnsi="Palatino Linotype" w:cs="Palatino Linotype"/>
          <w:i/>
        </w:rPr>
        <w:t xml:space="preserve"> cuando proceda.</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Las cuotas de los derechos aplicables deberán establecerse, en su caso, en el </w:t>
      </w:r>
      <w:r w:rsidRPr="005E2ED7">
        <w:rPr>
          <w:rFonts w:ascii="Palatino Linotype" w:eastAsia="Palatino Linotype" w:hAnsi="Palatino Linotype" w:cs="Palatino Linotype"/>
          <w:b/>
          <w:i/>
        </w:rPr>
        <w:t xml:space="preserve">Código Financiero del Estado de México y Municipios </w:t>
      </w:r>
      <w:r w:rsidRPr="005E2ED7">
        <w:rPr>
          <w:rFonts w:ascii="Palatino Linotype" w:eastAsia="Palatino Linotype" w:hAnsi="Palatino Linotype" w:cs="Palatino Linotype"/>
          <w:i/>
        </w:rPr>
        <w:t>y demás disposiciones jurídicas aplicables, las cuales se publicarán en los sitios de internet de los sujetos obligados…”</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spacing w:before="280" w:after="280" w:line="276" w:lineRule="auto"/>
        <w:ind w:left="567" w:right="615"/>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Artículo 175. …</w:t>
      </w:r>
    </w:p>
    <w:p w:rsidR="00B23E83" w:rsidRPr="005E2ED7" w:rsidRDefault="00B907A0">
      <w:pPr>
        <w:spacing w:before="280" w:after="280" w:line="276" w:lineRule="auto"/>
        <w:ind w:left="567" w:right="615"/>
        <w:jc w:val="both"/>
        <w:rPr>
          <w:rFonts w:ascii="Palatino Linotype" w:eastAsia="Palatino Linotype" w:hAnsi="Palatino Linotype" w:cs="Palatino Linotype"/>
          <w:b/>
          <w:i/>
        </w:rPr>
      </w:pPr>
      <w:r w:rsidRPr="005E2ED7">
        <w:rPr>
          <w:rFonts w:ascii="Palatino Linotype" w:eastAsia="Palatino Linotype" w:hAnsi="Palatino Linotype" w:cs="Palatino Linotype"/>
          <w:i/>
        </w:rPr>
        <w:t xml:space="preserve">En ningún caso, el pago de derechos deberá exceder el </w:t>
      </w:r>
      <w:r w:rsidRPr="005E2ED7">
        <w:rPr>
          <w:rFonts w:ascii="Palatino Linotype" w:eastAsia="Palatino Linotype" w:hAnsi="Palatino Linotype" w:cs="Palatino Linotype"/>
          <w:b/>
          <w:i/>
        </w:rPr>
        <w:t>costo de reproducción de la información en el material solicitado.”</w:t>
      </w:r>
    </w:p>
    <w:p w:rsidR="00B23E83" w:rsidRPr="005E2ED7" w:rsidRDefault="00B907A0">
      <w:pPr>
        <w:spacing w:before="280" w:after="280" w:line="276" w:lineRule="auto"/>
        <w:ind w:left="567" w:right="615"/>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r w:rsidRPr="005E2ED7">
        <w:rPr>
          <w:rFonts w:ascii="Palatino Linotype" w:eastAsia="Palatino Linotype" w:hAnsi="Palatino Linotype" w:cs="Palatino Linotype"/>
          <w:b/>
          <w:i/>
        </w:rPr>
        <w:t xml:space="preserve">Artículo 4.22.- </w:t>
      </w:r>
      <w:r w:rsidRPr="005E2ED7">
        <w:rPr>
          <w:rFonts w:ascii="Palatino Linotype" w:eastAsia="Palatino Linotype" w:hAnsi="Palatino Linotype" w:cs="Palatino Linotype"/>
          <w:i/>
        </w:rPr>
        <w:t>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rsidR="00B23E83" w:rsidRPr="005E2ED7" w:rsidRDefault="00B907A0">
      <w:pPr>
        <w:spacing w:before="280" w:after="28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En efecto, de los preceptos citados se desprende que Ley de la Materia estableció el cobró de derechos para la entrega de la información, con el objeto de que se cubran </w:t>
      </w:r>
      <w:r w:rsidRPr="005E2ED7">
        <w:rPr>
          <w:rFonts w:ascii="Palatino Linotype" w:eastAsia="Palatino Linotype" w:hAnsi="Palatino Linotype" w:cs="Palatino Linotype"/>
          <w:sz w:val="24"/>
          <w:szCs w:val="24"/>
        </w:rPr>
        <w:lastRenderedPageBreak/>
        <w:t xml:space="preserve">los costos de los materiales utilizados en la reproducción de la información, el costo por el envió de la misma o el pago por la certificación; sin embargo, en el caso que nos ocupa, no se estima que se actualice alguno de los supuestos previstos en la norma, toda vez que el solicitante requirió la información a través del sistema SAIMEX, por lo tanto no se le está requiriendo al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que expida copias certificadas o que reproduzca la información que ya asumió poseer, en cualquier otro medio físico, sino que proporcione la información de manera electrónica, en otras palabras, con la finalidad de satisfacer la solicitud, </w:t>
      </w:r>
      <w:r w:rsidRPr="005E2ED7">
        <w:rPr>
          <w:rFonts w:ascii="Palatino Linotype" w:eastAsia="Palatino Linotype" w:hAnsi="Palatino Linotype" w:cs="Palatino Linotype"/>
          <w:b/>
          <w:sz w:val="24"/>
          <w:szCs w:val="24"/>
        </w:rPr>
        <w:t>no es necesario que el SUJETO OBLIGADO realice una reproducción física de la información que conserva en sus archivos,</w:t>
      </w:r>
      <w:r w:rsidRPr="005E2ED7">
        <w:rPr>
          <w:rFonts w:ascii="Palatino Linotype" w:eastAsia="Palatino Linotype" w:hAnsi="Palatino Linotype" w:cs="Palatino Linotype"/>
          <w:sz w:val="24"/>
          <w:szCs w:val="24"/>
        </w:rPr>
        <w:t xml:space="preserve"> más bien implicaría realizar una digitalización o escaneo de aquellos documentos que por su naturaleza se encuentran en un medio físico.</w:t>
      </w:r>
    </w:p>
    <w:p w:rsidR="00B23E83" w:rsidRPr="005E2ED7" w:rsidRDefault="00B907A0">
      <w:pPr>
        <w:spacing w:before="280" w:after="28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Siendo necesario precisar que la digitalización o escaneo de la información, no conlleva la utilización de materiales que le generen un costo, como podría serlo por ejemplo hojas de papel para la emisión de copias; de igual manera, tampoco se actualiza el cobro por certificación, ya que la parte solicitante no requirió la entrega en dicha modalidad, así tampoco se genera un gasto por el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rsidR="00B23E83" w:rsidRPr="005E2ED7" w:rsidRDefault="00B907A0">
      <w:pPr>
        <w:spacing w:before="280" w:after="28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lastRenderedPageBreak/>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5E2ED7">
        <w:rPr>
          <w:rFonts w:ascii="Palatino Linotype" w:eastAsia="Palatino Linotype" w:hAnsi="Palatino Linotype" w:cs="Palatino Linotype"/>
          <w:b/>
          <w:i/>
          <w:sz w:val="24"/>
          <w:szCs w:val="24"/>
        </w:rPr>
        <w:t>ningún costo</w:t>
      </w:r>
      <w:r w:rsidRPr="005E2ED7">
        <w:rPr>
          <w:rFonts w:ascii="Palatino Linotype" w:eastAsia="Palatino Linotype" w:hAnsi="Palatino Linotype" w:cs="Palatino Linotype"/>
          <w:i/>
          <w:sz w:val="24"/>
          <w:szCs w:val="24"/>
        </w:rPr>
        <w:t>,</w:t>
      </w:r>
      <w:r w:rsidRPr="005E2ED7">
        <w:rPr>
          <w:rFonts w:ascii="Palatino Linotype" w:eastAsia="Palatino Linotype" w:hAnsi="Palatino Linotype" w:cs="Palatino Linotype"/>
          <w:sz w:val="24"/>
          <w:szCs w:val="24"/>
        </w:rPr>
        <w:t xml:space="preserve"> incluyendo aquella que se hubiera digitalizado previamente por cualquier motivo, y aún menos en aquellos casos en que la modalidad de entrega sea por medio de la plataforma o vía electrónica.</w:t>
      </w:r>
    </w:p>
    <w:p w:rsidR="00B23E83" w:rsidRPr="005E2ED7" w:rsidRDefault="00B23E83">
      <w:pPr>
        <w:pBdr>
          <w:top w:val="nil"/>
          <w:left w:val="nil"/>
          <w:bottom w:val="nil"/>
          <w:right w:val="nil"/>
          <w:between w:val="nil"/>
        </w:pBdr>
        <w:tabs>
          <w:tab w:val="left" w:pos="975"/>
        </w:tabs>
        <w:spacing w:after="0" w:line="360" w:lineRule="auto"/>
        <w:ind w:left="720"/>
        <w:jc w:val="both"/>
        <w:rPr>
          <w:rFonts w:ascii="Palatino Linotype" w:eastAsia="Palatino Linotype" w:hAnsi="Palatino Linotype" w:cs="Palatino Linotype"/>
          <w:b/>
          <w:u w:val="single"/>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 xml:space="preserve">1.  Respecto a la experiencia en temas de transparencia y el curriculum vitae. </w:t>
      </w:r>
    </w:p>
    <w:p w:rsidR="00B23E83" w:rsidRPr="005E2ED7" w:rsidRDefault="00B23E83">
      <w:pPr>
        <w:spacing w:line="360" w:lineRule="auto"/>
        <w:jc w:val="center"/>
        <w:rPr>
          <w:rFonts w:ascii="Palatino Linotype" w:eastAsia="Palatino Linotype" w:hAnsi="Palatino Linotype" w:cs="Palatino Linotype"/>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0"/>
        <w:gridCol w:w="2156"/>
        <w:gridCol w:w="2156"/>
        <w:gridCol w:w="2156"/>
      </w:tblGrid>
      <w:tr w:rsidR="005E2ED7" w:rsidRPr="005E2ED7">
        <w:tc>
          <w:tcPr>
            <w:tcW w:w="2360"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Información requerida.</w:t>
            </w:r>
          </w:p>
        </w:tc>
        <w:tc>
          <w:tcPr>
            <w:tcW w:w="2156"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Respuesta</w:t>
            </w:r>
          </w:p>
        </w:tc>
        <w:tc>
          <w:tcPr>
            <w:tcW w:w="2156"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Informe Justificado</w:t>
            </w:r>
          </w:p>
        </w:tc>
        <w:tc>
          <w:tcPr>
            <w:tcW w:w="2156"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Alcance al Informe Justificado</w:t>
            </w:r>
          </w:p>
        </w:tc>
      </w:tr>
      <w:tr w:rsidR="00B23E83" w:rsidRPr="005E2ED7">
        <w:tc>
          <w:tcPr>
            <w:tcW w:w="2360" w:type="dxa"/>
          </w:tcPr>
          <w:p w:rsidR="00B23E83" w:rsidRPr="005E2ED7" w:rsidRDefault="00B907A0">
            <w:pPr>
              <w:spacing w:before="240" w:after="240"/>
              <w:jc w:val="both"/>
              <w:rPr>
                <w:rFonts w:ascii="Palatino Linotype" w:eastAsia="Palatino Linotype" w:hAnsi="Palatino Linotype" w:cs="Palatino Linotype"/>
                <w:i/>
                <w:sz w:val="18"/>
                <w:szCs w:val="18"/>
              </w:rPr>
            </w:pPr>
            <w:bookmarkStart w:id="6" w:name="_heading=h.tyjcwt" w:colFirst="0" w:colLast="0"/>
            <w:bookmarkEnd w:id="6"/>
            <w:r w:rsidRPr="005E2ED7">
              <w:rPr>
                <w:rFonts w:ascii="Palatino Linotype" w:eastAsia="Palatino Linotype" w:hAnsi="Palatino Linotype" w:cs="Palatino Linotype"/>
                <w:sz w:val="18"/>
                <w:szCs w:val="18"/>
              </w:rPr>
              <w:t xml:space="preserve">1. Experiencia en materia de transparencia y curriculum de la Titular de la Unidad de Transparencia y del </w:t>
            </w:r>
            <w:r w:rsidRPr="005E2ED7">
              <w:rPr>
                <w:rFonts w:ascii="Palatino Linotype" w:eastAsia="Palatino Linotype" w:hAnsi="Palatino Linotype" w:cs="Palatino Linotype"/>
                <w:sz w:val="18"/>
                <w:szCs w:val="18"/>
              </w:rPr>
              <w:lastRenderedPageBreak/>
              <w:t>Encargado de la Protección de Datos Personales de la Unidad de Transparencia.</w:t>
            </w:r>
          </w:p>
        </w:tc>
        <w:tc>
          <w:tcPr>
            <w:tcW w:w="2156" w:type="dxa"/>
          </w:tcPr>
          <w:p w:rsidR="00B23E83" w:rsidRPr="005E2ED7" w:rsidRDefault="00B907A0">
            <w:pPr>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lastRenderedPageBreak/>
              <w:t>Cambio de modalidad por cobro</w:t>
            </w:r>
          </w:p>
        </w:tc>
        <w:tc>
          <w:tcPr>
            <w:tcW w:w="2156" w:type="dxa"/>
          </w:tcPr>
          <w:p w:rsidR="00B23E83" w:rsidRPr="005E2ED7" w:rsidRDefault="00B907A0">
            <w:pPr>
              <w:spacing w:before="240" w:after="240"/>
              <w:jc w:val="center"/>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N/A</w:t>
            </w:r>
          </w:p>
        </w:tc>
        <w:tc>
          <w:tcPr>
            <w:tcW w:w="2156"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 xml:space="preserve">Remite Ficha Curricular de la Titular de la Unidad de Transparencia y del Titular del Área de </w:t>
            </w:r>
            <w:r w:rsidRPr="005E2ED7">
              <w:rPr>
                <w:rFonts w:ascii="Palatino Linotype" w:eastAsia="Palatino Linotype" w:hAnsi="Palatino Linotype" w:cs="Palatino Linotype"/>
                <w:sz w:val="18"/>
                <w:szCs w:val="18"/>
              </w:rPr>
              <w:lastRenderedPageBreak/>
              <w:t>Protección de Datos Personales</w:t>
            </w:r>
          </w:p>
        </w:tc>
      </w:tr>
    </w:tbl>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Se adjunta la primera página de los curriculum vitae en referencia a manera de ejemplo:</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noProof/>
        </w:rPr>
        <w:drawing>
          <wp:inline distT="0" distB="0" distL="0" distR="0">
            <wp:extent cx="2666449" cy="3740435"/>
            <wp:effectExtent l="0" t="0" r="0" b="0"/>
            <wp:docPr id="10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l="37677" t="26856" r="37882" b="12191"/>
                    <a:stretch>
                      <a:fillRect/>
                    </a:stretch>
                  </pic:blipFill>
                  <pic:spPr>
                    <a:xfrm>
                      <a:off x="0" y="0"/>
                      <a:ext cx="2666449" cy="3740435"/>
                    </a:xfrm>
                    <a:prstGeom prst="rect">
                      <a:avLst/>
                    </a:prstGeom>
                    <a:ln/>
                  </pic:spPr>
                </pic:pic>
              </a:graphicData>
            </a:graphic>
          </wp:inline>
        </w:drawing>
      </w:r>
      <w:r w:rsidRPr="005E2ED7">
        <w:t xml:space="preserve"> </w:t>
      </w:r>
      <w:r w:rsidRPr="005E2ED7">
        <w:rPr>
          <w:noProof/>
        </w:rPr>
        <w:drawing>
          <wp:inline distT="0" distB="0" distL="0" distR="0">
            <wp:extent cx="2838933" cy="3642404"/>
            <wp:effectExtent l="0" t="0" r="0" b="0"/>
            <wp:docPr id="10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l="36150" t="22933" r="36863" b="15510"/>
                    <a:stretch>
                      <a:fillRect/>
                    </a:stretch>
                  </pic:blipFill>
                  <pic:spPr>
                    <a:xfrm>
                      <a:off x="0" y="0"/>
                      <a:ext cx="2838933" cy="3642404"/>
                    </a:xfrm>
                    <a:prstGeom prst="rect">
                      <a:avLst/>
                    </a:prstGeom>
                    <a:ln/>
                  </pic:spPr>
                </pic:pic>
              </a:graphicData>
            </a:graphic>
          </wp:inline>
        </w:drawing>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Sobre el tema, es necesario traer a colación la Guía Técnica 9 “La Administración del Personal Municipal” (consultable en </w:t>
      </w:r>
      <w:hyperlink r:id="rId18">
        <w:r w:rsidRPr="005E2ED7">
          <w:rPr>
            <w:rFonts w:ascii="Palatino Linotype" w:eastAsia="Palatino Linotype" w:hAnsi="Palatino Linotype" w:cs="Palatino Linotype"/>
            <w:sz w:val="24"/>
            <w:szCs w:val="24"/>
            <w:u w:val="single"/>
          </w:rPr>
          <w:t>http://www.inafed.gob.mx/work/models/inafed/Resource/335/1/images/guia09_la_administracion_del_personal_municipal.pdf</w:t>
        </w:r>
      </w:hyperlink>
      <w:r w:rsidRPr="005E2ED7">
        <w:rPr>
          <w:rFonts w:ascii="Palatino Linotype" w:eastAsia="Palatino Linotype" w:hAnsi="Palatino Linotype" w:cs="Palatino Linotype"/>
          <w:sz w:val="24"/>
          <w:szCs w:val="24"/>
        </w:rPr>
        <w:t xml:space="preserve">), que establece que son servidores </w:t>
      </w:r>
      <w:r w:rsidRPr="005E2ED7">
        <w:rPr>
          <w:rFonts w:ascii="Palatino Linotype" w:eastAsia="Palatino Linotype" w:hAnsi="Palatino Linotype" w:cs="Palatino Linotype"/>
          <w:sz w:val="24"/>
          <w:szCs w:val="24"/>
        </w:rPr>
        <w:lastRenderedPageBreak/>
        <w:t xml:space="preserve">públicos, todas aquellas personas que prestan su trabajo al servicio de municipio , conformado por las autoridades, funcionarios.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ind w:right="-28"/>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En ese orden de ideas, respecto a la experiencia laboral o profesional, es susceptible señalar el artículo 47 de la Ley del Trabajo de los Servidores Públicos del Estado y Municipios, refiere que para ingresar al servicio público se requiere, entre otras cosas, cumplir con los requisitos que se establezcan para los diferentes puestos, como es la experiencia laboral, que en este caso en particular es la experiencia en materia de transparencia.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u w:val="single"/>
        </w:rPr>
      </w:pPr>
      <w:r w:rsidRPr="005E2ED7">
        <w:rPr>
          <w:rFonts w:ascii="Palatino Linotype" w:eastAsia="Palatino Linotype" w:hAnsi="Palatino Linotype" w:cs="Palatino Linotype"/>
          <w:sz w:val="24"/>
          <w:szCs w:val="24"/>
        </w:rPr>
        <w:t xml:space="preserve">Por su parte, el </w:t>
      </w:r>
      <w:r w:rsidRPr="005E2ED7">
        <w:rPr>
          <w:rFonts w:ascii="Palatino Linotype" w:eastAsia="Palatino Linotype" w:hAnsi="Palatino Linotype" w:cs="Palatino Linotype"/>
          <w:i/>
          <w:sz w:val="24"/>
          <w:szCs w:val="24"/>
        </w:rPr>
        <w:t>curriculum vitae</w:t>
      </w:r>
      <w:r w:rsidRPr="005E2ED7">
        <w:rPr>
          <w:rFonts w:ascii="Palatino Linotype" w:eastAsia="Palatino Linotype" w:hAnsi="Palatino Linotype" w:cs="Palatino Linotype"/>
          <w:sz w:val="24"/>
          <w:szCs w:val="24"/>
        </w:rPr>
        <w:t>, es el documento que las personas elaboran con los datos de identificación y contacto, preparación académica y</w:t>
      </w:r>
      <w:r w:rsidRPr="005E2ED7">
        <w:rPr>
          <w:rFonts w:ascii="Palatino Linotype" w:eastAsia="Palatino Linotype" w:hAnsi="Palatino Linotype" w:cs="Palatino Linotype"/>
          <w:b/>
          <w:sz w:val="24"/>
          <w:szCs w:val="24"/>
          <w:u w:val="single"/>
        </w:rPr>
        <w:t xml:space="preserve"> experiencia profesion</w:t>
      </w:r>
      <w:r w:rsidRPr="005E2ED7">
        <w:rPr>
          <w:rFonts w:ascii="Palatino Linotype" w:eastAsia="Palatino Linotype" w:hAnsi="Palatino Linotype" w:cs="Palatino Linotype"/>
          <w:b/>
          <w:sz w:val="24"/>
          <w:szCs w:val="24"/>
        </w:rPr>
        <w:t>al,</w:t>
      </w:r>
      <w:r w:rsidRPr="005E2ED7">
        <w:rPr>
          <w:rFonts w:ascii="Palatino Linotype" w:eastAsia="Palatino Linotype" w:hAnsi="Palatino Linotype" w:cs="Palatino Linotype"/>
          <w:sz w:val="24"/>
          <w:szCs w:val="24"/>
        </w:rPr>
        <w:t xml:space="preserve"> para presentarse ante un posible empleador. En este sentido, por lo que hace al </w:t>
      </w:r>
      <w:r w:rsidRPr="005E2ED7">
        <w:rPr>
          <w:rFonts w:ascii="Palatino Linotype" w:eastAsia="Palatino Linotype" w:hAnsi="Palatino Linotype" w:cs="Palatino Linotype"/>
          <w:i/>
          <w:sz w:val="24"/>
          <w:szCs w:val="24"/>
        </w:rPr>
        <w:t>curriculum vitae</w:t>
      </w:r>
      <w:r w:rsidRPr="005E2ED7">
        <w:rPr>
          <w:rFonts w:ascii="Palatino Linotype" w:eastAsia="Palatino Linotype" w:hAnsi="Palatino Linotype" w:cs="Palatino Linotype"/>
          <w:sz w:val="24"/>
          <w:szCs w:val="24"/>
        </w:rPr>
        <w:t xml:space="preserve">, </w:t>
      </w:r>
      <w:r w:rsidRPr="005E2ED7">
        <w:rPr>
          <w:rFonts w:ascii="Palatino Linotype" w:eastAsia="Palatino Linotype" w:hAnsi="Palatino Linotype" w:cs="Palatino Linotype"/>
          <w:b/>
          <w:sz w:val="24"/>
          <w:szCs w:val="24"/>
          <w:u w:val="single"/>
        </w:rPr>
        <w:t>permite identificar el nivel y tipo de preparación de su titular y en su caso su perfil profesional o laboral.</w:t>
      </w:r>
    </w:p>
    <w:p w:rsidR="00B23E83" w:rsidRPr="005E2ED7" w:rsidRDefault="00B23E83">
      <w:pPr>
        <w:spacing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sz w:val="24"/>
          <w:szCs w:val="24"/>
        </w:rPr>
        <w:t xml:space="preserve">El </w:t>
      </w:r>
      <w:r w:rsidRPr="005E2ED7">
        <w:rPr>
          <w:rFonts w:ascii="Palatino Linotype" w:eastAsia="Palatino Linotype" w:hAnsi="Palatino Linotype" w:cs="Palatino Linotype"/>
          <w:i/>
          <w:sz w:val="24"/>
          <w:szCs w:val="24"/>
        </w:rPr>
        <w:t>curriculum vitae</w:t>
      </w:r>
      <w:r w:rsidRPr="005E2ED7">
        <w:rPr>
          <w:rFonts w:ascii="Palatino Linotype" w:eastAsia="Palatino Linotype" w:hAnsi="Palatino Linotype" w:cs="Palatino Linotype"/>
          <w:sz w:val="24"/>
          <w:szCs w:val="24"/>
        </w:rPr>
        <w:t xml:space="preserve">, proporciona información valiosa sobre la experiencia académica </w:t>
      </w:r>
      <w:r w:rsidRPr="005E2ED7">
        <w:rPr>
          <w:rFonts w:ascii="Palatino Linotype" w:eastAsia="Palatino Linotype" w:hAnsi="Palatino Linotype" w:cs="Palatino Linotype"/>
          <w:b/>
          <w:sz w:val="24"/>
          <w:szCs w:val="24"/>
          <w:u w:val="single"/>
        </w:rPr>
        <w:t>y profesional</w:t>
      </w:r>
      <w:r w:rsidRPr="005E2ED7">
        <w:rPr>
          <w:rFonts w:ascii="Palatino Linotype" w:eastAsia="Palatino Linotype" w:hAnsi="Palatino Linotype" w:cs="Palatino Linotype"/>
          <w:sz w:val="24"/>
          <w:szCs w:val="24"/>
        </w:rPr>
        <w:t xml:space="preserve"> de quienes ocupan cargos en la administración pública, permite conocer con toda certeza y de manera indudable si las personas que se desempeñan como servidores públicos tienen el perfil idóneo para desarrollar las actividades y atribuciones que se deriven de su encargo.</w:t>
      </w:r>
      <w:r w:rsidRPr="005E2ED7">
        <w:rPr>
          <w:rFonts w:ascii="Palatino Linotype" w:eastAsia="Palatino Linotype" w:hAnsi="Palatino Linotype" w:cs="Palatino Linotype"/>
          <w:b/>
          <w:sz w:val="24"/>
          <w:szCs w:val="24"/>
        </w:rPr>
        <w:t xml:space="preserve"> </w:t>
      </w:r>
    </w:p>
    <w:p w:rsidR="00B23E83" w:rsidRPr="005E2ED7" w:rsidRDefault="00B23E83">
      <w:pPr>
        <w:spacing w:after="0" w:line="360" w:lineRule="auto"/>
        <w:jc w:val="both"/>
        <w:rPr>
          <w:rFonts w:ascii="Palatino Linotype" w:eastAsia="Palatino Linotype" w:hAnsi="Palatino Linotype" w:cs="Palatino Linotype"/>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lastRenderedPageBreak/>
        <w:t xml:space="preserve">El </w:t>
      </w:r>
      <w:r w:rsidRPr="005E2ED7">
        <w:rPr>
          <w:rFonts w:ascii="Palatino Linotype" w:eastAsia="Palatino Linotype" w:hAnsi="Palatino Linotype" w:cs="Palatino Linotype"/>
          <w:i/>
          <w:sz w:val="24"/>
          <w:szCs w:val="24"/>
        </w:rPr>
        <w:t>curriculum vitae</w:t>
      </w:r>
      <w:r w:rsidRPr="005E2ED7">
        <w:rPr>
          <w:rFonts w:ascii="Palatino Linotype" w:eastAsia="Palatino Linotype" w:hAnsi="Palatino Linotype" w:cs="Palatino Linotype"/>
          <w:sz w:val="24"/>
          <w:szCs w:val="24"/>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rsidR="00B23E83" w:rsidRPr="005E2ED7" w:rsidRDefault="00B23E83">
      <w:pPr>
        <w:spacing w:after="0" w:line="360" w:lineRule="auto"/>
        <w:jc w:val="both"/>
        <w:rPr>
          <w:rFonts w:ascii="Palatino Linotype" w:eastAsia="Palatino Linotype" w:hAnsi="Palatino Linotype" w:cs="Palatino Linotype"/>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entre ellos la experiencia laboral, concerniente a los tres últimos empleos, tal como se muestra continuación:</w:t>
      </w:r>
    </w:p>
    <w:p w:rsidR="00B23E83" w:rsidRPr="005E2ED7" w:rsidRDefault="00B907A0">
      <w:pPr>
        <w:spacing w:after="0" w:line="360" w:lineRule="auto"/>
        <w:jc w:val="center"/>
        <w:rPr>
          <w:rFonts w:ascii="Palatino Linotype" w:eastAsia="Palatino Linotype" w:hAnsi="Palatino Linotype" w:cs="Palatino Linotype"/>
        </w:rPr>
      </w:pPr>
      <w:r w:rsidRPr="005E2ED7">
        <w:rPr>
          <w:rFonts w:ascii="Palatino Linotype" w:eastAsia="Palatino Linotype" w:hAnsi="Palatino Linotype" w:cs="Palatino Linotype"/>
          <w:noProof/>
        </w:rPr>
        <w:lastRenderedPageBreak/>
        <w:drawing>
          <wp:inline distT="0" distB="0" distL="0" distR="0">
            <wp:extent cx="4280250" cy="1476600"/>
            <wp:effectExtent l="0" t="0" r="0" b="0"/>
            <wp:docPr id="108" name="image26.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png" descr="Interfaz de usuario gráfica, Aplicación, Tabla&#10;&#10;Descripción generada automáticamente"/>
                    <pic:cNvPicPr preferRelativeResize="0"/>
                  </pic:nvPicPr>
                  <pic:blipFill>
                    <a:blip r:embed="rId19"/>
                    <a:srcRect t="24638"/>
                    <a:stretch>
                      <a:fillRect/>
                    </a:stretch>
                  </pic:blipFill>
                  <pic:spPr>
                    <a:xfrm>
                      <a:off x="0" y="0"/>
                      <a:ext cx="4280250" cy="1476600"/>
                    </a:xfrm>
                    <a:prstGeom prst="rect">
                      <a:avLst/>
                    </a:prstGeom>
                    <a:ln/>
                  </pic:spPr>
                </pic:pic>
              </a:graphicData>
            </a:graphic>
          </wp:inline>
        </w:drawing>
      </w:r>
      <w:r w:rsidRPr="005E2ED7">
        <w:rPr>
          <w:noProof/>
        </w:rPr>
        <mc:AlternateContent>
          <mc:Choice Requires="wps">
            <w:drawing>
              <wp:anchor distT="0" distB="0" distL="114300" distR="114300" simplePos="0" relativeHeight="251658240" behindDoc="0" locked="0" layoutInCell="1" hidden="0" allowOverlap="1">
                <wp:simplePos x="0" y="0"/>
                <wp:positionH relativeFrom="column">
                  <wp:posOffset>762000</wp:posOffset>
                </wp:positionH>
                <wp:positionV relativeFrom="paragraph">
                  <wp:posOffset>495300</wp:posOffset>
                </wp:positionV>
                <wp:extent cx="4254500" cy="908470"/>
                <wp:effectExtent l="0" t="0" r="0" b="0"/>
                <wp:wrapNone/>
                <wp:docPr id="80" name="Rectángulo 80"/>
                <wp:cNvGraphicFramePr/>
                <a:graphic xmlns:a="http://schemas.openxmlformats.org/drawingml/2006/main">
                  <a:graphicData uri="http://schemas.microsoft.com/office/word/2010/wordprocessingShape">
                    <wps:wsp>
                      <wps:cNvSpPr/>
                      <wps:spPr>
                        <a:xfrm>
                          <a:off x="3233038" y="3340053"/>
                          <a:ext cx="4225925" cy="879895"/>
                        </a:xfrm>
                        <a:prstGeom prst="rect">
                          <a:avLst/>
                        </a:prstGeom>
                        <a:noFill/>
                        <a:ln w="28575" cap="flat" cmpd="sng">
                          <a:solidFill>
                            <a:srgbClr val="000000"/>
                          </a:solidFill>
                          <a:prstDash val="solid"/>
                          <a:miter lim="800000"/>
                          <a:headEnd type="none" w="sm" len="sm"/>
                          <a:tailEnd type="none" w="sm" len="sm"/>
                        </a:ln>
                      </wps:spPr>
                      <wps:txbx>
                        <w:txbxContent>
                          <w:p w:rsidR="00ED7BD2" w:rsidRDefault="00ED7BD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80" o:spid="_x0000_s1026" style="position:absolute;left:0;text-align:left;margin-left:60pt;margin-top:39pt;width:335pt;height:71.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" filled="f" strokeweight="2.25pt">
                <v:stroke startarrowwidth="narrow" startarrowlength="short" endarrowwidth="narrow" endarrowlength="short"/>
                <v:textbox inset="2.53958mm,2.53958mm,2.53958mm,2.53958mm">
                  <w:txbxContent>
                    <w:p w:rsidR="00ED7BD2" w:rsidRDefault="00ED7BD2">
                      <w:pPr>
                        <w:spacing w:after="0" w:line="240" w:lineRule="auto"/>
                        <w:textDirection w:val="btLr"/>
                      </w:pPr>
                    </w:p>
                  </w:txbxContent>
                </v:textbox>
              </v:rect>
            </w:pict>
          </mc:Fallback>
        </mc:AlternateContent>
      </w:r>
    </w:p>
    <w:p w:rsidR="00B23E83" w:rsidRPr="005E2ED7" w:rsidRDefault="00B23E83">
      <w:pPr>
        <w:spacing w:after="0" w:line="360" w:lineRule="auto"/>
        <w:jc w:val="center"/>
        <w:rPr>
          <w:rFonts w:ascii="Palatino Linotype" w:eastAsia="Palatino Linotype" w:hAnsi="Palatino Linotype" w:cs="Palatino Linotype"/>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En ese contexto, según Islas, Jorge (2016), en la “Ley General de Transparencia y Acceso a la Información Pública Comentada” (p. 244), refirió que el </w:t>
      </w:r>
      <w:r w:rsidRPr="005E2ED7">
        <w:rPr>
          <w:rFonts w:ascii="Palatino Linotype" w:eastAsia="Palatino Linotype" w:hAnsi="Palatino Linotype" w:cs="Palatino Linotype"/>
          <w:b/>
          <w:i/>
          <w:sz w:val="24"/>
          <w:szCs w:val="24"/>
        </w:rPr>
        <w:t>curriculum vitae</w:t>
      </w:r>
      <w:r w:rsidRPr="005E2ED7">
        <w:rPr>
          <w:rFonts w:ascii="Palatino Linotype" w:eastAsia="Palatino Linotype" w:hAnsi="Palatino Linotype" w:cs="Palatino Linotype"/>
          <w:b/>
          <w:sz w:val="24"/>
          <w:szCs w:val="24"/>
        </w:rPr>
        <w:t xml:space="preserve"> </w:t>
      </w:r>
      <w:r w:rsidRPr="005E2ED7">
        <w:rPr>
          <w:rFonts w:ascii="Palatino Linotype" w:eastAsia="Palatino Linotype" w:hAnsi="Palatino Linotype" w:cs="Palatino Linotype"/>
          <w:sz w:val="24"/>
          <w:szCs w:val="24"/>
        </w:rPr>
        <w:t>d</w:t>
      </w:r>
      <w:r w:rsidRPr="005E2ED7">
        <w:rPr>
          <w:rFonts w:ascii="Palatino Linotype" w:eastAsia="Palatino Linotype" w:hAnsi="Palatino Linotype" w:cs="Palatino Linotype"/>
          <w:b/>
          <w:sz w:val="24"/>
          <w:szCs w:val="24"/>
        </w:rPr>
        <w:t>e un servidor público, justifica que su formación académica resulta viable para el desempeño eficiente y correcto de su encargo; lo anterior, con el fin de acreditar que dichos trabajadores sean los más capacitados acordes al área solicitada.</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ind w:right="-93"/>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Se robustece lo anterior, con el </w:t>
      </w:r>
      <w:r w:rsidRPr="005E2ED7">
        <w:rPr>
          <w:rFonts w:ascii="Palatino Linotype" w:eastAsia="Palatino Linotype" w:hAnsi="Palatino Linotype" w:cs="Palatino Linotype"/>
          <w:b/>
          <w:sz w:val="24"/>
          <w:szCs w:val="24"/>
        </w:rPr>
        <w:t>Criterio 03/09</w:t>
      </w:r>
      <w:r w:rsidRPr="005E2ED7">
        <w:rPr>
          <w:rFonts w:ascii="Palatino Linotype" w:eastAsia="Palatino Linotype" w:hAnsi="Palatino Linotype" w:cs="Palatino Linotype"/>
          <w:sz w:val="24"/>
          <w:szCs w:val="24"/>
        </w:rPr>
        <w:t>, emitido por el Pleno del entonces Instituto Federal de Acceso a la Información y Protección de Datos, que prevé lo siguiente:</w:t>
      </w:r>
    </w:p>
    <w:p w:rsidR="00B23E83" w:rsidRPr="005E2ED7" w:rsidRDefault="00B23E83">
      <w:pPr>
        <w:spacing w:after="0" w:line="276" w:lineRule="auto"/>
        <w:ind w:right="-93"/>
        <w:jc w:val="both"/>
        <w:rPr>
          <w:rFonts w:ascii="Palatino Linotype" w:eastAsia="Palatino Linotype" w:hAnsi="Palatino Linotype" w:cs="Palatino Linotype"/>
        </w:rPr>
      </w:pPr>
    </w:p>
    <w:p w:rsidR="00B23E83" w:rsidRPr="005E2ED7" w:rsidRDefault="00B907A0">
      <w:pPr>
        <w:spacing w:after="0" w:line="276" w:lineRule="auto"/>
        <w:ind w:left="567" w:right="567"/>
        <w:jc w:val="both"/>
        <w:rPr>
          <w:rFonts w:ascii="Palatino Linotype" w:eastAsia="Palatino Linotype" w:hAnsi="Palatino Linotype" w:cs="Palatino Linotype"/>
          <w:i/>
        </w:rPr>
      </w:pPr>
      <w:r w:rsidRPr="005E2ED7">
        <w:rPr>
          <w:rFonts w:ascii="Palatino Linotype" w:eastAsia="Palatino Linotype" w:hAnsi="Palatino Linotype" w:cs="Palatino Linotype"/>
          <w:b/>
          <w:i/>
        </w:rPr>
        <w:t>“Curriculum Vitae de servidores públicos. Es obligación de los sujetos obligados otorgar acceso a versiones públicas de los mismos ante una solicitud de acceso.</w:t>
      </w:r>
      <w:r w:rsidRPr="005E2ED7">
        <w:rPr>
          <w:rFonts w:ascii="Palatino Linotype" w:eastAsia="Palatino Linotype" w:hAnsi="Palatino Linotype" w:cs="Palatino Linotype"/>
          <w:i/>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w:t>
      </w:r>
      <w:r w:rsidRPr="005E2ED7">
        <w:rPr>
          <w:rFonts w:ascii="Palatino Linotype" w:eastAsia="Palatino Linotype" w:hAnsi="Palatino Linotype" w:cs="Palatino Linotype"/>
          <w:i/>
        </w:rPr>
        <w:lastRenderedPageBreak/>
        <w:t xml:space="preserve">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w:t>
      </w:r>
      <w:r w:rsidRPr="005E2ED7">
        <w:rPr>
          <w:rFonts w:ascii="Palatino Linotype" w:eastAsia="Palatino Linotype" w:hAnsi="Palatino Linotype" w:cs="Palatino Linotype"/>
          <w:b/>
          <w:i/>
          <w:u w:val="single"/>
        </w:rPr>
        <w:t>se encuentran los relativos a su trayectoria académic</w:t>
      </w:r>
      <w:r w:rsidRPr="005E2ED7">
        <w:rPr>
          <w:rFonts w:ascii="Palatino Linotype" w:eastAsia="Palatino Linotype" w:hAnsi="Palatino Linotype" w:cs="Palatino Linotype"/>
          <w:i/>
        </w:rPr>
        <w:t>a, profesional, laboral, así como todos aquellos que acrediten su capacidad, habilidades o pericia para ocupar el cargo público.”</w:t>
      </w:r>
    </w:p>
    <w:p w:rsidR="00B23E83" w:rsidRPr="005E2ED7" w:rsidRDefault="00B23E83">
      <w:pPr>
        <w:spacing w:after="0" w:line="360" w:lineRule="auto"/>
        <w:jc w:val="both"/>
        <w:rPr>
          <w:rFonts w:ascii="Palatino Linotype" w:eastAsia="Palatino Linotype" w:hAnsi="Palatino Linotype" w:cs="Palatino Linotype"/>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Del citado criterio, se desprende que una de las formas en que los ciudadanos pueden evaluar las aptitudes para desempeñar un cargo público determinado, es mediante la publicidad de ciertos datos contenidos en el </w:t>
      </w:r>
      <w:r w:rsidRPr="005E2ED7">
        <w:rPr>
          <w:rFonts w:ascii="Palatino Linotype" w:eastAsia="Palatino Linotype" w:hAnsi="Palatino Linotype" w:cs="Palatino Linotype"/>
          <w:i/>
          <w:sz w:val="24"/>
          <w:szCs w:val="24"/>
        </w:rPr>
        <w:t xml:space="preserve">curriculum vitae, </w:t>
      </w:r>
      <w:r w:rsidRPr="005E2ED7">
        <w:rPr>
          <w:rFonts w:ascii="Palatino Linotype" w:eastAsia="Palatino Linotype" w:hAnsi="Palatino Linotype" w:cs="Palatino Linotype"/>
          <w:sz w:val="24"/>
          <w:szCs w:val="24"/>
        </w:rPr>
        <w:t xml:space="preserve">tales como, la trayectoria académica, profesional, laboral, así como todos aquellos que acrediten su capacidad, habilidades pericia para ocupar el puesto público. Lo anterior, para favorecer la rendición de cuentas, pues la publicidad de lo anterior tiene como fin verificar el correcto desempeño de los sujetos obligados. Asimismo, es importante señalar, tal como ha expuesto en párrafos anteriores, que datos como el nombre y cargo de mandos medios y superiores, que se insertan en el </w:t>
      </w:r>
      <w:r w:rsidRPr="005E2ED7">
        <w:rPr>
          <w:rFonts w:ascii="Palatino Linotype" w:eastAsia="Palatino Linotype" w:hAnsi="Palatino Linotype" w:cs="Palatino Linotype"/>
          <w:i/>
          <w:sz w:val="24"/>
          <w:szCs w:val="24"/>
        </w:rPr>
        <w:t xml:space="preserve">curriculum vitae </w:t>
      </w:r>
      <w:r w:rsidRPr="005E2ED7">
        <w:rPr>
          <w:rFonts w:ascii="Palatino Linotype" w:eastAsia="Palatino Linotype" w:hAnsi="Palatino Linotype" w:cs="Palatino Linotype"/>
          <w:sz w:val="24"/>
          <w:szCs w:val="24"/>
        </w:rPr>
        <w:t xml:space="preserve">de servidores públicos del Sujeto Obligado tiene naturaleza pública.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pBdr>
          <w:top w:val="nil"/>
          <w:left w:val="nil"/>
          <w:bottom w:val="nil"/>
          <w:right w:val="nil"/>
          <w:between w:val="nil"/>
        </w:pBdr>
        <w:spacing w:after="0" w:line="360" w:lineRule="auto"/>
        <w:ind w:right="-232"/>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Conforme a ello, se considera que con la información proporcionada por el </w:t>
      </w:r>
      <w:r w:rsidRPr="005E2ED7">
        <w:rPr>
          <w:rFonts w:ascii="Palatino Linotype" w:eastAsia="Palatino Linotype" w:hAnsi="Palatino Linotype" w:cs="Palatino Linotype"/>
          <w:b/>
          <w:sz w:val="24"/>
          <w:szCs w:val="24"/>
        </w:rPr>
        <w:t xml:space="preserve">SUJETO OBLIGADO </w:t>
      </w:r>
      <w:r w:rsidRPr="005E2ED7">
        <w:rPr>
          <w:rFonts w:ascii="Palatino Linotype" w:eastAsia="Palatino Linotype" w:hAnsi="Palatino Linotype" w:cs="Palatino Linotype"/>
          <w:sz w:val="24"/>
          <w:szCs w:val="24"/>
        </w:rPr>
        <w:t xml:space="preserve">en su informe justificado, en este punto de la solicitud de información se satisface la pretensión del ahora </w:t>
      </w:r>
      <w:r w:rsidRPr="005E2ED7">
        <w:rPr>
          <w:rFonts w:ascii="Palatino Linotype" w:eastAsia="Palatino Linotype" w:hAnsi="Palatino Linotype" w:cs="Palatino Linotype"/>
          <w:b/>
          <w:sz w:val="24"/>
          <w:szCs w:val="24"/>
        </w:rPr>
        <w:t xml:space="preserve">RECURRENTE </w:t>
      </w:r>
      <w:r w:rsidRPr="005E2ED7">
        <w:rPr>
          <w:rFonts w:ascii="Palatino Linotype" w:eastAsia="Palatino Linotype" w:hAnsi="Palatino Linotype" w:cs="Palatino Linotype"/>
          <w:sz w:val="24"/>
          <w:szCs w:val="24"/>
        </w:rPr>
        <w:t>pues como se ha podido advertir en efecto</w:t>
      </w:r>
      <w:r w:rsidRPr="005E2ED7">
        <w:rPr>
          <w:rFonts w:ascii="Palatino Linotype" w:eastAsia="Palatino Linotype" w:hAnsi="Palatino Linotype" w:cs="Palatino Linotype"/>
          <w:b/>
          <w:sz w:val="24"/>
          <w:szCs w:val="24"/>
        </w:rPr>
        <w:t xml:space="preserve"> </w:t>
      </w:r>
      <w:r w:rsidRPr="005E2ED7">
        <w:rPr>
          <w:rFonts w:ascii="Palatino Linotype" w:eastAsia="Palatino Linotype" w:hAnsi="Palatino Linotype" w:cs="Palatino Linotype"/>
          <w:sz w:val="24"/>
          <w:szCs w:val="24"/>
        </w:rPr>
        <w:t xml:space="preserve">proporcionó la información curricular de la Titular de la Unidad de Transparencia y del Encargado de la Protección de Datos Personales de la Unidad de </w:t>
      </w:r>
      <w:r w:rsidRPr="005E2ED7">
        <w:rPr>
          <w:rFonts w:ascii="Palatino Linotype" w:eastAsia="Palatino Linotype" w:hAnsi="Palatino Linotype" w:cs="Palatino Linotype"/>
          <w:sz w:val="24"/>
          <w:szCs w:val="24"/>
        </w:rPr>
        <w:lastRenderedPageBreak/>
        <w:t xml:space="preserve">Transparencia, misma que contiene información de su trayectoria profesional y su experiencia en materia de transparencia. </w:t>
      </w:r>
    </w:p>
    <w:p w:rsidR="00B23E83" w:rsidRPr="005E2ED7" w:rsidRDefault="00B23E83">
      <w:pPr>
        <w:pBdr>
          <w:top w:val="nil"/>
          <w:left w:val="nil"/>
          <w:bottom w:val="nil"/>
          <w:right w:val="nil"/>
          <w:between w:val="nil"/>
        </w:pBdr>
        <w:spacing w:after="0" w:line="360" w:lineRule="auto"/>
        <w:ind w:right="900"/>
        <w:jc w:val="both"/>
        <w:rPr>
          <w:rFonts w:ascii="Palatino Linotype" w:eastAsia="Palatino Linotype" w:hAnsi="Palatino Linotype" w:cs="Palatino Linotype"/>
          <w:i/>
        </w:rPr>
      </w:pPr>
    </w:p>
    <w:p w:rsidR="00B23E83" w:rsidRPr="005E2ED7" w:rsidRDefault="00B907A0">
      <w:pPr>
        <w:pBdr>
          <w:top w:val="nil"/>
          <w:left w:val="nil"/>
          <w:bottom w:val="nil"/>
          <w:right w:val="nil"/>
          <w:between w:val="nil"/>
        </w:pBdr>
        <w:spacing w:after="0" w:line="360" w:lineRule="auto"/>
        <w:ind w:right="-232"/>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Aunado a lo anterior, este Pleno considera necesario dejar claro que, al haber existido un pronunciamiento por parte del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B23E83" w:rsidRPr="005E2ED7" w:rsidRDefault="00B23E83">
      <w:pPr>
        <w:spacing w:after="0" w:line="240" w:lineRule="auto"/>
        <w:ind w:left="860" w:right="560"/>
        <w:jc w:val="both"/>
        <w:rPr>
          <w:rFonts w:ascii="Palatino Linotype" w:eastAsia="Palatino Linotype" w:hAnsi="Palatino Linotype" w:cs="Palatino Linotype"/>
          <w:i/>
        </w:rPr>
      </w:pPr>
    </w:p>
    <w:p w:rsidR="00B23E83" w:rsidRPr="005E2ED7" w:rsidRDefault="00B907A0">
      <w:pPr>
        <w:spacing w:after="0" w:line="240" w:lineRule="auto"/>
        <w:ind w:left="860" w:right="560"/>
        <w:jc w:val="both"/>
        <w:rPr>
          <w:rFonts w:ascii="Times New Roman" w:eastAsia="Times New Roman" w:hAnsi="Times New Roman" w:cs="Times New Roman"/>
          <w:sz w:val="24"/>
          <w:szCs w:val="24"/>
        </w:rPr>
      </w:pPr>
      <w:r w:rsidRPr="005E2ED7">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tabs>
          <w:tab w:val="left" w:pos="709"/>
        </w:tabs>
        <w:spacing w:after="0" w:line="360" w:lineRule="auto"/>
        <w:ind w:right="40"/>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Máxime que el área que se pronunció es el competente, tal como se aprecia a continuación:</w:t>
      </w:r>
    </w:p>
    <w:p w:rsidR="00B23E83" w:rsidRPr="005E2ED7" w:rsidRDefault="00B907A0">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CAPÍTULO VII.- DE LA DIRECCIÓN DE ADMINISTRACIÓN </w:t>
      </w:r>
    </w:p>
    <w:p w:rsidR="00B23E83" w:rsidRPr="005E2ED7" w:rsidRDefault="00B907A0">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ARTÍCULO 185. Para el despacho de los asuntos de los asuntos de su competencia, la Dirección de Administración tendrá las siguientes facultades y obligaciones:</w:t>
      </w:r>
    </w:p>
    <w:p w:rsidR="00B23E83" w:rsidRPr="005E2ED7" w:rsidRDefault="00B907A0">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VIII. Vigilar y supervisar que el personal que las dependencias requieran sea debidamente seleccionado y contratado, cuando así lo establezcan las descripciones y especificaciones delos puestos, atendiendo a la normatividad aplicable;</w:t>
      </w:r>
    </w:p>
    <w:p w:rsidR="00B23E83" w:rsidRPr="005E2ED7" w:rsidRDefault="00B907A0">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XIX. Vigilar y supervisar que se elaboren los perfiles y descripciones de puestos que se requieran en las diferentes dependencias municipales;</w:t>
      </w:r>
    </w:p>
    <w:p w:rsidR="00B23E83" w:rsidRPr="005E2ED7" w:rsidRDefault="00B23E83">
      <w:pPr>
        <w:pBdr>
          <w:top w:val="nil"/>
          <w:left w:val="nil"/>
          <w:bottom w:val="nil"/>
          <w:right w:val="nil"/>
          <w:between w:val="nil"/>
        </w:pBdr>
        <w:spacing w:after="0" w:line="360" w:lineRule="auto"/>
        <w:ind w:right="900"/>
        <w:jc w:val="both"/>
        <w:rPr>
          <w:rFonts w:ascii="Palatino Linotype" w:eastAsia="Palatino Linotype" w:hAnsi="Palatino Linotype" w:cs="Palatino Linotype"/>
          <w:i/>
        </w:rPr>
      </w:pPr>
    </w:p>
    <w:p w:rsidR="00B23E83" w:rsidRPr="005E2ED7" w:rsidRDefault="00B907A0">
      <w:pPr>
        <w:pBdr>
          <w:top w:val="nil"/>
          <w:left w:val="nil"/>
          <w:bottom w:val="nil"/>
          <w:right w:val="nil"/>
          <w:between w:val="nil"/>
        </w:pBdr>
        <w:spacing w:after="0" w:line="360" w:lineRule="auto"/>
        <w:ind w:right="900"/>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Por lo anterior se determina que 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cuenta con la Dirección de Administración que dentro de sus atribuciones vigila y supervisa que el personal que las dependencias requieran sea debidamente seleccionado y contratado, de acuerdo a los perfiles y descripciones de puestos que se requieran.</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2. Expediente laboral de los servidores públicos.</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8"/>
        <w:gridCol w:w="2002"/>
        <w:gridCol w:w="2624"/>
        <w:gridCol w:w="2624"/>
      </w:tblGrid>
      <w:tr w:rsidR="005E2ED7" w:rsidRPr="005E2ED7">
        <w:tc>
          <w:tcPr>
            <w:tcW w:w="1578"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Información requerida.</w:t>
            </w:r>
          </w:p>
        </w:tc>
        <w:tc>
          <w:tcPr>
            <w:tcW w:w="2002"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Respuesta</w:t>
            </w:r>
          </w:p>
        </w:tc>
        <w:tc>
          <w:tcPr>
            <w:tcW w:w="2624"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Informe Justificado</w:t>
            </w:r>
          </w:p>
        </w:tc>
        <w:tc>
          <w:tcPr>
            <w:tcW w:w="2624"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Alcance al informe justificado</w:t>
            </w:r>
          </w:p>
        </w:tc>
      </w:tr>
      <w:tr w:rsidR="00B23E83" w:rsidRPr="005E2ED7">
        <w:tc>
          <w:tcPr>
            <w:tcW w:w="1578"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 xml:space="preserve">Expediente de la Titular de la Unidad de Transparencia y del Encargado de la Protección </w:t>
            </w:r>
            <w:r w:rsidRPr="005E2ED7">
              <w:rPr>
                <w:rFonts w:ascii="Palatino Linotype" w:eastAsia="Palatino Linotype" w:hAnsi="Palatino Linotype" w:cs="Palatino Linotype"/>
                <w:sz w:val="18"/>
                <w:szCs w:val="18"/>
              </w:rPr>
              <w:lastRenderedPageBreak/>
              <w:t>de Datos Personales de la Unidad de Transparencia.</w:t>
            </w:r>
          </w:p>
        </w:tc>
        <w:tc>
          <w:tcPr>
            <w:tcW w:w="2002"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lastRenderedPageBreak/>
              <w:t>Cambio de modalidad por cobro.</w:t>
            </w:r>
          </w:p>
        </w:tc>
        <w:tc>
          <w:tcPr>
            <w:tcW w:w="2624"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 xml:space="preserve">Acuerdo de clasificación, 09/CT/15-ORD72022 de la décimo quinta sesión ordinaria donde clasifica en su totalidad, el acta de </w:t>
            </w:r>
            <w:r w:rsidRPr="005E2ED7">
              <w:rPr>
                <w:rFonts w:ascii="Palatino Linotype" w:eastAsia="Palatino Linotype" w:hAnsi="Palatino Linotype" w:cs="Palatino Linotype"/>
                <w:sz w:val="18"/>
                <w:szCs w:val="18"/>
              </w:rPr>
              <w:lastRenderedPageBreak/>
              <w:t>nacimiento, cartilla militar y certificado médico.</w:t>
            </w:r>
          </w:p>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 xml:space="preserve">Versión Pública de la solicitud de empleo, del informe de antecedentes no penales, la constancia de no inhabilitación y el certificado de no deudor alimentario moroso, de la Titular de la Unidad de Transparencia y del Encargado de la Protección de Datos Personales de la Unidad de Transparencia, acompañada del Acuerdo de Comité correspondiente. </w:t>
            </w:r>
          </w:p>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 xml:space="preserve">Sin embargo, dichos documentos no se pusieron a la vista del particular, ya que se observan datos personales. </w:t>
            </w:r>
          </w:p>
        </w:tc>
        <w:tc>
          <w:tcPr>
            <w:tcW w:w="2624"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lastRenderedPageBreak/>
              <w:t xml:space="preserve">- Versión Pública del informe de antecedentes no penales y de la constancia de no inhabilitación, de la Titular de la Unidad de Transparencia y del Encargado de la </w:t>
            </w:r>
            <w:r w:rsidRPr="005E2ED7">
              <w:rPr>
                <w:rFonts w:ascii="Palatino Linotype" w:eastAsia="Palatino Linotype" w:hAnsi="Palatino Linotype" w:cs="Palatino Linotype"/>
                <w:sz w:val="18"/>
                <w:szCs w:val="18"/>
              </w:rPr>
              <w:lastRenderedPageBreak/>
              <w:t xml:space="preserve">Protección de Datos Personales de la Unidad de Transparencia, acompañada del Acuerdo de Comité correspondiente. </w:t>
            </w:r>
          </w:p>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 Versión Pública de la Cédula Profesional de la Titular de la Unidad de Transparencia, acompañada del Acuerdo de Comité correspondiente.</w:t>
            </w:r>
          </w:p>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 xml:space="preserve"> - Título del Último Grado de Estudios del Encargado de la Protección de Datos Personales de la Unidad de Transparencia.</w:t>
            </w:r>
          </w:p>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 Acuerdo de Clasificación 10/CT/32-ORD/2022, de la Trigésima Segunda Sesión Ordinaria del Comité de Transparencia, en donde se somete la aprobación de la clasificación total del certificado de no deudor alimentario moroso de la Titular de la Unidad de Transparencia y del Titular de Protección de Datos Personales.</w:t>
            </w:r>
          </w:p>
        </w:tc>
      </w:tr>
    </w:tbl>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Por lo anterior, resulta conveniente señalar lo establecido por el artículo 47 de la Ley del Trabajo de los Servidores Públicos del Estado y Municipios, el cual refiere que para ingresar al servicio público, se requiere, entre otras cosas, cumplir con diversos requisitos. En ese contexto, es conducente hacer referencia sobre aquellas exigencias a cumplir que señala el artículo en comento:</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276" w:lineRule="auto"/>
        <w:ind w:left="567" w:right="539"/>
        <w:jc w:val="both"/>
        <w:rPr>
          <w:rFonts w:ascii="Palatino Linotype" w:eastAsia="Palatino Linotype" w:hAnsi="Palatino Linotype" w:cs="Palatino Linotype"/>
          <w:i/>
        </w:rPr>
      </w:pPr>
      <w:r w:rsidRPr="005E2ED7">
        <w:rPr>
          <w:rFonts w:ascii="Palatino Linotype" w:eastAsia="Palatino Linotype" w:hAnsi="Palatino Linotype" w:cs="Palatino Linotype"/>
          <w:b/>
          <w:i/>
        </w:rPr>
        <w:t>ARTÍCULO 47.</w:t>
      </w:r>
      <w:r w:rsidRPr="005E2ED7">
        <w:rPr>
          <w:rFonts w:ascii="Palatino Linotype" w:eastAsia="Palatino Linotype" w:hAnsi="Palatino Linotype" w:cs="Palatino Linotype"/>
          <w:i/>
        </w:rPr>
        <w:t xml:space="preserve"> Para ingresar al servicio público se requiere:</w:t>
      </w:r>
    </w:p>
    <w:p w:rsidR="00B23E83" w:rsidRPr="005E2ED7" w:rsidRDefault="00B907A0">
      <w:pPr>
        <w:spacing w:after="0" w:line="276" w:lineRule="auto"/>
        <w:ind w:left="567" w:right="539"/>
        <w:jc w:val="both"/>
        <w:rPr>
          <w:rFonts w:ascii="Palatino Linotype" w:eastAsia="Palatino Linotype" w:hAnsi="Palatino Linotype" w:cs="Palatino Linotype"/>
          <w:i/>
        </w:rPr>
      </w:pPr>
      <w:r w:rsidRPr="005E2ED7">
        <w:rPr>
          <w:rFonts w:ascii="Palatino Linotype" w:eastAsia="Palatino Linotype" w:hAnsi="Palatino Linotype" w:cs="Palatino Linotype"/>
          <w:i/>
        </w:rPr>
        <w:t>I. Presentar una solicitud utilizando la forma oficial que se autorice por la institución pública o dependencia correspondiente;</w:t>
      </w:r>
    </w:p>
    <w:p w:rsidR="00B23E83" w:rsidRPr="005E2ED7" w:rsidRDefault="00B907A0">
      <w:pPr>
        <w:spacing w:after="0" w:line="276" w:lineRule="auto"/>
        <w:ind w:left="567" w:right="53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II. Ser de nacionalidad mexicana, con la excepción prevista en el artículo 17 de la presente ley; </w:t>
      </w:r>
    </w:p>
    <w:p w:rsidR="00B23E83" w:rsidRPr="005E2ED7" w:rsidRDefault="00B907A0">
      <w:pPr>
        <w:spacing w:after="0" w:line="276" w:lineRule="auto"/>
        <w:ind w:left="567" w:right="539"/>
        <w:jc w:val="both"/>
        <w:rPr>
          <w:rFonts w:ascii="Palatino Linotype" w:eastAsia="Palatino Linotype" w:hAnsi="Palatino Linotype" w:cs="Palatino Linotype"/>
          <w:i/>
        </w:rPr>
      </w:pPr>
      <w:r w:rsidRPr="005E2ED7">
        <w:rPr>
          <w:rFonts w:ascii="Palatino Linotype" w:eastAsia="Palatino Linotype" w:hAnsi="Palatino Linotype" w:cs="Palatino Linotype"/>
          <w:i/>
        </w:rPr>
        <w:t>III. Estar en pleno ejercicio de sus derechos civiles y políticos, en su caso;</w:t>
      </w:r>
    </w:p>
    <w:p w:rsidR="00B23E83" w:rsidRPr="005E2ED7" w:rsidRDefault="00B907A0">
      <w:pPr>
        <w:spacing w:after="0" w:line="276" w:lineRule="auto"/>
        <w:ind w:left="567" w:right="539"/>
        <w:jc w:val="both"/>
        <w:rPr>
          <w:rFonts w:ascii="Palatino Linotype" w:eastAsia="Palatino Linotype" w:hAnsi="Palatino Linotype" w:cs="Palatino Linotype"/>
          <w:i/>
        </w:rPr>
      </w:pPr>
      <w:r w:rsidRPr="005E2ED7">
        <w:rPr>
          <w:rFonts w:ascii="Palatino Linotype" w:eastAsia="Palatino Linotype" w:hAnsi="Palatino Linotype" w:cs="Palatino Linotype"/>
          <w:i/>
        </w:rPr>
        <w:t>IV. Acreditar, cuando proceda, el cumplimiento de la Ley del Servicio Militar Nacional;</w:t>
      </w:r>
    </w:p>
    <w:p w:rsidR="00B23E83" w:rsidRPr="005E2ED7" w:rsidRDefault="00B907A0">
      <w:pPr>
        <w:spacing w:after="0" w:line="276" w:lineRule="auto"/>
        <w:ind w:left="567" w:right="539"/>
        <w:jc w:val="both"/>
        <w:rPr>
          <w:rFonts w:ascii="Palatino Linotype" w:eastAsia="Palatino Linotype" w:hAnsi="Palatino Linotype" w:cs="Palatino Linotype"/>
          <w:i/>
        </w:rPr>
      </w:pPr>
      <w:r w:rsidRPr="005E2ED7">
        <w:rPr>
          <w:rFonts w:ascii="Palatino Linotype" w:eastAsia="Palatino Linotype" w:hAnsi="Palatino Linotype" w:cs="Palatino Linotype"/>
          <w:i/>
        </w:rPr>
        <w:t>V. Derogada.</w:t>
      </w:r>
    </w:p>
    <w:p w:rsidR="00B23E83" w:rsidRPr="005E2ED7" w:rsidRDefault="00B907A0">
      <w:pPr>
        <w:spacing w:after="0" w:line="276" w:lineRule="auto"/>
        <w:ind w:left="567" w:right="539"/>
        <w:jc w:val="both"/>
        <w:rPr>
          <w:rFonts w:ascii="Palatino Linotype" w:eastAsia="Palatino Linotype" w:hAnsi="Palatino Linotype" w:cs="Palatino Linotype"/>
          <w:i/>
        </w:rPr>
      </w:pPr>
      <w:r w:rsidRPr="005E2ED7">
        <w:rPr>
          <w:rFonts w:ascii="Palatino Linotype" w:eastAsia="Palatino Linotype" w:hAnsi="Palatino Linotype" w:cs="Palatino Linotype"/>
          <w:i/>
        </w:rPr>
        <w:t>VI. No haber sido separado anteriormente del servicio por las causas previstas en el artículo 93 de la presente ley;</w:t>
      </w:r>
    </w:p>
    <w:p w:rsidR="00B23E83" w:rsidRPr="005E2ED7" w:rsidRDefault="00B907A0">
      <w:pPr>
        <w:spacing w:after="0" w:line="276" w:lineRule="auto"/>
        <w:ind w:left="567" w:right="539"/>
        <w:jc w:val="both"/>
        <w:rPr>
          <w:rFonts w:ascii="Palatino Linotype" w:eastAsia="Palatino Linotype" w:hAnsi="Palatino Linotype" w:cs="Palatino Linotype"/>
          <w:i/>
        </w:rPr>
      </w:pPr>
      <w:r w:rsidRPr="005E2ED7">
        <w:rPr>
          <w:rFonts w:ascii="Palatino Linotype" w:eastAsia="Palatino Linotype" w:hAnsi="Palatino Linotype" w:cs="Palatino Linotype"/>
          <w:i/>
        </w:rPr>
        <w:t>VII. Tener buena salud, lo que se comprobará con los certificados médicos correspondientes, en la forma en que se establezca en cada institución pública;</w:t>
      </w:r>
    </w:p>
    <w:p w:rsidR="00B23E83" w:rsidRPr="005E2ED7" w:rsidRDefault="00B907A0">
      <w:pPr>
        <w:spacing w:after="0" w:line="276" w:lineRule="auto"/>
        <w:ind w:left="567" w:right="539"/>
        <w:jc w:val="both"/>
        <w:rPr>
          <w:rFonts w:ascii="Palatino Linotype" w:eastAsia="Palatino Linotype" w:hAnsi="Palatino Linotype" w:cs="Palatino Linotype"/>
          <w:i/>
        </w:rPr>
      </w:pPr>
      <w:r w:rsidRPr="005E2ED7">
        <w:rPr>
          <w:rFonts w:ascii="Palatino Linotype" w:eastAsia="Palatino Linotype" w:hAnsi="Palatino Linotype" w:cs="Palatino Linotype"/>
          <w:i/>
        </w:rPr>
        <w:t>VIII. Cumplir con los requisitos que se establezcan para los diferentes puestos;</w:t>
      </w:r>
    </w:p>
    <w:p w:rsidR="00B23E83" w:rsidRPr="005E2ED7" w:rsidRDefault="00B907A0">
      <w:pPr>
        <w:spacing w:after="0" w:line="276" w:lineRule="auto"/>
        <w:ind w:left="567" w:right="53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IX. Acreditar por medio de los exámenes correspondientes los conocimientos y aptitudes necesarios para el desempeño del puesto; y </w:t>
      </w:r>
    </w:p>
    <w:p w:rsidR="00B23E83" w:rsidRPr="005E2ED7" w:rsidRDefault="00B907A0">
      <w:pPr>
        <w:spacing w:after="0" w:line="276" w:lineRule="auto"/>
        <w:ind w:left="567" w:right="539"/>
        <w:jc w:val="both"/>
        <w:rPr>
          <w:rFonts w:ascii="Palatino Linotype" w:eastAsia="Palatino Linotype" w:hAnsi="Palatino Linotype" w:cs="Palatino Linotype"/>
          <w:i/>
        </w:rPr>
      </w:pPr>
      <w:r w:rsidRPr="005E2ED7">
        <w:rPr>
          <w:rFonts w:ascii="Palatino Linotype" w:eastAsia="Palatino Linotype" w:hAnsi="Palatino Linotype" w:cs="Palatino Linotype"/>
          <w:i/>
        </w:rPr>
        <w:t>X. No estar inhabilitado para el ejercicio del servicio público.</w:t>
      </w:r>
    </w:p>
    <w:p w:rsidR="00B23E83" w:rsidRPr="005E2ED7" w:rsidRDefault="00B907A0">
      <w:pPr>
        <w:spacing w:after="0" w:line="276" w:lineRule="auto"/>
        <w:ind w:left="567" w:right="539"/>
        <w:jc w:val="both"/>
        <w:rPr>
          <w:rFonts w:ascii="Palatino Linotype" w:eastAsia="Palatino Linotype" w:hAnsi="Palatino Linotype" w:cs="Palatino Linotype"/>
          <w:i/>
        </w:rPr>
      </w:pPr>
      <w:r w:rsidRPr="005E2ED7">
        <w:rPr>
          <w:rFonts w:ascii="Palatino Linotype" w:eastAsia="Palatino Linotype" w:hAnsi="Palatino Linotype" w:cs="Palatino Linotype"/>
          <w:i/>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B23E83" w:rsidRPr="005E2ED7" w:rsidRDefault="00B23E83">
      <w:pPr>
        <w:spacing w:after="0" w:line="360" w:lineRule="auto"/>
        <w:ind w:right="539"/>
        <w:jc w:val="both"/>
        <w:rPr>
          <w:rFonts w:ascii="Palatino Linotype" w:eastAsia="Palatino Linotype" w:hAnsi="Palatino Linotype" w:cs="Palatino Linotype"/>
          <w:i/>
          <w:strike/>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Conforme a lo anterior, se logra advertir que toda persona que ingrese al servicio público debe cumplir con las especificaciones los interesados deben cumplir con los elementos señalados, así como aquellos requisitos que se establezcan para los diferentes puestos, sin embargo, se observa que entre los requisitos que establece el artículo en cita, algunos hacen referencia a un documento en específico, mientras </w:t>
      </w:r>
      <w:r w:rsidRPr="005E2ED7">
        <w:rPr>
          <w:rFonts w:ascii="Palatino Linotype" w:eastAsia="Palatino Linotype" w:hAnsi="Palatino Linotype" w:cs="Palatino Linotype"/>
          <w:sz w:val="24"/>
          <w:szCs w:val="24"/>
        </w:rPr>
        <w:lastRenderedPageBreak/>
        <w:t>que otros no; por lo que es conveniente analizar qué documentos pueden colmar dichos requisitos.</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 xml:space="preserve">FRACCIÓN I. </w:t>
      </w:r>
    </w:p>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bookmarkStart w:id="7" w:name="_heading=h.3dy6vkm" w:colFirst="0" w:colLast="0"/>
      <w:bookmarkEnd w:id="7"/>
      <w:r w:rsidRPr="005E2ED7">
        <w:rPr>
          <w:rFonts w:ascii="Palatino Linotype" w:eastAsia="Palatino Linotype" w:hAnsi="Palatino Linotype" w:cs="Palatino Linotype"/>
          <w:sz w:val="24"/>
          <w:szCs w:val="24"/>
        </w:rPr>
        <w:t xml:space="preserve">En este sentido, de la </w:t>
      </w:r>
      <w:r w:rsidRPr="005E2ED7">
        <w:rPr>
          <w:rFonts w:ascii="Palatino Linotype" w:eastAsia="Palatino Linotype" w:hAnsi="Palatino Linotype" w:cs="Palatino Linotype"/>
          <w:b/>
          <w:sz w:val="24"/>
          <w:szCs w:val="24"/>
        </w:rPr>
        <w:t>fracción I,</w:t>
      </w:r>
      <w:r w:rsidRPr="005E2ED7">
        <w:rPr>
          <w:rFonts w:ascii="Palatino Linotype" w:eastAsia="Palatino Linotype" w:hAnsi="Palatino Linotype" w:cs="Palatino Linotype"/>
          <w:sz w:val="24"/>
          <w:szCs w:val="24"/>
        </w:rPr>
        <w:t xml:space="preserve"> se desprende que para ingresar al servicio público se requiere, presentar una solicitud utilizando la forma oficial que se autorice por la institución pública o dependencia correspondiente, en la que de manera enunciativa obran los siguientes datos: nombre, domicilio, teléfono, correo electrónico, escolaridad, capacitación recibida con relación al puesto solicitado, conocimientos y/o habilidades para el puesto, experiencia laboral, fecha y firma de quien solicita; esto conforme a la referencia obtenida de conformidad al formato utilizado por la Secretaría de Finanzas del Gobierno del Estado de México.</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En ese tenor, los datos como el domicilio, teléfono y correo electrónico no corresponde a la persona física en su calidad de particular y no como servidor público, ya que, permiten hacer identificable y ubicable, a los servidores públicos ya que puede propiciar que pueda ser molestado en su casa o negocio, de este modo, los datos que permiten a cualquier individuo con esfuerzos mínimos identificar directamente en la privacidad de personas físicas identificadas y su difusión podría afectar la esfera privada de las mismas.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lastRenderedPageBreak/>
        <w:t>Por cuanto hace a los datos escolares y laborales en su mayor parte pueden ser visibles, puesto que con ellos se permite comprobar la preparación y experiencia del servidor público.</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Por lo tanto, es información pública</w:t>
      </w:r>
      <w:r w:rsidRPr="005E2ED7">
        <w:rPr>
          <w:rFonts w:ascii="Palatino Linotype" w:eastAsia="Palatino Linotype" w:hAnsi="Palatino Linotype" w:cs="Palatino Linotype"/>
          <w:sz w:val="24"/>
          <w:szCs w:val="24"/>
          <w:vertAlign w:val="superscript"/>
        </w:rPr>
        <w:footnoteReference w:id="2"/>
      </w:r>
      <w:r w:rsidRPr="005E2ED7">
        <w:rPr>
          <w:rFonts w:ascii="Palatino Linotype" w:eastAsia="Palatino Linotype" w:hAnsi="Palatino Linotype" w:cs="Palatino Linotype"/>
          <w:sz w:val="24"/>
          <w:szCs w:val="24"/>
        </w:rPr>
        <w:t xml:space="preserve"> de los servidores públicos la relativa a su trayectoria académica, profesional, laboral, así como todos aquellos datos que acrediten su capacidad, habilidades o pericia para ocupar el cargo público por lo que se estima que con la entrega del ficha curricular, currículum vitae antes analizado se colma este punto.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 xml:space="preserve">FRACCIÓN II. </w:t>
      </w:r>
    </w:p>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Tocante a la fracción II, se observa que el requisito consiste en ser de nacionalidad mexicana, por lo que el documento que colmaría este punto de la solicitud de manera enunciativa más no limitativa sería el acta de nacimiento, por lo que conviene precisar que las actas emitidas por el Registro Civil dan cuenta de un atributo de la personalidad, tal como lo establece el artículo 2.3 del Código Civil del </w:t>
      </w:r>
      <w:r w:rsidRPr="005E2ED7">
        <w:rPr>
          <w:rFonts w:ascii="Palatino Linotype" w:eastAsia="Palatino Linotype" w:hAnsi="Palatino Linotype" w:cs="Palatino Linotype"/>
          <w:sz w:val="24"/>
          <w:szCs w:val="24"/>
        </w:rPr>
        <w:lastRenderedPageBreak/>
        <w:t xml:space="preserve">Estado México. En ese orden de ideas, el artículo 3.5 del citado Código Civil establece que el estado civil de las personas sólo se comprueba con las constancias relativas del Registro Civil, tal como lo es el Acta de Nacimiento.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Ahora bien, de acuerdo con el Formato Único del Acta de Nacimiento publicado por la Secretaría de Gobernación en el enlace http://www.diputados.gob.mx/documentos/N_Acta_Nacimiento.pdf, se advierte que el Acta de Nacimiento se componte de quince elementos siendo los siguientes: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a)</w:t>
      </w:r>
      <w:r w:rsidRPr="005E2ED7">
        <w:rPr>
          <w:rFonts w:ascii="Palatino Linotype" w:eastAsia="Palatino Linotype" w:hAnsi="Palatino Linotype" w:cs="Palatino Linotype"/>
          <w:sz w:val="24"/>
          <w:szCs w:val="24"/>
        </w:rPr>
        <w:tab/>
        <w:t>Folio de Impresión.</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b)</w:t>
      </w:r>
      <w:r w:rsidRPr="005E2ED7">
        <w:rPr>
          <w:rFonts w:ascii="Palatino Linotype" w:eastAsia="Palatino Linotype" w:hAnsi="Palatino Linotype" w:cs="Palatino Linotype"/>
          <w:sz w:val="24"/>
          <w:szCs w:val="24"/>
        </w:rPr>
        <w:tab/>
        <w:t>Denominación del Documento.</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c)</w:t>
      </w:r>
      <w:r w:rsidRPr="005E2ED7">
        <w:rPr>
          <w:rFonts w:ascii="Palatino Linotype" w:eastAsia="Palatino Linotype" w:hAnsi="Palatino Linotype" w:cs="Palatino Linotype"/>
          <w:sz w:val="24"/>
          <w:szCs w:val="24"/>
        </w:rPr>
        <w:tab/>
        <w:t xml:space="preserve">Identificador Electrónico.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d)</w:t>
      </w:r>
      <w:r w:rsidRPr="005E2ED7">
        <w:rPr>
          <w:rFonts w:ascii="Palatino Linotype" w:eastAsia="Palatino Linotype" w:hAnsi="Palatino Linotype" w:cs="Palatino Linotype"/>
          <w:sz w:val="24"/>
          <w:szCs w:val="24"/>
        </w:rPr>
        <w:tab/>
        <w:t xml:space="preserve">Elementos del Registro.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e)</w:t>
      </w:r>
      <w:r w:rsidRPr="005E2ED7">
        <w:rPr>
          <w:rFonts w:ascii="Palatino Linotype" w:eastAsia="Palatino Linotype" w:hAnsi="Palatino Linotype" w:cs="Palatino Linotype"/>
          <w:sz w:val="24"/>
          <w:szCs w:val="24"/>
        </w:rPr>
        <w:tab/>
        <w:t xml:space="preserve">Datos de la Persona Registrada.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f)</w:t>
      </w:r>
      <w:r w:rsidRPr="005E2ED7">
        <w:rPr>
          <w:rFonts w:ascii="Palatino Linotype" w:eastAsia="Palatino Linotype" w:hAnsi="Palatino Linotype" w:cs="Palatino Linotype"/>
          <w:sz w:val="24"/>
          <w:szCs w:val="24"/>
        </w:rPr>
        <w:tab/>
        <w:t xml:space="preserve">Datos de Filiación de la Persona Registrada.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g)</w:t>
      </w:r>
      <w:r w:rsidRPr="005E2ED7">
        <w:rPr>
          <w:rFonts w:ascii="Palatino Linotype" w:eastAsia="Palatino Linotype" w:hAnsi="Palatino Linotype" w:cs="Palatino Linotype"/>
          <w:sz w:val="24"/>
          <w:szCs w:val="24"/>
        </w:rPr>
        <w:tab/>
        <w:t xml:space="preserve">Anotaciones Marginales.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h)</w:t>
      </w:r>
      <w:r w:rsidRPr="005E2ED7">
        <w:rPr>
          <w:rFonts w:ascii="Palatino Linotype" w:eastAsia="Palatino Linotype" w:hAnsi="Palatino Linotype" w:cs="Palatino Linotype"/>
          <w:sz w:val="24"/>
          <w:szCs w:val="24"/>
        </w:rPr>
        <w:tab/>
        <w:t xml:space="preserve">Certificación.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i)</w:t>
      </w:r>
      <w:r w:rsidRPr="005E2ED7">
        <w:rPr>
          <w:rFonts w:ascii="Palatino Linotype" w:eastAsia="Palatino Linotype" w:hAnsi="Palatino Linotype" w:cs="Palatino Linotype"/>
          <w:sz w:val="24"/>
          <w:szCs w:val="24"/>
        </w:rPr>
        <w:tab/>
        <w:t xml:space="preserve">Código Bidimensional QR que contiene información encriptada del acta.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j)</w:t>
      </w:r>
      <w:r w:rsidRPr="005E2ED7">
        <w:rPr>
          <w:rFonts w:ascii="Palatino Linotype" w:eastAsia="Palatino Linotype" w:hAnsi="Palatino Linotype" w:cs="Palatino Linotype"/>
          <w:sz w:val="24"/>
          <w:szCs w:val="24"/>
        </w:rPr>
        <w:tab/>
        <w:t xml:space="preserve">Leyenda “Soy México”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k)</w:t>
      </w:r>
      <w:r w:rsidRPr="005E2ED7">
        <w:rPr>
          <w:rFonts w:ascii="Palatino Linotype" w:eastAsia="Palatino Linotype" w:hAnsi="Palatino Linotype" w:cs="Palatino Linotype"/>
          <w:sz w:val="24"/>
          <w:szCs w:val="24"/>
        </w:rPr>
        <w:tab/>
        <w:t xml:space="preserve">Firma Electrónica Avanzada.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l)</w:t>
      </w:r>
      <w:r w:rsidRPr="005E2ED7">
        <w:rPr>
          <w:rFonts w:ascii="Palatino Linotype" w:eastAsia="Palatino Linotype" w:hAnsi="Palatino Linotype" w:cs="Palatino Linotype"/>
          <w:sz w:val="24"/>
          <w:szCs w:val="24"/>
        </w:rPr>
        <w:tab/>
        <w:t xml:space="preserve">Firma y datos de la autoridad emisora.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m)</w:t>
      </w:r>
      <w:r w:rsidRPr="005E2ED7">
        <w:rPr>
          <w:rFonts w:ascii="Palatino Linotype" w:eastAsia="Palatino Linotype" w:hAnsi="Palatino Linotype" w:cs="Palatino Linotype"/>
          <w:sz w:val="24"/>
          <w:szCs w:val="24"/>
        </w:rPr>
        <w:tab/>
        <w:t xml:space="preserve">Código QR. </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n)</w:t>
      </w:r>
      <w:r w:rsidRPr="005E2ED7">
        <w:rPr>
          <w:rFonts w:ascii="Palatino Linotype" w:eastAsia="Palatino Linotype" w:hAnsi="Palatino Linotype" w:cs="Palatino Linotype"/>
          <w:sz w:val="24"/>
          <w:szCs w:val="24"/>
        </w:rPr>
        <w:tab/>
        <w:t>Código de Verificación.</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lastRenderedPageBreak/>
        <w:t>o)</w:t>
      </w:r>
      <w:r w:rsidRPr="005E2ED7">
        <w:rPr>
          <w:rFonts w:ascii="Palatino Linotype" w:eastAsia="Palatino Linotype" w:hAnsi="Palatino Linotype" w:cs="Palatino Linotype"/>
          <w:sz w:val="24"/>
          <w:szCs w:val="24"/>
        </w:rPr>
        <w:tab/>
        <w:t xml:space="preserve">Leyenda de instrucciones para la verificación del documento. </w:t>
      </w:r>
    </w:p>
    <w:p w:rsidR="00B23E83" w:rsidRPr="005E2ED7" w:rsidRDefault="00B23E83">
      <w:pPr>
        <w:spacing w:after="80" w:line="360" w:lineRule="auto"/>
        <w:jc w:val="both"/>
        <w:rPr>
          <w:rFonts w:ascii="Palatino Linotype" w:eastAsia="Palatino Linotype" w:hAnsi="Palatino Linotype" w:cs="Palatino Linotype"/>
          <w:sz w:val="24"/>
          <w:szCs w:val="24"/>
        </w:rPr>
      </w:pPr>
    </w:p>
    <w:p w:rsidR="00B23E83" w:rsidRPr="005E2ED7" w:rsidRDefault="00B907A0">
      <w:pPr>
        <w:spacing w:before="80" w:after="240" w:line="360" w:lineRule="auto"/>
        <w:jc w:val="both"/>
        <w:rPr>
          <w:rFonts w:ascii="Palatino Linotype" w:eastAsia="Palatino Linotype" w:hAnsi="Palatino Linotype" w:cs="Palatino Linotype"/>
        </w:rPr>
      </w:pPr>
      <w:r w:rsidRPr="005E2ED7">
        <w:rPr>
          <w:rFonts w:ascii="Palatino Linotype" w:eastAsia="Palatino Linotype" w:hAnsi="Palatino Linotype" w:cs="Palatino Linotype"/>
        </w:rPr>
        <w:t xml:space="preserve">Siendo de suma importancia mencionar que la información relativa a los incisos </w:t>
      </w:r>
      <w:r w:rsidRPr="005E2ED7">
        <w:rPr>
          <w:rFonts w:ascii="Palatino Linotype" w:eastAsia="Palatino Linotype" w:hAnsi="Palatino Linotype" w:cs="Palatino Linotype"/>
          <w:b/>
        </w:rPr>
        <w:t>d) elementos de registro, e) datos de la persona registrada, f) datos de filiación de la persona registrada</w:t>
      </w:r>
      <w:r w:rsidRPr="005E2ED7">
        <w:rPr>
          <w:rFonts w:ascii="Palatino Linotype" w:eastAsia="Palatino Linotype" w:hAnsi="Palatino Linotype" w:cs="Palatino Linotype"/>
        </w:rPr>
        <w:t xml:space="preserve">, </w:t>
      </w:r>
      <w:r w:rsidRPr="005E2ED7">
        <w:rPr>
          <w:rFonts w:ascii="Palatino Linotype" w:eastAsia="Palatino Linotype" w:hAnsi="Palatino Linotype" w:cs="Palatino Linotype"/>
          <w:b/>
        </w:rPr>
        <w:t xml:space="preserve">g), anotaciones marginales </w:t>
      </w:r>
      <w:r w:rsidRPr="005E2ED7">
        <w:rPr>
          <w:rFonts w:ascii="Palatino Linotype" w:eastAsia="Palatino Linotype" w:hAnsi="Palatino Linotype" w:cs="Palatino Linotype"/>
        </w:rPr>
        <w:t>y</w:t>
      </w:r>
      <w:r w:rsidRPr="005E2ED7">
        <w:rPr>
          <w:rFonts w:ascii="Palatino Linotype" w:eastAsia="Palatino Linotype" w:hAnsi="Palatino Linotype" w:cs="Palatino Linotype"/>
          <w:b/>
        </w:rPr>
        <w:t xml:space="preserve"> m) Código QR, </w:t>
      </w:r>
      <w:r w:rsidRPr="005E2ED7">
        <w:rPr>
          <w:rFonts w:ascii="Palatino Linotype" w:eastAsia="Palatino Linotype" w:hAnsi="Palatino Linotype" w:cs="Palatino Linotype"/>
        </w:rPr>
        <w:t>se encuentra intrínsecamente relacionada con la esfera privada de una persona haciéndole identificada o identificable, como al contener los siguientes datos:</w:t>
      </w:r>
    </w:p>
    <w:p w:rsidR="00B23E83" w:rsidRPr="005E2ED7" w:rsidRDefault="00B907A0">
      <w:pPr>
        <w:spacing w:before="240" w:after="240" w:line="360" w:lineRule="auto"/>
        <w:jc w:val="both"/>
        <w:rPr>
          <w:rFonts w:ascii="Palatino Linotype" w:eastAsia="Palatino Linotype" w:hAnsi="Palatino Linotype" w:cs="Palatino Linotype"/>
        </w:rPr>
      </w:pPr>
      <w:r w:rsidRPr="005E2ED7">
        <w:rPr>
          <w:rFonts w:ascii="Palatino Linotype" w:eastAsia="Palatino Linotype" w:hAnsi="Palatino Linotype" w:cs="Palatino Linotype"/>
          <w:noProof/>
        </w:rPr>
        <w:drawing>
          <wp:inline distT="0" distB="0" distL="0" distR="0">
            <wp:extent cx="5610225" cy="2933700"/>
            <wp:effectExtent l="0" t="0" r="0" b="0"/>
            <wp:docPr id="1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5610225" cy="2933700"/>
                    </a:xfrm>
                    <a:prstGeom prst="rect">
                      <a:avLst/>
                    </a:prstGeom>
                    <a:ln/>
                  </pic:spPr>
                </pic:pic>
              </a:graphicData>
            </a:graphic>
          </wp:inline>
        </w:drawing>
      </w:r>
    </w:p>
    <w:p w:rsidR="00B23E83" w:rsidRPr="005E2ED7" w:rsidRDefault="00B907A0">
      <w:pPr>
        <w:spacing w:before="240" w:after="240" w:line="360" w:lineRule="auto"/>
        <w:jc w:val="both"/>
        <w:rPr>
          <w:rFonts w:ascii="Palatino Linotype" w:eastAsia="Palatino Linotype" w:hAnsi="Palatino Linotype" w:cs="Palatino Linotype"/>
        </w:rPr>
      </w:pPr>
      <w:r w:rsidRPr="005E2ED7">
        <w:rPr>
          <w:rFonts w:ascii="Palatino Linotype" w:eastAsia="Palatino Linotype" w:hAnsi="Palatino Linotype" w:cs="Palatino Linotype"/>
          <w:noProof/>
        </w:rPr>
        <w:drawing>
          <wp:inline distT="0" distB="0" distL="0" distR="0">
            <wp:extent cx="5610225" cy="1695450"/>
            <wp:effectExtent l="0" t="0" r="0" b="0"/>
            <wp:docPr id="1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b="60179"/>
                    <a:stretch>
                      <a:fillRect/>
                    </a:stretch>
                  </pic:blipFill>
                  <pic:spPr>
                    <a:xfrm>
                      <a:off x="0" y="0"/>
                      <a:ext cx="5610225" cy="1695450"/>
                    </a:xfrm>
                    <a:prstGeom prst="rect">
                      <a:avLst/>
                    </a:prstGeom>
                    <a:ln/>
                  </pic:spPr>
                </pic:pic>
              </a:graphicData>
            </a:graphic>
          </wp:inline>
        </w:drawing>
      </w:r>
    </w:p>
    <w:p w:rsidR="00B23E83" w:rsidRPr="005E2ED7" w:rsidRDefault="00B907A0">
      <w:pPr>
        <w:spacing w:before="240" w:after="240" w:line="360" w:lineRule="auto"/>
        <w:jc w:val="both"/>
        <w:rPr>
          <w:rFonts w:ascii="Palatino Linotype" w:eastAsia="Palatino Linotype" w:hAnsi="Palatino Linotype" w:cs="Palatino Linotype"/>
        </w:rPr>
      </w:pPr>
      <w:r w:rsidRPr="005E2ED7">
        <w:rPr>
          <w:rFonts w:ascii="Palatino Linotype" w:eastAsia="Palatino Linotype" w:hAnsi="Palatino Linotype" w:cs="Palatino Linotype"/>
          <w:noProof/>
        </w:rPr>
        <w:lastRenderedPageBreak/>
        <w:drawing>
          <wp:inline distT="0" distB="0" distL="0" distR="0">
            <wp:extent cx="5610225" cy="2466975"/>
            <wp:effectExtent l="0" t="0" r="0" b="0"/>
            <wp:docPr id="1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t="42282" b="-223"/>
                    <a:stretch>
                      <a:fillRect/>
                    </a:stretch>
                  </pic:blipFill>
                  <pic:spPr>
                    <a:xfrm>
                      <a:off x="0" y="0"/>
                      <a:ext cx="5610225" cy="2466975"/>
                    </a:xfrm>
                    <a:prstGeom prst="rect">
                      <a:avLst/>
                    </a:prstGeom>
                    <a:ln/>
                  </pic:spPr>
                </pic:pic>
              </a:graphicData>
            </a:graphic>
          </wp:inline>
        </w:drawing>
      </w:r>
    </w:p>
    <w:p w:rsidR="00B23E83" w:rsidRPr="005E2ED7" w:rsidRDefault="00B907A0">
      <w:pPr>
        <w:spacing w:before="240" w:after="240" w:line="360" w:lineRule="auto"/>
        <w:jc w:val="both"/>
        <w:rPr>
          <w:rFonts w:ascii="Palatino Linotype" w:eastAsia="Palatino Linotype" w:hAnsi="Palatino Linotype" w:cs="Palatino Linotype"/>
        </w:rPr>
      </w:pPr>
      <w:r w:rsidRPr="005E2ED7">
        <w:rPr>
          <w:rFonts w:ascii="Palatino Linotype" w:eastAsia="Palatino Linotype" w:hAnsi="Palatino Linotype" w:cs="Palatino Linotype"/>
          <w:noProof/>
        </w:rPr>
        <w:drawing>
          <wp:inline distT="0" distB="0" distL="0" distR="0">
            <wp:extent cx="5577840" cy="914400"/>
            <wp:effectExtent l="0" t="0" r="0" b="0"/>
            <wp:docPr id="1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a:stretch>
                      <a:fillRect/>
                    </a:stretch>
                  </pic:blipFill>
                  <pic:spPr>
                    <a:xfrm>
                      <a:off x="0" y="0"/>
                      <a:ext cx="5577840" cy="914400"/>
                    </a:xfrm>
                    <a:prstGeom prst="rect">
                      <a:avLst/>
                    </a:prstGeom>
                    <a:ln/>
                  </pic:spPr>
                </pic:pic>
              </a:graphicData>
            </a:graphic>
          </wp:inline>
        </w:drawing>
      </w:r>
    </w:p>
    <w:p w:rsidR="00B23E83" w:rsidRPr="005E2ED7" w:rsidRDefault="00B907A0">
      <w:pPr>
        <w:spacing w:before="240" w:after="24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se estima que dicho documento debe ser clasificado como información confidencial en su totalidad, al considerar que actualiza la causal de clasificación establecida en el artículo 143, fracción I, de la Ley de Transparencia y Acceso a la Información Pública del Estado de México y Municipios, para el caso de que el </w:t>
      </w:r>
      <w:r w:rsidRPr="005E2ED7">
        <w:rPr>
          <w:rFonts w:ascii="Palatino Linotype" w:eastAsia="Palatino Linotype" w:hAnsi="Palatino Linotype" w:cs="Palatino Linotype"/>
          <w:b/>
          <w:sz w:val="24"/>
          <w:szCs w:val="24"/>
        </w:rPr>
        <w:t xml:space="preserve">SUJETO OBLIGADO </w:t>
      </w:r>
      <w:r w:rsidRPr="005E2ED7">
        <w:rPr>
          <w:rFonts w:ascii="Palatino Linotype" w:eastAsia="Palatino Linotype" w:hAnsi="Palatino Linotype" w:cs="Palatino Linotype"/>
          <w:sz w:val="24"/>
          <w:szCs w:val="24"/>
        </w:rPr>
        <w:t>lo administre o posea en sus archivos.</w:t>
      </w:r>
    </w:p>
    <w:p w:rsidR="00B23E83" w:rsidRPr="005E2ED7" w:rsidRDefault="00B907A0">
      <w:pPr>
        <w:spacing w:before="240" w:after="24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lastRenderedPageBreak/>
        <w:t xml:space="preserve">Por lo que de conformidad a la información enviada en informe justificado, observa que el </w:t>
      </w:r>
      <w:r w:rsidRPr="005E2ED7">
        <w:rPr>
          <w:rFonts w:ascii="Palatino Linotype" w:eastAsia="Palatino Linotype" w:hAnsi="Palatino Linotype" w:cs="Palatino Linotype"/>
          <w:b/>
          <w:sz w:val="24"/>
          <w:szCs w:val="24"/>
        </w:rPr>
        <w:t xml:space="preserve">SUJETO OBLIGADO </w:t>
      </w:r>
      <w:r w:rsidRPr="005E2ED7">
        <w:rPr>
          <w:rFonts w:ascii="Palatino Linotype" w:eastAsia="Palatino Linotype" w:hAnsi="Palatino Linotype" w:cs="Palatino Linotype"/>
          <w:sz w:val="24"/>
          <w:szCs w:val="24"/>
        </w:rPr>
        <w:t xml:space="preserve">clasifica de forma total el acta de nacimiento, sin embargo, no se puso a la vista del </w:t>
      </w:r>
      <w:r w:rsidRPr="005E2ED7">
        <w:rPr>
          <w:rFonts w:ascii="Palatino Linotype" w:eastAsia="Palatino Linotype" w:hAnsi="Palatino Linotype" w:cs="Palatino Linotype"/>
          <w:b/>
          <w:sz w:val="24"/>
          <w:szCs w:val="24"/>
        </w:rPr>
        <w:t xml:space="preserve">RECURRENTE, </w:t>
      </w:r>
      <w:r w:rsidRPr="005E2ED7">
        <w:rPr>
          <w:rFonts w:ascii="Palatino Linotype" w:eastAsia="Palatino Linotype" w:hAnsi="Palatino Linotype" w:cs="Palatino Linotype"/>
          <w:sz w:val="24"/>
          <w:szCs w:val="24"/>
        </w:rPr>
        <w:t xml:space="preserve">ya que al hacerlo dejaría visible los certificados de no deudor alimentario moroso de la Titular de la Unidad de Transparencia y del Encargado de Protección de Datos Personales de la Unidad de Transparencia, que por su naturaleza debe ser clasificado en su totalidad, motivo por el que se ordena la entrega del acta del Comité de Transparencia enviado mediante informe justificado. </w:t>
      </w: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FRACCIÓN III.</w:t>
      </w:r>
    </w:p>
    <w:p w:rsidR="00B23E83" w:rsidRPr="005E2ED7" w:rsidRDefault="00B23E83">
      <w:pPr>
        <w:spacing w:after="80" w:line="360" w:lineRule="auto"/>
        <w:jc w:val="both"/>
        <w:rPr>
          <w:rFonts w:ascii="Palatino Linotype" w:eastAsia="Palatino Linotype" w:hAnsi="Palatino Linotype" w:cs="Palatino Linotype"/>
          <w:sz w:val="24"/>
          <w:szCs w:val="24"/>
        </w:rPr>
      </w:pPr>
    </w:p>
    <w:p w:rsidR="00B23E83" w:rsidRPr="005E2ED7" w:rsidRDefault="00B907A0">
      <w:pPr>
        <w:spacing w:before="80" w:after="24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Por cuanto hace, al acreditar estar en pleno ejercicio de sus derechos civiles y políticos, requisito marcado bajo la fracción III, es de precisar que en la normatividad no existe algún documento específico que permita acreditar que el ciudadano está en pleno uso de sus derechos; sin embargo, de manera enunciativa más no limitativa ello se puede acreditar mediante el “informe o certificado de antecedentes no penales” ya que mediante este documento se puede apreciar si una persona ha sido condenada o no por sentencia firme dictada por los órganos jurisdiccionales competentes, la cual se expide, cuando se requiera para trámites de carácter personal cuando:</w:t>
      </w:r>
    </w:p>
    <w:p w:rsidR="00B23E83" w:rsidRPr="005E2ED7" w:rsidRDefault="00B907A0">
      <w:pPr>
        <w:spacing w:before="240" w:after="240" w:line="360" w:lineRule="auto"/>
        <w:ind w:left="70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I. Las disposiciones legales establezcan como requisito para desempeñar un empleo, cargo o comisión en el servicio público, la acreditación por parte del </w:t>
      </w:r>
      <w:r w:rsidRPr="005E2ED7">
        <w:rPr>
          <w:rFonts w:ascii="Palatino Linotype" w:eastAsia="Palatino Linotype" w:hAnsi="Palatino Linotype" w:cs="Palatino Linotype"/>
          <w:sz w:val="24"/>
          <w:szCs w:val="24"/>
        </w:rPr>
        <w:lastRenderedPageBreak/>
        <w:t>interesado de no haber cometido delito alguno o que no tiene antecedentes penales.</w:t>
      </w:r>
    </w:p>
    <w:p w:rsidR="00B23E83" w:rsidRPr="005E2ED7" w:rsidRDefault="00B907A0">
      <w:pPr>
        <w:spacing w:before="240" w:after="24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En concordancia con lo anterior, cabe decir que en términos del numeral NOVENO de los “</w:t>
      </w:r>
      <w:r w:rsidRPr="005E2ED7">
        <w:rPr>
          <w:rFonts w:ascii="Palatino Linotype" w:eastAsia="Palatino Linotype" w:hAnsi="Palatino Linotype" w:cs="Palatino Linotype"/>
          <w:i/>
          <w:sz w:val="24"/>
          <w:szCs w:val="24"/>
        </w:rPr>
        <w:t>LINEAMIENTOS PARA LA EXPEDICIÓN OE INFORMES Y CERTIFICADOS DE NO ANTECEDENTES PENALES</w:t>
      </w:r>
      <w:r w:rsidRPr="005E2ED7">
        <w:rPr>
          <w:rFonts w:ascii="Palatino Linotype" w:eastAsia="Palatino Linotype" w:hAnsi="Palatino Linotype" w:cs="Palatino Linotype"/>
          <w:sz w:val="24"/>
          <w:szCs w:val="24"/>
        </w:rPr>
        <w:t>”, el informe de antecedentes no penales se limitará a señalar que, conforme a los datos proporcionados, la persona de que se trate, no cuenta con antecedentes penales, sin hacer mayor precisión sobre los expedientes o registros correspondientes, o bien, que podrá presentarse en las oficinas del Instituto de Servicios Periciales para realizar las aclaraciones respectivas y en su caso, solicitar las rectificaciones y cancelaciones a que haya lugar, en términos de las disposiciones legales aplicables, sirve de apoyo a lo anterior la Tesis XXXX.3º.3P(10ª.), de los Tribunales Colegiados de circuito de la Suprema Corte de Justicia de la Nación, que es del rubro y texto siguiente:</w:t>
      </w:r>
    </w:p>
    <w:p w:rsidR="00B23E83" w:rsidRPr="005E2ED7" w:rsidRDefault="00B907A0">
      <w:pPr>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b/>
          <w:i/>
        </w:rPr>
        <w:t>“CONSTANCIA DE ANTECEDENTES PENALES. LINEAMIENTOS QUE LA AUTORIDAD PENITENCIARIA DEBE OBSERVAR OFICIOSAMENTE PARA SU EXPEDICIÓN, A FIN DE QUE SU ACTUAR NO RESULTE DISCRIMINATORIO.</w:t>
      </w:r>
      <w:r w:rsidRPr="005E2ED7">
        <w:rPr>
          <w:rFonts w:ascii="Palatino Linotype" w:eastAsia="Palatino Linotype" w:hAnsi="Palatino Linotype" w:cs="Palatino Linotype"/>
          <w:i/>
        </w:rPr>
        <w:t xml:space="preserve"> De la interpretación conforme del artículo 27, fracción V, inciso g), de la Ley Nacional de Ejecución Penal, deriva el deber de la autoridad penitenciaria, ante una solicitud de la constancia referida, de realizar un ejercicio oficioso en relación con el soporte informativo contenido en la base de datos que subyace a la emisión de la constancia de antecedentes penales. Esto es, existe el deber del Juez de Ejecución de expresar en un proceso intelectivo, que se allegó de otros elementos con los que llegó a la plena convicción de que es jurídicamente válido el registro que contienen las bases de datos relativas. Para tal efecto, la autoridad correspondiente, a fin de reconocer el pleno ejercicio de los derechos humanos, conforme al nuevo modelo penitenciario de reinserción social, deberá actuar oficiosamente acorde con los </w:t>
      </w:r>
      <w:r w:rsidRPr="005E2ED7">
        <w:rPr>
          <w:rFonts w:ascii="Palatino Linotype" w:eastAsia="Palatino Linotype" w:hAnsi="Palatino Linotype" w:cs="Palatino Linotype"/>
          <w:i/>
        </w:rPr>
        <w:lastRenderedPageBreak/>
        <w:t xml:space="preserve">escenarios siguientes: 1. Si la persona no cuenta con algún antecedente penal, emitir una carta de no antecedentes penales; y, 2. </w:t>
      </w:r>
      <w:r w:rsidRPr="005E2ED7">
        <w:rPr>
          <w:rFonts w:ascii="Palatino Linotype" w:eastAsia="Palatino Linotype" w:hAnsi="Palatino Linotype" w:cs="Palatino Linotype"/>
          <w:b/>
          <w:i/>
        </w:rPr>
        <w:t>En caso de que sí cuente con algún antecedente penal, deberá realizar oficiosamente lo siguiente: a) recabar las constancias correspondientes, a fin de verificar si el solicitante cumplió la pena impuesta en sentencia ejecutoriada y constate que no se trata de un delito grave; b) en caso de que haya cumplido la pena impuesta en sentencia ejecutoriada y no se trate de un delito grave, emitirá una carta de no antecedentes penales; c) en el supuesto de que no haya cumplido la pena impuesta y no se trate de un delito grave, emitirá una carta de antecedentes penales, en la que especificará tal situación; y, d) en la hipótesis de que se trate de delito grave, emitirá una carta de antecedentes penales, en la que destacará esa circunstancia.</w:t>
      </w:r>
      <w:r w:rsidRPr="005E2ED7">
        <w:rPr>
          <w:rFonts w:ascii="Palatino Linotype" w:eastAsia="Palatino Linotype" w:hAnsi="Palatino Linotype" w:cs="Palatino Linotype"/>
          <w:i/>
        </w:rPr>
        <w:t xml:space="preserve"> Consecuentemente, el Juez debe llevar a cabo las acciones señaladas para constatar la situación que guarda el quejoso ante el antecedente penal que se le impuso en el proceso y poder decidir con mayor información al respecto, es decir, si lo procedente es eliminar o no dicho registro, con base en el artículo citado y con ello evitar la discriminación estructural del quejoso. “</w:t>
      </w:r>
    </w:p>
    <w:p w:rsidR="00B23E83" w:rsidRPr="005E2ED7" w:rsidRDefault="00B23E83">
      <w:pPr>
        <w:spacing w:after="0" w:line="360" w:lineRule="auto"/>
        <w:jc w:val="both"/>
        <w:rPr>
          <w:rFonts w:ascii="Palatino Linotype" w:eastAsia="Palatino Linotype" w:hAnsi="Palatino Linotype" w:cs="Palatino Linotype"/>
          <w:sz w:val="28"/>
          <w:szCs w:val="28"/>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Por lo antes expuesto, se observa que 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mediante su informe justificado, colma la presente fracción analizada ya que hace llegar la versión pública el certificado de antecedentes no penales de la Titular de la Unidad de Transparencia y del Encargado de la Protección de Datos Personales adscrito a la Unidad de Transparencia, acompañados por el acuerdo de comité correspondiente, en el cual se encuentra información susceptible de clasificar como confidencial al tratarse de datos personales concerniente a una persona física, como es la fecha de nacimiento, CURP, clave de elector, domicilio , folio y código de verificación ya que al consultarlo se observan los datos antes mencionados, tal como se observa a continuación: </w:t>
      </w:r>
    </w:p>
    <w:p w:rsidR="00B23E83" w:rsidRPr="005E2ED7" w:rsidRDefault="00B907A0">
      <w:pPr>
        <w:spacing w:after="0" w:line="360" w:lineRule="auto"/>
        <w:jc w:val="both"/>
      </w:pPr>
      <w:r w:rsidRPr="005E2ED7">
        <w:rPr>
          <w:noProof/>
        </w:rPr>
        <w:lastRenderedPageBreak/>
        <w:drawing>
          <wp:inline distT="0" distB="0" distL="0" distR="0">
            <wp:extent cx="2791648" cy="3699363"/>
            <wp:effectExtent l="0" t="0" r="0" b="0"/>
            <wp:docPr id="1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l="36321" t="23839" r="36014" b="10983"/>
                    <a:stretch>
                      <a:fillRect/>
                    </a:stretch>
                  </pic:blipFill>
                  <pic:spPr>
                    <a:xfrm>
                      <a:off x="0" y="0"/>
                      <a:ext cx="2791648" cy="3699363"/>
                    </a:xfrm>
                    <a:prstGeom prst="rect">
                      <a:avLst/>
                    </a:prstGeom>
                    <a:ln/>
                  </pic:spPr>
                </pic:pic>
              </a:graphicData>
            </a:graphic>
          </wp:inline>
        </w:drawing>
      </w:r>
      <w:r w:rsidRPr="005E2ED7">
        <w:rPr>
          <w:rFonts w:ascii="Palatino Linotype" w:eastAsia="Palatino Linotype" w:hAnsi="Palatino Linotype" w:cs="Palatino Linotype"/>
          <w:sz w:val="24"/>
          <w:szCs w:val="24"/>
        </w:rPr>
        <w:t xml:space="preserve"> </w:t>
      </w:r>
      <w:r w:rsidRPr="005E2ED7">
        <w:rPr>
          <w:noProof/>
        </w:rPr>
        <w:drawing>
          <wp:inline distT="0" distB="0" distL="0" distR="0">
            <wp:extent cx="2707479" cy="3620112"/>
            <wp:effectExtent l="0" t="0" r="0" b="0"/>
            <wp:docPr id="1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l="35642" t="22028" r="34148" b="6155"/>
                    <a:stretch>
                      <a:fillRect/>
                    </a:stretch>
                  </pic:blipFill>
                  <pic:spPr>
                    <a:xfrm>
                      <a:off x="0" y="0"/>
                      <a:ext cx="2707479" cy="3620112"/>
                    </a:xfrm>
                    <a:prstGeom prst="rect">
                      <a:avLst/>
                    </a:prstGeom>
                    <a:ln/>
                  </pic:spPr>
                </pic:pic>
              </a:graphicData>
            </a:graphic>
          </wp:inline>
        </w:drawing>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Así mismo se advierte, se encuentra información susceptible de clasificar como confidencial al tratarse de datos personales concerniente a una persona física, como es el la fecha de nacimiento, CURP, clave de elector, domicilio y los códigos de verificación ya que al momento de validarlos nos remitirían a la información que se testo y se mencionó con anterioridad.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En tales términos conviene precisar que la información remitida en esta fracción por </w:t>
      </w:r>
      <w:r w:rsidRPr="005E2ED7">
        <w:rPr>
          <w:rFonts w:ascii="Palatino Linotype" w:eastAsia="Palatino Linotype" w:hAnsi="Palatino Linotype" w:cs="Palatino Linotype"/>
          <w:b/>
          <w:sz w:val="24"/>
          <w:szCs w:val="24"/>
        </w:rPr>
        <w:t>EL SUJETO OBLIGADO</w:t>
      </w:r>
      <w:r w:rsidRPr="005E2ED7">
        <w:rPr>
          <w:rFonts w:ascii="Palatino Linotype" w:eastAsia="Palatino Linotype" w:hAnsi="Palatino Linotype" w:cs="Palatino Linotype"/>
          <w:sz w:val="24"/>
          <w:szCs w:val="24"/>
        </w:rPr>
        <w:t xml:space="preserve"> tiene el carácter de confidencial, misma que se encuentra debidamente fundada de conformidad a la Ley de Transparencia y Acceso a la </w:t>
      </w:r>
      <w:r w:rsidRPr="005E2ED7">
        <w:rPr>
          <w:rFonts w:ascii="Palatino Linotype" w:eastAsia="Palatino Linotype" w:hAnsi="Palatino Linotype" w:cs="Palatino Linotype"/>
          <w:sz w:val="24"/>
          <w:szCs w:val="24"/>
        </w:rPr>
        <w:lastRenderedPageBreak/>
        <w:t>Información Pública del Estado de México y Municipios, en la que dispone lo siguiente:</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24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Artículo 3. Para los efectos de la presente Ley se entenderá por:</w:t>
      </w:r>
    </w:p>
    <w:p w:rsidR="00B23E83" w:rsidRPr="005E2ED7" w:rsidRDefault="00B907A0">
      <w:pPr>
        <w:spacing w:before="240" w:after="24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spacing w:before="240" w:after="24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IX. Datos personales: La información concerniente a una persona, identificada o identificable según lo dispuesto por la Ley de Protección de Datos Personales del Estado de México;</w:t>
      </w:r>
    </w:p>
    <w:p w:rsidR="00B23E83" w:rsidRPr="005E2ED7" w:rsidRDefault="00B907A0">
      <w:pPr>
        <w:spacing w:before="240" w:after="24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spacing w:before="240" w:after="24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B23E83" w:rsidRPr="005E2ED7" w:rsidRDefault="00B907A0">
      <w:pPr>
        <w:spacing w:before="240" w:after="0" w:line="360" w:lineRule="auto"/>
        <w:ind w:left="851" w:right="900"/>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rPr>
        <w:t>Artículo 91. El acceso a la información pública será restringido excepcionalmente, cuando ésta sea clasificada como reservada o confidencial.</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De igual forma resulta relevante mencionar que cuenta con las formalidades establecidas en los Lineamientos Generales en Materia de Clasificación y Desclasificación de la Información, así como para la Elaboración de Versiones Públicas:</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hd w:val="clear" w:color="auto" w:fill="FFFFFF"/>
        <w:spacing w:after="80" w:line="24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b/>
          <w:i/>
        </w:rPr>
        <w:lastRenderedPageBreak/>
        <w:t>Quincuagésimo. </w:t>
      </w:r>
      <w:r w:rsidRPr="005E2ED7">
        <w:rPr>
          <w:rFonts w:ascii="Palatino Linotype" w:eastAsia="Palatino Linotype" w:hAnsi="Palatino Linotype" w:cs="Palatino Linotype"/>
          <w:i/>
        </w:rPr>
        <w:t>Los titulares de las áreas de los sujetos obligados podrán utilizar los formatos contenidos en el presente Capítulo como modelo para señalar la clasificación de documentos o expedientes, sin perjuicio de que establezcan los propios.</w:t>
      </w:r>
    </w:p>
    <w:p w:rsidR="00B23E83" w:rsidRPr="005E2ED7" w:rsidRDefault="00B907A0">
      <w:pPr>
        <w:shd w:val="clear" w:color="auto" w:fill="FFFFFF"/>
        <w:spacing w:after="80" w:line="24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b/>
          <w:i/>
        </w:rPr>
        <w:t>Quincuagésimo primero.</w:t>
      </w:r>
      <w:r w:rsidRPr="005E2ED7">
        <w:rPr>
          <w:rFonts w:ascii="Palatino Linotype" w:eastAsia="Palatino Linotype" w:hAnsi="Palatino Linotype" w:cs="Palatino Linotype"/>
          <w:i/>
        </w:rPr>
        <w:t> La leyenda en los documentos clasificados indicará:</w:t>
      </w:r>
    </w:p>
    <w:p w:rsidR="00B23E83" w:rsidRPr="005E2ED7" w:rsidRDefault="00B907A0">
      <w:pPr>
        <w:shd w:val="clear" w:color="auto" w:fill="FFFFFF"/>
        <w:spacing w:after="80" w:line="24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b/>
          <w:i/>
        </w:rPr>
        <w:t>I.</w:t>
      </w:r>
      <w:r w:rsidRPr="005E2ED7">
        <w:rPr>
          <w:rFonts w:ascii="Palatino Linotype" w:eastAsia="Palatino Linotype" w:hAnsi="Palatino Linotype" w:cs="Palatino Linotype"/>
          <w:i/>
          <w:sz w:val="24"/>
          <w:szCs w:val="24"/>
        </w:rPr>
        <w:t>        </w:t>
      </w:r>
      <w:r w:rsidRPr="005E2ED7">
        <w:rPr>
          <w:rFonts w:ascii="Palatino Linotype" w:eastAsia="Palatino Linotype" w:hAnsi="Palatino Linotype" w:cs="Palatino Linotype"/>
          <w:i/>
        </w:rPr>
        <w:t>La fecha de sesión del Comité de Transparencia en donde se confirmó la clasificación, en su caso;</w:t>
      </w:r>
    </w:p>
    <w:p w:rsidR="00B23E83" w:rsidRPr="005E2ED7" w:rsidRDefault="00B907A0">
      <w:pPr>
        <w:shd w:val="clear" w:color="auto" w:fill="FFFFFF"/>
        <w:spacing w:after="80" w:line="24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b/>
          <w:i/>
        </w:rPr>
        <w:t>II.</w:t>
      </w:r>
      <w:r w:rsidRPr="005E2ED7">
        <w:rPr>
          <w:rFonts w:ascii="Palatino Linotype" w:eastAsia="Palatino Linotype" w:hAnsi="Palatino Linotype" w:cs="Palatino Linotype"/>
          <w:i/>
          <w:sz w:val="24"/>
          <w:szCs w:val="24"/>
        </w:rPr>
        <w:t>       </w:t>
      </w:r>
      <w:r w:rsidRPr="005E2ED7">
        <w:rPr>
          <w:rFonts w:ascii="Palatino Linotype" w:eastAsia="Palatino Linotype" w:hAnsi="Palatino Linotype" w:cs="Palatino Linotype"/>
          <w:i/>
        </w:rPr>
        <w:t>El nombre del área;</w:t>
      </w:r>
    </w:p>
    <w:p w:rsidR="00B23E83" w:rsidRPr="005E2ED7" w:rsidRDefault="00B907A0">
      <w:pPr>
        <w:shd w:val="clear" w:color="auto" w:fill="FFFFFF"/>
        <w:spacing w:after="80" w:line="24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b/>
          <w:i/>
        </w:rPr>
        <w:t>III.</w:t>
      </w:r>
      <w:r w:rsidRPr="005E2ED7">
        <w:rPr>
          <w:rFonts w:ascii="Palatino Linotype" w:eastAsia="Palatino Linotype" w:hAnsi="Palatino Linotype" w:cs="Palatino Linotype"/>
          <w:i/>
          <w:sz w:val="24"/>
          <w:szCs w:val="24"/>
        </w:rPr>
        <w:t>      </w:t>
      </w:r>
      <w:r w:rsidRPr="005E2ED7">
        <w:rPr>
          <w:rFonts w:ascii="Palatino Linotype" w:eastAsia="Palatino Linotype" w:hAnsi="Palatino Linotype" w:cs="Palatino Linotype"/>
          <w:i/>
        </w:rPr>
        <w:t>La palabra reservado o confidencial;</w:t>
      </w:r>
    </w:p>
    <w:p w:rsidR="00B23E83" w:rsidRPr="005E2ED7" w:rsidRDefault="00B907A0">
      <w:pPr>
        <w:shd w:val="clear" w:color="auto" w:fill="FFFFFF"/>
        <w:spacing w:after="80" w:line="24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b/>
          <w:i/>
        </w:rPr>
        <w:t>IV.</w:t>
      </w:r>
      <w:r w:rsidRPr="005E2ED7">
        <w:rPr>
          <w:rFonts w:ascii="Palatino Linotype" w:eastAsia="Palatino Linotype" w:hAnsi="Palatino Linotype" w:cs="Palatino Linotype"/>
          <w:i/>
          <w:sz w:val="24"/>
          <w:szCs w:val="24"/>
        </w:rPr>
        <w:t>      </w:t>
      </w:r>
      <w:r w:rsidRPr="005E2ED7">
        <w:rPr>
          <w:rFonts w:ascii="Palatino Linotype" w:eastAsia="Palatino Linotype" w:hAnsi="Palatino Linotype" w:cs="Palatino Linotype"/>
          <w:i/>
        </w:rPr>
        <w:t>Las partes o secciones reservadas o confidenciales, en su caso;</w:t>
      </w:r>
    </w:p>
    <w:p w:rsidR="00B23E83" w:rsidRPr="005E2ED7" w:rsidRDefault="00B907A0">
      <w:pPr>
        <w:shd w:val="clear" w:color="auto" w:fill="FFFFFF"/>
        <w:spacing w:after="80" w:line="24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b/>
          <w:i/>
        </w:rPr>
        <w:t>V.</w:t>
      </w:r>
      <w:r w:rsidRPr="005E2ED7">
        <w:rPr>
          <w:rFonts w:ascii="Palatino Linotype" w:eastAsia="Palatino Linotype" w:hAnsi="Palatino Linotype" w:cs="Palatino Linotype"/>
          <w:i/>
          <w:sz w:val="24"/>
          <w:szCs w:val="24"/>
        </w:rPr>
        <w:t>       </w:t>
      </w:r>
      <w:r w:rsidRPr="005E2ED7">
        <w:rPr>
          <w:rFonts w:ascii="Palatino Linotype" w:eastAsia="Palatino Linotype" w:hAnsi="Palatino Linotype" w:cs="Palatino Linotype"/>
          <w:i/>
        </w:rPr>
        <w:t>El fundamento legal;</w:t>
      </w:r>
    </w:p>
    <w:p w:rsidR="00B23E83" w:rsidRPr="005E2ED7" w:rsidRDefault="00B907A0">
      <w:pPr>
        <w:shd w:val="clear" w:color="auto" w:fill="FFFFFF"/>
        <w:spacing w:after="80" w:line="24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b/>
          <w:i/>
        </w:rPr>
        <w:t>VI.</w:t>
      </w:r>
      <w:r w:rsidRPr="005E2ED7">
        <w:rPr>
          <w:rFonts w:ascii="Palatino Linotype" w:eastAsia="Palatino Linotype" w:hAnsi="Palatino Linotype" w:cs="Palatino Linotype"/>
          <w:i/>
          <w:sz w:val="24"/>
          <w:szCs w:val="24"/>
        </w:rPr>
        <w:t>      </w:t>
      </w:r>
      <w:r w:rsidRPr="005E2ED7">
        <w:rPr>
          <w:rFonts w:ascii="Palatino Linotype" w:eastAsia="Palatino Linotype" w:hAnsi="Palatino Linotype" w:cs="Palatino Linotype"/>
          <w:i/>
        </w:rPr>
        <w:t>El periodo de reserva, y</w:t>
      </w:r>
    </w:p>
    <w:p w:rsidR="00B23E83" w:rsidRPr="005E2ED7" w:rsidRDefault="00B907A0">
      <w:pPr>
        <w:shd w:val="clear" w:color="auto" w:fill="FFFFFF"/>
        <w:spacing w:after="80" w:line="24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b/>
          <w:i/>
        </w:rPr>
        <w:t>VII.</w:t>
      </w:r>
      <w:r w:rsidRPr="005E2ED7">
        <w:rPr>
          <w:rFonts w:ascii="Palatino Linotype" w:eastAsia="Palatino Linotype" w:hAnsi="Palatino Linotype" w:cs="Palatino Linotype"/>
          <w:i/>
          <w:sz w:val="24"/>
          <w:szCs w:val="24"/>
        </w:rPr>
        <w:t>     </w:t>
      </w:r>
      <w:r w:rsidRPr="005E2ED7">
        <w:rPr>
          <w:rFonts w:ascii="Palatino Linotype" w:eastAsia="Palatino Linotype" w:hAnsi="Palatino Linotype" w:cs="Palatino Linotype"/>
          <w:i/>
        </w:rPr>
        <w:t>La rúbrica del titular del área.</w:t>
      </w:r>
    </w:p>
    <w:p w:rsidR="00B23E83" w:rsidRPr="005E2ED7" w:rsidRDefault="00B23E83">
      <w:pPr>
        <w:shd w:val="clear" w:color="auto" w:fill="FFFFFF"/>
        <w:spacing w:after="80" w:line="240" w:lineRule="auto"/>
        <w:ind w:left="851" w:right="900"/>
        <w:jc w:val="both"/>
        <w:rPr>
          <w:rFonts w:ascii="Palatino Linotype" w:eastAsia="Palatino Linotype" w:hAnsi="Palatino Linotype" w:cs="Palatino Linotype"/>
          <w:i/>
        </w:rPr>
      </w:pPr>
    </w:p>
    <w:p w:rsidR="00B23E83" w:rsidRPr="005E2ED7" w:rsidRDefault="00B907A0">
      <w:pPr>
        <w:spacing w:before="80"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Por lo anterior la versión pública de los antecedentes no penales de los servidores públicos en cuestión, analizada en esta fracción, </w:t>
      </w:r>
      <w:r w:rsidRPr="005E2ED7">
        <w:rPr>
          <w:rFonts w:ascii="Palatino Linotype" w:eastAsia="Palatino Linotype" w:hAnsi="Palatino Linotype" w:cs="Palatino Linotype"/>
          <w:b/>
          <w:sz w:val="24"/>
          <w:szCs w:val="24"/>
        </w:rPr>
        <w:t>EL SUJETO OBLIGADO</w:t>
      </w:r>
      <w:r w:rsidRPr="005E2ED7">
        <w:rPr>
          <w:rFonts w:ascii="Palatino Linotype" w:eastAsia="Palatino Linotype" w:hAnsi="Palatino Linotype" w:cs="Palatino Linotype"/>
          <w:sz w:val="24"/>
          <w:szCs w:val="24"/>
        </w:rPr>
        <w:t xml:space="preserve">, está debidamente realizada. </w:t>
      </w:r>
    </w:p>
    <w:p w:rsidR="00B23E83" w:rsidRPr="005E2ED7" w:rsidRDefault="00B23E83">
      <w:pPr>
        <w:spacing w:after="240" w:line="360" w:lineRule="auto"/>
        <w:jc w:val="both"/>
        <w:rPr>
          <w:rFonts w:ascii="Palatino Linotype" w:eastAsia="Palatino Linotype" w:hAnsi="Palatino Linotype" w:cs="Palatino Linotype"/>
          <w:sz w:val="24"/>
          <w:szCs w:val="24"/>
        </w:rPr>
      </w:pPr>
    </w:p>
    <w:p w:rsidR="00B23E8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FRACCIÓN IV</w:t>
      </w:r>
    </w:p>
    <w:p w:rsidR="00B23E83" w:rsidRPr="005E2ED7" w:rsidRDefault="00B23E83">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B23E8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 lo siguiente:</w:t>
      </w:r>
    </w:p>
    <w:p w:rsidR="00B23E83" w:rsidRPr="005E2ED7" w:rsidRDefault="00B23E8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B23E83" w:rsidRPr="005E2ED7" w:rsidRDefault="00B907A0">
      <w:pPr>
        <w:pBdr>
          <w:top w:val="nil"/>
          <w:left w:val="nil"/>
          <w:bottom w:val="nil"/>
          <w:right w:val="nil"/>
          <w:between w:val="nil"/>
        </w:pBdr>
        <w:spacing w:after="0" w:line="360" w:lineRule="auto"/>
        <w:ind w:left="567" w:right="559"/>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b/>
          <w:i/>
          <w:sz w:val="24"/>
          <w:szCs w:val="24"/>
        </w:rPr>
        <w:t>ARTÍCULO 151.-</w:t>
      </w:r>
      <w:r w:rsidRPr="005E2ED7">
        <w:rPr>
          <w:rFonts w:ascii="Palatino Linotype" w:eastAsia="Palatino Linotype" w:hAnsi="Palatino Linotype" w:cs="Palatino Linotype"/>
          <w:i/>
          <w:sz w:val="24"/>
          <w:szCs w:val="24"/>
        </w:rPr>
        <w:t xml:space="preserve"> Una vez inscritos los mexicanos, se les expedirá gratuitamente la cartilla de identificación que acreditará su identidad y el cumplimiento de sus deberes militares, y contendrá:</w:t>
      </w:r>
    </w:p>
    <w:p w:rsidR="00B23E83" w:rsidRPr="005E2ED7" w:rsidRDefault="00B23E83">
      <w:pPr>
        <w:pBdr>
          <w:top w:val="nil"/>
          <w:left w:val="nil"/>
          <w:bottom w:val="nil"/>
          <w:right w:val="nil"/>
          <w:between w:val="nil"/>
        </w:pBdr>
        <w:spacing w:after="0" w:line="360" w:lineRule="auto"/>
        <w:ind w:left="567" w:right="559"/>
        <w:jc w:val="both"/>
        <w:rPr>
          <w:rFonts w:ascii="Palatino Linotype" w:eastAsia="Palatino Linotype" w:hAnsi="Palatino Linotype" w:cs="Palatino Linotype"/>
          <w:i/>
          <w:sz w:val="24"/>
          <w:szCs w:val="24"/>
        </w:rPr>
      </w:pPr>
    </w:p>
    <w:p w:rsidR="00B23E83" w:rsidRPr="005E2ED7" w:rsidRDefault="00B907A0">
      <w:pPr>
        <w:pBdr>
          <w:top w:val="nil"/>
          <w:left w:val="nil"/>
          <w:bottom w:val="nil"/>
          <w:right w:val="nil"/>
          <w:between w:val="nil"/>
        </w:pBdr>
        <w:spacing w:after="0" w:line="360" w:lineRule="auto"/>
        <w:ind w:left="567" w:right="559"/>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sz w:val="24"/>
          <w:szCs w:val="24"/>
        </w:rPr>
        <w:t>I.- Un retrato de frente;</w:t>
      </w:r>
    </w:p>
    <w:p w:rsidR="00B23E83" w:rsidRPr="005E2ED7" w:rsidRDefault="00B907A0">
      <w:pPr>
        <w:pBdr>
          <w:top w:val="nil"/>
          <w:left w:val="nil"/>
          <w:bottom w:val="nil"/>
          <w:right w:val="nil"/>
          <w:between w:val="nil"/>
        </w:pBdr>
        <w:spacing w:after="0" w:line="360" w:lineRule="auto"/>
        <w:ind w:left="567" w:right="559"/>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sz w:val="24"/>
          <w:szCs w:val="24"/>
        </w:rPr>
        <w:t>II.- Sus generales (nombre y apellidos paterno y materno, edad, ocupación, estado civil y domicilio);</w:t>
      </w:r>
    </w:p>
    <w:p w:rsidR="00B23E83" w:rsidRPr="005E2ED7" w:rsidRDefault="00B907A0">
      <w:pPr>
        <w:pBdr>
          <w:top w:val="nil"/>
          <w:left w:val="nil"/>
          <w:bottom w:val="nil"/>
          <w:right w:val="nil"/>
          <w:between w:val="nil"/>
        </w:pBdr>
        <w:spacing w:after="0" w:line="360" w:lineRule="auto"/>
        <w:ind w:left="567" w:right="559"/>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sz w:val="24"/>
          <w:szCs w:val="24"/>
        </w:rPr>
        <w:t>III.- Matrícula;</w:t>
      </w:r>
    </w:p>
    <w:p w:rsidR="00B23E83" w:rsidRPr="005E2ED7" w:rsidRDefault="00B907A0">
      <w:pPr>
        <w:pBdr>
          <w:top w:val="nil"/>
          <w:left w:val="nil"/>
          <w:bottom w:val="nil"/>
          <w:right w:val="nil"/>
          <w:between w:val="nil"/>
        </w:pBdr>
        <w:spacing w:after="0" w:line="360" w:lineRule="auto"/>
        <w:ind w:left="567" w:right="559"/>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sz w:val="24"/>
          <w:szCs w:val="24"/>
        </w:rPr>
        <w:t>IV.- Clase a que pertenece;</w:t>
      </w:r>
    </w:p>
    <w:p w:rsidR="00B23E83" w:rsidRPr="005E2ED7" w:rsidRDefault="00B907A0">
      <w:pPr>
        <w:pBdr>
          <w:top w:val="nil"/>
          <w:left w:val="nil"/>
          <w:bottom w:val="nil"/>
          <w:right w:val="nil"/>
          <w:between w:val="nil"/>
        </w:pBdr>
        <w:spacing w:after="0" w:line="360" w:lineRule="auto"/>
        <w:ind w:left="567" w:right="559"/>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sz w:val="24"/>
          <w:szCs w:val="24"/>
        </w:rPr>
        <w:t>V.- Corporación a que se le destine;</w:t>
      </w:r>
    </w:p>
    <w:p w:rsidR="00B23E83" w:rsidRPr="005E2ED7" w:rsidRDefault="00B907A0">
      <w:pPr>
        <w:pBdr>
          <w:top w:val="nil"/>
          <w:left w:val="nil"/>
          <w:bottom w:val="nil"/>
          <w:right w:val="nil"/>
          <w:between w:val="nil"/>
        </w:pBdr>
        <w:spacing w:after="0" w:line="360" w:lineRule="auto"/>
        <w:ind w:left="567" w:right="559"/>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sz w:val="24"/>
          <w:szCs w:val="24"/>
        </w:rPr>
        <w:t>VI.- Unidad a la que deba incorporarse en caso de movilización;</w:t>
      </w:r>
    </w:p>
    <w:p w:rsidR="00B23E83" w:rsidRPr="005E2ED7" w:rsidRDefault="00B907A0">
      <w:pPr>
        <w:pBdr>
          <w:top w:val="nil"/>
          <w:left w:val="nil"/>
          <w:bottom w:val="nil"/>
          <w:right w:val="nil"/>
          <w:between w:val="nil"/>
        </w:pBdr>
        <w:spacing w:after="0" w:line="360" w:lineRule="auto"/>
        <w:ind w:left="567" w:right="559"/>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sz w:val="24"/>
          <w:szCs w:val="24"/>
        </w:rPr>
        <w:t>VII.- Firma de la autoridad que la expida;</w:t>
      </w:r>
    </w:p>
    <w:p w:rsidR="00B23E83" w:rsidRPr="005E2ED7" w:rsidRDefault="00B907A0">
      <w:pPr>
        <w:pBdr>
          <w:top w:val="nil"/>
          <w:left w:val="nil"/>
          <w:bottom w:val="nil"/>
          <w:right w:val="nil"/>
          <w:between w:val="nil"/>
        </w:pBdr>
        <w:spacing w:after="0" w:line="360" w:lineRule="auto"/>
        <w:ind w:left="567" w:right="559"/>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sz w:val="24"/>
          <w:szCs w:val="24"/>
        </w:rPr>
        <w:t>VIII.- Firma del interesado, si sabe hacerlo;</w:t>
      </w:r>
    </w:p>
    <w:p w:rsidR="00B23E83" w:rsidRPr="005E2ED7" w:rsidRDefault="00B907A0">
      <w:pPr>
        <w:pBdr>
          <w:top w:val="nil"/>
          <w:left w:val="nil"/>
          <w:bottom w:val="nil"/>
          <w:right w:val="nil"/>
          <w:between w:val="nil"/>
        </w:pBdr>
        <w:spacing w:after="0" w:line="360" w:lineRule="auto"/>
        <w:ind w:left="567" w:right="559"/>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sz w:val="24"/>
          <w:szCs w:val="24"/>
        </w:rPr>
        <w:t>IX.- Sello de la Junta Municipal de Reclutamiento o Consulado;</w:t>
      </w:r>
    </w:p>
    <w:p w:rsidR="00B23E83" w:rsidRPr="005E2ED7" w:rsidRDefault="00B907A0">
      <w:pPr>
        <w:pBdr>
          <w:top w:val="nil"/>
          <w:left w:val="nil"/>
          <w:bottom w:val="nil"/>
          <w:right w:val="nil"/>
          <w:between w:val="nil"/>
        </w:pBdr>
        <w:spacing w:after="0" w:line="360" w:lineRule="auto"/>
        <w:ind w:left="567" w:right="559"/>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sz w:val="24"/>
          <w:szCs w:val="24"/>
        </w:rPr>
        <w:t>X.- Huella digital.</w:t>
      </w:r>
    </w:p>
    <w:p w:rsidR="00B23E83" w:rsidRPr="005E2ED7" w:rsidRDefault="00B23E8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B23E83" w:rsidRPr="005E2ED7" w:rsidRDefault="00B907A0">
      <w:pPr>
        <w:spacing w:before="240" w:after="24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Mientras que el artículo 17 y 18 del Reglamento de la Ley del Servicio Militar, rezan así:</w:t>
      </w:r>
    </w:p>
    <w:p w:rsidR="00B23E83" w:rsidRPr="005E2ED7" w:rsidRDefault="00B907A0">
      <w:pPr>
        <w:spacing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“ARTÍCULO 17.</w:t>
      </w:r>
      <w:r w:rsidRPr="005E2ED7">
        <w:rPr>
          <w:rFonts w:ascii="Palatino Linotype" w:eastAsia="Palatino Linotype" w:hAnsi="Palatino Linotype" w:cs="Palatino Linotype"/>
          <w:i/>
        </w:rPr>
        <w:t>- La inscripción de cada mexicano se hará una sola vez, entregándole gratuitamente una cartilla de identificación según modelo número uno.</w:t>
      </w:r>
    </w:p>
    <w:p w:rsidR="00B23E83" w:rsidRPr="005E2ED7" w:rsidRDefault="00B907A0">
      <w:pPr>
        <w:spacing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 </w:t>
      </w:r>
      <w:r w:rsidRPr="005E2ED7">
        <w:rPr>
          <w:rFonts w:ascii="Palatino Linotype" w:eastAsia="Palatino Linotype" w:hAnsi="Palatino Linotype" w:cs="Palatino Linotype"/>
          <w:b/>
          <w:i/>
        </w:rPr>
        <w:t>ARTÍCULO 18.-</w:t>
      </w:r>
      <w:r w:rsidRPr="005E2ED7">
        <w:rPr>
          <w:rFonts w:ascii="Palatino Linotype" w:eastAsia="Palatino Linotype" w:hAnsi="Palatino Linotype" w:cs="Palatino Linotype"/>
          <w:i/>
        </w:rPr>
        <w:t> Una vez hecha la inscripción ante las juntas municipales de reclutamiento o consulados y como consecuencia inmediata, se formarán en dichas oficinas los siguientes documentos:</w:t>
      </w:r>
    </w:p>
    <w:p w:rsidR="00B23E83" w:rsidRPr="005E2ED7" w:rsidRDefault="00B907A0">
      <w:pPr>
        <w:spacing w:after="120"/>
        <w:ind w:left="1134" w:right="902"/>
        <w:jc w:val="both"/>
        <w:rPr>
          <w:rFonts w:ascii="Palatino Linotype" w:eastAsia="Palatino Linotype" w:hAnsi="Palatino Linotype" w:cs="Palatino Linotype"/>
          <w:i/>
          <w:sz w:val="20"/>
          <w:szCs w:val="20"/>
        </w:rPr>
      </w:pPr>
      <w:r w:rsidRPr="005E2ED7">
        <w:rPr>
          <w:rFonts w:ascii="Palatino Linotype" w:eastAsia="Palatino Linotype" w:hAnsi="Palatino Linotype" w:cs="Palatino Linotype"/>
          <w:i/>
        </w:rPr>
        <w:t> </w:t>
      </w:r>
      <w:r w:rsidRPr="005E2ED7">
        <w:rPr>
          <w:rFonts w:ascii="Palatino Linotype" w:eastAsia="Palatino Linotype" w:hAnsi="Palatino Linotype" w:cs="Palatino Linotype"/>
          <w:b/>
          <w:i/>
        </w:rPr>
        <w:t>I.-</w:t>
      </w:r>
      <w:r w:rsidRPr="005E2ED7">
        <w:rPr>
          <w:rFonts w:ascii="Palatino Linotype" w:eastAsia="Palatino Linotype" w:hAnsi="Palatino Linotype" w:cs="Palatino Linotype"/>
          <w:i/>
        </w:rPr>
        <w:t> Cartilla de identificación que se entregará al interesado….”</w:t>
      </w:r>
      <w:r w:rsidRPr="005E2ED7">
        <w:rPr>
          <w:rFonts w:ascii="Palatino Linotype" w:eastAsia="Palatino Linotype" w:hAnsi="Palatino Linotype" w:cs="Palatino Linotype"/>
          <w:i/>
          <w:sz w:val="20"/>
          <w:szCs w:val="20"/>
        </w:rPr>
        <w:t> </w:t>
      </w:r>
    </w:p>
    <w:p w:rsidR="00B23E83" w:rsidRPr="005E2ED7" w:rsidRDefault="00B23E83">
      <w:pPr>
        <w:spacing w:before="120" w:after="0" w:line="360" w:lineRule="auto"/>
        <w:ind w:right="49"/>
        <w:jc w:val="both"/>
        <w:rPr>
          <w:rFonts w:ascii="Palatino Linotype" w:eastAsia="Palatino Linotype" w:hAnsi="Palatino Linotype" w:cs="Palatino Linotype"/>
          <w:sz w:val="24"/>
          <w:szCs w:val="24"/>
        </w:rPr>
      </w:pPr>
    </w:p>
    <w:p w:rsidR="00B23E83" w:rsidRPr="005E2ED7" w:rsidRDefault="00B907A0">
      <w:pPr>
        <w:spacing w:after="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De los preceptos legales trascritos, se obtiene que el documento que permite acreditar la inscripción de cada mexicano, en cumplimiento a la Ley del Servicio Militar, lo es la cartilla de identificación que se entrega al interesado.</w:t>
      </w:r>
    </w:p>
    <w:p w:rsidR="00B23E83" w:rsidRPr="005E2ED7" w:rsidRDefault="00B23E83">
      <w:pPr>
        <w:spacing w:after="0" w:line="360" w:lineRule="auto"/>
        <w:ind w:right="49"/>
        <w:jc w:val="both"/>
        <w:rPr>
          <w:rFonts w:ascii="Palatino Linotype" w:eastAsia="Palatino Linotype" w:hAnsi="Palatino Linotype" w:cs="Palatino Linotype"/>
          <w:sz w:val="24"/>
          <w:szCs w:val="24"/>
        </w:rPr>
      </w:pPr>
    </w:p>
    <w:p w:rsidR="00B23E83" w:rsidRPr="005E2ED7" w:rsidRDefault="00B907A0">
      <w:pPr>
        <w:spacing w:after="24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dicho documento debe tener  el mismo tratamiento que el acta de nacimiento referida en la fracción II, es decir con la clasificación total de la cartilla militar, asimismo, mediante informe justificado adjunta el acuerdo del Comité de Transparencia mediante el que clasifica en su totalidad las cartillas militares de la Titular de la Unidad de Transparencia y </w:t>
      </w:r>
      <w:r w:rsidRPr="005E2ED7">
        <w:rPr>
          <w:rFonts w:ascii="Palatino Linotype" w:eastAsia="Palatino Linotype" w:hAnsi="Palatino Linotype" w:cs="Palatino Linotype"/>
          <w:sz w:val="24"/>
          <w:szCs w:val="24"/>
        </w:rPr>
        <w:lastRenderedPageBreak/>
        <w:t>del Encargado de la Protección de Datos Personales de la Unidad de Transparencia, que de igual forma no se puso a la vista, ya que al realizar dicha acción vulneraria información personal como es el certificado de no deudor alimentario moroso, motivo por el que se ordena el acuerdo del Comité de Transparencia mediante el que clasifica en su totalidad las cartillas militares de la Titular de la Unidad de Transparencia y del Encargado de la Protección de Datos Personales de la Unidad de Transparencia, remitido mediante informe justificado.</w:t>
      </w:r>
    </w:p>
    <w:p w:rsidR="00B23E8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FRACCIÓN VI</w:t>
      </w:r>
    </w:p>
    <w:p w:rsidR="00B23E83" w:rsidRPr="005E2ED7" w:rsidRDefault="00B23E83">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B23E8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Dicha fracción hace referencia a los casos en los que se rescinde la relación laboral por causas imputables al trabajador. El artículo 93 de la Ley del Trabajo en cita prevé veinte causales de rescisión laboral sin responsabilidad para la institución pública, siendo el documento que de manera enunciativa más no limitativa ello se puede acreditar mediante un escrito o carta bajo “protesta de decir verdad” ya que es un documento cuya finalidad es la de manifestar como verdadera una declaración personal, ello ya que de acuerdo con el Diccionario Jurídico Mexicano de la Suprema Corte de Justicia de la Nación, la protesta de decir verdad se define como la testificación espontánea que se hace para adquirir o conservar un derecho o preservar un daño que pueda sobrevenir. </w:t>
      </w:r>
    </w:p>
    <w:p w:rsidR="00B23E83" w:rsidRPr="005E2ED7" w:rsidRDefault="00B23E8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02274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Dicho documento suele ser utilizado para hacer valer con nuestra palabra ciertos requisitos que en ocasiones no tienen un documento específico, como lo es el </w:t>
      </w:r>
      <w:r w:rsidRPr="005E2ED7">
        <w:rPr>
          <w:rFonts w:ascii="Palatino Linotype" w:eastAsia="Palatino Linotype" w:hAnsi="Palatino Linotype" w:cs="Palatino Linotype"/>
          <w:sz w:val="24"/>
          <w:szCs w:val="24"/>
        </w:rPr>
        <w:lastRenderedPageBreak/>
        <w:t xml:space="preserve">presente caso, por lo que este Órgano Garante considera procedente ordenar la entrega </w:t>
      </w:r>
      <w:r w:rsidR="00022743" w:rsidRPr="005E2ED7">
        <w:rPr>
          <w:rFonts w:ascii="Palatino Linotype" w:eastAsia="Palatino Linotype" w:hAnsi="Palatino Linotype" w:cs="Palatino Linotype"/>
          <w:sz w:val="24"/>
          <w:szCs w:val="24"/>
        </w:rPr>
        <w:t xml:space="preserve">del documento que de cuenta del cumplimiento de dicho requisito. </w:t>
      </w:r>
    </w:p>
    <w:p w:rsidR="00022743" w:rsidRPr="005E2ED7" w:rsidRDefault="0002274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B23E8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FRACCIÓN VII</w:t>
      </w:r>
    </w:p>
    <w:p w:rsidR="00B23E83" w:rsidRPr="005E2ED7" w:rsidRDefault="00B23E83">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sz w:val="24"/>
          <w:szCs w:val="24"/>
        </w:rPr>
        <w:t xml:space="preserve">Respecto a la comprobación de buena salud, el documento idóneo para comprobarlo es un certificado de salud expedido por alguna institución de salud pública, al respecto es de señalar que cualquier información que dé cuenta del </w:t>
      </w:r>
      <w:r w:rsidRPr="005E2ED7">
        <w:rPr>
          <w:rFonts w:ascii="Palatino Linotype" w:eastAsia="Palatino Linotype" w:hAnsi="Palatino Linotype" w:cs="Palatino Linotype"/>
          <w:b/>
          <w:sz w:val="24"/>
          <w:szCs w:val="24"/>
        </w:rPr>
        <w:t>estado de salud de una persona</w:t>
      </w:r>
      <w:r w:rsidRPr="005E2ED7">
        <w:rPr>
          <w:rFonts w:ascii="Palatino Linotype" w:eastAsia="Palatino Linotype" w:hAnsi="Palatino Linotype" w:cs="Palatino Linotype"/>
          <w:sz w:val="24"/>
          <w:szCs w:val="24"/>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5E2ED7">
        <w:rPr>
          <w:rFonts w:ascii="Palatino Linotype" w:eastAsia="Palatino Linotype" w:hAnsi="Palatino Linotype" w:cs="Palatino Linotype"/>
          <w:b/>
          <w:sz w:val="24"/>
          <w:szCs w:val="24"/>
        </w:rPr>
        <w:t>den cuenta del estado de salud, ya sea físico o mental.</w:t>
      </w:r>
    </w:p>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360" w:lineRule="auto"/>
        <w:ind w:right="-93"/>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De tales circunstancias, se considera que la información contenida en el certificado médico únicamente identifica el estado de salud físico y mental de los servidores públicos, lo cual guarda el carácter confidencial, en términos del artículo 143, fracción I, de la Ley de Transparencia y Acceso a la Información Pública del Estado de México y Municipio, razón por la que debe clasificarse en su totalidad, tal como lo realizo el </w:t>
      </w:r>
      <w:r w:rsidRPr="005E2ED7">
        <w:rPr>
          <w:rFonts w:ascii="Palatino Linotype" w:eastAsia="Palatino Linotype" w:hAnsi="Palatino Linotype" w:cs="Palatino Linotype"/>
          <w:b/>
          <w:sz w:val="24"/>
          <w:szCs w:val="24"/>
        </w:rPr>
        <w:t xml:space="preserve">SUJETO OBLIGADO </w:t>
      </w:r>
      <w:r w:rsidRPr="005E2ED7">
        <w:rPr>
          <w:rFonts w:ascii="Palatino Linotype" w:eastAsia="Palatino Linotype" w:hAnsi="Palatino Linotype" w:cs="Palatino Linotype"/>
          <w:sz w:val="24"/>
          <w:szCs w:val="24"/>
        </w:rPr>
        <w:t xml:space="preserve">al momento de rendir su informe justificado, sin embargo no se puso a la vista ya que al realizarlo causaría un daño a la esfera de los datos </w:t>
      </w:r>
      <w:r w:rsidRPr="005E2ED7">
        <w:rPr>
          <w:rFonts w:ascii="Palatino Linotype" w:eastAsia="Palatino Linotype" w:hAnsi="Palatino Linotype" w:cs="Palatino Linotype"/>
          <w:sz w:val="24"/>
          <w:szCs w:val="24"/>
        </w:rPr>
        <w:lastRenderedPageBreak/>
        <w:t>considerados confidenciales, derivado de las circunstancias descritas en diversas ocasiones.</w:t>
      </w:r>
    </w:p>
    <w:p w:rsidR="00B23E83" w:rsidRPr="005E2ED7" w:rsidRDefault="00B23E83">
      <w:pPr>
        <w:spacing w:line="360" w:lineRule="auto"/>
        <w:ind w:right="-93"/>
        <w:jc w:val="both"/>
        <w:rPr>
          <w:rFonts w:ascii="Palatino Linotype" w:eastAsia="Palatino Linotype" w:hAnsi="Palatino Linotype" w:cs="Palatino Linotype"/>
          <w:sz w:val="24"/>
          <w:szCs w:val="24"/>
        </w:rPr>
      </w:pPr>
    </w:p>
    <w:p w:rsidR="00B23E8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FRACCIÓN VIII.</w:t>
      </w:r>
    </w:p>
    <w:p w:rsidR="00B23E8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Esta fracción estipula que es necesario cumplir con todos los requisitos que se establezcan para los diferentes puestos; lo que puede estar ligado con la preparación académica y profesional o bien con otro tipo de requisitos como el lugar de residencia, nacionalidad o edad se colman con otros elementos ya referidos anteriormente, además de lo anterior conviene referir de nueva cuenta que mediante informe justificado el </w:t>
      </w:r>
      <w:r w:rsidRPr="005E2ED7">
        <w:rPr>
          <w:rFonts w:ascii="Palatino Linotype" w:eastAsia="Palatino Linotype" w:hAnsi="Palatino Linotype" w:cs="Palatino Linotype"/>
          <w:b/>
          <w:sz w:val="24"/>
          <w:szCs w:val="24"/>
        </w:rPr>
        <w:t xml:space="preserve">SUJETO OBLIGADO </w:t>
      </w:r>
      <w:r w:rsidRPr="005E2ED7">
        <w:rPr>
          <w:rFonts w:ascii="Palatino Linotype" w:eastAsia="Palatino Linotype" w:hAnsi="Palatino Linotype" w:cs="Palatino Linotype"/>
          <w:sz w:val="24"/>
          <w:szCs w:val="24"/>
        </w:rPr>
        <w:t>envía la Cédula Profesional en Versión Pública de la Titular de la Unidad de Transparencia mismo que fue acompañado por el acuerdo de comité correspondiente bajo los términos mencionados con anterioridad, en el cual se encuentra información susceptible de clasificar como es la firma de la Titular de la Unidad, ya que al momento de que se expidió la Cédula Profesional, aun no se encontraba fungiendo como servidor público, así como el Título del Último Grado de Estudios del Encargado de la Protección de Datos Personales de la Unidad de Transparencia, además de que también hacer entrega del certificado de competencia laboral de la Titular de la Unidad de Transparencia, siendo este un requisito obligatorio para ser Titular de la Unidad de Transparencia de acuerdo al artículo 32 fracción IV de la Ley Orgánica Municipal del Estado de México, señala lo conducente:</w:t>
      </w:r>
    </w:p>
    <w:p w:rsidR="00B23E83" w:rsidRPr="005E2ED7" w:rsidRDefault="00B907A0">
      <w:pPr>
        <w:spacing w:before="24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“Artículo 32. Para ocupar las titularidades de la Secretaría, la Tesorería, la Dirección de Obras Públicas, de Desarrollo Económico, de Turismo, de Ecología, </w:t>
      </w:r>
      <w:r w:rsidRPr="005E2ED7">
        <w:rPr>
          <w:rFonts w:ascii="Palatino Linotype" w:eastAsia="Palatino Linotype" w:hAnsi="Palatino Linotype" w:cs="Palatino Linotype"/>
          <w:i/>
        </w:rPr>
        <w:lastRenderedPageBreak/>
        <w:t xml:space="preserve">de Desarrollo Urbano, de Desarrollo Social, de las Mujeres, de la Coordinación General Municipal de Mejora Regulatoria, de la Coordinación Municipal de Protección Civil, </w:t>
      </w:r>
      <w:r w:rsidRPr="005E2ED7">
        <w:rPr>
          <w:rFonts w:ascii="Palatino Linotype" w:eastAsia="Palatino Linotype" w:hAnsi="Palatino Linotype" w:cs="Palatino Linotype"/>
          <w:b/>
          <w:i/>
          <w:u w:val="single"/>
        </w:rPr>
        <w:t>de las unidades administrativas</w:t>
      </w:r>
      <w:r w:rsidRPr="005E2ED7">
        <w:rPr>
          <w:rFonts w:ascii="Palatino Linotype" w:eastAsia="Palatino Linotype" w:hAnsi="Palatino Linotype" w:cs="Palatino Linotype"/>
          <w:i/>
        </w:rPr>
        <w:t xml:space="preserve"> y de los organismos auxiliares, se deberán satisfacer los siguientes requisitos:</w:t>
      </w:r>
    </w:p>
    <w:p w:rsidR="00B23E83" w:rsidRPr="005E2ED7" w:rsidRDefault="00B907A0">
      <w:pPr>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ind w:left="851" w:right="902"/>
        <w:jc w:val="both"/>
        <w:rPr>
          <w:rFonts w:ascii="Palatino Linotype" w:eastAsia="Palatino Linotype" w:hAnsi="Palatino Linotype" w:cs="Palatino Linotype"/>
          <w:i/>
        </w:rPr>
      </w:pPr>
      <w:bookmarkStart w:id="8" w:name="_heading=h.1t3h5sf" w:colFirst="0" w:colLast="0"/>
      <w:bookmarkEnd w:id="8"/>
      <w:r w:rsidRPr="005E2ED7">
        <w:rPr>
          <w:rFonts w:ascii="Palatino Linotype" w:eastAsia="Palatino Linotype" w:hAnsi="Palatino Linotype" w:cs="Palatino Linotype"/>
          <w:i/>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rsidR="00B23E83" w:rsidRPr="005E2ED7" w:rsidRDefault="00B907A0">
      <w:pPr>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 (Sic)</w:t>
      </w:r>
    </w:p>
    <w:p w:rsidR="00B23E83" w:rsidRPr="005E2ED7" w:rsidRDefault="00B23E83">
      <w:pPr>
        <w:ind w:left="851" w:right="902"/>
        <w:jc w:val="both"/>
        <w:rPr>
          <w:rFonts w:ascii="Palatino Linotype" w:eastAsia="Palatino Linotype" w:hAnsi="Palatino Linotype" w:cs="Palatino Linotype"/>
          <w:i/>
        </w:rPr>
      </w:pPr>
    </w:p>
    <w:p w:rsidR="00B23E8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Asimismo, hace entrega del curriculum vitae del Encargado de Protección de Datos Personales de la Unidad de Transparencia en el que se observa su trayectoria profesional y académica para cumplir los requisitos necesarios para desempeñar el cargo que ostenta, motivo por el que se tiene por colmado esta fracción que forma parte de los expedientes personales de los servidores público referidos en múltiples ocasiones.</w:t>
      </w:r>
    </w:p>
    <w:p w:rsidR="00B23E83" w:rsidRPr="005E2ED7" w:rsidRDefault="00B23E83">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B23E8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FRACCIÓN IX</w:t>
      </w:r>
    </w:p>
    <w:p w:rsidR="00B23E83" w:rsidRPr="005E2ED7" w:rsidRDefault="00B907A0">
      <w:pPr>
        <w:spacing w:before="240"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El acreditar los conocimientos o aptitudes necesarios para el desempeño del puesto mediante exámenes correspondientes debe ponderarse según el caso en concreto.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lastRenderedPageBreak/>
        <w:t xml:space="preserve">Esto porque existen cargos en el servicio público que necesitan estar avalados por una certificación, como es el caso de los titulares de las unidades de transparencia de los sujetos obligados, circunstancias que fue atendida mediante el informe justificado por parte del </w:t>
      </w:r>
      <w:r w:rsidRPr="005E2ED7">
        <w:rPr>
          <w:rFonts w:ascii="Palatino Linotype" w:eastAsia="Palatino Linotype" w:hAnsi="Palatino Linotype" w:cs="Palatino Linotype"/>
          <w:b/>
          <w:sz w:val="24"/>
          <w:szCs w:val="24"/>
        </w:rPr>
        <w:t xml:space="preserve">SUJETO OBLIGADO, </w:t>
      </w:r>
      <w:r w:rsidRPr="005E2ED7">
        <w:rPr>
          <w:rFonts w:ascii="Palatino Linotype" w:eastAsia="Palatino Linotype" w:hAnsi="Palatino Linotype" w:cs="Palatino Linotype"/>
          <w:sz w:val="24"/>
          <w:szCs w:val="24"/>
        </w:rPr>
        <w:t>al remitir los certificados de competencia laboral expedidos por este Instituto en favor de la Titular de la Unidad de Transparencia y del Encargado de la Protección de Datos Personales de la Unidad de Transparencia, mismos que fueron solicitados en otro punto de la solicitud, mismos que se describirán y analizaran con posterioridad.</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FRACCIÓN X.</w:t>
      </w:r>
    </w:p>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Con la finalidad de verificar si las personas que aspiran a ocupar un cargo público no se encuentran inhabilitadas, se encuentren en un procedimiento administrativo o haya sido sancionado, la Secretaría de la Contraloría del Gobierno del Estado de México está facultada para expedir la Constancia de no inhabilitación, circunstancias por la que 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remitió mediante informe justificado las constancias de no inhabilitación de los servidores públicos en mención, no obstante, no puede tenerse por atendida de manera plena este fracción, ya que, se remitieron en una aparente versión pública información de las constancias de no inhabilitación, sin que fuera acompañado por su acuerdo correspondiente que acredite su versión publica, razones por las cuales se ordena su entrega de una correcta versión pública en términos del considerando quinto de esta resolución.</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24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lastRenderedPageBreak/>
        <w:t>FRACCION XI</w:t>
      </w:r>
    </w:p>
    <w:p w:rsidR="00B23E8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En esta fracción se adicionó mediante el Decreto número 325 publicado en el Periódico Oficial “Gaceta del Gobierno” el catorce de noviembre de dos mil catorce. En la exposición de motivos de ese decreto se observa que, como una medida para garantizar el interés superior de los menores, se creó el Registro de Deudores Alimentarios del Estado de México, con la finalidad de asegurar el cumplimiento de las obligaciones alimentarias de los padres para con sus hijos.</w:t>
      </w:r>
    </w:p>
    <w:p w:rsidR="00B23E83" w:rsidRPr="005E2ED7" w:rsidRDefault="00B23E8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B23E83" w:rsidRPr="005E2ED7" w:rsidRDefault="00B907A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Es decir, la inscripción en dicho registro tiene impacto única y exclusivamente en la vida privada de las personas, pues en nada tiene que ver su inscripción en dicho registro con las funciones que se tiene como servidor público; por lo que lejos de abonar a la transparencia y correcta rendición de cuentas de los entes públicos, su publicidad constituye una vulneración a la vida privada de los servidores públicos, por lo que se considera que este documento debe ser clasificado como información confidencial, circunstancia que fue atendida ya que mediante informe justificado 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adjunta Acuerdo de Clasificación 10/CT/32-ORD/2022, de la Trigésima Segunda Sesión Ordinaria del Comité de Transparencia, en donde clasifica en su totalidad el certificado no deudor alimentario moroso.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3.  Certificación de los servidores públicos.</w:t>
      </w:r>
    </w:p>
    <w:p w:rsidR="00B23E83" w:rsidRPr="005E2ED7" w:rsidRDefault="00B23E83">
      <w:pPr>
        <w:spacing w:line="360" w:lineRule="auto"/>
        <w:jc w:val="both"/>
        <w:rPr>
          <w:rFonts w:ascii="Palatino Linotype" w:eastAsia="Palatino Linotype" w:hAnsi="Palatino Linotype" w:cs="Palatino Linotype"/>
          <w:b/>
          <w:sz w:val="24"/>
          <w:szCs w:val="24"/>
        </w:rPr>
      </w:pPr>
    </w:p>
    <w:tbl>
      <w:tblPr>
        <w:tblStyle w:val="a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2126"/>
        <w:gridCol w:w="3119"/>
      </w:tblGrid>
      <w:tr w:rsidR="005E2ED7" w:rsidRPr="005E2ED7">
        <w:tc>
          <w:tcPr>
            <w:tcW w:w="1980"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lastRenderedPageBreak/>
              <w:t>Información requerida.</w:t>
            </w:r>
          </w:p>
        </w:tc>
        <w:tc>
          <w:tcPr>
            <w:tcW w:w="1701"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Respuesta</w:t>
            </w:r>
          </w:p>
        </w:tc>
        <w:tc>
          <w:tcPr>
            <w:tcW w:w="2126"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Informe Justificado</w:t>
            </w:r>
          </w:p>
        </w:tc>
        <w:tc>
          <w:tcPr>
            <w:tcW w:w="3119"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Alcance</w:t>
            </w:r>
          </w:p>
        </w:tc>
      </w:tr>
      <w:tr w:rsidR="00B23E83" w:rsidRPr="005E2ED7">
        <w:tc>
          <w:tcPr>
            <w:tcW w:w="1980"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Certificados de competencia laboral de la Titular de la Unidad de Transparencia y del Encargado de la Protección de Datos Personales de la Unidad de Transparencia..</w:t>
            </w:r>
          </w:p>
        </w:tc>
        <w:tc>
          <w:tcPr>
            <w:tcW w:w="1701"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Cambio de modalidad por cobro.</w:t>
            </w:r>
          </w:p>
        </w:tc>
        <w:tc>
          <w:tcPr>
            <w:tcW w:w="2126"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-Correo electrónico en el que la Titular de la Unidad de Transparencia establece contacto con este Instituto en el que le mencionan que esta en proceso de entrega su certificado.</w:t>
            </w:r>
          </w:p>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-Versión pública del certificado de competencia laboral del Encargado de Protección de Datos Personales, acompañado de su respectivo acuerdo.</w:t>
            </w:r>
          </w:p>
        </w:tc>
        <w:tc>
          <w:tcPr>
            <w:tcW w:w="3119"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 Adjunta la versión pública de la Certificación de Competencia Laboral de la Titular de la Unidad de Transparencia y del Encargado de la Protección de Datos Personales de la Unidad de Transparencia.</w:t>
            </w:r>
          </w:p>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 Acuerdo de Clasificación 09/CT/32-ORD/2022, de la Trigésima Segunda Sesión Ordinaria del Comité de Transparencia en el que sustenta la versión pública de los certificados de competencia laboral de la Titular de la Unidad de Transparencia y del Encargado de la Protección de Datos Personales de la Unidad de Transparencia.</w:t>
            </w:r>
          </w:p>
        </w:tc>
      </w:tr>
    </w:tbl>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De acuerdo a la información solicitada en este punto de la solicitud, se observa que el </w:t>
      </w:r>
      <w:r w:rsidRPr="005E2ED7">
        <w:rPr>
          <w:rFonts w:ascii="Palatino Linotype" w:eastAsia="Palatino Linotype" w:hAnsi="Palatino Linotype" w:cs="Palatino Linotype"/>
          <w:b/>
          <w:sz w:val="24"/>
          <w:szCs w:val="24"/>
        </w:rPr>
        <w:t xml:space="preserve">SUJETO OBLIGADO, </w:t>
      </w:r>
      <w:r w:rsidRPr="005E2ED7">
        <w:rPr>
          <w:rFonts w:ascii="Palatino Linotype" w:eastAsia="Palatino Linotype" w:hAnsi="Palatino Linotype" w:cs="Palatino Linotype"/>
          <w:sz w:val="24"/>
          <w:szCs w:val="24"/>
        </w:rPr>
        <w:t xml:space="preserve">hace entrega mediante alcance al informe justificado de los certificados de competencia laboral en versión pública en el que clasifica la Clave Única de Registro Poblacional (CURP), acompañados de su acuerdo de clasificación correspondiente a efecto de sustenta la versión pública, misma que se encuentra debidamente fundada de conformidad a los artículos 3 fracción IX y XXI, 91 y 143 fracción I de la Ley de Transparencia y Acceso a la Información Pública del Estado de México y Municipios además de contar con las formalidades establecidas en los Lineamientos Generales en Materia de Clasificación y Desclasificación de la </w:t>
      </w:r>
      <w:r w:rsidRPr="005E2ED7">
        <w:rPr>
          <w:rFonts w:ascii="Palatino Linotype" w:eastAsia="Palatino Linotype" w:hAnsi="Palatino Linotype" w:cs="Palatino Linotype"/>
          <w:sz w:val="24"/>
          <w:szCs w:val="24"/>
        </w:rPr>
        <w:lastRenderedPageBreak/>
        <w:t>Información, así como para la Elaboración de Versiones Públicas, tal como se refirió con anterioridad.</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4. Reglamento o lineamientos con los que fundamentan sus contestaciones.</w:t>
      </w:r>
    </w:p>
    <w:p w:rsidR="00B23E83" w:rsidRPr="005E2ED7" w:rsidRDefault="00B23E83">
      <w:pPr>
        <w:spacing w:line="360" w:lineRule="auto"/>
        <w:jc w:val="both"/>
        <w:rPr>
          <w:rFonts w:ascii="Palatino Linotype" w:eastAsia="Palatino Linotype" w:hAnsi="Palatino Linotype" w:cs="Palatino Linotype"/>
          <w:b/>
          <w:sz w:val="24"/>
          <w:szCs w:val="24"/>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2853"/>
        <w:gridCol w:w="2853"/>
      </w:tblGrid>
      <w:tr w:rsidR="005E2ED7" w:rsidRPr="005E2ED7">
        <w:tc>
          <w:tcPr>
            <w:tcW w:w="3122"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Información requerida.</w:t>
            </w:r>
          </w:p>
        </w:tc>
        <w:tc>
          <w:tcPr>
            <w:tcW w:w="2853"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Respuesta</w:t>
            </w:r>
          </w:p>
        </w:tc>
        <w:tc>
          <w:tcPr>
            <w:tcW w:w="2853"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Informe Justificado</w:t>
            </w:r>
          </w:p>
        </w:tc>
      </w:tr>
      <w:tr w:rsidR="00B23E83" w:rsidRPr="005E2ED7">
        <w:tc>
          <w:tcPr>
            <w:tcW w:w="3122"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Reglamento o lineamientos con los que fundamentan sus contestaciones en la Unidad de Transparencia.</w:t>
            </w:r>
          </w:p>
        </w:tc>
        <w:tc>
          <w:tcPr>
            <w:tcW w:w="2853"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Cambio de modalidad por cobro.</w:t>
            </w:r>
          </w:p>
        </w:tc>
        <w:tc>
          <w:tcPr>
            <w:tcW w:w="2853"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 xml:space="preserve">Hace entrega de los Lineamientos para la Integración y Funcionamiento del Comité de Transparencia y las Políticas Internas de Acceso a la Información Pública, Protección de Datos Personales y Transparencia de Tlalnepantla de Baz. </w:t>
            </w:r>
          </w:p>
        </w:tc>
      </w:tr>
    </w:tbl>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360" w:lineRule="auto"/>
        <w:ind w:right="-234"/>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Al respecto 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remite en informe justificado a la solicitud de información la reglamentación con la que fundamenta sus contestaciones, se adjunta la primera página de dichos preceptos normativos.</w:t>
      </w:r>
    </w:p>
    <w:p w:rsidR="00B23E83" w:rsidRPr="005E2ED7" w:rsidRDefault="00B907A0">
      <w:pPr>
        <w:spacing w:after="0" w:line="360" w:lineRule="auto"/>
        <w:ind w:right="-234"/>
        <w:jc w:val="center"/>
        <w:rPr>
          <w:rFonts w:ascii="Palatino Linotype" w:eastAsia="Palatino Linotype" w:hAnsi="Palatino Linotype" w:cs="Palatino Linotype"/>
          <w:sz w:val="24"/>
          <w:szCs w:val="24"/>
        </w:rPr>
      </w:pPr>
      <w:r w:rsidRPr="005E2ED7">
        <w:rPr>
          <w:noProof/>
        </w:rPr>
        <w:lastRenderedPageBreak/>
        <w:drawing>
          <wp:inline distT="0" distB="0" distL="0" distR="0">
            <wp:extent cx="4554423" cy="5714785"/>
            <wp:effectExtent l="0" t="0" r="0" b="0"/>
            <wp:docPr id="1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l="36999" t="19010" r="36354" b="21544"/>
                    <a:stretch>
                      <a:fillRect/>
                    </a:stretch>
                  </pic:blipFill>
                  <pic:spPr>
                    <a:xfrm>
                      <a:off x="0" y="0"/>
                      <a:ext cx="4554423" cy="5714785"/>
                    </a:xfrm>
                    <a:prstGeom prst="rect">
                      <a:avLst/>
                    </a:prstGeom>
                    <a:ln/>
                  </pic:spPr>
                </pic:pic>
              </a:graphicData>
            </a:graphic>
          </wp:inline>
        </w:drawing>
      </w:r>
    </w:p>
    <w:p w:rsidR="00B23E83" w:rsidRPr="005E2ED7" w:rsidRDefault="00B907A0">
      <w:pPr>
        <w:spacing w:after="0" w:line="360" w:lineRule="auto"/>
        <w:ind w:right="-234"/>
        <w:jc w:val="center"/>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   </w:t>
      </w:r>
    </w:p>
    <w:p w:rsidR="00B23E83" w:rsidRPr="005E2ED7" w:rsidRDefault="00B907A0">
      <w:pPr>
        <w:spacing w:after="0" w:line="360" w:lineRule="auto"/>
        <w:ind w:right="-234"/>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Por lo anterior antes mencionado, se tiene por colmado este punto de la solicitud de acceso a la información pública. </w:t>
      </w:r>
    </w:p>
    <w:p w:rsidR="00B23E83" w:rsidRPr="005E2ED7" w:rsidRDefault="00B23E83">
      <w:pPr>
        <w:spacing w:after="0" w:line="360" w:lineRule="auto"/>
        <w:ind w:right="-234"/>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lastRenderedPageBreak/>
        <w:t>5.  Recibo de nómina de los servidores públicos.</w:t>
      </w:r>
    </w:p>
    <w:p w:rsidR="00B23E83" w:rsidRPr="005E2ED7" w:rsidRDefault="00B23E83">
      <w:pPr>
        <w:spacing w:line="360" w:lineRule="auto"/>
        <w:jc w:val="both"/>
        <w:rPr>
          <w:rFonts w:ascii="Palatino Linotype" w:eastAsia="Palatino Linotype" w:hAnsi="Palatino Linotype" w:cs="Palatino Linotype"/>
          <w:b/>
          <w:sz w:val="24"/>
          <w:szCs w:val="24"/>
        </w:rPr>
      </w:pPr>
    </w:p>
    <w:tbl>
      <w:tblPr>
        <w:tblStyle w:val="a3"/>
        <w:tblW w:w="88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8"/>
        <w:gridCol w:w="2155"/>
        <w:gridCol w:w="2155"/>
        <w:gridCol w:w="2155"/>
      </w:tblGrid>
      <w:tr w:rsidR="005E2ED7" w:rsidRPr="005E2ED7">
        <w:trPr>
          <w:trHeight w:val="718"/>
        </w:trPr>
        <w:tc>
          <w:tcPr>
            <w:tcW w:w="2358"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Información requerida.</w:t>
            </w:r>
          </w:p>
        </w:tc>
        <w:tc>
          <w:tcPr>
            <w:tcW w:w="2155"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Respuesta</w:t>
            </w:r>
          </w:p>
        </w:tc>
        <w:tc>
          <w:tcPr>
            <w:tcW w:w="2155"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Informe Justificado</w:t>
            </w:r>
          </w:p>
        </w:tc>
        <w:tc>
          <w:tcPr>
            <w:tcW w:w="2155" w:type="dxa"/>
            <w:shd w:val="clear" w:color="auto" w:fill="D0CECE"/>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Alcance</w:t>
            </w:r>
          </w:p>
        </w:tc>
      </w:tr>
      <w:tr w:rsidR="00B23E83" w:rsidRPr="005E2ED7">
        <w:trPr>
          <w:trHeight w:val="2477"/>
        </w:trPr>
        <w:tc>
          <w:tcPr>
            <w:tcW w:w="2358"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Recibos de nómina de la Titular de la Unidad de Transparencia y del Encargado de la Protección de Datos Personales de la Unidad de Transparencia.</w:t>
            </w:r>
          </w:p>
        </w:tc>
        <w:tc>
          <w:tcPr>
            <w:tcW w:w="2155"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Cambio de modalidad. por cobro.</w:t>
            </w:r>
          </w:p>
        </w:tc>
        <w:tc>
          <w:tcPr>
            <w:tcW w:w="2155" w:type="dxa"/>
          </w:tcPr>
          <w:p w:rsidR="00B23E83" w:rsidRPr="005E2ED7" w:rsidRDefault="00B907A0">
            <w:pPr>
              <w:spacing w:after="0" w:line="360" w:lineRule="auto"/>
              <w:jc w:val="center"/>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N/A</w:t>
            </w:r>
          </w:p>
        </w:tc>
        <w:tc>
          <w:tcPr>
            <w:tcW w:w="2155" w:type="dxa"/>
          </w:tcPr>
          <w:p w:rsidR="00B23E83" w:rsidRPr="005E2ED7" w:rsidRDefault="00B907A0">
            <w:pPr>
              <w:spacing w:after="0" w:line="360" w:lineRule="auto"/>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Versión pública de los recibos de nómina de enero a marzo de dos mil veintidós de la Titular de la Unidad de Transparencia y del Encargado de la Protección de Datos Personales de la Unidad de Transparencia.</w:t>
            </w:r>
          </w:p>
        </w:tc>
      </w:tr>
    </w:tbl>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Se adjunta uno de los recibos de nómina a manera de ejemplo: </w:t>
      </w:r>
    </w:p>
    <w:p w:rsidR="00B23E83" w:rsidRPr="005E2ED7" w:rsidRDefault="00B907A0">
      <w:pPr>
        <w:spacing w:after="0" w:line="360" w:lineRule="auto"/>
        <w:ind w:right="49"/>
        <w:jc w:val="center"/>
        <w:rPr>
          <w:rFonts w:ascii="Palatino Linotype" w:eastAsia="Palatino Linotype" w:hAnsi="Palatino Linotype" w:cs="Palatino Linotype"/>
          <w:sz w:val="24"/>
          <w:szCs w:val="24"/>
        </w:rPr>
      </w:pPr>
      <w:r w:rsidRPr="005E2ED7">
        <w:rPr>
          <w:noProof/>
        </w:rPr>
        <w:lastRenderedPageBreak/>
        <w:drawing>
          <wp:inline distT="0" distB="0" distL="0" distR="0">
            <wp:extent cx="3670020" cy="3624335"/>
            <wp:effectExtent l="0" t="0" r="0" b="0"/>
            <wp:docPr id="1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6"/>
                    <a:srcRect l="29192" t="18105" r="29905" b="10079"/>
                    <a:stretch>
                      <a:fillRect/>
                    </a:stretch>
                  </pic:blipFill>
                  <pic:spPr>
                    <a:xfrm>
                      <a:off x="0" y="0"/>
                      <a:ext cx="3670020" cy="3624335"/>
                    </a:xfrm>
                    <a:prstGeom prst="rect">
                      <a:avLst/>
                    </a:prstGeom>
                    <a:ln/>
                  </pic:spPr>
                </pic:pic>
              </a:graphicData>
            </a:graphic>
          </wp:inline>
        </w:drawing>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Precisado lo anterior, 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remite mediante alcance al informe justificado en la versión pública los recibos de nómina de la primera y segunda quincena de los meses de enero a marzo de dos mil veintidós de la Titular de la Unidad de Transparencia y del Encargado de la Protección de Datos Personales de la Unidad de Transparencia sustentándolos en el Acuerdo de Clasificación 12/CT/32-ORD/2022, de la Trigésima Segunda Sesión Ordinaria del Comité de Transparencia, en el que clasifica el domicilio particular, la clave ISSEMYM, CURP y RFC, del Titular de la Unidad de Transparencia y del Encargado de la Protección de Datos Personales, mismas que se encuentra debidamente fundada de conformidad a los artículos 3 fracción IX y XXI, 91 y 143 fracción I de la Ley de Transparencia y Acceso a la Información Pública del Estado de México y Municipios además de contar con </w:t>
      </w:r>
      <w:r w:rsidRPr="005E2ED7">
        <w:rPr>
          <w:rFonts w:ascii="Palatino Linotype" w:eastAsia="Palatino Linotype" w:hAnsi="Palatino Linotype" w:cs="Palatino Linotype"/>
          <w:sz w:val="24"/>
          <w:szCs w:val="24"/>
        </w:rPr>
        <w:lastRenderedPageBreak/>
        <w:t>las formalidades establecidas en los Lineamientos Generales en Materia de Clasificación y Desclasificación de la Información, así como para la Elaboración de Versiones Públicas, tal como se refirió con anterioridad.</w:t>
      </w:r>
    </w:p>
    <w:p w:rsidR="00B23E83" w:rsidRPr="005E2ED7" w:rsidRDefault="00B23E83">
      <w:pPr>
        <w:spacing w:after="0" w:line="360" w:lineRule="auto"/>
        <w:ind w:right="49"/>
        <w:jc w:val="both"/>
        <w:rPr>
          <w:rFonts w:ascii="Palatino Linotype" w:eastAsia="Palatino Linotype" w:hAnsi="Palatino Linotype" w:cs="Palatino Linotype"/>
          <w:sz w:val="24"/>
          <w:szCs w:val="24"/>
        </w:rPr>
      </w:pP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Razón por la que se considera que se encuentra colmado este punto de la solicitud en este apartado de la solicitud de información.</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6. Avisos de Privacidad Generados por la Unidad de Transparencia.</w:t>
      </w:r>
    </w:p>
    <w:p w:rsidR="00B23E83" w:rsidRPr="005E2ED7" w:rsidRDefault="00B23E83">
      <w:pPr>
        <w:spacing w:line="360" w:lineRule="auto"/>
        <w:jc w:val="both"/>
        <w:rPr>
          <w:rFonts w:ascii="Palatino Linotype" w:eastAsia="Palatino Linotype" w:hAnsi="Palatino Linotype" w:cs="Palatino Linotype"/>
          <w:b/>
          <w:sz w:val="24"/>
          <w:szCs w:val="24"/>
        </w:rPr>
      </w:pPr>
    </w:p>
    <w:tbl>
      <w:tblPr>
        <w:tblStyle w:val="a4"/>
        <w:tblW w:w="90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84"/>
        <w:gridCol w:w="2552"/>
        <w:gridCol w:w="2552"/>
      </w:tblGrid>
      <w:tr w:rsidR="005E2ED7" w:rsidRPr="005E2ED7">
        <w:tc>
          <w:tcPr>
            <w:tcW w:w="1980"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Información requerida.</w:t>
            </w:r>
          </w:p>
        </w:tc>
        <w:tc>
          <w:tcPr>
            <w:tcW w:w="1984"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Respuesta</w:t>
            </w:r>
          </w:p>
        </w:tc>
        <w:tc>
          <w:tcPr>
            <w:tcW w:w="2552"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Informe Justificado</w:t>
            </w:r>
          </w:p>
        </w:tc>
        <w:tc>
          <w:tcPr>
            <w:tcW w:w="2552" w:type="dxa"/>
            <w:shd w:val="clear" w:color="auto" w:fill="D0CECE"/>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Alcance</w:t>
            </w:r>
          </w:p>
        </w:tc>
      </w:tr>
      <w:tr w:rsidR="00B23E83" w:rsidRPr="005E2ED7">
        <w:tc>
          <w:tcPr>
            <w:tcW w:w="1980"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Avisos de Privacidad de la Unidad de Transparencia.</w:t>
            </w:r>
          </w:p>
        </w:tc>
        <w:tc>
          <w:tcPr>
            <w:tcW w:w="1984"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Cambio de modalidad por cobro.</w:t>
            </w:r>
          </w:p>
        </w:tc>
        <w:tc>
          <w:tcPr>
            <w:tcW w:w="2552" w:type="dxa"/>
          </w:tcPr>
          <w:p w:rsidR="00B23E83" w:rsidRPr="005E2ED7" w:rsidRDefault="00B907A0">
            <w:pPr>
              <w:spacing w:after="0" w:line="360" w:lineRule="auto"/>
              <w:jc w:val="center"/>
              <w:rPr>
                <w:rFonts w:ascii="Palatino Linotype" w:eastAsia="Palatino Linotype" w:hAnsi="Palatino Linotype" w:cs="Palatino Linotype"/>
                <w:b/>
                <w:sz w:val="18"/>
                <w:szCs w:val="18"/>
              </w:rPr>
            </w:pPr>
            <w:r w:rsidRPr="005E2ED7">
              <w:rPr>
                <w:rFonts w:ascii="Palatino Linotype" w:eastAsia="Palatino Linotype" w:hAnsi="Palatino Linotype" w:cs="Palatino Linotype"/>
                <w:sz w:val="18"/>
                <w:szCs w:val="18"/>
              </w:rPr>
              <w:t>N/A</w:t>
            </w:r>
          </w:p>
        </w:tc>
        <w:tc>
          <w:tcPr>
            <w:tcW w:w="2552" w:type="dxa"/>
          </w:tcPr>
          <w:p w:rsidR="00B23E83" w:rsidRPr="005E2ED7" w:rsidRDefault="00B907A0">
            <w:pPr>
              <w:spacing w:after="0" w:line="360" w:lineRule="auto"/>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Diversos avisos de privacidad de entre los que se encuentran los generados por la Unidad de Transparencia</w:t>
            </w:r>
          </w:p>
        </w:tc>
      </w:tr>
    </w:tbl>
    <w:p w:rsidR="00B23E83" w:rsidRPr="005E2ED7" w:rsidRDefault="00B23E83">
      <w:pPr>
        <w:spacing w:after="80" w:line="360" w:lineRule="auto"/>
        <w:jc w:val="both"/>
        <w:rPr>
          <w:rFonts w:ascii="Palatino Linotype" w:eastAsia="Palatino Linotype" w:hAnsi="Palatino Linotype" w:cs="Palatino Linotype"/>
          <w:sz w:val="24"/>
          <w:szCs w:val="24"/>
        </w:rPr>
      </w:pPr>
    </w:p>
    <w:p w:rsidR="00B23E83" w:rsidRPr="005E2ED7" w:rsidRDefault="00B907A0">
      <w:pPr>
        <w:spacing w:before="80" w:after="240" w:line="360" w:lineRule="auto"/>
        <w:ind w:right="-234"/>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Se inserta la primera página a manera de ejemplo: </w:t>
      </w:r>
    </w:p>
    <w:p w:rsidR="00B23E83" w:rsidRPr="005E2ED7" w:rsidRDefault="00B907A0">
      <w:pPr>
        <w:spacing w:before="240" w:after="240" w:line="360" w:lineRule="auto"/>
        <w:ind w:right="-234"/>
        <w:jc w:val="center"/>
        <w:rPr>
          <w:rFonts w:ascii="Palatino Linotype" w:eastAsia="Palatino Linotype" w:hAnsi="Palatino Linotype" w:cs="Palatino Linotype"/>
          <w:sz w:val="24"/>
          <w:szCs w:val="24"/>
        </w:rPr>
      </w:pPr>
      <w:r w:rsidRPr="005E2ED7">
        <w:rPr>
          <w:noProof/>
        </w:rPr>
        <w:lastRenderedPageBreak/>
        <w:drawing>
          <wp:inline distT="0" distB="0" distL="0" distR="0">
            <wp:extent cx="4138795" cy="5185384"/>
            <wp:effectExtent l="0" t="0" r="0" b="0"/>
            <wp:docPr id="1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l="35301" t="19312" r="35166" b="14906"/>
                    <a:stretch>
                      <a:fillRect/>
                    </a:stretch>
                  </pic:blipFill>
                  <pic:spPr>
                    <a:xfrm>
                      <a:off x="0" y="0"/>
                      <a:ext cx="4138795" cy="5185384"/>
                    </a:xfrm>
                    <a:prstGeom prst="rect">
                      <a:avLst/>
                    </a:prstGeom>
                    <a:ln/>
                  </pic:spPr>
                </pic:pic>
              </a:graphicData>
            </a:graphic>
          </wp:inline>
        </w:drawing>
      </w:r>
    </w:p>
    <w:p w:rsidR="00B23E83" w:rsidRPr="005E2ED7" w:rsidRDefault="00B907A0" w:rsidP="00B05B70">
      <w:pPr>
        <w:spacing w:before="240" w:after="240" w:line="360" w:lineRule="auto"/>
        <w:ind w:right="-234"/>
        <w:jc w:val="both"/>
        <w:rPr>
          <w:rFonts w:ascii="Palatino Linotype" w:eastAsia="Palatino Linotype" w:hAnsi="Palatino Linotype" w:cs="Palatino Linotype"/>
          <w:sz w:val="24"/>
          <w:szCs w:val="24"/>
        </w:rPr>
      </w:pPr>
      <w:r w:rsidRPr="005E2ED7">
        <w:rPr>
          <w:noProof/>
        </w:rPr>
        <w:lastRenderedPageBreak/>
        <w:drawing>
          <wp:inline distT="0" distB="0" distL="0" distR="0">
            <wp:extent cx="5618113" cy="7156038"/>
            <wp:effectExtent l="0" t="0" r="0" b="0"/>
            <wp:docPr id="11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8"/>
                    <a:srcRect l="35132" t="21424" r="34487" b="9776"/>
                    <a:stretch>
                      <a:fillRect/>
                    </a:stretch>
                  </pic:blipFill>
                  <pic:spPr>
                    <a:xfrm>
                      <a:off x="0" y="0"/>
                      <a:ext cx="5618113" cy="7156038"/>
                    </a:xfrm>
                    <a:prstGeom prst="rect">
                      <a:avLst/>
                    </a:prstGeom>
                    <a:ln/>
                  </pic:spPr>
                </pic:pic>
              </a:graphicData>
            </a:graphic>
          </wp:inline>
        </w:drawing>
      </w:r>
      <w:r w:rsidRPr="005E2ED7">
        <w:rPr>
          <w:noProof/>
        </w:rPr>
        <mc:AlternateContent>
          <mc:Choice Requires="wps">
            <w:drawing>
              <wp:anchor distT="0" distB="0" distL="114300" distR="114300" simplePos="0" relativeHeight="251659264" behindDoc="0" locked="0" layoutInCell="1" hidden="0" allowOverlap="1">
                <wp:simplePos x="0" y="0"/>
                <wp:positionH relativeFrom="column">
                  <wp:posOffset>622300</wp:posOffset>
                </wp:positionH>
                <wp:positionV relativeFrom="paragraph">
                  <wp:posOffset>1981200</wp:posOffset>
                </wp:positionV>
                <wp:extent cx="2143125" cy="723900"/>
                <wp:effectExtent l="0" t="0" r="0" b="0"/>
                <wp:wrapNone/>
                <wp:docPr id="82" name="Rectángulo 82"/>
                <wp:cNvGraphicFramePr/>
                <a:graphic xmlns:a="http://schemas.openxmlformats.org/drawingml/2006/main">
                  <a:graphicData uri="http://schemas.microsoft.com/office/word/2010/wordprocessingShape">
                    <wps:wsp>
                      <wps:cNvSpPr/>
                      <wps:spPr>
                        <a:xfrm>
                          <a:off x="4293488" y="3437100"/>
                          <a:ext cx="2105025" cy="685800"/>
                        </a:xfrm>
                        <a:prstGeom prst="rect">
                          <a:avLst/>
                        </a:prstGeom>
                        <a:noFill/>
                        <a:ln w="38100" cap="flat" cmpd="sng">
                          <a:solidFill>
                            <a:srgbClr val="00B0F0"/>
                          </a:solidFill>
                          <a:prstDash val="solid"/>
                          <a:miter lim="800000"/>
                          <a:headEnd type="none" w="sm" len="sm"/>
                          <a:tailEnd type="none" w="sm" len="sm"/>
                        </a:ln>
                      </wps:spPr>
                      <wps:txbx>
                        <w:txbxContent>
                          <w:p w:rsidR="00ED7BD2" w:rsidRDefault="00ED7BD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82" o:spid="_x0000_s1027" style="position:absolute;left:0;text-align:left;margin-left:49pt;margin-top:156pt;width:168.75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" filled="f" strokecolor="#00b0f0" strokeweight="3pt">
                <v:stroke startarrowwidth="narrow" startarrowlength="short" endarrowwidth="narrow" endarrowlength="short"/>
                <v:textbox inset="2.53958mm,2.53958mm,2.53958mm,2.53958mm">
                  <w:txbxContent>
                    <w:p w:rsidR="00ED7BD2" w:rsidRDefault="00ED7BD2">
                      <w:pPr>
                        <w:spacing w:after="0" w:line="240" w:lineRule="auto"/>
                        <w:textDirection w:val="btLr"/>
                      </w:pPr>
                    </w:p>
                  </w:txbxContent>
                </v:textbox>
              </v:rect>
            </w:pict>
          </mc:Fallback>
        </mc:AlternateContent>
      </w:r>
    </w:p>
    <w:p w:rsidR="00B23E83" w:rsidRPr="005E2ED7" w:rsidRDefault="00B907A0">
      <w:pPr>
        <w:spacing w:after="0" w:line="360" w:lineRule="auto"/>
        <w:jc w:val="both"/>
      </w:pPr>
      <w:r w:rsidRPr="005E2ED7">
        <w:rPr>
          <w:noProof/>
        </w:rPr>
        <w:lastRenderedPageBreak/>
        <w:drawing>
          <wp:inline distT="0" distB="0" distL="0" distR="0">
            <wp:extent cx="5344774" cy="7050553"/>
            <wp:effectExtent l="0" t="0" r="0" b="0"/>
            <wp:docPr id="1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9"/>
                    <a:srcRect l="34624" t="16898" r="33469" b="8267"/>
                    <a:stretch>
                      <a:fillRect/>
                    </a:stretch>
                  </pic:blipFill>
                  <pic:spPr>
                    <a:xfrm>
                      <a:off x="0" y="0"/>
                      <a:ext cx="5344774" cy="7050553"/>
                    </a:xfrm>
                    <a:prstGeom prst="rect">
                      <a:avLst/>
                    </a:prstGeom>
                    <a:ln/>
                  </pic:spPr>
                </pic:pic>
              </a:graphicData>
            </a:graphic>
          </wp:inline>
        </w:drawing>
      </w:r>
    </w:p>
    <w:p w:rsidR="00B23E83" w:rsidRPr="005E2ED7" w:rsidRDefault="00B907A0">
      <w:pPr>
        <w:spacing w:after="0" w:line="360" w:lineRule="auto"/>
        <w:jc w:val="both"/>
      </w:pPr>
      <w:r w:rsidRPr="005E2ED7">
        <w:rPr>
          <w:noProof/>
        </w:rPr>
        <w:lastRenderedPageBreak/>
        <w:drawing>
          <wp:inline distT="0" distB="0" distL="0" distR="0">
            <wp:extent cx="5599365" cy="7138371"/>
            <wp:effectExtent l="0" t="0" r="0" b="0"/>
            <wp:docPr id="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l="35641" t="19915" r="35336" b="14302"/>
                    <a:stretch>
                      <a:fillRect/>
                    </a:stretch>
                  </pic:blipFill>
                  <pic:spPr>
                    <a:xfrm>
                      <a:off x="0" y="0"/>
                      <a:ext cx="5599365" cy="7138371"/>
                    </a:xfrm>
                    <a:prstGeom prst="rect">
                      <a:avLst/>
                    </a:prstGeom>
                    <a:ln/>
                  </pic:spPr>
                </pic:pic>
              </a:graphicData>
            </a:graphic>
          </wp:inline>
        </w:drawing>
      </w:r>
      <w:r w:rsidRPr="005E2ED7">
        <w:rPr>
          <w:noProof/>
        </w:rPr>
        <mc:AlternateContent>
          <mc:Choice Requires="wps">
            <w:drawing>
              <wp:anchor distT="0" distB="0" distL="114300" distR="114300" simplePos="0" relativeHeight="251660288" behindDoc="0" locked="0" layoutInCell="1" hidden="0" allowOverlap="1">
                <wp:simplePos x="0" y="0"/>
                <wp:positionH relativeFrom="column">
                  <wp:posOffset>673100</wp:posOffset>
                </wp:positionH>
                <wp:positionV relativeFrom="paragraph">
                  <wp:posOffset>1968500</wp:posOffset>
                </wp:positionV>
                <wp:extent cx="2038350" cy="857250"/>
                <wp:effectExtent l="0" t="0" r="0" b="0"/>
                <wp:wrapNone/>
                <wp:docPr id="81" name="Rectángulo 81"/>
                <wp:cNvGraphicFramePr/>
                <a:graphic xmlns:a="http://schemas.openxmlformats.org/drawingml/2006/main">
                  <a:graphicData uri="http://schemas.microsoft.com/office/word/2010/wordprocessingShape">
                    <wps:wsp>
                      <wps:cNvSpPr/>
                      <wps:spPr>
                        <a:xfrm>
                          <a:off x="4345875" y="3370425"/>
                          <a:ext cx="2000250" cy="819150"/>
                        </a:xfrm>
                        <a:prstGeom prst="rect">
                          <a:avLst/>
                        </a:prstGeom>
                        <a:noFill/>
                        <a:ln w="38100" cap="flat" cmpd="sng">
                          <a:solidFill>
                            <a:srgbClr val="31538F"/>
                          </a:solidFill>
                          <a:prstDash val="solid"/>
                          <a:miter lim="800000"/>
                          <a:headEnd type="none" w="sm" len="sm"/>
                          <a:tailEnd type="none" w="sm" len="sm"/>
                        </a:ln>
                      </wps:spPr>
                      <wps:txbx>
                        <w:txbxContent>
                          <w:p w:rsidR="00ED7BD2" w:rsidRDefault="00ED7BD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81" o:spid="_x0000_s1028" style="position:absolute;left:0;text-align:left;margin-left:53pt;margin-top:155pt;width:160.5pt;height: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" filled="f" strokecolor="#31538f" strokeweight="3pt">
                <v:stroke startarrowwidth="narrow" startarrowlength="short" endarrowwidth="narrow" endarrowlength="short"/>
                <v:textbox inset="2.53958mm,2.53958mm,2.53958mm,2.53958mm">
                  <w:txbxContent>
                    <w:p w:rsidR="00ED7BD2" w:rsidRDefault="00ED7BD2">
                      <w:pPr>
                        <w:spacing w:after="0" w:line="240" w:lineRule="auto"/>
                        <w:textDirection w:val="btLr"/>
                      </w:pPr>
                    </w:p>
                  </w:txbxContent>
                </v:textbox>
              </v:rect>
            </w:pict>
          </mc:Fallback>
        </mc:AlternateContent>
      </w:r>
    </w:p>
    <w:p w:rsidR="00B23E83" w:rsidRPr="005E2ED7" w:rsidRDefault="00B907A0">
      <w:pPr>
        <w:spacing w:after="0" w:line="360" w:lineRule="auto"/>
        <w:jc w:val="both"/>
      </w:pPr>
      <w:r w:rsidRPr="005E2ED7">
        <w:rPr>
          <w:noProof/>
        </w:rPr>
        <w:lastRenderedPageBreak/>
        <w:drawing>
          <wp:inline distT="0" distB="0" distL="0" distR="0">
            <wp:extent cx="5555401" cy="7147497"/>
            <wp:effectExtent l="0" t="0" r="0" b="0"/>
            <wp:docPr id="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l="36320" t="18105" r="35846" b="18226"/>
                    <a:stretch>
                      <a:fillRect/>
                    </a:stretch>
                  </pic:blipFill>
                  <pic:spPr>
                    <a:xfrm>
                      <a:off x="0" y="0"/>
                      <a:ext cx="5555401" cy="7147497"/>
                    </a:xfrm>
                    <a:prstGeom prst="rect">
                      <a:avLst/>
                    </a:prstGeom>
                    <a:ln/>
                  </pic:spPr>
                </pic:pic>
              </a:graphicData>
            </a:graphic>
          </wp:inline>
        </w:drawing>
      </w:r>
    </w:p>
    <w:p w:rsidR="00B23E83" w:rsidRPr="005E2ED7" w:rsidRDefault="00B907A0">
      <w:pPr>
        <w:spacing w:after="0" w:line="360" w:lineRule="auto"/>
        <w:jc w:val="both"/>
      </w:pPr>
      <w:r w:rsidRPr="005E2ED7">
        <w:rPr>
          <w:noProof/>
        </w:rPr>
        <w:lastRenderedPageBreak/>
        <w:drawing>
          <wp:inline distT="0" distB="0" distL="0" distR="0">
            <wp:extent cx="5650808" cy="7370620"/>
            <wp:effectExtent l="0" t="0" r="0" b="0"/>
            <wp:docPr id="9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l="36999" t="30478" r="35676" b="6155"/>
                    <a:stretch>
                      <a:fillRect/>
                    </a:stretch>
                  </pic:blipFill>
                  <pic:spPr>
                    <a:xfrm>
                      <a:off x="0" y="0"/>
                      <a:ext cx="5650808" cy="7370620"/>
                    </a:xfrm>
                    <a:prstGeom prst="rect">
                      <a:avLst/>
                    </a:prstGeom>
                    <a:ln/>
                  </pic:spPr>
                </pic:pic>
              </a:graphicData>
            </a:graphic>
          </wp:inline>
        </w:drawing>
      </w:r>
    </w:p>
    <w:p w:rsidR="00B23E83" w:rsidRPr="005E2ED7" w:rsidRDefault="00B907A0">
      <w:pPr>
        <w:spacing w:after="0" w:line="360" w:lineRule="auto"/>
        <w:jc w:val="both"/>
      </w:pPr>
      <w:r w:rsidRPr="005E2ED7">
        <w:rPr>
          <w:noProof/>
        </w:rPr>
        <w:lastRenderedPageBreak/>
        <w:drawing>
          <wp:inline distT="0" distB="0" distL="0" distR="0">
            <wp:extent cx="5200483" cy="6463877"/>
            <wp:effectExtent l="0" t="0" r="0" b="0"/>
            <wp:docPr id="9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l="35132" t="19614" r="34827" b="14000"/>
                    <a:stretch>
                      <a:fillRect/>
                    </a:stretch>
                  </pic:blipFill>
                  <pic:spPr>
                    <a:xfrm>
                      <a:off x="0" y="0"/>
                      <a:ext cx="5200483" cy="6463877"/>
                    </a:xfrm>
                    <a:prstGeom prst="rect">
                      <a:avLst/>
                    </a:prstGeom>
                    <a:ln/>
                  </pic:spPr>
                </pic:pic>
              </a:graphicData>
            </a:graphic>
          </wp:inline>
        </w:drawing>
      </w:r>
    </w:p>
    <w:p w:rsidR="00B23E83" w:rsidRPr="005E2ED7" w:rsidRDefault="00B907A0">
      <w:pPr>
        <w:spacing w:after="0" w:line="360" w:lineRule="auto"/>
        <w:jc w:val="both"/>
      </w:pPr>
      <w:r w:rsidRPr="005E2ED7">
        <w:rPr>
          <w:noProof/>
        </w:rPr>
        <w:lastRenderedPageBreak/>
        <w:drawing>
          <wp:inline distT="0" distB="0" distL="0" distR="0">
            <wp:extent cx="5778507" cy="7158928"/>
            <wp:effectExtent l="0" t="0" r="0" b="0"/>
            <wp:docPr id="9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l="34793" t="26252" r="34656" b="6458"/>
                    <a:stretch>
                      <a:fillRect/>
                    </a:stretch>
                  </pic:blipFill>
                  <pic:spPr>
                    <a:xfrm>
                      <a:off x="0" y="0"/>
                      <a:ext cx="5778507" cy="7158928"/>
                    </a:xfrm>
                    <a:prstGeom prst="rect">
                      <a:avLst/>
                    </a:prstGeom>
                    <a:ln/>
                  </pic:spPr>
                </pic:pic>
              </a:graphicData>
            </a:graphic>
          </wp:inline>
        </w:drawing>
      </w:r>
    </w:p>
    <w:p w:rsidR="00B23E83" w:rsidRPr="005E2ED7" w:rsidRDefault="00B23E83">
      <w:pPr>
        <w:spacing w:after="0" w:line="360" w:lineRule="auto"/>
        <w:jc w:val="both"/>
      </w:pPr>
    </w:p>
    <w:p w:rsidR="00B23E83" w:rsidRPr="005E2ED7" w:rsidRDefault="00B907A0">
      <w:pPr>
        <w:spacing w:after="0" w:line="360" w:lineRule="auto"/>
        <w:ind w:right="-232"/>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Por lo antes mencionado, 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colma este punto de la solicitud de información al entregar el aviso de privacidad vigente de la Unidad de Transparencia. </w:t>
      </w:r>
    </w:p>
    <w:p w:rsidR="00B23E83" w:rsidRPr="005E2ED7" w:rsidRDefault="00B23E83">
      <w:pPr>
        <w:spacing w:after="0" w:line="360" w:lineRule="auto"/>
        <w:ind w:right="-232"/>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7. Cédula de Base de Datos Personales (CBDP), de todas las áreas.</w:t>
      </w:r>
    </w:p>
    <w:p w:rsidR="00B23E83" w:rsidRPr="005E2ED7" w:rsidRDefault="00B23E83">
      <w:pPr>
        <w:spacing w:after="0" w:line="360" w:lineRule="auto"/>
        <w:jc w:val="both"/>
        <w:rPr>
          <w:rFonts w:ascii="Palatino Linotype" w:eastAsia="Palatino Linotype" w:hAnsi="Palatino Linotype" w:cs="Palatino Linotype"/>
          <w:b/>
          <w:sz w:val="24"/>
          <w:szCs w:val="24"/>
        </w:rPr>
      </w:pP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2853"/>
        <w:gridCol w:w="2853"/>
      </w:tblGrid>
      <w:tr w:rsidR="005E2ED7" w:rsidRPr="005E2ED7">
        <w:tc>
          <w:tcPr>
            <w:tcW w:w="3122"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Información requerida.</w:t>
            </w:r>
          </w:p>
        </w:tc>
        <w:tc>
          <w:tcPr>
            <w:tcW w:w="2853"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Respuesta</w:t>
            </w:r>
          </w:p>
        </w:tc>
        <w:tc>
          <w:tcPr>
            <w:tcW w:w="2853"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Informe Justificado</w:t>
            </w:r>
          </w:p>
        </w:tc>
      </w:tr>
      <w:tr w:rsidR="00B23E83" w:rsidRPr="005E2ED7">
        <w:tc>
          <w:tcPr>
            <w:tcW w:w="3122"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Cédula de Base de Datos Generados por todas las Áreas.</w:t>
            </w:r>
          </w:p>
        </w:tc>
        <w:tc>
          <w:tcPr>
            <w:tcW w:w="2853"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Cambio de modalidad por cobro.</w:t>
            </w:r>
          </w:p>
        </w:tc>
        <w:tc>
          <w:tcPr>
            <w:tcW w:w="2853" w:type="dxa"/>
          </w:tcPr>
          <w:p w:rsidR="00B23E83" w:rsidRPr="005E2ED7" w:rsidRDefault="00B907A0">
            <w:pPr>
              <w:spacing w:after="0" w:line="360" w:lineRule="auto"/>
              <w:jc w:val="both"/>
              <w:rPr>
                <w:rFonts w:ascii="Palatino Linotype" w:eastAsia="Palatino Linotype" w:hAnsi="Palatino Linotype" w:cs="Palatino Linotype"/>
                <w:b/>
                <w:sz w:val="18"/>
                <w:szCs w:val="18"/>
              </w:rPr>
            </w:pPr>
            <w:r w:rsidRPr="005E2ED7">
              <w:rPr>
                <w:rFonts w:ascii="Palatino Linotype" w:eastAsia="Palatino Linotype" w:hAnsi="Palatino Linotype" w:cs="Palatino Linotype"/>
                <w:sz w:val="18"/>
                <w:szCs w:val="18"/>
              </w:rPr>
              <w:t xml:space="preserve">Cédulas de Bases de Datos Personales del Departamento de Uso de Suelo, Subdirección de Planeación y Contratación, Instituto de Apoyo a la Vivienda Social, Defensoría Municipal de Derechos Humanos, Capacitación Integral y Actualización para la Protección Civil, Subdirección de Programas Sociales, Contraloría Interna Municipal, Subcontraloria de Auditoria Administrativa Financiar de Obra y Social, Subcontraloria de Subtanciación, Resolución y Responsabilidades, Departamento de Prevención y Atención a la Alerta de Violencia de Genero Contra las Mujeres, Departamento de </w:t>
            </w:r>
            <w:r w:rsidRPr="005E2ED7">
              <w:rPr>
                <w:rFonts w:ascii="Palatino Linotype" w:eastAsia="Palatino Linotype" w:hAnsi="Palatino Linotype" w:cs="Palatino Linotype"/>
                <w:sz w:val="18"/>
                <w:szCs w:val="18"/>
              </w:rPr>
              <w:lastRenderedPageBreak/>
              <w:t xml:space="preserve">Transversalización de la Perspectiva de Género, Departamento de Control Gestión, Departamento de Reclutamiento y Sección, Subdirección de Recursos Materiales, Instituto Municipal de Cultura, Física, Deporte y Juventud, Centro de Atención Empresarial, Departamento Jurídico y Normatividad Empresarial, Departamento de Operación y Desarrollo de la Movilidad, Departamento de Casas Cultura y Bibliotecas, Coordinación de la Juventud, Departamento de Bacheo y Señalización Vial, Departamento de Barrido Manual, Coordinación de Iluminación, Departamento de Nómino, Departamento de Recolección de Residuos, Departamento de Panteones, Consejería Jurídica, Unidad de Transparencia, Consejos de Participación Ciudadana, Coordinación de Difusión y Medios, Instituto Municipal de Educación, Dirección de Infraestructura Urbana, Departamento de </w:t>
            </w:r>
            <w:r w:rsidRPr="005E2ED7">
              <w:rPr>
                <w:rFonts w:ascii="Palatino Linotype" w:eastAsia="Palatino Linotype" w:hAnsi="Palatino Linotype" w:cs="Palatino Linotype"/>
                <w:sz w:val="18"/>
                <w:szCs w:val="18"/>
              </w:rPr>
              <w:lastRenderedPageBreak/>
              <w:t>Adjudicación y Contratación, Coordinación de Justicia Restaurativa, Comisaria General de Seguridad Pública, Departamento de Mejora Regulatoria, Secretaria del Ayuntamiento, Ayuntamiento de Tlalnepantla de Baz, Coordinación Municipal de Protección Civil,  Contraloría Interna Municipal, Dirección de Promoción Económica, Dirección de Promoción Económica/Coordinación del Centro de Atención Empresarial, Instituto Municipal de la Juventud, Departamento de Atención Ciudadana.</w:t>
            </w:r>
          </w:p>
        </w:tc>
      </w:tr>
    </w:tbl>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Al respecto, en primer instancia resulta oportuno mencionar que el Bando Municipal de Tlalnepantla de Baz, Estado de México, para el año dos mil veintidós.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Artículo 33. La Administración Pública Municipal centralizada estará integrada por las siguientes dependencias administrativas:</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I. Presidencia Municipal;</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II. Secretaría del Ayuntamiento;</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III. Tesorería Municipal;</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IV. Contraloría Interna Municipal;</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V. Dirección de Promoción Económica;</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VI. Dirección de Desarrollo Social;</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VII. Dirección de Desarrollo Urbano;</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VIII. Dirección de Servicios Públicos;</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IX. Dirección de Obras Públicas;</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 Dirección de Administración;</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XI. Dirección Jurídica;</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XII. Secretaría Técnica;</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XIII. Comisaría General de Seguridad Pública y Tránsito Municipal;</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XIV. Dirección de Sustentabilidad Ambiental;</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XV. Dirección de Protección Civil;</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XVI. Dirección de la Mujer;</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XVII. Dirección de Gobierno Digital;</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XVIII. Dirección de Movilidad;</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XIX. Instituto Municipal de Cultura y las Artes;</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XX. Instituto Municipal de Educación;</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XXI. Instituto Municipal de la Juventud;</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XXII. Instituto Municipal de Cultura Física y Deporte; y</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XXIII. Unidad de Transparencia y Acceso a la Información Pública Municipal.</w:t>
      </w:r>
    </w:p>
    <w:p w:rsidR="00B23E83" w:rsidRPr="005E2ED7" w:rsidRDefault="00B23E83">
      <w:pPr>
        <w:spacing w:after="0" w:line="360" w:lineRule="auto"/>
        <w:jc w:val="both"/>
        <w:rPr>
          <w:rFonts w:ascii="Palatino Linotype" w:eastAsia="Palatino Linotype" w:hAnsi="Palatino Linotype" w:cs="Palatino Linotype"/>
          <w:sz w:val="28"/>
          <w:szCs w:val="28"/>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Precisado lo anterior y de acuerdo a la Cédulas de Bases de Datos Personales enviadas en informe justificado, se observan que no se encuentran las Cédulas de Bases de Datos Personales de la Presidencia Municipal, Tesorería Municipal, </w:t>
      </w:r>
      <w:r w:rsidRPr="005E2ED7">
        <w:rPr>
          <w:rFonts w:ascii="Palatino Linotype" w:eastAsia="Palatino Linotype" w:hAnsi="Palatino Linotype" w:cs="Palatino Linotype"/>
          <w:sz w:val="24"/>
          <w:szCs w:val="24"/>
        </w:rPr>
        <w:lastRenderedPageBreak/>
        <w:t xml:space="preserve">Dirección de Desarrollo Social, Dirección de Desarrollo Urbano, Dirección de Servicios Públicos, Dirección de Obras Públicas, Dirección de Administración, Secretaría Técnica, Dirección de Sustentabilidad Ambiental, Dirección de la Mujer, Dirección de Gobierno Digital, Dirección de Movilidad y del Instituto Municipal de Cultura y las Artes. </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Consecuentemente, es importante señalar que las cédulas de base de datos personales permiten garantizar la integridad, confidencialidad y disponibilidad de los datos personales, a través de controles y acciones que eviten su daño siendo</w:t>
      </w:r>
      <w:r w:rsidRPr="005E2ED7">
        <w:rPr>
          <w:rFonts w:ascii="Palatino Linotype" w:eastAsia="Palatino Linotype" w:hAnsi="Palatino Linotype" w:cs="Palatino Linotype"/>
          <w:b/>
          <w:sz w:val="24"/>
          <w:szCs w:val="24"/>
          <w:u w:val="single"/>
        </w:rPr>
        <w:t xml:space="preserve"> un anexo de los documentos de seguridad</w:t>
      </w:r>
      <w:r w:rsidRPr="005E2ED7">
        <w:rPr>
          <w:rFonts w:ascii="Palatino Linotype" w:eastAsia="Palatino Linotype" w:hAnsi="Palatino Linotype" w:cs="Palatino Linotype"/>
          <w:sz w:val="24"/>
          <w:szCs w:val="24"/>
        </w:rPr>
        <w:t xml:space="preserve">, para la elaboración de estas cédulas, este Organismo Garante emitió un formato que los Sujeto Obligados deben adoptar para su elaboración, para una mayor referencia se insertan los formatos: </w:t>
      </w:r>
    </w:p>
    <w:p w:rsidR="00B23E83" w:rsidRPr="005E2ED7" w:rsidRDefault="00B907A0">
      <w:pPr>
        <w:spacing w:after="0" w:line="360" w:lineRule="auto"/>
        <w:jc w:val="center"/>
        <w:rPr>
          <w:rFonts w:ascii="Palatino Linotype" w:eastAsia="Palatino Linotype" w:hAnsi="Palatino Linotype" w:cs="Palatino Linotype"/>
          <w:sz w:val="24"/>
          <w:szCs w:val="24"/>
          <w:u w:val="single"/>
        </w:rPr>
      </w:pPr>
      <w:r w:rsidRPr="005E2ED7">
        <w:rPr>
          <w:noProof/>
        </w:rPr>
        <w:lastRenderedPageBreak/>
        <w:drawing>
          <wp:inline distT="0" distB="0" distL="0" distR="0">
            <wp:extent cx="4083520" cy="4994230"/>
            <wp:effectExtent l="0" t="0" r="0" b="0"/>
            <wp:docPr id="95" name="image15.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Interfaz de usuario gráfica, Aplicación, Word&#10;&#10;Descripción generada automáticamente"/>
                    <pic:cNvPicPr preferRelativeResize="0"/>
                  </pic:nvPicPr>
                  <pic:blipFill>
                    <a:blip r:embed="rId35"/>
                    <a:srcRect l="37509" t="35002" r="38900" b="13699"/>
                    <a:stretch>
                      <a:fillRect/>
                    </a:stretch>
                  </pic:blipFill>
                  <pic:spPr>
                    <a:xfrm>
                      <a:off x="0" y="0"/>
                      <a:ext cx="4083520" cy="4994230"/>
                    </a:xfrm>
                    <a:prstGeom prst="rect">
                      <a:avLst/>
                    </a:prstGeom>
                    <a:ln/>
                  </pic:spPr>
                </pic:pic>
              </a:graphicData>
            </a:graphic>
          </wp:inline>
        </w:drawing>
      </w:r>
    </w:p>
    <w:p w:rsidR="00B23E83" w:rsidRPr="005E2ED7" w:rsidRDefault="00B23E83">
      <w:pPr>
        <w:spacing w:after="0" w:line="360" w:lineRule="auto"/>
        <w:jc w:val="both"/>
      </w:pPr>
    </w:p>
    <w:p w:rsidR="00B23E83" w:rsidRPr="005E2ED7" w:rsidRDefault="00B907A0">
      <w:pPr>
        <w:spacing w:after="0" w:line="360" w:lineRule="auto"/>
        <w:jc w:val="both"/>
        <w:rPr>
          <w:rFonts w:ascii="Palatino Linotype" w:eastAsia="Palatino Linotype" w:hAnsi="Palatino Linotype" w:cs="Palatino Linotype"/>
          <w:sz w:val="24"/>
          <w:szCs w:val="24"/>
          <w:u w:val="single"/>
        </w:rPr>
      </w:pPr>
      <w:r w:rsidRPr="005E2ED7">
        <w:rPr>
          <w:noProof/>
        </w:rPr>
        <w:lastRenderedPageBreak/>
        <w:drawing>
          <wp:inline distT="0" distB="0" distL="0" distR="0">
            <wp:extent cx="5446592" cy="5590026"/>
            <wp:effectExtent l="0" t="0" r="0" b="0"/>
            <wp:docPr id="96" name="image16.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Interfaz de usuario gráfica, Aplicación&#10;&#10;Descripción generada automáticamente"/>
                    <pic:cNvPicPr preferRelativeResize="0"/>
                  </pic:nvPicPr>
                  <pic:blipFill>
                    <a:blip r:embed="rId36"/>
                    <a:srcRect l="35132" t="24140" r="37542" b="26000"/>
                    <a:stretch>
                      <a:fillRect/>
                    </a:stretch>
                  </pic:blipFill>
                  <pic:spPr>
                    <a:xfrm>
                      <a:off x="0" y="0"/>
                      <a:ext cx="5446592" cy="5590026"/>
                    </a:xfrm>
                    <a:prstGeom prst="rect">
                      <a:avLst/>
                    </a:prstGeom>
                    <a:ln/>
                  </pic:spPr>
                </pic:pic>
              </a:graphicData>
            </a:graphic>
          </wp:inline>
        </w:drawing>
      </w:r>
    </w:p>
    <w:p w:rsidR="00B23E83" w:rsidRPr="005E2ED7" w:rsidRDefault="00B907A0">
      <w:pPr>
        <w:spacing w:after="0" w:line="360" w:lineRule="auto"/>
        <w:jc w:val="both"/>
        <w:rPr>
          <w:rFonts w:ascii="Palatino Linotype" w:eastAsia="Palatino Linotype" w:hAnsi="Palatino Linotype" w:cs="Palatino Linotype"/>
          <w:sz w:val="24"/>
          <w:szCs w:val="24"/>
          <w:u w:val="single"/>
        </w:rPr>
      </w:pPr>
      <w:r w:rsidRPr="005E2ED7">
        <w:rPr>
          <w:noProof/>
        </w:rPr>
        <w:drawing>
          <wp:inline distT="0" distB="0" distL="0" distR="0">
            <wp:extent cx="5660390" cy="1418680"/>
            <wp:effectExtent l="0" t="0" r="0" b="0"/>
            <wp:docPr id="97" name="image1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Interfaz de usuario gráfica, Texto, Aplicación&#10;&#10;Descripción generada automáticamente"/>
                    <pic:cNvPicPr preferRelativeResize="0"/>
                  </pic:nvPicPr>
                  <pic:blipFill>
                    <a:blip r:embed="rId37"/>
                    <a:srcRect l="37203" t="51599" r="37877" b="28895"/>
                    <a:stretch>
                      <a:fillRect/>
                    </a:stretch>
                  </pic:blipFill>
                  <pic:spPr>
                    <a:xfrm>
                      <a:off x="0" y="0"/>
                      <a:ext cx="5660390" cy="1418680"/>
                    </a:xfrm>
                    <a:prstGeom prst="rect">
                      <a:avLst/>
                    </a:prstGeom>
                    <a:ln/>
                  </pic:spPr>
                </pic:pic>
              </a:graphicData>
            </a:graphic>
          </wp:inline>
        </w:drawing>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Motivo por el cual se procede a ordenar la entrega de la cédula o cédulas de base de datos de Presidencia Municipal, Tesorería Municipal, Dirección de Desarrollo Social, Dirección de Desarrollo Urbano, Dirección de Servicios Públicos, Dirección de Obras Públicas, Dirección de Administración, Secretaría Técnica, Dirección de Sustentabilidad Ambiental, Dirección de la Mujer, Dirección de Gobierno Digital, Dirección de Movilidad y del Instituto Municipal de Cultura y las Artes</w:t>
      </w:r>
      <w:r w:rsidRPr="005E2ED7">
        <w:rPr>
          <w:rFonts w:ascii="Palatino Linotype" w:eastAsia="Palatino Linotype" w:hAnsi="Palatino Linotype" w:cs="Palatino Linotype"/>
          <w:b/>
          <w:sz w:val="24"/>
          <w:szCs w:val="24"/>
        </w:rPr>
        <w:t xml:space="preserve"> </w:t>
      </w:r>
      <w:r w:rsidRPr="005E2ED7">
        <w:rPr>
          <w:rFonts w:ascii="Palatino Linotype" w:eastAsia="Palatino Linotype" w:hAnsi="Palatino Linotype" w:cs="Palatino Linotype"/>
          <w:sz w:val="24"/>
          <w:szCs w:val="24"/>
        </w:rPr>
        <w:t>vigentes a la fecha de la solicitud, sin embargo para el caso de que alguna de las áreas mencionadas no cuenta con cédula o cédulas de base de datos, bastara con que lo haga del conocimiento del particular de manera fundada y motivada.</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8. Documento de Seguridad de la Unidad de Transparencia.</w:t>
      </w:r>
    </w:p>
    <w:p w:rsidR="00B23E83" w:rsidRPr="005E2ED7" w:rsidRDefault="00B23E83">
      <w:pPr>
        <w:spacing w:line="360" w:lineRule="auto"/>
        <w:jc w:val="both"/>
        <w:rPr>
          <w:rFonts w:ascii="Palatino Linotype" w:eastAsia="Palatino Linotype" w:hAnsi="Palatino Linotype" w:cs="Palatino Linotype"/>
          <w:sz w:val="28"/>
          <w:szCs w:val="28"/>
        </w:rPr>
      </w:pPr>
    </w:p>
    <w:tbl>
      <w:tblPr>
        <w:tblStyle w:val="a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84"/>
        <w:gridCol w:w="2268"/>
        <w:gridCol w:w="3402"/>
      </w:tblGrid>
      <w:tr w:rsidR="005E2ED7" w:rsidRPr="005E2ED7">
        <w:tc>
          <w:tcPr>
            <w:tcW w:w="1980"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Información requerida.</w:t>
            </w:r>
          </w:p>
        </w:tc>
        <w:tc>
          <w:tcPr>
            <w:tcW w:w="1984"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Respuesta</w:t>
            </w:r>
          </w:p>
        </w:tc>
        <w:tc>
          <w:tcPr>
            <w:tcW w:w="2268"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Informe Justificado</w:t>
            </w:r>
          </w:p>
        </w:tc>
        <w:tc>
          <w:tcPr>
            <w:tcW w:w="3402"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Alcance</w:t>
            </w:r>
          </w:p>
        </w:tc>
      </w:tr>
      <w:tr w:rsidR="00B23E83" w:rsidRPr="005E2ED7">
        <w:tc>
          <w:tcPr>
            <w:tcW w:w="1980"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 xml:space="preserve">Documento de Seguridad de la Unidad de Transparencia. </w:t>
            </w:r>
          </w:p>
        </w:tc>
        <w:tc>
          <w:tcPr>
            <w:tcW w:w="1984"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Cambio de modalidad por cobro.</w:t>
            </w:r>
          </w:p>
        </w:tc>
        <w:tc>
          <w:tcPr>
            <w:tcW w:w="2268" w:type="dxa"/>
          </w:tcPr>
          <w:p w:rsidR="00B23E83" w:rsidRPr="005E2ED7" w:rsidRDefault="00B907A0">
            <w:pPr>
              <w:spacing w:after="0" w:line="360" w:lineRule="auto"/>
              <w:jc w:val="center"/>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N/A</w:t>
            </w:r>
          </w:p>
        </w:tc>
        <w:tc>
          <w:tcPr>
            <w:tcW w:w="3402" w:type="dxa"/>
          </w:tcPr>
          <w:p w:rsidR="00B23E83" w:rsidRPr="005E2ED7" w:rsidRDefault="00B907A0">
            <w:pPr>
              <w:spacing w:after="0" w:line="360" w:lineRule="auto"/>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Diversos Documentos de Seguridad generados por diversas áreas, acompañadas del</w:t>
            </w:r>
          </w:p>
          <w:p w:rsidR="00B23E83" w:rsidRPr="005E2ED7" w:rsidRDefault="00B907A0">
            <w:pPr>
              <w:spacing w:after="0" w:line="360" w:lineRule="auto"/>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Acuerdo de Clasificación 11/CT/32-ORD/2022, de la Trigésima Segunda Sesión Ordinaria del Comité de Transparencia, en donde se somete a la aprobación de los documentos de seguridad del Ayuntamiento de Tlalnepantla de Baz.</w:t>
            </w:r>
          </w:p>
        </w:tc>
      </w:tr>
    </w:tbl>
    <w:p w:rsidR="00B23E83" w:rsidRPr="005E2ED7" w:rsidRDefault="00B23E83">
      <w:pPr>
        <w:spacing w:after="0" w:line="360" w:lineRule="auto"/>
        <w:jc w:val="both"/>
        <w:rPr>
          <w:rFonts w:ascii="Palatino Linotype" w:eastAsia="Palatino Linotype" w:hAnsi="Palatino Linotype" w:cs="Palatino Linotype"/>
          <w:sz w:val="28"/>
          <w:szCs w:val="28"/>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Se adjunta la primera página a manera de ejemplo:</w:t>
      </w:r>
    </w:p>
    <w:p w:rsidR="00B23E83" w:rsidRPr="005E2ED7" w:rsidRDefault="00B907A0">
      <w:pPr>
        <w:spacing w:after="0" w:line="360" w:lineRule="auto"/>
        <w:jc w:val="center"/>
        <w:rPr>
          <w:rFonts w:ascii="Palatino Linotype" w:eastAsia="Palatino Linotype" w:hAnsi="Palatino Linotype" w:cs="Palatino Linotype"/>
          <w:sz w:val="24"/>
          <w:szCs w:val="24"/>
        </w:rPr>
      </w:pPr>
      <w:r w:rsidRPr="005E2ED7">
        <w:rPr>
          <w:noProof/>
        </w:rPr>
        <w:drawing>
          <wp:inline distT="0" distB="0" distL="0" distR="0">
            <wp:extent cx="3668097" cy="3624167"/>
            <wp:effectExtent l="0" t="0" r="0" b="0"/>
            <wp:docPr id="9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l="36151" t="23235" r="35506" b="26976"/>
                    <a:stretch>
                      <a:fillRect/>
                    </a:stretch>
                  </pic:blipFill>
                  <pic:spPr>
                    <a:xfrm>
                      <a:off x="0" y="0"/>
                      <a:ext cx="3668097" cy="3624167"/>
                    </a:xfrm>
                    <a:prstGeom prst="rect">
                      <a:avLst/>
                    </a:prstGeom>
                    <a:ln/>
                  </pic:spPr>
                </pic:pic>
              </a:graphicData>
            </a:graphic>
          </wp:inline>
        </w:drawing>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Al respecto conviene referir los siguientes artículos de la Ley de Protección de Datos Personales en Posesión de Sujetos Obligados del Estado De México y Municipios:</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“Artículo 4. Para los efectos de esta Ley se entenderá por</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ind w:left="851" w:right="899"/>
        <w:jc w:val="both"/>
        <w:rPr>
          <w:rFonts w:ascii="Palatino Linotype" w:eastAsia="Palatino Linotype" w:hAnsi="Palatino Linotype" w:cs="Palatino Linotype"/>
          <w:b/>
          <w:i/>
          <w:u w:val="single"/>
        </w:rPr>
      </w:pPr>
      <w:r w:rsidRPr="005E2ED7">
        <w:rPr>
          <w:rFonts w:ascii="Palatino Linotype" w:eastAsia="Palatino Linotype" w:hAnsi="Palatino Linotype" w:cs="Palatino Linotype"/>
          <w:b/>
          <w:i/>
        </w:rPr>
        <w:t>XVIII. Documento de seguridad:</w:t>
      </w:r>
      <w:r w:rsidRPr="005E2ED7">
        <w:rPr>
          <w:rFonts w:ascii="Palatino Linotype" w:eastAsia="Palatino Linotype" w:hAnsi="Palatino Linotype" w:cs="Palatino Linotype"/>
          <w:i/>
        </w:rPr>
        <w:t xml:space="preserve"> </w:t>
      </w:r>
      <w:r w:rsidRPr="005E2ED7">
        <w:rPr>
          <w:rFonts w:ascii="Palatino Linotype" w:eastAsia="Palatino Linotype" w:hAnsi="Palatino Linotype" w:cs="Palatino Linotype"/>
          <w:b/>
          <w:i/>
          <w:u w:val="single"/>
        </w:rPr>
        <w:t>al instrumento que describe y da cuenta de manera general sobre las medidas de seguridad técnicas, físicas y administrativas adoptadas por el responsable para garantizar la confidencialidad, integridad y disponibilidad de la información contenida en los sistemas y bases de datos personales.</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t>…</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 xml:space="preserve">Naturaleza de las medidas de seguridad y registro del nivel de seguridad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t>Artículo 43</w:t>
      </w:r>
      <w:r w:rsidRPr="005E2ED7">
        <w:rPr>
          <w:rFonts w:ascii="Palatino Linotype" w:eastAsia="Palatino Linotype" w:hAnsi="Palatino Linotype" w:cs="Palatino Linotype"/>
          <w:i/>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Por la naturaleza de la información, las medidas de seguridad que se adopten serán consideradas confidenciales y únicamente se comunicará al Instituto, para su registro, el nivel de seguridad aplicable.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En el supuesto de actualización de estos datos, la modificación respectiva se notificará al Instituto en sus oficinas o en el portal que para tal efecto se cree, dentro de los treinta días hábiles siguientes a la fecha en que se efectuó.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El responsable o el encargado, designarán a una o un administrador, quien tendrá bajo su responsabilidad directa la base y sistema de datos personales.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Tipos y Niveles de Seguridad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t>Artículo 44</w:t>
      </w:r>
      <w:r w:rsidRPr="005E2ED7">
        <w:rPr>
          <w:rFonts w:ascii="Palatino Linotype" w:eastAsia="Palatino Linotype" w:hAnsi="Palatino Linotype" w:cs="Palatino Linotype"/>
          <w:i/>
        </w:rPr>
        <w:t xml:space="preserve">. El responsable adoptará las medidas de seguridad, conforme a lo siguiente: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A. Tipos de seguridad: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 Física: a la medida orientada a la protección de instalaciones, equipos, soportes, sistemas o bases de datos para la prevención de riesgos por caso fortuito o causas de fuerza mayor.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 xml:space="preserve">II. Lógica: a las medidas de seguridad administrativas y de protección que permiten la identificación y autenticación de las usuarias y los usuarios autorizados para el tratamiento de los datos personales de acuerdo con su función.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III. De desarrollo y aplicaciones: a las autorizaciones con las que contará la creación o tratamiento de los sistemas o bases de datos personales, según su importancia, para garantizar el adecuado desarrollo y uso de los datos, previendo la participación de las usuarias y usuarios, la separación de entornos, la metodología a seguir, ciclos de vida y gestión, así como las consideraciones especiales respecto de aplicaciones y pruebas.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IV. De cifrado: a la implementación de algoritmos, claves, contraseñas, así como dispositivos concretos de protección que garanticen la seguridad de la información.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V. De comunicaciones y redes: a las medidas de seguridad técnicas, así como restricciones preventivas y de riesgos que deberán observar los usuarios de datos o sistemas de datos personales para acceder a dominios o cargar programas autorizados, así como para el manejo de telecomunicaciones.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B. Niveles de seguridad: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 Básico: a las medidas generales de seguridad cuya aplicación es obligatoria para todos los sistemas y bases de datos personales. Dichas medidas corresponden a los siguientes aspectos: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a) Documento de seguridad.</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 b) Funciones y obligaciones del personal que intervenga en el tratamiento de las bases o sistemas de datos personales.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c) Registro de incidencias.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d) Identificación y autenticación.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e) Control de acceso.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f) Gestión de soportes.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g) Copias de respaldo y recuperación.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 xml:space="preserve">II. Medio: a la adopción de medidas de seguridad cuya aplicación corresponde a bases o sistemas de datos relativos a la comisión de infracciones administrativas o penales, hacienda pública, servicios financieros, datos patrimoniales, así como a los que contengan datos de carácter personal suficientes que permitan obtener una evaluación de la personalidad del individuo.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Este nivel de seguridad, de manera adicional a las medidas calificadas como básicas, considera los aspectos siguientes: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a) Responsable de seguridad.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b) Auditoría.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c) Control de acceso físico.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d) Pruebas con datos reales.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III. Alto: a las medidas de seguridad aplicables a bases o sistemas de datos concernientes a la ideología, religión, creencias, afiliación política, origen racial o étnico, salud, biométricos, genéticos o vida sexual, así como los que contengan datos recabados para fines policiales, de seguridad pública, prevención, investigación y persecución de delitos.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En estos casos, además de incorporar las medidas de nivel básico y medio, deberán completar las que se detallan a continuación: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a) Distribución de soportes.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b) Registro de acceso.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c) Telecomunicaciones.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Los diferentes niveles de seguridad serán establecidos atendiendo a las características propias de la información. Elementos a considerar para la adopción de medidas de seguridad y su naturaleza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t>Artículo 45</w:t>
      </w:r>
      <w:r w:rsidRPr="005E2ED7">
        <w:rPr>
          <w:rFonts w:ascii="Palatino Linotype" w:eastAsia="Palatino Linotype" w:hAnsi="Palatino Linotype" w:cs="Palatino Linotype"/>
          <w:i/>
        </w:rPr>
        <w:t xml:space="preserve">. Las medidas de seguridad adoptadas por el responsable considerarán: I. El riesgo inherente a los datos personales tratados.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II. La sensibilidad de los datos personales tratados.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III. El desarrollo tecnológico.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 xml:space="preserve">IV. Las posibles consecuencias de una vulneración para las y los titulares.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V. Las transferencias de datos personales que se realicen.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VI. El número de titulares.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VII. Las violaciones a la seguridad previas ocurridas en los sistemas de tratamiento.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VIII. El riesgo por el valor potencial cuantitativo o cualitativo que pudieran tener los datos personales tratados para una tercera persona no autorizada para su posesión. Actividades interrelacionadas para establecer y mantener las medidas de seguridad.</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t>Artículo 46</w:t>
      </w:r>
      <w:r w:rsidRPr="005E2ED7">
        <w:rPr>
          <w:rFonts w:ascii="Palatino Linotype" w:eastAsia="Palatino Linotype" w:hAnsi="Palatino Linotype" w:cs="Palatino Linotype"/>
          <w:i/>
        </w:rPr>
        <w:t xml:space="preserve">. Para establecer y mantener las medidas de seguridad para la protección de los datos personales, el responsable realizará, al menos, las actividades interrelacionadas siguientes: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 Crear políticas internas para la gestión y tratamiento de los datos personales, que tomen en cuenta el contexto en el que ocurren los tratamientos y el ciclo de vida de los datos personales, es decir, su obtención, uso y posterior supresión.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II. Definir las funciones y obligaciones del personal involucrado en el tratamiento de datos personales.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III. Elaborar un inventario de datos personales y de las bases y o sistemas de tratamiento.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V. Realizar un análisis de brecha, comparando las medidas de seguridad existentes contra las faltantes en la organización del responsable.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VI. Elaborar un plan de trabajo para la implementación de las medidas de seguridad faltantes, así como las medidas para el cumplimiento cotidiano de las políticas de gestión y tratamiento de los datos personales.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 xml:space="preserve">VII. Monitorear y revisar de manera periódica las medidas de seguridad implementadas, así como las amenazas y vulnerabilidades a las que están sujetos los datos personales.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VIII. Diseñar y aplicar diferentes niveles de capacitación del personal bajo su mando, dependiendo de sus roles y responsabilidades respecto del tratamiento de los datos personales. </w:t>
      </w:r>
    </w:p>
    <w:p w:rsidR="00B23E83" w:rsidRPr="005E2ED7" w:rsidRDefault="00B907A0">
      <w:pPr>
        <w:ind w:left="851" w:right="899"/>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Exigibilidad de Documentos y Registros derivados de un Sistema de Gestión de la Protección de Datos.</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t>Artículo 47.</w:t>
      </w:r>
      <w:r w:rsidRPr="005E2ED7">
        <w:rPr>
          <w:rFonts w:ascii="Palatino Linotype" w:eastAsia="Palatino Linotype" w:hAnsi="Palatino Linotype" w:cs="Palatino Linotype"/>
          <w:i/>
        </w:rPr>
        <w:t xml:space="preserve"> Las acciones relacionadas con las medidas de seguridad para el tratamiento de los datos personales serán documentadas y contenidas en un sistema de gestión. 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legales aplicables.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Obligatoriedad del Documento de Seguridad </w:t>
      </w:r>
    </w:p>
    <w:p w:rsidR="00B23E83" w:rsidRPr="005E2ED7" w:rsidRDefault="00B907A0">
      <w:pPr>
        <w:ind w:left="851" w:right="899"/>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 xml:space="preserve">Artículo 48. Los sujetos obligados elaborarán y aprobarán un documento que contenga las medidas de seguridad aplicables a las bases y sistemas de datos personales, tomando en cuenta los estándares internacionales de seguridad, la presente Ley así como los lineamientos que se expidan. 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t>Contenido del Documento de Seguridad</w:t>
      </w:r>
      <w:r w:rsidRPr="005E2ED7">
        <w:rPr>
          <w:rFonts w:ascii="Palatino Linotype" w:eastAsia="Palatino Linotype" w:hAnsi="Palatino Linotype" w:cs="Palatino Linotype"/>
          <w:i/>
        </w:rPr>
        <w:t xml:space="preserve">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t>Artículo 49. El documento de seguridad deberá contener como mínimo lo siguiente:</w:t>
      </w:r>
      <w:r w:rsidRPr="005E2ED7">
        <w:rPr>
          <w:rFonts w:ascii="Palatino Linotype" w:eastAsia="Palatino Linotype" w:hAnsi="Palatino Linotype" w:cs="Palatino Linotype"/>
          <w:i/>
        </w:rPr>
        <w:t xml:space="preserve">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 Respecto de los sistemas de datos personales: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a) El nombre.</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 b) El nombre, cargo y adscripción del administrador de cada sistema y base de datos.</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 c) Las funciones y obligaciones del responsable, encargado o encargados y todas las personas que traten datos personales. </w:t>
      </w:r>
    </w:p>
    <w:p w:rsidR="00B23E83" w:rsidRPr="005E2ED7" w:rsidRDefault="00B907A0">
      <w:pPr>
        <w:ind w:left="851" w:right="899"/>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 xml:space="preserve">d) El folio del registro del sistema y base de datos.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t>e) El inventario o la especificación detallada del tipo de datos personales contenidos</w:t>
      </w:r>
      <w:r w:rsidRPr="005E2ED7">
        <w:rPr>
          <w:rFonts w:ascii="Palatino Linotype" w:eastAsia="Palatino Linotype" w:hAnsi="Palatino Linotype" w:cs="Palatino Linotype"/>
          <w:i/>
        </w:rPr>
        <w:t>.</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t>f) La estructura y descripción de los sistemas y bases de datos personales, lo cual consiste en precisar y describir el tipo de soporte, así como las características del lugar donde se resguardan</w:t>
      </w:r>
      <w:r w:rsidRPr="005E2ED7">
        <w:rPr>
          <w:rFonts w:ascii="Palatino Linotype" w:eastAsia="Palatino Linotype" w:hAnsi="Palatino Linotype" w:cs="Palatino Linotype"/>
          <w:i/>
        </w:rPr>
        <w:t xml:space="preserve">.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II. Respecto de las medidas de seguridad implementadas deberá incluir lo siguiente: </w:t>
      </w:r>
    </w:p>
    <w:p w:rsidR="00B23E83" w:rsidRPr="005E2ED7" w:rsidRDefault="00B907A0">
      <w:pPr>
        <w:ind w:left="851" w:right="899"/>
        <w:jc w:val="both"/>
        <w:rPr>
          <w:rFonts w:ascii="Palatino Linotype" w:eastAsia="Palatino Linotype" w:hAnsi="Palatino Linotype" w:cs="Palatino Linotype"/>
          <w:b/>
          <w:i/>
        </w:rPr>
      </w:pPr>
      <w:r w:rsidRPr="005E2ED7">
        <w:rPr>
          <w:rFonts w:ascii="Palatino Linotype" w:eastAsia="Palatino Linotype" w:hAnsi="Palatino Linotype" w:cs="Palatino Linotype"/>
          <w:i/>
        </w:rPr>
        <w:t xml:space="preserve">a) </w:t>
      </w:r>
      <w:r w:rsidRPr="005E2ED7">
        <w:rPr>
          <w:rFonts w:ascii="Palatino Linotype" w:eastAsia="Palatino Linotype" w:hAnsi="Palatino Linotype" w:cs="Palatino Linotype"/>
          <w:b/>
          <w:i/>
        </w:rPr>
        <w:t xml:space="preserve">Transferencia y remisiones. </w:t>
      </w:r>
    </w:p>
    <w:p w:rsidR="00B23E83" w:rsidRPr="005E2ED7" w:rsidRDefault="00B907A0">
      <w:pPr>
        <w:ind w:left="851" w:right="899"/>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 xml:space="preserve">b) Resguardo de soportes físicos y electrónicos. </w:t>
      </w:r>
    </w:p>
    <w:p w:rsidR="00B23E83" w:rsidRPr="005E2ED7" w:rsidRDefault="00B907A0">
      <w:pPr>
        <w:ind w:left="851" w:right="899"/>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 xml:space="preserve">c) Bitácoras para accesos, operación cotidiana y violaciones a la seguridad de los datos personales. </w:t>
      </w:r>
    </w:p>
    <w:p w:rsidR="00B23E83" w:rsidRPr="005E2ED7" w:rsidRDefault="00B907A0">
      <w:pPr>
        <w:ind w:left="851" w:right="899"/>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 xml:space="preserve">d) El análisis de riesgos. </w:t>
      </w:r>
    </w:p>
    <w:p w:rsidR="00B23E83" w:rsidRPr="005E2ED7" w:rsidRDefault="00B907A0">
      <w:pPr>
        <w:ind w:left="851" w:right="899"/>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 xml:space="preserve">e) El análisis de brecha. </w:t>
      </w:r>
    </w:p>
    <w:p w:rsidR="00B23E83" w:rsidRPr="005E2ED7" w:rsidRDefault="00B907A0">
      <w:pPr>
        <w:ind w:left="851" w:right="899"/>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f) Gestión de incidentes.</w:t>
      </w:r>
    </w:p>
    <w:p w:rsidR="00B23E83" w:rsidRPr="005E2ED7" w:rsidRDefault="00B907A0">
      <w:pPr>
        <w:ind w:left="851" w:right="899"/>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 xml:space="preserve"> g) Acceso a las instalaciones.</w:t>
      </w:r>
    </w:p>
    <w:p w:rsidR="00B23E83" w:rsidRPr="005E2ED7" w:rsidRDefault="00B907A0">
      <w:pPr>
        <w:ind w:left="851" w:right="899"/>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 xml:space="preserve">h) Identificación y autenticación.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t>i) Procedimientos de respaldo y recuperación de datos</w:t>
      </w:r>
      <w:r w:rsidRPr="005E2ED7">
        <w:rPr>
          <w:rFonts w:ascii="Palatino Linotype" w:eastAsia="Palatino Linotype" w:hAnsi="Palatino Linotype" w:cs="Palatino Linotype"/>
          <w:i/>
        </w:rPr>
        <w:t xml:space="preserve">.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j) Plan de contingencia. </w:t>
      </w:r>
    </w:p>
    <w:p w:rsidR="00B23E83" w:rsidRPr="005E2ED7" w:rsidRDefault="00B907A0">
      <w:pPr>
        <w:ind w:left="851" w:right="899"/>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 xml:space="preserve">k) Auditorías. </w:t>
      </w:r>
    </w:p>
    <w:p w:rsidR="00B23E83" w:rsidRPr="005E2ED7" w:rsidRDefault="00B907A0">
      <w:pPr>
        <w:ind w:left="851" w:right="899"/>
        <w:jc w:val="both"/>
        <w:rPr>
          <w:rFonts w:ascii="Palatino Linotype" w:eastAsia="Palatino Linotype" w:hAnsi="Palatino Linotype" w:cs="Palatino Linotype"/>
          <w:b/>
          <w:i/>
        </w:rPr>
      </w:pPr>
      <w:r w:rsidRPr="005E2ED7">
        <w:rPr>
          <w:rFonts w:ascii="Palatino Linotype" w:eastAsia="Palatino Linotype" w:hAnsi="Palatino Linotype" w:cs="Palatino Linotype"/>
          <w:b/>
          <w:i/>
        </w:rPr>
        <w:t xml:space="preserve">l) Supresión y borrado seguro de datos.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lastRenderedPageBreak/>
        <w:t>m) El plan de trabajo</w:t>
      </w:r>
      <w:r w:rsidRPr="005E2ED7">
        <w:rPr>
          <w:rFonts w:ascii="Palatino Linotype" w:eastAsia="Palatino Linotype" w:hAnsi="Palatino Linotype" w:cs="Palatino Linotype"/>
          <w:i/>
        </w:rPr>
        <w:t xml:space="preserve">.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b/>
          <w:i/>
        </w:rPr>
        <w:t>n) Los mecanismos de monitoreo y revisión de las medidas de seguridad</w:t>
      </w:r>
      <w:r w:rsidRPr="005E2ED7">
        <w:rPr>
          <w:rFonts w:ascii="Palatino Linotype" w:eastAsia="Palatino Linotype" w:hAnsi="Palatino Linotype" w:cs="Palatino Linotype"/>
          <w:i/>
        </w:rPr>
        <w:t>. o) El programa general de capacitación. Revisión y actualización del documento de seguridad.</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 Artículo 50. El responsable revisará el documento de seguridad de manera periódica y actualizarlo cuando ocurran los eventos siguientes: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 Se produzcan modificaciones sustanciales al tratamiento de datos personales que deriven en un cambio en el nivel de riesgo.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II. Como resultado de un proceso de mejora continua, derivado del monitoreo y revisión del sistema de gestión. </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III. Como resultado de un proceso de mejora para mitigar el impacto de una vulneración a la seguridad ocurrida.</w:t>
      </w:r>
    </w:p>
    <w:p w:rsidR="00B23E83" w:rsidRPr="005E2ED7" w:rsidRDefault="00B907A0">
      <w:pPr>
        <w:ind w:left="851" w:right="899"/>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 IV. Implementación de acciones correctivas y preventivas ante una violación de la seguridad de los datos personales.”(Sic)</w:t>
      </w:r>
    </w:p>
    <w:p w:rsidR="00B23E83" w:rsidRPr="005E2ED7" w:rsidRDefault="00B23E83">
      <w:pPr>
        <w:ind w:left="851" w:right="899"/>
        <w:jc w:val="both"/>
        <w:rPr>
          <w:rFonts w:ascii="Palatino Linotype" w:eastAsia="Palatino Linotype" w:hAnsi="Palatino Linotype" w:cs="Palatino Linotype"/>
          <w:i/>
        </w:rPr>
      </w:pPr>
    </w:p>
    <w:p w:rsidR="00B23E83" w:rsidRPr="005E2ED7" w:rsidRDefault="00B907A0">
      <w:pPr>
        <w:tabs>
          <w:tab w:val="left" w:pos="709"/>
        </w:tabs>
        <w:spacing w:before="160"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Preceptos legales en donde se establece, que el documento de seguridad es el instrumento en donde se establecen las medidas de seguridad adoptadas por el responsable del tratamiento de los datos personales, con la finalidad de avalar el secreto, probidad y tratamiento de los datos personales contenida en los sistemas y base de datos creados por los Sujeto Obligado en el cumplimiento de sus obligaciones. </w:t>
      </w:r>
    </w:p>
    <w:p w:rsidR="00B23E83" w:rsidRPr="005E2ED7" w:rsidRDefault="00B23E83">
      <w:pPr>
        <w:tabs>
          <w:tab w:val="left" w:pos="709"/>
        </w:tabs>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Por otra parte, la Ley de Protección de Datos Personales, referida, señala como obligatoriedad por parte de los Sujetos Obligados el de emitir y aprobar su documento de seguridad para el tratamiento de los datos personales que recabe en cumplimiento de sus funciones que se encuentren contenidos en sus sistemas o bases </w:t>
      </w:r>
      <w:r w:rsidRPr="005E2ED7">
        <w:rPr>
          <w:rFonts w:ascii="Palatino Linotype" w:eastAsia="Palatino Linotype" w:hAnsi="Palatino Linotype" w:cs="Palatino Linotype"/>
          <w:sz w:val="24"/>
          <w:szCs w:val="24"/>
        </w:rPr>
        <w:lastRenderedPageBreak/>
        <w:t>de datos; razones por las cuales, lo dable es ordenar al Sujeto Obligado, , haga entrega de los documentos de seguridad de la Unidad de Transparencia, vigentes a la feche de la solicitud, y en versión pública, conforme a lo siguiente:</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Es pertinente reiterar que el documento de seguridad, contendrá las medidas de seguridad aplicables a las bases y sistemas de datos personales, en ese contexto, resulta aplicable lo dispuesto por el artículo 43 de la Ley de Protección de Datos Personales, el cual dispone lo siguiente: </w:t>
      </w:r>
    </w:p>
    <w:p w:rsidR="00B23E83" w:rsidRPr="005E2ED7" w:rsidRDefault="00B23E83">
      <w:pPr>
        <w:jc w:val="both"/>
        <w:rPr>
          <w:rFonts w:ascii="Palatino Linotype" w:eastAsia="Palatino Linotype" w:hAnsi="Palatino Linotype" w:cs="Palatino Linotype"/>
        </w:rPr>
      </w:pPr>
    </w:p>
    <w:p w:rsidR="00B23E83" w:rsidRPr="005E2ED7" w:rsidRDefault="00B907A0">
      <w:pPr>
        <w:ind w:left="851" w:right="901"/>
        <w:jc w:val="both"/>
        <w:rPr>
          <w:rFonts w:ascii="Palatino Linotype" w:eastAsia="Palatino Linotype" w:hAnsi="Palatino Linotype" w:cs="Palatino Linotype"/>
          <w:b/>
          <w:i/>
        </w:rPr>
      </w:pPr>
      <w:r w:rsidRPr="005E2ED7">
        <w:rPr>
          <w:rFonts w:ascii="Palatino Linotype" w:eastAsia="Palatino Linotype" w:hAnsi="Palatino Linotype" w:cs="Palatino Linotype"/>
          <w:i/>
        </w:rPr>
        <w:t>“</w:t>
      </w:r>
      <w:r w:rsidRPr="005E2ED7">
        <w:rPr>
          <w:rFonts w:ascii="Palatino Linotype" w:eastAsia="Palatino Linotype" w:hAnsi="Palatino Linotype" w:cs="Palatino Linotype"/>
          <w:b/>
          <w:i/>
        </w:rPr>
        <w:t xml:space="preserve">Artículo 43. </w:t>
      </w:r>
      <w:r w:rsidRPr="005E2ED7">
        <w:rPr>
          <w:rFonts w:ascii="Palatino Linotype" w:eastAsia="Palatino Linotype" w:hAnsi="Palatino Linotype" w:cs="Palatino Linotype"/>
          <w:i/>
        </w:rPr>
        <w:t>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w:t>
      </w:r>
      <w:r w:rsidRPr="005E2ED7">
        <w:rPr>
          <w:rFonts w:ascii="Palatino Linotype" w:eastAsia="Palatino Linotype" w:hAnsi="Palatino Linotype" w:cs="Palatino Linotype"/>
          <w:b/>
          <w:i/>
        </w:rPr>
        <w:t xml:space="preserve"> las medidas de seguridad que se adopten </w:t>
      </w:r>
      <w:r w:rsidRPr="005E2ED7">
        <w:rPr>
          <w:rFonts w:ascii="Palatino Linotype" w:eastAsia="Palatino Linotype" w:hAnsi="Palatino Linotype" w:cs="Palatino Linotype"/>
          <w:b/>
          <w:i/>
          <w:u w:val="single"/>
        </w:rPr>
        <w:t>serán consideradas confidenciales</w:t>
      </w:r>
      <w:r w:rsidRPr="005E2ED7">
        <w:rPr>
          <w:rFonts w:ascii="Palatino Linotype" w:eastAsia="Palatino Linotype" w:hAnsi="Palatino Linotype" w:cs="Palatino Linotype"/>
          <w:b/>
          <w:i/>
        </w:rPr>
        <w:t xml:space="preserve"> </w:t>
      </w:r>
      <w:r w:rsidRPr="005E2ED7">
        <w:rPr>
          <w:rFonts w:ascii="Palatino Linotype" w:eastAsia="Palatino Linotype" w:hAnsi="Palatino Linotype" w:cs="Palatino Linotype"/>
          <w:i/>
        </w:rPr>
        <w:t>y únicamente se comunicará al Instituto, para su registro, el nivel de seguridad aplicable</w:t>
      </w:r>
      <w:r w:rsidRPr="005E2ED7">
        <w:rPr>
          <w:rFonts w:ascii="Palatino Linotype" w:eastAsia="Palatino Linotype" w:hAnsi="Palatino Linotype" w:cs="Palatino Linotype"/>
          <w:b/>
          <w:i/>
        </w:rPr>
        <w:t>.” (Sic)</w:t>
      </w:r>
    </w:p>
    <w:p w:rsidR="00B23E83" w:rsidRPr="005E2ED7" w:rsidRDefault="00B907A0">
      <w:pPr>
        <w:spacing w:before="240" w:after="24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Con base en lo anterior, se actualiza el supuesto de restricción de acceso a la información pública que contempla el artículo 91 de la Ley de Transparencia y Acceso a la Información Pública del Estado de México y Municipios</w:t>
      </w:r>
      <w:r w:rsidRPr="005E2ED7">
        <w:rPr>
          <w:rFonts w:ascii="Palatino Linotype" w:eastAsia="Palatino Linotype" w:hAnsi="Palatino Linotype" w:cs="Palatino Linotype"/>
          <w:sz w:val="24"/>
          <w:szCs w:val="24"/>
          <w:vertAlign w:val="superscript"/>
        </w:rPr>
        <w:footnoteReference w:id="3"/>
      </w:r>
      <w:r w:rsidRPr="005E2ED7">
        <w:rPr>
          <w:rFonts w:ascii="Palatino Linotype" w:eastAsia="Palatino Linotype" w:hAnsi="Palatino Linotype" w:cs="Palatino Linotype"/>
          <w:sz w:val="24"/>
          <w:szCs w:val="24"/>
        </w:rPr>
        <w:t xml:space="preserve">, aunado a lo que señala el artículo 143, penúltimo párrafo de la misma Ley, que a la letra dice: </w:t>
      </w:r>
    </w:p>
    <w:p w:rsidR="00B23E83" w:rsidRPr="005E2ED7" w:rsidRDefault="00B907A0">
      <w:pPr>
        <w:tabs>
          <w:tab w:val="left" w:pos="851"/>
        </w:tabs>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r w:rsidRPr="005E2ED7">
        <w:rPr>
          <w:rFonts w:ascii="Palatino Linotype" w:eastAsia="Palatino Linotype" w:hAnsi="Palatino Linotype" w:cs="Palatino Linotype"/>
          <w:b/>
          <w:i/>
        </w:rPr>
        <w:t>Artículo 143.</w:t>
      </w:r>
      <w:r w:rsidRPr="005E2ED7">
        <w:rPr>
          <w:rFonts w:ascii="Palatino Linotype" w:eastAsia="Palatino Linotype" w:hAnsi="Palatino Linotype" w:cs="Palatino Linotype"/>
          <w:i/>
        </w:rPr>
        <w:t xml:space="preserve"> …</w:t>
      </w:r>
    </w:p>
    <w:p w:rsidR="00B23E83" w:rsidRPr="005E2ED7" w:rsidRDefault="00B907A0">
      <w:pPr>
        <w:tabs>
          <w:tab w:val="left" w:pos="851"/>
        </w:tabs>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tabs>
          <w:tab w:val="left" w:pos="851"/>
        </w:tabs>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La información confidencial no estará sujeta a temporalidad alguna y sólo podrán tener acceso a ella los titulares de la misma, sus representantes y los servidores públicos facultados para ello.”(Sic)</w:t>
      </w:r>
    </w:p>
    <w:p w:rsidR="00B23E83" w:rsidRPr="005E2ED7" w:rsidRDefault="00B907A0">
      <w:pPr>
        <w:spacing w:before="240" w:after="24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En concordancia con expuesto, el numeral Trigésimo Octavo, párrafo segundo de los “Lineamientos Generales en materia de Clasificación y Desclasificación de la información, así como para la elaboración de Versiones Públicas”</w:t>
      </w:r>
      <w:r w:rsidRPr="005E2ED7">
        <w:rPr>
          <w:rFonts w:ascii="Palatino Linotype" w:eastAsia="Palatino Linotype" w:hAnsi="Palatino Linotype" w:cs="Palatino Linotype"/>
          <w:sz w:val="24"/>
          <w:szCs w:val="24"/>
          <w:vertAlign w:val="superscript"/>
        </w:rPr>
        <w:footnoteReference w:id="4"/>
      </w:r>
      <w:r w:rsidRPr="005E2ED7">
        <w:rPr>
          <w:rFonts w:ascii="Palatino Linotype" w:eastAsia="Palatino Linotype" w:hAnsi="Palatino Linotype" w:cs="Palatino Linotype"/>
          <w:sz w:val="24"/>
          <w:szCs w:val="24"/>
        </w:rPr>
        <w:t xml:space="preserve">, señala lo siguiente: </w:t>
      </w:r>
    </w:p>
    <w:p w:rsidR="00B23E83" w:rsidRPr="005E2ED7" w:rsidRDefault="00B907A0">
      <w:pPr>
        <w:tabs>
          <w:tab w:val="left" w:pos="851"/>
        </w:tabs>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r w:rsidRPr="005E2ED7">
        <w:rPr>
          <w:rFonts w:ascii="Palatino Linotype" w:eastAsia="Palatino Linotype" w:hAnsi="Palatino Linotype" w:cs="Palatino Linotype"/>
          <w:b/>
          <w:i/>
        </w:rPr>
        <w:t>Trigésimo octavo.</w:t>
      </w:r>
      <w:r w:rsidRPr="005E2ED7">
        <w:rPr>
          <w:rFonts w:ascii="Palatino Linotype" w:eastAsia="Palatino Linotype" w:hAnsi="Palatino Linotype" w:cs="Palatino Linotype"/>
          <w:i/>
        </w:rPr>
        <w:t xml:space="preserve"> …</w:t>
      </w:r>
    </w:p>
    <w:p w:rsidR="00B23E83" w:rsidRPr="005E2ED7" w:rsidRDefault="00B907A0">
      <w:pPr>
        <w:tabs>
          <w:tab w:val="left" w:pos="851"/>
        </w:tabs>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 (Sic)</w:t>
      </w: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Bajo lo previo, resulta importante señalar que las medidas de seguridad aplicables a las bases de datos personales por parte del responsable es </w:t>
      </w:r>
      <w:r w:rsidRPr="005E2ED7">
        <w:rPr>
          <w:rFonts w:ascii="Palatino Linotype" w:eastAsia="Palatino Linotype" w:hAnsi="Palatino Linotype" w:cs="Palatino Linotype"/>
          <w:b/>
          <w:sz w:val="24"/>
          <w:szCs w:val="24"/>
        </w:rPr>
        <w:t xml:space="preserve">información de carácter confidencial </w:t>
      </w:r>
      <w:r w:rsidRPr="005E2ED7">
        <w:rPr>
          <w:rFonts w:ascii="Palatino Linotype" w:eastAsia="Palatino Linotype" w:hAnsi="Palatino Linotype" w:cs="Palatino Linotype"/>
          <w:sz w:val="24"/>
          <w:szCs w:val="24"/>
        </w:rPr>
        <w:t xml:space="preserve">por mandato expreso del artículo 43 de la Ley, razón por la cual las políticas y procedimientos de seguridad en materia de protección de datos personales, no pueden ser proporcionados, toda vez que la puesta a disposición de las mismas pudiesen causar un daño, alteración, pérdida, destrucción, o el uso, transferencia, acceso o cualquier tratamiento  no autorizado o ilícito a la información que se encuentra en tratamiento en bases y sistemas de datos personales. </w:t>
      </w:r>
    </w:p>
    <w:p w:rsidR="00B23E83" w:rsidRPr="005E2ED7" w:rsidRDefault="00B23E83">
      <w:pPr>
        <w:spacing w:after="0" w:line="360" w:lineRule="auto"/>
        <w:ind w:right="49"/>
        <w:jc w:val="both"/>
        <w:rPr>
          <w:rFonts w:ascii="Palatino Linotype" w:eastAsia="Palatino Linotype" w:hAnsi="Palatino Linotype" w:cs="Palatino Linotype"/>
          <w:sz w:val="24"/>
          <w:szCs w:val="24"/>
        </w:rPr>
      </w:pPr>
    </w:p>
    <w:p w:rsidR="00B23E83" w:rsidRPr="005E2ED7" w:rsidRDefault="00B907A0">
      <w:pPr>
        <w:spacing w:after="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Asimismo, es pertinente mencionar que conforme a lo dispuesto en el artículo 49 de la Ley de Protección de Datos Personales supraindicada, el documento de seguridad debe contener, como mínimo, lo referente a: </w:t>
      </w:r>
    </w:p>
    <w:p w:rsidR="00B23E83" w:rsidRPr="005E2ED7" w:rsidRDefault="00B23E83">
      <w:pPr>
        <w:spacing w:line="360" w:lineRule="auto"/>
        <w:ind w:right="49"/>
        <w:jc w:val="both"/>
        <w:rPr>
          <w:rFonts w:ascii="Palatino Linotype" w:eastAsia="Palatino Linotype" w:hAnsi="Palatino Linotype" w:cs="Palatino Linotype"/>
          <w:sz w:val="28"/>
          <w:szCs w:val="28"/>
        </w:rPr>
      </w:pPr>
    </w:p>
    <w:p w:rsidR="00B23E83" w:rsidRPr="005E2ED7" w:rsidRDefault="00B907A0">
      <w:pPr>
        <w:numPr>
          <w:ilvl w:val="0"/>
          <w:numId w:val="2"/>
        </w:numPr>
        <w:pBdr>
          <w:top w:val="nil"/>
          <w:left w:val="nil"/>
          <w:bottom w:val="nil"/>
          <w:right w:val="nil"/>
          <w:between w:val="nil"/>
        </w:pBdr>
        <w:spacing w:before="240" w:after="0" w:line="360" w:lineRule="auto"/>
        <w:ind w:left="284" w:right="49" w:firstLine="0"/>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t>Sistemas de Datos Personales</w:t>
      </w:r>
      <w:r w:rsidRPr="005E2ED7">
        <w:rPr>
          <w:rFonts w:ascii="Palatino Linotype" w:eastAsia="Palatino Linotype" w:hAnsi="Palatino Linotype" w:cs="Palatino Linotype"/>
          <w:sz w:val="24"/>
          <w:szCs w:val="24"/>
        </w:rPr>
        <w:t xml:space="preserve">: a) el nombre, </w:t>
      </w:r>
      <w:r w:rsidRPr="005E2ED7">
        <w:rPr>
          <w:rFonts w:ascii="Palatino Linotype" w:eastAsia="Palatino Linotype" w:hAnsi="Palatino Linotype" w:cs="Palatino Linotype"/>
          <w:b/>
          <w:sz w:val="24"/>
          <w:szCs w:val="24"/>
        </w:rPr>
        <w:t xml:space="preserve">b) el nombre, cargo y adscripción del administrador de cada sistema y base de datos, c) las funciones y obligaciones del responsable o encargados y todas la personas  que traten datos personales, </w:t>
      </w:r>
      <w:r w:rsidRPr="005E2ED7">
        <w:rPr>
          <w:rFonts w:ascii="Palatino Linotype" w:eastAsia="Palatino Linotype" w:hAnsi="Palatino Linotype" w:cs="Palatino Linotype"/>
          <w:sz w:val="24"/>
          <w:szCs w:val="24"/>
        </w:rPr>
        <w:t xml:space="preserve">d) el folio del registro del sistema y base de datos, e) el inventario o especificación detallada del tipo de datos personales y f) la estructura y descripción de los sistemas y bases de datos personales, en las que deberá precisar y describir el tipo de soporte y características del lugar donde se resguardan.       </w:t>
      </w:r>
    </w:p>
    <w:p w:rsidR="00B23E83" w:rsidRPr="005E2ED7" w:rsidRDefault="00B907A0">
      <w:pPr>
        <w:numPr>
          <w:ilvl w:val="0"/>
          <w:numId w:val="2"/>
        </w:numPr>
        <w:pBdr>
          <w:top w:val="nil"/>
          <w:left w:val="nil"/>
          <w:bottom w:val="nil"/>
          <w:right w:val="nil"/>
          <w:between w:val="nil"/>
        </w:pBdr>
        <w:spacing w:after="240" w:line="360" w:lineRule="auto"/>
        <w:ind w:left="284" w:right="49" w:firstLine="0"/>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t>Las Medidas de Seguridad implementadas</w:t>
      </w:r>
      <w:r w:rsidRPr="005E2ED7">
        <w:rPr>
          <w:rFonts w:ascii="Palatino Linotype" w:eastAsia="Palatino Linotype" w:hAnsi="Palatino Linotype" w:cs="Palatino Linotype"/>
          <w:sz w:val="24"/>
          <w:szCs w:val="24"/>
        </w:rPr>
        <w:t xml:space="preserve">, como son: a) transferencia y remisiones, b) resguardo de soportes físicos y electrónicos, c) bitácoras para accesos, operación cotidiana y violaciones a la seguridad de los datos personales, </w:t>
      </w:r>
      <w:r w:rsidRPr="005E2ED7">
        <w:rPr>
          <w:rFonts w:ascii="Palatino Linotype" w:eastAsia="Palatino Linotype" w:hAnsi="Palatino Linotype" w:cs="Palatino Linotype"/>
          <w:b/>
          <w:sz w:val="24"/>
          <w:szCs w:val="24"/>
        </w:rPr>
        <w:t>d) el análisis de riesgos, e) el análisis de brecha</w:t>
      </w:r>
      <w:r w:rsidRPr="005E2ED7">
        <w:rPr>
          <w:rFonts w:ascii="Palatino Linotype" w:eastAsia="Palatino Linotype" w:hAnsi="Palatino Linotype" w:cs="Palatino Linotype"/>
          <w:sz w:val="24"/>
          <w:szCs w:val="24"/>
        </w:rPr>
        <w:t xml:space="preserve">, f) Gestión de incidentes, g) acceso a las instalaciones, h) Identificación y autenticación, i) procedimientos de respaldo y recuperación de datos, </w:t>
      </w:r>
      <w:r w:rsidRPr="005E2ED7">
        <w:rPr>
          <w:rFonts w:ascii="Palatino Linotype" w:eastAsia="Palatino Linotype" w:hAnsi="Palatino Linotype" w:cs="Palatino Linotype"/>
          <w:b/>
          <w:sz w:val="24"/>
          <w:szCs w:val="24"/>
        </w:rPr>
        <w:t>j) plan de contingencia</w:t>
      </w:r>
      <w:r w:rsidRPr="005E2ED7">
        <w:rPr>
          <w:rFonts w:ascii="Palatino Linotype" w:eastAsia="Palatino Linotype" w:hAnsi="Palatino Linotype" w:cs="Palatino Linotype"/>
          <w:sz w:val="24"/>
          <w:szCs w:val="24"/>
        </w:rPr>
        <w:t xml:space="preserve">, k) auditorías, l) supresión y borrado seguro de datos, </w:t>
      </w:r>
      <w:r w:rsidRPr="005E2ED7">
        <w:rPr>
          <w:rFonts w:ascii="Palatino Linotype" w:eastAsia="Palatino Linotype" w:hAnsi="Palatino Linotype" w:cs="Palatino Linotype"/>
          <w:b/>
          <w:sz w:val="24"/>
          <w:szCs w:val="24"/>
        </w:rPr>
        <w:t>m) plan de trabajo</w:t>
      </w:r>
      <w:r w:rsidRPr="005E2ED7">
        <w:rPr>
          <w:rFonts w:ascii="Palatino Linotype" w:eastAsia="Palatino Linotype" w:hAnsi="Palatino Linotype" w:cs="Palatino Linotype"/>
          <w:sz w:val="24"/>
          <w:szCs w:val="24"/>
        </w:rPr>
        <w:t>, n) los mecanismos de monitoreo y revisión de las medidas de seguridad y o) el programa general de capacitación.</w:t>
      </w:r>
    </w:p>
    <w:p w:rsidR="00B23E83" w:rsidRPr="005E2ED7" w:rsidRDefault="00B907A0">
      <w:pPr>
        <w:spacing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Es importante resaltar que la información relacionada con los incisos “d”, “e”, “j”  y “m”, es susceptible de clasificarse como información confidencial. </w:t>
      </w:r>
    </w:p>
    <w:p w:rsidR="00B23E83" w:rsidRPr="005E2ED7" w:rsidRDefault="00B23E83">
      <w:pPr>
        <w:ind w:right="49"/>
        <w:jc w:val="both"/>
        <w:rPr>
          <w:rFonts w:ascii="Palatino Linotype" w:eastAsia="Palatino Linotype" w:hAnsi="Palatino Linotype" w:cs="Palatino Linotype"/>
          <w:sz w:val="18"/>
          <w:szCs w:val="18"/>
        </w:rPr>
      </w:pPr>
    </w:p>
    <w:p w:rsidR="00B23E83" w:rsidRPr="005E2ED7" w:rsidRDefault="00B907A0">
      <w:pPr>
        <w:spacing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lastRenderedPageBreak/>
        <w:t xml:space="preserve">Lo anterior, tiene sustento en atención a que el </w:t>
      </w:r>
      <w:r w:rsidRPr="005E2ED7">
        <w:rPr>
          <w:rFonts w:ascii="Palatino Linotype" w:eastAsia="Palatino Linotype" w:hAnsi="Palatino Linotype" w:cs="Palatino Linotype"/>
          <w:b/>
          <w:sz w:val="24"/>
          <w:szCs w:val="24"/>
        </w:rPr>
        <w:t>análisis de riesgo</w:t>
      </w:r>
      <w:r w:rsidRPr="005E2ED7">
        <w:rPr>
          <w:rFonts w:ascii="Palatino Linotype" w:eastAsia="Palatino Linotype" w:hAnsi="Palatino Linotype" w:cs="Palatino Linotype"/>
          <w:sz w:val="24"/>
          <w:szCs w:val="24"/>
        </w:rPr>
        <w:t xml:space="preserve"> contiene las consideraciones relacionadas con las amenazas y vulnerabilidades existentes.</w:t>
      </w:r>
    </w:p>
    <w:p w:rsidR="00B23E83" w:rsidRPr="005E2ED7" w:rsidRDefault="00B23E83">
      <w:pPr>
        <w:ind w:right="49"/>
        <w:jc w:val="both"/>
        <w:rPr>
          <w:rFonts w:ascii="Palatino Linotype" w:eastAsia="Palatino Linotype" w:hAnsi="Palatino Linotype" w:cs="Palatino Linotype"/>
          <w:sz w:val="18"/>
          <w:szCs w:val="18"/>
        </w:rPr>
      </w:pPr>
    </w:p>
    <w:p w:rsidR="00B23E83" w:rsidRPr="005E2ED7" w:rsidRDefault="00B907A0">
      <w:pPr>
        <w:spacing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El </w:t>
      </w:r>
      <w:r w:rsidRPr="005E2ED7">
        <w:rPr>
          <w:rFonts w:ascii="Palatino Linotype" w:eastAsia="Palatino Linotype" w:hAnsi="Palatino Linotype" w:cs="Palatino Linotype"/>
          <w:b/>
          <w:sz w:val="24"/>
          <w:szCs w:val="24"/>
        </w:rPr>
        <w:t>análisis de brecha</w:t>
      </w:r>
      <w:r w:rsidRPr="005E2ED7">
        <w:rPr>
          <w:rFonts w:ascii="Palatino Linotype" w:eastAsia="Palatino Linotype" w:hAnsi="Palatino Linotype" w:cs="Palatino Linotype"/>
          <w:sz w:val="24"/>
          <w:szCs w:val="24"/>
        </w:rPr>
        <w:t xml:space="preserve">, contiene la comparación de las medidas de seguridad existentes y las medidas de seguridad  faltantes en la organización del responsable del tratamiento de datos personales. </w:t>
      </w:r>
    </w:p>
    <w:p w:rsidR="00B23E83" w:rsidRPr="005E2ED7" w:rsidRDefault="00B23E83">
      <w:pPr>
        <w:spacing w:line="360" w:lineRule="auto"/>
        <w:ind w:right="49"/>
        <w:jc w:val="both"/>
        <w:rPr>
          <w:rFonts w:ascii="Palatino Linotype" w:eastAsia="Palatino Linotype" w:hAnsi="Palatino Linotype" w:cs="Palatino Linotype"/>
          <w:sz w:val="18"/>
          <w:szCs w:val="18"/>
        </w:rPr>
      </w:pPr>
    </w:p>
    <w:p w:rsidR="00B23E83" w:rsidRPr="005E2ED7" w:rsidRDefault="00B907A0">
      <w:pPr>
        <w:spacing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Por lo que hace al </w:t>
      </w:r>
      <w:r w:rsidRPr="005E2ED7">
        <w:rPr>
          <w:rFonts w:ascii="Palatino Linotype" w:eastAsia="Palatino Linotype" w:hAnsi="Palatino Linotype" w:cs="Palatino Linotype"/>
          <w:b/>
          <w:sz w:val="24"/>
          <w:szCs w:val="24"/>
        </w:rPr>
        <w:t>plan de contingencia</w:t>
      </w:r>
      <w:r w:rsidRPr="005E2ED7">
        <w:rPr>
          <w:rFonts w:ascii="Palatino Linotype" w:eastAsia="Palatino Linotype" w:hAnsi="Palatino Linotype" w:cs="Palatino Linotype"/>
          <w:sz w:val="24"/>
          <w:szCs w:val="24"/>
        </w:rPr>
        <w:t>, éste se relaciona con una eventual “situación de emergencia”</w:t>
      </w:r>
      <w:r w:rsidRPr="005E2ED7">
        <w:rPr>
          <w:rFonts w:ascii="Palatino Linotype" w:eastAsia="Palatino Linotype" w:hAnsi="Palatino Linotype" w:cs="Palatino Linotype"/>
          <w:sz w:val="24"/>
          <w:szCs w:val="24"/>
          <w:vertAlign w:val="superscript"/>
        </w:rPr>
        <w:footnoteReference w:id="5"/>
      </w:r>
      <w:r w:rsidRPr="005E2ED7">
        <w:rPr>
          <w:rFonts w:ascii="Palatino Linotype" w:eastAsia="Palatino Linotype" w:hAnsi="Palatino Linotype" w:cs="Palatino Linotype"/>
          <w:sz w:val="24"/>
          <w:szCs w:val="24"/>
        </w:rPr>
        <w:t xml:space="preserve">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 </w:t>
      </w:r>
    </w:p>
    <w:p w:rsidR="00B23E83" w:rsidRPr="005E2ED7" w:rsidRDefault="00B23E83">
      <w:pPr>
        <w:spacing w:after="0"/>
        <w:ind w:left="851" w:right="902"/>
        <w:jc w:val="both"/>
        <w:rPr>
          <w:rFonts w:ascii="Palatino Linotype" w:eastAsia="Palatino Linotype" w:hAnsi="Palatino Linotype" w:cs="Palatino Linotype"/>
          <w:i/>
        </w:rPr>
      </w:pPr>
    </w:p>
    <w:p w:rsidR="00B23E83" w:rsidRPr="005E2ED7" w:rsidRDefault="00B907A0">
      <w:pPr>
        <w:spacing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r w:rsidRPr="005E2ED7">
        <w:rPr>
          <w:rFonts w:ascii="Palatino Linotype" w:eastAsia="Palatino Linotype" w:hAnsi="Palatino Linotype" w:cs="Palatino Linotype"/>
          <w:b/>
          <w:i/>
        </w:rPr>
        <w:t>Artículo 21.</w:t>
      </w:r>
      <w:r w:rsidRPr="005E2ED7">
        <w:rPr>
          <w:rFonts w:ascii="Palatino Linotype" w:eastAsia="Palatino Linotype" w:hAnsi="Palatino Linotype" w:cs="Palatino Linotype"/>
          <w:i/>
        </w:rPr>
        <w:t xml:space="preserve"> El responsable no estará obligado a recabar el consentimiento de la o el titular para el tratamiento de sus datos personales en los casos siguientes:</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VI.</w:t>
      </w:r>
      <w:r w:rsidRPr="005E2ED7">
        <w:rPr>
          <w:rFonts w:ascii="Palatino Linotype" w:eastAsia="Palatino Linotype" w:hAnsi="Palatino Linotype" w:cs="Palatino Linotype"/>
          <w:i/>
        </w:rPr>
        <w:t xml:space="preserve"> </w:t>
      </w:r>
      <w:r w:rsidRPr="005E2ED7">
        <w:rPr>
          <w:rFonts w:ascii="Palatino Linotype" w:eastAsia="Palatino Linotype" w:hAnsi="Palatino Linotype" w:cs="Palatino Linotype"/>
          <w:b/>
          <w:i/>
        </w:rPr>
        <w:t>Exista una situación de emergencia</w:t>
      </w:r>
      <w:r w:rsidRPr="005E2ED7">
        <w:rPr>
          <w:rFonts w:ascii="Palatino Linotype" w:eastAsia="Palatino Linotype" w:hAnsi="Palatino Linotype" w:cs="Palatino Linotype"/>
          <w:i/>
        </w:rPr>
        <w:t xml:space="preserve"> que pueda dañar a un individuo en su persona o en sus bienes.” (Sic)</w:t>
      </w:r>
    </w:p>
    <w:p w:rsidR="00B23E83" w:rsidRPr="005E2ED7" w:rsidRDefault="00B23E83">
      <w:pPr>
        <w:spacing w:after="0"/>
        <w:ind w:left="851" w:right="902"/>
        <w:jc w:val="both"/>
        <w:rPr>
          <w:rFonts w:ascii="Palatino Linotype" w:eastAsia="Palatino Linotype" w:hAnsi="Palatino Linotype" w:cs="Palatino Linotype"/>
          <w:b/>
          <w:i/>
        </w:rPr>
      </w:pPr>
    </w:p>
    <w:p w:rsidR="00B23E83" w:rsidRPr="005E2ED7" w:rsidRDefault="00B907A0">
      <w:pPr>
        <w:spacing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lastRenderedPageBreak/>
        <w:t>Finalmente, el</w:t>
      </w:r>
      <w:r w:rsidRPr="005E2ED7">
        <w:rPr>
          <w:rFonts w:ascii="Palatino Linotype" w:eastAsia="Palatino Linotype" w:hAnsi="Palatino Linotype" w:cs="Palatino Linotype"/>
          <w:b/>
          <w:sz w:val="24"/>
          <w:szCs w:val="24"/>
        </w:rPr>
        <w:t xml:space="preserve"> Plan de trabajo</w:t>
      </w:r>
      <w:r w:rsidRPr="005E2ED7">
        <w:rPr>
          <w:rFonts w:ascii="Palatino Linotype" w:eastAsia="Palatino Linotype" w:hAnsi="Palatino Linotype" w:cs="Palatino Linotype"/>
          <w:sz w:val="24"/>
          <w:szCs w:val="24"/>
        </w:rPr>
        <w:t xml:space="preserve"> contiene lo relacionado con la implementación de las medidas de seguridad faltantes y las que dan complimiento cotidiano de las políticas de gestión y tratamiento de los datos personales.     </w:t>
      </w:r>
    </w:p>
    <w:p w:rsidR="00B23E83" w:rsidRPr="005E2ED7" w:rsidRDefault="00B907A0">
      <w:pPr>
        <w:spacing w:line="360" w:lineRule="auto"/>
        <w:ind w:right="49"/>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24"/>
          <w:szCs w:val="24"/>
        </w:rPr>
        <w:t xml:space="preserve"> </w:t>
      </w:r>
    </w:p>
    <w:p w:rsidR="00B23E83" w:rsidRPr="005E2ED7" w:rsidRDefault="00B907A0">
      <w:pPr>
        <w:spacing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De lo expuesto, se advierte que los incisos señalados contienen concretamente, la información relacionada con la vulnerabilidad concerniente a las medidas de seguridad que en el caso concreto debe proteger 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w:t>
      </w:r>
      <w:r w:rsidRPr="005E2ED7">
        <w:rPr>
          <w:rFonts w:ascii="Palatino Linotype" w:eastAsia="Palatino Linotype" w:hAnsi="Palatino Linotype" w:cs="Palatino Linotype"/>
          <w:b/>
          <w:sz w:val="24"/>
          <w:szCs w:val="24"/>
        </w:rPr>
        <w:t xml:space="preserve"> </w:t>
      </w:r>
      <w:r w:rsidRPr="005E2ED7">
        <w:rPr>
          <w:rFonts w:ascii="Palatino Linotype" w:eastAsia="Palatino Linotype" w:hAnsi="Palatino Linotype" w:cs="Palatino Linotype"/>
          <w:sz w:val="24"/>
          <w:szCs w:val="24"/>
        </w:rPr>
        <w:t xml:space="preserve">pues se reitera, la puesta a disposición de la información referida en los inciso expuestos, pudiese causar un daño, alteración, pérdida, destrucción, o el uso, transferencia, acceso o cualquier tratamiento no autorizado o ilícito a la información que se encuentra en tratamiento en bases y sistemas de datos personales.  </w:t>
      </w:r>
    </w:p>
    <w:p w:rsidR="00B23E83" w:rsidRPr="005E2ED7" w:rsidRDefault="00B23E83">
      <w:pPr>
        <w:spacing w:line="360" w:lineRule="auto"/>
        <w:ind w:right="49"/>
        <w:jc w:val="both"/>
        <w:rPr>
          <w:rFonts w:ascii="Palatino Linotype" w:eastAsia="Palatino Linotype" w:hAnsi="Palatino Linotype" w:cs="Palatino Linotype"/>
        </w:rPr>
      </w:pPr>
    </w:p>
    <w:p w:rsidR="00B23E83" w:rsidRPr="005E2ED7" w:rsidRDefault="00B907A0">
      <w:pPr>
        <w:numPr>
          <w:ilvl w:val="0"/>
          <w:numId w:val="2"/>
        </w:numPr>
        <w:pBdr>
          <w:top w:val="nil"/>
          <w:left w:val="nil"/>
          <w:bottom w:val="nil"/>
          <w:right w:val="nil"/>
          <w:between w:val="nil"/>
        </w:pBdr>
        <w:spacing w:before="240" w:after="240" w:line="360" w:lineRule="auto"/>
        <w:ind w:left="284" w:right="49" w:firstLine="0"/>
        <w:jc w:val="both"/>
        <w:rPr>
          <w:rFonts w:ascii="Palatino Linotype" w:eastAsia="Palatino Linotype" w:hAnsi="Palatino Linotype" w:cs="Palatino Linotype"/>
        </w:rPr>
      </w:pPr>
      <w:r w:rsidRPr="005E2ED7">
        <w:rPr>
          <w:rFonts w:ascii="Palatino Linotype" w:eastAsia="Palatino Linotype" w:hAnsi="Palatino Linotype" w:cs="Palatino Linotype"/>
          <w:b/>
        </w:rPr>
        <w:t>Sistemas de Datos Personales</w:t>
      </w:r>
      <w:r w:rsidRPr="005E2ED7">
        <w:rPr>
          <w:rFonts w:ascii="Palatino Linotype" w:eastAsia="Palatino Linotype" w:hAnsi="Palatino Linotype" w:cs="Palatino Linotype"/>
        </w:rPr>
        <w:t xml:space="preserve">: a) el nombre, </w:t>
      </w:r>
      <w:r w:rsidRPr="005E2ED7">
        <w:rPr>
          <w:rFonts w:ascii="Palatino Linotype" w:eastAsia="Palatino Linotype" w:hAnsi="Palatino Linotype" w:cs="Palatino Linotype"/>
          <w:b/>
        </w:rPr>
        <w:t xml:space="preserve">b) el nombre, cargo y adscripción del administrador de cada sistema y base de datos, c) las funciones y obligaciones del responsable o encargados y todas la personas  que traten datos personales, </w:t>
      </w:r>
      <w:r w:rsidRPr="005E2ED7">
        <w:rPr>
          <w:rFonts w:ascii="Palatino Linotype" w:eastAsia="Palatino Linotype" w:hAnsi="Palatino Linotype" w:cs="Palatino Linotype"/>
        </w:rPr>
        <w:t xml:space="preserve">d) el folio del registro del sistema y base de datos, e) el inventario o especificación detallada del tipo de datos personales y f) la estructura y descripción de los sistemas y bases de datos personales, en las que deberá precisar y describir el tipo de soporte y características del lugar donde se resguardan.       </w:t>
      </w:r>
    </w:p>
    <w:p w:rsidR="00B23E83" w:rsidRPr="005E2ED7" w:rsidRDefault="00B907A0">
      <w:pPr>
        <w:numPr>
          <w:ilvl w:val="0"/>
          <w:numId w:val="2"/>
        </w:numPr>
        <w:pBdr>
          <w:top w:val="nil"/>
          <w:left w:val="nil"/>
          <w:bottom w:val="nil"/>
          <w:right w:val="nil"/>
          <w:between w:val="nil"/>
        </w:pBdr>
        <w:spacing w:before="240" w:after="240" w:line="360" w:lineRule="auto"/>
        <w:ind w:left="284" w:right="49" w:firstLine="0"/>
        <w:jc w:val="both"/>
        <w:rPr>
          <w:rFonts w:ascii="Palatino Linotype" w:eastAsia="Palatino Linotype" w:hAnsi="Palatino Linotype" w:cs="Palatino Linotype"/>
        </w:rPr>
      </w:pPr>
      <w:r w:rsidRPr="005E2ED7">
        <w:rPr>
          <w:rFonts w:ascii="Palatino Linotype" w:eastAsia="Palatino Linotype" w:hAnsi="Palatino Linotype" w:cs="Palatino Linotype"/>
          <w:b/>
        </w:rPr>
        <w:t>Las Medidas de Seguridad implementadas</w:t>
      </w:r>
      <w:r w:rsidRPr="005E2ED7">
        <w:rPr>
          <w:rFonts w:ascii="Palatino Linotype" w:eastAsia="Palatino Linotype" w:hAnsi="Palatino Linotype" w:cs="Palatino Linotype"/>
        </w:rPr>
        <w:t xml:space="preserve">, como son: a) transferencia y remisiones, b) resguardo de soportes físicos y electrónicos, c) bitácoras para accesos, operación cotidiana y violaciones a la seguridad de los datos personales, </w:t>
      </w:r>
      <w:r w:rsidRPr="005E2ED7">
        <w:rPr>
          <w:rFonts w:ascii="Palatino Linotype" w:eastAsia="Palatino Linotype" w:hAnsi="Palatino Linotype" w:cs="Palatino Linotype"/>
          <w:b/>
        </w:rPr>
        <w:t>d) el análisis de riesgos, e) el análisis de brecha</w:t>
      </w:r>
      <w:r w:rsidRPr="005E2ED7">
        <w:rPr>
          <w:rFonts w:ascii="Palatino Linotype" w:eastAsia="Palatino Linotype" w:hAnsi="Palatino Linotype" w:cs="Palatino Linotype"/>
        </w:rPr>
        <w:t xml:space="preserve">, f) Gestión de incidentes, g) acceso a las instalaciones, </w:t>
      </w:r>
      <w:r w:rsidRPr="005E2ED7">
        <w:rPr>
          <w:rFonts w:ascii="Palatino Linotype" w:eastAsia="Palatino Linotype" w:hAnsi="Palatino Linotype" w:cs="Palatino Linotype"/>
        </w:rPr>
        <w:lastRenderedPageBreak/>
        <w:t xml:space="preserve">h) Identificación y autenticación, i) procedimientos de respaldo y recuperación de datos, </w:t>
      </w:r>
      <w:r w:rsidRPr="005E2ED7">
        <w:rPr>
          <w:rFonts w:ascii="Palatino Linotype" w:eastAsia="Palatino Linotype" w:hAnsi="Palatino Linotype" w:cs="Palatino Linotype"/>
          <w:b/>
        </w:rPr>
        <w:t>j) plan de contingencia</w:t>
      </w:r>
      <w:r w:rsidRPr="005E2ED7">
        <w:rPr>
          <w:rFonts w:ascii="Palatino Linotype" w:eastAsia="Palatino Linotype" w:hAnsi="Palatino Linotype" w:cs="Palatino Linotype"/>
        </w:rPr>
        <w:t xml:space="preserve">, k) auditorías, l) supresión y borrado seguro de datos, </w:t>
      </w:r>
      <w:r w:rsidRPr="005E2ED7">
        <w:rPr>
          <w:rFonts w:ascii="Palatino Linotype" w:eastAsia="Palatino Linotype" w:hAnsi="Palatino Linotype" w:cs="Palatino Linotype"/>
          <w:b/>
        </w:rPr>
        <w:t>m) plan de trabajo</w:t>
      </w:r>
      <w:r w:rsidRPr="005E2ED7">
        <w:rPr>
          <w:rFonts w:ascii="Palatino Linotype" w:eastAsia="Palatino Linotype" w:hAnsi="Palatino Linotype" w:cs="Palatino Linotype"/>
        </w:rPr>
        <w:t>, n) los mecanismos de monitoreo y revisión de las medidas de seguridad y o) el programa general de capacitación.</w:t>
      </w:r>
    </w:p>
    <w:p w:rsidR="00B23E83" w:rsidRPr="005E2ED7" w:rsidRDefault="00B907A0">
      <w:pPr>
        <w:spacing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Es importante resaltar que la información relacionada con los incisos “d”, “e”, “j”  y “m”, es susceptible de clasificarse como información confidencial. </w:t>
      </w:r>
    </w:p>
    <w:p w:rsidR="00B23E83" w:rsidRPr="005E2ED7" w:rsidRDefault="00B23E83">
      <w:pPr>
        <w:ind w:right="49"/>
        <w:jc w:val="both"/>
        <w:rPr>
          <w:rFonts w:ascii="Palatino Linotype" w:eastAsia="Palatino Linotype" w:hAnsi="Palatino Linotype" w:cs="Palatino Linotype"/>
          <w:sz w:val="18"/>
          <w:szCs w:val="18"/>
        </w:rPr>
      </w:pPr>
    </w:p>
    <w:p w:rsidR="00B23E83" w:rsidRPr="005E2ED7" w:rsidRDefault="00B907A0">
      <w:pPr>
        <w:spacing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Lo anterior, tiene sustento en atención a que el </w:t>
      </w:r>
      <w:r w:rsidRPr="005E2ED7">
        <w:rPr>
          <w:rFonts w:ascii="Palatino Linotype" w:eastAsia="Palatino Linotype" w:hAnsi="Palatino Linotype" w:cs="Palatino Linotype"/>
          <w:b/>
          <w:sz w:val="24"/>
          <w:szCs w:val="24"/>
        </w:rPr>
        <w:t>análisis de riesgo</w:t>
      </w:r>
      <w:r w:rsidRPr="005E2ED7">
        <w:rPr>
          <w:rFonts w:ascii="Palatino Linotype" w:eastAsia="Palatino Linotype" w:hAnsi="Palatino Linotype" w:cs="Palatino Linotype"/>
          <w:sz w:val="24"/>
          <w:szCs w:val="24"/>
        </w:rPr>
        <w:t xml:space="preserve"> contiene las consideraciones relacionadas con las amenazas y vulnerabilidades existentes.</w:t>
      </w:r>
    </w:p>
    <w:p w:rsidR="00B23E83" w:rsidRPr="005E2ED7" w:rsidRDefault="00B23E83">
      <w:pPr>
        <w:ind w:right="49"/>
        <w:jc w:val="both"/>
        <w:rPr>
          <w:rFonts w:ascii="Palatino Linotype" w:eastAsia="Palatino Linotype" w:hAnsi="Palatino Linotype" w:cs="Palatino Linotype"/>
          <w:sz w:val="18"/>
          <w:szCs w:val="18"/>
        </w:rPr>
      </w:pPr>
    </w:p>
    <w:p w:rsidR="00B23E83" w:rsidRPr="005E2ED7" w:rsidRDefault="00B907A0">
      <w:pPr>
        <w:spacing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El </w:t>
      </w:r>
      <w:r w:rsidRPr="005E2ED7">
        <w:rPr>
          <w:rFonts w:ascii="Palatino Linotype" w:eastAsia="Palatino Linotype" w:hAnsi="Palatino Linotype" w:cs="Palatino Linotype"/>
          <w:b/>
          <w:sz w:val="24"/>
          <w:szCs w:val="24"/>
        </w:rPr>
        <w:t>análisis de brecha</w:t>
      </w:r>
      <w:r w:rsidRPr="005E2ED7">
        <w:rPr>
          <w:rFonts w:ascii="Palatino Linotype" w:eastAsia="Palatino Linotype" w:hAnsi="Palatino Linotype" w:cs="Palatino Linotype"/>
          <w:sz w:val="24"/>
          <w:szCs w:val="24"/>
        </w:rPr>
        <w:t xml:space="preserve">, contiene la comparación de las medidas de seguridad existentes y las medidas de seguridad  faltantes en la organización del responsable del tratamiento de datos personales. </w:t>
      </w:r>
    </w:p>
    <w:p w:rsidR="00B23E83" w:rsidRPr="005E2ED7" w:rsidRDefault="00B907A0">
      <w:pPr>
        <w:spacing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Por lo que hace al </w:t>
      </w:r>
      <w:r w:rsidRPr="005E2ED7">
        <w:rPr>
          <w:rFonts w:ascii="Palatino Linotype" w:eastAsia="Palatino Linotype" w:hAnsi="Palatino Linotype" w:cs="Palatino Linotype"/>
          <w:b/>
          <w:sz w:val="24"/>
          <w:szCs w:val="24"/>
        </w:rPr>
        <w:t>plan de contingencia</w:t>
      </w:r>
      <w:r w:rsidRPr="005E2ED7">
        <w:rPr>
          <w:rFonts w:ascii="Palatino Linotype" w:eastAsia="Palatino Linotype" w:hAnsi="Palatino Linotype" w:cs="Palatino Linotype"/>
          <w:sz w:val="24"/>
          <w:szCs w:val="24"/>
        </w:rPr>
        <w:t>, éste se relaciona con una eventual “situación de emergencia”</w:t>
      </w:r>
      <w:r w:rsidRPr="005E2ED7">
        <w:rPr>
          <w:rFonts w:ascii="Palatino Linotype" w:eastAsia="Palatino Linotype" w:hAnsi="Palatino Linotype" w:cs="Palatino Linotype"/>
          <w:sz w:val="24"/>
          <w:szCs w:val="24"/>
          <w:vertAlign w:val="superscript"/>
        </w:rPr>
        <w:footnoteReference w:id="6"/>
      </w:r>
      <w:r w:rsidRPr="005E2ED7">
        <w:rPr>
          <w:rFonts w:ascii="Palatino Linotype" w:eastAsia="Palatino Linotype" w:hAnsi="Palatino Linotype" w:cs="Palatino Linotype"/>
          <w:sz w:val="24"/>
          <w:szCs w:val="24"/>
        </w:rPr>
        <w:t xml:space="preserve"> respecto al tratamiento de datos personales de los titulares, caso en el que se concreta una excepción al Principio de Consentimiento </w:t>
      </w:r>
      <w:r w:rsidRPr="005E2ED7">
        <w:rPr>
          <w:rFonts w:ascii="Palatino Linotype" w:eastAsia="Palatino Linotype" w:hAnsi="Palatino Linotype" w:cs="Palatino Linotype"/>
          <w:sz w:val="24"/>
          <w:szCs w:val="24"/>
        </w:rPr>
        <w:lastRenderedPageBreak/>
        <w:t xml:space="preserve">previsto en el artículo 21, fracción VI de la Ley de protección de Datos Personales en Posesión de Sujetos Obligados aplicable en la Entidad, que al respecto establece: </w:t>
      </w:r>
    </w:p>
    <w:p w:rsidR="00B23E83" w:rsidRPr="005E2ED7" w:rsidRDefault="00B23E83">
      <w:pPr>
        <w:spacing w:after="0"/>
        <w:ind w:left="851" w:right="902"/>
        <w:jc w:val="both"/>
        <w:rPr>
          <w:rFonts w:ascii="Palatino Linotype" w:eastAsia="Palatino Linotype" w:hAnsi="Palatino Linotype" w:cs="Palatino Linotype"/>
          <w:i/>
        </w:rPr>
      </w:pPr>
    </w:p>
    <w:p w:rsidR="00B23E83" w:rsidRPr="005E2ED7" w:rsidRDefault="00B907A0">
      <w:pPr>
        <w:spacing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r w:rsidRPr="005E2ED7">
        <w:rPr>
          <w:rFonts w:ascii="Palatino Linotype" w:eastAsia="Palatino Linotype" w:hAnsi="Palatino Linotype" w:cs="Palatino Linotype"/>
          <w:b/>
          <w:i/>
        </w:rPr>
        <w:t>Artículo 21.</w:t>
      </w:r>
      <w:r w:rsidRPr="005E2ED7">
        <w:rPr>
          <w:rFonts w:ascii="Palatino Linotype" w:eastAsia="Palatino Linotype" w:hAnsi="Palatino Linotype" w:cs="Palatino Linotype"/>
          <w:i/>
        </w:rPr>
        <w:t xml:space="preserve"> El responsable no estará obligado a recabar el consentimiento de la o el titular para el tratamiento de sus datos personales en los casos siguientes:</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VI.</w:t>
      </w:r>
      <w:r w:rsidRPr="005E2ED7">
        <w:rPr>
          <w:rFonts w:ascii="Palatino Linotype" w:eastAsia="Palatino Linotype" w:hAnsi="Palatino Linotype" w:cs="Palatino Linotype"/>
          <w:i/>
        </w:rPr>
        <w:t xml:space="preserve"> </w:t>
      </w:r>
      <w:r w:rsidRPr="005E2ED7">
        <w:rPr>
          <w:rFonts w:ascii="Palatino Linotype" w:eastAsia="Palatino Linotype" w:hAnsi="Palatino Linotype" w:cs="Palatino Linotype"/>
          <w:b/>
          <w:i/>
        </w:rPr>
        <w:t>Exista una situación de emergencia</w:t>
      </w:r>
      <w:r w:rsidRPr="005E2ED7">
        <w:rPr>
          <w:rFonts w:ascii="Palatino Linotype" w:eastAsia="Palatino Linotype" w:hAnsi="Palatino Linotype" w:cs="Palatino Linotype"/>
          <w:i/>
        </w:rPr>
        <w:t xml:space="preserve"> que pueda dañar a un individuo en su persona o en sus bienes.” (Sic)</w:t>
      </w:r>
    </w:p>
    <w:p w:rsidR="00B23E83" w:rsidRPr="005E2ED7" w:rsidRDefault="00B23E83">
      <w:pPr>
        <w:spacing w:after="0"/>
        <w:ind w:left="851" w:right="902"/>
        <w:jc w:val="both"/>
        <w:rPr>
          <w:rFonts w:ascii="Palatino Linotype" w:eastAsia="Palatino Linotype" w:hAnsi="Palatino Linotype" w:cs="Palatino Linotype"/>
          <w:b/>
          <w:i/>
        </w:rPr>
      </w:pPr>
    </w:p>
    <w:p w:rsidR="00B23E83" w:rsidRPr="005E2ED7" w:rsidRDefault="00B907A0">
      <w:pPr>
        <w:spacing w:after="0" w:line="360" w:lineRule="auto"/>
        <w:ind w:right="51"/>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Finalmente, el</w:t>
      </w:r>
      <w:r w:rsidRPr="005E2ED7">
        <w:rPr>
          <w:rFonts w:ascii="Palatino Linotype" w:eastAsia="Palatino Linotype" w:hAnsi="Palatino Linotype" w:cs="Palatino Linotype"/>
          <w:b/>
          <w:sz w:val="24"/>
          <w:szCs w:val="24"/>
        </w:rPr>
        <w:t xml:space="preserve"> Plan de trabajo</w:t>
      </w:r>
      <w:r w:rsidRPr="005E2ED7">
        <w:rPr>
          <w:rFonts w:ascii="Palatino Linotype" w:eastAsia="Palatino Linotype" w:hAnsi="Palatino Linotype" w:cs="Palatino Linotype"/>
          <w:sz w:val="24"/>
          <w:szCs w:val="24"/>
        </w:rPr>
        <w:t xml:space="preserve"> contiene lo relacionado con la implementación de las medidas de seguridad faltantes y las que dan complimiento cotidiano de las políticas de gestión y tratamiento de los datos personales.     </w:t>
      </w:r>
    </w:p>
    <w:p w:rsidR="00B23E83" w:rsidRPr="005E2ED7" w:rsidRDefault="00B23E83">
      <w:pPr>
        <w:spacing w:after="0" w:line="360" w:lineRule="auto"/>
        <w:ind w:right="49"/>
        <w:jc w:val="both"/>
        <w:rPr>
          <w:rFonts w:ascii="Palatino Linotype" w:eastAsia="Palatino Linotype" w:hAnsi="Palatino Linotype" w:cs="Palatino Linotype"/>
          <w:sz w:val="24"/>
          <w:szCs w:val="24"/>
        </w:rPr>
      </w:pPr>
    </w:p>
    <w:p w:rsidR="00B23E83" w:rsidRPr="005E2ED7" w:rsidRDefault="00B23E83">
      <w:pPr>
        <w:spacing w:after="0" w:line="360" w:lineRule="auto"/>
        <w:ind w:right="49"/>
        <w:jc w:val="both"/>
        <w:rPr>
          <w:rFonts w:ascii="Palatino Linotype" w:eastAsia="Palatino Linotype" w:hAnsi="Palatino Linotype" w:cs="Palatino Linotype"/>
          <w:sz w:val="24"/>
          <w:szCs w:val="24"/>
        </w:rPr>
      </w:pPr>
    </w:p>
    <w:p w:rsidR="00B23E83" w:rsidRPr="005E2ED7" w:rsidRDefault="00B907A0">
      <w:pPr>
        <w:spacing w:after="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De acuerdo a lo anterior, se observa que el documento de seguridad generado por la Unidad de Transparencia es entregago en versión pública mediante alcance al informe justificado tal y como obra en sus archivos del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acompañado del Acuerdo de Clasificación 11/CT/32-ORD/2022, de la Trigésima Segunda Sesión Ordinaria del Comité de Transparencia, en los términos señalados en múltiples ocasiones para sustentar las versiones públicas.</w:t>
      </w:r>
    </w:p>
    <w:p w:rsidR="00B23E83" w:rsidRPr="005E2ED7" w:rsidRDefault="00B23E83">
      <w:pPr>
        <w:spacing w:after="0" w:line="360" w:lineRule="auto"/>
        <w:ind w:right="49"/>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9. Presupuestos Basados en Resultados (PBRM) de la Unidad de Transparencia.</w:t>
      </w:r>
    </w:p>
    <w:p w:rsidR="00B23E83" w:rsidRPr="005E2ED7" w:rsidRDefault="00B23E83">
      <w:pPr>
        <w:spacing w:line="360" w:lineRule="auto"/>
        <w:jc w:val="both"/>
        <w:rPr>
          <w:rFonts w:ascii="Palatino Linotype" w:eastAsia="Palatino Linotype" w:hAnsi="Palatino Linotype" w:cs="Palatino Linotype"/>
          <w:sz w:val="28"/>
          <w:szCs w:val="28"/>
        </w:rPr>
      </w:pP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2853"/>
        <w:gridCol w:w="2853"/>
      </w:tblGrid>
      <w:tr w:rsidR="005E2ED7" w:rsidRPr="005E2ED7">
        <w:tc>
          <w:tcPr>
            <w:tcW w:w="3122"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lastRenderedPageBreak/>
              <w:t>Información requerida.</w:t>
            </w:r>
          </w:p>
        </w:tc>
        <w:tc>
          <w:tcPr>
            <w:tcW w:w="2853"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Respuesta</w:t>
            </w:r>
          </w:p>
        </w:tc>
        <w:tc>
          <w:tcPr>
            <w:tcW w:w="2853"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Informe Justificado</w:t>
            </w:r>
          </w:p>
        </w:tc>
      </w:tr>
      <w:tr w:rsidR="00B23E83" w:rsidRPr="005E2ED7">
        <w:tc>
          <w:tcPr>
            <w:tcW w:w="3122"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PbRM generados por la Unidad de Transparencia.</w:t>
            </w:r>
          </w:p>
        </w:tc>
        <w:tc>
          <w:tcPr>
            <w:tcW w:w="2853"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Cambio de modalidad</w:t>
            </w:r>
          </w:p>
        </w:tc>
        <w:tc>
          <w:tcPr>
            <w:tcW w:w="2853"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PbRM-01a, PbRM-01b, PbRM-01c, PbRM-01d, PbRM-01e y el PbRM-02ª.</w:t>
            </w:r>
          </w:p>
        </w:tc>
      </w:tr>
    </w:tbl>
    <w:p w:rsidR="00B23E83" w:rsidRPr="005E2ED7" w:rsidRDefault="00B23E83">
      <w:pPr>
        <w:spacing w:after="0" w:line="360" w:lineRule="auto"/>
        <w:jc w:val="both"/>
        <w:rPr>
          <w:rFonts w:ascii="Palatino Linotype" w:eastAsia="Palatino Linotype" w:hAnsi="Palatino Linotype" w:cs="Palatino Linotype"/>
          <w:sz w:val="28"/>
          <w:szCs w:val="28"/>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Así las cosas, derivado de la revisión de los Lineamientos para la Entrega del Presupuesto de Egresos Municipal 2022, el PBRM se integra de la siguiente manera:</w:t>
      </w:r>
    </w:p>
    <w:p w:rsidR="00B23E83" w:rsidRPr="005E2ED7" w:rsidRDefault="00B23E83">
      <w:pPr>
        <w:spacing w:after="0" w:line="360" w:lineRule="auto"/>
        <w:jc w:val="both"/>
      </w:pPr>
    </w:p>
    <w:p w:rsidR="00B23E83" w:rsidRPr="005E2ED7" w:rsidRDefault="00B907A0">
      <w:pPr>
        <w:spacing w:after="0" w:line="360" w:lineRule="auto"/>
        <w:jc w:val="both"/>
        <w:rPr>
          <w:rFonts w:ascii="Palatino Linotype" w:eastAsia="Palatino Linotype" w:hAnsi="Palatino Linotype" w:cs="Palatino Linotype"/>
          <w:sz w:val="28"/>
          <w:szCs w:val="28"/>
        </w:rPr>
      </w:pPr>
      <w:r w:rsidRPr="005E2ED7">
        <w:rPr>
          <w:noProof/>
        </w:rPr>
        <w:drawing>
          <wp:inline distT="0" distB="0" distL="0" distR="0">
            <wp:extent cx="5170674" cy="3400376"/>
            <wp:effectExtent l="0" t="0" r="0" b="0"/>
            <wp:docPr id="99" name="image19.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png" descr="Interfaz de usuario gráfica, Texto, Aplicación&#10;&#10;Descripción generada automáticamente"/>
                    <pic:cNvPicPr preferRelativeResize="0"/>
                  </pic:nvPicPr>
                  <pic:blipFill>
                    <a:blip r:embed="rId39"/>
                    <a:srcRect l="24101" t="27169" r="25831" b="14269"/>
                    <a:stretch>
                      <a:fillRect/>
                    </a:stretch>
                  </pic:blipFill>
                  <pic:spPr>
                    <a:xfrm>
                      <a:off x="0" y="0"/>
                      <a:ext cx="5170674" cy="3400376"/>
                    </a:xfrm>
                    <a:prstGeom prst="rect">
                      <a:avLst/>
                    </a:prstGeom>
                    <a:ln/>
                  </pic:spPr>
                </pic:pic>
              </a:graphicData>
            </a:graphic>
          </wp:inline>
        </w:drawing>
      </w:r>
    </w:p>
    <w:p w:rsidR="00B23E83" w:rsidRPr="005E2ED7" w:rsidRDefault="00B907A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De igual forma menciona que el Paquete Presupuestal Municipal 2022, se integra de 3 apartados, los cuales corresponden a información impresa, digitalizada en formato PDF y texto plano, tal y como se advierten en las siguientes imágenes:</w:t>
      </w:r>
    </w:p>
    <w:p w:rsidR="00B23E83" w:rsidRPr="005E2ED7" w:rsidRDefault="00B23E83">
      <w:pPr>
        <w:pBdr>
          <w:top w:val="nil"/>
          <w:left w:val="nil"/>
          <w:bottom w:val="nil"/>
          <w:right w:val="nil"/>
          <w:between w:val="nil"/>
        </w:pBdr>
        <w:spacing w:after="0" w:line="360" w:lineRule="auto"/>
        <w:ind w:right="49"/>
        <w:jc w:val="both"/>
      </w:pPr>
    </w:p>
    <w:p w:rsidR="00B23E83" w:rsidRPr="005E2ED7" w:rsidRDefault="00B907A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E2ED7">
        <w:rPr>
          <w:noProof/>
        </w:rPr>
        <w:lastRenderedPageBreak/>
        <w:drawing>
          <wp:inline distT="0" distB="0" distL="0" distR="0">
            <wp:extent cx="5550525" cy="5924118"/>
            <wp:effectExtent l="0" t="0" r="0" b="0"/>
            <wp:docPr id="84" name="image4.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10;&#10;Descripción generada automáticamente"/>
                    <pic:cNvPicPr preferRelativeResize="0"/>
                  </pic:nvPicPr>
                  <pic:blipFill>
                    <a:blip r:embed="rId40"/>
                    <a:srcRect l="31738" t="27169" r="32959" b="5815"/>
                    <a:stretch>
                      <a:fillRect/>
                    </a:stretch>
                  </pic:blipFill>
                  <pic:spPr>
                    <a:xfrm>
                      <a:off x="0" y="0"/>
                      <a:ext cx="5550525" cy="5924118"/>
                    </a:xfrm>
                    <a:prstGeom prst="rect">
                      <a:avLst/>
                    </a:prstGeom>
                    <a:ln/>
                  </pic:spPr>
                </pic:pic>
              </a:graphicData>
            </a:graphic>
          </wp:inline>
        </w:drawing>
      </w:r>
    </w:p>
    <w:p w:rsidR="00B23E83" w:rsidRPr="005E2ED7" w:rsidRDefault="00B23E83">
      <w:pPr>
        <w:pBdr>
          <w:top w:val="nil"/>
          <w:left w:val="nil"/>
          <w:bottom w:val="nil"/>
          <w:right w:val="nil"/>
          <w:between w:val="nil"/>
        </w:pBdr>
        <w:spacing w:after="0" w:line="360" w:lineRule="auto"/>
        <w:ind w:right="49"/>
        <w:jc w:val="both"/>
      </w:pPr>
    </w:p>
    <w:p w:rsidR="00B23E83" w:rsidRPr="005E2ED7" w:rsidRDefault="00B907A0" w:rsidP="00B05B70">
      <w:pPr>
        <w:pBdr>
          <w:top w:val="nil"/>
          <w:left w:val="nil"/>
          <w:bottom w:val="nil"/>
          <w:right w:val="nil"/>
          <w:between w:val="nil"/>
        </w:pBdr>
        <w:spacing w:line="360" w:lineRule="auto"/>
        <w:ind w:right="49"/>
        <w:jc w:val="both"/>
        <w:rPr>
          <w:rFonts w:ascii="Palatino Linotype" w:eastAsia="Palatino Linotype" w:hAnsi="Palatino Linotype" w:cs="Palatino Linotype"/>
          <w:sz w:val="24"/>
          <w:szCs w:val="24"/>
        </w:rPr>
      </w:pPr>
      <w:r w:rsidRPr="005E2ED7">
        <w:rPr>
          <w:noProof/>
        </w:rPr>
        <w:lastRenderedPageBreak/>
        <w:drawing>
          <wp:inline distT="0" distB="0" distL="0" distR="0">
            <wp:extent cx="5648925" cy="6997378"/>
            <wp:effectExtent l="0" t="0" r="0" b="0"/>
            <wp:docPr id="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l="35981" t="31092" r="37711" b="10949"/>
                    <a:stretch>
                      <a:fillRect/>
                    </a:stretch>
                  </pic:blipFill>
                  <pic:spPr>
                    <a:xfrm>
                      <a:off x="0" y="0"/>
                      <a:ext cx="5648925" cy="6997378"/>
                    </a:xfrm>
                    <a:prstGeom prst="rect">
                      <a:avLst/>
                    </a:prstGeom>
                    <a:ln/>
                  </pic:spPr>
                </pic:pic>
              </a:graphicData>
            </a:graphic>
          </wp:inline>
        </w:drawing>
      </w:r>
    </w:p>
    <w:p w:rsidR="00B23E83" w:rsidRPr="005E2ED7" w:rsidRDefault="00B907A0">
      <w:pPr>
        <w:pBdr>
          <w:top w:val="nil"/>
          <w:left w:val="nil"/>
          <w:bottom w:val="nil"/>
          <w:right w:val="nil"/>
          <w:between w:val="nil"/>
        </w:pBdr>
        <w:spacing w:after="0" w:line="240" w:lineRule="auto"/>
        <w:rPr>
          <w:rFonts w:ascii="Palatino Linotype" w:eastAsia="Palatino Linotype" w:hAnsi="Palatino Linotype" w:cs="Palatino Linotype"/>
          <w:b/>
        </w:rPr>
      </w:pPr>
      <w:r w:rsidRPr="005E2ED7">
        <w:rPr>
          <w:noProof/>
        </w:rPr>
        <w:lastRenderedPageBreak/>
        <w:drawing>
          <wp:inline distT="0" distB="0" distL="0" distR="0">
            <wp:extent cx="5600458" cy="7421465"/>
            <wp:effectExtent l="0" t="0" r="0" b="0"/>
            <wp:docPr id="86" name="image5.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Aplicación&#10;&#10;Descripción generada automáticamente"/>
                    <pic:cNvPicPr preferRelativeResize="0"/>
                  </pic:nvPicPr>
                  <pic:blipFill>
                    <a:blip r:embed="rId42"/>
                    <a:srcRect l="35133" t="23848" r="37203" b="10948"/>
                    <a:stretch>
                      <a:fillRect/>
                    </a:stretch>
                  </pic:blipFill>
                  <pic:spPr>
                    <a:xfrm>
                      <a:off x="0" y="0"/>
                      <a:ext cx="5600458" cy="7421465"/>
                    </a:xfrm>
                    <a:prstGeom prst="rect">
                      <a:avLst/>
                    </a:prstGeom>
                    <a:ln/>
                  </pic:spPr>
                </pic:pic>
              </a:graphicData>
            </a:graphic>
          </wp:inline>
        </w:drawing>
      </w:r>
    </w:p>
    <w:p w:rsidR="00B23E83" w:rsidRPr="005E2ED7" w:rsidRDefault="00B907A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lastRenderedPageBreak/>
        <w:t>Asimismo, el Manual para la Planeación, Programación y Presupuesto de Egresos Municipal para el Ejercicio Fiscal 2022, publicado en el Periódico Oficial “Gaceta del Gobierno” del Estado de México, en fecha catorce de octubre del dos mil veintiuno, establece los siguientes PBRM, siendo de nuestro cabal interés por la relación que guarda con las funciones de la Unidad de Transparencia, los siguientes:</w:t>
      </w:r>
    </w:p>
    <w:p w:rsidR="00B23E83" w:rsidRPr="005E2ED7" w:rsidRDefault="00B23E8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B23E83" w:rsidRPr="005E2ED7" w:rsidRDefault="00B907A0">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rPr>
        <w:t>Presupuesto de Egresos Municipal. Para la realización del Presupuesto de Egresos se considera la información de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PbRM 01a y PbRM 01c.</w:t>
      </w:r>
    </w:p>
    <w:p w:rsidR="00B23E83" w:rsidRPr="005E2ED7" w:rsidRDefault="00B907A0">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La integración del Programa Anual deberá partir del techo financiero que la Tesorería asigne a cada unidad administrativa de los municipios en cada Programa presupuestario y proyecto, lo que servirá de base para la programación y el costeo de las actividades a desarrollar del Anteproyecto de Presupuesto de Egresos; dicha asignación se tendrá que llevar a cabo identificando la información plasmada en los formatos PbRM-01a y PbRM-01b.</w:t>
      </w:r>
    </w:p>
    <w:p w:rsidR="00B23E83" w:rsidRPr="005E2ED7" w:rsidRDefault="00B907A0">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En la formulación del Programa Anual es importante asegurar que exista la debida correspondencia entre el conjunto de metas de actividad establecidas en los proyectos agrupados en cada programa, las cuales quedan determinadas en el formato PbRM-01c “Programa Anual de Metas de actividad por Proyecto”, con el cumplimiento de los objetivos del programa que corresponda, el cual se debe consultar en el formato PbR-01b “Descripción del Programa presupuestario”; es </w:t>
      </w:r>
      <w:r w:rsidRPr="005E2ED7">
        <w:rPr>
          <w:rFonts w:ascii="Palatino Linotype" w:eastAsia="Palatino Linotype" w:hAnsi="Palatino Linotype" w:cs="Palatino Linotype"/>
          <w:i/>
        </w:rPr>
        <w:lastRenderedPageBreak/>
        <w:t>decir, cada meta de actividad deberá tener algún grado de contribución al logro de uno o más objetivos y en su conjunto, el alcance de las metas deberá asegurar el cumplimiento de los objetivos del Plan de Desarrollo Municipal vigente.</w:t>
      </w:r>
    </w:p>
    <w:p w:rsidR="00B23E83" w:rsidRPr="005E2ED7" w:rsidRDefault="00B907A0">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Asimismo, será necesario revisar los indicadores en el formato PbRM-01d “Ficha técnica del diseño de indicadores estratégicos o de gestión” y actualizar las metas de indicador, con el propósito de presentarlos en su versión final en el Presupuesto de Egresos Municipal correspondiente, poniendo especial atención a los indicadores con variables que se encuentren vinculadas directamente a las metas de actividad del formato PbRM-02a. Una vez que las Dependencias y Organismos municipales sujetos a la integración del Presupuesto basado en Resultados, hayan terminado el llenado de los formatos referentes a los programas bajo su responsabilidad, que sirven de base a los Tesoreros y UIPPES para orientar la integración del Proyecto de Presupuesto de Egresos Municipal de dichos programas, utilizando para ello los formatos establecidos en este manual, mismos que deberán guardar como ya se mencionó, la debida alineación y correspondencia con el Plan de Desarrollo Municipal.</w:t>
      </w:r>
    </w:p>
    <w:p w:rsidR="00B23E83" w:rsidRPr="005E2ED7" w:rsidRDefault="00B907A0">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5E2ED7">
        <w:rPr>
          <w:rFonts w:ascii="Palatino Linotype" w:eastAsia="Palatino Linotype" w:hAnsi="Palatino Linotype" w:cs="Palatino Linotype"/>
          <w:i/>
        </w:rPr>
        <w:t>El formato PbRM-01e “Matriz de Indicadores para Resultados por Programa presupuestario y Dependencia General”, tiene una relación con el formato PbRM-01d. 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2021.</w:t>
      </w:r>
    </w:p>
    <w:p w:rsidR="00B23E83" w:rsidRPr="005E2ED7" w:rsidRDefault="00B907A0">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rPr>
        <w:t xml:space="preserve">Al contar con un presupuesto definido se deben corroborar las metas de actividad a realizar e identificar los tiempos de su ejecución, por lo que para este fin se </w:t>
      </w:r>
      <w:r w:rsidRPr="005E2ED7">
        <w:rPr>
          <w:rFonts w:ascii="Palatino Linotype" w:eastAsia="Palatino Linotype" w:hAnsi="Palatino Linotype" w:cs="Palatino Linotype"/>
          <w:i/>
        </w:rPr>
        <w:lastRenderedPageBreak/>
        <w:t>requisita el formato PbRM-02a “Calendarización de Metas de actividad”, el cual tiene por objeto identificar trimestralmente las cantidades de las metas programadas anuales por proyecto, mismas que fueron planteadas en el formato PbR-01c. En este formato se identifica el compromiso de fechas en que se realizarán las metas.</w:t>
      </w:r>
    </w:p>
    <w:p w:rsidR="00B23E83" w:rsidRPr="005E2ED7" w:rsidRDefault="00B23E8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B23E83" w:rsidRPr="005E2ED7" w:rsidRDefault="00B907A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De acuerdo a lo antes expuesto, los formatos en los que se deberán registrar los proyectos por partida de gasto, los cuales tendrán que coincidir en estructura programática y gasto estimado por proyecto en donde el Programa Anual deberá partir del techo financiero que la Tesorería asigne a cada unidad administrativa de los municipios en cada Programa presupuestario y proyecto, lo que servirá de base para la programación y el costeo de las actividades a desarrollar del Anteproyecto de Presupuesto de Egresos; dicha asignación se tendrá que llevar a cabo identificando la información de Matriz de Indicadores para Resultados por Programa presupuestario y por cada dependencia general que conforme la estructura administrativa del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w:t>
      </w:r>
    </w:p>
    <w:p w:rsidR="00B23E83" w:rsidRPr="005E2ED7" w:rsidRDefault="00B23E8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B23E83" w:rsidRPr="005E2ED7" w:rsidRDefault="00B907A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Por lo que se observa que el PbRM-01a, PbRM-01b, PbRM-01c, PbRM-01d, PbRM-01e y el PbRM-02ª son generados por cada unidad Administrativa, que en este caso es la Unidad de Transparencia, motivo por el que se tiene colmado este punto de la solicitud, toda vez que hace entrega de la información requerida en este punto de la solicitud. </w:t>
      </w:r>
    </w:p>
    <w:p w:rsidR="00B23E83" w:rsidRPr="005E2ED7" w:rsidRDefault="00B23E8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9. Trámites y servicios de la Unidad de Transparencia.</w:t>
      </w:r>
    </w:p>
    <w:p w:rsidR="00B23E83" w:rsidRPr="005E2ED7" w:rsidRDefault="00B23E83">
      <w:pPr>
        <w:spacing w:after="0" w:line="360" w:lineRule="auto"/>
        <w:jc w:val="both"/>
        <w:rPr>
          <w:rFonts w:ascii="Palatino Linotype" w:eastAsia="Palatino Linotype" w:hAnsi="Palatino Linotype" w:cs="Palatino Linotype"/>
          <w:b/>
          <w:sz w:val="24"/>
          <w:szCs w:val="24"/>
        </w:rPr>
      </w:pP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2853"/>
        <w:gridCol w:w="2853"/>
      </w:tblGrid>
      <w:tr w:rsidR="005E2ED7" w:rsidRPr="005E2ED7">
        <w:tc>
          <w:tcPr>
            <w:tcW w:w="3122"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Información requerida.</w:t>
            </w:r>
          </w:p>
        </w:tc>
        <w:tc>
          <w:tcPr>
            <w:tcW w:w="2853"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Respuesta</w:t>
            </w:r>
          </w:p>
        </w:tc>
        <w:tc>
          <w:tcPr>
            <w:tcW w:w="2853"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Informe Justificado</w:t>
            </w:r>
          </w:p>
        </w:tc>
      </w:tr>
      <w:tr w:rsidR="00B23E83" w:rsidRPr="005E2ED7">
        <w:tc>
          <w:tcPr>
            <w:tcW w:w="3122"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Trámites y Servicios de la Unidad de Transparencia.</w:t>
            </w:r>
          </w:p>
        </w:tc>
        <w:tc>
          <w:tcPr>
            <w:tcW w:w="2853"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Cambio de modalidad</w:t>
            </w:r>
          </w:p>
        </w:tc>
        <w:tc>
          <w:tcPr>
            <w:tcW w:w="2853" w:type="dxa"/>
          </w:tcPr>
          <w:p w:rsidR="00B23E83" w:rsidRPr="005E2ED7" w:rsidRDefault="00B907A0">
            <w:pPr>
              <w:spacing w:after="0" w:line="360" w:lineRule="auto"/>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Cédulas de trámites y servicios que se brindan en la Unidad de Transparencia.</w:t>
            </w:r>
          </w:p>
        </w:tc>
      </w:tr>
    </w:tbl>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Se adjunta la primera página a manera de ejemplo:</w:t>
      </w:r>
    </w:p>
    <w:p w:rsidR="00B23E83" w:rsidRPr="005E2ED7" w:rsidRDefault="00B907A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E2ED7">
        <w:rPr>
          <w:noProof/>
        </w:rPr>
        <w:drawing>
          <wp:inline distT="0" distB="0" distL="0" distR="0">
            <wp:extent cx="2759040" cy="3800283"/>
            <wp:effectExtent l="0" t="0" r="0" b="0"/>
            <wp:docPr id="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l="37848" t="19010" r="35674" b="17019"/>
                    <a:stretch>
                      <a:fillRect/>
                    </a:stretch>
                  </pic:blipFill>
                  <pic:spPr>
                    <a:xfrm>
                      <a:off x="0" y="0"/>
                      <a:ext cx="2759040" cy="3800283"/>
                    </a:xfrm>
                    <a:prstGeom prst="rect">
                      <a:avLst/>
                    </a:prstGeom>
                    <a:ln/>
                  </pic:spPr>
                </pic:pic>
              </a:graphicData>
            </a:graphic>
          </wp:inline>
        </w:drawing>
      </w:r>
      <w:r w:rsidRPr="005E2ED7">
        <w:t xml:space="preserve"> </w:t>
      </w:r>
      <w:r w:rsidRPr="005E2ED7">
        <w:rPr>
          <w:noProof/>
        </w:rPr>
        <w:drawing>
          <wp:inline distT="0" distB="0" distL="0" distR="0">
            <wp:extent cx="2765436" cy="3725658"/>
            <wp:effectExtent l="0" t="0" r="0" b="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l="38017" t="19010" r="37542" b="22450"/>
                    <a:stretch>
                      <a:fillRect/>
                    </a:stretch>
                  </pic:blipFill>
                  <pic:spPr>
                    <a:xfrm>
                      <a:off x="0" y="0"/>
                      <a:ext cx="2765436" cy="3725658"/>
                    </a:xfrm>
                    <a:prstGeom prst="rect">
                      <a:avLst/>
                    </a:prstGeom>
                    <a:ln/>
                  </pic:spPr>
                </pic:pic>
              </a:graphicData>
            </a:graphic>
          </wp:inline>
        </w:drawing>
      </w:r>
    </w:p>
    <w:p w:rsidR="00B23E83" w:rsidRPr="005E2ED7" w:rsidRDefault="00B907A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De acuerdo a lo anterior, se determina que la Unidad de Transparencia, proporciona los trámites y servicios que presta, motivo por el que se considera que se tiene por colmado este punto de la solicitud de información pública.</w:t>
      </w:r>
    </w:p>
    <w:p w:rsidR="00B23E83" w:rsidRPr="005E2ED7" w:rsidRDefault="00B23E8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lastRenderedPageBreak/>
        <w:t>10. Manual de Procedimientos de la Unidad de Transparencia.</w:t>
      </w:r>
    </w:p>
    <w:p w:rsidR="00B23E83" w:rsidRPr="005E2ED7" w:rsidRDefault="00B23E83">
      <w:pPr>
        <w:spacing w:after="0" w:line="360" w:lineRule="auto"/>
        <w:jc w:val="both"/>
        <w:rPr>
          <w:rFonts w:ascii="Palatino Linotype" w:eastAsia="Palatino Linotype" w:hAnsi="Palatino Linotype" w:cs="Palatino Linotype"/>
          <w:b/>
          <w:sz w:val="24"/>
          <w:szCs w:val="24"/>
        </w:rPr>
      </w:pPr>
    </w:p>
    <w:tbl>
      <w:tblPr>
        <w:tblStyle w:val="a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2853"/>
        <w:gridCol w:w="2853"/>
      </w:tblGrid>
      <w:tr w:rsidR="005E2ED7" w:rsidRPr="005E2ED7">
        <w:tc>
          <w:tcPr>
            <w:tcW w:w="3122"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Información requerida.</w:t>
            </w:r>
          </w:p>
        </w:tc>
        <w:tc>
          <w:tcPr>
            <w:tcW w:w="2853"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Respuesta</w:t>
            </w:r>
          </w:p>
        </w:tc>
        <w:tc>
          <w:tcPr>
            <w:tcW w:w="2853" w:type="dxa"/>
            <w:shd w:val="clear" w:color="auto" w:fill="BFBFBF"/>
          </w:tcPr>
          <w:p w:rsidR="00B23E83" w:rsidRPr="005E2ED7" w:rsidRDefault="00B907A0">
            <w:pPr>
              <w:spacing w:before="240" w:after="240"/>
              <w:ind w:firstLine="114"/>
              <w:jc w:val="center"/>
              <w:rPr>
                <w:rFonts w:ascii="Palatino Linotype" w:eastAsia="Palatino Linotype" w:hAnsi="Palatino Linotype" w:cs="Palatino Linotype"/>
                <w:b/>
                <w:i/>
                <w:sz w:val="18"/>
                <w:szCs w:val="18"/>
              </w:rPr>
            </w:pPr>
            <w:r w:rsidRPr="005E2ED7">
              <w:rPr>
                <w:rFonts w:ascii="Palatino Linotype" w:eastAsia="Palatino Linotype" w:hAnsi="Palatino Linotype" w:cs="Palatino Linotype"/>
                <w:b/>
                <w:i/>
                <w:sz w:val="18"/>
                <w:szCs w:val="18"/>
              </w:rPr>
              <w:t>Informe Justificado</w:t>
            </w:r>
          </w:p>
        </w:tc>
      </w:tr>
      <w:tr w:rsidR="00B23E83" w:rsidRPr="005E2ED7">
        <w:tc>
          <w:tcPr>
            <w:tcW w:w="3122"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Manual de Procedimientos de la Unidad de Transparencia.</w:t>
            </w:r>
          </w:p>
        </w:tc>
        <w:tc>
          <w:tcPr>
            <w:tcW w:w="2853" w:type="dxa"/>
          </w:tcPr>
          <w:p w:rsidR="00B23E83" w:rsidRPr="005E2ED7" w:rsidRDefault="00B907A0">
            <w:pPr>
              <w:spacing w:before="240" w:after="240"/>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Cambio de modalidad</w:t>
            </w:r>
          </w:p>
        </w:tc>
        <w:tc>
          <w:tcPr>
            <w:tcW w:w="2853" w:type="dxa"/>
          </w:tcPr>
          <w:p w:rsidR="00B23E83" w:rsidRPr="005E2ED7" w:rsidRDefault="00B907A0">
            <w:pPr>
              <w:spacing w:after="0" w:line="360" w:lineRule="auto"/>
              <w:jc w:val="both"/>
              <w:rPr>
                <w:rFonts w:ascii="Palatino Linotype" w:eastAsia="Palatino Linotype" w:hAnsi="Palatino Linotype" w:cs="Palatino Linotype"/>
                <w:sz w:val="18"/>
                <w:szCs w:val="18"/>
              </w:rPr>
            </w:pPr>
            <w:r w:rsidRPr="005E2ED7">
              <w:rPr>
                <w:rFonts w:ascii="Palatino Linotype" w:eastAsia="Palatino Linotype" w:hAnsi="Palatino Linotype" w:cs="Palatino Linotype"/>
                <w:sz w:val="18"/>
                <w:szCs w:val="18"/>
              </w:rPr>
              <w:t>Manual de Procedimientos de la Unidad de Transparencia.</w:t>
            </w:r>
          </w:p>
        </w:tc>
      </w:tr>
    </w:tbl>
    <w:p w:rsidR="00B23E83" w:rsidRPr="005E2ED7" w:rsidRDefault="00B23E8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B23E83" w:rsidRPr="005E2ED7" w:rsidRDefault="00B907A0">
      <w:pPr>
        <w:pBdr>
          <w:top w:val="nil"/>
          <w:left w:val="nil"/>
          <w:bottom w:val="nil"/>
          <w:right w:val="nil"/>
          <w:between w:val="nil"/>
        </w:pBdr>
        <w:spacing w:after="0" w:line="360" w:lineRule="auto"/>
        <w:ind w:right="49"/>
        <w:jc w:val="both"/>
        <w:rPr>
          <w:sz w:val="24"/>
          <w:szCs w:val="24"/>
        </w:rPr>
      </w:pPr>
      <w:r w:rsidRPr="005E2ED7">
        <w:rPr>
          <w:rFonts w:ascii="Palatino Linotype" w:eastAsia="Palatino Linotype" w:hAnsi="Palatino Linotype" w:cs="Palatino Linotype"/>
          <w:sz w:val="24"/>
          <w:szCs w:val="24"/>
        </w:rPr>
        <w:t>Se adjunta la primera página de la Manual de Procedimientos de la Unidad de Transparencia.</w:t>
      </w:r>
    </w:p>
    <w:p w:rsidR="00B23E83" w:rsidRPr="005E2ED7" w:rsidRDefault="00B907A0">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5E2ED7">
        <w:rPr>
          <w:noProof/>
          <w:sz w:val="24"/>
          <w:szCs w:val="24"/>
        </w:rPr>
        <w:drawing>
          <wp:inline distT="0" distB="0" distL="0" distR="0">
            <wp:extent cx="3581400" cy="4486275"/>
            <wp:effectExtent l="0" t="0" r="0" b="9525"/>
            <wp:docPr id="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l="38696" t="28968" r="38391" b="18527"/>
                    <a:stretch>
                      <a:fillRect/>
                    </a:stretch>
                  </pic:blipFill>
                  <pic:spPr>
                    <a:xfrm>
                      <a:off x="0" y="0"/>
                      <a:ext cx="3581574" cy="4486493"/>
                    </a:xfrm>
                    <a:prstGeom prst="rect">
                      <a:avLst/>
                    </a:prstGeom>
                    <a:ln/>
                  </pic:spPr>
                </pic:pic>
              </a:graphicData>
            </a:graphic>
          </wp:inline>
        </w:drawing>
      </w:r>
    </w:p>
    <w:p w:rsidR="00B23E83" w:rsidRPr="005E2ED7" w:rsidRDefault="00B23E83">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p>
    <w:p w:rsidR="00B23E83" w:rsidRPr="005E2ED7" w:rsidRDefault="00B907A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En razón de lo antes mencionado, se observa que el </w:t>
      </w:r>
      <w:r w:rsidRPr="005E2ED7">
        <w:rPr>
          <w:rFonts w:ascii="Palatino Linotype" w:eastAsia="Palatino Linotype" w:hAnsi="Palatino Linotype" w:cs="Palatino Linotype"/>
          <w:b/>
          <w:sz w:val="24"/>
          <w:szCs w:val="24"/>
        </w:rPr>
        <w:t xml:space="preserve">SUJETO OBLIGADO, </w:t>
      </w:r>
      <w:r w:rsidRPr="005E2ED7">
        <w:rPr>
          <w:rFonts w:ascii="Palatino Linotype" w:eastAsia="Palatino Linotype" w:hAnsi="Palatino Linotype" w:cs="Palatino Linotype"/>
          <w:sz w:val="24"/>
          <w:szCs w:val="24"/>
        </w:rPr>
        <w:t>colma este apartado de la solicitud de información pública.</w:t>
      </w:r>
    </w:p>
    <w:p w:rsidR="00B23E83" w:rsidRPr="005E2ED7" w:rsidRDefault="00B23E8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B23E83" w:rsidRPr="005E2ED7" w:rsidRDefault="00B907A0">
      <w:pPr>
        <w:spacing w:after="0" w:line="360" w:lineRule="auto"/>
        <w:ind w:right="-91"/>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rPr>
        <w:t>QUINTO. VERSIÓN PÚBLICA</w:t>
      </w:r>
      <w:r w:rsidRPr="005E2ED7">
        <w:rPr>
          <w:rFonts w:ascii="Palatino Linotype" w:eastAsia="Palatino Linotype" w:hAnsi="Palatino Linotype" w:cs="Palatino Linotype"/>
          <w:b/>
          <w:sz w:val="24"/>
          <w:szCs w:val="24"/>
        </w:rPr>
        <w:t xml:space="preserve">. </w:t>
      </w:r>
      <w:r w:rsidRPr="005E2ED7">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5E2ED7">
        <w:rPr>
          <w:rFonts w:ascii="Palatino Linotype" w:eastAsia="Palatino Linotype" w:hAnsi="Palatino Linotype" w:cs="Palatino Linotype"/>
          <w:b/>
          <w:sz w:val="24"/>
          <w:szCs w:val="24"/>
        </w:rPr>
        <w:t xml:space="preserve">SUJETO OBLIGADO </w:t>
      </w:r>
      <w:r w:rsidRPr="005E2ED7">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rsidR="00B23E83" w:rsidRPr="005E2ED7" w:rsidRDefault="00B23E83">
      <w:pPr>
        <w:spacing w:after="0" w:line="360" w:lineRule="auto"/>
        <w:ind w:right="-91"/>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r w:rsidRPr="005E2ED7">
        <w:rPr>
          <w:rFonts w:ascii="Palatino Linotype" w:eastAsia="Palatino Linotype" w:hAnsi="Palatino Linotype" w:cs="Palatino Linotype"/>
          <w:b/>
          <w:i/>
        </w:rPr>
        <w:t>Artículo 3</w:t>
      </w:r>
      <w:r w:rsidRPr="005E2ED7">
        <w:rPr>
          <w:rFonts w:ascii="Palatino Linotype" w:eastAsia="Palatino Linotype" w:hAnsi="Palatino Linotype" w:cs="Palatino Linotype"/>
          <w:i/>
        </w:rPr>
        <w:t>. Para los efectos de la presente Ley se entenderá por:</w:t>
      </w:r>
    </w:p>
    <w:p w:rsidR="00B23E83" w:rsidRPr="005E2ED7" w:rsidRDefault="00B907A0">
      <w:pPr>
        <w:spacing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IX. Datos personales</w:t>
      </w:r>
      <w:r w:rsidRPr="005E2ED7">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XX. Información clasificada</w:t>
      </w:r>
      <w:r w:rsidRPr="005E2ED7">
        <w:rPr>
          <w:rFonts w:ascii="Palatino Linotype" w:eastAsia="Palatino Linotype" w:hAnsi="Palatino Linotype" w:cs="Palatino Linotype"/>
          <w:i/>
        </w:rPr>
        <w:t>: Aquella considerada por la presente Ley como reservada o confidencial;</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lastRenderedPageBreak/>
        <w:t xml:space="preserve">XXI. Información confidencial: </w:t>
      </w:r>
      <w:r w:rsidRPr="005E2ED7">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XLV. Versión pública:</w:t>
      </w:r>
      <w:r w:rsidRPr="005E2ED7">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Artículo 91.</w:t>
      </w:r>
      <w:r w:rsidRPr="005E2ED7">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B23E83" w:rsidRPr="005E2ED7" w:rsidRDefault="00B907A0">
      <w:pPr>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Artículo 132.</w:t>
      </w:r>
      <w:r w:rsidRPr="005E2ED7">
        <w:rPr>
          <w:rFonts w:ascii="Palatino Linotype" w:eastAsia="Palatino Linotype" w:hAnsi="Palatino Linotype" w:cs="Palatino Linotype"/>
          <w:i/>
        </w:rPr>
        <w:t xml:space="preserve"> La clasificación de la información se llevará a cabo en el momento en que:</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I</w:t>
      </w:r>
      <w:r w:rsidRPr="005E2ED7">
        <w:rPr>
          <w:rFonts w:ascii="Palatino Linotype" w:eastAsia="Palatino Linotype" w:hAnsi="Palatino Linotype" w:cs="Palatino Linotype"/>
          <w:i/>
        </w:rPr>
        <w:t>. Se reciba una solicitud de acceso a la información;</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II.</w:t>
      </w:r>
      <w:r w:rsidRPr="005E2ED7">
        <w:rPr>
          <w:rFonts w:ascii="Palatino Linotype" w:eastAsia="Palatino Linotype" w:hAnsi="Palatino Linotype" w:cs="Palatino Linotype"/>
          <w:i/>
        </w:rPr>
        <w:t xml:space="preserve"> Se determine mediante resolución de autoridad competente; o</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III.</w:t>
      </w:r>
      <w:r w:rsidRPr="005E2ED7">
        <w:rPr>
          <w:rFonts w:ascii="Palatino Linotype" w:eastAsia="Palatino Linotype" w:hAnsi="Palatino Linotype" w:cs="Palatino Linotype"/>
          <w:i/>
        </w:rPr>
        <w:t xml:space="preserve"> Se generen versiones públicas para dar cumplimiento a las obligaciones de transparencia previstas en esta Ley.</w:t>
      </w:r>
    </w:p>
    <w:p w:rsidR="00B23E83" w:rsidRPr="005E2ED7" w:rsidRDefault="00B907A0">
      <w:pPr>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w:t>
      </w:r>
    </w:p>
    <w:p w:rsidR="00B23E83" w:rsidRPr="005E2ED7" w:rsidRDefault="00B907A0">
      <w:pPr>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Artículo 143</w:t>
      </w:r>
      <w:r w:rsidRPr="005E2ED7">
        <w:rPr>
          <w:rFonts w:ascii="Palatino Linotype" w:eastAsia="Palatino Linotype" w:hAnsi="Palatino Linotype" w:cs="Palatino Linotype"/>
          <w:i/>
        </w:rPr>
        <w:t>. Para los efectos de esta Ley se considera información confidencial, la clasificada como tal, de manera permanente, por su naturaleza, cuando:</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I.</w:t>
      </w:r>
      <w:r w:rsidRPr="005E2ED7">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II.</w:t>
      </w:r>
      <w:r w:rsidRPr="005E2ED7">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III.</w:t>
      </w:r>
      <w:r w:rsidRPr="005E2ED7">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B23E83" w:rsidRPr="005E2ED7" w:rsidRDefault="00B907A0">
      <w:pPr>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B23E83" w:rsidRPr="005E2ED7" w:rsidRDefault="00B907A0">
      <w:pPr>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lastRenderedPageBreak/>
        <w:t>No se considerará confidencial la información que se encuentre en los registros públicos o en fuentes de acceso público, ni tampoco la que sea considerada por la presente ley como información pública.”</w:t>
      </w:r>
    </w:p>
    <w:p w:rsidR="00B23E83" w:rsidRPr="005E2ED7" w:rsidRDefault="00B23E83">
      <w:pPr>
        <w:spacing w:before="120" w:after="120"/>
        <w:ind w:left="851" w:right="902"/>
        <w:jc w:val="both"/>
        <w:rPr>
          <w:rFonts w:ascii="Palatino Linotype" w:eastAsia="Palatino Linotype" w:hAnsi="Palatino Linotype" w:cs="Palatino Linotype"/>
          <w:i/>
        </w:rPr>
      </w:pPr>
    </w:p>
    <w:p w:rsidR="00B23E83" w:rsidRPr="005E2ED7" w:rsidRDefault="00B907A0">
      <w:pPr>
        <w:spacing w:before="120"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“Quincuagésimo sexto</w:t>
      </w:r>
      <w:r w:rsidRPr="005E2ED7">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B23E83" w:rsidRPr="005E2ED7" w:rsidRDefault="00B907A0">
      <w:pPr>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Quincuagésimo séptimo</w:t>
      </w:r>
      <w:r w:rsidRPr="005E2ED7">
        <w:rPr>
          <w:rFonts w:ascii="Palatino Linotype" w:eastAsia="Palatino Linotype" w:hAnsi="Palatino Linotype" w:cs="Palatino Linotype"/>
          <w:i/>
        </w:rPr>
        <w:t xml:space="preserve">. Se considera, en principio, como información pública y no podrá omitirse de las versiones públicas la siguiente: </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I.</w:t>
      </w:r>
      <w:r w:rsidRPr="005E2ED7">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lastRenderedPageBreak/>
        <w:t>II.</w:t>
      </w:r>
      <w:r w:rsidRPr="005E2ED7">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rsidR="00B23E83" w:rsidRPr="005E2ED7" w:rsidRDefault="00B907A0">
      <w:pPr>
        <w:spacing w:before="120" w:after="120"/>
        <w:ind w:left="1134"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III.</w:t>
      </w:r>
      <w:r w:rsidRPr="005E2ED7">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B23E83" w:rsidRPr="005E2ED7" w:rsidRDefault="00B907A0">
      <w:pPr>
        <w:spacing w:before="120" w:after="120"/>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B23E83" w:rsidRPr="005E2ED7" w:rsidRDefault="00B907A0">
      <w:pPr>
        <w:spacing w:before="120" w:after="0" w:line="360" w:lineRule="auto"/>
        <w:ind w:left="851" w:right="902"/>
        <w:jc w:val="both"/>
        <w:rPr>
          <w:rFonts w:ascii="Palatino Linotype" w:eastAsia="Palatino Linotype" w:hAnsi="Palatino Linotype" w:cs="Palatino Linotype"/>
          <w:i/>
        </w:rPr>
      </w:pPr>
      <w:r w:rsidRPr="005E2ED7">
        <w:rPr>
          <w:rFonts w:ascii="Palatino Linotype" w:eastAsia="Palatino Linotype" w:hAnsi="Palatino Linotype" w:cs="Palatino Linotype"/>
          <w:b/>
          <w:i/>
        </w:rPr>
        <w:t>Quincuagésimo octavo</w:t>
      </w:r>
      <w:r w:rsidRPr="005E2ED7">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rsidR="00B23E83" w:rsidRPr="005E2ED7" w:rsidRDefault="00B23E83">
      <w:pPr>
        <w:spacing w:after="0" w:line="360" w:lineRule="auto"/>
        <w:ind w:left="851" w:right="902"/>
        <w:jc w:val="both"/>
        <w:rPr>
          <w:rFonts w:ascii="Palatino Linotype" w:eastAsia="Palatino Linotype" w:hAnsi="Palatino Linotype" w:cs="Palatino Linotype"/>
          <w:i/>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24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lastRenderedPageBreak/>
        <w:t>En relación directa con ello, los Lineamientos en estudio establecen los formatos para la clasificación parcial y total de los documentos, que atienden a lo siguiente:</w:t>
      </w:r>
    </w:p>
    <w:tbl>
      <w:tblPr>
        <w:tblStyle w:val="a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5E2ED7" w:rsidRPr="005E2ED7">
        <w:tc>
          <w:tcPr>
            <w:tcW w:w="4414" w:type="dxa"/>
            <w:gridSpan w:val="2"/>
            <w:tcBorders>
              <w:top w:val="single" w:sz="4" w:space="0" w:color="000000"/>
              <w:left w:val="single" w:sz="4" w:space="0" w:color="000000"/>
              <w:bottom w:val="single" w:sz="4" w:space="0" w:color="000000"/>
              <w:right w:val="single" w:sz="4" w:space="0" w:color="000000"/>
            </w:tcBorders>
          </w:tcPr>
          <w:p w:rsidR="00B23E83" w:rsidRPr="005E2ED7" w:rsidRDefault="00B907A0">
            <w:pPr>
              <w:jc w:val="center"/>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Parcial</w:t>
            </w:r>
          </w:p>
        </w:tc>
        <w:tc>
          <w:tcPr>
            <w:tcW w:w="4414" w:type="dxa"/>
            <w:gridSpan w:val="2"/>
            <w:tcBorders>
              <w:top w:val="single" w:sz="4" w:space="0" w:color="000000"/>
              <w:left w:val="single" w:sz="4" w:space="0" w:color="000000"/>
              <w:bottom w:val="single" w:sz="4" w:space="0" w:color="000000"/>
              <w:right w:val="single" w:sz="4" w:space="0" w:color="000000"/>
            </w:tcBorders>
          </w:tcPr>
          <w:p w:rsidR="00B23E83" w:rsidRPr="005E2ED7" w:rsidRDefault="00B907A0">
            <w:pPr>
              <w:jc w:val="center"/>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Total</w:t>
            </w:r>
          </w:p>
        </w:tc>
      </w:tr>
      <w:tr w:rsidR="005E2ED7" w:rsidRPr="005E2ED7">
        <w:tc>
          <w:tcPr>
            <w:tcW w:w="993"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center"/>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Concepto</w:t>
            </w:r>
          </w:p>
        </w:tc>
        <w:tc>
          <w:tcPr>
            <w:tcW w:w="3421"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center"/>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Dónde</w:t>
            </w:r>
          </w:p>
        </w:tc>
        <w:tc>
          <w:tcPr>
            <w:tcW w:w="968"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center"/>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Concepto</w:t>
            </w:r>
          </w:p>
        </w:tc>
        <w:tc>
          <w:tcPr>
            <w:tcW w:w="3446"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center"/>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Dónde</w:t>
            </w:r>
          </w:p>
        </w:tc>
      </w:tr>
      <w:tr w:rsidR="005E2ED7" w:rsidRPr="005E2ED7">
        <w:tc>
          <w:tcPr>
            <w:tcW w:w="8828" w:type="dxa"/>
            <w:gridSpan w:val="4"/>
            <w:tcBorders>
              <w:top w:val="single" w:sz="4" w:space="0" w:color="000000"/>
              <w:left w:val="single" w:sz="4" w:space="0" w:color="000000"/>
              <w:bottom w:val="single" w:sz="4" w:space="0" w:color="000000"/>
              <w:right w:val="single" w:sz="4" w:space="0" w:color="000000"/>
            </w:tcBorders>
          </w:tcPr>
          <w:p w:rsidR="00B23E83" w:rsidRPr="005E2ED7" w:rsidRDefault="00B907A0">
            <w:pPr>
              <w:jc w:val="center"/>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Sello oficial o logotipo del sujeto obligado</w:t>
            </w:r>
          </w:p>
        </w:tc>
      </w:tr>
      <w:tr w:rsidR="005E2ED7" w:rsidRPr="005E2ED7">
        <w:tc>
          <w:tcPr>
            <w:tcW w:w="993"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Fecha de clasificación</w:t>
            </w:r>
          </w:p>
        </w:tc>
        <w:tc>
          <w:tcPr>
            <w:tcW w:w="3421"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Fecha de clasificación</w:t>
            </w:r>
          </w:p>
        </w:tc>
        <w:tc>
          <w:tcPr>
            <w:tcW w:w="3446"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E2ED7" w:rsidRPr="005E2ED7">
        <w:tc>
          <w:tcPr>
            <w:tcW w:w="993"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Área</w:t>
            </w:r>
          </w:p>
        </w:tc>
        <w:tc>
          <w:tcPr>
            <w:tcW w:w="3421"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 señalará el nombre del área del cual es titular quien clasifica.</w:t>
            </w:r>
          </w:p>
        </w:tc>
        <w:tc>
          <w:tcPr>
            <w:tcW w:w="968"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Área</w:t>
            </w:r>
          </w:p>
        </w:tc>
        <w:tc>
          <w:tcPr>
            <w:tcW w:w="3446"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 señalará el nombre del área de la cual es el titular quien clasifica.</w:t>
            </w:r>
          </w:p>
        </w:tc>
      </w:tr>
      <w:tr w:rsidR="005E2ED7" w:rsidRPr="005E2ED7">
        <w:tc>
          <w:tcPr>
            <w:tcW w:w="993"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Información reservada</w:t>
            </w:r>
          </w:p>
        </w:tc>
        <w:tc>
          <w:tcPr>
            <w:tcW w:w="3421"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Reservado</w:t>
            </w:r>
          </w:p>
        </w:tc>
        <w:tc>
          <w:tcPr>
            <w:tcW w:w="3446"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Leyenda de información RESERVADA.</w:t>
            </w:r>
          </w:p>
        </w:tc>
      </w:tr>
      <w:tr w:rsidR="005E2ED7" w:rsidRPr="005E2ED7">
        <w:tc>
          <w:tcPr>
            <w:tcW w:w="993"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Fundamento legal</w:t>
            </w:r>
          </w:p>
        </w:tc>
        <w:tc>
          <w:tcPr>
            <w:tcW w:w="3421"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Periodo de reserva</w:t>
            </w:r>
          </w:p>
        </w:tc>
        <w:tc>
          <w:tcPr>
            <w:tcW w:w="3446"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E2ED7" w:rsidRPr="005E2ED7">
        <w:tc>
          <w:tcPr>
            <w:tcW w:w="993"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Ampliación del periodo de reserva</w:t>
            </w:r>
          </w:p>
        </w:tc>
        <w:tc>
          <w:tcPr>
            <w:tcW w:w="3421"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Fundamento legal</w:t>
            </w:r>
          </w:p>
        </w:tc>
        <w:tc>
          <w:tcPr>
            <w:tcW w:w="3446"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E2ED7" w:rsidRPr="005E2ED7">
        <w:tc>
          <w:tcPr>
            <w:tcW w:w="993"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Confidencial</w:t>
            </w:r>
          </w:p>
        </w:tc>
        <w:tc>
          <w:tcPr>
            <w:tcW w:w="3421"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Ampliación del periodo de reserva</w:t>
            </w:r>
          </w:p>
        </w:tc>
        <w:tc>
          <w:tcPr>
            <w:tcW w:w="3446"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E2ED7" w:rsidRPr="005E2ED7">
        <w:tc>
          <w:tcPr>
            <w:tcW w:w="993"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Fundamento legal</w:t>
            </w:r>
          </w:p>
        </w:tc>
        <w:tc>
          <w:tcPr>
            <w:tcW w:w="3421"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Confidencial</w:t>
            </w:r>
          </w:p>
        </w:tc>
        <w:tc>
          <w:tcPr>
            <w:tcW w:w="3446"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Leyenda de información CONFIDENCIAL.</w:t>
            </w:r>
          </w:p>
        </w:tc>
      </w:tr>
      <w:tr w:rsidR="005E2ED7" w:rsidRPr="005E2ED7">
        <w:tc>
          <w:tcPr>
            <w:tcW w:w="993"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Rúbrica del titular del área</w:t>
            </w:r>
          </w:p>
        </w:tc>
        <w:tc>
          <w:tcPr>
            <w:tcW w:w="3421"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Rúbrica autógrafa de quien clasifica.</w:t>
            </w:r>
          </w:p>
        </w:tc>
        <w:tc>
          <w:tcPr>
            <w:tcW w:w="968"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Fundamento legal</w:t>
            </w:r>
          </w:p>
        </w:tc>
        <w:tc>
          <w:tcPr>
            <w:tcW w:w="3446"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E2ED7" w:rsidRPr="005E2ED7">
        <w:tc>
          <w:tcPr>
            <w:tcW w:w="993"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Fecha de desclasificación</w:t>
            </w:r>
          </w:p>
        </w:tc>
        <w:tc>
          <w:tcPr>
            <w:tcW w:w="3421"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 anotará la fecha en que se desclasifica el documento.</w:t>
            </w:r>
          </w:p>
        </w:tc>
        <w:tc>
          <w:tcPr>
            <w:tcW w:w="968"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Rúbrica del titular del área</w:t>
            </w:r>
          </w:p>
        </w:tc>
        <w:tc>
          <w:tcPr>
            <w:tcW w:w="3446"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Rúbrica autógrafa de quien clasifica.</w:t>
            </w:r>
          </w:p>
        </w:tc>
      </w:tr>
      <w:tr w:rsidR="005E2ED7" w:rsidRPr="005E2ED7">
        <w:tc>
          <w:tcPr>
            <w:tcW w:w="993"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Rúbrica y cargo del servidor público</w:t>
            </w:r>
          </w:p>
        </w:tc>
        <w:tc>
          <w:tcPr>
            <w:tcW w:w="3421"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Rúbrica autógrafa de quien desclasifica.</w:t>
            </w:r>
          </w:p>
        </w:tc>
        <w:tc>
          <w:tcPr>
            <w:tcW w:w="968"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Fecha de desclasificación</w:t>
            </w:r>
          </w:p>
        </w:tc>
        <w:tc>
          <w:tcPr>
            <w:tcW w:w="3446"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Se anotará la fecha en que se desclasifica.</w:t>
            </w:r>
          </w:p>
        </w:tc>
      </w:tr>
      <w:tr w:rsidR="005E2ED7" w:rsidRPr="005E2ED7">
        <w:tc>
          <w:tcPr>
            <w:tcW w:w="993" w:type="dxa"/>
            <w:tcBorders>
              <w:top w:val="single" w:sz="4" w:space="0" w:color="000000"/>
              <w:left w:val="single" w:sz="4" w:space="0" w:color="000000"/>
              <w:bottom w:val="single" w:sz="4" w:space="0" w:color="000000"/>
              <w:right w:val="single" w:sz="4" w:space="0" w:color="000000"/>
            </w:tcBorders>
          </w:tcPr>
          <w:p w:rsidR="00B23E83" w:rsidRPr="005E2ED7" w:rsidRDefault="00B23E83">
            <w:pPr>
              <w:jc w:val="both"/>
              <w:rPr>
                <w:rFonts w:ascii="Palatino Linotype" w:eastAsia="Palatino Linotype" w:hAnsi="Palatino Linotype" w:cs="Palatino Linotype"/>
                <w:sz w:val="12"/>
                <w:szCs w:val="12"/>
              </w:rPr>
            </w:pPr>
          </w:p>
        </w:tc>
        <w:tc>
          <w:tcPr>
            <w:tcW w:w="3421" w:type="dxa"/>
            <w:tcBorders>
              <w:top w:val="single" w:sz="4" w:space="0" w:color="000000"/>
              <w:left w:val="single" w:sz="4" w:space="0" w:color="000000"/>
              <w:bottom w:val="single" w:sz="4" w:space="0" w:color="000000"/>
              <w:right w:val="single" w:sz="4" w:space="0" w:color="000000"/>
            </w:tcBorders>
          </w:tcPr>
          <w:p w:rsidR="00B23E83" w:rsidRPr="005E2ED7" w:rsidRDefault="00B23E83">
            <w:pPr>
              <w:jc w:val="both"/>
              <w:rPr>
                <w:rFonts w:ascii="Palatino Linotype" w:eastAsia="Palatino Linotype" w:hAnsi="Palatino Linotype" w:cs="Palatino Linotype"/>
                <w:sz w:val="12"/>
                <w:szCs w:val="12"/>
              </w:rPr>
            </w:pPr>
          </w:p>
        </w:tc>
        <w:tc>
          <w:tcPr>
            <w:tcW w:w="968"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Partes o secciones reservadas o confidenciales</w:t>
            </w:r>
          </w:p>
        </w:tc>
        <w:tc>
          <w:tcPr>
            <w:tcW w:w="3446"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B23E83" w:rsidRPr="005E2ED7">
        <w:tc>
          <w:tcPr>
            <w:tcW w:w="993" w:type="dxa"/>
            <w:tcBorders>
              <w:top w:val="single" w:sz="4" w:space="0" w:color="000000"/>
              <w:left w:val="single" w:sz="4" w:space="0" w:color="000000"/>
              <w:bottom w:val="single" w:sz="4" w:space="0" w:color="000000"/>
              <w:right w:val="single" w:sz="4" w:space="0" w:color="000000"/>
            </w:tcBorders>
          </w:tcPr>
          <w:p w:rsidR="00B23E83" w:rsidRPr="005E2ED7" w:rsidRDefault="00B23E83">
            <w:pPr>
              <w:jc w:val="both"/>
              <w:rPr>
                <w:rFonts w:ascii="Palatino Linotype" w:eastAsia="Palatino Linotype" w:hAnsi="Palatino Linotype" w:cs="Palatino Linotype"/>
                <w:sz w:val="12"/>
                <w:szCs w:val="12"/>
              </w:rPr>
            </w:pPr>
          </w:p>
        </w:tc>
        <w:tc>
          <w:tcPr>
            <w:tcW w:w="3421" w:type="dxa"/>
            <w:tcBorders>
              <w:top w:val="single" w:sz="4" w:space="0" w:color="000000"/>
              <w:left w:val="single" w:sz="4" w:space="0" w:color="000000"/>
              <w:bottom w:val="single" w:sz="4" w:space="0" w:color="000000"/>
              <w:right w:val="single" w:sz="4" w:space="0" w:color="000000"/>
            </w:tcBorders>
          </w:tcPr>
          <w:p w:rsidR="00B23E83" w:rsidRPr="005E2ED7" w:rsidRDefault="00B23E83">
            <w:pPr>
              <w:jc w:val="both"/>
              <w:rPr>
                <w:rFonts w:ascii="Palatino Linotype" w:eastAsia="Palatino Linotype" w:hAnsi="Palatino Linotype" w:cs="Palatino Linotype"/>
                <w:sz w:val="12"/>
                <w:szCs w:val="12"/>
              </w:rPr>
            </w:pPr>
          </w:p>
        </w:tc>
        <w:tc>
          <w:tcPr>
            <w:tcW w:w="968"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b/>
                <w:sz w:val="12"/>
                <w:szCs w:val="12"/>
              </w:rPr>
            </w:pPr>
            <w:r w:rsidRPr="005E2ED7">
              <w:rPr>
                <w:rFonts w:ascii="Palatino Linotype" w:eastAsia="Palatino Linotype" w:hAnsi="Palatino Linotype" w:cs="Palatino Linotype"/>
                <w:b/>
                <w:sz w:val="12"/>
                <w:szCs w:val="12"/>
              </w:rPr>
              <w:t xml:space="preserve">Rúbrica y cargo del </w:t>
            </w:r>
            <w:r w:rsidRPr="005E2ED7">
              <w:rPr>
                <w:rFonts w:ascii="Palatino Linotype" w:eastAsia="Palatino Linotype" w:hAnsi="Palatino Linotype" w:cs="Palatino Linotype"/>
                <w:b/>
                <w:sz w:val="12"/>
                <w:szCs w:val="12"/>
              </w:rPr>
              <w:lastRenderedPageBreak/>
              <w:t>servidor público</w:t>
            </w:r>
          </w:p>
        </w:tc>
        <w:tc>
          <w:tcPr>
            <w:tcW w:w="3446" w:type="dxa"/>
            <w:tcBorders>
              <w:top w:val="single" w:sz="4" w:space="0" w:color="000000"/>
              <w:left w:val="single" w:sz="4" w:space="0" w:color="000000"/>
              <w:bottom w:val="single" w:sz="4" w:space="0" w:color="000000"/>
              <w:right w:val="single" w:sz="4" w:space="0" w:color="000000"/>
            </w:tcBorders>
          </w:tcPr>
          <w:p w:rsidR="00B23E83" w:rsidRPr="005E2ED7" w:rsidRDefault="00B907A0">
            <w:pPr>
              <w:jc w:val="both"/>
              <w:rPr>
                <w:rFonts w:ascii="Palatino Linotype" w:eastAsia="Palatino Linotype" w:hAnsi="Palatino Linotype" w:cs="Palatino Linotype"/>
                <w:sz w:val="12"/>
                <w:szCs w:val="12"/>
              </w:rPr>
            </w:pPr>
            <w:r w:rsidRPr="005E2ED7">
              <w:rPr>
                <w:rFonts w:ascii="Palatino Linotype" w:eastAsia="Palatino Linotype" w:hAnsi="Palatino Linotype" w:cs="Palatino Linotype"/>
                <w:sz w:val="12"/>
                <w:szCs w:val="12"/>
              </w:rPr>
              <w:lastRenderedPageBreak/>
              <w:t>Rúbrica autógrafa de quien desclasifica.</w:t>
            </w:r>
          </w:p>
        </w:tc>
      </w:tr>
    </w:tbl>
    <w:p w:rsidR="00B23E83" w:rsidRPr="005E2ED7" w:rsidRDefault="00B23E83">
      <w:pPr>
        <w:rPr>
          <w:rFonts w:ascii="Palatino Linotype" w:eastAsia="Palatino Linotype" w:hAnsi="Palatino Linotype" w:cs="Palatino Linotype"/>
          <w:b/>
          <w:i/>
          <w:sz w:val="24"/>
          <w:szCs w:val="24"/>
        </w:rPr>
      </w:pPr>
    </w:p>
    <w:p w:rsidR="00B23E83" w:rsidRPr="005E2ED7" w:rsidRDefault="00B907A0">
      <w:pPr>
        <w:spacing w:before="240" w:after="24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B23E83" w:rsidRPr="005E2ED7" w:rsidRDefault="00B907A0">
      <w:pPr>
        <w:pBdr>
          <w:top w:val="nil"/>
          <w:left w:val="nil"/>
          <w:bottom w:val="nil"/>
          <w:right w:val="nil"/>
          <w:between w:val="nil"/>
        </w:pBdr>
        <w:spacing w:after="0" w:line="360" w:lineRule="auto"/>
        <w:ind w:right="49"/>
        <w:jc w:val="center"/>
        <w:rPr>
          <w:rFonts w:ascii="Palatino Linotype" w:eastAsia="Palatino Linotype" w:hAnsi="Palatino Linotype" w:cs="Palatino Linotype"/>
          <w:b/>
          <w:sz w:val="28"/>
          <w:szCs w:val="28"/>
        </w:rPr>
      </w:pPr>
      <w:r w:rsidRPr="005E2ED7">
        <w:rPr>
          <w:rFonts w:ascii="Palatino Linotype" w:eastAsia="Palatino Linotype" w:hAnsi="Palatino Linotype" w:cs="Palatino Linotype"/>
          <w:b/>
          <w:sz w:val="28"/>
          <w:szCs w:val="28"/>
        </w:rPr>
        <w:t>R E S U E L V E:</w:t>
      </w:r>
    </w:p>
    <w:p w:rsidR="00B23E83" w:rsidRPr="005E2ED7" w:rsidRDefault="00B23E83">
      <w:pPr>
        <w:spacing w:after="0"/>
        <w:ind w:left="-142" w:right="49"/>
        <w:jc w:val="center"/>
        <w:rPr>
          <w:rFonts w:ascii="Palatino Linotype" w:eastAsia="Palatino Linotype" w:hAnsi="Palatino Linotype" w:cs="Palatino Linotype"/>
          <w:b/>
          <w:sz w:val="28"/>
          <w:szCs w:val="28"/>
        </w:rPr>
      </w:pP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t xml:space="preserve">PRIMERO. </w:t>
      </w:r>
      <w:r w:rsidRPr="005E2ED7">
        <w:rPr>
          <w:rFonts w:ascii="Palatino Linotype" w:eastAsia="Palatino Linotype" w:hAnsi="Palatino Linotype" w:cs="Palatino Linotype"/>
          <w:sz w:val="24"/>
          <w:szCs w:val="24"/>
        </w:rPr>
        <w:t>Resultan parcialmente</w:t>
      </w:r>
      <w:r w:rsidRPr="005E2ED7">
        <w:rPr>
          <w:rFonts w:ascii="Palatino Linotype" w:eastAsia="Palatino Linotype" w:hAnsi="Palatino Linotype" w:cs="Palatino Linotype"/>
          <w:b/>
          <w:sz w:val="24"/>
          <w:szCs w:val="24"/>
        </w:rPr>
        <w:t xml:space="preserve"> fundados</w:t>
      </w:r>
      <w:r w:rsidRPr="005E2ED7">
        <w:rPr>
          <w:rFonts w:ascii="Palatino Linotype" w:eastAsia="Palatino Linotype" w:hAnsi="Palatino Linotype" w:cs="Palatino Linotype"/>
          <w:sz w:val="24"/>
          <w:szCs w:val="24"/>
        </w:rPr>
        <w:t xml:space="preserve"> los motivos de inconformidad hechos valer por la parte </w:t>
      </w:r>
      <w:r w:rsidRPr="005E2ED7">
        <w:rPr>
          <w:rFonts w:ascii="Palatino Linotype" w:eastAsia="Palatino Linotype" w:hAnsi="Palatino Linotype" w:cs="Palatino Linotype"/>
          <w:b/>
          <w:sz w:val="24"/>
          <w:szCs w:val="24"/>
        </w:rPr>
        <w:t xml:space="preserve">RECURRENTE </w:t>
      </w:r>
      <w:r w:rsidRPr="005E2ED7">
        <w:rPr>
          <w:rFonts w:ascii="Palatino Linotype" w:eastAsia="Palatino Linotype" w:hAnsi="Palatino Linotype" w:cs="Palatino Linotype"/>
          <w:sz w:val="24"/>
          <w:szCs w:val="24"/>
        </w:rPr>
        <w:t xml:space="preserve">en el recurso de revisión </w:t>
      </w:r>
      <w:r w:rsidRPr="005E2ED7">
        <w:rPr>
          <w:rFonts w:ascii="Palatino Linotype" w:eastAsia="Palatino Linotype" w:hAnsi="Palatino Linotype" w:cs="Palatino Linotype"/>
          <w:b/>
          <w:sz w:val="24"/>
          <w:szCs w:val="24"/>
        </w:rPr>
        <w:t xml:space="preserve">05614/INFOEM/IP/RR/2022, </w:t>
      </w:r>
      <w:r w:rsidRPr="005E2ED7">
        <w:rPr>
          <w:rFonts w:ascii="Palatino Linotype" w:eastAsia="Palatino Linotype" w:hAnsi="Palatino Linotype" w:cs="Palatino Linotype"/>
          <w:sz w:val="24"/>
          <w:szCs w:val="24"/>
        </w:rPr>
        <w:t xml:space="preserve">por lo que, en términos del Considerando </w:t>
      </w:r>
      <w:r w:rsidRPr="005E2ED7">
        <w:rPr>
          <w:rFonts w:ascii="Palatino Linotype" w:eastAsia="Palatino Linotype" w:hAnsi="Palatino Linotype" w:cs="Palatino Linotype"/>
          <w:b/>
          <w:sz w:val="24"/>
          <w:szCs w:val="24"/>
        </w:rPr>
        <w:t xml:space="preserve">Cuarto </w:t>
      </w:r>
      <w:r w:rsidRPr="005E2ED7">
        <w:rPr>
          <w:rFonts w:ascii="Palatino Linotype" w:eastAsia="Palatino Linotype" w:hAnsi="Palatino Linotype" w:cs="Palatino Linotype"/>
          <w:sz w:val="24"/>
          <w:szCs w:val="24"/>
        </w:rPr>
        <w:t>de la presente resolución, se</w:t>
      </w:r>
      <w:r w:rsidRPr="005E2ED7">
        <w:rPr>
          <w:rFonts w:ascii="Palatino Linotype" w:eastAsia="Palatino Linotype" w:hAnsi="Palatino Linotype" w:cs="Palatino Linotype"/>
          <w:b/>
          <w:sz w:val="24"/>
          <w:szCs w:val="24"/>
        </w:rPr>
        <w:t xml:space="preserve"> REVOCA </w:t>
      </w:r>
      <w:r w:rsidRPr="005E2ED7">
        <w:rPr>
          <w:rFonts w:ascii="Palatino Linotype" w:eastAsia="Palatino Linotype" w:hAnsi="Palatino Linotype" w:cs="Palatino Linotype"/>
          <w:sz w:val="24"/>
          <w:szCs w:val="24"/>
        </w:rPr>
        <w:t>la respuesta</w:t>
      </w:r>
      <w:r w:rsidRPr="005E2ED7">
        <w:rPr>
          <w:rFonts w:ascii="Palatino Linotype" w:eastAsia="Palatino Linotype" w:hAnsi="Palatino Linotype" w:cs="Palatino Linotype"/>
          <w:b/>
          <w:sz w:val="24"/>
          <w:szCs w:val="24"/>
        </w:rPr>
        <w:t xml:space="preserve"> </w:t>
      </w:r>
      <w:r w:rsidRPr="005E2ED7">
        <w:rPr>
          <w:rFonts w:ascii="Palatino Linotype" w:eastAsia="Palatino Linotype" w:hAnsi="Palatino Linotype" w:cs="Palatino Linotype"/>
          <w:sz w:val="24"/>
          <w:szCs w:val="24"/>
        </w:rPr>
        <w:t xml:space="preserve">del </w:t>
      </w:r>
      <w:r w:rsidRPr="005E2ED7">
        <w:rPr>
          <w:rFonts w:ascii="Palatino Linotype" w:eastAsia="Palatino Linotype" w:hAnsi="Palatino Linotype" w:cs="Palatino Linotype"/>
          <w:b/>
          <w:sz w:val="24"/>
          <w:szCs w:val="24"/>
        </w:rPr>
        <w:t>SUJETO OBLIGADO.</w:t>
      </w:r>
    </w:p>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spacing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t xml:space="preserve">SEGUNDO. </w:t>
      </w:r>
      <w:r w:rsidRPr="005E2ED7">
        <w:rPr>
          <w:rFonts w:ascii="Palatino Linotype" w:eastAsia="Palatino Linotype" w:hAnsi="Palatino Linotype" w:cs="Palatino Linotype"/>
          <w:sz w:val="24"/>
          <w:szCs w:val="24"/>
        </w:rPr>
        <w:t xml:space="preserve">Se </w:t>
      </w:r>
      <w:r w:rsidRPr="005E2ED7">
        <w:rPr>
          <w:rFonts w:ascii="Palatino Linotype" w:eastAsia="Palatino Linotype" w:hAnsi="Palatino Linotype" w:cs="Palatino Linotype"/>
          <w:b/>
          <w:sz w:val="24"/>
          <w:szCs w:val="24"/>
        </w:rPr>
        <w:t>Ordena</w:t>
      </w:r>
      <w:r w:rsidRPr="005E2ED7">
        <w:rPr>
          <w:rFonts w:ascii="Palatino Linotype" w:eastAsia="Palatino Linotype" w:hAnsi="Palatino Linotype" w:cs="Palatino Linotype"/>
          <w:sz w:val="24"/>
          <w:szCs w:val="24"/>
        </w:rPr>
        <w:t xml:space="preserve"> al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en términos de los Considerandos </w:t>
      </w:r>
      <w:r w:rsidRPr="005E2ED7">
        <w:rPr>
          <w:rFonts w:ascii="Palatino Linotype" w:eastAsia="Palatino Linotype" w:hAnsi="Palatino Linotype" w:cs="Palatino Linotype"/>
          <w:b/>
          <w:sz w:val="24"/>
          <w:szCs w:val="24"/>
        </w:rPr>
        <w:t xml:space="preserve">Cuarto y Quinto </w:t>
      </w:r>
      <w:r w:rsidRPr="005E2ED7">
        <w:rPr>
          <w:rFonts w:ascii="Palatino Linotype" w:eastAsia="Palatino Linotype" w:hAnsi="Palatino Linotype" w:cs="Palatino Linotype"/>
          <w:sz w:val="24"/>
          <w:szCs w:val="24"/>
        </w:rPr>
        <w:t>de esta resolución, haga entrega, vía SAIMEX, en versión pública de ser procedente, lo siguiente:</w:t>
      </w:r>
    </w:p>
    <w:p w:rsidR="00B23E83" w:rsidRPr="005E2ED7" w:rsidRDefault="00B907A0" w:rsidP="007532CA">
      <w:pPr>
        <w:pStyle w:val="Prrafodelista"/>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Constancia de no inhabilitación de la Titular de la Unidad de Transparencia y del Encargado de la Protección de Datos Personales de la Unidad de Transparencia, en funciones al nueve de marzo de dos mil veintidós.</w:t>
      </w:r>
    </w:p>
    <w:p w:rsidR="00B23E83" w:rsidRPr="005E2ED7" w:rsidRDefault="006D06ED" w:rsidP="001A4124">
      <w:pPr>
        <w:pStyle w:val="Prrafodelista"/>
        <w:numPr>
          <w:ilvl w:val="0"/>
          <w:numId w:val="1"/>
        </w:numPr>
        <w:spacing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Documento que de cuenta del cumplimiento del requisito relativo a no haber sido separado anteriormente del servicio por las causas previstas en el </w:t>
      </w:r>
      <w:r w:rsidRPr="005E2ED7">
        <w:rPr>
          <w:rFonts w:ascii="Palatino Linotype" w:eastAsia="Palatino Linotype" w:hAnsi="Palatino Linotype" w:cs="Palatino Linotype"/>
          <w:sz w:val="24"/>
          <w:szCs w:val="24"/>
        </w:rPr>
        <w:lastRenderedPageBreak/>
        <w:t>artículo 93 de la Ley del Trabajo de los Servidores Públicos del Estado y Municipios, lo anterior respecto de  la Titular de la Unidad de Transparencia y del Encargado de la Protección de Datos Personales de la Unidad de Transparencia</w:t>
      </w:r>
      <w:r w:rsidR="00B907A0" w:rsidRPr="005E2ED7">
        <w:rPr>
          <w:rFonts w:ascii="Palatino Linotype" w:eastAsia="Palatino Linotype" w:hAnsi="Palatino Linotype" w:cs="Palatino Linotype"/>
          <w:sz w:val="24"/>
          <w:szCs w:val="24"/>
        </w:rPr>
        <w:t>, en funciones al nueve de marzo del dos mil veintidós.</w:t>
      </w:r>
    </w:p>
    <w:p w:rsidR="00B23E83" w:rsidRPr="005E2ED7" w:rsidRDefault="00B907A0">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Cédula de Base de Datos Personales de la Presidencia Municipal, Tesorería Municipal, Dirección de Desarrollo Social, Dirección de Desarrollo Urbano, Dirección de Servicios Públicos, Dirección de Obras Públicas, Dirección de Administración, Secretaría Técnica, Dirección de Sustentabilidad Ambiental, Dirección de la Mujer, Dirección de Gobierno Digital, Dirección de Movilidad y del Instituto Municipal de Cultura y las Artes vigentes a la fecha de la solicitud.</w:t>
      </w:r>
    </w:p>
    <w:p w:rsidR="00B23E83" w:rsidRPr="005E2ED7" w:rsidRDefault="00B907A0" w:rsidP="001A4124">
      <w:pPr>
        <w:pBdr>
          <w:top w:val="nil"/>
          <w:left w:val="nil"/>
          <w:bottom w:val="nil"/>
          <w:right w:val="nil"/>
          <w:between w:val="nil"/>
        </w:pBdr>
        <w:spacing w:before="240" w:after="240" w:line="276" w:lineRule="auto"/>
        <w:ind w:left="720" w:right="49"/>
        <w:jc w:val="both"/>
        <w:rPr>
          <w:rFonts w:ascii="Palatino Linotype" w:eastAsia="Palatino Linotype" w:hAnsi="Palatino Linotype" w:cs="Palatino Linotype"/>
          <w:i/>
          <w:sz w:val="24"/>
          <w:szCs w:val="24"/>
        </w:rPr>
      </w:pPr>
      <w:r w:rsidRPr="005E2ED7">
        <w:rPr>
          <w:rFonts w:ascii="Palatino Linotype" w:eastAsia="Palatino Linotype" w:hAnsi="Palatino Linotype" w:cs="Palatino Linotype"/>
          <w:i/>
          <w:sz w:val="24"/>
          <w:szCs w:val="24"/>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 y motive la eliminación de los datos y documentos clasificados en su totalidad como confidencial, en términos de los artículos 49, fracción VIII, 143, fracción I y 149 de la Ley de Transparencia y Acceso a la Información Pública del Estado de México y Municipios.</w:t>
      </w:r>
    </w:p>
    <w:p w:rsidR="00B23E83" w:rsidRPr="005E2ED7" w:rsidRDefault="007532CA" w:rsidP="007532CA">
      <w:pPr>
        <w:spacing w:before="240" w:after="240" w:line="360" w:lineRule="auto"/>
        <w:ind w:left="720" w:right="49"/>
        <w:jc w:val="both"/>
        <w:rPr>
          <w:rFonts w:ascii="Palatino Linotype" w:eastAsia="Palatino Linotype" w:hAnsi="Palatino Linotype" w:cs="Palatino Linotype"/>
          <w:i/>
          <w:sz w:val="20"/>
          <w:szCs w:val="20"/>
        </w:rPr>
      </w:pPr>
      <w:r w:rsidRPr="005E2ED7">
        <w:rPr>
          <w:rFonts w:ascii="Palatino Linotype" w:eastAsia="Palatino Linotype" w:hAnsi="Palatino Linotype" w:cs="Palatino Linotype"/>
          <w:sz w:val="24"/>
        </w:rPr>
        <w:t xml:space="preserve">Para el caso, de que no </w:t>
      </w:r>
      <w:r w:rsidR="001A4124" w:rsidRPr="005E2ED7">
        <w:rPr>
          <w:rFonts w:ascii="Palatino Linotype" w:eastAsia="Palatino Linotype" w:hAnsi="Palatino Linotype" w:cs="Palatino Linotype"/>
          <w:sz w:val="24"/>
        </w:rPr>
        <w:t xml:space="preserve">alguna de las área señaladas en el inciso c) no estén obligadas a generar </w:t>
      </w:r>
      <w:r w:rsidRPr="005E2ED7">
        <w:rPr>
          <w:rFonts w:ascii="Palatino Linotype" w:eastAsia="Palatino Linotype" w:hAnsi="Palatino Linotype" w:cs="Palatino Linotype"/>
          <w:sz w:val="24"/>
        </w:rPr>
        <w:t>la información que se ordena basta</w:t>
      </w:r>
      <w:r w:rsidR="001A4124" w:rsidRPr="005E2ED7">
        <w:rPr>
          <w:rFonts w:ascii="Palatino Linotype" w:eastAsia="Palatino Linotype" w:hAnsi="Palatino Linotype" w:cs="Palatino Linotype"/>
          <w:sz w:val="24"/>
        </w:rPr>
        <w:t>rá que así se lo haga saber al</w:t>
      </w:r>
      <w:r w:rsidRPr="005E2ED7">
        <w:rPr>
          <w:rFonts w:ascii="Palatino Linotype" w:eastAsia="Palatino Linotype" w:hAnsi="Palatino Linotype" w:cs="Palatino Linotype"/>
          <w:sz w:val="24"/>
        </w:rPr>
        <w:t xml:space="preserve"> </w:t>
      </w:r>
      <w:r w:rsidRPr="005E2ED7">
        <w:rPr>
          <w:rFonts w:ascii="Palatino Linotype" w:eastAsia="Palatino Linotype" w:hAnsi="Palatino Linotype" w:cs="Palatino Linotype"/>
          <w:b/>
          <w:sz w:val="24"/>
        </w:rPr>
        <w:t>RECURRENTE</w:t>
      </w:r>
      <w:r w:rsidRPr="005E2ED7">
        <w:rPr>
          <w:rFonts w:ascii="Palatino Linotype" w:eastAsia="Palatino Linotype" w:hAnsi="Palatino Linotype" w:cs="Palatino Linotype"/>
          <w:sz w:val="24"/>
        </w:rPr>
        <w:t xml:space="preserve">, </w:t>
      </w:r>
      <w:r w:rsidRPr="005E2ED7">
        <w:rPr>
          <w:rFonts w:ascii="Palatino Linotype" w:eastAsia="Palatino Linotype" w:hAnsi="Palatino Linotype" w:cs="Palatino Linotype"/>
          <w:b/>
          <w:i/>
        </w:rPr>
        <w:t>en términos del segundo párrafo del artículo 19 de la Ley en la materia</w:t>
      </w:r>
      <w:r w:rsidRPr="005E2ED7">
        <w:rPr>
          <w:rFonts w:ascii="Palatino Linotype" w:eastAsia="Palatino Linotype" w:hAnsi="Palatino Linotype" w:cs="Palatino Linotype"/>
          <w:i/>
        </w:rPr>
        <w:t>, para tener por colmado el requerimiento de información.</w:t>
      </w:r>
    </w:p>
    <w:p w:rsidR="00B23E83" w:rsidRPr="005E2ED7" w:rsidRDefault="00B907A0">
      <w:pPr>
        <w:spacing w:after="0" w:line="360" w:lineRule="auto"/>
        <w:jc w:val="both"/>
        <w:rPr>
          <w:rFonts w:ascii="Palatino Linotype" w:eastAsia="Palatino Linotype" w:hAnsi="Palatino Linotype" w:cs="Palatino Linotype"/>
          <w:b/>
          <w:sz w:val="24"/>
          <w:szCs w:val="24"/>
        </w:rPr>
      </w:pPr>
      <w:r w:rsidRPr="005E2ED7">
        <w:rPr>
          <w:rFonts w:ascii="Palatino Linotype" w:eastAsia="Palatino Linotype" w:hAnsi="Palatino Linotype" w:cs="Palatino Linotype"/>
          <w:b/>
          <w:sz w:val="24"/>
          <w:szCs w:val="24"/>
        </w:rPr>
        <w:lastRenderedPageBreak/>
        <w:t xml:space="preserve">TERCERO. Notifíquese, </w:t>
      </w:r>
      <w:r w:rsidRPr="005E2ED7">
        <w:rPr>
          <w:rFonts w:ascii="Palatino Linotype" w:eastAsia="Palatino Linotype" w:hAnsi="Palatino Linotype" w:cs="Palatino Linotype"/>
          <w:sz w:val="24"/>
          <w:szCs w:val="24"/>
        </w:rPr>
        <w:t>vía</w:t>
      </w:r>
      <w:r w:rsidRPr="005E2ED7">
        <w:rPr>
          <w:rFonts w:ascii="Palatino Linotype" w:eastAsia="Palatino Linotype" w:hAnsi="Palatino Linotype" w:cs="Palatino Linotype"/>
          <w:b/>
          <w:sz w:val="24"/>
          <w:szCs w:val="24"/>
        </w:rPr>
        <w:t xml:space="preserve"> SAIMEX, </w:t>
      </w:r>
      <w:r w:rsidRPr="005E2ED7">
        <w:rPr>
          <w:rFonts w:ascii="Palatino Linotype" w:eastAsia="Palatino Linotype" w:hAnsi="Palatino Linotype" w:cs="Palatino Linotype"/>
          <w:sz w:val="24"/>
          <w:szCs w:val="24"/>
        </w:rPr>
        <w:t xml:space="preserve">al Responsable de la Unidad de Transparencia del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5E2ED7">
        <w:rPr>
          <w:rFonts w:ascii="Palatino Linotype" w:eastAsia="Palatino Linotype" w:hAnsi="Palatino Linotype" w:cs="Palatino Linotype"/>
          <w:b/>
          <w:sz w:val="24"/>
          <w:szCs w:val="24"/>
        </w:rPr>
        <w:t>.</w:t>
      </w:r>
    </w:p>
    <w:p w:rsidR="00B23E83" w:rsidRPr="005E2ED7" w:rsidRDefault="00B23E83">
      <w:pPr>
        <w:spacing w:after="0" w:line="360" w:lineRule="auto"/>
        <w:jc w:val="both"/>
        <w:rPr>
          <w:rFonts w:ascii="Palatino Linotype" w:eastAsia="Palatino Linotype" w:hAnsi="Palatino Linotype" w:cs="Palatino Linotype"/>
          <w:b/>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5E2ED7">
        <w:rPr>
          <w:rFonts w:ascii="Palatino Linotype" w:eastAsia="Palatino Linotype" w:hAnsi="Palatino Linotype" w:cs="Palatino Linotype"/>
          <w:b/>
          <w:sz w:val="24"/>
          <w:szCs w:val="24"/>
        </w:rPr>
        <w:t>SUJETO OBLIGADO</w:t>
      </w:r>
      <w:r w:rsidRPr="005E2ED7">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b/>
          <w:sz w:val="24"/>
          <w:szCs w:val="24"/>
        </w:rPr>
        <w:t xml:space="preserve">CUARTO.  Notifíquese, </w:t>
      </w:r>
      <w:r w:rsidRPr="005E2ED7">
        <w:rPr>
          <w:rFonts w:ascii="Palatino Linotype" w:eastAsia="Palatino Linotype" w:hAnsi="Palatino Linotype" w:cs="Palatino Linotype"/>
          <w:sz w:val="24"/>
          <w:szCs w:val="24"/>
        </w:rPr>
        <w:t xml:space="preserve">vía </w:t>
      </w:r>
      <w:r w:rsidRPr="005E2ED7">
        <w:rPr>
          <w:rFonts w:ascii="Palatino Linotype" w:eastAsia="Palatino Linotype" w:hAnsi="Palatino Linotype" w:cs="Palatino Linotype"/>
          <w:b/>
          <w:sz w:val="24"/>
          <w:szCs w:val="24"/>
        </w:rPr>
        <w:t>SAIMEX</w:t>
      </w:r>
      <w:r w:rsidRPr="005E2ED7">
        <w:rPr>
          <w:rFonts w:ascii="Palatino Linotype" w:eastAsia="Palatino Linotype" w:hAnsi="Palatino Linotype" w:cs="Palatino Linotype"/>
          <w:sz w:val="24"/>
          <w:szCs w:val="24"/>
        </w:rPr>
        <w:t xml:space="preserve">, a la parte </w:t>
      </w:r>
      <w:r w:rsidRPr="005E2ED7">
        <w:rPr>
          <w:rFonts w:ascii="Palatino Linotype" w:eastAsia="Palatino Linotype" w:hAnsi="Palatino Linotype" w:cs="Palatino Linotype"/>
          <w:b/>
          <w:sz w:val="24"/>
          <w:szCs w:val="24"/>
        </w:rPr>
        <w:t>RECURRENTE</w:t>
      </w:r>
      <w:r w:rsidRPr="005E2ED7">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B23E83" w:rsidRPr="005E2ED7" w:rsidRDefault="00B23E83">
      <w:pPr>
        <w:pBdr>
          <w:top w:val="nil"/>
          <w:left w:val="nil"/>
          <w:bottom w:val="nil"/>
          <w:right w:val="nil"/>
          <w:between w:val="nil"/>
        </w:pBdr>
        <w:spacing w:after="0" w:line="360" w:lineRule="auto"/>
        <w:ind w:right="-232"/>
        <w:jc w:val="both"/>
        <w:rPr>
          <w:rFonts w:ascii="Palatino Linotype" w:eastAsia="Palatino Linotype" w:hAnsi="Palatino Linotype" w:cs="Palatino Linotype"/>
          <w:sz w:val="24"/>
          <w:szCs w:val="24"/>
        </w:rPr>
      </w:pPr>
    </w:p>
    <w:p w:rsidR="00B23E83" w:rsidRPr="005E2ED7" w:rsidRDefault="00B907A0">
      <w:pPr>
        <w:spacing w:after="0" w:line="360" w:lineRule="auto"/>
        <w:jc w:val="both"/>
        <w:rPr>
          <w:rFonts w:ascii="Palatino Linotype" w:eastAsia="Palatino Linotype" w:hAnsi="Palatino Linotype" w:cs="Palatino Linotype"/>
          <w:sz w:val="24"/>
          <w:szCs w:val="24"/>
        </w:rPr>
      </w:pPr>
      <w:r w:rsidRPr="005E2ED7">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w:t>
      </w:r>
      <w:r w:rsidRPr="005E2ED7">
        <w:rPr>
          <w:rFonts w:ascii="Palatino Linotype" w:eastAsia="Palatino Linotype" w:hAnsi="Palatino Linotype" w:cs="Palatino Linotype"/>
          <w:sz w:val="24"/>
          <w:szCs w:val="24"/>
        </w:rPr>
        <w:lastRenderedPageBreak/>
        <w:t>VILCHIS, MARÍA DEL ROSARIO MEJÍA AYALA, SHARON CRISTINA MORALES MARTÍNEZ, LUIS GUSTAVO PARRA NORIEGA Y GUADALUPE RAMÍREZ PEÑA; EN LA TRIGÉSIMA QUINTA SESIÓN ORDINARIA CELEBRADA EL VEINTIOCHO DE SEPTIEMBRE DOS MIL VEINTIDÓS, ANTE EL SECRETARIO TÉCNICO DEL PLENO ALEXIS TAPIA RAMÍREZ.</w:t>
      </w:r>
    </w:p>
    <w:p w:rsidR="00B23E83" w:rsidRPr="005E2ED7" w:rsidRDefault="00B23E83">
      <w:pPr>
        <w:spacing w:after="0" w:line="360" w:lineRule="auto"/>
        <w:jc w:val="both"/>
        <w:rPr>
          <w:rFonts w:ascii="Palatino Linotype" w:eastAsia="Palatino Linotype" w:hAnsi="Palatino Linotype" w:cs="Palatino Linotype"/>
          <w:sz w:val="24"/>
          <w:szCs w:val="24"/>
        </w:rPr>
      </w:pPr>
    </w:p>
    <w:p w:rsidR="00B23E83" w:rsidRPr="005E2ED7" w:rsidRDefault="00B23E83"/>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p w:rsidR="00B05B70" w:rsidRPr="005E2ED7" w:rsidRDefault="00B05B70"/>
    <w:sectPr w:rsidR="00B05B70" w:rsidRPr="005E2ED7">
      <w:headerReference w:type="default" r:id="rId46"/>
      <w:footerReference w:type="default" r:id="rId47"/>
      <w:headerReference w:type="first" r:id="rId48"/>
      <w:footerReference w:type="first" r:id="rId4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BD2" w:rsidRDefault="00ED7BD2">
      <w:pPr>
        <w:spacing w:after="0" w:line="240" w:lineRule="auto"/>
      </w:pPr>
      <w:r>
        <w:separator/>
      </w:r>
    </w:p>
  </w:endnote>
  <w:endnote w:type="continuationSeparator" w:id="0">
    <w:p w:rsidR="00ED7BD2" w:rsidRDefault="00ED7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BD2" w:rsidRDefault="00ED7BD2">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40251">
      <w:rPr>
        <w:rFonts w:ascii="Arial" w:eastAsia="Arial" w:hAnsi="Arial" w:cs="Arial"/>
        <w:b/>
        <w:noProof/>
        <w:color w:val="000000"/>
        <w:sz w:val="20"/>
        <w:szCs w:val="20"/>
      </w:rPr>
      <w:t>115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40251">
      <w:rPr>
        <w:rFonts w:ascii="Arial" w:eastAsia="Arial" w:hAnsi="Arial" w:cs="Arial"/>
        <w:b/>
        <w:noProof/>
        <w:color w:val="000000"/>
        <w:sz w:val="20"/>
        <w:szCs w:val="20"/>
      </w:rPr>
      <w:t>118</w:t>
    </w:r>
    <w:r>
      <w:rPr>
        <w:rFonts w:ascii="Arial" w:eastAsia="Arial" w:hAnsi="Arial" w:cs="Arial"/>
        <w:b/>
        <w:color w:val="000000"/>
        <w:sz w:val="20"/>
        <w:szCs w:val="20"/>
      </w:rPr>
      <w:fldChar w:fldCharType="end"/>
    </w:r>
  </w:p>
  <w:p w:rsidR="00ED7BD2" w:rsidRDefault="00ED7BD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BD2" w:rsidRDefault="00ED7BD2">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4025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40251">
      <w:rPr>
        <w:rFonts w:ascii="Arial" w:eastAsia="Arial" w:hAnsi="Arial" w:cs="Arial"/>
        <w:b/>
        <w:noProof/>
        <w:color w:val="000000"/>
        <w:sz w:val="20"/>
        <w:szCs w:val="20"/>
      </w:rPr>
      <w:t>118</w:t>
    </w:r>
    <w:r>
      <w:rPr>
        <w:rFonts w:ascii="Arial" w:eastAsia="Arial" w:hAnsi="Arial" w:cs="Arial"/>
        <w:b/>
        <w:color w:val="000000"/>
        <w:sz w:val="20"/>
        <w:szCs w:val="20"/>
      </w:rPr>
      <w:fldChar w:fldCharType="end"/>
    </w:r>
  </w:p>
  <w:p w:rsidR="00ED7BD2" w:rsidRDefault="00ED7BD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BD2" w:rsidRDefault="00ED7BD2">
      <w:pPr>
        <w:spacing w:after="0" w:line="240" w:lineRule="auto"/>
      </w:pPr>
      <w:r>
        <w:separator/>
      </w:r>
    </w:p>
  </w:footnote>
  <w:footnote w:type="continuationSeparator" w:id="0">
    <w:p w:rsidR="00ED7BD2" w:rsidRDefault="00ED7BD2">
      <w:pPr>
        <w:spacing w:after="0" w:line="240" w:lineRule="auto"/>
      </w:pPr>
      <w:r>
        <w:continuationSeparator/>
      </w:r>
    </w:p>
  </w:footnote>
  <w:footnote w:id="1">
    <w:p w:rsidR="00ED7BD2" w:rsidRDefault="00ED7BD2">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ED7BD2" w:rsidRDefault="00ED7BD2">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ED7BD2" w:rsidRDefault="00ED7BD2">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rsidR="00ED7BD2" w:rsidRDefault="00ED7BD2">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i/>
          <w:color w:val="000000"/>
          <w:sz w:val="16"/>
          <w:szCs w:val="16"/>
        </w:rPr>
        <w:t>"INFORMACIÓN PÚBLICA. ES AQUELLA QUE SE ENCUENTRA EN POSESIÓN DE CUALQUIER AUTORIDAD, ENTIDAD, ÓRGANO Y ORGANISMO FEDERAL, ESTATAL Y MUNICIPAL, SIEMPRE QUE SE HAYA OBTENIDO POR CAUSA DEL EJERCICIO DE FUNCIONES DE DERECHO PÚBLICO.</w:t>
      </w:r>
      <w:r>
        <w:rPr>
          <w:rFonts w:ascii="Palatino Linotype" w:eastAsia="Palatino Linotype" w:hAnsi="Palatino Linotype" w:cs="Palatino Linotype"/>
          <w:i/>
          <w:color w:val="000000"/>
          <w:sz w:val="16"/>
          <w:szCs w:val="16"/>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w:t>
      </w:r>
    </w:p>
  </w:footnote>
  <w:footnote w:id="3">
    <w:p w:rsidR="00ED7BD2" w:rsidRDefault="00ED7BD2">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91. El acceso a la información pública será restringido excepcionalmente, cuando ésta sea clasificada como reservada o confidencial.</w:t>
      </w:r>
    </w:p>
  </w:footnote>
  <w:footnote w:id="4">
    <w:p w:rsidR="00ED7BD2" w:rsidRDefault="00ED7BD2">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 en el Diario Oficial de la Federación el 15 de abril de 2016.</w:t>
      </w:r>
    </w:p>
  </w:footnote>
  <w:footnote w:id="5">
    <w:p w:rsidR="00ED7BD2" w:rsidRDefault="00ED7BD2">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Isabel Davara F. de Marcos (Coordinadora), “Diccionario de Protección de Datos Personales. Conceptos fundamentales”. INAI. México 2019. Páginas 828 y 829.</w:t>
      </w:r>
    </w:p>
    <w:p w:rsidR="00ED7BD2" w:rsidRDefault="00ED7BD2">
      <w:p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rsidR="00ED7BD2" w:rsidRDefault="00ED7BD2">
      <w:p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Así, desde la perspectiva de la protección de datos personales, la situación de emergencia se presenta como un fundamento para el tratamiento de los datos personales </w:t>
      </w:r>
      <w:r>
        <w:rPr>
          <w:rFonts w:ascii="Palatino Linotype" w:eastAsia="Palatino Linotype" w:hAnsi="Palatino Linotype" w:cs="Palatino Linotype"/>
          <w:color w:val="000000"/>
          <w:sz w:val="16"/>
          <w:szCs w:val="16"/>
          <w:u w:val="single"/>
        </w:rPr>
        <w:t>para hacer frente a contingencias</w:t>
      </w:r>
      <w:r>
        <w:rPr>
          <w:rFonts w:ascii="Palatino Linotype" w:eastAsia="Palatino Linotype" w:hAnsi="Palatino Linotype" w:cs="Palatino Linotype"/>
          <w:color w:val="000000"/>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 la información es fundamental para atender las contingencias y proteger los derechos de los titulares y/o de terceras personas.”</w:t>
      </w:r>
    </w:p>
  </w:footnote>
  <w:footnote w:id="6">
    <w:p w:rsidR="00ED7BD2" w:rsidRDefault="00ED7BD2">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Isabel Davara F. de Marcos (Coordinadora), “Diccionario de Protección de Datos Personales. Conceptos fundamentales”. INAI. México 2019. Páginas 828 y 829.</w:t>
      </w:r>
    </w:p>
    <w:p w:rsidR="00ED7BD2" w:rsidRDefault="00ED7BD2">
      <w:p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rsidR="00ED7BD2" w:rsidRDefault="00ED7BD2">
      <w:p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Así, desde la perspectiva de la protección de datos personales, la situación de emergencia se presenta como un fundamento para el tratamiento de los datos personales </w:t>
      </w:r>
      <w:r>
        <w:rPr>
          <w:rFonts w:ascii="Palatino Linotype" w:eastAsia="Palatino Linotype" w:hAnsi="Palatino Linotype" w:cs="Palatino Linotype"/>
          <w:color w:val="000000"/>
          <w:sz w:val="16"/>
          <w:szCs w:val="16"/>
          <w:u w:val="single"/>
        </w:rPr>
        <w:t>para hacer frente a contingencias</w:t>
      </w:r>
      <w:r>
        <w:rPr>
          <w:rFonts w:ascii="Palatino Linotype" w:eastAsia="Palatino Linotype" w:hAnsi="Palatino Linotype" w:cs="Palatino Linotype"/>
          <w:color w:val="000000"/>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 la información es fundamental para atender las contingencias y proteger los derechos de los titulares y/o de terceras personas.”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BD2" w:rsidRDefault="00ED7BD2">
    <w:pPr>
      <w:widowControl w:val="0"/>
      <w:pBdr>
        <w:top w:val="nil"/>
        <w:left w:val="nil"/>
        <w:bottom w:val="nil"/>
        <w:right w:val="nil"/>
        <w:between w:val="nil"/>
      </w:pBdr>
      <w:spacing w:after="0" w:line="276" w:lineRule="auto"/>
      <w:rPr>
        <w:color w:val="000000"/>
      </w:rPr>
    </w:pPr>
  </w:p>
  <w:tbl>
    <w:tblPr>
      <w:tblStyle w:val="ac"/>
      <w:tblW w:w="10539" w:type="dxa"/>
      <w:tblInd w:w="-1281" w:type="dxa"/>
      <w:tblLayout w:type="fixed"/>
      <w:tblLook w:val="0400" w:firstRow="0" w:lastRow="0" w:firstColumn="0" w:lastColumn="0" w:noHBand="0" w:noVBand="1"/>
    </w:tblPr>
    <w:tblGrid>
      <w:gridCol w:w="5493"/>
      <w:gridCol w:w="5046"/>
    </w:tblGrid>
    <w:tr w:rsidR="00ED7BD2">
      <w:trPr>
        <w:trHeight w:val="235"/>
      </w:trPr>
      <w:tc>
        <w:tcPr>
          <w:tcW w:w="5493" w:type="dxa"/>
        </w:tcPr>
        <w:p w:rsidR="00ED7BD2" w:rsidRDefault="00ED7BD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5046" w:type="dxa"/>
        </w:tcPr>
        <w:p w:rsidR="00ED7BD2" w:rsidRDefault="00ED7BD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05614/INFOEM/IP/RR/2022</w:t>
          </w:r>
        </w:p>
      </w:tc>
    </w:tr>
    <w:tr w:rsidR="00ED7BD2">
      <w:trPr>
        <w:trHeight w:val="202"/>
      </w:trPr>
      <w:tc>
        <w:tcPr>
          <w:tcW w:w="5493" w:type="dxa"/>
        </w:tcPr>
        <w:p w:rsidR="00ED7BD2" w:rsidRDefault="00ED7BD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5046" w:type="dxa"/>
        </w:tcPr>
        <w:p w:rsidR="00ED7BD2" w:rsidRDefault="00ED7BD2">
          <w:pPr>
            <w:spacing w:after="120"/>
            <w:ind w:left="-486" w:right="214" w:firstLine="567"/>
            <w:jc w:val="right"/>
            <w:rPr>
              <w:rFonts w:ascii="Palatino Linotype" w:eastAsia="Palatino Linotype" w:hAnsi="Palatino Linotype" w:cs="Palatino Linotype"/>
              <w:sz w:val="24"/>
              <w:szCs w:val="24"/>
            </w:rPr>
          </w:pPr>
        </w:p>
      </w:tc>
    </w:tr>
    <w:tr w:rsidR="00ED7BD2">
      <w:trPr>
        <w:trHeight w:val="252"/>
      </w:trPr>
      <w:tc>
        <w:tcPr>
          <w:tcW w:w="5493" w:type="dxa"/>
        </w:tcPr>
        <w:p w:rsidR="00ED7BD2" w:rsidRDefault="00ED7BD2">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5046" w:type="dxa"/>
        </w:tcPr>
        <w:p w:rsidR="00ED7BD2" w:rsidRDefault="00ED7BD2">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Tlalnepantla de Baz</w:t>
          </w:r>
        </w:p>
      </w:tc>
    </w:tr>
    <w:tr w:rsidR="00ED7BD2">
      <w:trPr>
        <w:trHeight w:val="356"/>
      </w:trPr>
      <w:tc>
        <w:tcPr>
          <w:tcW w:w="5493" w:type="dxa"/>
        </w:tcPr>
        <w:p w:rsidR="00ED7BD2" w:rsidRDefault="00ED7BD2">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5046" w:type="dxa"/>
        </w:tcPr>
        <w:p w:rsidR="00ED7BD2" w:rsidRDefault="00ED7BD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ED7BD2" w:rsidRDefault="00ED7BD2">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-817244</wp:posOffset>
          </wp:positionH>
          <wp:positionV relativeFrom="paragraph">
            <wp:posOffset>-1511934</wp:posOffset>
          </wp:positionV>
          <wp:extent cx="7753350" cy="9942731"/>
          <wp:effectExtent l="0" t="0" r="0" b="0"/>
          <wp:wrapNone/>
          <wp:docPr id="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BD2" w:rsidRDefault="00ED7BD2">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b"/>
      <w:tblW w:w="10539" w:type="dxa"/>
      <w:tblInd w:w="-1281" w:type="dxa"/>
      <w:tblLayout w:type="fixed"/>
      <w:tblLook w:val="0400" w:firstRow="0" w:lastRow="0" w:firstColumn="0" w:lastColumn="0" w:noHBand="0" w:noVBand="1"/>
    </w:tblPr>
    <w:tblGrid>
      <w:gridCol w:w="5493"/>
      <w:gridCol w:w="5046"/>
    </w:tblGrid>
    <w:tr w:rsidR="00ED7BD2">
      <w:trPr>
        <w:trHeight w:val="235"/>
      </w:trPr>
      <w:tc>
        <w:tcPr>
          <w:tcW w:w="5493" w:type="dxa"/>
        </w:tcPr>
        <w:p w:rsidR="00ED7BD2" w:rsidRDefault="00ED7BD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5046" w:type="dxa"/>
        </w:tcPr>
        <w:p w:rsidR="00ED7BD2" w:rsidRDefault="00ED7BD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05614/INFOEM/IP/RR/2022</w:t>
          </w:r>
        </w:p>
      </w:tc>
    </w:tr>
    <w:tr w:rsidR="00ED7BD2">
      <w:trPr>
        <w:trHeight w:val="202"/>
      </w:trPr>
      <w:tc>
        <w:tcPr>
          <w:tcW w:w="5493" w:type="dxa"/>
        </w:tcPr>
        <w:p w:rsidR="00ED7BD2" w:rsidRDefault="00ED7BD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5046" w:type="dxa"/>
        </w:tcPr>
        <w:p w:rsidR="00ED7BD2" w:rsidRDefault="00ED7BD2" w:rsidP="00ED7BD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XXXXXXXX XXXXXXXX XXXXXXXXXXXX.</w:t>
          </w:r>
        </w:p>
      </w:tc>
    </w:tr>
    <w:tr w:rsidR="00ED7BD2">
      <w:trPr>
        <w:trHeight w:val="252"/>
      </w:trPr>
      <w:tc>
        <w:tcPr>
          <w:tcW w:w="5493" w:type="dxa"/>
        </w:tcPr>
        <w:p w:rsidR="00ED7BD2" w:rsidRDefault="00ED7BD2">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5046" w:type="dxa"/>
        </w:tcPr>
        <w:p w:rsidR="00ED7BD2" w:rsidRDefault="00ED7BD2">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Tlalnepantla de Baz</w:t>
          </w:r>
        </w:p>
      </w:tc>
    </w:tr>
    <w:tr w:rsidR="00ED7BD2">
      <w:trPr>
        <w:trHeight w:val="356"/>
      </w:trPr>
      <w:tc>
        <w:tcPr>
          <w:tcW w:w="5493" w:type="dxa"/>
        </w:tcPr>
        <w:p w:rsidR="00ED7BD2" w:rsidRDefault="00ED7BD2">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5046" w:type="dxa"/>
        </w:tcPr>
        <w:p w:rsidR="00ED7BD2" w:rsidRDefault="00ED7BD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ED7BD2" w:rsidRDefault="00ED7BD2">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-741044</wp:posOffset>
          </wp:positionH>
          <wp:positionV relativeFrom="paragraph">
            <wp:posOffset>-1704974</wp:posOffset>
          </wp:positionV>
          <wp:extent cx="7753350" cy="9942731"/>
          <wp:effectExtent l="0" t="0" r="0" b="0"/>
          <wp:wrapNone/>
          <wp:docPr id="1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C1C47"/>
    <w:multiLevelType w:val="multilevel"/>
    <w:tmpl w:val="1A32655E"/>
    <w:lvl w:ilvl="0">
      <w:start w:val="3"/>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D92914"/>
    <w:multiLevelType w:val="multilevel"/>
    <w:tmpl w:val="3C10A79C"/>
    <w:lvl w:ilvl="0">
      <w:start w:val="1"/>
      <w:numFmt w:val="lowerLetter"/>
      <w:lvlText w:val="%1)"/>
      <w:lvlJc w:val="left"/>
      <w:pPr>
        <w:ind w:left="720" w:hanging="360"/>
      </w:pPr>
      <w:rPr>
        <w:rFonts w:ascii="Palatino Linotype" w:eastAsia="Palatino Linotype" w:hAnsi="Palatino Linotype" w:cs="Palatino Linotype"/>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4F596D"/>
    <w:multiLevelType w:val="multilevel"/>
    <w:tmpl w:val="D996CE1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D94DC9"/>
    <w:multiLevelType w:val="multilevel"/>
    <w:tmpl w:val="C7907C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AF4E11"/>
    <w:multiLevelType w:val="multilevel"/>
    <w:tmpl w:val="41F2775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E83"/>
    <w:rsid w:val="00022743"/>
    <w:rsid w:val="001A4124"/>
    <w:rsid w:val="001B5664"/>
    <w:rsid w:val="002D68F3"/>
    <w:rsid w:val="00350032"/>
    <w:rsid w:val="00444EBF"/>
    <w:rsid w:val="0055564A"/>
    <w:rsid w:val="005E2ED7"/>
    <w:rsid w:val="006D06ED"/>
    <w:rsid w:val="00740251"/>
    <w:rsid w:val="007532CA"/>
    <w:rsid w:val="0084687E"/>
    <w:rsid w:val="009761B1"/>
    <w:rsid w:val="00B05B70"/>
    <w:rsid w:val="00B23E83"/>
    <w:rsid w:val="00B907A0"/>
    <w:rsid w:val="00CB5866"/>
    <w:rsid w:val="00ED7BD2"/>
    <w:rsid w:val="00F45A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273F18-682E-43D8-BAF5-18D9D2727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CDF"/>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5036B"/>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15036B"/>
  </w:style>
  <w:style w:type="paragraph" w:styleId="Piedepgina">
    <w:name w:val="footer"/>
    <w:basedOn w:val="Normal"/>
    <w:link w:val="PiedepginaCar"/>
    <w:uiPriority w:val="99"/>
    <w:unhideWhenUsed/>
    <w:rsid w:val="0015036B"/>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15036B"/>
  </w:style>
  <w:style w:type="character" w:styleId="Hipervnculo">
    <w:name w:val="Hyperlink"/>
    <w:basedOn w:val="Fuentedeprrafopredeter"/>
    <w:uiPriority w:val="99"/>
    <w:unhideWhenUsed/>
    <w:rsid w:val="0015036B"/>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5036B"/>
    <w:pPr>
      <w:ind w:left="720"/>
      <w:contextualSpacing/>
    </w:pPr>
  </w:style>
  <w:style w:type="paragraph" w:styleId="Sinespaciado">
    <w:name w:val="No Spacing"/>
    <w:aliases w:val="Francesa,INAI"/>
    <w:link w:val="SinespaciadoCar"/>
    <w:uiPriority w:val="1"/>
    <w:qFormat/>
    <w:rsid w:val="0015036B"/>
    <w:pPr>
      <w:spacing w:after="0" w:line="240" w:lineRule="auto"/>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5036B"/>
    <w:rPr>
      <w:rFonts w:ascii="Calibri" w:eastAsia="Calibri" w:hAnsi="Calibri" w:cs="Calibri"/>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036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036B"/>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5036B"/>
    <w:rPr>
      <w:vertAlign w:val="superscript"/>
    </w:rPr>
  </w:style>
  <w:style w:type="character" w:customStyle="1" w:styleId="Mencinsinresolver1">
    <w:name w:val="Mención sin resolver1"/>
    <w:basedOn w:val="Fuentedeprrafopredeter"/>
    <w:uiPriority w:val="99"/>
    <w:semiHidden/>
    <w:unhideWhenUsed/>
    <w:rsid w:val="00A12344"/>
    <w:rPr>
      <w:color w:val="605E5C"/>
      <w:shd w:val="clear" w:color="auto" w:fill="E1DFDD"/>
    </w:rPr>
  </w:style>
  <w:style w:type="table" w:styleId="Tablaconcuadrcula">
    <w:name w:val="Table Grid"/>
    <w:basedOn w:val="Tablanormal"/>
    <w:uiPriority w:val="39"/>
    <w:rsid w:val="00FB0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500B4B"/>
    <w:rPr>
      <w:rFonts w:ascii="Calibri" w:eastAsia="Calibri" w:hAnsi="Calibri" w:cs="Calibri"/>
      <w:lang w:eastAsia="es-MX"/>
    </w:rPr>
  </w:style>
  <w:style w:type="paragraph" w:styleId="Textodeglobo">
    <w:name w:val="Balloon Text"/>
    <w:basedOn w:val="Normal"/>
    <w:link w:val="TextodegloboCar"/>
    <w:uiPriority w:val="99"/>
    <w:semiHidden/>
    <w:unhideWhenUsed/>
    <w:rsid w:val="00F709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09B6"/>
    <w:rPr>
      <w:rFonts w:ascii="Segoe UI" w:eastAsia="Calibri" w:hAnsi="Segoe UI" w:cs="Segoe UI"/>
      <w:sz w:val="18"/>
      <w:szCs w:val="18"/>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inafed.gob.mx/work/models/inafed/Resource/335/1/images/guia09_la_administracion_del_personal_municipal.pdf" TargetMode="Externa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s://saimex.org.mx/saimex/solicitud/downloadAttach/1565397.pag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hyperlink" Target="https://saimex.org.mx/saimex/solicitud/downloadAttach/1397393.page"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v5rP6gUsMOUlvfPmCZdCdbef8Q==">AMUW2mURRLMA7aWLzfXkc3IQddPn5F/PEirmJ/Kn1Es8+fSB0bLhYGRaMrAHHFhjQEXdbUEa80ibC+ly4+dySAGXgNcsL5UjMTqqPOpwZzlLh87W9Q7vopVSLu08unj2uSib6S4RvUGOHcRMSLOcgeGzijAIQsP/4yr0Fz1ahpFLjocjb+rTT4iKJmCunGBoqUTNZGHRTo4F+rk2np0tH2bn86KWYB1od20ajvr1s5f5nAr+IqdXevo=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21174</Words>
  <Characters>116457</Characters>
  <Application>Microsoft Office Word</Application>
  <DocSecurity>0</DocSecurity>
  <Lines>970</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RENDON GARCIA</dc:creator>
  <cp:lastModifiedBy>USUARIO</cp:lastModifiedBy>
  <cp:revision>2</cp:revision>
  <dcterms:created xsi:type="dcterms:W3CDTF">2022-10-04T22:17:00Z</dcterms:created>
  <dcterms:modified xsi:type="dcterms:W3CDTF">2022-10-04T22:17:00Z</dcterms:modified>
</cp:coreProperties>
</file>