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w:t>
      </w:r>
      <w:r w:rsidR="0017004B" w:rsidRPr="00900C42">
        <w:rPr>
          <w:rFonts w:ascii="Palatino Linotype" w:eastAsia="Palatino Linotype" w:hAnsi="Palatino Linotype" w:cs="Palatino Linotype"/>
        </w:rPr>
        <w:t>e México, celebrada el veintiocho</w:t>
      </w:r>
      <w:r w:rsidRPr="00900C42">
        <w:rPr>
          <w:rFonts w:ascii="Palatino Linotype" w:eastAsia="Palatino Linotype" w:hAnsi="Palatino Linotype" w:cs="Palatino Linotype"/>
        </w:rPr>
        <w:t xml:space="preserve"> de septiembre de dos mil veintidós. </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b/>
          <w:sz w:val="28"/>
          <w:szCs w:val="28"/>
        </w:rPr>
        <w:t>VISTO</w:t>
      </w:r>
      <w:r w:rsidRPr="00900C42">
        <w:rPr>
          <w:rFonts w:ascii="Palatino Linotype" w:eastAsia="Palatino Linotype" w:hAnsi="Palatino Linotype" w:cs="Palatino Linotype"/>
        </w:rPr>
        <w:t xml:space="preserve"> el expediente formado con motivo del Recurso de Revisión </w:t>
      </w:r>
      <w:r w:rsidRPr="00900C42">
        <w:rPr>
          <w:rFonts w:ascii="Palatino Linotype" w:eastAsia="Palatino Linotype" w:hAnsi="Palatino Linotype" w:cs="Palatino Linotype"/>
          <w:b/>
        </w:rPr>
        <w:t xml:space="preserve">10457/INFOEM/IP/RR/2022, </w:t>
      </w:r>
      <w:r w:rsidRPr="00900C42">
        <w:rPr>
          <w:rFonts w:ascii="Palatino Linotype" w:eastAsia="Palatino Linotype" w:hAnsi="Palatino Linotype" w:cs="Palatino Linotype"/>
        </w:rPr>
        <w:t xml:space="preserve">promovido por la </w:t>
      </w:r>
      <w:r w:rsidRPr="00900C42">
        <w:rPr>
          <w:rFonts w:ascii="Palatino Linotype" w:eastAsia="Palatino Linotype" w:hAnsi="Palatino Linotype" w:cs="Palatino Linotype"/>
          <w:b/>
        </w:rPr>
        <w:t xml:space="preserve">C. </w:t>
      </w:r>
      <w:r w:rsidR="0066176E">
        <w:rPr>
          <w:rFonts w:ascii="Palatino Linotype" w:eastAsia="Palatino Linotype" w:hAnsi="Palatino Linotype" w:cs="Palatino Linotype"/>
          <w:b/>
        </w:rPr>
        <w:t>XXXXXXX XXXXXX XXXXXXXXX</w:t>
      </w:r>
      <w:r w:rsidRPr="00900C42">
        <w:rPr>
          <w:rFonts w:ascii="Palatino Linotype" w:eastAsia="Palatino Linotype" w:hAnsi="Palatino Linotype" w:cs="Palatino Linotype"/>
        </w:rPr>
        <w:t xml:space="preserve">, a quien en lo sucesivo se le denominara como </w:t>
      </w:r>
      <w:r w:rsidRPr="00900C42">
        <w:rPr>
          <w:rFonts w:ascii="Palatino Linotype" w:eastAsia="Palatino Linotype" w:hAnsi="Palatino Linotype" w:cs="Palatino Linotype"/>
          <w:b/>
        </w:rPr>
        <w:t>LA RECURRENTE,</w:t>
      </w:r>
      <w:r w:rsidRPr="00900C42">
        <w:rPr>
          <w:rFonts w:ascii="Palatino Linotype" w:eastAsia="Palatino Linotype" w:hAnsi="Palatino Linotype" w:cs="Palatino Linotype"/>
        </w:rPr>
        <w:t xml:space="preserve"> en contra de la respuesta de la</w:t>
      </w:r>
      <w:r w:rsidRPr="00900C42">
        <w:rPr>
          <w:rFonts w:ascii="Palatino Linotype" w:eastAsia="Palatino Linotype" w:hAnsi="Palatino Linotype" w:cs="Palatino Linotype"/>
          <w:b/>
        </w:rPr>
        <w:t xml:space="preserve"> Secretaría de Desarrollo Urbano y Obra</w:t>
      </w:r>
      <w:r w:rsidRPr="00900C42">
        <w:rPr>
          <w:rFonts w:ascii="Palatino Linotype" w:eastAsia="Palatino Linotype" w:hAnsi="Palatino Linotype" w:cs="Palatino Linotype"/>
        </w:rPr>
        <w:t xml:space="preserve">, en lo subsecuente se le denominará </w:t>
      </w:r>
      <w:r w:rsidRPr="00900C42">
        <w:rPr>
          <w:rFonts w:ascii="Palatino Linotype" w:eastAsia="Palatino Linotype" w:hAnsi="Palatino Linotype" w:cs="Palatino Linotype"/>
          <w:b/>
        </w:rPr>
        <w:t xml:space="preserve">EL SUJETO OBLIGADO, </w:t>
      </w:r>
      <w:r w:rsidRPr="00900C42">
        <w:rPr>
          <w:rFonts w:ascii="Palatino Linotype" w:eastAsia="Palatino Linotype" w:hAnsi="Palatino Linotype" w:cs="Palatino Linotype"/>
        </w:rPr>
        <w:t>se procede a dictar la presente resolución con base en lo siguiente:</w:t>
      </w:r>
    </w:p>
    <w:p w:rsidR="00A04BDC" w:rsidRPr="00900C42" w:rsidRDefault="00A04BDC">
      <w:pPr>
        <w:spacing w:line="360" w:lineRule="auto"/>
        <w:jc w:val="both"/>
        <w:rPr>
          <w:rFonts w:ascii="Palatino Linotype" w:eastAsia="Palatino Linotype" w:hAnsi="Palatino Linotype" w:cs="Palatino Linotype"/>
          <w:b/>
        </w:rPr>
      </w:pPr>
    </w:p>
    <w:p w:rsidR="00A04BDC" w:rsidRPr="00900C42" w:rsidRDefault="00A3635F">
      <w:pPr>
        <w:jc w:val="center"/>
        <w:rPr>
          <w:rFonts w:ascii="Palatino Linotype" w:eastAsia="Palatino Linotype" w:hAnsi="Palatino Linotype" w:cs="Palatino Linotype"/>
          <w:b/>
          <w:sz w:val="28"/>
          <w:szCs w:val="28"/>
        </w:rPr>
      </w:pPr>
      <w:r w:rsidRPr="00900C42">
        <w:rPr>
          <w:rFonts w:ascii="Palatino Linotype" w:eastAsia="Palatino Linotype" w:hAnsi="Palatino Linotype" w:cs="Palatino Linotype"/>
          <w:b/>
          <w:sz w:val="28"/>
          <w:szCs w:val="28"/>
        </w:rPr>
        <w:t>ANTECEDENTES</w:t>
      </w:r>
    </w:p>
    <w:p w:rsidR="00A04BDC" w:rsidRPr="00900C42" w:rsidRDefault="00A04BDC">
      <w:pPr>
        <w:rPr>
          <w:rFonts w:ascii="Palatino Linotype" w:eastAsia="Palatino Linotype" w:hAnsi="Palatino Linotype" w:cs="Palatino Linotype"/>
          <w:b/>
        </w:rPr>
      </w:pPr>
    </w:p>
    <w:p w:rsidR="00A04BDC" w:rsidRPr="00900C42" w:rsidRDefault="00A3635F">
      <w:pPr>
        <w:spacing w:line="360" w:lineRule="auto"/>
        <w:jc w:val="both"/>
        <w:rPr>
          <w:rFonts w:ascii="Palatino Linotype" w:eastAsia="Palatino Linotype" w:hAnsi="Palatino Linotype" w:cs="Palatino Linotype"/>
          <w:b/>
          <w:sz w:val="28"/>
          <w:szCs w:val="28"/>
        </w:rPr>
      </w:pPr>
      <w:r w:rsidRPr="00900C42">
        <w:rPr>
          <w:rFonts w:ascii="Palatino Linotype" w:eastAsia="Palatino Linotype" w:hAnsi="Palatino Linotype" w:cs="Palatino Linotype"/>
          <w:b/>
          <w:sz w:val="28"/>
          <w:szCs w:val="28"/>
        </w:rPr>
        <w:t>I.</w:t>
      </w:r>
      <w:r w:rsidRPr="00900C42">
        <w:rPr>
          <w:rFonts w:ascii="Palatino Linotype" w:eastAsia="Palatino Linotype" w:hAnsi="Palatino Linotype" w:cs="Palatino Linotype"/>
          <w:b/>
        </w:rPr>
        <w:t xml:space="preserve"> </w:t>
      </w:r>
      <w:r w:rsidRPr="00900C42">
        <w:rPr>
          <w:rFonts w:ascii="Palatino Linotype" w:eastAsia="Palatino Linotype" w:hAnsi="Palatino Linotype" w:cs="Palatino Linotype"/>
          <w:b/>
          <w:sz w:val="28"/>
          <w:szCs w:val="28"/>
        </w:rPr>
        <w:t>De la Solicitud de Información</w:t>
      </w:r>
    </w:p>
    <w:p w:rsidR="00A04BDC" w:rsidRPr="00900C42" w:rsidRDefault="00A3635F">
      <w:pPr>
        <w:spacing w:line="360" w:lineRule="auto"/>
        <w:jc w:val="both"/>
        <w:rPr>
          <w:rFonts w:ascii="Palatino Linotype" w:eastAsia="Palatino Linotype" w:hAnsi="Palatino Linotype" w:cs="Palatino Linotype"/>
        </w:rPr>
      </w:pPr>
      <w:bookmarkStart w:id="0" w:name="_heading=h.ifuj3wtxm21l" w:colFirst="0" w:colLast="0"/>
      <w:bookmarkEnd w:id="0"/>
      <w:r w:rsidRPr="00900C42">
        <w:rPr>
          <w:rFonts w:ascii="Palatino Linotype" w:eastAsia="Palatino Linotype" w:hAnsi="Palatino Linotype" w:cs="Palatino Linotype"/>
        </w:rPr>
        <w:t xml:space="preserve">En fecha </w:t>
      </w:r>
      <w:r w:rsidRPr="00900C42">
        <w:rPr>
          <w:rFonts w:ascii="Palatino Linotype" w:eastAsia="Palatino Linotype" w:hAnsi="Palatino Linotype" w:cs="Palatino Linotype"/>
          <w:b/>
        </w:rPr>
        <w:t>cuatro de mayo de dos mil veintidós</w:t>
      </w:r>
      <w:r w:rsidRPr="00900C42">
        <w:rPr>
          <w:rFonts w:ascii="Palatino Linotype" w:eastAsia="Palatino Linotype" w:hAnsi="Palatino Linotype" w:cs="Palatino Linotype"/>
        </w:rPr>
        <w:t xml:space="preserve">, </w:t>
      </w:r>
      <w:r w:rsidRPr="00900C42">
        <w:rPr>
          <w:rFonts w:ascii="Palatino Linotype" w:eastAsia="Palatino Linotype" w:hAnsi="Palatino Linotype" w:cs="Palatino Linotype"/>
          <w:b/>
        </w:rPr>
        <w:t>LA RECURRENTE</w:t>
      </w:r>
      <w:r w:rsidRPr="00900C42">
        <w:rPr>
          <w:rFonts w:ascii="Palatino Linotype" w:eastAsia="Palatino Linotype" w:hAnsi="Palatino Linotype" w:cs="Palatino Linotype"/>
        </w:rPr>
        <w:t xml:space="preserve"> presentó a través del Sistema de Acceso a la Información Mexiquense, en lo subsecuente </w:t>
      </w:r>
      <w:r w:rsidRPr="00900C42">
        <w:rPr>
          <w:rFonts w:ascii="Palatino Linotype" w:eastAsia="Palatino Linotype" w:hAnsi="Palatino Linotype" w:cs="Palatino Linotype"/>
          <w:b/>
        </w:rPr>
        <w:t>EL SAIMEX</w:t>
      </w:r>
      <w:r w:rsidRPr="00900C42">
        <w:rPr>
          <w:rFonts w:ascii="Palatino Linotype" w:eastAsia="Palatino Linotype" w:hAnsi="Palatino Linotype" w:cs="Palatino Linotype"/>
        </w:rPr>
        <w:t xml:space="preserve"> ante </w:t>
      </w:r>
      <w:r w:rsidRPr="00900C42">
        <w:rPr>
          <w:rFonts w:ascii="Palatino Linotype" w:eastAsia="Palatino Linotype" w:hAnsi="Palatino Linotype" w:cs="Palatino Linotype"/>
          <w:b/>
        </w:rPr>
        <w:t>EL SUJETO OBLIGADO</w:t>
      </w:r>
      <w:r w:rsidRPr="00900C42">
        <w:rPr>
          <w:rFonts w:ascii="Palatino Linotype" w:eastAsia="Palatino Linotype" w:hAnsi="Palatino Linotype" w:cs="Palatino Linotype"/>
        </w:rPr>
        <w:t xml:space="preserve">, la solicitud de acceso a la información pública, a la que se le asignó el número de expediente </w:t>
      </w:r>
      <w:r w:rsidRPr="00900C42">
        <w:rPr>
          <w:rFonts w:ascii="Palatino Linotype" w:eastAsia="Palatino Linotype" w:hAnsi="Palatino Linotype" w:cs="Palatino Linotype"/>
          <w:b/>
        </w:rPr>
        <w:t xml:space="preserve">00186/SEDUO/IP/2022, </w:t>
      </w:r>
      <w:r w:rsidRPr="00900C42">
        <w:rPr>
          <w:rFonts w:ascii="Palatino Linotype" w:eastAsia="Palatino Linotype" w:hAnsi="Palatino Linotype" w:cs="Palatino Linotype"/>
        </w:rPr>
        <w:t>requirió, lo siguiente:</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“¿ESTÁ MUNICIPALIZADO EL CONJUNTO URBANO PORTOFINO ROYAL COUNTRY CLUB? UBICADO EN LA COLONIA AGRÍCOLA </w:t>
      </w:r>
      <w:r w:rsidRPr="00900C42">
        <w:rPr>
          <w:rFonts w:ascii="Palatino Linotype" w:eastAsia="Palatino Linotype" w:hAnsi="Palatino Linotype" w:cs="Palatino Linotype"/>
          <w:i/>
          <w:sz w:val="22"/>
          <w:szCs w:val="22"/>
        </w:rPr>
        <w:lastRenderedPageBreak/>
        <w:t>BELLAVISTA, METEPEC, ESTADO DE MÉXICO, EL CUAL FUE AUTORIZADO EL 03 DE FEBRERO DE 2015 Y PUBLICADO EN LA GACETA DEL GOBIERNO DEL ESTADO DE MÉXICO EL 12 DE FEBRERO DE 2015. SI LA RESPUESTA ES POSITIVA ¿EN QUÉ FECHA SE REALIZÓ?” (sic)</w:t>
      </w:r>
    </w:p>
    <w:p w:rsidR="00A04BDC" w:rsidRPr="00900C42" w:rsidRDefault="00A04BDC">
      <w:pPr>
        <w:tabs>
          <w:tab w:val="left" w:pos="851"/>
        </w:tabs>
        <w:ind w:right="901"/>
        <w:jc w:val="both"/>
        <w:rPr>
          <w:rFonts w:ascii="Palatino Linotype" w:eastAsia="Palatino Linotype" w:hAnsi="Palatino Linotype" w:cs="Palatino Linotype"/>
          <w:sz w:val="22"/>
          <w:szCs w:val="22"/>
        </w:rPr>
      </w:pPr>
    </w:p>
    <w:p w:rsidR="00A04BDC" w:rsidRPr="00900C42" w:rsidRDefault="00A04BDC">
      <w:pPr>
        <w:widowControl w:val="0"/>
        <w:spacing w:line="360" w:lineRule="auto"/>
        <w:jc w:val="both"/>
        <w:rPr>
          <w:rFonts w:ascii="Palatino Linotype" w:eastAsia="Palatino Linotype" w:hAnsi="Palatino Linotype" w:cs="Palatino Linotype"/>
          <w:b/>
        </w:rPr>
      </w:pPr>
    </w:p>
    <w:p w:rsidR="00A04BDC" w:rsidRPr="00900C42" w:rsidRDefault="00A3635F">
      <w:pPr>
        <w:widowControl w:val="0"/>
        <w:spacing w:line="360" w:lineRule="auto"/>
        <w:jc w:val="both"/>
        <w:rPr>
          <w:rFonts w:ascii="Palatino Linotype" w:eastAsia="Palatino Linotype" w:hAnsi="Palatino Linotype" w:cs="Palatino Linotype"/>
          <w:b/>
        </w:rPr>
      </w:pPr>
      <w:r w:rsidRPr="00900C42">
        <w:rPr>
          <w:rFonts w:ascii="Palatino Linotype" w:eastAsia="Palatino Linotype" w:hAnsi="Palatino Linotype" w:cs="Palatino Linotype"/>
          <w:b/>
        </w:rPr>
        <w:t xml:space="preserve">MODALIDAD DE ENTREGA: </w:t>
      </w:r>
      <w:r w:rsidRPr="00900C42">
        <w:rPr>
          <w:rFonts w:ascii="Palatino Linotype" w:eastAsia="Palatino Linotype" w:hAnsi="Palatino Linotype" w:cs="Palatino Linotype"/>
        </w:rPr>
        <w:t xml:space="preserve">Vía </w:t>
      </w:r>
      <w:r w:rsidRPr="00900C42">
        <w:rPr>
          <w:rFonts w:ascii="Palatino Linotype" w:eastAsia="Palatino Linotype" w:hAnsi="Palatino Linotype" w:cs="Palatino Linotype"/>
          <w:b/>
        </w:rPr>
        <w:t>SAIMEX</w:t>
      </w:r>
    </w:p>
    <w:p w:rsidR="00A04BDC" w:rsidRPr="00900C42" w:rsidRDefault="00A04BDC">
      <w:pPr>
        <w:widowControl w:val="0"/>
        <w:spacing w:line="360" w:lineRule="auto"/>
        <w:jc w:val="both"/>
        <w:rPr>
          <w:rFonts w:ascii="Palatino Linotype" w:eastAsia="Palatino Linotype" w:hAnsi="Palatino Linotype" w:cs="Palatino Linotype"/>
          <w:b/>
        </w:rPr>
      </w:pPr>
    </w:p>
    <w:p w:rsidR="00A04BDC" w:rsidRPr="00900C42" w:rsidRDefault="00A3635F">
      <w:pPr>
        <w:spacing w:line="360" w:lineRule="auto"/>
        <w:jc w:val="both"/>
        <w:rPr>
          <w:rFonts w:ascii="Palatino Linotype" w:eastAsia="Palatino Linotype" w:hAnsi="Palatino Linotype" w:cs="Palatino Linotype"/>
          <w:b/>
          <w:sz w:val="28"/>
          <w:szCs w:val="28"/>
        </w:rPr>
      </w:pPr>
      <w:r w:rsidRPr="00900C42">
        <w:rPr>
          <w:rFonts w:ascii="Palatino Linotype" w:eastAsia="Palatino Linotype" w:hAnsi="Palatino Linotype" w:cs="Palatino Linotype"/>
          <w:b/>
          <w:sz w:val="28"/>
          <w:szCs w:val="28"/>
        </w:rPr>
        <w:t>II. Turno de requerimiento del Sujeto Obligado</w:t>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De las constancias que obran en los expedientes electrónicos del SAIMEX se advierte en fecha seis de mayo de dos mil veintidós el turno de requerimiento hecho por la Titular de la Unidad de Transparencia, en términos de lo establecido por el artículo 162 de la Ley de Transparencia y Acceso a la Información Pública del Estado de México y Municipios.</w:t>
      </w:r>
    </w:p>
    <w:p w:rsidR="00A04BDC" w:rsidRPr="00900C42" w:rsidRDefault="00A3635F">
      <w:pPr>
        <w:spacing w:line="360" w:lineRule="auto"/>
        <w:jc w:val="both"/>
        <w:rPr>
          <w:rFonts w:ascii="Palatino Linotype" w:eastAsia="Palatino Linotype" w:hAnsi="Palatino Linotype" w:cs="Palatino Linotype"/>
          <w:b/>
          <w:sz w:val="28"/>
          <w:szCs w:val="28"/>
        </w:rPr>
      </w:pPr>
      <w:r w:rsidRPr="00900C42">
        <w:rPr>
          <w:rFonts w:ascii="Palatino Linotype" w:eastAsia="Palatino Linotype" w:hAnsi="Palatino Linotype" w:cs="Palatino Linotype"/>
          <w:b/>
          <w:sz w:val="28"/>
          <w:szCs w:val="28"/>
        </w:rPr>
        <w:t xml:space="preserve"> </w:t>
      </w:r>
    </w:p>
    <w:p w:rsidR="00A04BDC" w:rsidRPr="00900C42" w:rsidRDefault="00A3635F">
      <w:pPr>
        <w:spacing w:line="360" w:lineRule="auto"/>
        <w:jc w:val="both"/>
        <w:rPr>
          <w:rFonts w:ascii="Palatino Linotype" w:eastAsia="Palatino Linotype" w:hAnsi="Palatino Linotype" w:cs="Palatino Linotype"/>
          <w:b/>
          <w:sz w:val="28"/>
          <w:szCs w:val="28"/>
        </w:rPr>
      </w:pPr>
      <w:r w:rsidRPr="00900C42">
        <w:rPr>
          <w:rFonts w:ascii="Palatino Linotype" w:eastAsia="Palatino Linotype" w:hAnsi="Palatino Linotype" w:cs="Palatino Linotype"/>
          <w:b/>
          <w:sz w:val="28"/>
          <w:szCs w:val="28"/>
        </w:rPr>
        <w:t>III. Respuesta del Sujeto Obligado</w:t>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De las constancias que obran en el expediente electrónico del SAIMEX se observa que en fecha </w:t>
      </w:r>
      <w:r w:rsidRPr="00900C42">
        <w:rPr>
          <w:rFonts w:ascii="Palatino Linotype" w:eastAsia="Palatino Linotype" w:hAnsi="Palatino Linotype" w:cs="Palatino Linotype"/>
          <w:b/>
        </w:rPr>
        <w:t>veintiséis de mayo de dos mil veintidós</w:t>
      </w:r>
      <w:r w:rsidRPr="00900C42">
        <w:rPr>
          <w:rFonts w:ascii="Palatino Linotype" w:eastAsia="Palatino Linotype" w:hAnsi="Palatino Linotype" w:cs="Palatino Linotype"/>
        </w:rPr>
        <w:t xml:space="preserve">, </w:t>
      </w:r>
      <w:r w:rsidRPr="00900C42">
        <w:rPr>
          <w:rFonts w:ascii="Palatino Linotype" w:eastAsia="Palatino Linotype" w:hAnsi="Palatino Linotype" w:cs="Palatino Linotype"/>
          <w:b/>
        </w:rPr>
        <w:t>EL SUJETO OBLIGADO</w:t>
      </w:r>
      <w:r w:rsidRPr="00900C42">
        <w:rPr>
          <w:rFonts w:ascii="Palatino Linotype" w:eastAsia="Palatino Linotype" w:hAnsi="Palatino Linotype" w:cs="Palatino Linotype"/>
        </w:rPr>
        <w:t xml:space="preserve"> notificó la respuesta a la solicitud de acceso a la información pública en los términos siguientes: </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04BDC" w:rsidRPr="00900C42" w:rsidRDefault="00A3635F">
      <w:pPr>
        <w:ind w:left="850" w:right="899"/>
        <w:jc w:val="both"/>
        <w:rPr>
          <w:rFonts w:ascii="Palatino Linotype" w:eastAsia="Palatino Linotype" w:hAnsi="Palatino Linotype" w:cs="Palatino Linotype"/>
        </w:rPr>
      </w:pPr>
      <w:r w:rsidRPr="00900C42">
        <w:rPr>
          <w:rFonts w:ascii="Palatino Linotype" w:eastAsia="Palatino Linotype" w:hAnsi="Palatino Linotype" w:cs="Palatino Linotype"/>
          <w:i/>
          <w:sz w:val="22"/>
          <w:szCs w:val="22"/>
        </w:rPr>
        <w:lastRenderedPageBreak/>
        <w:t>Sobre el particular, sírvase encontrar en archivo adjunto copia del oficio número SEDUO-CI-0646/2022, de fecha 26 de mayo de 2022, mediante el cual se detalla lo referente a su solicitud.” (Sic)</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Adjuntando a su respuesta el documento de nombre </w:t>
      </w:r>
      <w:r w:rsidRPr="00900C42">
        <w:rPr>
          <w:rFonts w:ascii="Palatino Linotype" w:eastAsia="Palatino Linotype" w:hAnsi="Palatino Linotype" w:cs="Palatino Linotype"/>
          <w:i/>
        </w:rPr>
        <w:t xml:space="preserve">UT 186-2022.pdf 0003.pdf </w:t>
      </w:r>
      <w:r w:rsidRPr="00900C42">
        <w:rPr>
          <w:rFonts w:ascii="Palatino Linotype" w:eastAsia="Palatino Linotype" w:hAnsi="Palatino Linotype" w:cs="Palatino Linotype"/>
        </w:rPr>
        <w:t xml:space="preserve">de cuyo contenido se advierte la respuesta emitida en fecha veintiséis de mayo por la Titular de la Unidad de Transparencia, quien manifiesta que después de haber realizado una búsqueda de la información solicitada la Directora General de Operación y control Urbano, manifestó que se localizó un Acta de Entrega- Recepción de municipalización de obras de equipamiento en fecha cinco de marzo de dos mil dieciocho. </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widowControl w:val="0"/>
        <w:spacing w:line="360" w:lineRule="auto"/>
        <w:jc w:val="both"/>
        <w:rPr>
          <w:rFonts w:ascii="Palatino Linotype" w:eastAsia="Palatino Linotype" w:hAnsi="Palatino Linotype" w:cs="Palatino Linotype"/>
          <w:b/>
        </w:rPr>
      </w:pPr>
      <w:r w:rsidRPr="00900C42">
        <w:rPr>
          <w:rFonts w:ascii="Palatino Linotype" w:eastAsia="Palatino Linotype" w:hAnsi="Palatino Linotype" w:cs="Palatino Linotype"/>
          <w:b/>
          <w:sz w:val="28"/>
          <w:szCs w:val="28"/>
        </w:rPr>
        <w:t>IV. Del Recurso de Revisión</w:t>
      </w:r>
      <w:r w:rsidRPr="00900C42">
        <w:rPr>
          <w:rFonts w:ascii="Palatino Linotype" w:eastAsia="Palatino Linotype" w:hAnsi="Palatino Linotype" w:cs="Palatino Linotype"/>
          <w:b/>
        </w:rPr>
        <w:t>.</w:t>
      </w:r>
    </w:p>
    <w:p w:rsidR="00A04BDC" w:rsidRPr="00900C42" w:rsidRDefault="00A3635F">
      <w:pPr>
        <w:widowControl w:val="0"/>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Inconforme con la respuesta del</w:t>
      </w:r>
      <w:r w:rsidRPr="00900C42">
        <w:rPr>
          <w:rFonts w:ascii="Palatino Linotype" w:eastAsia="Palatino Linotype" w:hAnsi="Palatino Linotype" w:cs="Palatino Linotype"/>
          <w:b/>
        </w:rPr>
        <w:t xml:space="preserve"> SUJETO OBLIGADO</w:t>
      </w:r>
      <w:r w:rsidRPr="00900C42">
        <w:rPr>
          <w:rFonts w:ascii="Palatino Linotype" w:eastAsia="Palatino Linotype" w:hAnsi="Palatino Linotype" w:cs="Palatino Linotype"/>
        </w:rPr>
        <w:t xml:space="preserve">, el dos de junio de dos mil veintidós, </w:t>
      </w:r>
      <w:r w:rsidRPr="00900C42">
        <w:rPr>
          <w:rFonts w:ascii="Palatino Linotype" w:eastAsia="Palatino Linotype" w:hAnsi="Palatino Linotype" w:cs="Palatino Linotype"/>
          <w:b/>
        </w:rPr>
        <w:t>LA RECURRENTE</w:t>
      </w:r>
      <w:r w:rsidRPr="00900C42">
        <w:rPr>
          <w:rFonts w:ascii="Palatino Linotype" w:eastAsia="Palatino Linotype" w:hAnsi="Palatino Linotype" w:cs="Palatino Linotype"/>
        </w:rPr>
        <w:t xml:space="preserve"> interpuso el Recurso de Revisión. El cual fue registrado en </w:t>
      </w:r>
      <w:r w:rsidRPr="00900C42">
        <w:rPr>
          <w:rFonts w:ascii="Palatino Linotype" w:eastAsia="Palatino Linotype" w:hAnsi="Palatino Linotype" w:cs="Palatino Linotype"/>
          <w:b/>
        </w:rPr>
        <w:t>EL SAIMEX</w:t>
      </w:r>
      <w:r w:rsidRPr="00900C42">
        <w:rPr>
          <w:rFonts w:ascii="Palatino Linotype" w:eastAsia="Palatino Linotype" w:hAnsi="Palatino Linotype" w:cs="Palatino Linotype"/>
        </w:rPr>
        <w:t xml:space="preserve"> y se le asignó el número de expediente </w:t>
      </w:r>
      <w:r w:rsidRPr="00900C42">
        <w:rPr>
          <w:rFonts w:ascii="Palatino Linotype" w:eastAsia="Palatino Linotype" w:hAnsi="Palatino Linotype" w:cs="Palatino Linotype"/>
          <w:b/>
        </w:rPr>
        <w:t xml:space="preserve">10457/INFOEM/IP/RR/2022, </w:t>
      </w:r>
      <w:r w:rsidRPr="00900C42">
        <w:rPr>
          <w:rFonts w:ascii="Palatino Linotype" w:eastAsia="Palatino Linotype" w:hAnsi="Palatino Linotype" w:cs="Palatino Linotype"/>
        </w:rPr>
        <w:t xml:space="preserve">donde los motivos de agravio del </w:t>
      </w:r>
      <w:r w:rsidRPr="00900C42">
        <w:rPr>
          <w:rFonts w:ascii="Palatino Linotype" w:eastAsia="Palatino Linotype" w:hAnsi="Palatino Linotype" w:cs="Palatino Linotype"/>
          <w:b/>
        </w:rPr>
        <w:t xml:space="preserve">RECURRENTE </w:t>
      </w:r>
      <w:r w:rsidRPr="00900C42">
        <w:rPr>
          <w:rFonts w:ascii="Palatino Linotype" w:eastAsia="Palatino Linotype" w:hAnsi="Palatino Linotype" w:cs="Palatino Linotype"/>
        </w:rPr>
        <w:t>fueron los siguientes:</w:t>
      </w:r>
    </w:p>
    <w:p w:rsidR="00A04BDC" w:rsidRPr="00900C42" w:rsidRDefault="00A04BDC">
      <w:pPr>
        <w:widowControl w:val="0"/>
        <w:spacing w:line="360" w:lineRule="auto"/>
        <w:jc w:val="both"/>
        <w:rPr>
          <w:rFonts w:ascii="Palatino Linotype" w:eastAsia="Palatino Linotype" w:hAnsi="Palatino Linotype" w:cs="Palatino Linotype"/>
        </w:rPr>
      </w:pPr>
    </w:p>
    <w:p w:rsidR="00A04BDC" w:rsidRPr="00900C42" w:rsidRDefault="00A3635F">
      <w:pPr>
        <w:spacing w:line="360" w:lineRule="auto"/>
        <w:ind w:left="-57" w:right="-57"/>
        <w:jc w:val="both"/>
        <w:rPr>
          <w:rFonts w:ascii="Palatino Linotype" w:eastAsia="Palatino Linotype" w:hAnsi="Palatino Linotype" w:cs="Palatino Linotype"/>
          <w:b/>
          <w:u w:val="single"/>
        </w:rPr>
      </w:pPr>
      <w:r w:rsidRPr="00900C42">
        <w:rPr>
          <w:rFonts w:ascii="Palatino Linotype" w:eastAsia="Palatino Linotype" w:hAnsi="Palatino Linotype" w:cs="Palatino Linotype"/>
          <w:b/>
          <w:u w:val="single"/>
        </w:rPr>
        <w:t>Acto Impugnado:</w:t>
      </w:r>
      <w:r w:rsidRPr="00900C42">
        <w:rPr>
          <w:b/>
          <w:u w:val="single"/>
        </w:rPr>
        <w:t xml:space="preserve"> </w:t>
      </w:r>
    </w:p>
    <w:p w:rsidR="00A04BDC" w:rsidRPr="00900C42" w:rsidRDefault="00A3635F">
      <w:pPr>
        <w:tabs>
          <w:tab w:val="left" w:pos="709"/>
        </w:tabs>
        <w:spacing w:before="66"/>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“La entrega de información no corresponda a lo solicitado, pues en mi solicitud de acceso a la información, registrada con el folio 00186/SEDUO/IP/2022, del 04 de mayo de 2022, requerí saber si: ¿está municipalizado el Conjunto Urbano </w:t>
      </w:r>
      <w:proofErr w:type="spellStart"/>
      <w:r w:rsidRPr="00900C42">
        <w:rPr>
          <w:rFonts w:ascii="Palatino Linotype" w:eastAsia="Palatino Linotype" w:hAnsi="Palatino Linotype" w:cs="Palatino Linotype"/>
          <w:i/>
          <w:sz w:val="22"/>
          <w:szCs w:val="22"/>
        </w:rPr>
        <w:t>Portofino</w:t>
      </w:r>
      <w:proofErr w:type="spellEnd"/>
      <w:r w:rsidRPr="00900C42">
        <w:rPr>
          <w:rFonts w:ascii="Palatino Linotype" w:eastAsia="Palatino Linotype" w:hAnsi="Palatino Linotype" w:cs="Palatino Linotype"/>
          <w:i/>
          <w:sz w:val="22"/>
          <w:szCs w:val="22"/>
        </w:rPr>
        <w:t xml:space="preserve"> Royal Country Club? (ubicado en la Colonia Agrícola Bellavista, Metepec, Estado de México, el cual fue autorizado el 03 de febrero de 2015 y publicado en la Gaceta del Gobierno del Estado de México, el 12 de febrero de 2015). LIMITANDO LA </w:t>
      </w:r>
      <w:r w:rsidRPr="00900C42">
        <w:rPr>
          <w:rFonts w:ascii="Palatino Linotype" w:eastAsia="Palatino Linotype" w:hAnsi="Palatino Linotype" w:cs="Palatino Linotype"/>
          <w:i/>
          <w:sz w:val="22"/>
          <w:szCs w:val="22"/>
        </w:rPr>
        <w:lastRenderedPageBreak/>
        <w:t>RESPUESTA A UN SI O NO. y que para el caso de resultar afirmativa la respuesta, se refiriera la fecha en la que se realizó.” (Sic)</w:t>
      </w:r>
    </w:p>
    <w:p w:rsidR="00A04BDC" w:rsidRPr="00900C42" w:rsidRDefault="00A04BDC">
      <w:pPr>
        <w:tabs>
          <w:tab w:val="left" w:pos="709"/>
        </w:tabs>
        <w:spacing w:before="66"/>
        <w:ind w:left="850" w:right="899"/>
        <w:jc w:val="both"/>
        <w:rPr>
          <w:rFonts w:ascii="Palatino Linotype" w:eastAsia="Palatino Linotype" w:hAnsi="Palatino Linotype" w:cs="Palatino Linotype"/>
          <w:i/>
          <w:sz w:val="22"/>
          <w:szCs w:val="22"/>
        </w:rPr>
      </w:pPr>
    </w:p>
    <w:p w:rsidR="00A04BDC" w:rsidRPr="00900C42" w:rsidRDefault="00A04BDC">
      <w:pPr>
        <w:ind w:right="899"/>
        <w:jc w:val="both"/>
        <w:rPr>
          <w:rFonts w:ascii="Palatino Linotype" w:eastAsia="Palatino Linotype" w:hAnsi="Palatino Linotype" w:cs="Palatino Linotype"/>
        </w:rPr>
      </w:pPr>
    </w:p>
    <w:p w:rsidR="00A04BDC" w:rsidRPr="00900C42" w:rsidRDefault="00A3635F">
      <w:pPr>
        <w:spacing w:line="360" w:lineRule="auto"/>
        <w:ind w:right="49"/>
        <w:jc w:val="both"/>
        <w:rPr>
          <w:rFonts w:ascii="Palatino Linotype" w:eastAsia="Palatino Linotype" w:hAnsi="Palatino Linotype" w:cs="Palatino Linotype"/>
          <w:b/>
          <w:u w:val="single"/>
        </w:rPr>
      </w:pPr>
      <w:r w:rsidRPr="00900C42">
        <w:rPr>
          <w:rFonts w:ascii="Palatino Linotype" w:eastAsia="Palatino Linotype" w:hAnsi="Palatino Linotype" w:cs="Palatino Linotype"/>
          <w:b/>
          <w:u w:val="single"/>
        </w:rPr>
        <w:t>Razones o motivos de inconformidad:</w:t>
      </w:r>
    </w:p>
    <w:p w:rsidR="00A04BDC" w:rsidRPr="00900C42" w:rsidRDefault="00A3635F">
      <w:pPr>
        <w:tabs>
          <w:tab w:val="left" w:pos="709"/>
        </w:tabs>
        <w:spacing w:before="66"/>
        <w:ind w:left="850" w:right="899"/>
        <w:jc w:val="both"/>
        <w:rPr>
          <w:rFonts w:ascii="Palatino Linotype" w:eastAsia="Palatino Linotype" w:hAnsi="Palatino Linotype" w:cs="Palatino Linotype"/>
        </w:rPr>
      </w:pPr>
      <w:r w:rsidRPr="00900C42">
        <w:rPr>
          <w:rFonts w:ascii="Palatino Linotype" w:eastAsia="Palatino Linotype" w:hAnsi="Palatino Linotype" w:cs="Palatino Linotype"/>
          <w:i/>
          <w:sz w:val="22"/>
          <w:szCs w:val="22"/>
        </w:rPr>
        <w:t xml:space="preserve">“Se vulnera lo establecido en los artículos 6, apartado A fracción I y 8 de la Constitución Política de los Estados Unidos Mexicanos, 4, 23 fracción IV, 160 Y 164 de la Ley de Transparencia y Acceso a la Información Pública del Estado de México, debido a que no se respetó mi derecho de acceso a la información, la cual es pública, dejando de actuar bajo el principio de máxima publicidad. Esto es así ya que el 26 de mayo de 2022, me fue notificado el oficio SEDUO-CI-0646/2022, signado por la Titular de la Unidad de Transparencia de la Secretaría de Desarrollo Urbano y Obra, en la que pretendió dar respuesta a mi requerimiento. Sin embargo, la respuesta del sujeto obligado, no corresponde a lo que solicité. Por tanto, requiero que exprese: SI o NO, ¿está municipalizado el conjunto urbano </w:t>
      </w:r>
      <w:proofErr w:type="spellStart"/>
      <w:r w:rsidRPr="00900C42">
        <w:rPr>
          <w:rFonts w:ascii="Palatino Linotype" w:eastAsia="Palatino Linotype" w:hAnsi="Palatino Linotype" w:cs="Palatino Linotype"/>
          <w:i/>
          <w:sz w:val="22"/>
          <w:szCs w:val="22"/>
        </w:rPr>
        <w:t>Portofino</w:t>
      </w:r>
      <w:proofErr w:type="spellEnd"/>
      <w:r w:rsidRPr="00900C42">
        <w:rPr>
          <w:rFonts w:ascii="Palatino Linotype" w:eastAsia="Palatino Linotype" w:hAnsi="Palatino Linotype" w:cs="Palatino Linotype"/>
          <w:i/>
          <w:sz w:val="22"/>
          <w:szCs w:val="22"/>
        </w:rPr>
        <w:t xml:space="preserve"> Royal Country Club? (ubicado en la Colonia Agrícola Bellavista, Metepec, Estado de México, el cual fue autorizado el 03 de febrero de 2015 y publicado en la Gaceta del Gobierno del Estado de México, el 12 de febrero de 2015). Es decir, si la empresa </w:t>
      </w:r>
      <w:bookmarkStart w:id="1" w:name="_GoBack"/>
      <w:r w:rsidR="0066176E">
        <w:rPr>
          <w:rFonts w:ascii="Palatino Linotype" w:eastAsia="Palatino Linotype" w:hAnsi="Palatino Linotype" w:cs="Palatino Linotype"/>
          <w:i/>
          <w:sz w:val="22"/>
          <w:szCs w:val="22"/>
        </w:rPr>
        <w:t xml:space="preserve">XXXXX XXXXXXX XXXX XX </w:t>
      </w:r>
      <w:proofErr w:type="spellStart"/>
      <w:r w:rsidR="0066176E">
        <w:rPr>
          <w:rFonts w:ascii="Palatino Linotype" w:eastAsia="Palatino Linotype" w:hAnsi="Palatino Linotype" w:cs="Palatino Linotype"/>
          <w:i/>
          <w:sz w:val="22"/>
          <w:szCs w:val="22"/>
        </w:rPr>
        <w:t>XX</w:t>
      </w:r>
      <w:bookmarkEnd w:id="1"/>
      <w:proofErr w:type="spellEnd"/>
      <w:r w:rsidRPr="00900C42">
        <w:rPr>
          <w:rFonts w:ascii="Palatino Linotype" w:eastAsia="Palatino Linotype" w:hAnsi="Palatino Linotype" w:cs="Palatino Linotype"/>
          <w:i/>
          <w:sz w:val="22"/>
          <w:szCs w:val="22"/>
        </w:rPr>
        <w:t>, cumplió con todas sus obligaciones impuestas en su acuerdo de autorización de fecha 03 de febrero de 2015, y por lo tanto se levantó acta administrativa que así lo acredite, en la que participe la Dirección de Desarrollo Urbano del Municipio de Metepec, Estado de México, quien recibe el conjunto urbano, de conformidad con el artículo 55, fracción VI, del Reglamento del Libro Quinto del Código Administrativo del Estado de México, y en caso de ser afirmativo, en qué fecha se realizó.”(Sic)</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b/>
          <w:sz w:val="28"/>
          <w:szCs w:val="28"/>
        </w:rPr>
      </w:pPr>
      <w:r w:rsidRPr="00900C42">
        <w:rPr>
          <w:rFonts w:ascii="Palatino Linotype" w:eastAsia="Palatino Linotype" w:hAnsi="Palatino Linotype" w:cs="Palatino Linotype"/>
          <w:b/>
          <w:sz w:val="28"/>
          <w:szCs w:val="28"/>
        </w:rPr>
        <w:t xml:space="preserve">V. Del turno del Recurso de Revisión. </w:t>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El </w:t>
      </w:r>
      <w:r w:rsidRPr="00900C42">
        <w:rPr>
          <w:rFonts w:ascii="Palatino Linotype" w:eastAsia="Palatino Linotype" w:hAnsi="Palatino Linotype" w:cs="Palatino Linotype"/>
          <w:b/>
        </w:rPr>
        <w:t>dos de junio de dos mil veintidós</w:t>
      </w:r>
      <w:r w:rsidRPr="00900C42">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w:t>
      </w:r>
      <w:r w:rsidRPr="00900C42">
        <w:rPr>
          <w:rFonts w:ascii="Palatino Linotype" w:eastAsia="Palatino Linotype" w:hAnsi="Palatino Linotype" w:cs="Palatino Linotype"/>
        </w:rPr>
        <w:lastRenderedPageBreak/>
        <w:t xml:space="preserve">Pública del Estado de México y Municipios, se turnó a la </w:t>
      </w:r>
      <w:r w:rsidRPr="00900C42">
        <w:rPr>
          <w:rFonts w:ascii="Palatino Linotype" w:eastAsia="Palatino Linotype" w:hAnsi="Palatino Linotype" w:cs="Palatino Linotype"/>
          <w:b/>
        </w:rPr>
        <w:t>Comisionada Sharon Cristina Morales Martínez</w:t>
      </w:r>
      <w:r w:rsidRPr="00900C42">
        <w:rPr>
          <w:rFonts w:ascii="Palatino Linotype" w:eastAsia="Palatino Linotype" w:hAnsi="Palatino Linotype" w:cs="Palatino Linotype"/>
        </w:rPr>
        <w:t>; a efecto de decretar su admisión o desechamiento.</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tabs>
          <w:tab w:val="center" w:pos="4252"/>
          <w:tab w:val="right" w:pos="8504"/>
        </w:tabs>
        <w:spacing w:line="360" w:lineRule="auto"/>
        <w:jc w:val="both"/>
        <w:rPr>
          <w:rFonts w:ascii="Palatino Linotype" w:eastAsia="Palatino Linotype" w:hAnsi="Palatino Linotype" w:cs="Palatino Linotype"/>
          <w:b/>
        </w:rPr>
      </w:pPr>
      <w:r w:rsidRPr="00900C42">
        <w:rPr>
          <w:rFonts w:ascii="Palatino Linotype" w:eastAsia="Palatino Linotype" w:hAnsi="Palatino Linotype" w:cs="Palatino Linotype"/>
          <w:b/>
        </w:rPr>
        <w:t>a) Admisión del Recurso de Revisión</w:t>
      </w:r>
    </w:p>
    <w:p w:rsidR="00A04BDC" w:rsidRPr="00900C42" w:rsidRDefault="00A3635F">
      <w:pPr>
        <w:tabs>
          <w:tab w:val="center" w:pos="4252"/>
          <w:tab w:val="right" w:pos="8504"/>
        </w:tabs>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De las constancias que obran en el expediente electrónico del</w:t>
      </w:r>
      <w:r w:rsidRPr="00900C42">
        <w:rPr>
          <w:rFonts w:ascii="Palatino Linotype" w:eastAsia="Palatino Linotype" w:hAnsi="Palatino Linotype" w:cs="Palatino Linotype"/>
          <w:b/>
        </w:rPr>
        <w:t xml:space="preserve"> SAIMEX</w:t>
      </w:r>
      <w:r w:rsidRPr="00900C42">
        <w:rPr>
          <w:rFonts w:ascii="Palatino Linotype" w:eastAsia="Palatino Linotype" w:hAnsi="Palatino Linotype" w:cs="Palatino Linotype"/>
        </w:rPr>
        <w:t xml:space="preserve">, se advierte que en fecha </w:t>
      </w:r>
      <w:r w:rsidRPr="00900C42">
        <w:rPr>
          <w:rFonts w:ascii="Palatino Linotype" w:eastAsia="Palatino Linotype" w:hAnsi="Palatino Linotype" w:cs="Palatino Linotype"/>
          <w:b/>
        </w:rPr>
        <w:t>siete de junio de dos mil veintidós</w:t>
      </w:r>
      <w:r w:rsidRPr="00900C42">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900C42">
        <w:rPr>
          <w:rFonts w:ascii="Palatino Linotype" w:eastAsia="Palatino Linotype" w:hAnsi="Palatino Linotype" w:cs="Palatino Linotype"/>
          <w:b/>
        </w:rPr>
        <w:t xml:space="preserve">LA RECURRENTE </w:t>
      </w:r>
      <w:r w:rsidRPr="00900C42">
        <w:rPr>
          <w:rFonts w:ascii="Palatino Linotype" w:eastAsia="Palatino Linotype" w:hAnsi="Palatino Linotype" w:cs="Palatino Linotype"/>
        </w:rPr>
        <w:t xml:space="preserve">manifestara lo que a su derecho conviniera, a efecto de presentar pruebas y alegatos; así como, para que </w:t>
      </w:r>
      <w:r w:rsidRPr="00900C42">
        <w:rPr>
          <w:rFonts w:ascii="Palatino Linotype" w:eastAsia="Palatino Linotype" w:hAnsi="Palatino Linotype" w:cs="Palatino Linotype"/>
          <w:b/>
        </w:rPr>
        <w:t xml:space="preserve">EL SUJETO OBLIGADO </w:t>
      </w:r>
      <w:r w:rsidRPr="00900C42">
        <w:rPr>
          <w:rFonts w:ascii="Palatino Linotype" w:eastAsia="Palatino Linotype" w:hAnsi="Palatino Linotype" w:cs="Palatino Linotype"/>
        </w:rPr>
        <w:t>rindiera el correspondiente</w:t>
      </w:r>
      <w:r w:rsidRPr="00900C42">
        <w:rPr>
          <w:rFonts w:ascii="Palatino Linotype" w:eastAsia="Palatino Linotype" w:hAnsi="Palatino Linotype" w:cs="Palatino Linotype"/>
          <w:b/>
        </w:rPr>
        <w:t xml:space="preserve"> </w:t>
      </w:r>
      <w:r w:rsidRPr="00900C42">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A04BDC" w:rsidRPr="00900C42" w:rsidRDefault="00A04BDC">
      <w:pPr>
        <w:tabs>
          <w:tab w:val="center" w:pos="4252"/>
          <w:tab w:val="right" w:pos="8504"/>
        </w:tabs>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b/>
        </w:rPr>
      </w:pPr>
      <w:r w:rsidRPr="00900C42">
        <w:rPr>
          <w:rFonts w:ascii="Palatino Linotype" w:eastAsia="Palatino Linotype" w:hAnsi="Palatino Linotype" w:cs="Palatino Linotype"/>
          <w:b/>
        </w:rPr>
        <w:t>b) Informe Justificado</w:t>
      </w:r>
    </w:p>
    <w:p w:rsidR="00A04BDC" w:rsidRPr="00900C42" w:rsidRDefault="00A3635F">
      <w:pPr>
        <w:widowControl w:val="0"/>
        <w:tabs>
          <w:tab w:val="left" w:pos="0"/>
        </w:tabs>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Conforme a las constancias que obran en el expediente del </w:t>
      </w:r>
      <w:r w:rsidRPr="00900C42">
        <w:rPr>
          <w:rFonts w:ascii="Palatino Linotype" w:eastAsia="Palatino Linotype" w:hAnsi="Palatino Linotype" w:cs="Palatino Linotype"/>
          <w:b/>
        </w:rPr>
        <w:t>SAIMEX,</w:t>
      </w:r>
      <w:r w:rsidRPr="00900C42">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900C42">
        <w:rPr>
          <w:rFonts w:ascii="Palatino Linotype" w:eastAsia="Palatino Linotype" w:hAnsi="Palatino Linotype" w:cs="Palatino Linotype"/>
          <w:b/>
        </w:rPr>
        <w:t>LA</w:t>
      </w:r>
      <w:r w:rsidRPr="00900C42">
        <w:rPr>
          <w:rFonts w:ascii="Palatino Linotype" w:eastAsia="Palatino Linotype" w:hAnsi="Palatino Linotype" w:cs="Palatino Linotype"/>
        </w:rPr>
        <w:t xml:space="preserve"> </w:t>
      </w:r>
      <w:r w:rsidRPr="00900C42">
        <w:rPr>
          <w:rFonts w:ascii="Palatino Linotype" w:eastAsia="Palatino Linotype" w:hAnsi="Palatino Linotype" w:cs="Palatino Linotype"/>
          <w:b/>
        </w:rPr>
        <w:t>RECURRENTE</w:t>
      </w:r>
      <w:r w:rsidRPr="00900C42">
        <w:rPr>
          <w:rFonts w:ascii="Palatino Linotype" w:eastAsia="Palatino Linotype" w:hAnsi="Palatino Linotype" w:cs="Palatino Linotype"/>
        </w:rPr>
        <w:t xml:space="preserve"> no presentó manifestaciones que a su derecho convinieran.</w:t>
      </w:r>
    </w:p>
    <w:p w:rsidR="00A04BDC" w:rsidRPr="00900C42" w:rsidRDefault="00A04BDC">
      <w:pPr>
        <w:widowControl w:val="0"/>
        <w:tabs>
          <w:tab w:val="left" w:pos="0"/>
        </w:tabs>
        <w:spacing w:line="360" w:lineRule="auto"/>
        <w:jc w:val="both"/>
        <w:rPr>
          <w:rFonts w:ascii="Palatino Linotype" w:eastAsia="Palatino Linotype" w:hAnsi="Palatino Linotype" w:cs="Palatino Linotype"/>
        </w:rPr>
      </w:pPr>
    </w:p>
    <w:p w:rsidR="00900C42" w:rsidRPr="00900C42" w:rsidRDefault="00900C42">
      <w:pPr>
        <w:widowControl w:val="0"/>
        <w:tabs>
          <w:tab w:val="left" w:pos="0"/>
        </w:tabs>
        <w:spacing w:line="360" w:lineRule="auto"/>
        <w:jc w:val="both"/>
        <w:rPr>
          <w:rFonts w:ascii="Palatino Linotype" w:eastAsia="Palatino Linotype" w:hAnsi="Palatino Linotype" w:cs="Palatino Linotype"/>
        </w:rPr>
      </w:pPr>
    </w:p>
    <w:p w:rsidR="00A04BDC" w:rsidRPr="00900C42" w:rsidRDefault="00A3635F">
      <w:pPr>
        <w:widowControl w:val="0"/>
        <w:tabs>
          <w:tab w:val="left" w:pos="0"/>
        </w:tabs>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lastRenderedPageBreak/>
        <w:t xml:space="preserve">Por su parte, </w:t>
      </w:r>
      <w:r w:rsidRPr="00900C42">
        <w:rPr>
          <w:rFonts w:ascii="Palatino Linotype" w:eastAsia="Palatino Linotype" w:hAnsi="Palatino Linotype" w:cs="Palatino Linotype"/>
          <w:b/>
        </w:rPr>
        <w:t>EL SUJETO OBLIGADO</w:t>
      </w:r>
      <w:r w:rsidRPr="00900C42">
        <w:rPr>
          <w:rFonts w:ascii="Palatino Linotype" w:eastAsia="Palatino Linotype" w:hAnsi="Palatino Linotype" w:cs="Palatino Linotype"/>
        </w:rPr>
        <w:t xml:space="preserve"> remitió los documentos que se describen a continuación: </w:t>
      </w:r>
    </w:p>
    <w:p w:rsidR="00A04BDC" w:rsidRPr="00900C42" w:rsidRDefault="00A3635F">
      <w:pPr>
        <w:widowControl w:val="0"/>
        <w:numPr>
          <w:ilvl w:val="0"/>
          <w:numId w:val="2"/>
        </w:numPr>
        <w:tabs>
          <w:tab w:val="left" w:pos="0"/>
        </w:tabs>
        <w:spacing w:line="360" w:lineRule="auto"/>
        <w:jc w:val="both"/>
        <w:rPr>
          <w:rFonts w:ascii="Palatino Linotype" w:eastAsia="Palatino Linotype" w:hAnsi="Palatino Linotype" w:cs="Palatino Linotype"/>
          <w:i/>
        </w:rPr>
      </w:pPr>
      <w:r w:rsidRPr="00900C42">
        <w:rPr>
          <w:rFonts w:ascii="Palatino Linotype" w:eastAsia="Palatino Linotype" w:hAnsi="Palatino Linotype" w:cs="Palatino Linotype"/>
          <w:i/>
        </w:rPr>
        <w:t xml:space="preserve">Informe justificado 10457-2022.pdf: </w:t>
      </w:r>
      <w:r w:rsidRPr="00900C42">
        <w:rPr>
          <w:rFonts w:ascii="Palatino Linotype" w:eastAsia="Palatino Linotype" w:hAnsi="Palatino Linotype" w:cs="Palatino Linotype"/>
        </w:rPr>
        <w:t xml:space="preserve">documento de cuatro fojas de cuyo contenido se observa el Informe Justificado del </w:t>
      </w:r>
      <w:r w:rsidRPr="00900C42">
        <w:rPr>
          <w:rFonts w:ascii="Palatino Linotype" w:eastAsia="Palatino Linotype" w:hAnsi="Palatino Linotype" w:cs="Palatino Linotype"/>
          <w:b/>
        </w:rPr>
        <w:t xml:space="preserve">SUJETO OBLIGADO.  </w:t>
      </w:r>
      <w:r w:rsidRPr="00900C42">
        <w:rPr>
          <w:rFonts w:ascii="Palatino Linotype" w:eastAsia="Palatino Linotype" w:hAnsi="Palatino Linotype" w:cs="Palatino Linotype"/>
        </w:rPr>
        <w:t xml:space="preserve"> </w:t>
      </w:r>
    </w:p>
    <w:p w:rsidR="00A04BDC" w:rsidRPr="00900C42" w:rsidRDefault="00A3635F">
      <w:pPr>
        <w:widowControl w:val="0"/>
        <w:numPr>
          <w:ilvl w:val="0"/>
          <w:numId w:val="2"/>
        </w:numPr>
        <w:tabs>
          <w:tab w:val="left" w:pos="0"/>
        </w:tabs>
        <w:spacing w:line="360" w:lineRule="auto"/>
        <w:jc w:val="both"/>
        <w:rPr>
          <w:rFonts w:ascii="Palatino Linotype" w:eastAsia="Palatino Linotype" w:hAnsi="Palatino Linotype" w:cs="Palatino Linotype"/>
          <w:i/>
        </w:rPr>
      </w:pPr>
      <w:r w:rsidRPr="00900C42">
        <w:rPr>
          <w:rFonts w:ascii="Palatino Linotype" w:eastAsia="Palatino Linotype" w:hAnsi="Palatino Linotype" w:cs="Palatino Linotype"/>
          <w:i/>
        </w:rPr>
        <w:t xml:space="preserve">T. RR 10457 sol 186-22 DGOCU.pdf: </w:t>
      </w:r>
      <w:r w:rsidRPr="00900C42">
        <w:rPr>
          <w:rFonts w:ascii="Palatino Linotype" w:eastAsia="Palatino Linotype" w:hAnsi="Palatino Linotype" w:cs="Palatino Linotype"/>
        </w:rPr>
        <w:t xml:space="preserve">documento de dos fojas de las cuales se advierte el turno realizado por la Titular de la Unidad de Transparencia al servidor público habilitado, a fin de que éste rinda su Informe Justificado. </w:t>
      </w:r>
    </w:p>
    <w:p w:rsidR="00A04BDC" w:rsidRPr="00900C42" w:rsidRDefault="00A3635F">
      <w:pPr>
        <w:widowControl w:val="0"/>
        <w:numPr>
          <w:ilvl w:val="0"/>
          <w:numId w:val="2"/>
        </w:numPr>
        <w:tabs>
          <w:tab w:val="left" w:pos="0"/>
        </w:tabs>
        <w:spacing w:line="360" w:lineRule="auto"/>
        <w:jc w:val="both"/>
        <w:rPr>
          <w:rFonts w:ascii="Palatino Linotype" w:eastAsia="Palatino Linotype" w:hAnsi="Palatino Linotype" w:cs="Palatino Linotype"/>
          <w:i/>
        </w:rPr>
      </w:pPr>
      <w:r w:rsidRPr="00900C42">
        <w:rPr>
          <w:rFonts w:ascii="Palatino Linotype" w:eastAsia="Palatino Linotype" w:hAnsi="Palatino Linotype" w:cs="Palatino Linotype"/>
          <w:i/>
        </w:rPr>
        <w:t xml:space="preserve">RESP UT 186-2022 DGOCU.pdf: </w:t>
      </w:r>
      <w:r w:rsidRPr="00900C42">
        <w:rPr>
          <w:rFonts w:ascii="Palatino Linotype" w:eastAsia="Palatino Linotype" w:hAnsi="Palatino Linotype" w:cs="Palatino Linotype"/>
        </w:rPr>
        <w:t xml:space="preserve">documento firmado por la Directora General de Operación y Control Urbano en fecha veinticinco de mayo de dos mil veintidós, dando respuesta a la solicitud de información.  </w:t>
      </w:r>
      <w:r w:rsidRPr="00900C42">
        <w:rPr>
          <w:rFonts w:ascii="Palatino Linotype" w:eastAsia="Palatino Linotype" w:hAnsi="Palatino Linotype" w:cs="Palatino Linotype"/>
          <w:i/>
        </w:rPr>
        <w:tab/>
      </w:r>
    </w:p>
    <w:p w:rsidR="00A04BDC" w:rsidRPr="00900C42" w:rsidRDefault="00A3635F">
      <w:pPr>
        <w:widowControl w:val="0"/>
        <w:numPr>
          <w:ilvl w:val="0"/>
          <w:numId w:val="2"/>
        </w:numPr>
        <w:tabs>
          <w:tab w:val="left" w:pos="0"/>
        </w:tabs>
        <w:spacing w:line="360" w:lineRule="auto"/>
        <w:jc w:val="both"/>
        <w:rPr>
          <w:rFonts w:ascii="Palatino Linotype" w:eastAsia="Palatino Linotype" w:hAnsi="Palatino Linotype" w:cs="Palatino Linotype"/>
          <w:i/>
        </w:rPr>
      </w:pPr>
      <w:r w:rsidRPr="00900C42">
        <w:rPr>
          <w:rFonts w:ascii="Palatino Linotype" w:eastAsia="Palatino Linotype" w:hAnsi="Palatino Linotype" w:cs="Palatino Linotype"/>
          <w:i/>
        </w:rPr>
        <w:t xml:space="preserve">T. DGOCU 186-22.pdf: </w:t>
      </w:r>
      <w:r w:rsidRPr="00900C42">
        <w:rPr>
          <w:rFonts w:ascii="Palatino Linotype" w:eastAsia="Palatino Linotype" w:hAnsi="Palatino Linotype" w:cs="Palatino Linotype"/>
        </w:rPr>
        <w:t xml:space="preserve">documento de dos fojas donde consta el turno realizado por la Titular de la Unidad de Transparencia al servidor público habilitado, a fin de que éste rinda su respuesta a la solicitud de acceso a la información. </w:t>
      </w:r>
      <w:r w:rsidRPr="00900C42">
        <w:rPr>
          <w:rFonts w:ascii="Palatino Linotype" w:eastAsia="Palatino Linotype" w:hAnsi="Palatino Linotype" w:cs="Palatino Linotype"/>
          <w:i/>
        </w:rPr>
        <w:tab/>
      </w:r>
    </w:p>
    <w:p w:rsidR="00A04BDC" w:rsidRPr="00900C42" w:rsidRDefault="00A3635F">
      <w:pPr>
        <w:widowControl w:val="0"/>
        <w:numPr>
          <w:ilvl w:val="0"/>
          <w:numId w:val="2"/>
        </w:numPr>
        <w:tabs>
          <w:tab w:val="left" w:pos="0"/>
        </w:tabs>
        <w:spacing w:line="360" w:lineRule="auto"/>
        <w:jc w:val="both"/>
        <w:rPr>
          <w:rFonts w:ascii="Palatino Linotype" w:eastAsia="Palatino Linotype" w:hAnsi="Palatino Linotype" w:cs="Palatino Linotype"/>
          <w:i/>
        </w:rPr>
      </w:pPr>
      <w:r w:rsidRPr="00900C42">
        <w:rPr>
          <w:rFonts w:ascii="Palatino Linotype" w:eastAsia="Palatino Linotype" w:hAnsi="Palatino Linotype" w:cs="Palatino Linotype"/>
          <w:i/>
        </w:rPr>
        <w:t xml:space="preserve">RESP RR 10457-2022 186.pdf: </w:t>
      </w:r>
      <w:r w:rsidRPr="00900C42">
        <w:rPr>
          <w:rFonts w:ascii="Palatino Linotype" w:eastAsia="Palatino Linotype" w:hAnsi="Palatino Linotype" w:cs="Palatino Linotype"/>
        </w:rPr>
        <w:t xml:space="preserve">documento de tres fojas donde consta el Informe Justificado emitido por el servidor público habilitado, quien de forma medular ratifica su respuesta, además de pronunciarse respecto de las manifestaciones de la particular indicando que el conjunto se encuentra parcialmente municipalizado ya que existen algunos equipamientos pendientes de municipalizar. </w:t>
      </w:r>
      <w:r w:rsidRPr="00900C42">
        <w:rPr>
          <w:rFonts w:ascii="Palatino Linotype" w:eastAsia="Palatino Linotype" w:hAnsi="Palatino Linotype" w:cs="Palatino Linotype"/>
          <w:i/>
        </w:rPr>
        <w:tab/>
      </w:r>
    </w:p>
    <w:p w:rsidR="00A04BDC" w:rsidRPr="00900C42" w:rsidRDefault="00A3635F">
      <w:pPr>
        <w:widowControl w:val="0"/>
        <w:numPr>
          <w:ilvl w:val="0"/>
          <w:numId w:val="2"/>
        </w:numPr>
        <w:tabs>
          <w:tab w:val="left" w:pos="0"/>
        </w:tabs>
        <w:spacing w:line="360" w:lineRule="auto"/>
        <w:jc w:val="both"/>
        <w:rPr>
          <w:rFonts w:ascii="Palatino Linotype" w:eastAsia="Palatino Linotype" w:hAnsi="Palatino Linotype" w:cs="Palatino Linotype"/>
          <w:i/>
        </w:rPr>
      </w:pPr>
      <w:r w:rsidRPr="00900C42">
        <w:rPr>
          <w:rFonts w:ascii="Palatino Linotype" w:eastAsia="Palatino Linotype" w:hAnsi="Palatino Linotype" w:cs="Palatino Linotype"/>
          <w:i/>
        </w:rPr>
        <w:t xml:space="preserve">UT 186-2022.pdf: </w:t>
      </w:r>
      <w:r w:rsidRPr="00900C42">
        <w:rPr>
          <w:rFonts w:ascii="Palatino Linotype" w:eastAsia="Palatino Linotype" w:hAnsi="Palatino Linotype" w:cs="Palatino Linotype"/>
        </w:rPr>
        <w:t xml:space="preserve">mismo documento remitido en respuesta primigenia a la solicitud de información.  </w:t>
      </w:r>
    </w:p>
    <w:p w:rsidR="00A04BDC" w:rsidRPr="00900C42" w:rsidRDefault="00A3635F">
      <w:pPr>
        <w:widowControl w:val="0"/>
        <w:tabs>
          <w:tab w:val="left" w:pos="0"/>
        </w:tabs>
        <w:spacing w:line="360" w:lineRule="auto"/>
        <w:jc w:val="both"/>
        <w:rPr>
          <w:rFonts w:ascii="Palatino Linotype" w:eastAsia="Palatino Linotype" w:hAnsi="Palatino Linotype" w:cs="Palatino Linotype"/>
          <w:b/>
        </w:rPr>
      </w:pPr>
      <w:r w:rsidRPr="00900C42">
        <w:rPr>
          <w:rFonts w:ascii="Palatino Linotype" w:eastAsia="Palatino Linotype" w:hAnsi="Palatino Linotype" w:cs="Palatino Linotype"/>
          <w:b/>
        </w:rPr>
        <w:lastRenderedPageBreak/>
        <w:t xml:space="preserve">c) De la ampliación </w:t>
      </w:r>
    </w:p>
    <w:p w:rsidR="00A04BDC" w:rsidRPr="00900C42" w:rsidRDefault="00A3635F">
      <w:pPr>
        <w:spacing w:line="360" w:lineRule="auto"/>
        <w:jc w:val="both"/>
        <w:rPr>
          <w:rFonts w:ascii="Palatino Linotype" w:eastAsia="Palatino Linotype" w:hAnsi="Palatino Linotype" w:cs="Palatino Linotype"/>
        </w:rPr>
      </w:pPr>
      <w:bookmarkStart w:id="2" w:name="_heading=h.1fob9te" w:colFirst="0" w:colLast="0"/>
      <w:bookmarkEnd w:id="2"/>
      <w:r w:rsidRPr="00900C42">
        <w:rPr>
          <w:rFonts w:ascii="Palatino Linotype" w:eastAsia="Palatino Linotype" w:hAnsi="Palatino Linotype" w:cs="Palatino Linotype"/>
        </w:rPr>
        <w:t>En fecha uno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A04BDC" w:rsidRPr="00900C42" w:rsidRDefault="00A04BDC">
      <w:pPr>
        <w:spacing w:line="360" w:lineRule="auto"/>
        <w:jc w:val="both"/>
        <w:rPr>
          <w:rFonts w:ascii="Palatino Linotype" w:eastAsia="Palatino Linotype" w:hAnsi="Palatino Linotype" w:cs="Palatino Linotype"/>
        </w:rPr>
      </w:pPr>
      <w:bookmarkStart w:id="3" w:name="_heading=h.vk1hlboevp3r" w:colFirst="0" w:colLast="0"/>
      <w:bookmarkEnd w:id="3"/>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ind w:left="720"/>
        <w:jc w:val="both"/>
        <w:rPr>
          <w:rFonts w:ascii="Palatino Linotype" w:eastAsia="Palatino Linotype" w:hAnsi="Palatino Linotype" w:cs="Palatino Linotype"/>
        </w:rPr>
      </w:pPr>
      <w:r w:rsidRPr="00900C42">
        <w:rPr>
          <w:rFonts w:ascii="Palatino Linotype" w:eastAsia="Palatino Linotype" w:hAnsi="Palatino Linotype" w:cs="Palatino Linotype"/>
          <w:b/>
        </w:rPr>
        <w:t>a)</w:t>
      </w:r>
      <w:r w:rsidRPr="00900C42">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A04BDC" w:rsidRPr="00900C42" w:rsidRDefault="00A3635F">
      <w:pPr>
        <w:spacing w:line="360" w:lineRule="auto"/>
        <w:ind w:left="720"/>
        <w:jc w:val="both"/>
        <w:rPr>
          <w:rFonts w:ascii="Palatino Linotype" w:eastAsia="Palatino Linotype" w:hAnsi="Palatino Linotype" w:cs="Palatino Linotype"/>
        </w:rPr>
      </w:pPr>
      <w:r w:rsidRPr="00900C42">
        <w:rPr>
          <w:rFonts w:ascii="Palatino Linotype" w:eastAsia="Palatino Linotype" w:hAnsi="Palatino Linotype" w:cs="Palatino Linotype"/>
          <w:b/>
        </w:rPr>
        <w:t>b)</w:t>
      </w:r>
      <w:r w:rsidRPr="00900C42">
        <w:rPr>
          <w:rFonts w:ascii="Palatino Linotype" w:eastAsia="Palatino Linotype" w:hAnsi="Palatino Linotype" w:cs="Palatino Linotype"/>
        </w:rPr>
        <w:t xml:space="preserve"> Actividad Procesal del interesado: Acciones u omisiones del interesado.</w:t>
      </w:r>
    </w:p>
    <w:p w:rsidR="00A04BDC" w:rsidRPr="00900C42" w:rsidRDefault="00A3635F">
      <w:pPr>
        <w:spacing w:line="360" w:lineRule="auto"/>
        <w:ind w:left="720"/>
        <w:jc w:val="both"/>
        <w:rPr>
          <w:rFonts w:ascii="Palatino Linotype" w:eastAsia="Palatino Linotype" w:hAnsi="Palatino Linotype" w:cs="Palatino Linotype"/>
        </w:rPr>
      </w:pPr>
      <w:r w:rsidRPr="00900C42">
        <w:rPr>
          <w:rFonts w:ascii="Palatino Linotype" w:eastAsia="Palatino Linotype" w:hAnsi="Palatino Linotype" w:cs="Palatino Linotype"/>
          <w:b/>
        </w:rPr>
        <w:t>c)</w:t>
      </w:r>
      <w:r w:rsidRPr="00900C42">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A04BDC" w:rsidRPr="00900C42" w:rsidRDefault="00A3635F">
      <w:pPr>
        <w:spacing w:line="360" w:lineRule="auto"/>
        <w:ind w:left="720"/>
        <w:jc w:val="both"/>
        <w:rPr>
          <w:rFonts w:ascii="Palatino Linotype" w:eastAsia="Palatino Linotype" w:hAnsi="Palatino Linotype" w:cs="Palatino Linotype"/>
        </w:rPr>
      </w:pPr>
      <w:r w:rsidRPr="00900C42">
        <w:rPr>
          <w:rFonts w:ascii="Palatino Linotype" w:eastAsia="Palatino Linotype" w:hAnsi="Palatino Linotype" w:cs="Palatino Linotype"/>
          <w:b/>
        </w:rPr>
        <w:t>d)</w:t>
      </w:r>
      <w:r w:rsidRPr="00900C42">
        <w:rPr>
          <w:rFonts w:ascii="Palatino Linotype" w:eastAsia="Palatino Linotype" w:hAnsi="Palatino Linotype" w:cs="Palatino Linotype"/>
        </w:rPr>
        <w:t xml:space="preserve"> La afectación generada en la situación jurídica de la persona involucrada en el proceso: Violación a sus derechos humanos.</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Argumento que encuentra sustento en la jurisprudencia P./J. 32/92 emitida por el Pleno de la Suprema Corte de Justicia de la Nación de rubro “</w:t>
      </w:r>
      <w:r w:rsidRPr="00900C4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00C42">
        <w:rPr>
          <w:rFonts w:ascii="Palatino Linotype" w:eastAsia="Palatino Linotype" w:hAnsi="Palatino Linotype" w:cs="Palatino Linotype"/>
        </w:rPr>
        <w:t>, visible en la Gaceta del Seminario Judicial de la Federación con el registro digital 205635.</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900C42">
        <w:rPr>
          <w:rFonts w:ascii="Palatino Linotype" w:eastAsia="Palatino Linotype" w:hAnsi="Palatino Linotype" w:cs="Palatino Linotype"/>
        </w:rPr>
        <w:lastRenderedPageBreak/>
        <w:t>términos legales previamente establecidos por la Ley, por tratarse de causas de fuerza mayor.</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i/>
        </w:rPr>
        <w:t>“PLAZO RAZONABLE PARA RESOLVER. DIMENSIÓN Y EFECTOS DE ESTE CONCEPTO CUANDO SE ADUCE EXCESIVA CARGA DE TRABAJO.”</w:t>
      </w:r>
      <w:r w:rsidRPr="00900C42">
        <w:rPr>
          <w:rFonts w:ascii="Palatino Linotype" w:eastAsia="Palatino Linotype" w:hAnsi="Palatino Linotype" w:cs="Palatino Linotype"/>
        </w:rPr>
        <w:t xml:space="preserve"> consultable en el Seminario Judicial de la Federación y su gaceta, con el registro digital 2002351.</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i/>
        </w:rPr>
        <w:t>“PLAZO RAZONABLE PARA RESOLVER. CONCEPTO Y ELEMENTOS QUE LO INTEGRAN A LA LUZ DEL DERECHO INTERNACIONAL DE LOS DERECHOS HUMANOS.”</w:t>
      </w:r>
      <w:r w:rsidRPr="00900C42">
        <w:rPr>
          <w:rFonts w:ascii="Palatino Linotype" w:eastAsia="Palatino Linotype" w:hAnsi="Palatino Linotype" w:cs="Palatino Linotype"/>
        </w:rPr>
        <w:t>, visible en el Seminario Judicial de la Federación y su gaceta, con el registro digital 2002350.</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A04BDC" w:rsidRPr="00900C42" w:rsidRDefault="00A04BDC">
      <w:pPr>
        <w:spacing w:line="360" w:lineRule="auto"/>
        <w:jc w:val="both"/>
        <w:rPr>
          <w:rFonts w:ascii="Palatino Linotype" w:eastAsia="Palatino Linotype" w:hAnsi="Palatino Linotype" w:cs="Palatino Linotype"/>
        </w:rPr>
      </w:pPr>
    </w:p>
    <w:p w:rsidR="00900C42" w:rsidRPr="00900C42" w:rsidRDefault="00900C42">
      <w:pPr>
        <w:spacing w:line="360" w:lineRule="auto"/>
        <w:jc w:val="both"/>
        <w:rPr>
          <w:rFonts w:ascii="Palatino Linotype" w:eastAsia="Palatino Linotype" w:hAnsi="Palatino Linotype" w:cs="Palatino Linotype"/>
        </w:rPr>
      </w:pPr>
    </w:p>
    <w:p w:rsidR="00900C42" w:rsidRPr="00900C42" w:rsidRDefault="00900C42">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b/>
        </w:rPr>
      </w:pPr>
      <w:r w:rsidRPr="00900C42">
        <w:rPr>
          <w:rFonts w:ascii="Palatino Linotype" w:eastAsia="Palatino Linotype" w:hAnsi="Palatino Linotype" w:cs="Palatino Linotype"/>
          <w:b/>
        </w:rPr>
        <w:lastRenderedPageBreak/>
        <w:t>d) Cierre de Instrucción</w:t>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Por lo que, una vez analizado el estado procesal que guarda el expediente, en fecha </w:t>
      </w:r>
      <w:r w:rsidR="00900C42" w:rsidRPr="00900C42">
        <w:rPr>
          <w:rFonts w:ascii="Palatino Linotype" w:eastAsia="Palatino Linotype" w:hAnsi="Palatino Linotype" w:cs="Palatino Linotype"/>
          <w:b/>
        </w:rPr>
        <w:t>veinte</w:t>
      </w:r>
      <w:r w:rsidRPr="00900C42">
        <w:rPr>
          <w:rFonts w:ascii="Palatino Linotype" w:eastAsia="Palatino Linotype" w:hAnsi="Palatino Linotype" w:cs="Palatino Linotype"/>
          <w:b/>
        </w:rPr>
        <w:t xml:space="preserve"> de septiembre de dos mil veintidós</w:t>
      </w:r>
      <w:r w:rsidRPr="00900C42">
        <w:rPr>
          <w:rFonts w:ascii="Palatino Linotype" w:eastAsia="Palatino Linotype" w:hAnsi="Palatino Linotype" w:cs="Palatino Linotype"/>
        </w:rPr>
        <w:t xml:space="preserve">, la </w:t>
      </w:r>
      <w:r w:rsidRPr="00900C42">
        <w:rPr>
          <w:rFonts w:ascii="Palatino Linotype" w:eastAsia="Palatino Linotype" w:hAnsi="Palatino Linotype" w:cs="Palatino Linotype"/>
          <w:b/>
        </w:rPr>
        <w:t xml:space="preserve">Comisionada Sharon Cristina Morales Martínez </w:t>
      </w:r>
      <w:r w:rsidRPr="00900C42">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A04BDC" w:rsidRPr="00900C42" w:rsidRDefault="00A04BDC">
      <w:pPr>
        <w:rPr>
          <w:rFonts w:ascii="Palatino Linotype" w:eastAsia="Palatino Linotype" w:hAnsi="Palatino Linotype" w:cs="Palatino Linotype"/>
          <w:b/>
          <w:sz w:val="28"/>
          <w:szCs w:val="28"/>
        </w:rPr>
      </w:pPr>
    </w:p>
    <w:p w:rsidR="00A04BDC" w:rsidRPr="00900C42" w:rsidRDefault="00A04BDC">
      <w:pPr>
        <w:jc w:val="center"/>
        <w:rPr>
          <w:rFonts w:ascii="Palatino Linotype" w:eastAsia="Palatino Linotype" w:hAnsi="Palatino Linotype" w:cs="Palatino Linotype"/>
          <w:b/>
          <w:sz w:val="28"/>
          <w:szCs w:val="28"/>
        </w:rPr>
      </w:pPr>
    </w:p>
    <w:p w:rsidR="00A04BDC" w:rsidRPr="00900C42" w:rsidRDefault="00A3635F">
      <w:pPr>
        <w:jc w:val="center"/>
        <w:rPr>
          <w:rFonts w:ascii="Palatino Linotype" w:eastAsia="Palatino Linotype" w:hAnsi="Palatino Linotype" w:cs="Palatino Linotype"/>
          <w:b/>
          <w:sz w:val="28"/>
          <w:szCs w:val="28"/>
        </w:rPr>
      </w:pPr>
      <w:r w:rsidRPr="00900C42">
        <w:rPr>
          <w:rFonts w:ascii="Palatino Linotype" w:eastAsia="Palatino Linotype" w:hAnsi="Palatino Linotype" w:cs="Palatino Linotype"/>
          <w:b/>
          <w:sz w:val="28"/>
          <w:szCs w:val="28"/>
        </w:rPr>
        <w:t>CONSIDERANDO</w:t>
      </w:r>
    </w:p>
    <w:p w:rsidR="00A04BDC" w:rsidRPr="00900C42" w:rsidRDefault="00A04BDC">
      <w:pPr>
        <w:jc w:val="center"/>
        <w:rPr>
          <w:rFonts w:ascii="Palatino Linotype" w:eastAsia="Palatino Linotype" w:hAnsi="Palatino Linotype" w:cs="Palatino Linotype"/>
          <w:b/>
          <w:sz w:val="28"/>
          <w:szCs w:val="28"/>
        </w:rPr>
      </w:pPr>
    </w:p>
    <w:p w:rsidR="00A04BDC" w:rsidRPr="00900C42" w:rsidRDefault="00A3635F">
      <w:pPr>
        <w:widowControl w:val="0"/>
        <w:tabs>
          <w:tab w:val="left" w:pos="1701"/>
        </w:tabs>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b/>
          <w:sz w:val="28"/>
          <w:szCs w:val="28"/>
        </w:rPr>
        <w:t>PRIMERO.</w:t>
      </w:r>
      <w:r w:rsidRPr="00900C42">
        <w:rPr>
          <w:rFonts w:ascii="Palatino Linotype" w:eastAsia="Palatino Linotype" w:hAnsi="Palatino Linotype" w:cs="Palatino Linotype"/>
          <w:b/>
        </w:rPr>
        <w:t xml:space="preserve"> Competencia</w:t>
      </w:r>
      <w:r w:rsidRPr="00900C42">
        <w:rPr>
          <w:rFonts w:ascii="Palatino Linotype" w:eastAsia="Palatino Linotype" w:hAnsi="Palatino Linotype" w:cs="Palatino Linotype"/>
        </w:rPr>
        <w:t>.</w:t>
      </w:r>
      <w:r w:rsidRPr="00900C42">
        <w:rPr>
          <w:rFonts w:ascii="Palatino Linotype" w:eastAsia="Palatino Linotype" w:hAnsi="Palatino Linotype" w:cs="Palatino Linotype"/>
          <w:b/>
        </w:rPr>
        <w:t xml:space="preserve"> </w:t>
      </w:r>
    </w:p>
    <w:p w:rsidR="00A04BDC" w:rsidRPr="00900C42" w:rsidRDefault="00A3635F">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900C42">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A04BDC" w:rsidRPr="00900C42" w:rsidRDefault="00A3635F">
      <w:pPr>
        <w:spacing w:line="360" w:lineRule="auto"/>
        <w:jc w:val="both"/>
        <w:rPr>
          <w:rFonts w:ascii="Palatino Linotype" w:eastAsia="Palatino Linotype" w:hAnsi="Palatino Linotype" w:cs="Palatino Linotype"/>
          <w:b/>
        </w:rPr>
      </w:pPr>
      <w:r w:rsidRPr="00900C42">
        <w:rPr>
          <w:rFonts w:ascii="Palatino Linotype" w:eastAsia="Palatino Linotype" w:hAnsi="Palatino Linotype" w:cs="Palatino Linotype"/>
          <w:b/>
          <w:sz w:val="28"/>
          <w:szCs w:val="28"/>
        </w:rPr>
        <w:lastRenderedPageBreak/>
        <w:t>SEGUNDO</w:t>
      </w:r>
      <w:r w:rsidRPr="00900C42">
        <w:rPr>
          <w:rFonts w:ascii="Palatino Linotype" w:eastAsia="Palatino Linotype" w:hAnsi="Palatino Linotype" w:cs="Palatino Linotype"/>
          <w:b/>
        </w:rPr>
        <w:t xml:space="preserve">. Interés. </w:t>
      </w:r>
    </w:p>
    <w:p w:rsidR="00A04BDC" w:rsidRPr="00900C42" w:rsidRDefault="00A3635F">
      <w:pPr>
        <w:spacing w:line="360" w:lineRule="auto"/>
        <w:jc w:val="both"/>
        <w:rPr>
          <w:rFonts w:ascii="Palatino Linotype" w:eastAsia="Palatino Linotype" w:hAnsi="Palatino Linotype" w:cs="Palatino Linotype"/>
          <w:b/>
          <w:color w:val="000000"/>
        </w:rPr>
      </w:pPr>
      <w:r w:rsidRPr="00900C42">
        <w:rPr>
          <w:rFonts w:ascii="Palatino Linotype" w:eastAsia="Palatino Linotype" w:hAnsi="Palatino Linotype" w:cs="Palatino Linotype"/>
        </w:rPr>
        <w:t>El</w:t>
      </w:r>
      <w:r w:rsidRPr="00900C42">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900C42">
        <w:rPr>
          <w:rFonts w:ascii="Palatino Linotype" w:eastAsia="Palatino Linotype" w:hAnsi="Palatino Linotype" w:cs="Palatino Linotype"/>
          <w:b/>
        </w:rPr>
        <w:t>LA</w:t>
      </w:r>
      <w:r w:rsidRPr="00900C42">
        <w:rPr>
          <w:rFonts w:ascii="Palatino Linotype" w:eastAsia="Palatino Linotype" w:hAnsi="Palatino Linotype" w:cs="Palatino Linotype"/>
          <w:b/>
          <w:color w:val="000000"/>
        </w:rPr>
        <w:t xml:space="preserve"> RECURRENTE,</w:t>
      </w:r>
      <w:r w:rsidRPr="00900C42">
        <w:rPr>
          <w:rFonts w:ascii="Palatino Linotype" w:eastAsia="Palatino Linotype" w:hAnsi="Palatino Linotype" w:cs="Palatino Linotype"/>
          <w:color w:val="000000"/>
        </w:rPr>
        <w:t xml:space="preserve"> quien es la misma persona que formuló la solicitud de acceso a la información pública al </w:t>
      </w:r>
      <w:r w:rsidRPr="00900C42">
        <w:rPr>
          <w:rFonts w:ascii="Palatino Linotype" w:eastAsia="Palatino Linotype" w:hAnsi="Palatino Linotype" w:cs="Palatino Linotype"/>
          <w:b/>
          <w:color w:val="000000"/>
        </w:rPr>
        <w:t xml:space="preserve">SUJETO OBLIGADO, </w:t>
      </w:r>
      <w:r w:rsidRPr="00900C42">
        <w:rPr>
          <w:rFonts w:ascii="Palatino Linotype" w:eastAsia="Palatino Linotype" w:hAnsi="Palatino Linotype" w:cs="Palatino Linotype"/>
          <w:color w:val="000000"/>
        </w:rPr>
        <w:t xml:space="preserve">pues para ello, es necesario que el particular ingrese al </w:t>
      </w:r>
      <w:r w:rsidRPr="00900C42">
        <w:rPr>
          <w:rFonts w:ascii="Palatino Linotype" w:eastAsia="Palatino Linotype" w:hAnsi="Palatino Linotype" w:cs="Palatino Linotype"/>
          <w:b/>
          <w:color w:val="000000"/>
        </w:rPr>
        <w:t xml:space="preserve">SAIMEX </w:t>
      </w:r>
      <w:r w:rsidRPr="00900C42">
        <w:rPr>
          <w:rFonts w:ascii="Palatino Linotype" w:eastAsia="Palatino Linotype" w:hAnsi="Palatino Linotype" w:cs="Palatino Linotype"/>
          <w:color w:val="000000"/>
        </w:rPr>
        <w:t>mediante la utilización de su clave de usuario y contraseña.</w:t>
      </w:r>
    </w:p>
    <w:p w:rsidR="00A04BDC" w:rsidRPr="00900C42" w:rsidRDefault="00A04BDC">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A04BDC" w:rsidRPr="00900C42" w:rsidRDefault="00A3635F">
      <w:pPr>
        <w:tabs>
          <w:tab w:val="center" w:pos="4252"/>
          <w:tab w:val="right" w:pos="8504"/>
        </w:tabs>
        <w:spacing w:line="360" w:lineRule="auto"/>
        <w:ind w:left="-57"/>
        <w:jc w:val="both"/>
        <w:rPr>
          <w:rFonts w:ascii="Palatino Linotype" w:eastAsia="Palatino Linotype" w:hAnsi="Palatino Linotype" w:cs="Palatino Linotype"/>
          <w:color w:val="000000"/>
        </w:rPr>
      </w:pPr>
      <w:r w:rsidRPr="00900C42">
        <w:rPr>
          <w:rFonts w:ascii="Palatino Linotype" w:eastAsia="Palatino Linotype" w:hAnsi="Palatino Linotype" w:cs="Palatino Linotype"/>
          <w:b/>
          <w:sz w:val="28"/>
          <w:szCs w:val="28"/>
        </w:rPr>
        <w:t>TERCERO.</w:t>
      </w:r>
      <w:r w:rsidRPr="00900C42">
        <w:rPr>
          <w:rFonts w:ascii="Palatino Linotype" w:eastAsia="Palatino Linotype" w:hAnsi="Palatino Linotype" w:cs="Palatino Linotype"/>
        </w:rPr>
        <w:t xml:space="preserve"> </w:t>
      </w:r>
      <w:r w:rsidRPr="00900C42">
        <w:rPr>
          <w:rFonts w:ascii="Palatino Linotype" w:eastAsia="Palatino Linotype" w:hAnsi="Palatino Linotype" w:cs="Palatino Linotype"/>
          <w:b/>
          <w:color w:val="000000"/>
        </w:rPr>
        <w:t>Oportunidad</w:t>
      </w:r>
      <w:r w:rsidRPr="00900C42">
        <w:rPr>
          <w:rFonts w:ascii="Palatino Linotype" w:eastAsia="Palatino Linotype" w:hAnsi="Palatino Linotype" w:cs="Palatino Linotype"/>
          <w:color w:val="000000"/>
        </w:rPr>
        <w:t xml:space="preserve">. </w:t>
      </w:r>
    </w:p>
    <w:p w:rsidR="00A04BDC" w:rsidRPr="00900C42" w:rsidRDefault="00A3635F">
      <w:pPr>
        <w:widowControl w:val="0"/>
        <w:tabs>
          <w:tab w:val="left" w:pos="1701"/>
        </w:tabs>
        <w:spacing w:line="360" w:lineRule="auto"/>
        <w:ind w:right="49"/>
        <w:jc w:val="both"/>
        <w:rPr>
          <w:rFonts w:ascii="Palatino Linotype" w:eastAsia="Palatino Linotype" w:hAnsi="Palatino Linotype" w:cs="Palatino Linotype"/>
          <w:b/>
        </w:rPr>
      </w:pPr>
      <w:r w:rsidRPr="00900C42">
        <w:rPr>
          <w:rFonts w:ascii="Palatino Linotype" w:eastAsia="Palatino Linotype" w:hAnsi="Palatino Linotype" w:cs="Palatino Linotype"/>
        </w:rPr>
        <w:t xml:space="preserve">El Recurso de Revisión fue interpuesto dentro del plazo de quince días hábiles, contados a partir del día siguiente al que </w:t>
      </w:r>
      <w:r w:rsidRPr="00900C42">
        <w:rPr>
          <w:rFonts w:ascii="Palatino Linotype" w:eastAsia="Palatino Linotype" w:hAnsi="Palatino Linotype" w:cs="Palatino Linotype"/>
          <w:b/>
        </w:rPr>
        <w:t xml:space="preserve">LA RECURRENTE </w:t>
      </w:r>
      <w:r w:rsidRPr="00900C4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A04BDC" w:rsidRPr="00900C42" w:rsidRDefault="00A04BDC">
      <w:pPr>
        <w:ind w:left="720" w:right="709"/>
        <w:jc w:val="both"/>
        <w:rPr>
          <w:rFonts w:ascii="Palatino Linotype" w:eastAsia="Palatino Linotype" w:hAnsi="Palatino Linotype" w:cs="Palatino Linotype"/>
          <w:i/>
          <w:sz w:val="22"/>
          <w:szCs w:val="22"/>
        </w:rPr>
      </w:pPr>
    </w:p>
    <w:p w:rsidR="00A04BDC" w:rsidRPr="00900C42" w:rsidRDefault="00A3635F">
      <w:pPr>
        <w:ind w:left="851"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w:t>
      </w:r>
      <w:r w:rsidRPr="00900C42">
        <w:rPr>
          <w:rFonts w:ascii="Palatino Linotype" w:eastAsia="Palatino Linotype" w:hAnsi="Palatino Linotype" w:cs="Palatino Linotype"/>
          <w:b/>
          <w:i/>
          <w:sz w:val="22"/>
          <w:szCs w:val="22"/>
        </w:rPr>
        <w:t>Artículo 178.</w:t>
      </w:r>
      <w:r w:rsidRPr="00900C4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04BDC" w:rsidRPr="00900C42" w:rsidRDefault="00A04BDC">
      <w:pPr>
        <w:ind w:left="851" w:right="899"/>
        <w:jc w:val="both"/>
        <w:rPr>
          <w:rFonts w:ascii="Palatino Linotype" w:eastAsia="Palatino Linotype" w:hAnsi="Palatino Linotype" w:cs="Palatino Linotype"/>
          <w:i/>
          <w:sz w:val="22"/>
          <w:szCs w:val="22"/>
        </w:rPr>
      </w:pPr>
    </w:p>
    <w:p w:rsidR="00A04BDC" w:rsidRPr="00900C42" w:rsidRDefault="00A3635F">
      <w:pPr>
        <w:ind w:left="851"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04BDC" w:rsidRPr="00900C42" w:rsidRDefault="00A04BDC">
      <w:pPr>
        <w:ind w:left="851" w:right="899"/>
        <w:jc w:val="both"/>
        <w:rPr>
          <w:rFonts w:ascii="Palatino Linotype" w:eastAsia="Palatino Linotype" w:hAnsi="Palatino Linotype" w:cs="Palatino Linotype"/>
          <w:i/>
          <w:sz w:val="22"/>
          <w:szCs w:val="22"/>
        </w:rPr>
      </w:pPr>
    </w:p>
    <w:p w:rsidR="00A04BDC" w:rsidRPr="00900C42" w:rsidRDefault="00A3635F">
      <w:pPr>
        <w:ind w:left="851"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A04BDC" w:rsidRPr="00900C42" w:rsidRDefault="00A04BDC">
      <w:pPr>
        <w:ind w:left="720" w:right="709"/>
        <w:jc w:val="both"/>
        <w:rPr>
          <w:rFonts w:ascii="Palatino Linotype" w:eastAsia="Palatino Linotype" w:hAnsi="Palatino Linotype" w:cs="Palatino Linotype"/>
          <w:i/>
          <w:sz w:val="22"/>
          <w:szCs w:val="22"/>
        </w:rPr>
      </w:pPr>
    </w:p>
    <w:p w:rsidR="00A04BDC" w:rsidRPr="00900C42" w:rsidRDefault="00A3635F">
      <w:pPr>
        <w:spacing w:line="360" w:lineRule="auto"/>
        <w:jc w:val="both"/>
        <w:rPr>
          <w:rFonts w:ascii="Palatino Linotype" w:eastAsia="Palatino Linotype" w:hAnsi="Palatino Linotype" w:cs="Palatino Linotype"/>
        </w:rPr>
      </w:pPr>
      <w:bookmarkStart w:id="5" w:name="_heading=h.2et92p0" w:colFirst="0" w:colLast="0"/>
      <w:bookmarkEnd w:id="5"/>
      <w:r w:rsidRPr="00900C42">
        <w:rPr>
          <w:rFonts w:ascii="Palatino Linotype" w:eastAsia="Palatino Linotype" w:hAnsi="Palatino Linotype" w:cs="Palatino Linotype"/>
        </w:rPr>
        <w:lastRenderedPageBreak/>
        <w:t xml:space="preserve">En esa tesitura, atendiendo a que </w:t>
      </w:r>
      <w:r w:rsidRPr="00900C42">
        <w:rPr>
          <w:rFonts w:ascii="Palatino Linotype" w:eastAsia="Palatino Linotype" w:hAnsi="Palatino Linotype" w:cs="Palatino Linotype"/>
          <w:b/>
        </w:rPr>
        <w:t>EL SUJETO OBLIGADO</w:t>
      </w:r>
      <w:r w:rsidRPr="00900C42">
        <w:rPr>
          <w:rFonts w:ascii="Palatino Linotype" w:eastAsia="Palatino Linotype" w:hAnsi="Palatino Linotype" w:cs="Palatino Linotype"/>
        </w:rPr>
        <w:t xml:space="preserve"> notificó la respuesta a la solicitud de acceso a la información pública el día</w:t>
      </w:r>
      <w:r w:rsidRPr="00900C42">
        <w:rPr>
          <w:rFonts w:ascii="Palatino Linotype" w:eastAsia="Palatino Linotype" w:hAnsi="Palatino Linotype" w:cs="Palatino Linotype"/>
          <w:b/>
        </w:rPr>
        <w:t xml:space="preserve"> veintiséis de mayo de dos mil veintidós</w:t>
      </w:r>
      <w:r w:rsidRPr="00900C42">
        <w:rPr>
          <w:rFonts w:ascii="Palatino Linotype" w:eastAsia="Palatino Linotype" w:hAnsi="Palatino Linotype" w:cs="Palatino Linotype"/>
        </w:rPr>
        <w:t xml:space="preserve">, así el plazo de quince días hábiles que el artículo 178 de la Ley de la materia otorga al </w:t>
      </w:r>
      <w:r w:rsidRPr="00900C42">
        <w:rPr>
          <w:rFonts w:ascii="Palatino Linotype" w:eastAsia="Palatino Linotype" w:hAnsi="Palatino Linotype" w:cs="Palatino Linotype"/>
          <w:b/>
        </w:rPr>
        <w:t xml:space="preserve"> RECURRENTE</w:t>
      </w:r>
      <w:r w:rsidRPr="00900C42">
        <w:rPr>
          <w:rFonts w:ascii="Palatino Linotype" w:eastAsia="Palatino Linotype" w:hAnsi="Palatino Linotype" w:cs="Palatino Linotype"/>
        </w:rPr>
        <w:t xml:space="preserve"> para presentar el respectivo Recurso de Revisión, transcurrió del</w:t>
      </w:r>
      <w:r w:rsidRPr="00900C42">
        <w:rPr>
          <w:rFonts w:ascii="Palatino Linotype" w:eastAsia="Palatino Linotype" w:hAnsi="Palatino Linotype" w:cs="Palatino Linotype"/>
          <w:b/>
        </w:rPr>
        <w:t xml:space="preserve"> veintisiete de mayo al dieciséis de junio de dos mil veintidós, </w:t>
      </w:r>
      <w:r w:rsidRPr="00900C42">
        <w:rPr>
          <w:rFonts w:ascii="Palatino Linotype" w:eastAsia="Palatino Linotype" w:hAnsi="Palatino Linotype" w:cs="Palatino Linotype"/>
        </w:rPr>
        <w:t xml:space="preserve">sin contemplar en el cómputo los días veintiocho y veintinueve de mayo, así como, cuatro, cinco once y doce de junio por corresponder a sábados y domingos, considerados como días inhábiles, en términos del artículo 3, fracción X de la Ley de Transparencia y Acceso a la Información Pública del Estado de México y Municipios. </w:t>
      </w:r>
    </w:p>
    <w:p w:rsidR="00A04BDC" w:rsidRPr="00900C42" w:rsidRDefault="00A04BDC">
      <w:pPr>
        <w:spacing w:line="360" w:lineRule="auto"/>
        <w:jc w:val="both"/>
        <w:rPr>
          <w:rFonts w:ascii="Palatino Linotype" w:eastAsia="Palatino Linotype" w:hAnsi="Palatino Linotype" w:cs="Palatino Linotype"/>
        </w:rPr>
      </w:pPr>
      <w:bookmarkStart w:id="6" w:name="_heading=h.i1hfy3at8yz5" w:colFirst="0" w:colLast="0"/>
      <w:bookmarkEnd w:id="6"/>
    </w:p>
    <w:p w:rsidR="00A04BDC" w:rsidRPr="00900C42" w:rsidRDefault="00A3635F">
      <w:pPr>
        <w:spacing w:before="200" w:after="200"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En ese tenor, se advierte que </w:t>
      </w:r>
      <w:r w:rsidRPr="00900C42">
        <w:rPr>
          <w:rFonts w:ascii="Palatino Linotype" w:eastAsia="Palatino Linotype" w:hAnsi="Palatino Linotype" w:cs="Palatino Linotype"/>
          <w:b/>
        </w:rPr>
        <w:t>EL RECURRENTE</w:t>
      </w:r>
      <w:r w:rsidRPr="00900C42">
        <w:rPr>
          <w:rFonts w:ascii="Palatino Linotype" w:eastAsia="Palatino Linotype" w:hAnsi="Palatino Linotype" w:cs="Palatino Linotype"/>
        </w:rPr>
        <w:t xml:space="preserve"> presentó el medio de impugnación al rubro anotado el día dos de junio de dos mil veintidós, por lo tanto, su interposición se considera oportuna. </w:t>
      </w:r>
    </w:p>
    <w:p w:rsidR="00A04BDC" w:rsidRPr="00900C42" w:rsidRDefault="00A04BDC">
      <w:pPr>
        <w:spacing w:line="360" w:lineRule="auto"/>
        <w:ind w:right="49"/>
        <w:jc w:val="both"/>
        <w:rPr>
          <w:rFonts w:ascii="Palatino Linotype" w:eastAsia="Palatino Linotype" w:hAnsi="Palatino Linotype" w:cs="Palatino Linotype"/>
          <w:b/>
          <w:sz w:val="28"/>
          <w:szCs w:val="28"/>
        </w:rPr>
      </w:pPr>
    </w:p>
    <w:p w:rsidR="00A04BDC" w:rsidRPr="00900C42" w:rsidRDefault="00A3635F">
      <w:pPr>
        <w:spacing w:line="360" w:lineRule="auto"/>
        <w:ind w:right="49"/>
        <w:jc w:val="both"/>
        <w:rPr>
          <w:rFonts w:ascii="Palatino Linotype" w:eastAsia="Palatino Linotype" w:hAnsi="Palatino Linotype" w:cs="Palatino Linotype"/>
          <w:b/>
        </w:rPr>
      </w:pPr>
      <w:r w:rsidRPr="00900C42">
        <w:rPr>
          <w:rFonts w:ascii="Palatino Linotype" w:eastAsia="Palatino Linotype" w:hAnsi="Palatino Linotype" w:cs="Palatino Linotype"/>
          <w:b/>
          <w:sz w:val="28"/>
          <w:szCs w:val="28"/>
        </w:rPr>
        <w:t>CUARTO</w:t>
      </w:r>
      <w:r w:rsidRPr="00900C42">
        <w:rPr>
          <w:rFonts w:ascii="Palatino Linotype" w:eastAsia="Palatino Linotype" w:hAnsi="Palatino Linotype" w:cs="Palatino Linotype"/>
          <w:b/>
        </w:rPr>
        <w:t xml:space="preserve">. </w:t>
      </w:r>
      <w:proofErr w:type="spellStart"/>
      <w:r w:rsidRPr="00900C42">
        <w:rPr>
          <w:rFonts w:ascii="Palatino Linotype" w:eastAsia="Palatino Linotype" w:hAnsi="Palatino Linotype" w:cs="Palatino Linotype"/>
          <w:b/>
        </w:rPr>
        <w:t>Procedibilidad</w:t>
      </w:r>
      <w:proofErr w:type="spellEnd"/>
      <w:r w:rsidRPr="00900C42">
        <w:rPr>
          <w:rFonts w:ascii="Palatino Linotype" w:eastAsia="Palatino Linotype" w:hAnsi="Palatino Linotype" w:cs="Palatino Linotype"/>
          <w:b/>
        </w:rPr>
        <w:t xml:space="preserve">. </w:t>
      </w:r>
    </w:p>
    <w:p w:rsidR="00A04BDC" w:rsidRPr="00900C42" w:rsidRDefault="00A3635F">
      <w:pPr>
        <w:spacing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Esta Ponencia considera que el Recurso que nos ocupa cumple con todos los requisitos de </w:t>
      </w:r>
      <w:proofErr w:type="spellStart"/>
      <w:r w:rsidRPr="00900C42">
        <w:rPr>
          <w:rFonts w:ascii="Palatino Linotype" w:eastAsia="Palatino Linotype" w:hAnsi="Palatino Linotype" w:cs="Palatino Linotype"/>
        </w:rPr>
        <w:t>Procedibilidad</w:t>
      </w:r>
      <w:proofErr w:type="spellEnd"/>
      <w:r w:rsidRPr="00900C42">
        <w:rPr>
          <w:rFonts w:ascii="Palatino Linotype" w:eastAsia="Palatino Linotype" w:hAnsi="Palatino Linotype" w:cs="Palatino Linotype"/>
        </w:rPr>
        <w:t xml:space="preserve"> establecidos en el artículo 180 de la Ley de Transparencia y Acceso a la Información Pública del Estado de México y Municipios, por lo cual, si interposición se considera procedente. </w:t>
      </w:r>
    </w:p>
    <w:p w:rsidR="00A04BDC" w:rsidRPr="00900C42" w:rsidRDefault="00A04BDC">
      <w:pPr>
        <w:spacing w:line="360" w:lineRule="auto"/>
        <w:ind w:right="49"/>
        <w:jc w:val="both"/>
        <w:rPr>
          <w:rFonts w:ascii="Palatino Linotype" w:eastAsia="Palatino Linotype" w:hAnsi="Palatino Linotype" w:cs="Palatino Linotype"/>
        </w:rPr>
      </w:pPr>
    </w:p>
    <w:p w:rsidR="00900C42" w:rsidRPr="00900C42" w:rsidRDefault="00900C42">
      <w:pPr>
        <w:spacing w:line="360" w:lineRule="auto"/>
        <w:ind w:right="49"/>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b/>
        </w:rPr>
      </w:pPr>
      <w:r w:rsidRPr="00900C42">
        <w:rPr>
          <w:rFonts w:ascii="Palatino Linotype" w:eastAsia="Palatino Linotype" w:hAnsi="Palatino Linotype" w:cs="Palatino Linotype"/>
          <w:b/>
          <w:sz w:val="28"/>
          <w:szCs w:val="28"/>
        </w:rPr>
        <w:lastRenderedPageBreak/>
        <w:t>QUINTO</w:t>
      </w:r>
      <w:r w:rsidRPr="00900C42">
        <w:rPr>
          <w:rFonts w:ascii="Palatino Linotype" w:eastAsia="Palatino Linotype" w:hAnsi="Palatino Linotype" w:cs="Palatino Linotype"/>
          <w:b/>
        </w:rPr>
        <w:t xml:space="preserve">. Estudio y resolución del asunto. </w:t>
      </w:r>
    </w:p>
    <w:p w:rsidR="00A04BDC" w:rsidRPr="00900C42" w:rsidRDefault="00A3635F">
      <w:pPr>
        <w:tabs>
          <w:tab w:val="left" w:pos="709"/>
        </w:tabs>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En primera instancia es importante recordar que, </w:t>
      </w:r>
      <w:r w:rsidRPr="00900C42">
        <w:rPr>
          <w:rFonts w:ascii="Palatino Linotype" w:eastAsia="Palatino Linotype" w:hAnsi="Palatino Linotype" w:cs="Palatino Linotype"/>
          <w:b/>
        </w:rPr>
        <w:t>LA RECURRENTE</w:t>
      </w:r>
      <w:r w:rsidRPr="00900C42">
        <w:rPr>
          <w:rFonts w:ascii="Palatino Linotype" w:eastAsia="Palatino Linotype" w:hAnsi="Palatino Linotype" w:cs="Palatino Linotype"/>
        </w:rPr>
        <w:t xml:space="preserve"> solicitó al </w:t>
      </w:r>
      <w:r w:rsidRPr="00900C42">
        <w:rPr>
          <w:rFonts w:ascii="Palatino Linotype" w:eastAsia="Palatino Linotype" w:hAnsi="Palatino Linotype" w:cs="Palatino Linotype"/>
          <w:b/>
        </w:rPr>
        <w:t>SUJETO OBLIGADO</w:t>
      </w:r>
      <w:r w:rsidRPr="00900C42">
        <w:rPr>
          <w:rFonts w:ascii="Palatino Linotype" w:eastAsia="Palatino Linotype" w:hAnsi="Palatino Linotype" w:cs="Palatino Linotype"/>
        </w:rPr>
        <w:t xml:space="preserve"> lo siguiente: </w:t>
      </w:r>
    </w:p>
    <w:p w:rsidR="00A04BDC" w:rsidRPr="00900C42" w:rsidRDefault="00A3635F">
      <w:pPr>
        <w:ind w:left="850" w:right="899"/>
        <w:jc w:val="both"/>
        <w:rPr>
          <w:rFonts w:ascii="Palatino Linotype" w:eastAsia="Palatino Linotype" w:hAnsi="Palatino Linotype" w:cs="Palatino Linotype"/>
        </w:rPr>
      </w:pPr>
      <w:r w:rsidRPr="00900C42">
        <w:rPr>
          <w:rFonts w:ascii="Palatino Linotype" w:eastAsia="Palatino Linotype" w:hAnsi="Palatino Linotype" w:cs="Palatino Linotype"/>
          <w:i/>
          <w:sz w:val="22"/>
          <w:szCs w:val="22"/>
        </w:rPr>
        <w:t>“¿ESTÁ MUNICIPALIZADO EL CONJUNTO URBANO PORTOFINO ROYAL COUNTRY CLUB? UBICADO EN LA COLONIA AGRÍCOLA BELLAVISTA, METEPEC, ESTADO DE MÉXICO, EL CUAL FUE AUTORIZADO EL 03 DE FEBRERO DE 2015 Y PUBLICADO EN LA GACETA DEL GOBIERNO DEL ESTADO DE MÉXICO EL 12 DE FEBRERO DE 2015. SI LA RESPUESTA ES POSITIVA ¿EN QUÉ FECHA SE REALIZÓ?” (sic)</w:t>
      </w:r>
    </w:p>
    <w:p w:rsidR="00A04BDC" w:rsidRPr="00900C42" w:rsidRDefault="00A3635F">
      <w:pPr>
        <w:spacing w:before="240" w:after="160"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A lo cual en respuesta </w:t>
      </w:r>
      <w:r w:rsidRPr="00900C42">
        <w:rPr>
          <w:rFonts w:ascii="Palatino Linotype" w:eastAsia="Palatino Linotype" w:hAnsi="Palatino Linotype" w:cs="Palatino Linotype"/>
          <w:b/>
        </w:rPr>
        <w:t>EL SUJETO OBLIGADO</w:t>
      </w:r>
      <w:r w:rsidRPr="00900C42">
        <w:rPr>
          <w:rFonts w:ascii="Palatino Linotype" w:eastAsia="Palatino Linotype" w:hAnsi="Palatino Linotype" w:cs="Palatino Linotype"/>
        </w:rPr>
        <w:t xml:space="preserve"> señaló por medio de la Titular de la Unidad de Transparencia, quien manifiesta que la Directora General de Operación y control Urbano realizó una búsqueda de la información donde localizó un Acta de Entrega- Recepción de municipalización de obras de equipamiento en fecha cinco de marzo de dos mil dieciocho. </w:t>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Motivo por el cual la particular se inconforma señalando que la respuesta no corresponde a lo solicitado, lo que, en consecuencia actualiza la causal de procedencia prevista en la Ley de Transparencia y Acceso a la Información Pública del Estado de México y Municipios artículo 179 fracción VI que versa sobre lo siguiente: </w:t>
      </w:r>
    </w:p>
    <w:p w:rsidR="00A04BDC" w:rsidRPr="00900C42" w:rsidRDefault="00A3635F">
      <w:pPr>
        <w:spacing w:before="240" w:after="160"/>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b/>
          <w:i/>
          <w:sz w:val="22"/>
          <w:szCs w:val="22"/>
        </w:rPr>
        <w:t>“Artículo 179.</w:t>
      </w:r>
      <w:r w:rsidRPr="00900C4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A04BDC" w:rsidRPr="00900C42" w:rsidRDefault="00A3635F">
      <w:pPr>
        <w:spacing w:before="240" w:after="160"/>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b/>
          <w:i/>
          <w:sz w:val="22"/>
          <w:szCs w:val="22"/>
        </w:rPr>
        <w:t>VI. La entrega de información que no corresponda con lo solicitado;”</w:t>
      </w:r>
    </w:p>
    <w:p w:rsidR="00A04BDC" w:rsidRPr="00900C42" w:rsidRDefault="00A3635F">
      <w:pPr>
        <w:spacing w:before="240" w:after="160"/>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(énfasis añadido)</w:t>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lastRenderedPageBreak/>
        <w:t xml:space="preserve">Luego entonces lo procedente es analizar la totalidad de las constancias que obran en el expediente electrónico del SAIMEX a fin de determinar si con estas se puede tener por satisfecho el derecho de Acceso a la Información Pública de la particular.  </w:t>
      </w:r>
    </w:p>
    <w:p w:rsidR="00A04BDC" w:rsidRPr="00900C42" w:rsidRDefault="00A3635F">
      <w:pPr>
        <w:spacing w:line="360" w:lineRule="auto"/>
        <w:ind w:right="-28"/>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En primer lugar se puede observar que la solicitud de información de </w:t>
      </w:r>
      <w:r w:rsidRPr="00900C42">
        <w:rPr>
          <w:rFonts w:ascii="Palatino Linotype" w:eastAsia="Palatino Linotype" w:hAnsi="Palatino Linotype" w:cs="Palatino Linotype"/>
          <w:b/>
        </w:rPr>
        <w:t>LA RECURRENTE</w:t>
      </w:r>
      <w:r w:rsidRPr="00900C42">
        <w:rPr>
          <w:rFonts w:ascii="Palatino Linotype" w:eastAsia="Palatino Linotype" w:hAnsi="Palatino Linotype" w:cs="Palatino Linotype"/>
        </w:rPr>
        <w:t xml:space="preserve"> requiere un pronunciamiento específico que implicaría que </w:t>
      </w:r>
      <w:r w:rsidRPr="00900C42">
        <w:rPr>
          <w:rFonts w:ascii="Palatino Linotype" w:eastAsia="Palatino Linotype" w:hAnsi="Palatino Linotype" w:cs="Palatino Linotype"/>
          <w:b/>
        </w:rPr>
        <w:t>EL SUJETO OBLIGADO</w:t>
      </w:r>
      <w:r w:rsidRPr="00900C42">
        <w:rPr>
          <w:rFonts w:ascii="Palatino Linotype" w:eastAsia="Palatino Linotype" w:hAnsi="Palatino Linotype" w:cs="Palatino Linotype"/>
        </w:rPr>
        <w:t xml:space="preserve"> lleve a cabo un documento a modo, por lo que es importante señalar que los Sujetos Obligados, únicamente deben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rsidR="00A04BDC" w:rsidRPr="00900C42" w:rsidRDefault="00A3635F">
      <w:pPr>
        <w:ind w:left="851" w:right="902"/>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w:t>
      </w:r>
      <w:r w:rsidRPr="00900C42">
        <w:rPr>
          <w:rFonts w:ascii="Palatino Linotype" w:eastAsia="Palatino Linotype" w:hAnsi="Palatino Linotype" w:cs="Palatino Linotype"/>
          <w:b/>
          <w:i/>
          <w:sz w:val="22"/>
          <w:szCs w:val="22"/>
        </w:rPr>
        <w:t>Artículo 12.</w:t>
      </w:r>
      <w:r w:rsidRPr="00900C4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04BDC" w:rsidRPr="00900C42" w:rsidRDefault="00A3635F">
      <w:pPr>
        <w:ind w:left="851" w:right="902"/>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A04BDC" w:rsidRPr="00900C42" w:rsidRDefault="00A3635F">
      <w:pPr>
        <w:shd w:val="clear" w:color="auto" w:fill="FFFFFF"/>
        <w:jc w:val="both"/>
      </w:pPr>
      <w:r w:rsidRPr="00900C42">
        <w:rPr>
          <w:rFonts w:ascii="Palatino Linotype" w:eastAsia="Palatino Linotype" w:hAnsi="Palatino Linotype" w:cs="Palatino Linotype"/>
          <w:sz w:val="22"/>
          <w:szCs w:val="22"/>
        </w:rPr>
        <w:t> </w:t>
      </w:r>
    </w:p>
    <w:p w:rsidR="00A04BDC" w:rsidRPr="00900C42" w:rsidRDefault="00A3635F">
      <w:pPr>
        <w:shd w:val="clear" w:color="auto" w:fill="FFFFFF"/>
        <w:jc w:val="both"/>
      </w:pPr>
      <w:r w:rsidRPr="00900C42">
        <w:rPr>
          <w:rFonts w:ascii="Palatino Linotype" w:eastAsia="Palatino Linotype" w:hAnsi="Palatino Linotype" w:cs="Palatino Linotype"/>
          <w:sz w:val="22"/>
          <w:szCs w:val="22"/>
        </w:rPr>
        <w:t> </w:t>
      </w:r>
    </w:p>
    <w:p w:rsidR="00A04BDC" w:rsidRPr="00900C42" w:rsidRDefault="00A3635F">
      <w:pPr>
        <w:shd w:val="clear" w:color="auto" w:fill="FFFFFF"/>
        <w:spacing w:line="360" w:lineRule="auto"/>
        <w:jc w:val="both"/>
        <w:rPr>
          <w:sz w:val="28"/>
          <w:szCs w:val="28"/>
        </w:rPr>
      </w:pPr>
      <w:r w:rsidRPr="00900C42">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rsidR="00A04BDC" w:rsidRPr="00900C42" w:rsidRDefault="00A3635F">
      <w:pPr>
        <w:shd w:val="clear" w:color="auto" w:fill="FFFFFF"/>
        <w:ind w:left="567" w:right="567"/>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b/>
          <w:i/>
          <w:sz w:val="22"/>
          <w:szCs w:val="22"/>
        </w:rPr>
        <w:t>“No existe obligación de elaborar documentos ad hoc para atender las solicitudes de acceso a la información. </w:t>
      </w:r>
      <w:r w:rsidRPr="00900C42">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w:t>
      </w:r>
      <w:r w:rsidRPr="00900C42">
        <w:rPr>
          <w:rFonts w:ascii="Palatino Linotype" w:eastAsia="Palatino Linotype" w:hAnsi="Palatino Linotype" w:cs="Palatino Linotype"/>
          <w:i/>
          <w:sz w:val="22"/>
          <w:szCs w:val="22"/>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rsidR="00A04BDC" w:rsidRPr="00900C42" w:rsidRDefault="00A04BDC">
      <w:pPr>
        <w:shd w:val="clear" w:color="auto" w:fill="FFFFFF"/>
        <w:ind w:left="567" w:right="567"/>
        <w:jc w:val="both"/>
        <w:rPr>
          <w:sz w:val="28"/>
          <w:szCs w:val="28"/>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Conforme a lo anterior, se advierte que los cuestionamientos realizados por </w:t>
      </w:r>
      <w:r w:rsidRPr="00900C42">
        <w:rPr>
          <w:rFonts w:ascii="Palatino Linotype" w:eastAsia="Palatino Linotype" w:hAnsi="Palatino Linotype" w:cs="Palatino Linotype"/>
          <w:b/>
        </w:rPr>
        <w:t>LA RECURRENTE</w:t>
      </w:r>
      <w:r w:rsidRPr="00900C42">
        <w:rPr>
          <w:rFonts w:ascii="Palatino Linotype" w:eastAsia="Palatino Linotype" w:hAnsi="Palatino Linotype" w:cs="Palatino Linotype"/>
        </w:rPr>
        <w:t xml:space="preserve">, en primera instancia, son una consulta y no así una solicitud de acceso a información pública que pueda ser atendida mediante una expresión documental; pues corresponde a varias preguntas que implicarían elaborar un documento </w:t>
      </w:r>
      <w:r w:rsidRPr="00900C42">
        <w:rPr>
          <w:rFonts w:ascii="Palatino Linotype" w:eastAsia="Palatino Linotype" w:hAnsi="Palatino Linotype" w:cs="Palatino Linotype"/>
          <w:i/>
        </w:rPr>
        <w:t>ad hoc.</w:t>
      </w:r>
      <w:r w:rsidRPr="00900C42">
        <w:rPr>
          <w:rFonts w:ascii="Palatino Linotype" w:eastAsia="Palatino Linotype" w:hAnsi="Palatino Linotype" w:cs="Palatino Linotype"/>
          <w:b/>
        </w:rPr>
        <w:t> </w:t>
      </w:r>
    </w:p>
    <w:p w:rsidR="00A04BDC" w:rsidRPr="00900C42" w:rsidRDefault="00A04BDC">
      <w:pPr>
        <w:spacing w:line="360" w:lineRule="auto"/>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rsidR="00A04BDC" w:rsidRPr="00900C42" w:rsidRDefault="00A04BDC"/>
    <w:p w:rsidR="00A04BDC" w:rsidRPr="00900C42" w:rsidRDefault="00A3635F">
      <w:pPr>
        <w:ind w:left="567" w:right="567"/>
        <w:jc w:val="both"/>
        <w:rPr>
          <w:sz w:val="28"/>
          <w:szCs w:val="28"/>
        </w:rPr>
      </w:pPr>
      <w:r w:rsidRPr="00900C42">
        <w:rPr>
          <w:rFonts w:ascii="Palatino Linotype" w:eastAsia="Palatino Linotype" w:hAnsi="Palatino Linotype" w:cs="Palatino Linotype"/>
          <w:b/>
          <w:i/>
          <w:sz w:val="22"/>
          <w:szCs w:val="22"/>
        </w:rPr>
        <w:t xml:space="preserve">“DERECHO DE PETICIÓN. SUS ELEMENTOS. </w:t>
      </w:r>
      <w:r w:rsidRPr="00900C42">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w:t>
      </w:r>
      <w:r w:rsidRPr="00900C42">
        <w:rPr>
          <w:rFonts w:ascii="Palatino Linotype" w:eastAsia="Palatino Linotype" w:hAnsi="Palatino Linotype" w:cs="Palatino Linotype"/>
          <w:i/>
          <w:sz w:val="22"/>
          <w:szCs w:val="22"/>
        </w:rPr>
        <w:lastRenderedPageBreak/>
        <w:t xml:space="preserve">obligación de resolver en determinado sentido, esto es, el ejercicio del derecho de petición no constriñe a la autoridad ante quien se formuló, a que provea de conformidad lo solicitado por el </w:t>
      </w:r>
      <w:proofErr w:type="spellStart"/>
      <w:r w:rsidRPr="00900C42">
        <w:rPr>
          <w:rFonts w:ascii="Palatino Linotype" w:eastAsia="Palatino Linotype" w:hAnsi="Palatino Linotype" w:cs="Palatino Linotype"/>
          <w:i/>
          <w:sz w:val="22"/>
          <w:szCs w:val="22"/>
        </w:rPr>
        <w:t>promovente</w:t>
      </w:r>
      <w:proofErr w:type="spellEnd"/>
      <w:r w:rsidRPr="00900C42">
        <w:rPr>
          <w:rFonts w:ascii="Palatino Linotype" w:eastAsia="Palatino Linotype" w:hAnsi="Palatino Linotype" w:cs="Palatino Linotype"/>
          <w:i/>
          <w:sz w:val="22"/>
          <w:szCs w:val="22"/>
        </w:rPr>
        <w:t>,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rsidR="00A04BDC" w:rsidRPr="00900C42" w:rsidRDefault="00A04BDC"/>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Sin embargo, </w:t>
      </w:r>
      <w:r w:rsidRPr="00900C42">
        <w:rPr>
          <w:rFonts w:ascii="Palatino Linotype" w:eastAsia="Palatino Linotype" w:hAnsi="Palatino Linotype" w:cs="Palatino Linotype"/>
          <w:b/>
        </w:rPr>
        <w:t>EL SUJETO OBLIGADO</w:t>
      </w:r>
      <w:r w:rsidRPr="00900C42">
        <w:rPr>
          <w:rFonts w:ascii="Palatino Linotype" w:eastAsia="Palatino Linotype" w:hAnsi="Palatino Linotype" w:cs="Palatino Linotype"/>
        </w:rPr>
        <w:t xml:space="preserve"> en aras de privilegiar el derecho de acceso a la información, dio contestación a dichas peticiones, señalando que después de haber realizado una búsqueda de la información solicitada la Directora General de Operación y control Urbano, manifestó que se localizó un Acta de Entrega- Recepción de municipalización de obras de equipamiento en fecha cinco de marzo de dos mil dieciocho. Como se puede apreciar de la captura de pantalla que se inserta a continuación: </w:t>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noProof/>
          <w:lang w:val="es-419" w:eastAsia="es-419"/>
        </w:rPr>
        <w:lastRenderedPageBreak/>
        <w:drawing>
          <wp:inline distT="114300" distB="114300" distL="114300" distR="114300">
            <wp:extent cx="5791835" cy="3390900"/>
            <wp:effectExtent l="0" t="0" r="0" b="0"/>
            <wp:docPr id="4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91835" cy="3390900"/>
                    </a:xfrm>
                    <a:prstGeom prst="rect">
                      <a:avLst/>
                    </a:prstGeom>
                    <a:ln/>
                  </pic:spPr>
                </pic:pic>
              </a:graphicData>
            </a:graphic>
          </wp:inline>
        </w:drawing>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En tal sentido, de la respuesta emitida por</w:t>
      </w:r>
      <w:r w:rsidRPr="00900C42">
        <w:rPr>
          <w:rFonts w:ascii="Palatino Linotype" w:eastAsia="Palatino Linotype" w:hAnsi="Palatino Linotype" w:cs="Palatino Linotype"/>
          <w:b/>
        </w:rPr>
        <w:t xml:space="preserve"> EL SUJETO OBLIGADO</w:t>
      </w:r>
      <w:r w:rsidRPr="00900C42">
        <w:rPr>
          <w:rFonts w:ascii="Palatino Linotype" w:eastAsia="Palatino Linotype" w:hAnsi="Palatino Linotype" w:cs="Palatino Linotype"/>
        </w:rPr>
        <w:t xml:space="preserve"> se observa un documento a modo en donde señala que existe un acta de entrega- recepción de municipalización, pero la misma no fue concreta ni específica al señalar si el conjunto Urbano está o no municipalizado, motivo por el cual se inconformó la particular señalando que requirió saber si el conjunto está o no municipalizado y en su caso la fecha. </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lastRenderedPageBreak/>
        <w:t xml:space="preserve">Así pues, una vez abierta la etapa procesal de manifestaciones, </w:t>
      </w:r>
      <w:r w:rsidRPr="00900C42">
        <w:rPr>
          <w:rFonts w:ascii="Palatino Linotype" w:eastAsia="Palatino Linotype" w:hAnsi="Palatino Linotype" w:cs="Palatino Linotype"/>
          <w:b/>
        </w:rPr>
        <w:t xml:space="preserve">EL SUJETO OBLIGADO </w:t>
      </w:r>
      <w:r w:rsidRPr="00900C42">
        <w:rPr>
          <w:rFonts w:ascii="Palatino Linotype" w:eastAsia="Palatino Linotype" w:hAnsi="Palatino Linotype" w:cs="Palatino Linotype"/>
        </w:rPr>
        <w:t xml:space="preserve">rindió su Informe Justificado, mediante el cual ratifica su respuesta inicial, pero además señala lo siguiente: </w:t>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noProof/>
          <w:lang w:val="es-419" w:eastAsia="es-419"/>
        </w:rPr>
        <w:drawing>
          <wp:inline distT="114300" distB="114300" distL="114300" distR="114300">
            <wp:extent cx="5791835" cy="3962400"/>
            <wp:effectExtent l="0" t="0" r="0" b="0"/>
            <wp:docPr id="4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91835" cy="3962400"/>
                    </a:xfrm>
                    <a:prstGeom prst="rect">
                      <a:avLst/>
                    </a:prstGeom>
                    <a:ln/>
                  </pic:spPr>
                </pic:pic>
              </a:graphicData>
            </a:graphic>
          </wp:inline>
        </w:drawing>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noProof/>
          <w:lang w:val="es-419" w:eastAsia="es-419"/>
        </w:rPr>
        <w:drawing>
          <wp:inline distT="114300" distB="114300" distL="114300" distR="114300">
            <wp:extent cx="5696903" cy="1257300"/>
            <wp:effectExtent l="0" t="0" r="0" b="0"/>
            <wp:docPr id="4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8127" b="55615"/>
                    <a:stretch>
                      <a:fillRect/>
                    </a:stretch>
                  </pic:blipFill>
                  <pic:spPr>
                    <a:xfrm>
                      <a:off x="0" y="0"/>
                      <a:ext cx="5696903" cy="1257300"/>
                    </a:xfrm>
                    <a:prstGeom prst="rect">
                      <a:avLst/>
                    </a:prstGeom>
                    <a:ln/>
                  </pic:spPr>
                </pic:pic>
              </a:graphicData>
            </a:graphic>
          </wp:inline>
        </w:drawing>
      </w:r>
    </w:p>
    <w:p w:rsidR="00A04BDC" w:rsidRPr="00900C42" w:rsidRDefault="00A3635F">
      <w:pPr>
        <w:spacing w:line="360" w:lineRule="auto"/>
        <w:jc w:val="both"/>
        <w:rPr>
          <w:rFonts w:ascii="Palatino Linotype" w:eastAsia="Palatino Linotype" w:hAnsi="Palatino Linotype" w:cs="Palatino Linotype"/>
          <w:color w:val="222222"/>
        </w:rPr>
      </w:pPr>
      <w:r w:rsidRPr="00900C42">
        <w:rPr>
          <w:rFonts w:ascii="Palatino Linotype" w:eastAsia="Palatino Linotype" w:hAnsi="Palatino Linotype" w:cs="Palatino Linotype"/>
          <w:color w:val="222222"/>
        </w:rPr>
        <w:lastRenderedPageBreak/>
        <w:t xml:space="preserve">De las imágenes anteriores se observa que el servidor público habilitado del </w:t>
      </w:r>
      <w:r w:rsidRPr="00900C42">
        <w:rPr>
          <w:rFonts w:ascii="Palatino Linotype" w:eastAsia="Palatino Linotype" w:hAnsi="Palatino Linotype" w:cs="Palatino Linotype"/>
          <w:b/>
          <w:color w:val="222222"/>
        </w:rPr>
        <w:t xml:space="preserve">SUJETO OBLIGADO </w:t>
      </w:r>
      <w:r w:rsidRPr="00900C42">
        <w:rPr>
          <w:rFonts w:ascii="Palatino Linotype" w:eastAsia="Palatino Linotype" w:hAnsi="Palatino Linotype" w:cs="Palatino Linotype"/>
          <w:color w:val="222222"/>
        </w:rPr>
        <w:t xml:space="preserve">indicó que el conjunto urbano se encuentra parcialmente municipalizado ya que tiene pendiente de municipalizar la totalidad de obras de urbanización, así como la parcialidad de obras de equipamiento Urbano restantes que le fueron autorizadas.  Por lo que se procede a analizar si con el conjunto de información otorgada tanto  en la respuesta y  posteriormente en el Informe Justificado se puede satisfacer el derecho de acceso a la información pública de la particular. </w:t>
      </w:r>
    </w:p>
    <w:p w:rsidR="00A04BDC" w:rsidRPr="00900C42" w:rsidRDefault="00A04BDC">
      <w:pPr>
        <w:spacing w:line="360" w:lineRule="auto"/>
        <w:jc w:val="both"/>
        <w:rPr>
          <w:rFonts w:ascii="Palatino Linotype" w:eastAsia="Palatino Linotype" w:hAnsi="Palatino Linotype" w:cs="Palatino Linotype"/>
          <w:color w:val="222222"/>
        </w:rPr>
      </w:pPr>
    </w:p>
    <w:p w:rsidR="00A04BDC" w:rsidRPr="00900C42" w:rsidRDefault="00A3635F">
      <w:pPr>
        <w:spacing w:line="360" w:lineRule="auto"/>
        <w:jc w:val="both"/>
        <w:rPr>
          <w:rFonts w:ascii="Palatino Linotype" w:eastAsia="Palatino Linotype" w:hAnsi="Palatino Linotype" w:cs="Palatino Linotype"/>
          <w:color w:val="222222"/>
        </w:rPr>
      </w:pPr>
      <w:r w:rsidRPr="00900C42">
        <w:rPr>
          <w:rFonts w:ascii="Palatino Linotype" w:eastAsia="Palatino Linotype" w:hAnsi="Palatino Linotype" w:cs="Palatino Linotype"/>
          <w:color w:val="222222"/>
        </w:rPr>
        <w:t xml:space="preserve">Al respecto se tiene que los asuntos relacionados con el ordenamiento territorial y desarrollo urbano, se rigen por lo dispuesto en el Libro quinto del Código Administrativo del Estado de México denominado </w:t>
      </w:r>
      <w:r w:rsidRPr="00900C42">
        <w:rPr>
          <w:rFonts w:ascii="Palatino Linotype" w:eastAsia="Palatino Linotype" w:hAnsi="Palatino Linotype" w:cs="Palatino Linotype"/>
          <w:i/>
          <w:color w:val="222222"/>
        </w:rPr>
        <w:t>“Del Ordenamiento Territorial de los Asentamientos Humanos y del Desarrollo Urbano de los Centros de Población</w:t>
      </w:r>
      <w:r w:rsidRPr="00900C42">
        <w:rPr>
          <w:rFonts w:ascii="Palatino Linotype" w:eastAsia="Palatino Linotype" w:hAnsi="Palatino Linotype" w:cs="Palatino Linotype"/>
          <w:color w:val="222222"/>
        </w:rPr>
        <w:t xml:space="preserve">”, y el cual cuenta con un Reglamento que tiene como objetivo regular de forma más específica las disposiciones del dicho libro. </w:t>
      </w:r>
    </w:p>
    <w:p w:rsidR="00A04BDC" w:rsidRPr="00900C42" w:rsidRDefault="00A04BDC">
      <w:pPr>
        <w:spacing w:line="360" w:lineRule="auto"/>
        <w:jc w:val="both"/>
        <w:rPr>
          <w:rFonts w:ascii="Palatino Linotype" w:eastAsia="Palatino Linotype" w:hAnsi="Palatino Linotype" w:cs="Palatino Linotype"/>
          <w:color w:val="222222"/>
        </w:rPr>
      </w:pPr>
    </w:p>
    <w:p w:rsidR="00A04BDC" w:rsidRPr="00900C42" w:rsidRDefault="00A3635F">
      <w:pPr>
        <w:spacing w:line="360" w:lineRule="auto"/>
        <w:jc w:val="both"/>
        <w:rPr>
          <w:rFonts w:ascii="Palatino Linotype" w:eastAsia="Palatino Linotype" w:hAnsi="Palatino Linotype" w:cs="Palatino Linotype"/>
          <w:color w:val="222222"/>
        </w:rPr>
      </w:pPr>
      <w:r w:rsidRPr="00900C42">
        <w:rPr>
          <w:rFonts w:ascii="Palatino Linotype" w:eastAsia="Palatino Linotype" w:hAnsi="Palatino Linotype" w:cs="Palatino Linotype"/>
          <w:color w:val="222222"/>
        </w:rPr>
        <w:t xml:space="preserve">Así bien, el Reglamento en su título cuarto establece las reglas aplicables a los conjuntos urbanos y además contempla el procedimiento de autorización que deberán observar los titulares de los conjuntos urbanos en su capítulo segundo artículos 51, 52 y 53, los cuales a la letra dicen: </w:t>
      </w:r>
    </w:p>
    <w:p w:rsidR="00A04BDC" w:rsidRPr="00900C42" w:rsidRDefault="00A04BDC">
      <w:pPr>
        <w:spacing w:line="360" w:lineRule="auto"/>
        <w:jc w:val="both"/>
        <w:rPr>
          <w:rFonts w:ascii="Palatino Linotype" w:eastAsia="Palatino Linotype" w:hAnsi="Palatino Linotype" w:cs="Palatino Linotype"/>
          <w:color w:val="222222"/>
        </w:rPr>
      </w:pPr>
    </w:p>
    <w:p w:rsidR="00A04BDC" w:rsidRPr="00900C42" w:rsidRDefault="00A3635F">
      <w:pPr>
        <w:ind w:left="850" w:right="899"/>
        <w:jc w:val="both"/>
        <w:rPr>
          <w:rFonts w:ascii="Palatino Linotype" w:eastAsia="Palatino Linotype" w:hAnsi="Palatino Linotype" w:cs="Palatino Linotype"/>
          <w:b/>
          <w:i/>
          <w:color w:val="222222"/>
          <w:sz w:val="22"/>
          <w:szCs w:val="22"/>
        </w:rPr>
      </w:pPr>
      <w:r w:rsidRPr="00900C42">
        <w:rPr>
          <w:rFonts w:ascii="Palatino Linotype" w:eastAsia="Palatino Linotype" w:hAnsi="Palatino Linotype" w:cs="Palatino Linotype"/>
          <w:b/>
          <w:i/>
          <w:color w:val="222222"/>
          <w:sz w:val="22"/>
          <w:szCs w:val="22"/>
        </w:rPr>
        <w:t xml:space="preserve">CAPÍTULO SEGUNDO </w:t>
      </w:r>
    </w:p>
    <w:p w:rsidR="00A04BDC" w:rsidRPr="00900C42" w:rsidRDefault="00A3635F">
      <w:pPr>
        <w:ind w:left="850" w:right="899"/>
        <w:jc w:val="both"/>
        <w:rPr>
          <w:rFonts w:ascii="Palatino Linotype" w:eastAsia="Palatino Linotype" w:hAnsi="Palatino Linotype" w:cs="Palatino Linotype"/>
          <w:b/>
          <w:i/>
          <w:color w:val="222222"/>
          <w:sz w:val="22"/>
          <w:szCs w:val="22"/>
        </w:rPr>
      </w:pPr>
      <w:r w:rsidRPr="00900C42">
        <w:rPr>
          <w:rFonts w:ascii="Palatino Linotype" w:eastAsia="Palatino Linotype" w:hAnsi="Palatino Linotype" w:cs="Palatino Linotype"/>
          <w:b/>
          <w:i/>
          <w:color w:val="222222"/>
          <w:sz w:val="22"/>
          <w:szCs w:val="22"/>
        </w:rPr>
        <w:t xml:space="preserve">DEL PROCEDIMIENTO DE AUTORIZACIÓN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b/>
          <w:i/>
          <w:color w:val="222222"/>
          <w:sz w:val="22"/>
          <w:szCs w:val="22"/>
        </w:rPr>
        <w:t>DE LAS ETAPAS DEL PROCEDIMIENTO</w:t>
      </w:r>
      <w:r w:rsidRPr="00900C42">
        <w:rPr>
          <w:rFonts w:ascii="Palatino Linotype" w:eastAsia="Palatino Linotype" w:hAnsi="Palatino Linotype" w:cs="Palatino Linotype"/>
          <w:i/>
          <w:color w:val="222222"/>
          <w:sz w:val="22"/>
          <w:szCs w:val="22"/>
        </w:rPr>
        <w:t xml:space="preserve">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b/>
          <w:i/>
          <w:color w:val="222222"/>
          <w:sz w:val="22"/>
          <w:szCs w:val="22"/>
        </w:rPr>
        <w:lastRenderedPageBreak/>
        <w:t>Artículo 51.</w:t>
      </w:r>
      <w:r w:rsidRPr="00900C42">
        <w:rPr>
          <w:rFonts w:ascii="Palatino Linotype" w:eastAsia="Palatino Linotype" w:hAnsi="Palatino Linotype" w:cs="Palatino Linotype"/>
          <w:i/>
          <w:color w:val="222222"/>
          <w:sz w:val="22"/>
          <w:szCs w:val="22"/>
        </w:rPr>
        <w:t xml:space="preserve"> El procedimiento de autorización de un conjunto urbano se realizará conforme a las etapas previstas en este Capítulo y en las disposiciones jurídicas aplicables. </w:t>
      </w:r>
    </w:p>
    <w:p w:rsidR="00A04BDC" w:rsidRPr="00900C42" w:rsidRDefault="00A04BDC">
      <w:pPr>
        <w:ind w:left="850" w:right="899"/>
        <w:jc w:val="both"/>
        <w:rPr>
          <w:rFonts w:ascii="Palatino Linotype" w:eastAsia="Palatino Linotype" w:hAnsi="Palatino Linotype" w:cs="Palatino Linotype"/>
          <w:i/>
          <w:color w:val="222222"/>
          <w:sz w:val="22"/>
          <w:szCs w:val="22"/>
        </w:rPr>
      </w:pP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b/>
          <w:i/>
          <w:color w:val="222222"/>
          <w:sz w:val="22"/>
          <w:szCs w:val="22"/>
        </w:rPr>
        <w:t xml:space="preserve">Artículo 52. </w:t>
      </w:r>
      <w:r w:rsidRPr="00900C42">
        <w:rPr>
          <w:rFonts w:ascii="Palatino Linotype" w:eastAsia="Palatino Linotype" w:hAnsi="Palatino Linotype" w:cs="Palatino Linotype"/>
          <w:i/>
          <w:color w:val="222222"/>
          <w:sz w:val="22"/>
          <w:szCs w:val="22"/>
        </w:rPr>
        <w:t xml:space="preserve">Una vez obtenida la Evaluación de Impacto Estatal con sujeción a la Ley de la Comisión de Impacto Estatal y las disposiciones jurídicas aplicables, su Titular o Representante Legal deberá exhibirlo a la Secretaría para iniciar el trámite correspondiente, en términos de lo establecido en el presente Reglamento. </w:t>
      </w:r>
    </w:p>
    <w:p w:rsidR="00A04BDC" w:rsidRPr="00900C42" w:rsidRDefault="00A04BDC">
      <w:pPr>
        <w:ind w:left="850" w:right="899"/>
        <w:jc w:val="both"/>
        <w:rPr>
          <w:rFonts w:ascii="Palatino Linotype" w:eastAsia="Palatino Linotype" w:hAnsi="Palatino Linotype" w:cs="Palatino Linotype"/>
          <w:i/>
          <w:color w:val="222222"/>
          <w:sz w:val="22"/>
          <w:szCs w:val="22"/>
        </w:rPr>
      </w:pP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b/>
          <w:i/>
          <w:color w:val="222222"/>
          <w:sz w:val="22"/>
          <w:szCs w:val="22"/>
        </w:rPr>
        <w:t>Artículo 53.</w:t>
      </w:r>
      <w:r w:rsidRPr="00900C42">
        <w:rPr>
          <w:rFonts w:ascii="Palatino Linotype" w:eastAsia="Palatino Linotype" w:hAnsi="Palatino Linotype" w:cs="Palatino Linotype"/>
          <w:i/>
          <w:color w:val="222222"/>
          <w:sz w:val="22"/>
          <w:szCs w:val="22"/>
        </w:rPr>
        <w:t xml:space="preserve"> El interesado </w:t>
      </w:r>
      <w:r w:rsidRPr="00900C42">
        <w:rPr>
          <w:rFonts w:ascii="Palatino Linotype" w:eastAsia="Palatino Linotype" w:hAnsi="Palatino Linotype" w:cs="Palatino Linotype"/>
          <w:b/>
          <w:i/>
          <w:color w:val="222222"/>
          <w:sz w:val="22"/>
          <w:szCs w:val="22"/>
        </w:rPr>
        <w:t>deberá obtener de la Secretaría la aprobación</w:t>
      </w:r>
      <w:r w:rsidRPr="00900C42">
        <w:rPr>
          <w:rFonts w:ascii="Palatino Linotype" w:eastAsia="Palatino Linotype" w:hAnsi="Palatino Linotype" w:cs="Palatino Linotype"/>
          <w:i/>
          <w:color w:val="222222"/>
          <w:sz w:val="22"/>
          <w:szCs w:val="22"/>
        </w:rPr>
        <w:t xml:space="preserve"> del proyecto de lotificación respectivo, conforme a lo siguiente: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I. Presentar la Evaluación de Impacto Estatal del conjunto correspondiente, así como las Evaluaciones Técnicas de Impacto que lo sustenten y la solicitud de aprobación del proyecto de lotificación, en el que además de los requisitos del artículo 8 de este Reglamento, acompañe lo siguiente: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A) Original o copia certificada del documento que contenga los datos de identificación del predio o inmueble;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B) Nombre y firma autógrafa del peticionario, o en su caso, de su Representante Legal, quienes deberán acreditar su personalidad respectivamente, las facultades conforme a las disposiciones jurídicas aplicables y la vigencia del poder general o especial otorgado y conferido. Cuando el </w:t>
      </w:r>
      <w:proofErr w:type="spellStart"/>
      <w:r w:rsidRPr="00900C42">
        <w:rPr>
          <w:rFonts w:ascii="Palatino Linotype" w:eastAsia="Palatino Linotype" w:hAnsi="Palatino Linotype" w:cs="Palatino Linotype"/>
          <w:i/>
          <w:color w:val="222222"/>
          <w:sz w:val="22"/>
          <w:szCs w:val="22"/>
        </w:rPr>
        <w:t>promovente</w:t>
      </w:r>
      <w:proofErr w:type="spellEnd"/>
      <w:r w:rsidRPr="00900C42">
        <w:rPr>
          <w:rFonts w:ascii="Palatino Linotype" w:eastAsia="Palatino Linotype" w:hAnsi="Palatino Linotype" w:cs="Palatino Linotype"/>
          <w:i/>
          <w:color w:val="222222"/>
          <w:sz w:val="22"/>
          <w:szCs w:val="22"/>
        </w:rPr>
        <w:t xml:space="preserve"> no sepa o no pueda firmar, estampará su huella digital;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C) Aerofoto o cartografía actualizada en papel fotográfico, a escala 1:5000, de la ubicación del predio, precisándose el entorno del mismo, con un radio de cobertura de al menos mil metros, contados a partir de cada una de las colindancias del predio. En desarrollos sociales progresivos promovidos por organizaciones sociales, este requisito podrá acreditarse por medio de cartografía legible en papel bond;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D) Plano topográfico georreferenciado en coordenadas UTM, en el formato que al efecto determine la Secretaría, con altimetría y planimetría, que contenga las medidas y superficies del predio;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E) Resolución de apeo y deslinde catastral o judicial inscrita en el Instituto de la Función Registral del Estado de México, cuando las medidas y superficies reales del predio sean menores a las contenidas en el documento con el que se acredite la propiedad y resolución de apeo y deslinde judicial inscrita en el Instituto de la Función Registral del Estado de México, cuando las medidas y superficies reales del </w:t>
      </w:r>
      <w:r w:rsidRPr="00900C42">
        <w:rPr>
          <w:rFonts w:ascii="Palatino Linotype" w:eastAsia="Palatino Linotype" w:hAnsi="Palatino Linotype" w:cs="Palatino Linotype"/>
          <w:i/>
          <w:color w:val="222222"/>
          <w:sz w:val="22"/>
          <w:szCs w:val="22"/>
        </w:rPr>
        <w:lastRenderedPageBreak/>
        <w:t>predio sean mayores a las contenidas en dicho documento. No se exigirá este requisito cuando las medidas y superficies reales</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del predio coincidan con las contenidas en el documento con el que se acredite la propiedad;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F) Reporte fotográfico del predio y sus colindancias, con descripción por escrito de cada fotografía;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G) Planos arquitectónicos de los prototipos de vivienda que se pretendan realizar, en caso de conjuntos urbanos habitacionales que vayan a ofertar vivienda;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H) En su caso, constancias o autorizaciones de Petróleos Mexicanos, Comisión Federal de Electricidad, Instituto Nacional de Antropología e Historia, Comisión Nacional del Agua u otras dependencias u organismos federales, estatales o municipales, cuando las características de la zona donde se ubique el predio a desarrollar así lo requieran;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I) Constancia de capacidad de suministro de energía eléctrica, incluyendo en su caso el presupuesto a costo directo y total de la infraestructura complementaria y primaria;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J) Licencia de uso del suelo o, en su caso, autorización sobre cambio de uso del suelo, del coeficiente de ocupación y coeficiente de utilización del suelo de su aprovechamiento o de la altura máxima permitida, y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K) Alineamiento y en su caso número oficial. </w:t>
      </w:r>
    </w:p>
    <w:p w:rsidR="00A04BDC" w:rsidRPr="00900C42" w:rsidRDefault="00A04BDC">
      <w:pPr>
        <w:ind w:left="850" w:right="899"/>
        <w:jc w:val="both"/>
        <w:rPr>
          <w:rFonts w:ascii="Palatino Linotype" w:eastAsia="Palatino Linotype" w:hAnsi="Palatino Linotype" w:cs="Palatino Linotype"/>
          <w:i/>
          <w:color w:val="222222"/>
          <w:sz w:val="22"/>
          <w:szCs w:val="22"/>
        </w:rPr>
      </w:pP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II. Proyecto de lotificación del conjunto urbano, en un tanto de planos originales impresos en papel bond, que deberá contener lo siguiente: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A) Situación original del predio o predios;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B) Apertura, ampliación o modificación de vías públicas;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C) Lotificación del predio y en su caso, las fusiones, subdivisiones y condominios del mismo, y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D) La información gráfica y estadística, que constará en la solapa de los planos originales, será la siguiente: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 Croquis de localización regional;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2. Croquis de localización local;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3. Denominación, tipo y ubicación del desarrollo;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4. Nombre del solicitante del conjunto urbano;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5. Simbología;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6. Secciones de vías públicas, así como de vías privadas en su caso;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lastRenderedPageBreak/>
        <w:t xml:space="preserve">7. Cuadro de construcción de la poligonal del predio con datos georreferenciados;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8. Cuadro de datos de densidad, tratándose de desarrollos habitacionales;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9. Normatividad de uso del suelo e imagen urbana;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10. Logotipo del desarrollo, si lo hubiera;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11. Datos generales de la lotificación;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12. Cuadros de cuantificación de lotes, superficies y usos del suelo por manzana;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13. Datos de las autorizaciones implícitas en el plano de lotificación y en el acuerdo de autorización del conjunto urbano, en su caso;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14. Espacios para los datos de fechas del acuerdo de autorización del conjunto urbano y de su publicación en el Periódico Oficial “Gaceta del Gobierno”;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15. Nombre, firma y datos de registro del perito;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16. Secciones de dibujo del desarrollo, si las hubiera;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17. Escalas gráficas en unidades métricas convencionales;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18. Orientación magnética del conjunto;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19. Nombre y número de cada plano, y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 xml:space="preserve">20. Espacio para nombres, cargos y firmas de los servidores públicos de la Secretaría que aprueban y autorizan el conjunto urbano. </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E) Número de referencia de la Evaluación de Impacto Estatal.</w:t>
      </w:r>
    </w:p>
    <w:p w:rsidR="00A04BDC" w:rsidRPr="00900C42" w:rsidRDefault="00A3635F">
      <w:pPr>
        <w:ind w:left="850" w:right="899"/>
        <w:jc w:val="both"/>
        <w:rPr>
          <w:rFonts w:ascii="Palatino Linotype" w:eastAsia="Palatino Linotype" w:hAnsi="Palatino Linotype" w:cs="Palatino Linotype"/>
          <w:i/>
          <w:color w:val="222222"/>
          <w:sz w:val="22"/>
          <w:szCs w:val="22"/>
        </w:rPr>
      </w:pPr>
      <w:r w:rsidRPr="00900C42">
        <w:rPr>
          <w:rFonts w:ascii="Palatino Linotype" w:eastAsia="Palatino Linotype" w:hAnsi="Palatino Linotype" w:cs="Palatino Linotype"/>
          <w:i/>
          <w:color w:val="222222"/>
          <w:sz w:val="22"/>
          <w:szCs w:val="22"/>
        </w:rPr>
        <w:t>(énfasis añadido)</w:t>
      </w:r>
    </w:p>
    <w:p w:rsidR="00A04BDC" w:rsidRPr="00900C42" w:rsidRDefault="00A04BDC">
      <w:pPr>
        <w:spacing w:line="360" w:lineRule="auto"/>
        <w:jc w:val="both"/>
        <w:rPr>
          <w:rFonts w:ascii="Palatino Linotype" w:eastAsia="Palatino Linotype" w:hAnsi="Palatino Linotype" w:cs="Palatino Linotype"/>
          <w:color w:val="222222"/>
        </w:rPr>
      </w:pPr>
    </w:p>
    <w:p w:rsidR="00A04BDC" w:rsidRPr="00900C42" w:rsidRDefault="00A3635F">
      <w:pPr>
        <w:spacing w:line="360" w:lineRule="auto"/>
        <w:jc w:val="both"/>
        <w:rPr>
          <w:rFonts w:ascii="Palatino Linotype" w:eastAsia="Palatino Linotype" w:hAnsi="Palatino Linotype" w:cs="Palatino Linotype"/>
          <w:color w:val="222222"/>
        </w:rPr>
      </w:pPr>
      <w:r w:rsidRPr="00900C42">
        <w:rPr>
          <w:rFonts w:ascii="Palatino Linotype" w:eastAsia="Palatino Linotype" w:hAnsi="Palatino Linotype" w:cs="Palatino Linotype"/>
          <w:color w:val="222222"/>
        </w:rPr>
        <w:t xml:space="preserve">De los preceptos anteriores, se desprende el procedimiento que el Titular del Conjunto Urbano deberá seguir para poder iniciar el trámite de autorización ante la Secretaría de Desarrollo Urbano, así una vez completados los requisitos, previstos por el artículo 53, el titular podrá presentar la solicitud de autorización, acompañada de diversos documentos descritos en el artículo 54 del reglamento en comento. </w:t>
      </w:r>
    </w:p>
    <w:p w:rsidR="00A04BDC" w:rsidRPr="00900C42" w:rsidRDefault="00A04BDC">
      <w:pPr>
        <w:spacing w:line="360" w:lineRule="auto"/>
        <w:jc w:val="both"/>
        <w:rPr>
          <w:rFonts w:ascii="Palatino Linotype" w:eastAsia="Palatino Linotype" w:hAnsi="Palatino Linotype" w:cs="Palatino Linotype"/>
          <w:color w:val="222222"/>
        </w:rPr>
      </w:pPr>
    </w:p>
    <w:p w:rsidR="00A04BDC" w:rsidRPr="00900C42" w:rsidRDefault="00A3635F">
      <w:pPr>
        <w:spacing w:line="360" w:lineRule="auto"/>
        <w:jc w:val="both"/>
        <w:rPr>
          <w:rFonts w:ascii="Palatino Linotype" w:eastAsia="Palatino Linotype" w:hAnsi="Palatino Linotype" w:cs="Palatino Linotype"/>
          <w:color w:val="222222"/>
        </w:rPr>
      </w:pPr>
      <w:r w:rsidRPr="00900C42">
        <w:rPr>
          <w:rFonts w:ascii="Palatino Linotype" w:eastAsia="Palatino Linotype" w:hAnsi="Palatino Linotype" w:cs="Palatino Linotype"/>
          <w:color w:val="222222"/>
        </w:rPr>
        <w:t xml:space="preserve">Posteriormente, al ser aprobada la solicitud, la Secretaría procederá a emitir un acuerdo de autorización y la publicación de dicho acuerdo en el Periódico Oficial “Gaceta del </w:t>
      </w:r>
      <w:r w:rsidRPr="00900C42">
        <w:rPr>
          <w:rFonts w:ascii="Palatino Linotype" w:eastAsia="Palatino Linotype" w:hAnsi="Palatino Linotype" w:cs="Palatino Linotype"/>
          <w:color w:val="222222"/>
        </w:rPr>
        <w:lastRenderedPageBreak/>
        <w:t xml:space="preserve">Gobierno”, dentro de los treinta días siguientes contados a partir de la fecha de su expedición, misma que tendrá efectos de notificación. </w:t>
      </w:r>
    </w:p>
    <w:p w:rsidR="00A04BDC" w:rsidRPr="00900C42" w:rsidRDefault="00A04BDC">
      <w:pPr>
        <w:spacing w:line="360" w:lineRule="auto"/>
        <w:jc w:val="both"/>
        <w:rPr>
          <w:rFonts w:ascii="Palatino Linotype" w:eastAsia="Palatino Linotype" w:hAnsi="Palatino Linotype" w:cs="Palatino Linotype"/>
          <w:color w:val="222222"/>
        </w:rPr>
      </w:pPr>
    </w:p>
    <w:p w:rsidR="00A04BDC" w:rsidRPr="00900C42" w:rsidRDefault="00A3635F">
      <w:pPr>
        <w:spacing w:line="360" w:lineRule="auto"/>
        <w:jc w:val="both"/>
        <w:rPr>
          <w:rFonts w:ascii="Palatino Linotype" w:eastAsia="Palatino Linotype" w:hAnsi="Palatino Linotype" w:cs="Palatino Linotype"/>
          <w:color w:val="222222"/>
        </w:rPr>
      </w:pPr>
      <w:r w:rsidRPr="00900C42">
        <w:rPr>
          <w:rFonts w:ascii="Palatino Linotype" w:eastAsia="Palatino Linotype" w:hAnsi="Palatino Linotype" w:cs="Palatino Linotype"/>
          <w:color w:val="222222"/>
        </w:rPr>
        <w:t xml:space="preserve">Atento a lo anterior, se advierte que el particular señaló que dicha autorización fue publicada en el Periódico oficial en fecha 12 de febrero de dos mil quince, la cual fue localizada por esta Ponencia y de su contenido se advierte lo siguiente: </w:t>
      </w:r>
    </w:p>
    <w:p w:rsidR="00A04BDC" w:rsidRPr="00900C42" w:rsidRDefault="00A3635F">
      <w:pPr>
        <w:numPr>
          <w:ilvl w:val="0"/>
          <w:numId w:val="1"/>
        </w:num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color w:val="222222"/>
        </w:rPr>
        <w:t>Que el conjunto urbano referido tiene la categoría de:</w:t>
      </w:r>
      <w:r w:rsidRPr="00900C42">
        <w:rPr>
          <w:rFonts w:ascii="Palatino Linotype" w:eastAsia="Palatino Linotype" w:hAnsi="Palatino Linotype" w:cs="Palatino Linotype"/>
        </w:rPr>
        <w:t xml:space="preserve"> Conjunto Urbano de tipo mixto. </w:t>
      </w:r>
    </w:p>
    <w:p w:rsidR="00A04BDC" w:rsidRPr="00900C42" w:rsidRDefault="00A3635F">
      <w:pPr>
        <w:numPr>
          <w:ilvl w:val="0"/>
          <w:numId w:val="1"/>
        </w:num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Que dentro de la autorización se incluyen las 463 viviendas, las áreas de donación municipales y estatales, obras de urbanización, infraestructura primaria y de equipamiento. </w:t>
      </w:r>
    </w:p>
    <w:p w:rsidR="00A04BDC" w:rsidRPr="00900C42" w:rsidRDefault="00A3635F">
      <w:pPr>
        <w:numPr>
          <w:ilvl w:val="0"/>
          <w:numId w:val="1"/>
        </w:num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Que las obras de equipamiento corresponden a: </w:t>
      </w:r>
    </w:p>
    <w:p w:rsidR="00A04BDC" w:rsidRPr="00900C42" w:rsidRDefault="00A3635F">
      <w:pPr>
        <w:numPr>
          <w:ilvl w:val="1"/>
          <w:numId w:val="3"/>
        </w:num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Dos aulas de Jardín de Niños. </w:t>
      </w:r>
    </w:p>
    <w:p w:rsidR="00A04BDC" w:rsidRPr="00900C42" w:rsidRDefault="00A3635F">
      <w:pPr>
        <w:numPr>
          <w:ilvl w:val="1"/>
          <w:numId w:val="3"/>
        </w:num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Ocho aulas de Escuela Primaria</w:t>
      </w:r>
    </w:p>
    <w:p w:rsidR="00A04BDC" w:rsidRPr="00900C42" w:rsidRDefault="00A3635F">
      <w:pPr>
        <w:numPr>
          <w:ilvl w:val="1"/>
          <w:numId w:val="3"/>
        </w:num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Obras de equipamiento urbano básico</w:t>
      </w:r>
    </w:p>
    <w:p w:rsidR="00A04BDC" w:rsidRPr="00900C42" w:rsidRDefault="00A3635F">
      <w:pPr>
        <w:numPr>
          <w:ilvl w:val="1"/>
          <w:numId w:val="3"/>
        </w:num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 Jardín Vecinal, zona deportiva y juegos infantiles </w:t>
      </w:r>
    </w:p>
    <w:p w:rsidR="00A04BDC" w:rsidRPr="00900C42" w:rsidRDefault="00A3635F">
      <w:pPr>
        <w:numPr>
          <w:ilvl w:val="1"/>
          <w:numId w:val="3"/>
        </w:num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Guardería Infantil y </w:t>
      </w:r>
    </w:p>
    <w:p w:rsidR="00A04BDC" w:rsidRPr="00900C42" w:rsidRDefault="00A3635F">
      <w:pPr>
        <w:numPr>
          <w:ilvl w:val="1"/>
          <w:numId w:val="3"/>
        </w:num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Centros de servicios administrativos. </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De manera que en respuesta el ente recurrido indicó que derivado de su búsqueda encontró un  acta de entrega recepción que corresponde a 2 aulas de jardín de niños, 6 aulas de escuela primaria, 2 aulas de escuela secundaria y que tiene como fecha 05 de </w:t>
      </w:r>
      <w:r w:rsidRPr="00900C42">
        <w:rPr>
          <w:rFonts w:ascii="Palatino Linotype" w:eastAsia="Palatino Linotype" w:hAnsi="Palatino Linotype" w:cs="Palatino Linotype"/>
        </w:rPr>
        <w:lastRenderedPageBreak/>
        <w:t xml:space="preserve">marzo de 2018 y posteriormente en el Informe Justificado señaló que el Conjunto Urbano está municipalizado parcialmente ya que no se entregó la totalidad de obras, quedando restantes las obras de urbanización como las vías públicas del desarrollo así como una parte de las Obras de Equipamiento. </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Situación que sustentó en el artículo 133 del Reglamento del Libro Quinto del Código Administrativo del Estado de México que versa sobre la entrega recepción de las Obras y a la letra señala:</w:t>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 </w:t>
      </w:r>
    </w:p>
    <w:p w:rsidR="00A04BDC" w:rsidRPr="00900C42" w:rsidRDefault="00A3635F">
      <w:pPr>
        <w:ind w:left="850" w:right="899"/>
        <w:jc w:val="both"/>
        <w:rPr>
          <w:rFonts w:ascii="Palatino Linotype" w:eastAsia="Palatino Linotype" w:hAnsi="Palatino Linotype" w:cs="Palatino Linotype"/>
          <w:b/>
          <w:i/>
          <w:sz w:val="22"/>
          <w:szCs w:val="22"/>
        </w:rPr>
      </w:pPr>
      <w:r w:rsidRPr="00900C42">
        <w:rPr>
          <w:rFonts w:ascii="Palatino Linotype" w:eastAsia="Palatino Linotype" w:hAnsi="Palatino Linotype" w:cs="Palatino Linotype"/>
          <w:b/>
          <w:i/>
          <w:sz w:val="22"/>
          <w:szCs w:val="22"/>
        </w:rPr>
        <w:t xml:space="preserve">“CAPÍTULO SEGUNDO </w:t>
      </w:r>
    </w:p>
    <w:p w:rsidR="00A04BDC" w:rsidRPr="00900C42" w:rsidRDefault="00A3635F">
      <w:pPr>
        <w:ind w:left="850" w:right="899"/>
        <w:jc w:val="both"/>
        <w:rPr>
          <w:rFonts w:ascii="Palatino Linotype" w:eastAsia="Palatino Linotype" w:hAnsi="Palatino Linotype" w:cs="Palatino Linotype"/>
          <w:b/>
          <w:i/>
          <w:sz w:val="22"/>
          <w:szCs w:val="22"/>
        </w:rPr>
      </w:pPr>
      <w:r w:rsidRPr="00900C42">
        <w:rPr>
          <w:rFonts w:ascii="Palatino Linotype" w:eastAsia="Palatino Linotype" w:hAnsi="Palatino Linotype" w:cs="Palatino Linotype"/>
          <w:b/>
          <w:i/>
          <w:sz w:val="22"/>
          <w:szCs w:val="22"/>
        </w:rPr>
        <w:t>DE LA ENTREGA Y RECEPCIÓN DE OBRAS</w:t>
      </w:r>
    </w:p>
    <w:p w:rsidR="00A04BDC" w:rsidRPr="00900C42" w:rsidRDefault="00A3635F">
      <w:pPr>
        <w:ind w:left="850" w:right="899"/>
        <w:jc w:val="both"/>
        <w:rPr>
          <w:rFonts w:ascii="Palatino Linotype" w:eastAsia="Palatino Linotype" w:hAnsi="Palatino Linotype" w:cs="Palatino Linotype"/>
          <w:b/>
          <w:i/>
          <w:sz w:val="22"/>
          <w:szCs w:val="22"/>
        </w:rPr>
      </w:pPr>
      <w:r w:rsidRPr="00900C42">
        <w:rPr>
          <w:rFonts w:ascii="Palatino Linotype" w:eastAsia="Palatino Linotype" w:hAnsi="Palatino Linotype" w:cs="Palatino Linotype"/>
          <w:b/>
          <w:i/>
          <w:sz w:val="22"/>
          <w:szCs w:val="22"/>
        </w:rPr>
        <w:t>Artículo 133.</w:t>
      </w:r>
    </w:p>
    <w:p w:rsidR="00A04BDC" w:rsidRPr="00900C42" w:rsidRDefault="00A3635F">
      <w:pPr>
        <w:ind w:left="850" w:right="899"/>
        <w:jc w:val="both"/>
        <w:rPr>
          <w:rFonts w:ascii="Palatino Linotype" w:eastAsia="Palatino Linotype" w:hAnsi="Palatino Linotype" w:cs="Palatino Linotype"/>
          <w:b/>
          <w:i/>
          <w:sz w:val="22"/>
          <w:szCs w:val="22"/>
        </w:rPr>
      </w:pPr>
      <w:r w:rsidRPr="00900C42">
        <w:rPr>
          <w:rFonts w:ascii="Palatino Linotype" w:eastAsia="Palatino Linotype" w:hAnsi="Palatino Linotype" w:cs="Palatino Linotype"/>
          <w:b/>
          <w:i/>
          <w:sz w:val="22"/>
          <w:szCs w:val="22"/>
        </w:rPr>
        <w:t xml:space="preserve"> La entrega y recepción de las obras de urbanización, equipamiento urbano y en su caso de Infraestructura Primaria de fraccionamientos, conjuntos urbanos y en su caso subdivisiones y condominios, podrá ser de forma total o parcial.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Para el caso de la entrega total, el interesado una vez cerrada la bitácora de supervisión solicitará a la Secretaría la elaboración del acta de entrega recepción de las obras de urbanización, equipamiento urbano y en su caso de Infraestructura Primaria, en un plazo de treinta días contados a partir del día siguiente al cierre de la bitácora, conforme al procedimiento previsto en el artículo siguiente.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b/>
          <w:i/>
          <w:sz w:val="22"/>
          <w:szCs w:val="22"/>
        </w:rPr>
      </w:pPr>
      <w:r w:rsidRPr="00900C42">
        <w:rPr>
          <w:rFonts w:ascii="Palatino Linotype" w:eastAsia="Palatino Linotype" w:hAnsi="Palatino Linotype" w:cs="Palatino Linotype"/>
          <w:b/>
          <w:i/>
          <w:sz w:val="22"/>
          <w:szCs w:val="22"/>
        </w:rPr>
        <w:t xml:space="preserve">Tratándose de la entrega y recepción parcial de las obras de urbanización, equipamiento y en su caso de Infraestructura Primaria, el Titular de la autorización solicitará a la Secretaría, la elaboración del acta de entrega en un plazo de treinta días contados a partir de la fecha en que se haya constatado el cien por ciento del avance físico de las obras a entregar. </w:t>
      </w:r>
    </w:p>
    <w:p w:rsidR="00A04BDC" w:rsidRPr="00900C42" w:rsidRDefault="00A04BDC">
      <w:pPr>
        <w:ind w:left="850" w:right="899"/>
        <w:jc w:val="both"/>
        <w:rPr>
          <w:rFonts w:ascii="Palatino Linotype" w:eastAsia="Palatino Linotype" w:hAnsi="Palatino Linotype" w:cs="Palatino Linotype"/>
          <w:b/>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lastRenderedPageBreak/>
        <w:t xml:space="preserve">En el caso de las obras de Infraestructura Primaria, el Titular de la autorización entregará directamente las obras correspondientes a la autoridad que dictaminó y aprobó su ejecución, por medio de acta entrega recepción, debiendo informar por oficio a la Secretaría.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Para el caso de que la fuente de abastecimiento de agua del conjunto urbano o condominio tenga como origen una concesión para la explotación, uso o aprovechamiento de aguas nacionales otorgada por la Comisión Nacional del Agua cuyos derechos pertenezcan al titular de la autorización, los mismos deberán ser cedidos a la autoridad municipal en el momento de la entrega-recepción de la infraestructura primaria para la prestación del servicio de agua, y en su caso, de alcantarillado sanitario, drenaje pluvial y saneamiento, para que el municipio tome a su cargo los servicios que le son inherentes para su operación y mantenimiento.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Previamente a la entrega y recepción de las obras, el Titular de la autorización deberá haber celebrado el contrato de donación de las áreas en donde se hayan construido las obras de equipamiento urbano que se entregan.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Los Titulares de la autorización del desarrollo deberán, previo a la entrega al municipio, retirar todas aquellas obras provisionales que obstruyan las vías públicas del desarrollo y áreas de donación, que no formen parte de la autorización.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Las obras de equipamiento urbano regional serán entregadas a la Secretaría de Finanzas.”</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(énfasis añadido)</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Del artículo en cita se advierte que en efecto, la entrega de obras, podrá llevarse a cabo de forma total o parcial, y en caso de que se haga de forma parcial, la Secretaría deberá emitir un Acta de Entrega-recepción del avance físico de las obras, mediante el procedimiento descrito en el artículo 134 del mismo reglamento que es del tenor siguiente:</w:t>
      </w: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 </w:t>
      </w:r>
    </w:p>
    <w:p w:rsidR="00A04BDC" w:rsidRPr="00900C42" w:rsidRDefault="00A3635F">
      <w:pPr>
        <w:ind w:left="850" w:right="899"/>
        <w:jc w:val="both"/>
        <w:rPr>
          <w:rFonts w:ascii="Palatino Linotype" w:eastAsia="Palatino Linotype" w:hAnsi="Palatino Linotype" w:cs="Palatino Linotype"/>
          <w:b/>
          <w:i/>
          <w:sz w:val="22"/>
          <w:szCs w:val="22"/>
        </w:rPr>
      </w:pPr>
      <w:r w:rsidRPr="00900C42">
        <w:rPr>
          <w:rFonts w:ascii="Palatino Linotype" w:eastAsia="Palatino Linotype" w:hAnsi="Palatino Linotype" w:cs="Palatino Linotype"/>
          <w:b/>
          <w:i/>
          <w:sz w:val="22"/>
          <w:szCs w:val="22"/>
        </w:rPr>
        <w:lastRenderedPageBreak/>
        <w:t xml:space="preserve">“DEL PROCEDIMIENTO DE ENTREGA Y RECEPCIÓN DE OBRAS </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b/>
          <w:i/>
          <w:sz w:val="22"/>
          <w:szCs w:val="22"/>
        </w:rPr>
        <w:t>Artículo 134.</w:t>
      </w:r>
      <w:r w:rsidRPr="00900C42">
        <w:rPr>
          <w:rFonts w:ascii="Palatino Linotype" w:eastAsia="Palatino Linotype" w:hAnsi="Palatino Linotype" w:cs="Palatino Linotype"/>
          <w:i/>
          <w:sz w:val="22"/>
          <w:szCs w:val="22"/>
        </w:rPr>
        <w:t xml:space="preserve"> La entrega recepción total o parcial de las obras de urbanización, equipamiento urbano y en su caso de Infraestructura Primaria, con independencia de lo establecido las disposiciones jurídicas aplicables, se sujetará al procedimiento siguiente: </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I. Una vez que se hayan identificado y definido mediante el Acta de Supervisión, las obras que son susceptibles de ser entregadas, e</w:t>
      </w:r>
      <w:r w:rsidRPr="00900C42">
        <w:rPr>
          <w:rFonts w:ascii="Palatino Linotype" w:eastAsia="Palatino Linotype" w:hAnsi="Palatino Linotype" w:cs="Palatino Linotype"/>
          <w:b/>
          <w:i/>
          <w:sz w:val="22"/>
          <w:szCs w:val="22"/>
        </w:rPr>
        <w:t>l Titular de la autorización, podrá llevar a cabo la solicitud de dar inicio al trámite de entrega recepción de obras, la cual podrá ser parcial o total.</w:t>
      </w:r>
      <w:r w:rsidRPr="00900C42">
        <w:rPr>
          <w:rFonts w:ascii="Palatino Linotype" w:eastAsia="Palatino Linotype" w:hAnsi="Palatino Linotype" w:cs="Palatino Linotype"/>
          <w:i/>
          <w:sz w:val="22"/>
          <w:szCs w:val="22"/>
        </w:rPr>
        <w:t xml:space="preserve"> Cuando sea total deberá solicitar de manera simultánea el cierre de bitácora, acompañada de la totalidad de la siguiente documentación: </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A) Acta de Supervisión;</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B) Costo total de las obras a ser entregadas para calcular el monto de la Fianza contra vicios ocultos; </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C) Contrato de transferencia de la propiedad de las áreas de donación al Estado, y/o entrega de obra al Estado y/o evidencia del depósito en numerario al Fideicomiso de Reserva Territorial para el Desarrollo de Equipamiento Urbano Regional; </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D) Contrato de transferencia de la propiedad de las áreas de donación al municipio, y/o entrega de obra al municipio y/o evidencia del depósito en numerario al municipio; </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E) Aviso de terminación de obra;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II. Dentro de los cinco días siguientes a la recepción de la solicitud y de la totalidad de la documentación requerida, la Secretaría o instancia correspondiente elaborará el acta y comunicará al Titular de la autorización, el monto, condiciones y características de la garantía que deberá constituir para responder por defectos o vicios ocultos de las obras. Dicho monto será determinado por la Secretaría conforme a lo dispuesto por el Código y sus disposiciones reglamentarias. El Titular de la autorización deberá presentar la Fianza contra vicios ocultos en un plazo de diez días, a la Secretaría o instancia correspondiente.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III. Presentadas las garantías a que se refiere la fracción anterior, la Secretaría y/o instancia correspondiente, elaborará y remitirá el acta al interesado y a la autoridad municipal para que en un plazo de veinte días se lleve a cabo su suscripción. Una vez suscrita se remitirá a la Secretaría dentro de los cinco días siguientes. En caso </w:t>
      </w:r>
      <w:r w:rsidRPr="00900C42">
        <w:rPr>
          <w:rFonts w:ascii="Palatino Linotype" w:eastAsia="Palatino Linotype" w:hAnsi="Palatino Linotype" w:cs="Palatino Linotype"/>
          <w:i/>
          <w:sz w:val="22"/>
          <w:szCs w:val="22"/>
        </w:rPr>
        <w:lastRenderedPageBreak/>
        <w:t xml:space="preserve">que la autoridad municipal no suscriba el acta, la Secretaría levantará el acta circunstanciada correspondiente en la que se asentará dicha situación, procediendo ésta a mandar publicar dicha acta circunstanciada en el Periódico Oficial “Gaceta del Gobierno” en un plazo de treinta días, </w:t>
      </w:r>
      <w:proofErr w:type="spellStart"/>
      <w:r w:rsidRPr="00900C42">
        <w:rPr>
          <w:rFonts w:ascii="Palatino Linotype" w:eastAsia="Palatino Linotype" w:hAnsi="Palatino Linotype" w:cs="Palatino Linotype"/>
          <w:i/>
          <w:sz w:val="22"/>
          <w:szCs w:val="22"/>
        </w:rPr>
        <w:t>dejándose</w:t>
      </w:r>
      <w:proofErr w:type="spellEnd"/>
      <w:r w:rsidRPr="00900C42">
        <w:rPr>
          <w:rFonts w:ascii="Palatino Linotype" w:eastAsia="Palatino Linotype" w:hAnsi="Palatino Linotype" w:cs="Palatino Linotype"/>
          <w:i/>
          <w:sz w:val="22"/>
          <w:szCs w:val="22"/>
        </w:rPr>
        <w:t xml:space="preserve"> a salvo los derechos del Titular de la autorización y de los adquirientes de lotes o viviendas para ejercitar las acciones correspondientes;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IV. Una vez publicada el acta circunstanciada, los servicios públicos que requiera el desarrollo serán prestados por la autoridad municipal;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V. En caso que en el período de vigencia de garantía por vicios ocultos resultaran daños en las obras realizadas, el municipio hará efectiva dicha garantía, y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 xml:space="preserve">VI. La Secretaría, remitirá al municipio, el original de la Fianza contra vicios ocultos, asimismo, entregará al desarrollador y al municipio, original del acta de entrega recepción de las obras, en un plazo de veinte días contados a partir de la fecha de su suscripción.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b/>
          <w:i/>
          <w:sz w:val="22"/>
          <w:szCs w:val="22"/>
        </w:rPr>
        <w:t>A partir de la fecha de la entrega y recepción de las obras o de la publicación en el Periódico Oficial “Gaceta del Gobierno” del acta circunstanciada, el municipio, se encargará de su mantenimiento y la prestación de los servicios públicos respectivos.</w:t>
      </w:r>
      <w:r w:rsidRPr="00900C42">
        <w:rPr>
          <w:rFonts w:ascii="Palatino Linotype" w:eastAsia="Palatino Linotype" w:hAnsi="Palatino Linotype" w:cs="Palatino Linotype"/>
          <w:i/>
          <w:sz w:val="22"/>
          <w:szCs w:val="22"/>
        </w:rPr>
        <w:t xml:space="preserve"> </w:t>
      </w:r>
    </w:p>
    <w:p w:rsidR="00A04BDC" w:rsidRPr="00900C42" w:rsidRDefault="00A04BDC">
      <w:pPr>
        <w:ind w:left="850" w:right="899"/>
        <w:jc w:val="both"/>
        <w:rPr>
          <w:rFonts w:ascii="Palatino Linotype" w:eastAsia="Palatino Linotype" w:hAnsi="Palatino Linotype" w:cs="Palatino Linotype"/>
          <w:i/>
          <w:sz w:val="22"/>
          <w:szCs w:val="22"/>
        </w:rPr>
      </w:pP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Con relación a la entrega recepción de las obras de Infraestructura Primaria, estas deberán ser tramitadas ante las instancias que habrán de operarlas, con la participación de las dependencias normativas que avalaron o emitieron el dictamen respectivo.”</w:t>
      </w:r>
    </w:p>
    <w:p w:rsidR="00A04BDC" w:rsidRPr="00900C42" w:rsidRDefault="00A3635F">
      <w:pPr>
        <w:ind w:left="850" w:right="899"/>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(énfasis añadido)</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Según lo establece el procedimiento anterior, la entrega- recepción de la obras podrá ser llevada a cabo de forma parcial o total, para que así la Secretaría pueda emitir el acta y remitirla, tanto a la autoridad municipal como al interesado, quienes deberá suscribirla y devolverla a la Secretaría para su publicación en el </w:t>
      </w:r>
      <w:proofErr w:type="spellStart"/>
      <w:r w:rsidRPr="00900C42">
        <w:rPr>
          <w:rFonts w:ascii="Palatino Linotype" w:eastAsia="Palatino Linotype" w:hAnsi="Palatino Linotype" w:cs="Palatino Linotype"/>
        </w:rPr>
        <w:t>Periodico</w:t>
      </w:r>
      <w:proofErr w:type="spellEnd"/>
      <w:r w:rsidRPr="00900C42">
        <w:rPr>
          <w:rFonts w:ascii="Palatino Linotype" w:eastAsia="Palatino Linotype" w:hAnsi="Palatino Linotype" w:cs="Palatino Linotype"/>
        </w:rPr>
        <w:t xml:space="preserve"> Oficial, </w:t>
      </w:r>
      <w:r w:rsidRPr="00900C42">
        <w:rPr>
          <w:rFonts w:ascii="Palatino Linotype" w:eastAsia="Palatino Linotype" w:hAnsi="Palatino Linotype" w:cs="Palatino Linotype"/>
        </w:rPr>
        <w:lastRenderedPageBreak/>
        <w:t xml:space="preserve">siendo hasta entonces que el municipio deberá encargarse del mantenimiento y prestación de servicios públicos. </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De manera que, se advierte que la particular solicitó del </w:t>
      </w:r>
      <w:r w:rsidRPr="00900C42">
        <w:rPr>
          <w:rFonts w:ascii="Palatino Linotype" w:eastAsia="Palatino Linotype" w:hAnsi="Palatino Linotype" w:cs="Palatino Linotype"/>
          <w:b/>
        </w:rPr>
        <w:t>SUJETO OBLIGADO</w:t>
      </w:r>
      <w:r w:rsidRPr="00900C42">
        <w:rPr>
          <w:rFonts w:ascii="Palatino Linotype" w:eastAsia="Palatino Linotype" w:hAnsi="Palatino Linotype" w:cs="Palatino Linotype"/>
        </w:rPr>
        <w:t xml:space="preserve"> un pronunciamiento concreto respecto de si el Conjunto Urbano precisado en la solicitud se encontraba municipalizado y en su caso la fecha. Sin que solicitara el acta de entrega recepción que soportara dicho pronunciamiento, más aún se inconforma señalando que únicamente requería el pronunciamiento específico. A lo que el ente recurrido indicó que el conjunto urbano se encuentra municipalizado de forma parcial dicha entrega parcial consta en el Acta de entrega-recepción de fecha 5 de marzo de dos mil dieciocho. </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Luego entonces, se observa que con la información proporcionada por el ente recurrido tanto en respuesta como en informe justificado se puede colmar la solicitud de la particular ya que se pronunció sobre su cuestionamiento de forma específica por lo que, conviene citar el criterio orientador 002/2017 del INAI, y la tesis 1a. CCCXXVII/2014 (10a.) emitida por la Primera Sala de la Suprema Corte de Justicia de la Nación, cuyo tenor es el siguiente:</w:t>
      </w:r>
    </w:p>
    <w:p w:rsidR="00A04BDC" w:rsidRPr="00900C42" w:rsidRDefault="00A04BDC">
      <w:pPr>
        <w:ind w:right="902"/>
        <w:jc w:val="both"/>
        <w:rPr>
          <w:rFonts w:ascii="Palatino Linotype" w:eastAsia="Palatino Linotype" w:hAnsi="Palatino Linotype" w:cs="Palatino Linotype"/>
        </w:rPr>
      </w:pPr>
    </w:p>
    <w:p w:rsidR="00A04BDC" w:rsidRPr="00900C42" w:rsidRDefault="00A3635F">
      <w:pPr>
        <w:ind w:left="851" w:right="902"/>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i/>
          <w:sz w:val="22"/>
          <w:szCs w:val="22"/>
        </w:rPr>
        <w:t>“</w:t>
      </w:r>
      <w:r w:rsidRPr="00900C42">
        <w:rPr>
          <w:rFonts w:ascii="Palatino Linotype" w:eastAsia="Palatino Linotype" w:hAnsi="Palatino Linotype" w:cs="Palatino Linotype"/>
          <w:b/>
          <w:i/>
          <w:sz w:val="22"/>
          <w:szCs w:val="22"/>
        </w:rPr>
        <w:t>Congruencia y exhaustividad</w:t>
      </w:r>
      <w:r w:rsidRPr="00900C42">
        <w:rPr>
          <w:rFonts w:ascii="Palatino Linotype" w:eastAsia="Palatino Linotype" w:hAnsi="Palatino Linotype" w:cs="Palatino Linotype"/>
          <w:i/>
          <w:sz w:val="22"/>
          <w:szCs w:val="22"/>
        </w:rPr>
        <w:t>.</w:t>
      </w:r>
      <w:r w:rsidRPr="00900C42">
        <w:rPr>
          <w:rFonts w:ascii="Palatino Linotype" w:eastAsia="Palatino Linotype" w:hAnsi="Palatino Linotype" w:cs="Palatino Linotype"/>
          <w:b/>
          <w:i/>
          <w:sz w:val="22"/>
          <w:szCs w:val="22"/>
        </w:rPr>
        <w:t xml:space="preserve"> Sus alcances para garantizar el derecho de acceso a la información.</w:t>
      </w:r>
      <w:r w:rsidRPr="00900C42">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w:t>
      </w:r>
      <w:r w:rsidRPr="00900C42">
        <w:rPr>
          <w:rFonts w:ascii="Palatino Linotype" w:eastAsia="Palatino Linotype" w:hAnsi="Palatino Linotype" w:cs="Palatino Linotype"/>
          <w:i/>
          <w:sz w:val="22"/>
          <w:szCs w:val="22"/>
        </w:rPr>
        <w:lastRenderedPageBreak/>
        <w:t>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rsidR="00A04BDC" w:rsidRPr="00900C42" w:rsidRDefault="00A04BDC">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7" w:name="_heading=h.h5f6uylknmte" w:colFirst="0" w:colLast="0"/>
      <w:bookmarkEnd w:id="7"/>
    </w:p>
    <w:p w:rsidR="00A04BDC" w:rsidRPr="00900C42" w:rsidRDefault="00A3635F">
      <w:pPr>
        <w:widowControl w:val="0"/>
        <w:tabs>
          <w:tab w:val="left" w:pos="1701"/>
          <w:tab w:val="left" w:pos="1843"/>
        </w:tabs>
        <w:spacing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rsidR="00A04BDC" w:rsidRPr="00900C42" w:rsidRDefault="00A04BDC">
      <w:pPr>
        <w:widowControl w:val="0"/>
        <w:tabs>
          <w:tab w:val="left" w:pos="1701"/>
          <w:tab w:val="left" w:pos="1843"/>
        </w:tabs>
        <w:spacing w:line="360" w:lineRule="auto"/>
        <w:ind w:right="49"/>
        <w:jc w:val="both"/>
        <w:rPr>
          <w:rFonts w:ascii="Palatino Linotype" w:eastAsia="Palatino Linotype" w:hAnsi="Palatino Linotype" w:cs="Palatino Linotype"/>
        </w:rPr>
      </w:pPr>
    </w:p>
    <w:p w:rsidR="00A04BDC" w:rsidRPr="00900C42" w:rsidRDefault="00A3635F">
      <w:pPr>
        <w:tabs>
          <w:tab w:val="left" w:pos="709"/>
        </w:tabs>
        <w:spacing w:line="360" w:lineRule="auto"/>
        <w:jc w:val="both"/>
      </w:pPr>
      <w:r w:rsidRPr="00900C42">
        <w:rPr>
          <w:rFonts w:ascii="Palatino Linotype" w:eastAsia="Palatino Linotype" w:hAnsi="Palatino Linotype" w:cs="Palatino Linotype"/>
        </w:rPr>
        <w:t xml:space="preserve">Asimismo, es importante señalar que al haber existido un pronunciamiento por parte del servidor público habilitado competente quien por sus atribuciones conoce de la información solicitada, a fin de dar respuesta a la solicitud planteada, este Instituto no está facultado para manifestarse sobre la veracidad de la información proporcionada, lo anterior, conforme al artículo 36 de la Ley de la Materia. </w:t>
      </w:r>
    </w:p>
    <w:p w:rsidR="00A04BDC" w:rsidRPr="00900C42" w:rsidRDefault="00A3635F">
      <w:pPr>
        <w:spacing w:before="280" w:after="280" w:line="360" w:lineRule="auto"/>
        <w:jc w:val="both"/>
      </w:pPr>
      <w:r w:rsidRPr="00900C42">
        <w:rPr>
          <w:rFonts w:ascii="Palatino Linotype" w:eastAsia="Palatino Linotype" w:hAnsi="Palatino Linotype" w:cs="Palatino Linotype"/>
        </w:rPr>
        <w:t>Sirve de sustento a lo anterior, el criterio 31/10 emitido por el entonces Instituto Federal de Acceso a la Información y Protección de Datos, ahora Instituto Nacional de Acceso a la Información y Protección de Datos, el cual refiere: </w:t>
      </w:r>
    </w:p>
    <w:p w:rsidR="00A04BDC" w:rsidRPr="00900C42" w:rsidRDefault="00A3635F">
      <w:pPr>
        <w:ind w:left="851" w:right="1041"/>
        <w:jc w:val="both"/>
        <w:rPr>
          <w:rFonts w:ascii="Palatino Linotype" w:eastAsia="Palatino Linotype" w:hAnsi="Palatino Linotype" w:cs="Palatino Linotype"/>
          <w:i/>
          <w:sz w:val="22"/>
          <w:szCs w:val="22"/>
        </w:rPr>
      </w:pPr>
      <w:r w:rsidRPr="00900C42">
        <w:rPr>
          <w:rFonts w:ascii="Palatino Linotype" w:eastAsia="Palatino Linotype" w:hAnsi="Palatino Linotype" w:cs="Palatino Linotype"/>
          <w:b/>
          <w:i/>
          <w:sz w:val="22"/>
          <w:szCs w:val="22"/>
        </w:rPr>
        <w:lastRenderedPageBreak/>
        <w:t>“El Instituto Federal de Acceso a la Información y Protección de Datos no cuenta con facultades para pronunciarse respecto de la veracidad de los documentos proporcionados por los sujetos obligados</w:t>
      </w:r>
      <w:r w:rsidRPr="00900C42">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00C42">
        <w:rPr>
          <w:rFonts w:ascii="Palatino Linotype" w:eastAsia="Palatino Linotype" w:hAnsi="Palatino Linotype" w:cs="Palatino Linotype"/>
          <w:b/>
          <w:i/>
          <w:sz w:val="22"/>
          <w:szCs w:val="22"/>
        </w:rPr>
        <w:t>”</w:t>
      </w:r>
      <w:r w:rsidRPr="00900C42">
        <w:rPr>
          <w:rFonts w:ascii="Palatino Linotype" w:eastAsia="Palatino Linotype" w:hAnsi="Palatino Linotype" w:cs="Palatino Linotype"/>
          <w:i/>
          <w:sz w:val="22"/>
          <w:szCs w:val="22"/>
        </w:rPr>
        <w:t xml:space="preserve"> (Sic)</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w:eastAsia="Palatino" w:hAnsi="Palatino" w:cs="Palatino"/>
        </w:rPr>
      </w:pPr>
      <w:r w:rsidRPr="00900C42">
        <w:rPr>
          <w:rFonts w:ascii="Palatino Linotype" w:eastAsia="Palatino Linotype" w:hAnsi="Palatino Linotype" w:cs="Palatino Linotype"/>
        </w:rPr>
        <w:t>Así de los razonamientos antes expuestos, se advierte que en el presente caso se  actualiza la causal de sobreseimiento prevista en la fracción III del artículo 192 de la Ley de Transparencia y Acceso a la Información Pública del Estado de México y Municipios, que a la letra dice:</w:t>
      </w:r>
    </w:p>
    <w:p w:rsidR="00A04BDC" w:rsidRPr="00900C42" w:rsidRDefault="00A04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851" w:right="49"/>
        <w:jc w:val="both"/>
        <w:rPr>
          <w:rFonts w:ascii="Palatino" w:eastAsia="Palatino" w:hAnsi="Palatino" w:cs="Palatino"/>
          <w:i/>
          <w:sz w:val="22"/>
          <w:szCs w:val="22"/>
        </w:rPr>
      </w:pP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851" w:right="49"/>
        <w:jc w:val="both"/>
        <w:rPr>
          <w:rFonts w:ascii="Palatino" w:eastAsia="Palatino" w:hAnsi="Palatino" w:cs="Palatino"/>
          <w:i/>
          <w:sz w:val="22"/>
          <w:szCs w:val="22"/>
        </w:rPr>
      </w:pPr>
      <w:r w:rsidRPr="00900C42">
        <w:rPr>
          <w:rFonts w:ascii="Palatino" w:eastAsia="Palatino" w:hAnsi="Palatino" w:cs="Palatino"/>
          <w:i/>
          <w:sz w:val="22"/>
          <w:szCs w:val="22"/>
        </w:rPr>
        <w:t>“</w:t>
      </w:r>
      <w:r w:rsidRPr="00900C42">
        <w:rPr>
          <w:rFonts w:ascii="Palatino" w:eastAsia="Palatino" w:hAnsi="Palatino" w:cs="Palatino"/>
          <w:b/>
          <w:i/>
          <w:sz w:val="22"/>
          <w:szCs w:val="22"/>
        </w:rPr>
        <w:t xml:space="preserve">Artículo 192. </w:t>
      </w:r>
      <w:r w:rsidRPr="00900C42">
        <w:rPr>
          <w:rFonts w:ascii="Palatino" w:eastAsia="Palatino" w:hAnsi="Palatino" w:cs="Palatino"/>
          <w:i/>
          <w:sz w:val="22"/>
          <w:szCs w:val="22"/>
        </w:rPr>
        <w:t>El recurso será sobreseído, en todo o en parte, cuando una vez admitido, se actualicen alguno de los siguientes supuestos:</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851" w:right="49"/>
        <w:jc w:val="both"/>
        <w:rPr>
          <w:rFonts w:ascii="Palatino" w:eastAsia="Palatino" w:hAnsi="Palatino" w:cs="Palatino"/>
          <w:i/>
          <w:sz w:val="22"/>
          <w:szCs w:val="22"/>
        </w:rPr>
      </w:pPr>
      <w:r w:rsidRPr="00900C42">
        <w:rPr>
          <w:rFonts w:ascii="Palatino" w:eastAsia="Palatino" w:hAnsi="Palatino" w:cs="Palatino"/>
          <w:i/>
          <w:sz w:val="22"/>
          <w:szCs w:val="22"/>
        </w:rPr>
        <w:t>(…)</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851" w:right="49"/>
        <w:jc w:val="both"/>
        <w:rPr>
          <w:rFonts w:ascii="Palatino" w:eastAsia="Palatino" w:hAnsi="Palatino" w:cs="Palatino"/>
          <w:b/>
          <w:i/>
          <w:sz w:val="22"/>
          <w:szCs w:val="22"/>
        </w:rPr>
      </w:pPr>
      <w:r w:rsidRPr="00900C42">
        <w:rPr>
          <w:rFonts w:ascii="Palatino" w:eastAsia="Palatino" w:hAnsi="Palatino" w:cs="Palatino"/>
          <w:b/>
          <w:i/>
          <w:sz w:val="22"/>
          <w:szCs w:val="22"/>
        </w:rPr>
        <w:t xml:space="preserve">III. El sujeto obligado responsable del acto lo modifique o revoque de tal manera que el recurso de revisión quede sin materia;” </w:t>
      </w:r>
    </w:p>
    <w:p w:rsidR="00A04BDC" w:rsidRPr="00900C42" w:rsidRDefault="00A04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w:eastAsia="Palatino" w:hAnsi="Palatino" w:cs="Palatino"/>
        </w:rPr>
      </w:pP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Luego, conforme a la transcripción que antecede conviene desglosar los elementos de la disposición enunciada, de manera tal, que procede el sobreseimiento del recurso de </w:t>
      </w:r>
      <w:r w:rsidRPr="00900C42">
        <w:rPr>
          <w:rFonts w:ascii="Palatino Linotype" w:eastAsia="Palatino Linotype" w:hAnsi="Palatino Linotype" w:cs="Palatino Linotype"/>
        </w:rPr>
        <w:lastRenderedPageBreak/>
        <w:t xml:space="preserve">revisión cuando </w:t>
      </w:r>
      <w:r w:rsidRPr="00900C42">
        <w:rPr>
          <w:rFonts w:ascii="Palatino Linotype" w:eastAsia="Palatino Linotype" w:hAnsi="Palatino Linotype" w:cs="Palatino Linotype"/>
          <w:b/>
        </w:rPr>
        <w:t>EL SUJETO OBLIGADO</w:t>
      </w:r>
      <w:r w:rsidRPr="00900C42">
        <w:rPr>
          <w:rFonts w:ascii="Palatino Linotype" w:eastAsia="Palatino Linotype" w:hAnsi="Palatino Linotype" w:cs="Palatino Linotype"/>
        </w:rPr>
        <w:t xml:space="preserve"> modifique o revoque el acto impugnado, quedando el medio de impugnación sin efecto o materia.</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1.- El sujeto obligado responsable,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2.- Acto,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3.- Que se modifique o revoque, y</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4.- De tal manera que el medio de impugnación quede sin efecto o materia.</w:t>
      </w:r>
    </w:p>
    <w:p w:rsidR="00A04BDC" w:rsidRPr="00900C42" w:rsidRDefault="00A04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w:eastAsia="Palatino" w:hAnsi="Palatino" w:cs="Palatino"/>
        </w:rPr>
      </w:pPr>
      <w:r w:rsidRPr="00900C42">
        <w:rPr>
          <w:rFonts w:ascii="Palatino Linotype" w:eastAsia="Palatino Linotype" w:hAnsi="Palatino Linotype" w:cs="Palatino Linotype"/>
        </w:rPr>
        <w:t>El primer elemento normativo, se actualiza ya que</w:t>
      </w:r>
      <w:r w:rsidRPr="00900C42">
        <w:rPr>
          <w:rFonts w:ascii="Palatino" w:eastAsia="Palatino" w:hAnsi="Palatino" w:cs="Palatino"/>
        </w:rPr>
        <w:t xml:space="preserve"> </w:t>
      </w:r>
      <w:r w:rsidRPr="00900C42">
        <w:rPr>
          <w:rFonts w:ascii="Palatino" w:eastAsia="Palatino" w:hAnsi="Palatino" w:cs="Palatino"/>
          <w:b/>
        </w:rPr>
        <w:t xml:space="preserve">EL SUJETO OBLIGADO </w:t>
      </w:r>
      <w:r w:rsidRPr="00900C42">
        <w:rPr>
          <w:rFonts w:ascii="Palatino Linotype" w:eastAsia="Palatino Linotype" w:hAnsi="Palatino Linotype" w:cs="Palatino Linotype"/>
        </w:rPr>
        <w:t>responsable, es la Secretaria de Desarrollo Urbano y Obra. El segundo elemento normativo, es la existencia de un acto, en el caso en concreto que nos ocupa se</w:t>
      </w:r>
      <w:r w:rsidRPr="00900C42">
        <w:rPr>
          <w:rFonts w:ascii="Palatino" w:eastAsia="Palatino" w:hAnsi="Palatino" w:cs="Palatino"/>
        </w:rPr>
        <w:t xml:space="preserve"> </w:t>
      </w:r>
      <w:r w:rsidRPr="00900C42">
        <w:rPr>
          <w:rFonts w:ascii="Palatino Linotype" w:eastAsia="Palatino Linotype" w:hAnsi="Palatino Linotype" w:cs="Palatino Linotype"/>
        </w:rPr>
        <w:t>actualiza con la respuesta del</w:t>
      </w:r>
      <w:r w:rsidRPr="00900C42">
        <w:rPr>
          <w:rFonts w:ascii="Palatino" w:eastAsia="Palatino" w:hAnsi="Palatino" w:cs="Palatino"/>
        </w:rPr>
        <w:t xml:space="preserve"> </w:t>
      </w:r>
      <w:r w:rsidRPr="00900C42">
        <w:rPr>
          <w:rFonts w:ascii="Palatino" w:eastAsia="Palatino" w:hAnsi="Palatino" w:cs="Palatino"/>
          <w:b/>
        </w:rPr>
        <w:t>SUJETO OBLIGADO</w:t>
      </w:r>
      <w:r w:rsidRPr="00900C42">
        <w:rPr>
          <w:rFonts w:ascii="Palatino" w:eastAsia="Palatino" w:hAnsi="Palatino" w:cs="Palatino"/>
        </w:rPr>
        <w:t>.</w:t>
      </w:r>
    </w:p>
    <w:p w:rsidR="00A04BDC" w:rsidRPr="00900C42" w:rsidRDefault="00A04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Cabe destacar que, de la respuesta otorgada por </w:t>
      </w:r>
      <w:r w:rsidRPr="00900C42">
        <w:rPr>
          <w:rFonts w:ascii="Palatino Linotype" w:eastAsia="Palatino Linotype" w:hAnsi="Palatino Linotype" w:cs="Palatino Linotype"/>
          <w:b/>
        </w:rPr>
        <w:t>EL SUJETO OBLIGADO</w:t>
      </w:r>
      <w:r w:rsidRPr="00900C42">
        <w:rPr>
          <w:rFonts w:ascii="Palatino Linotype" w:eastAsia="Palatino Linotype" w:hAnsi="Palatino Linotype" w:cs="Palatino Linotype"/>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900C42">
        <w:rPr>
          <w:rFonts w:ascii="Palatino Linotype" w:eastAsia="Palatino Linotype" w:hAnsi="Palatino Linotype" w:cs="Palatino Linotype"/>
          <w:b/>
        </w:rPr>
        <w:t>SUJETO OBLIGADO</w:t>
      </w:r>
      <w:r w:rsidRPr="00900C42">
        <w:rPr>
          <w:rFonts w:ascii="Palatino Linotype" w:eastAsia="Palatino Linotype" w:hAnsi="Palatino Linotype" w:cs="Palatino Linotype"/>
        </w:rPr>
        <w:t xml:space="preserve"> se observa a través de sus actos que se llevan a cabo, al realizar sus atribuciones legalmente conferidas.</w:t>
      </w:r>
    </w:p>
    <w:p w:rsidR="00A04BDC" w:rsidRPr="00900C42" w:rsidRDefault="00A04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lastRenderedPageBreak/>
        <w:t>Luego entonces, la naturaleza jurídica de los actos que emiten los Sujetos Obligados, está delimitada, en este caso por la Ley de Transparencia y Acceso a la Información Pública del Estado de México y Municipios en su artículo 53, el cual contempla un catálogo de actos que realizan los Sujetos Obligados en la sustanciación de una solicitud de información:</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708"/>
        <w:jc w:val="both"/>
        <w:rPr>
          <w:rFonts w:ascii="Palatino" w:eastAsia="Palatino" w:hAnsi="Palatino" w:cs="Palatino"/>
          <w:i/>
          <w:sz w:val="22"/>
          <w:szCs w:val="22"/>
        </w:rPr>
      </w:pPr>
      <w:r w:rsidRPr="00900C42">
        <w:rPr>
          <w:rFonts w:ascii="Palatino" w:eastAsia="Palatino" w:hAnsi="Palatino" w:cs="Palatino"/>
          <w:b/>
          <w:i/>
          <w:sz w:val="22"/>
          <w:szCs w:val="22"/>
        </w:rPr>
        <w:t>“Artículo 53</w:t>
      </w:r>
      <w:r w:rsidRPr="00900C42">
        <w:rPr>
          <w:rFonts w:ascii="Palatino" w:eastAsia="Palatino" w:hAnsi="Palatino" w:cs="Palatino"/>
          <w:i/>
          <w:sz w:val="22"/>
          <w:szCs w:val="22"/>
        </w:rPr>
        <w:t xml:space="preserve">. Las Unidades de Transparencia tendrán las siguientes funciones: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II. Recibir, tramitar y dar respuesta a las solicitudes de acceso a la información;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III. Auxiliar a los particulares en la elaboración de solicitudes de acceso a la información y, en su caso, orientarlos sobre los sujetos obligados competentes conforme a la normatividad aplicable;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IV. Realizar, con efectividad, los trámites internos necesarios para la atención de las solicitudes de acceso a la información;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V. Entregar, en su caso, a los particulares la información solicitada;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VI. Efectuar las notificaciones a los solicitantes;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VII. Proponer al Comité de Transparencia, los procedimientos internos que aseguren la mayor eficiencia en la gestión de las solicitudes de acceso a la información, conforme a la normatividad aplicable;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VIII. Proponer a quien preside el Comité de Transparencia, personal habilitado que sea necesario para recibir y dar trámite a las solicitudes de acceso a la información;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X. Presentar ante el Comité, el proyecto de clasificación de información;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XI. Promover e implementar políticas de transparencia proactiva procurando su accesibilidad;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 xml:space="preserve">XII. Fomentar la transparencia y accesibilidad al interior del sujeto obligado;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lastRenderedPageBreak/>
        <w:t xml:space="preserve">XIII. Hacer del conocimiento de la instancia competente la probable responsabilidad por el incumplimiento de las obligaciones previstas en la presente Ley; y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900C42">
        <w:rPr>
          <w:rFonts w:ascii="Palatino" w:eastAsia="Palatino" w:hAnsi="Palatino" w:cs="Palatino"/>
          <w:i/>
          <w:sz w:val="22"/>
          <w:szCs w:val="22"/>
        </w:rPr>
        <w:t>XIV. Las demás que resulten necesarias para facilitar el acceso a la información y aquellas que se desprenden de la presente Ley y demás disposiciones jurídicas aplicables.</w:t>
      </w:r>
      <w:r w:rsidRPr="00900C42">
        <w:rPr>
          <w:rFonts w:ascii="Palatino" w:eastAsia="Palatino" w:hAnsi="Palatino" w:cs="Palatino"/>
          <w:b/>
          <w:i/>
          <w:sz w:val="22"/>
          <w:szCs w:val="22"/>
        </w:rPr>
        <w:t>”</w:t>
      </w:r>
    </w:p>
    <w:p w:rsidR="00A04BDC" w:rsidRPr="00900C42" w:rsidRDefault="00A04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Por lo que, el hecho de emitir actos no previstos en el marco normativo que en materia transparencia rige su actuar, serían ilegales de estricto derecho. </w:t>
      </w: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 xml:space="preserve">Es decir, la impugnación de </w:t>
      </w:r>
      <w:r w:rsidRPr="00900C42">
        <w:rPr>
          <w:rFonts w:ascii="Palatino Linotype" w:eastAsia="Palatino Linotype" w:hAnsi="Palatino Linotype" w:cs="Palatino Linotype"/>
          <w:b/>
        </w:rPr>
        <w:t>LA</w:t>
      </w:r>
      <w:r w:rsidRPr="00900C42">
        <w:rPr>
          <w:rFonts w:ascii="Palatino Linotype" w:eastAsia="Palatino Linotype" w:hAnsi="Palatino Linotype" w:cs="Palatino Linotype"/>
        </w:rPr>
        <w:t xml:space="preserve"> </w:t>
      </w:r>
      <w:r w:rsidRPr="00900C42">
        <w:rPr>
          <w:rFonts w:ascii="Palatino Linotype" w:eastAsia="Palatino Linotype" w:hAnsi="Palatino Linotype" w:cs="Palatino Linotype"/>
          <w:b/>
        </w:rPr>
        <w:t xml:space="preserve">RECURRENTE </w:t>
      </w:r>
      <w:r w:rsidRPr="00900C42">
        <w:rPr>
          <w:rFonts w:ascii="Palatino Linotype" w:eastAsia="Palatino Linotype" w:hAnsi="Palatino Linotype" w:cs="Palatino Linotype"/>
        </w:rPr>
        <w:t xml:space="preserve">debe ser sobre la emisión de un “Acto” contenido en la misma Ley o la omisión en la emisión de éste, lo que en el caso que nos ocupa es la respuesta del </w:t>
      </w:r>
      <w:r w:rsidRPr="00900C42">
        <w:rPr>
          <w:rFonts w:ascii="Palatino Linotype" w:eastAsia="Palatino Linotype" w:hAnsi="Palatino Linotype" w:cs="Palatino Linotype"/>
          <w:b/>
        </w:rPr>
        <w:t xml:space="preserve">SUJETO OBLIGADO </w:t>
      </w:r>
      <w:r w:rsidRPr="00900C42">
        <w:rPr>
          <w:rFonts w:ascii="Palatino Linotype" w:eastAsia="Palatino Linotype" w:hAnsi="Palatino Linotype" w:cs="Palatino Linotype"/>
        </w:rPr>
        <w:t xml:space="preserve">y su entrega incompleta o diversa de la información solicitada al remitir información que en sentido estricto no corresponde con la requerida por la particular en su solicitud de información. </w:t>
      </w:r>
    </w:p>
    <w:p w:rsidR="00A04BDC" w:rsidRPr="00900C42" w:rsidRDefault="00A04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t>Por cuanto hace al tercer elemento normativo, es en esencia una condicional, consistente en que la d</w:t>
      </w:r>
      <w:r w:rsidRPr="00900C42">
        <w:rPr>
          <w:rFonts w:ascii="Palatino" w:eastAsia="Palatino" w:hAnsi="Palatino" w:cs="Palatino"/>
        </w:rPr>
        <w:t xml:space="preserve">ependencia o entidad responsable del acto o resolución </w:t>
      </w:r>
      <w:r w:rsidRPr="00900C42">
        <w:rPr>
          <w:rFonts w:ascii="Palatino Linotype" w:eastAsia="Palatino Linotype" w:hAnsi="Palatino Linotype" w:cs="Palatino Linotype"/>
        </w:rPr>
        <w:t>imp</w:t>
      </w:r>
      <w:r w:rsidRPr="00900C42">
        <w:rPr>
          <w:rFonts w:ascii="Palatino" w:eastAsia="Palatino" w:hAnsi="Palatino" w:cs="Palatino"/>
        </w:rPr>
        <w:t xml:space="preserve">ugnada </w:t>
      </w:r>
      <w:r w:rsidRPr="00900C42">
        <w:rPr>
          <w:rFonts w:ascii="Palatino" w:eastAsia="Palatino" w:hAnsi="Palatino" w:cs="Palatino"/>
          <w:b/>
          <w:u w:val="single"/>
        </w:rPr>
        <w:t>la modifique o revoque</w:t>
      </w:r>
      <w:r w:rsidRPr="00900C42">
        <w:rPr>
          <w:rFonts w:ascii="Palatino" w:eastAsia="Palatino" w:hAnsi="Palatino" w:cs="Palatino"/>
        </w:rPr>
        <w:t xml:space="preserve">; entendiendo modificar como el acto que realiza </w:t>
      </w:r>
      <w:r w:rsidRPr="00900C42">
        <w:rPr>
          <w:rFonts w:ascii="Palatino Linotype" w:eastAsia="Palatino Linotype" w:hAnsi="Palatino Linotype" w:cs="Palatino Linotype"/>
        </w:rPr>
        <w:t>el Sujeto Obligado cuando emite una respuesta, la cual, en un acto posterior cambia sustituyendo o ampliando la información proporcionada en un principio, cuyos resultados no dejan sin efectos la respuesta dada, sino que tiene por objeto añadir, suprimir, o sustituir datos, lo cual puede ser de forma parcial.</w:t>
      </w:r>
    </w:p>
    <w:p w:rsidR="00A04BDC" w:rsidRPr="00900C42" w:rsidRDefault="00A04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04BDC" w:rsidRPr="00900C42" w:rsidRDefault="00A3635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900C42">
        <w:rPr>
          <w:rFonts w:ascii="Palatino Linotype" w:eastAsia="Palatino Linotype" w:hAnsi="Palatino Linotype" w:cs="Palatino Linotype"/>
        </w:rPr>
        <w:lastRenderedPageBreak/>
        <w:t xml:space="preserve">Entonces, la modificación, se actualiza cuando otorga una respuesta y posteriormente emite otra en su lugar dejando sin efecto la anterior, esto mediante el Informe Justificado. </w:t>
      </w:r>
    </w:p>
    <w:p w:rsidR="00A04BDC" w:rsidRPr="00900C42" w:rsidRDefault="00A04BD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900C42">
        <w:rPr>
          <w:rFonts w:ascii="Palatino Linotype" w:eastAsia="Palatino Linotype" w:hAnsi="Palatino Linotype" w:cs="Palatino Linotype"/>
        </w:rPr>
        <w:t>En ese tenor, un acto impugnado queda sin efectos, cuando aun existiendo ya no genera ninguna consecuencia legal. Por otra parte, un acto impugnado queda sin materia, cuando ha sido satisfecha la pretensión de lo pedido o exigido por</w:t>
      </w:r>
      <w:r w:rsidRPr="00900C42">
        <w:rPr>
          <w:rFonts w:ascii="Palatino" w:eastAsia="Palatino" w:hAnsi="Palatino" w:cs="Palatino"/>
        </w:rPr>
        <w:t xml:space="preserve"> </w:t>
      </w:r>
      <w:r w:rsidRPr="00900C42">
        <w:rPr>
          <w:rFonts w:ascii="Palatino" w:eastAsia="Palatino" w:hAnsi="Palatino" w:cs="Palatino"/>
          <w:b/>
        </w:rPr>
        <w:t xml:space="preserve">LA RECURRENTE </w:t>
      </w:r>
      <w:r w:rsidRPr="00900C42">
        <w:rPr>
          <w:rFonts w:ascii="Palatino" w:eastAsia="Palatino" w:hAnsi="Palatino" w:cs="Palatino"/>
        </w:rPr>
        <w:t xml:space="preserve">ya que </w:t>
      </w:r>
      <w:r w:rsidRPr="00900C42">
        <w:rPr>
          <w:rFonts w:ascii="Palatino" w:eastAsia="Palatino" w:hAnsi="Palatino" w:cs="Palatino"/>
          <w:b/>
        </w:rPr>
        <w:t xml:space="preserve">EL SUJETO OBLIGADO </w:t>
      </w:r>
      <w:r w:rsidRPr="00900C42">
        <w:rPr>
          <w:rFonts w:ascii="Palatino" w:eastAsia="Palatino" w:hAnsi="Palatino" w:cs="Palatino"/>
        </w:rPr>
        <w:t xml:space="preserve">entrega su respuesta en los términos previstos en la ley </w:t>
      </w:r>
      <w:r w:rsidRPr="00900C42">
        <w:rPr>
          <w:rFonts w:ascii="Palatino Linotype" w:eastAsia="Palatino Linotype" w:hAnsi="Palatino Linotype" w:cs="Palatino Linotype"/>
        </w:rPr>
        <w:t xml:space="preserve">y mediante ésta cumple lo establecido en la Ley de Transparencia y Acceso a la Información Pública del Estado de México y Municipios.  </w:t>
      </w:r>
    </w:p>
    <w:p w:rsidR="00A04BDC" w:rsidRPr="00900C42" w:rsidRDefault="00A04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r w:rsidRPr="00900C42">
        <w:rPr>
          <w:rFonts w:ascii="Palatino Linotype" w:eastAsia="Palatino Linotype" w:hAnsi="Palatino Linotype" w:cs="Palatino Linotype"/>
        </w:rPr>
        <w:t xml:space="preserve">Con lo anterior en mente, se advierte que en el Recurso de Revisión materia del </w:t>
      </w:r>
      <w:r w:rsidRPr="00900C42">
        <w:rPr>
          <w:rFonts w:ascii="Palatino" w:eastAsia="Palatino" w:hAnsi="Palatino" w:cs="Palatino"/>
        </w:rPr>
        <w:t xml:space="preserve">presente estudio </w:t>
      </w:r>
      <w:r w:rsidRPr="00900C42">
        <w:rPr>
          <w:rFonts w:ascii="Palatino" w:eastAsia="Palatino" w:hAnsi="Palatino" w:cs="Palatino"/>
          <w:b/>
        </w:rPr>
        <w:t>EL SUJETO OBLIGADO</w:t>
      </w:r>
      <w:r w:rsidRPr="00900C42">
        <w:rPr>
          <w:rFonts w:ascii="Palatino" w:eastAsia="Palatino" w:hAnsi="Palatino" w:cs="Palatino"/>
        </w:rPr>
        <w:t xml:space="preserve"> mediante un acto posterior, se pronunció de forma específica respecto del cuestionamiento de la particular, motivo </w:t>
      </w:r>
      <w:r w:rsidRPr="00900C42">
        <w:rPr>
          <w:rFonts w:ascii="Palatino Linotype" w:eastAsia="Palatino Linotype" w:hAnsi="Palatino Linotype" w:cs="Palatino Linotype"/>
        </w:rPr>
        <w:t>sobre el cual versa la inc</w:t>
      </w:r>
      <w:r w:rsidRPr="00900C42">
        <w:rPr>
          <w:rFonts w:ascii="Palatino" w:eastAsia="Palatino" w:hAnsi="Palatino" w:cs="Palatino"/>
        </w:rPr>
        <w:t xml:space="preserve">onformidad del </w:t>
      </w:r>
      <w:r w:rsidRPr="00900C42">
        <w:rPr>
          <w:rFonts w:ascii="Palatino" w:eastAsia="Palatino" w:hAnsi="Palatino" w:cs="Palatino"/>
          <w:b/>
        </w:rPr>
        <w:t xml:space="preserve">LA RECURRENTE. </w:t>
      </w:r>
    </w:p>
    <w:p w:rsidR="00A04BDC" w:rsidRPr="00900C42" w:rsidRDefault="00A04B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p>
    <w:p w:rsidR="00A04BDC" w:rsidRPr="00900C42" w:rsidRDefault="00A36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900C42">
        <w:rPr>
          <w:rFonts w:ascii="Palatino" w:eastAsia="Palatino" w:hAnsi="Palatino" w:cs="Palatino"/>
        </w:rPr>
        <w:t xml:space="preserve">En consecuencia, resulta procedente </w:t>
      </w:r>
      <w:r w:rsidRPr="00900C42">
        <w:rPr>
          <w:rFonts w:ascii="Palatino" w:eastAsia="Palatino" w:hAnsi="Palatino" w:cs="Palatino"/>
          <w:b/>
        </w:rPr>
        <w:t>SOBRESEER</w:t>
      </w:r>
      <w:r w:rsidRPr="00900C42">
        <w:rPr>
          <w:rFonts w:ascii="Palatino" w:eastAsia="Palatino" w:hAnsi="Palatino" w:cs="Palatino"/>
        </w:rPr>
        <w:t xml:space="preserve"> </w:t>
      </w:r>
      <w:r w:rsidRPr="00900C42">
        <w:rPr>
          <w:rFonts w:ascii="Palatino Linotype" w:eastAsia="Palatino Linotype" w:hAnsi="Palatino Linotype" w:cs="Palatino Linotype"/>
        </w:rPr>
        <w:t xml:space="preserve">el recurso de revisión número </w:t>
      </w:r>
      <w:r w:rsidRPr="00900C42">
        <w:rPr>
          <w:rFonts w:ascii="Palatino Linotype" w:eastAsia="Palatino Linotype" w:hAnsi="Palatino Linotype" w:cs="Palatino Linotype"/>
          <w:b/>
        </w:rPr>
        <w:t>10457/INFOEM/IP/RR/2022</w:t>
      </w:r>
      <w:r w:rsidRPr="00900C42">
        <w:rPr>
          <w:rFonts w:ascii="Palatino" w:eastAsia="Palatino" w:hAnsi="Palatino" w:cs="Palatino"/>
        </w:rPr>
        <w:t xml:space="preserve">, con fundamento en el artículo 192, fracción III de la Ley de Transparencia y Acceso a la Información Pública del Estado de México y Municipios; toda vez que, queda sin materia, en atención a que </w:t>
      </w:r>
      <w:r w:rsidRPr="00900C42">
        <w:rPr>
          <w:rFonts w:ascii="Palatino" w:eastAsia="Palatino" w:hAnsi="Palatino" w:cs="Palatino"/>
          <w:b/>
        </w:rPr>
        <w:t xml:space="preserve">EL SUJETO </w:t>
      </w:r>
      <w:r w:rsidRPr="00900C42">
        <w:rPr>
          <w:rFonts w:ascii="Palatino" w:eastAsia="Palatino" w:hAnsi="Palatino" w:cs="Palatino"/>
          <w:b/>
        </w:rPr>
        <w:lastRenderedPageBreak/>
        <w:t>OBLIGADO</w:t>
      </w:r>
      <w:r w:rsidRPr="00900C42">
        <w:rPr>
          <w:rFonts w:ascii="Palatino" w:eastAsia="Palatino" w:hAnsi="Palatino" w:cs="Palatino"/>
        </w:rPr>
        <w:t xml:space="preserve"> modificó su respuesta, como ya quedó asentado en párrafos que anteceden.</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b/>
          <w:sz w:val="26"/>
          <w:szCs w:val="26"/>
        </w:rPr>
      </w:pPr>
      <w:r w:rsidRPr="00900C42">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A04BDC" w:rsidRPr="00900C42" w:rsidRDefault="00A04BDC">
      <w:pPr>
        <w:spacing w:line="360" w:lineRule="auto"/>
        <w:jc w:val="center"/>
        <w:rPr>
          <w:rFonts w:ascii="Palatino Linotype" w:eastAsia="Palatino Linotype" w:hAnsi="Palatino Linotype" w:cs="Palatino Linotype"/>
          <w:b/>
          <w:sz w:val="26"/>
          <w:szCs w:val="26"/>
        </w:rPr>
      </w:pPr>
    </w:p>
    <w:p w:rsidR="00A04BDC" w:rsidRPr="00900C42" w:rsidRDefault="00A3635F">
      <w:pPr>
        <w:spacing w:line="360" w:lineRule="auto"/>
        <w:jc w:val="center"/>
        <w:rPr>
          <w:rFonts w:ascii="Palatino Linotype" w:eastAsia="Palatino Linotype" w:hAnsi="Palatino Linotype" w:cs="Palatino Linotype"/>
          <w:b/>
          <w:sz w:val="26"/>
          <w:szCs w:val="26"/>
        </w:rPr>
      </w:pPr>
      <w:r w:rsidRPr="00900C42">
        <w:rPr>
          <w:rFonts w:ascii="Palatino Linotype" w:eastAsia="Palatino Linotype" w:hAnsi="Palatino Linotype" w:cs="Palatino Linotype"/>
          <w:b/>
          <w:sz w:val="26"/>
          <w:szCs w:val="26"/>
        </w:rPr>
        <w:t>RESUELVE</w:t>
      </w:r>
    </w:p>
    <w:p w:rsidR="00A04BDC" w:rsidRPr="00900C42" w:rsidRDefault="00A04BDC">
      <w:pPr>
        <w:spacing w:line="360" w:lineRule="auto"/>
        <w:ind w:right="49"/>
        <w:jc w:val="both"/>
        <w:rPr>
          <w:rFonts w:ascii="Palatino Linotype" w:eastAsia="Palatino Linotype" w:hAnsi="Palatino Linotype" w:cs="Palatino Linotype"/>
          <w:b/>
        </w:rPr>
      </w:pPr>
    </w:p>
    <w:p w:rsidR="00A04BDC" w:rsidRPr="00900C42" w:rsidRDefault="00A3635F">
      <w:pPr>
        <w:spacing w:line="360" w:lineRule="auto"/>
        <w:jc w:val="both"/>
        <w:rPr>
          <w:rFonts w:ascii="Palatino Linotype" w:eastAsia="Palatino Linotype" w:hAnsi="Palatino Linotype" w:cs="Palatino Linotype"/>
        </w:rPr>
      </w:pPr>
      <w:bookmarkStart w:id="8" w:name="_heading=h.1ksv4uv" w:colFirst="0" w:colLast="0"/>
      <w:bookmarkEnd w:id="8"/>
      <w:r w:rsidRPr="00900C42">
        <w:rPr>
          <w:rFonts w:ascii="Palatino Linotype" w:eastAsia="Palatino Linotype" w:hAnsi="Palatino Linotype" w:cs="Palatino Linotype"/>
          <w:b/>
          <w:sz w:val="28"/>
          <w:szCs w:val="28"/>
        </w:rPr>
        <w:t>PRIMERO</w:t>
      </w:r>
      <w:r w:rsidRPr="00900C42">
        <w:rPr>
          <w:rFonts w:ascii="Palatino Linotype" w:eastAsia="Palatino Linotype" w:hAnsi="Palatino Linotype" w:cs="Palatino Linotype"/>
          <w:sz w:val="28"/>
          <w:szCs w:val="28"/>
        </w:rPr>
        <w:t>.</w:t>
      </w:r>
      <w:r w:rsidRPr="00900C42">
        <w:rPr>
          <w:rFonts w:ascii="Palatino Linotype" w:eastAsia="Palatino Linotype" w:hAnsi="Palatino Linotype" w:cs="Palatino Linotype"/>
        </w:rPr>
        <w:t xml:space="preserve"> Se </w:t>
      </w:r>
      <w:r w:rsidRPr="00900C42">
        <w:rPr>
          <w:rFonts w:ascii="Palatino Linotype" w:eastAsia="Palatino Linotype" w:hAnsi="Palatino Linotype" w:cs="Palatino Linotype"/>
          <w:b/>
        </w:rPr>
        <w:t xml:space="preserve">SOBRESEE </w:t>
      </w:r>
      <w:r w:rsidRPr="00900C42">
        <w:rPr>
          <w:rFonts w:ascii="Palatino Linotype" w:eastAsia="Palatino Linotype" w:hAnsi="Palatino Linotype" w:cs="Palatino Linotype"/>
        </w:rPr>
        <w:t xml:space="preserve">el Recurso de Revisión número </w:t>
      </w:r>
      <w:r w:rsidRPr="00900C42">
        <w:rPr>
          <w:rFonts w:ascii="Palatino Linotype" w:eastAsia="Palatino Linotype" w:hAnsi="Palatino Linotype" w:cs="Palatino Linotype"/>
          <w:b/>
        </w:rPr>
        <w:t xml:space="preserve">10457/INFOEM/IP/RR/2022, </w:t>
      </w:r>
      <w:r w:rsidRPr="00900C42">
        <w:rPr>
          <w:rFonts w:ascii="Palatino Linotype" w:eastAsia="Palatino Linotype" w:hAnsi="Palatino Linotype" w:cs="Palatino Linotype"/>
        </w:rPr>
        <w:t xml:space="preserve">en términos de lo establecido en el artículo 192  </w:t>
      </w:r>
      <w:r w:rsidRPr="00900C42">
        <w:rPr>
          <w:rFonts w:ascii="Palatino" w:eastAsia="Palatino" w:hAnsi="Palatino" w:cs="Palatino"/>
        </w:rPr>
        <w:t>fracción III  de la Ley de Transparencia y Acceso a la Información Pública del Estado de México y Municipios</w:t>
      </w:r>
      <w:r w:rsidR="009639CA" w:rsidRPr="00900C42">
        <w:rPr>
          <w:rFonts w:ascii="Palatino" w:eastAsia="Palatino" w:hAnsi="Palatino" w:cs="Palatino"/>
        </w:rPr>
        <w:t>,</w:t>
      </w:r>
      <w:r w:rsidRPr="00900C42">
        <w:rPr>
          <w:rFonts w:ascii="Palatino" w:eastAsia="Palatino" w:hAnsi="Palatino" w:cs="Palatino"/>
        </w:rPr>
        <w:t xml:space="preserve"> </w:t>
      </w:r>
      <w:r w:rsidRPr="00900C42">
        <w:rPr>
          <w:rFonts w:ascii="Palatino Linotype" w:eastAsia="Palatino Linotype" w:hAnsi="Palatino Linotype" w:cs="Palatino Linotype"/>
        </w:rPr>
        <w:t xml:space="preserve">porque al modificar la respuesta </w:t>
      </w:r>
      <w:r w:rsidRPr="00900C42">
        <w:rPr>
          <w:rFonts w:ascii="Palatino Linotype" w:eastAsia="Palatino Linotype" w:hAnsi="Palatino Linotype" w:cs="Palatino Linotype"/>
          <w:b/>
        </w:rPr>
        <w:t>EL SUJETO OBLIGADO</w:t>
      </w:r>
      <w:r w:rsidRPr="00900C42">
        <w:rPr>
          <w:rFonts w:ascii="Palatino Linotype" w:eastAsia="Palatino Linotype" w:hAnsi="Palatino Linotype" w:cs="Palatino Linotype"/>
        </w:rPr>
        <w:t xml:space="preserve">, el recurso de revisión quedó sin materia en términos del Considerando </w:t>
      </w:r>
      <w:r w:rsidRPr="00900C42">
        <w:rPr>
          <w:rFonts w:ascii="Palatino Linotype" w:eastAsia="Palatino Linotype" w:hAnsi="Palatino Linotype" w:cs="Palatino Linotype"/>
          <w:b/>
        </w:rPr>
        <w:t xml:space="preserve">QUINTO </w:t>
      </w:r>
      <w:r w:rsidRPr="00900C42">
        <w:rPr>
          <w:rFonts w:ascii="Palatino Linotype" w:eastAsia="Palatino Linotype" w:hAnsi="Palatino Linotype" w:cs="Palatino Linotype"/>
        </w:rPr>
        <w:t>de la presente resolución.</w:t>
      </w:r>
    </w:p>
    <w:p w:rsidR="00A04BDC" w:rsidRPr="00900C42" w:rsidRDefault="00A04BDC">
      <w:pPr>
        <w:ind w:left="850" w:right="901" w:hanging="140"/>
        <w:jc w:val="both"/>
        <w:rPr>
          <w:rFonts w:ascii="Palatino Linotype" w:eastAsia="Palatino Linotype" w:hAnsi="Palatino Linotype" w:cs="Palatino Linotype"/>
          <w:i/>
          <w:sz w:val="22"/>
          <w:szCs w:val="22"/>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b/>
          <w:sz w:val="28"/>
          <w:szCs w:val="28"/>
        </w:rPr>
        <w:t>SEGUNDO.</w:t>
      </w:r>
      <w:r w:rsidRPr="00900C42">
        <w:rPr>
          <w:rFonts w:ascii="Palatino Linotype" w:eastAsia="Palatino Linotype" w:hAnsi="Palatino Linotype" w:cs="Palatino Linotype"/>
          <w:b/>
        </w:rPr>
        <w:t> Notifíquese</w:t>
      </w:r>
      <w:r w:rsidRPr="00900C42">
        <w:rPr>
          <w:rFonts w:ascii="Palatino Linotype" w:eastAsia="Palatino Linotype" w:hAnsi="Palatino Linotype" w:cs="Palatino Linotype"/>
        </w:rPr>
        <w:t xml:space="preserve"> a la Titular de la Unidad de Transparencia del</w:t>
      </w:r>
      <w:r w:rsidRPr="00900C42">
        <w:rPr>
          <w:rFonts w:ascii="Palatino Linotype" w:eastAsia="Palatino Linotype" w:hAnsi="Palatino Linotype" w:cs="Palatino Linotype"/>
          <w:b/>
        </w:rPr>
        <w:t> SUJETO OBLIGADO</w:t>
      </w:r>
      <w:r w:rsidRPr="00900C42">
        <w:rPr>
          <w:rFonts w:ascii="Palatino Linotype" w:eastAsia="Palatino Linotype" w:hAnsi="Palatino Linotype" w:cs="Palatino Linotype"/>
        </w:rPr>
        <w:t>, vía Sistema de Acceso a la Información Mexiquense (</w:t>
      </w:r>
      <w:r w:rsidRPr="00900C42">
        <w:rPr>
          <w:rFonts w:ascii="Palatino Linotype" w:eastAsia="Palatino Linotype" w:hAnsi="Palatino Linotype" w:cs="Palatino Linotype"/>
          <w:b/>
        </w:rPr>
        <w:t>SAIMEX</w:t>
      </w:r>
      <w:r w:rsidRPr="00900C42">
        <w:rPr>
          <w:rFonts w:ascii="Palatino Linotype" w:eastAsia="Palatino Linotype" w:hAnsi="Palatino Linotype" w:cs="Palatino Linotype"/>
        </w:rPr>
        <w:t xml:space="preserve">), para su conocimiento </w:t>
      </w:r>
    </w:p>
    <w:p w:rsidR="00A04BDC" w:rsidRPr="00900C42" w:rsidRDefault="00A04BDC">
      <w:pPr>
        <w:spacing w:line="360" w:lineRule="auto"/>
        <w:jc w:val="both"/>
        <w:rPr>
          <w:rFonts w:ascii="Palatino Linotype" w:eastAsia="Palatino Linotype" w:hAnsi="Palatino Linotype" w:cs="Palatino Linotype"/>
          <w:b/>
          <w:sz w:val="28"/>
          <w:szCs w:val="28"/>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b/>
          <w:sz w:val="28"/>
          <w:szCs w:val="28"/>
        </w:rPr>
        <w:lastRenderedPageBreak/>
        <w:t>TERCERO</w:t>
      </w:r>
      <w:r w:rsidRPr="00900C42">
        <w:rPr>
          <w:rFonts w:ascii="Palatino Linotype" w:eastAsia="Palatino Linotype" w:hAnsi="Palatino Linotype" w:cs="Palatino Linotype"/>
          <w:b/>
        </w:rPr>
        <w:t>. Notifíquese</w:t>
      </w:r>
      <w:r w:rsidRPr="00900C42">
        <w:rPr>
          <w:rFonts w:ascii="Palatino Linotype" w:eastAsia="Palatino Linotype" w:hAnsi="Palatino Linotype" w:cs="Palatino Linotype"/>
        </w:rPr>
        <w:t xml:space="preserve"> a </w:t>
      </w:r>
      <w:r w:rsidRPr="00900C42">
        <w:rPr>
          <w:rFonts w:ascii="Palatino Linotype" w:eastAsia="Palatino Linotype" w:hAnsi="Palatino Linotype" w:cs="Palatino Linotype"/>
          <w:b/>
        </w:rPr>
        <w:t>LA RECURRENTE</w:t>
      </w:r>
      <w:r w:rsidRPr="00900C42">
        <w:rPr>
          <w:rFonts w:ascii="Palatino Linotype" w:eastAsia="Palatino Linotype" w:hAnsi="Palatino Linotype" w:cs="Palatino Linotype"/>
        </w:rPr>
        <w:t xml:space="preserve"> la presente resolución vía Sistema de Acceso a la Información Mexiquense (</w:t>
      </w:r>
      <w:r w:rsidRPr="00900C42">
        <w:rPr>
          <w:rFonts w:ascii="Palatino Linotype" w:eastAsia="Palatino Linotype" w:hAnsi="Palatino Linotype" w:cs="Palatino Linotype"/>
          <w:b/>
        </w:rPr>
        <w:t>SAIMEX</w:t>
      </w:r>
      <w:r w:rsidRPr="00900C42">
        <w:rPr>
          <w:rFonts w:ascii="Palatino Linotype" w:eastAsia="Palatino Linotype" w:hAnsi="Palatino Linotype" w:cs="Palatino Linotype"/>
        </w:rPr>
        <w:t>).</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b/>
        </w:rPr>
      </w:pPr>
      <w:r w:rsidRPr="00900C42">
        <w:rPr>
          <w:rFonts w:ascii="Palatino Linotype" w:eastAsia="Palatino Linotype" w:hAnsi="Palatino Linotype" w:cs="Palatino Linotype"/>
          <w:b/>
          <w:sz w:val="28"/>
          <w:szCs w:val="28"/>
        </w:rPr>
        <w:t>CUARTO</w:t>
      </w:r>
      <w:r w:rsidRPr="00900C42">
        <w:rPr>
          <w:rFonts w:ascii="Palatino Linotype" w:eastAsia="Palatino Linotype" w:hAnsi="Palatino Linotype" w:cs="Palatino Linotype"/>
          <w:b/>
        </w:rPr>
        <w:t>.</w:t>
      </w:r>
      <w:r w:rsidRPr="00900C42">
        <w:rPr>
          <w:rFonts w:ascii="Palatino Linotype" w:eastAsia="Palatino Linotype" w:hAnsi="Palatino Linotype" w:cs="Palatino Linotype"/>
        </w:rPr>
        <w:t xml:space="preserve"> </w:t>
      </w:r>
      <w:r w:rsidRPr="00900C42">
        <w:rPr>
          <w:rFonts w:ascii="Palatino Linotype" w:eastAsia="Palatino Linotype" w:hAnsi="Palatino Linotype" w:cs="Palatino Linotype"/>
          <w:b/>
        </w:rPr>
        <w:t>Hágase del conocimiento</w:t>
      </w:r>
      <w:r w:rsidRPr="00900C42">
        <w:rPr>
          <w:rFonts w:ascii="Palatino Linotype" w:eastAsia="Palatino Linotype" w:hAnsi="Palatino Linotype" w:cs="Palatino Linotype"/>
        </w:rPr>
        <w:t xml:space="preserve"> de </w:t>
      </w:r>
      <w:r w:rsidRPr="00900C42">
        <w:rPr>
          <w:rFonts w:ascii="Palatino Linotype" w:eastAsia="Palatino Linotype" w:hAnsi="Palatino Linotype" w:cs="Palatino Linotype"/>
          <w:b/>
        </w:rPr>
        <w:t>LA RECURRENTE</w:t>
      </w:r>
      <w:r w:rsidRPr="00900C42">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A04BDC" w:rsidRPr="00900C42" w:rsidRDefault="00A04BDC">
      <w:pPr>
        <w:spacing w:line="360" w:lineRule="auto"/>
        <w:jc w:val="both"/>
        <w:rPr>
          <w:rFonts w:ascii="Palatino Linotype" w:eastAsia="Palatino Linotype" w:hAnsi="Palatino Linotype" w:cs="Palatino Linotype"/>
        </w:rPr>
      </w:pPr>
    </w:p>
    <w:p w:rsidR="00A04BDC" w:rsidRPr="00900C42" w:rsidRDefault="00A3635F">
      <w:pPr>
        <w:spacing w:line="360" w:lineRule="auto"/>
        <w:jc w:val="both"/>
        <w:rPr>
          <w:rFonts w:ascii="Palatino Linotype" w:eastAsia="Palatino Linotype" w:hAnsi="Palatino Linotype" w:cs="Palatino Linotype"/>
        </w:rPr>
      </w:pPr>
      <w:r w:rsidRPr="00900C4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17004B" w:rsidRPr="00900C42">
        <w:rPr>
          <w:rFonts w:ascii="Palatino Linotype" w:eastAsia="Palatino Linotype" w:hAnsi="Palatino Linotype" w:cs="Palatino Linotype"/>
        </w:rPr>
        <w:t xml:space="preserve"> RAMÍREZ PEÑA; EN LA TRIGÉSIMA QUIN</w:t>
      </w:r>
      <w:r w:rsidRPr="00900C42">
        <w:rPr>
          <w:rFonts w:ascii="Palatino Linotype" w:eastAsia="Palatino Linotype" w:hAnsi="Palatino Linotype" w:cs="Palatino Linotype"/>
        </w:rPr>
        <w:t xml:space="preserve">TA SESIÓN ORDINARIA CELEBRADA EL </w:t>
      </w:r>
      <w:r w:rsidR="0017004B" w:rsidRPr="00900C42">
        <w:rPr>
          <w:rFonts w:ascii="Palatino Linotype" w:eastAsia="Palatino Linotype" w:hAnsi="Palatino Linotype" w:cs="Palatino Linotype"/>
        </w:rPr>
        <w:t>VEINTIOCHO</w:t>
      </w:r>
      <w:r w:rsidRPr="00900C42">
        <w:rPr>
          <w:rFonts w:ascii="Palatino Linotype" w:eastAsia="Palatino Linotype" w:hAnsi="Palatino Linotype" w:cs="Palatino Linotype"/>
        </w:rPr>
        <w:t xml:space="preserve"> DE SEPTIEMBRE DE DOS MIL VEINTIDÓS, ANTE EL SECRETARIO TÉCNICO DEL PLENO, ALEXIS TAPIA RAMÍREZ.</w:t>
      </w:r>
    </w:p>
    <w:p w:rsidR="00A04BDC" w:rsidRDefault="00A3635F">
      <w:pPr>
        <w:spacing w:line="360" w:lineRule="auto"/>
        <w:jc w:val="both"/>
        <w:rPr>
          <w:rFonts w:ascii="Palatino Linotype" w:eastAsia="Palatino Linotype" w:hAnsi="Palatino Linotype" w:cs="Palatino Linotype"/>
          <w:sz w:val="14"/>
          <w:szCs w:val="14"/>
        </w:rPr>
      </w:pPr>
      <w:r w:rsidRPr="00900C42">
        <w:rPr>
          <w:rFonts w:ascii="Palatino Linotype" w:eastAsia="Palatino Linotype" w:hAnsi="Palatino Linotype" w:cs="Palatino Linotype"/>
          <w:sz w:val="14"/>
          <w:szCs w:val="14"/>
        </w:rPr>
        <w:t>SCMM/BLA/DEMF/PMRE</w:t>
      </w:r>
    </w:p>
    <w:p w:rsidR="00A04BDC" w:rsidRDefault="00A3635F">
      <w:pPr>
        <w:rPr>
          <w:rFonts w:ascii="Palatino Linotype" w:eastAsia="Palatino Linotype" w:hAnsi="Palatino Linotype" w:cs="Palatino Linotype"/>
        </w:rPr>
      </w:pPr>
      <w:r>
        <w:br w:type="page"/>
      </w: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bookmarkStart w:id="9" w:name="_heading=h.30j0zll" w:colFirst="0" w:colLast="0"/>
      <w:bookmarkEnd w:id="9"/>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p w:rsidR="00A04BDC" w:rsidRDefault="00A04BDC">
      <w:pPr>
        <w:spacing w:line="360" w:lineRule="auto"/>
        <w:jc w:val="both"/>
        <w:rPr>
          <w:rFonts w:ascii="Palatino Linotype" w:eastAsia="Palatino Linotype" w:hAnsi="Palatino Linotype" w:cs="Palatino Linotype"/>
        </w:rPr>
      </w:pPr>
    </w:p>
    <w:sectPr w:rsidR="00A04BDC">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279" w:rsidRDefault="008C3279">
      <w:r>
        <w:separator/>
      </w:r>
    </w:p>
  </w:endnote>
  <w:endnote w:type="continuationSeparator" w:id="0">
    <w:p w:rsidR="008C3279" w:rsidRDefault="008C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DC" w:rsidRDefault="00A363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6176E">
      <w:rPr>
        <w:rFonts w:ascii="Palatino Linotype" w:eastAsia="Palatino Linotype" w:hAnsi="Palatino Linotype" w:cs="Palatino Linotype"/>
        <w:noProof/>
        <w:color w:val="000000"/>
        <w:sz w:val="22"/>
        <w:szCs w:val="22"/>
      </w:rPr>
      <w:t>22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6176E">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DC" w:rsidRDefault="00A3635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6176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6176E">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279" w:rsidRDefault="008C3279">
      <w:r>
        <w:separator/>
      </w:r>
    </w:p>
  </w:footnote>
  <w:footnote w:type="continuationSeparator" w:id="0">
    <w:p w:rsidR="008C3279" w:rsidRDefault="008C3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DC" w:rsidRDefault="008C327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DC" w:rsidRDefault="008C327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9"/>
      <w:tblW w:w="9534" w:type="dxa"/>
      <w:tblInd w:w="-142" w:type="dxa"/>
      <w:tblLayout w:type="fixed"/>
      <w:tblLook w:val="0400" w:firstRow="0" w:lastRow="0" w:firstColumn="0" w:lastColumn="0" w:noHBand="0" w:noVBand="1"/>
    </w:tblPr>
    <w:tblGrid>
      <w:gridCol w:w="3261"/>
      <w:gridCol w:w="2551"/>
      <w:gridCol w:w="3722"/>
    </w:tblGrid>
    <w:tr w:rsidR="00A04BDC">
      <w:tc>
        <w:tcPr>
          <w:tcW w:w="3261" w:type="dxa"/>
          <w:vMerge w:val="restart"/>
        </w:tcPr>
        <w:p w:rsidR="00A04BDC" w:rsidRDefault="00A3635F">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A04BDC" w:rsidRDefault="00A3635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A04BDC" w:rsidRDefault="00A3635F">
          <w:pPr>
            <w:jc w:val="both"/>
            <w:rPr>
              <w:rFonts w:ascii="Palatino Linotype" w:eastAsia="Palatino Linotype" w:hAnsi="Palatino Linotype" w:cs="Palatino Linotype"/>
              <w:b/>
            </w:rPr>
          </w:pPr>
          <w:r>
            <w:rPr>
              <w:rFonts w:ascii="Palatino Linotype" w:eastAsia="Palatino Linotype" w:hAnsi="Palatino Linotype" w:cs="Palatino Linotype"/>
              <w:b/>
            </w:rPr>
            <w:t>10457/INFOEM/IP/RR/2022</w:t>
          </w:r>
        </w:p>
      </w:tc>
    </w:tr>
    <w:tr w:rsidR="00A04BDC">
      <w:tc>
        <w:tcPr>
          <w:tcW w:w="3261" w:type="dxa"/>
          <w:vMerge/>
        </w:tcPr>
        <w:p w:rsidR="00A04BDC" w:rsidRDefault="00A04BD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A04BDC" w:rsidRDefault="00A3635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A04BDC" w:rsidRDefault="00A3635F">
          <w:pPr>
            <w:jc w:val="both"/>
            <w:rPr>
              <w:rFonts w:ascii="Palatino Linotype" w:eastAsia="Palatino Linotype" w:hAnsi="Palatino Linotype" w:cs="Palatino Linotype"/>
              <w:b/>
            </w:rPr>
          </w:pPr>
          <w:r>
            <w:rPr>
              <w:rFonts w:ascii="Palatino Linotype" w:eastAsia="Palatino Linotype" w:hAnsi="Palatino Linotype" w:cs="Palatino Linotype"/>
              <w:b/>
            </w:rPr>
            <w:t>Secretaría de Desarrollo Urbano y Obra</w:t>
          </w:r>
        </w:p>
      </w:tc>
    </w:tr>
    <w:tr w:rsidR="00A04BDC">
      <w:trPr>
        <w:trHeight w:val="790"/>
      </w:trPr>
      <w:tc>
        <w:tcPr>
          <w:tcW w:w="3261" w:type="dxa"/>
          <w:vMerge/>
        </w:tcPr>
        <w:p w:rsidR="00A04BDC" w:rsidRDefault="00A04BD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A04BDC" w:rsidRDefault="00A3635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A04BDC" w:rsidRDefault="00A3635F">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A04BDC" w:rsidRDefault="00A04BD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DC" w:rsidRDefault="008C327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a"/>
      <w:tblW w:w="9900" w:type="dxa"/>
      <w:tblInd w:w="-833" w:type="dxa"/>
      <w:tblLayout w:type="fixed"/>
      <w:tblLook w:val="0400" w:firstRow="0" w:lastRow="0" w:firstColumn="0" w:lastColumn="0" w:noHBand="0" w:noVBand="1"/>
    </w:tblPr>
    <w:tblGrid>
      <w:gridCol w:w="3805"/>
      <w:gridCol w:w="3000"/>
      <w:gridCol w:w="3095"/>
    </w:tblGrid>
    <w:tr w:rsidR="00A04BDC">
      <w:tc>
        <w:tcPr>
          <w:tcW w:w="3805" w:type="dxa"/>
          <w:vMerge w:val="restart"/>
          <w:shd w:val="clear" w:color="auto" w:fill="auto"/>
        </w:tcPr>
        <w:p w:rsidR="00A04BDC" w:rsidRDefault="00A3635F">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A04BDC" w:rsidRDefault="00A3635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A04BDC" w:rsidRDefault="00A3635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10457/INFOEM/IP/RR/2022 </w:t>
          </w:r>
        </w:p>
      </w:tc>
    </w:tr>
    <w:tr w:rsidR="00A04BDC">
      <w:tc>
        <w:tcPr>
          <w:tcW w:w="3805" w:type="dxa"/>
          <w:vMerge/>
          <w:shd w:val="clear" w:color="auto" w:fill="auto"/>
        </w:tcPr>
        <w:p w:rsidR="00A04BDC" w:rsidRDefault="00A04BD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A04BDC" w:rsidRDefault="00A3635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A04BDC" w:rsidRDefault="0066176E">
          <w:pPr>
            <w:jc w:val="both"/>
            <w:rPr>
              <w:rFonts w:ascii="Palatino Linotype" w:eastAsia="Palatino Linotype" w:hAnsi="Palatino Linotype" w:cs="Palatino Linotype"/>
              <w:b/>
            </w:rPr>
          </w:pPr>
          <w:r>
            <w:rPr>
              <w:rFonts w:ascii="Palatino Linotype" w:eastAsia="Palatino Linotype" w:hAnsi="Palatino Linotype" w:cs="Palatino Linotype"/>
              <w:b/>
            </w:rPr>
            <w:t>XXXXXXX XXXXXX XXXXXXXXX</w:t>
          </w:r>
        </w:p>
      </w:tc>
    </w:tr>
    <w:tr w:rsidR="00A04BDC">
      <w:trPr>
        <w:trHeight w:val="228"/>
      </w:trPr>
      <w:tc>
        <w:tcPr>
          <w:tcW w:w="3805" w:type="dxa"/>
          <w:vMerge/>
          <w:shd w:val="clear" w:color="auto" w:fill="auto"/>
        </w:tcPr>
        <w:p w:rsidR="00A04BDC" w:rsidRDefault="00A04BD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A04BDC" w:rsidRDefault="00A3635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A04BDC" w:rsidRDefault="00A3635F">
          <w:pPr>
            <w:jc w:val="both"/>
            <w:rPr>
              <w:rFonts w:ascii="Palatino Linotype" w:eastAsia="Palatino Linotype" w:hAnsi="Palatino Linotype" w:cs="Palatino Linotype"/>
              <w:b/>
            </w:rPr>
          </w:pPr>
          <w:r>
            <w:rPr>
              <w:rFonts w:ascii="Palatino Linotype" w:eastAsia="Palatino Linotype" w:hAnsi="Palatino Linotype" w:cs="Palatino Linotype"/>
              <w:b/>
            </w:rPr>
            <w:t>Secretaría de Desarrollo Urbano y Obra</w:t>
          </w:r>
        </w:p>
        <w:p w:rsidR="00A04BDC" w:rsidRDefault="00A04BDC">
          <w:pPr>
            <w:jc w:val="both"/>
            <w:rPr>
              <w:rFonts w:ascii="Palatino Linotype" w:eastAsia="Palatino Linotype" w:hAnsi="Palatino Linotype" w:cs="Palatino Linotype"/>
              <w:b/>
            </w:rPr>
          </w:pPr>
        </w:p>
      </w:tc>
    </w:tr>
    <w:tr w:rsidR="00A04BDC">
      <w:tc>
        <w:tcPr>
          <w:tcW w:w="3805" w:type="dxa"/>
          <w:vMerge/>
          <w:shd w:val="clear" w:color="auto" w:fill="auto"/>
        </w:tcPr>
        <w:p w:rsidR="00A04BDC" w:rsidRDefault="00A04BD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A04BDC" w:rsidRDefault="00A3635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A04BDC" w:rsidRDefault="00A3635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A04BDC" w:rsidRDefault="00A04BD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005C7"/>
    <w:multiLevelType w:val="multilevel"/>
    <w:tmpl w:val="9BE40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4C31AD"/>
    <w:multiLevelType w:val="multilevel"/>
    <w:tmpl w:val="0004E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9BB5655"/>
    <w:multiLevelType w:val="multilevel"/>
    <w:tmpl w:val="A678D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DC"/>
    <w:rsid w:val="0017004B"/>
    <w:rsid w:val="0066176E"/>
    <w:rsid w:val="008C3279"/>
    <w:rsid w:val="00900C42"/>
    <w:rsid w:val="009639CA"/>
    <w:rsid w:val="00A04BDC"/>
    <w:rsid w:val="00A363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BED1A8F-78D6-423E-BFA2-2FA6BE0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2"/>
    <w:tblPr>
      <w:tblStyleRowBandSize w:val="1"/>
      <w:tblStyleColBandSize w:val="1"/>
      <w:tblCellMar>
        <w:top w:w="100" w:type="dxa"/>
        <w:left w:w="100" w:type="dxa"/>
        <w:bottom w:w="100" w:type="dxa"/>
        <w:right w:w="100" w:type="dxa"/>
      </w:tblCellMar>
    </w:tblPr>
  </w:style>
  <w:style w:type="table" w:customStyle="1" w:styleId="a0">
    <w:basedOn w:val="TableNormalfff2"/>
    <w:tblPr>
      <w:tblStyleRowBandSize w:val="1"/>
      <w:tblStyleColBandSize w:val="1"/>
      <w:tblCellMar>
        <w:left w:w="115" w:type="dxa"/>
        <w:right w:w="115" w:type="dxa"/>
      </w:tblCellMar>
    </w:tblPr>
  </w:style>
  <w:style w:type="table" w:customStyle="1" w:styleId="a1">
    <w:basedOn w:val="TableNormalfff2"/>
    <w:tblPr>
      <w:tblStyleRowBandSize w:val="1"/>
      <w:tblStyleColBandSize w:val="1"/>
      <w:tblCellMar>
        <w:left w:w="115" w:type="dxa"/>
        <w:right w:w="115" w:type="dxa"/>
      </w:tblCellMar>
    </w:tblPr>
  </w:style>
  <w:style w:type="table" w:customStyle="1" w:styleId="a2">
    <w:basedOn w:val="TableNormalfff2"/>
    <w:tblPr>
      <w:tblStyleRowBandSize w:val="1"/>
      <w:tblStyleColBandSize w:val="1"/>
      <w:tblCellMar>
        <w:left w:w="115" w:type="dxa"/>
        <w:right w:w="115" w:type="dxa"/>
      </w:tblCellMar>
    </w:tblPr>
  </w:style>
  <w:style w:type="table" w:customStyle="1" w:styleId="a3">
    <w:basedOn w:val="TableNormalfff2"/>
    <w:tblPr>
      <w:tblStyleRowBandSize w:val="1"/>
      <w:tblStyleColBandSize w:val="1"/>
      <w:tblCellMar>
        <w:left w:w="115" w:type="dxa"/>
        <w:right w:w="115" w:type="dxa"/>
      </w:tblCellMar>
    </w:tblPr>
  </w:style>
  <w:style w:type="table" w:customStyle="1" w:styleId="a4">
    <w:basedOn w:val="TableNormalfff2"/>
    <w:tblPr>
      <w:tblStyleRowBandSize w:val="1"/>
      <w:tblStyleColBandSize w:val="1"/>
      <w:tblCellMar>
        <w:left w:w="115" w:type="dxa"/>
        <w:right w:w="115" w:type="dxa"/>
      </w:tblCellMar>
    </w:tblPr>
  </w:style>
  <w:style w:type="table" w:customStyle="1" w:styleId="a5">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2"/>
    <w:tblPr>
      <w:tblStyleRowBandSize w:val="1"/>
      <w:tblStyleColBandSize w:val="1"/>
      <w:tblCellMar>
        <w:left w:w="115" w:type="dxa"/>
        <w:right w:w="115" w:type="dxa"/>
      </w:tblCellMar>
    </w:tblPr>
  </w:style>
  <w:style w:type="table" w:customStyle="1" w:styleId="a7">
    <w:basedOn w:val="TableNormalfff2"/>
    <w:tblPr>
      <w:tblStyleRowBandSize w:val="1"/>
      <w:tblStyleColBandSize w:val="1"/>
      <w:tblCellMar>
        <w:left w:w="115" w:type="dxa"/>
        <w:right w:w="115" w:type="dxa"/>
      </w:tblCellMar>
    </w:tblPr>
  </w:style>
  <w:style w:type="table" w:customStyle="1" w:styleId="a8">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1"/>
    <w:tblPr>
      <w:tblStyleRowBandSize w:val="1"/>
      <w:tblStyleColBandSize w:val="1"/>
      <w:tblCellMar>
        <w:left w:w="115" w:type="dxa"/>
        <w:right w:w="115" w:type="dxa"/>
      </w:tblCellMar>
    </w:tblPr>
  </w:style>
  <w:style w:type="table" w:customStyle="1" w:styleId="afff3">
    <w:basedOn w:val="TableNormalff1"/>
    <w:tblPr>
      <w:tblStyleRowBandSize w:val="1"/>
      <w:tblStyleColBandSize w:val="1"/>
      <w:tblCellMar>
        <w:top w:w="100" w:type="dxa"/>
        <w:left w:w="100" w:type="dxa"/>
        <w:bottom w:w="100" w:type="dxa"/>
        <w:right w:w="100" w:type="dxa"/>
      </w:tblCellMar>
    </w:tblPr>
  </w:style>
  <w:style w:type="table" w:customStyle="1" w:styleId="a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1"/>
    <w:tblPr>
      <w:tblStyleRowBandSize w:val="1"/>
      <w:tblStyleColBandSize w:val="1"/>
      <w:tblCellMar>
        <w:top w:w="100" w:type="dxa"/>
        <w:left w:w="100" w:type="dxa"/>
        <w:bottom w:w="100" w:type="dxa"/>
        <w:right w:w="100" w:type="dxa"/>
      </w:tblCellMar>
    </w:tblPr>
  </w:style>
  <w:style w:type="table" w:customStyle="1" w:styleId="a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1"/>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1"/>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1+PNKTVsnpjagIJHPDmLOYiig==">AMUW2mVUDedlzlSnZxaIELcvhtwkTFpQ9XNMuZ/SoFz7coYxi+wwHk64LOwJC3tiLeJ6KzMmDvZBNDTwQD+JEPt1y+SPHmKS33EMV6jLnetsWMq07atChHHSyZTaBhrrHNbpLZF4SHllbAWCmX9xGObVwhglWQbhc7ZBmUgIc7+DhgMJ7ktsf9vSy/6/74/C/mH/mJpGNMPpM5XGC47yVq9kzYbstQZBAD0QFG72IJUdQb9jkGr7brW7KVQdGGM63AZ3psn6+Gw6aEYLgUKLJOZAJ8irDmet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8396</Words>
  <Characters>46178</Characters>
  <Application>Microsoft Office Word</Application>
  <DocSecurity>0</DocSecurity>
  <Lines>384</Lines>
  <Paragraphs>108</Paragraphs>
  <ScaleCrop>false</ScaleCrop>
  <Company/>
  <LinksUpToDate>false</LinksUpToDate>
  <CharactersWithSpaces>54466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dcterms:created xsi:type="dcterms:W3CDTF">2022-09-15T03:38:00Z</dcterms:created>
  <dcterms:modified xsi:type="dcterms:W3CDTF">2022-10-11T03:03:00Z</dcterms:modified>
</cp:coreProperties>
</file>