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46D" w:rsidRDefault="0032746D">
      <w:pPr>
        <w:widowControl w:val="0"/>
        <w:pBdr>
          <w:top w:val="nil"/>
          <w:left w:val="nil"/>
          <w:bottom w:val="nil"/>
          <w:right w:val="nil"/>
          <w:between w:val="nil"/>
        </w:pBdr>
        <w:spacing w:line="276" w:lineRule="auto"/>
      </w:pP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AC1DEC">
        <w:rPr>
          <w:rFonts w:ascii="Palatino Linotype" w:eastAsia="Palatino Linotype" w:hAnsi="Palatino Linotype" w:cs="Palatino Linotype"/>
          <w:b/>
        </w:rPr>
        <w:t>once</w:t>
      </w:r>
      <w:r>
        <w:rPr>
          <w:rFonts w:ascii="Palatino Linotype" w:eastAsia="Palatino Linotype" w:hAnsi="Palatino Linotype" w:cs="Palatino Linotype"/>
          <w:b/>
        </w:rPr>
        <w:t xml:space="preserve"> de mayo del dos mil veintidós</w:t>
      </w:r>
      <w:r>
        <w:rPr>
          <w:rFonts w:ascii="Palatino Linotype" w:eastAsia="Palatino Linotype" w:hAnsi="Palatino Linotype" w:cs="Palatino Linotype"/>
        </w:rPr>
        <w:t>.</w:t>
      </w:r>
    </w:p>
    <w:p w:rsidR="0032746D" w:rsidRDefault="00D418E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02134/INFOEM/IP/RR/2022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32746D" w:rsidRDefault="00D418E5">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32746D" w:rsidRDefault="00D418E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diez de enero de dos mil veintidós,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Pr>
          <w:rFonts w:ascii="Palatino Linotype" w:eastAsia="Palatino Linotype" w:hAnsi="Palatino Linotype" w:cs="Palatino Linotype"/>
        </w:rPr>
        <w:t>de folio</w:t>
      </w:r>
      <w:r>
        <w:rPr>
          <w:rFonts w:ascii="Palatino Linotype" w:eastAsia="Palatino Linotype" w:hAnsi="Palatino Linotype" w:cs="Palatino Linotype"/>
          <w:b/>
        </w:rPr>
        <w:t xml:space="preserve"> 00485/METEPEC/IP/2022, </w:t>
      </w:r>
      <w:r>
        <w:rPr>
          <w:rFonts w:ascii="Palatino Linotype" w:eastAsia="Palatino Linotype" w:hAnsi="Palatino Linotype" w:cs="Palatino Linotype"/>
        </w:rPr>
        <w:t xml:space="preserve">mediante la cual requirió la información siguiente: </w:t>
      </w:r>
    </w:p>
    <w:p w:rsidR="0032746D" w:rsidRDefault="00D418E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este link "https://www.facebook.com/AyuntamientoMetepec/videos/618432896079738/" se aprecia el evento de reyes magos del ayuntamiento. Sin embargo, ante le incremento de casos positivos a COVID, el Presidente Municipal anunció que se seguirían todas las </w:t>
      </w:r>
      <w:r>
        <w:rPr>
          <w:rFonts w:ascii="Palatino Linotype" w:eastAsia="Palatino Linotype" w:hAnsi="Palatino Linotype" w:cs="Palatino Linotype"/>
          <w:b/>
          <w:i/>
          <w:sz w:val="22"/>
          <w:szCs w:val="22"/>
        </w:rPr>
        <w:t>medidas sanitarias</w:t>
      </w:r>
      <w:r>
        <w:rPr>
          <w:rFonts w:ascii="Palatino Linotype" w:eastAsia="Palatino Linotype" w:hAnsi="Palatino Linotype" w:cs="Palatino Linotype"/>
          <w:i/>
          <w:sz w:val="22"/>
          <w:szCs w:val="22"/>
        </w:rPr>
        <w:t>, por ello se requiere saber (por medio del documento que de cuenta de ello) si se aplicó gel antibacterial a los asistentes ya que funcionarios públicos dieron de mano a mano juguetes a niños.” (Sic)</w:t>
      </w:r>
    </w:p>
    <w:p w:rsidR="0032746D" w:rsidRDefault="00D418E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t xml:space="preserve"> </w:t>
      </w:r>
    </w:p>
    <w:p w:rsidR="0032746D" w:rsidRDefault="00D418E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Prórroga.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veintinueve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 particular la prórroga para atender su solicitud de información, medularmente en los siguientes términos: </w:t>
      </w:r>
    </w:p>
    <w:p w:rsidR="0032746D" w:rsidRDefault="00D418E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32746D" w:rsidRDefault="00D418E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rsidR="0032746D" w:rsidRDefault="00D418E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rsidR="0032746D" w:rsidRDefault="00D418E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rsidR="0032746D" w:rsidRDefault="00D418E5">
      <w:pPr>
        <w:spacing w:before="240" w:after="240"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rsidR="0032746D" w:rsidRDefault="00D418E5" w:rsidP="00734FCA">
      <w:pPr>
        <w:spacing w:before="240" w:after="240" w:line="360" w:lineRule="auto"/>
        <w:ind w:left="567" w:right="851"/>
        <w:jc w:val="both"/>
        <w:rPr>
          <w:rFonts w:ascii="Palatino Linotype" w:eastAsia="Palatino Linotype" w:hAnsi="Palatino Linotype" w:cs="Palatino Linotype"/>
          <w:b/>
        </w:rPr>
      </w:pPr>
      <w:r>
        <w:rPr>
          <w:rFonts w:ascii="Palatino Linotype" w:eastAsia="Palatino Linotype" w:hAnsi="Palatino Linotype" w:cs="Palatino Linotype"/>
          <w:b/>
          <w:i/>
          <w:sz w:val="22"/>
          <w:szCs w:val="22"/>
        </w:rPr>
        <w:t xml:space="preserve">“acta primera sesion extraordinaria.pdf”: </w:t>
      </w:r>
      <w:r>
        <w:rPr>
          <w:rFonts w:ascii="Palatino Linotype" w:eastAsia="Palatino Linotype" w:hAnsi="Palatino Linotype" w:cs="Palatino Linotype"/>
          <w:sz w:val="22"/>
          <w:szCs w:val="22"/>
        </w:rPr>
        <w:t xml:space="preserve">Consistente en el acta de la Primera Sesión Extraordinaria del Comité de Transparencia del Ayuntamiento de Metepec, Estado de México, celebrada el 21 de enero de 2022, mediante la cual se aprobó la ampliación de un plazo de 7 días para la atención de la solicitud de información a la que recayó el presente recurso de </w:t>
      </w:r>
      <w:r>
        <w:rPr>
          <w:rFonts w:ascii="Palatino Linotype" w:eastAsia="Palatino Linotype" w:hAnsi="Palatino Linotype" w:cs="Palatino Linotype"/>
          <w:sz w:val="22"/>
          <w:szCs w:val="22"/>
        </w:rPr>
        <w:lastRenderedPageBreak/>
        <w:t xml:space="preserve">revisión: </w:t>
      </w:r>
      <w:r w:rsidR="00734FCA">
        <w:object w:dxaOrig="8401" w:dyaOrig="11432" w14:anchorId="43FEA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16pt" o:ole="">
            <v:imagedata r:id="rId8" o:title=""/>
          </v:shape>
          <o:OLEObject Type="Embed" ProgID="PBrush" ShapeID="_x0000_i1025" DrawAspect="Content" ObjectID="_1713868946" r:id="rId9"/>
        </w:object>
      </w:r>
    </w:p>
    <w:p w:rsidR="0032746D" w:rsidRDefault="00D418E5">
      <w:pPr>
        <w:spacing w:before="240" w:after="240" w:line="360" w:lineRule="auto"/>
        <w:ind w:right="49"/>
        <w:jc w:val="both"/>
      </w:pPr>
      <w:r>
        <w:object w:dxaOrig="8269" w:dyaOrig="11220" w14:anchorId="7ED65893">
          <v:shape id="_x0000_i1026" type="#_x0000_t75" style="width:413.25pt;height:561pt" o:ole="">
            <v:imagedata r:id="rId10" o:title=""/>
          </v:shape>
          <o:OLEObject Type="Embed" ProgID="PBrush" ShapeID="_x0000_i1026" DrawAspect="Content" ObjectID="_1713868947" r:id="rId11"/>
        </w:object>
      </w:r>
    </w:p>
    <w:p w:rsidR="0032746D" w:rsidRDefault="00D418E5">
      <w:pPr>
        <w:spacing w:before="240" w:after="240" w:line="360" w:lineRule="auto"/>
        <w:ind w:right="49"/>
        <w:jc w:val="both"/>
        <w:rPr>
          <w:rFonts w:ascii="Palatino Linotype" w:eastAsia="Palatino Linotype" w:hAnsi="Palatino Linotype" w:cs="Palatino Linotype"/>
          <w:b/>
        </w:rPr>
      </w:pPr>
      <w:r>
        <w:object w:dxaOrig="8322" w:dyaOrig="10292" w14:anchorId="359B2EAA">
          <v:shape id="_x0000_i1027" type="#_x0000_t75" style="width:415.5pt;height:514.5pt" o:ole="">
            <v:imagedata r:id="rId12" o:title=""/>
          </v:shape>
          <o:OLEObject Type="Embed" ProgID="PBrush" ShapeID="_x0000_i1027" DrawAspect="Content" ObjectID="_1713868948" r:id="rId13"/>
        </w:object>
      </w:r>
    </w:p>
    <w:p w:rsidR="0032746D" w:rsidRDefault="0032746D">
      <w:pPr>
        <w:spacing w:before="240" w:after="240" w:line="360" w:lineRule="auto"/>
        <w:ind w:right="49"/>
        <w:jc w:val="both"/>
        <w:rPr>
          <w:rFonts w:ascii="Palatino Linotype" w:eastAsia="Palatino Linotype" w:hAnsi="Palatino Linotype" w:cs="Palatino Linotype"/>
          <w:b/>
        </w:rPr>
      </w:pPr>
    </w:p>
    <w:p w:rsidR="0032746D" w:rsidRDefault="0032746D">
      <w:pPr>
        <w:spacing w:before="240" w:after="240" w:line="360" w:lineRule="auto"/>
        <w:ind w:right="49"/>
        <w:jc w:val="both"/>
        <w:rPr>
          <w:rFonts w:ascii="Palatino Linotype" w:eastAsia="Palatino Linotype" w:hAnsi="Palatino Linotype" w:cs="Palatino Linotype"/>
          <w:b/>
        </w:rPr>
      </w:pPr>
    </w:p>
    <w:p w:rsidR="0032746D" w:rsidRDefault="00D418E5">
      <w:pPr>
        <w:spacing w:before="240" w:after="240" w:line="360" w:lineRule="auto"/>
        <w:ind w:right="49"/>
        <w:jc w:val="both"/>
        <w:rPr>
          <w:rFonts w:ascii="Palatino Linotype" w:eastAsia="Palatino Linotype" w:hAnsi="Palatino Linotype" w:cs="Palatino Linotype"/>
          <w:b/>
        </w:rPr>
      </w:pPr>
      <w:r>
        <w:object w:dxaOrig="8313" w:dyaOrig="10548" w14:anchorId="49C3480D">
          <v:shape id="_x0000_i1028" type="#_x0000_t75" style="width:415.5pt;height:527.25pt" o:ole="">
            <v:imagedata r:id="rId14" o:title=""/>
          </v:shape>
          <o:OLEObject Type="Embed" ProgID="PBrush" ShapeID="_x0000_i1028" DrawAspect="Content" ObjectID="_1713868949" r:id="rId15"/>
        </w:object>
      </w:r>
      <w:r>
        <w:rPr>
          <w:noProof/>
          <w:lang w:val="en-US" w:eastAsia="en-US"/>
        </w:rPr>
        <mc:AlternateContent>
          <mc:Choice Requires="wpg">
            <w:drawing>
              <wp:anchor distT="0" distB="0" distL="114300" distR="114300" simplePos="0" relativeHeight="251658240" behindDoc="0" locked="0" layoutInCell="1" hidden="0" allowOverlap="1">
                <wp:simplePos x="0" y="0"/>
                <wp:positionH relativeFrom="column">
                  <wp:posOffset>165100</wp:posOffset>
                </wp:positionH>
                <wp:positionV relativeFrom="paragraph">
                  <wp:posOffset>2540000</wp:posOffset>
                </wp:positionV>
                <wp:extent cx="1181100" cy="141391"/>
                <wp:effectExtent l="0" t="0" r="0" b="0"/>
                <wp:wrapNone/>
                <wp:docPr id="28" name="Rectángulo 28"/>
                <wp:cNvGraphicFramePr/>
                <a:graphic xmlns:a="http://schemas.openxmlformats.org/drawingml/2006/main">
                  <a:graphicData uri="http://schemas.microsoft.com/office/word/2010/wordprocessingShape">
                    <wps:wsp>
                      <wps:cNvSpPr/>
                      <wps:spPr>
                        <a:xfrm>
                          <a:off x="4769738" y="3723592"/>
                          <a:ext cx="1152525" cy="112816"/>
                        </a:xfrm>
                        <a:prstGeom prst="rect">
                          <a:avLst/>
                        </a:prstGeom>
                        <a:noFill/>
                        <a:ln w="28575" cap="flat" cmpd="sng">
                          <a:solidFill>
                            <a:srgbClr val="002060"/>
                          </a:solidFill>
                          <a:prstDash val="solid"/>
                          <a:round/>
                          <a:headEnd type="none" w="sm" len="sm"/>
                          <a:tailEnd type="none" w="sm" len="sm"/>
                        </a:ln>
                      </wps:spPr>
                      <wps:txbx>
                        <w:txbxContent>
                          <w:p w:rsidR="0032746D" w:rsidRDefault="0032746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165100</wp:posOffset>
                </wp:positionH>
                <wp:positionV relativeFrom="paragraph">
                  <wp:posOffset>2540000</wp:posOffset>
                </wp:positionV>
                <wp:extent cx="1181100" cy="141391"/>
                <wp:effectExtent b="0" l="0" r="0" t="0"/>
                <wp:wrapNone/>
                <wp:docPr id="28"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1181100" cy="141391"/>
                        </a:xfrm>
                        <a:prstGeom prst="rect"/>
                        <a:ln/>
                      </pic:spPr>
                    </pic:pic>
                  </a:graphicData>
                </a:graphic>
              </wp:anchor>
            </w:drawing>
          </mc:Fallback>
        </mc:AlternateContent>
      </w:r>
    </w:p>
    <w:p w:rsidR="0032746D" w:rsidRDefault="00D418E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diez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su respuesta a la solicitud de información sustancialmente en los siguientes términos: </w:t>
      </w:r>
    </w:p>
    <w:p w:rsidR="0032746D" w:rsidRDefault="00D418E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2746D" w:rsidRDefault="00D418E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SOLICITANTE P R E S E N T E. En respuesta a la solicitud número 00485/METEPEC/IP/2022,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rsidR="0032746D" w:rsidRDefault="00D418E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32746D" w:rsidRDefault="00D418E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rsidR="0032746D" w:rsidRDefault="00D418E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(Sic) </w:t>
      </w:r>
    </w:p>
    <w:p w:rsidR="0032746D" w:rsidRDefault="00D418E5">
      <w:pPr>
        <w:spacing w:before="240" w:after="240"/>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 adjunto: </w:t>
      </w:r>
    </w:p>
    <w:p w:rsidR="0032746D" w:rsidRDefault="00D418E5">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hyperlink r:id="rId17">
        <w:r>
          <w:rPr>
            <w:rFonts w:ascii="Palatino Linotype" w:eastAsia="Palatino Linotype" w:hAnsi="Palatino Linotype" w:cs="Palatino Linotype"/>
            <w:sz w:val="22"/>
            <w:szCs w:val="22"/>
          </w:rPr>
          <w:t>TRANSP-4.pdf</w:t>
        </w:r>
      </w:hyperlink>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Consiste en el oficio </w:t>
      </w:r>
      <w:r>
        <w:rPr>
          <w:rFonts w:ascii="Palatino Linotype" w:eastAsia="Palatino Linotype" w:hAnsi="Palatino Linotype" w:cs="Palatino Linotype"/>
          <w:b/>
          <w:sz w:val="22"/>
          <w:szCs w:val="22"/>
        </w:rPr>
        <w:t xml:space="preserve">CPCyB/073/2022, </w:t>
      </w:r>
      <w:r>
        <w:rPr>
          <w:rFonts w:ascii="Palatino Linotype" w:eastAsia="Palatino Linotype" w:hAnsi="Palatino Linotype" w:cs="Palatino Linotype"/>
          <w:sz w:val="22"/>
          <w:szCs w:val="22"/>
        </w:rPr>
        <w:t>mediante el cual, el Coordinador de Protección Civil y Bomberos manifestó que no organizó la Caravana de Reyes Magos, por lo que no cuenta con la información al respecto.</w:t>
      </w:r>
    </w:p>
    <w:p w:rsidR="0032746D" w:rsidRDefault="00D418E5">
      <w:pPr>
        <w:spacing w:before="240" w:after="240" w:line="360" w:lineRule="auto"/>
        <w:ind w:left="567" w:right="902"/>
        <w:jc w:val="both"/>
        <w:rPr>
          <w:rFonts w:ascii="Palatino Linotype" w:eastAsia="Palatino Linotype" w:hAnsi="Palatino Linotype" w:cs="Palatino Linotype"/>
          <w:sz w:val="22"/>
          <w:szCs w:val="22"/>
        </w:rPr>
      </w:pPr>
      <w:r>
        <w:rPr>
          <w:noProof/>
          <w:lang w:val="en-US" w:eastAsia="en-US"/>
        </w:rPr>
        <w:lastRenderedPageBreak/>
        <w:drawing>
          <wp:inline distT="0" distB="0" distL="0" distR="0">
            <wp:extent cx="5149996" cy="7225245"/>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39165" t="16265" r="27533" b="8789"/>
                    <a:stretch>
                      <a:fillRect/>
                    </a:stretch>
                  </pic:blipFill>
                  <pic:spPr>
                    <a:xfrm>
                      <a:off x="0" y="0"/>
                      <a:ext cx="5149996" cy="7225245"/>
                    </a:xfrm>
                    <a:prstGeom prst="rect">
                      <a:avLst/>
                    </a:prstGeom>
                    <a:ln/>
                  </pic:spPr>
                </pic:pic>
              </a:graphicData>
            </a:graphic>
          </wp:inline>
        </w:drawing>
      </w:r>
    </w:p>
    <w:p w:rsidR="0032746D" w:rsidRDefault="00D418E5" w:rsidP="00734FCA">
      <w:pPr>
        <w:spacing w:before="240" w:after="240" w:line="360" w:lineRule="auto"/>
        <w:ind w:left="-142" w:right="142"/>
        <w:jc w:val="both"/>
        <w:rPr>
          <w:rFonts w:ascii="Palatino Linotype" w:eastAsia="Palatino Linotype" w:hAnsi="Palatino Linotype" w:cs="Palatino Linotype"/>
          <w:sz w:val="22"/>
          <w:szCs w:val="22"/>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32746D" w:rsidRDefault="00D418E5">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32746D" w:rsidRDefault="0032746D">
      <w:pPr>
        <w:ind w:right="567"/>
        <w:jc w:val="both"/>
        <w:rPr>
          <w:rFonts w:ascii="Palatino Linotype" w:eastAsia="Palatino Linotype" w:hAnsi="Palatino Linotype" w:cs="Palatino Linotype"/>
          <w:i/>
          <w:sz w:val="22"/>
          <w:szCs w:val="22"/>
        </w:rPr>
      </w:pPr>
    </w:p>
    <w:p w:rsidR="0032746D" w:rsidRDefault="00D418E5">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rsidR="0032746D" w:rsidRDefault="0032746D">
      <w:pPr>
        <w:ind w:left="567" w:right="567"/>
        <w:jc w:val="both"/>
        <w:rPr>
          <w:rFonts w:ascii="Palatino Linotype" w:eastAsia="Palatino Linotype" w:hAnsi="Palatino Linotype" w:cs="Palatino Linotype"/>
          <w:i/>
          <w:sz w:val="22"/>
          <w:szCs w:val="22"/>
        </w:rPr>
      </w:pPr>
    </w:p>
    <w:p w:rsidR="0032746D" w:rsidRDefault="00D418E5">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32746D" w:rsidRDefault="00D418E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La respuesta proporcionada por el sujeto obligado está repleta de deficiencias al incumplir con diversas disposiciones explícitamente señaladas por la Ley de Transparencia y Acceso a la Información Pública</w:t>
      </w:r>
      <w:r>
        <w:rPr>
          <w:rFonts w:ascii="Palatino Linotype" w:eastAsia="Palatino Linotype" w:hAnsi="Palatino Linotype" w:cs="Palatino Linotype"/>
          <w:i/>
          <w:sz w:val="22"/>
          <w:szCs w:val="22"/>
        </w:rPr>
        <w:t xml:space="preserv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Pr>
          <w:rFonts w:ascii="Palatino Linotype" w:eastAsia="Palatino Linotype" w:hAnsi="Palatino Linotype" w:cs="Palatino Linotype"/>
          <w:b/>
          <w:i/>
          <w:sz w:val="22"/>
          <w:szCs w:val="22"/>
          <w:u w:val="single"/>
        </w:rPr>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w:t>
      </w:r>
      <w:r>
        <w:rPr>
          <w:rFonts w:ascii="Palatino Linotype" w:eastAsia="Palatino Linotype" w:hAnsi="Palatino Linotype" w:cs="Palatino Linotype"/>
          <w:i/>
          <w:sz w:val="22"/>
          <w:szCs w:val="22"/>
        </w:rPr>
        <w:t xml:space="preserve">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w:t>
      </w:r>
      <w:r>
        <w:rPr>
          <w:rFonts w:ascii="Palatino Linotype" w:eastAsia="Palatino Linotype" w:hAnsi="Palatino Linotype" w:cs="Palatino Linotype"/>
          <w:i/>
          <w:sz w:val="22"/>
          <w:szCs w:val="22"/>
        </w:rPr>
        <w:lastRenderedPageBreak/>
        <w:t xml:space="preserve">la Información Pública y Protección de Datos Personales del Estado de México y Municipios tenga a bien ordenar al sujeto obligado de mérito la entrega de la información solicitada, en versión digital y pública, de ser el caso, en el formato en que se encuentre. </w:t>
      </w:r>
      <w:r>
        <w:rPr>
          <w:rFonts w:ascii="Palatino Linotype" w:eastAsia="Palatino Linotype" w:hAnsi="Palatino Linotype" w:cs="Palatino Linotype"/>
          <w:b/>
          <w:i/>
          <w:sz w:val="22"/>
          <w:szCs w:val="22"/>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w:t>
      </w:r>
      <w:r>
        <w:rPr>
          <w:rFonts w:ascii="Palatino Linotype" w:eastAsia="Palatino Linotype" w:hAnsi="Palatino Linotype" w:cs="Palatino Linotype"/>
          <w:i/>
          <w:sz w:val="22"/>
          <w:szCs w:val="22"/>
        </w:rPr>
        <w:t>,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rsidR="0032746D" w:rsidRDefault="0032746D">
      <w:pPr>
        <w:ind w:right="49"/>
        <w:jc w:val="both"/>
        <w:rPr>
          <w:rFonts w:ascii="Palatino Linotype" w:eastAsia="Palatino Linotype" w:hAnsi="Palatino Linotype" w:cs="Palatino Linotype"/>
          <w:i/>
          <w:sz w:val="22"/>
          <w:szCs w:val="22"/>
        </w:rPr>
      </w:pPr>
    </w:p>
    <w:p w:rsidR="0032746D" w:rsidRDefault="00D418E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32746D" w:rsidRDefault="0032746D">
      <w:pPr>
        <w:widowControl w:val="0"/>
        <w:spacing w:line="360" w:lineRule="auto"/>
        <w:ind w:right="49"/>
        <w:jc w:val="both"/>
        <w:rPr>
          <w:rFonts w:ascii="Palatino Linotype" w:eastAsia="Palatino Linotype" w:hAnsi="Palatino Linotype" w:cs="Palatino Linotype"/>
        </w:rPr>
      </w:pPr>
    </w:p>
    <w:p w:rsidR="0032746D" w:rsidRDefault="00D418E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32746D" w:rsidRDefault="0032746D">
      <w:pPr>
        <w:widowControl w:val="0"/>
        <w:spacing w:line="360" w:lineRule="auto"/>
        <w:ind w:right="49"/>
        <w:jc w:val="both"/>
        <w:rPr>
          <w:rFonts w:ascii="Palatino Linotype" w:eastAsia="Palatino Linotype" w:hAnsi="Palatino Linotype" w:cs="Palatino Linotype"/>
        </w:rPr>
      </w:pPr>
    </w:p>
    <w:p w:rsidR="0032746D" w:rsidRDefault="00D418E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asimismo cabe señalar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fue omisa en emitir pronunciamientos, ofrecer pruebas o alegatos, por lo que se tiene por precluido su derecho.</w:t>
      </w:r>
    </w:p>
    <w:p w:rsidR="0032746D" w:rsidRDefault="00D418E5">
      <w:pPr>
        <w:widowControl w:val="0"/>
        <w:spacing w:line="360" w:lineRule="auto"/>
        <w:ind w:right="49"/>
        <w:jc w:val="both"/>
        <w:rPr>
          <w:rFonts w:ascii="Palatino Linotype" w:eastAsia="Palatino Linotype" w:hAnsi="Palatino Linotype" w:cs="Palatino Linotype"/>
        </w:rPr>
      </w:pPr>
      <w:r>
        <w:rPr>
          <w:noProof/>
          <w:lang w:val="en-US" w:eastAsia="en-US"/>
        </w:rPr>
        <w:drawing>
          <wp:inline distT="0" distB="0" distL="0" distR="0">
            <wp:extent cx="5542212" cy="973498"/>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19806" t="36095" r="19574" b="39592"/>
                    <a:stretch>
                      <a:fillRect/>
                    </a:stretch>
                  </pic:blipFill>
                  <pic:spPr>
                    <a:xfrm>
                      <a:off x="0" y="0"/>
                      <a:ext cx="5542212" cy="973498"/>
                    </a:xfrm>
                    <a:prstGeom prst="rect">
                      <a:avLst/>
                    </a:prstGeom>
                    <a:ln/>
                  </pic:spPr>
                </pic:pic>
              </a:graphicData>
            </a:graphic>
          </wp:inline>
        </w:drawing>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tres</w:t>
      </w:r>
      <w:r>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rsidR="0032746D" w:rsidRDefault="00D418E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cuatro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a fin de aminorar los efectos que conlleva.</w:t>
      </w:r>
    </w:p>
    <w:p w:rsidR="0032746D" w:rsidRDefault="00D418E5">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32746D" w:rsidRDefault="00D418E5">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2746D" w:rsidRDefault="00D418E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el día </w:t>
      </w:r>
      <w:r>
        <w:rPr>
          <w:rFonts w:ascii="Palatino Linotype" w:eastAsia="Palatino Linotype" w:hAnsi="Palatino Linotype" w:cs="Palatino Linotype"/>
          <w:b/>
        </w:rPr>
        <w:t>diez de febrero de dos mil veintidós</w:t>
      </w:r>
      <w:r>
        <w:rPr>
          <w:rFonts w:ascii="Palatino Linotype" w:eastAsia="Palatino Linotype" w:hAnsi="Palatino Linotype" w:cs="Palatino Linotype"/>
        </w:rPr>
        <w:t xml:space="preserve">, mientras que el solicitante presentó su recurso de revisión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décimo segundo día hábil</w:t>
      </w:r>
      <w:r>
        <w:rPr>
          <w:rFonts w:ascii="Palatino Linotype" w:eastAsia="Palatino Linotype" w:hAnsi="Palatino Linotype" w:cs="Palatino Linotype"/>
        </w:rPr>
        <w:t xml:space="preserve"> siguiente en que tuvo conocimiento de la respuesta impugnada, de tal forma, se considera que la interposición del presente medio de impugnación se encuentra dentro de los márgenes temporales previstos en el citado precepto legal.</w:t>
      </w:r>
    </w:p>
    <w:p w:rsidR="0032746D" w:rsidRDefault="00D418E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Ahora bien, por cuanto hace a la procedibilidad del recurso de revisión, es de suma importancia señalar que la parte</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2746D" w:rsidRDefault="00D418E5">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32746D" w:rsidRDefault="00D418E5">
      <w:pPr>
        <w:spacing w:before="240" w:after="240" w:line="360" w:lineRule="auto"/>
        <w:ind w:right="49"/>
        <w:jc w:val="both"/>
        <w:rPr>
          <w:rFonts w:ascii="Quattrocento Sans" w:eastAsia="Quattrocento Sans" w:hAnsi="Quattrocento Sans" w:cs="Quattrocento Sans"/>
        </w:rPr>
      </w:pPr>
      <w:r>
        <w:rPr>
          <w:rFonts w:ascii="Palatino Linotype" w:eastAsia="Palatino Linotype" w:hAnsi="Palatino Linotype" w:cs="Palatino Linotype"/>
        </w:rPr>
        <w:t xml:space="preserve">Así las cosas,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los artículos 176 y 179 fracción </w:t>
      </w:r>
      <w:r>
        <w:rPr>
          <w:rFonts w:ascii="Palatino Linotype" w:eastAsia="Palatino Linotype" w:hAnsi="Palatino Linotype" w:cs="Palatino Linotype"/>
          <w:b/>
        </w:rPr>
        <w:t xml:space="preserve">I </w:t>
      </w:r>
      <w:r>
        <w:rPr>
          <w:rFonts w:ascii="Palatino Linotype" w:eastAsia="Palatino Linotype" w:hAnsi="Palatino Linotype" w:cs="Palatino Linotype"/>
        </w:rPr>
        <w:t>del ordenamiento legal citado, que establecen los supuestos en que puede interponerse el recurso de revisión:</w:t>
      </w:r>
    </w:p>
    <w:p w:rsidR="0032746D" w:rsidRDefault="00D418E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rsidR="0032746D" w:rsidRDefault="00D418E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32746D" w:rsidRDefault="00D418E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 ” (Sic)</w:t>
      </w:r>
    </w:p>
    <w:p w:rsidR="0032746D" w:rsidRDefault="00D418E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32746D" w:rsidRDefault="00D418E5">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Del análisis de la solicitud de información motivo del recurso de revisión que ahora se resuelve, se advierte que el particular requirió al Ayuntamiento de Metepec, lo siguiente:</w:t>
      </w:r>
    </w:p>
    <w:p w:rsidR="0032746D" w:rsidRDefault="00D418E5">
      <w:pPr>
        <w:numPr>
          <w:ilvl w:val="0"/>
          <w:numId w:val="2"/>
        </w:num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evento de reyes magos del ayuntamiento, saber si se aplicó gel antibacterial a los asistentes ya que funcionarios públicos dieron de mano a mano juguetes a niños.</w:t>
      </w:r>
    </w:p>
    <w:p w:rsidR="0032746D" w:rsidRDefault="00D418E5">
      <w:pPr>
        <w:pBdr>
          <w:top w:val="nil"/>
          <w:left w:val="nil"/>
          <w:bottom w:val="nil"/>
          <w:right w:val="nil"/>
          <w:between w:val="nil"/>
        </w:pBdr>
        <w:spacing w:after="240" w:line="360" w:lineRule="auto"/>
        <w:ind w:right="-150"/>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Es pertinente señalar, que de la solicitud de información se advierte que el particular, solicitó dicha información con base a que señaló que ante el incremento de casos positivos a COVID, el Presidente Municipal anunció que se seguirán todas las </w:t>
      </w:r>
      <w:r>
        <w:rPr>
          <w:rFonts w:ascii="Palatino Linotype" w:eastAsia="Palatino Linotype" w:hAnsi="Palatino Linotype" w:cs="Palatino Linotype"/>
          <w:b/>
          <w:u w:val="single"/>
        </w:rPr>
        <w:t>medidas sanitarias.</w:t>
      </w:r>
    </w:p>
    <w:p w:rsidR="0032746D" w:rsidRDefault="00D418E5">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en respuesta, por conducto del Coordinador de Protección Civil y Bomberos, que </w:t>
      </w:r>
      <w:r>
        <w:rPr>
          <w:rFonts w:ascii="Palatino Linotype" w:eastAsia="Palatino Linotype" w:hAnsi="Palatino Linotype" w:cs="Palatino Linotype"/>
          <w:b/>
          <w:u w:val="single"/>
        </w:rPr>
        <w:t>no organizó la Caravana de Reyes Magos, por lo que no cuenta con la información al respecto.</w:t>
      </w:r>
    </w:p>
    <w:p w:rsidR="0032746D" w:rsidRDefault="00D418E5">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Expuesto lo anterior, es de suma importancia destacar que del análisis a las constancias que obran en el expediente electrónico, en el formato de interposición del recurso de revisión que nos ocupa, específicamente en lo vertido en el acto impugnado </w:t>
      </w:r>
      <w:r>
        <w:rPr>
          <w:rFonts w:ascii="Palatino Linotype" w:eastAsia="Palatino Linotype" w:hAnsi="Palatino Linotype" w:cs="Palatino Linotype"/>
          <w:i/>
        </w:rPr>
        <w:t>“…</w:t>
      </w:r>
      <w:r>
        <w:rPr>
          <w:rFonts w:ascii="Palatino Linotype" w:eastAsia="Palatino Linotype" w:hAnsi="Palatino Linotype" w:cs="Palatino Linotype"/>
          <w:b/>
          <w:i/>
        </w:rPr>
        <w:t>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w:t>
      </w:r>
      <w:r>
        <w:rPr>
          <w:rFonts w:ascii="Palatino Linotype" w:eastAsia="Palatino Linotype" w:hAnsi="Palatino Linotype" w:cs="Palatino Linotype"/>
          <w:i/>
        </w:rPr>
        <w:t>”</w:t>
      </w:r>
      <w:r>
        <w:rPr>
          <w:rFonts w:ascii="Palatino Linotype" w:eastAsia="Palatino Linotype" w:hAnsi="Palatino Linotype" w:cs="Palatino Linotype"/>
        </w:rPr>
        <w:t xml:space="preserve"> </w:t>
      </w:r>
      <w:r>
        <w:rPr>
          <w:rFonts w:ascii="Palatino Linotype" w:eastAsia="Palatino Linotype" w:hAnsi="Palatino Linotype" w:cs="Palatino Linotype"/>
          <w:i/>
        </w:rPr>
        <w:t xml:space="preserve">(Sic) </w:t>
      </w:r>
    </w:p>
    <w:p w:rsidR="0032746D" w:rsidRDefault="0032746D">
      <w:pPr>
        <w:spacing w:line="360" w:lineRule="auto"/>
        <w:jc w:val="both"/>
        <w:rPr>
          <w:rFonts w:ascii="Palatino Linotype" w:eastAsia="Palatino Linotype" w:hAnsi="Palatino Linotype" w:cs="Palatino Linotype"/>
        </w:rPr>
      </w:pPr>
    </w:p>
    <w:p w:rsidR="0032746D" w:rsidRDefault="00D418E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Ante la notificación del recurso de revisión al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este fue omiso en remitir su informe justificado, asimismo el particular no emitió sus alegatos, manifestaciones o cualquier argumento que a su derecho convenga.</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parcialmente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 la entrega de la información en versión pública, en razón de las consideraciones de derecho que a continuación se exponen:</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w:t>
      </w:r>
      <w:r>
        <w:rPr>
          <w:rFonts w:ascii="Palatino Linotype" w:eastAsia="Palatino Linotype" w:hAnsi="Palatino Linotype" w:cs="Palatino Linotype"/>
        </w:rPr>
        <w:lastRenderedPageBreak/>
        <w:t>sujetos obligados es pública y accesible de manera permanente a cualquier persona, privilegiando el principio de máxima publicidad, como así lo establece dicha determinación, que a continuación se transcribe para un mejor entendimiento:</w:t>
      </w:r>
    </w:p>
    <w:p w:rsidR="0032746D" w:rsidRDefault="00D418E5">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2746D" w:rsidRDefault="00D418E5">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2746D" w:rsidRDefault="00D418E5">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rsidR="0032746D" w:rsidRDefault="0032746D">
      <w:pPr>
        <w:ind w:left="709" w:right="760"/>
        <w:jc w:val="both"/>
        <w:rPr>
          <w:rFonts w:ascii="Palatino Linotype" w:eastAsia="Palatino Linotype" w:hAnsi="Palatino Linotype" w:cs="Palatino Linotype"/>
          <w:i/>
          <w:sz w:val="22"/>
          <w:szCs w:val="22"/>
        </w:rPr>
      </w:pPr>
    </w:p>
    <w:p w:rsidR="0032746D" w:rsidRDefault="00D418E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32746D" w:rsidRDefault="00D418E5">
      <w:pPr>
        <w:spacing w:before="240"/>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32746D" w:rsidRDefault="0032746D">
      <w:pPr>
        <w:ind w:left="567" w:right="758"/>
        <w:jc w:val="both"/>
        <w:rPr>
          <w:rFonts w:ascii="Palatino Linotype" w:eastAsia="Palatino Linotype" w:hAnsi="Palatino Linotype" w:cs="Palatino Linotype"/>
          <w:i/>
          <w:sz w:val="22"/>
          <w:szCs w:val="22"/>
        </w:rPr>
      </w:pPr>
    </w:p>
    <w:p w:rsidR="0032746D" w:rsidRDefault="00D418E5">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32746D" w:rsidRDefault="0032746D">
      <w:pPr>
        <w:spacing w:line="360" w:lineRule="auto"/>
        <w:ind w:right="-93"/>
        <w:jc w:val="both"/>
        <w:rPr>
          <w:rFonts w:ascii="Palatino Linotype" w:eastAsia="Palatino Linotype" w:hAnsi="Palatino Linotype" w:cs="Palatino Linotype"/>
          <w:color w:val="000000"/>
        </w:rPr>
      </w:pPr>
    </w:p>
    <w:p w:rsidR="0032746D" w:rsidRDefault="00D418E5">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rsidR="0032746D" w:rsidRDefault="0032746D">
      <w:pPr>
        <w:spacing w:line="360" w:lineRule="auto"/>
        <w:ind w:right="-93"/>
        <w:jc w:val="both"/>
        <w:rPr>
          <w:rFonts w:ascii="Palatino Linotype" w:eastAsia="Palatino Linotype" w:hAnsi="Palatino Linotype" w:cs="Palatino Linotype"/>
          <w:color w:val="000000"/>
        </w:rPr>
      </w:pPr>
    </w:p>
    <w:p w:rsidR="0032746D" w:rsidRDefault="00D418E5">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32746D" w:rsidRDefault="0032746D">
      <w:pPr>
        <w:ind w:left="851" w:right="850"/>
        <w:jc w:val="both"/>
        <w:rPr>
          <w:rFonts w:ascii="Palatino Linotype" w:eastAsia="Palatino Linotype" w:hAnsi="Palatino Linotype" w:cs="Palatino Linotype"/>
          <w:color w:val="000000"/>
        </w:rPr>
      </w:pPr>
    </w:p>
    <w:p w:rsidR="0032746D" w:rsidRDefault="00D418E5">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2746D" w:rsidRDefault="00D418E5">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32746D" w:rsidRDefault="00D418E5">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lastRenderedPageBreak/>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32746D" w:rsidRDefault="00D418E5">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32746D" w:rsidRDefault="00D418E5">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32746D" w:rsidRDefault="0032746D">
      <w:pPr>
        <w:spacing w:line="360" w:lineRule="auto"/>
        <w:jc w:val="both"/>
        <w:rPr>
          <w:rFonts w:ascii="Palatino Linotype" w:eastAsia="Palatino Linotype" w:hAnsi="Palatino Linotype" w:cs="Palatino Linotype"/>
        </w:rPr>
      </w:pPr>
    </w:p>
    <w:p w:rsidR="0032746D" w:rsidRDefault="00D418E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32746D" w:rsidRDefault="0032746D">
      <w:pPr>
        <w:spacing w:line="360" w:lineRule="auto"/>
        <w:jc w:val="both"/>
        <w:rPr>
          <w:rFonts w:ascii="Palatino Linotype" w:eastAsia="Palatino Linotype" w:hAnsi="Palatino Linotype" w:cs="Palatino Linotype"/>
          <w:color w:val="000000"/>
        </w:rPr>
      </w:pPr>
    </w:p>
    <w:p w:rsidR="0032746D" w:rsidRDefault="00D418E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2746D" w:rsidRDefault="0032746D">
      <w:pPr>
        <w:spacing w:line="360" w:lineRule="auto"/>
        <w:ind w:right="49"/>
        <w:jc w:val="both"/>
        <w:rPr>
          <w:rFonts w:ascii="Palatino Linotype" w:eastAsia="Palatino Linotype" w:hAnsi="Palatino Linotype" w:cs="Palatino Linotype"/>
        </w:rPr>
      </w:pPr>
    </w:p>
    <w:p w:rsidR="0032746D" w:rsidRDefault="00D418E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2746D" w:rsidRDefault="0032746D">
      <w:pPr>
        <w:ind w:left="851" w:right="899"/>
        <w:jc w:val="both"/>
        <w:rPr>
          <w:rFonts w:ascii="Palatino Linotype" w:eastAsia="Palatino Linotype" w:hAnsi="Palatino Linotype" w:cs="Palatino Linotype"/>
          <w:i/>
          <w:sz w:val="22"/>
          <w:szCs w:val="22"/>
        </w:rPr>
      </w:pPr>
    </w:p>
    <w:p w:rsidR="0032746D" w:rsidRDefault="00D418E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32746D" w:rsidRDefault="00D418E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2746D" w:rsidRDefault="00D418E5">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32746D" w:rsidRDefault="0032746D">
      <w:pPr>
        <w:ind w:left="851" w:right="899"/>
        <w:jc w:val="both"/>
        <w:rPr>
          <w:rFonts w:ascii="Palatino Linotype" w:eastAsia="Palatino Linotype" w:hAnsi="Palatino Linotype" w:cs="Palatino Linotype"/>
          <w:sz w:val="22"/>
          <w:szCs w:val="22"/>
        </w:rPr>
      </w:pPr>
    </w:p>
    <w:p w:rsidR="0032746D" w:rsidRDefault="00D418E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2746D" w:rsidRDefault="0032746D">
      <w:pPr>
        <w:ind w:left="851" w:right="899"/>
        <w:jc w:val="both"/>
        <w:rPr>
          <w:rFonts w:ascii="Palatino Linotype" w:eastAsia="Palatino Linotype" w:hAnsi="Palatino Linotype" w:cs="Palatino Linotype"/>
        </w:rPr>
      </w:pPr>
    </w:p>
    <w:p w:rsidR="0032746D" w:rsidRDefault="00D418E5">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32746D" w:rsidRDefault="00D418E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w:t>
      </w:r>
      <w:r>
        <w:rPr>
          <w:rFonts w:ascii="Palatino Linotype" w:eastAsia="Palatino Linotype" w:hAnsi="Palatino Linotype" w:cs="Palatino Linotype"/>
          <w:i/>
          <w:sz w:val="22"/>
          <w:szCs w:val="22"/>
        </w:rPr>
        <w:lastRenderedPageBreak/>
        <w:t>registros y documentos públicos, administrados, generados o en posesión de los órganos u organismos públicos, en virtud del ejercicio de sus funciones de derecho público, sin importar su fuente, soporte o fecha de elaboración.</w:t>
      </w:r>
    </w:p>
    <w:p w:rsidR="0032746D" w:rsidRDefault="00D418E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32746D" w:rsidRDefault="00D418E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32746D" w:rsidRDefault="00D418E5">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32746D" w:rsidRDefault="00D418E5">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32746D" w:rsidRDefault="0032746D">
      <w:pPr>
        <w:spacing w:line="360" w:lineRule="auto"/>
        <w:ind w:right="-93"/>
        <w:jc w:val="both"/>
        <w:rPr>
          <w:rFonts w:ascii="Palatino Linotype" w:eastAsia="Palatino Linotype" w:hAnsi="Palatino Linotype" w:cs="Palatino Linotype"/>
          <w:color w:val="000000"/>
        </w:rPr>
      </w:pPr>
    </w:p>
    <w:p w:rsidR="0032746D" w:rsidRDefault="00D418E5">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y 24 último de la Ley de Transparencia y Acceso a la Información Pública del Estado de México y Municipios.</w:t>
      </w:r>
    </w:p>
    <w:p w:rsidR="0032746D" w:rsidRDefault="0032746D">
      <w:pPr>
        <w:spacing w:line="360" w:lineRule="auto"/>
        <w:jc w:val="both"/>
        <w:rPr>
          <w:rFonts w:ascii="Palatino Linotype" w:eastAsia="Palatino Linotype" w:hAnsi="Palatino Linotype" w:cs="Palatino Linotype"/>
        </w:rPr>
      </w:pPr>
    </w:p>
    <w:p w:rsidR="0032746D" w:rsidRDefault="00D418E5">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w:t>
      </w:r>
      <w:r w:rsidR="001D5128">
        <w:rPr>
          <w:rFonts w:ascii="Palatino Linotype" w:eastAsia="Palatino Linotype" w:hAnsi="Palatino Linotype" w:cs="Palatino Linotype"/>
        </w:rPr>
        <w:t>de la</w:t>
      </w:r>
      <w:r>
        <w:rPr>
          <w:rFonts w:ascii="Palatino Linotype" w:eastAsia="Palatino Linotype" w:hAnsi="Palatino Linotype" w:cs="Palatino Linotype"/>
        </w:rPr>
        <w:t xml:space="preserve"> información solicitada se procedió a ingresar a la liga proporcionada por el solicitante, arrojando lo siguiente:</w:t>
      </w:r>
    </w:p>
    <w:p w:rsidR="0032746D" w:rsidRDefault="0032746D">
      <w:pPr>
        <w:spacing w:line="360" w:lineRule="auto"/>
        <w:ind w:right="-93"/>
        <w:jc w:val="both"/>
        <w:rPr>
          <w:rFonts w:ascii="Palatino Linotype" w:eastAsia="Palatino Linotype" w:hAnsi="Palatino Linotype" w:cs="Palatino Linotype"/>
        </w:rPr>
      </w:pPr>
    </w:p>
    <w:p w:rsidR="0032746D" w:rsidRDefault="00AC1DEC">
      <w:pPr>
        <w:numPr>
          <w:ilvl w:val="0"/>
          <w:numId w:val="2"/>
        </w:num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hyperlink r:id="rId20">
        <w:r w:rsidR="00D418E5">
          <w:rPr>
            <w:rFonts w:ascii="Palatino Linotype" w:eastAsia="Palatino Linotype" w:hAnsi="Palatino Linotype" w:cs="Palatino Linotype"/>
            <w:color w:val="0000FF"/>
            <w:u w:val="single"/>
          </w:rPr>
          <w:t>https://www.facebook.com/AyuntamientoMetepec/videos/618432896079738</w:t>
        </w:r>
      </w:hyperlink>
      <w:r w:rsidR="00D418E5">
        <w:rPr>
          <w:rFonts w:ascii="Palatino Linotype" w:eastAsia="Palatino Linotype" w:hAnsi="Palatino Linotype" w:cs="Palatino Linotype"/>
          <w:color w:val="000000"/>
        </w:rPr>
        <w:t>, corresponde a un video publicado en la red social denominada “Facebook”, por parte del Ayuntamiento de Metepec que tiene como título “Inicia caravana con motivo de Día de Reyes para que todos los niños y las niñas reciban un regalo”, de fecha seis de enero del año 2022.</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Sobre la red social denominada “Facebook, manera ilustrativa debe decirse, es considerada como una compañía que ofrece servicios de redes sociales y medios sociales en la cual se pueden compartir diversos contenidos de tipo escrito, fotográfico y de vídeo, para acceder a ella es necesario registrarse de manera personal y crear una cuenta; en ese sentido, dicha plataforma digital es considera por muchos como un medio de contacto o medio de comunicación social, ya que la flexibilidad de la misma, aparte de mantener el contacto entre personas, se ha ido modificando para actividades de uso comercial o de difusión; como en el caso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al ser la red social un medio por el cual las personas, empresas e incluso el ámbito gubernamental han utilizado para efectos de la comunicación social, se estima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utilizó una plataforma digital en el ejercicio de sus funciones de difusión social, sin que ello propiamente lo obligue a celebrar un contrato o convenio con dicha empresa, pues se trata de una plataforma que ofrece sus servicios de manera gratuita y en la cual las personas, como ser individual, se afilian para gozar de sus servicios; que si bien en el ámbito de la administración pública, específicamente en cuanto a estrategias de comunicación social, es una práctica común el allegarse de diversos medios electrónicos de comunicación, esto no implica que dichas actividades sean reguladas por alguna Ley o norma tanto para su uso gubernamental como en materia de transparencia y acceso a la información pública.</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las plataformas digitales en las que se ofertan las redes sociales, son de reciente creación y han ido evolucionando con el paso del tiempo, </w:t>
      </w:r>
      <w:r>
        <w:rPr>
          <w:rFonts w:ascii="Palatino Linotype" w:eastAsia="Palatino Linotype" w:hAnsi="Palatino Linotype" w:cs="Palatino Linotype"/>
        </w:rPr>
        <w:lastRenderedPageBreak/>
        <w:t>pero sobre todo porque se han originado en un ámbito privado, con el objetivo de prestar servicios de comunicación entre particulares, sin que ello implique una transgresión por parte del Estado o que exista una regulación en cuanto al uso que le han dado las instituciones públicas en esta nueva dinámica social digital en la que por necesidad se han tenido que adherir los entes públicos al uso de herramientas tecnológicas que faciliten su labor de la difusión.</w:t>
      </w:r>
    </w:p>
    <w:p w:rsidR="0032746D" w:rsidRDefault="00D418E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 base a lo anterior, podemos concluir que hay un indicio de que si existió el</w:t>
      </w:r>
      <w:r>
        <w:rPr>
          <w:rFonts w:ascii="Verdana" w:eastAsia="Verdana" w:hAnsi="Verdana" w:cs="Verdana"/>
          <w:color w:val="000000"/>
          <w:sz w:val="14"/>
          <w:szCs w:val="14"/>
        </w:rPr>
        <w:t xml:space="preserve"> </w:t>
      </w:r>
      <w:r>
        <w:rPr>
          <w:rFonts w:ascii="Palatino Linotype" w:eastAsia="Palatino Linotype" w:hAnsi="Palatino Linotype" w:cs="Palatino Linotype"/>
        </w:rPr>
        <w:t xml:space="preserve">evento de reyes magos del Ayuntamiento de Metepec y la entrega de juguetes a niños, el pasado seis de enero del año en curso, sirve de sustento a lo anterior </w:t>
      </w:r>
      <w:r>
        <w:rPr>
          <w:rFonts w:ascii="Palatino Linotype" w:eastAsia="Palatino Linotype" w:hAnsi="Palatino Linotype" w:cs="Palatino Linotype"/>
          <w:color w:val="000000"/>
        </w:rPr>
        <w:t>las siguientes tesis jurisprudenciales</w:t>
      </w:r>
      <w:r>
        <w:rPr>
          <w:rFonts w:ascii="Palatino Linotype" w:eastAsia="Palatino Linotype" w:hAnsi="Palatino Linotype" w:cs="Palatino Linotype"/>
        </w:rPr>
        <w:t>:</w:t>
      </w:r>
    </w:p>
    <w:p w:rsidR="0032746D" w:rsidRDefault="0032746D">
      <w:pPr>
        <w:pBdr>
          <w:top w:val="nil"/>
          <w:left w:val="nil"/>
          <w:bottom w:val="nil"/>
          <w:right w:val="nil"/>
          <w:between w:val="nil"/>
        </w:pBdr>
        <w:spacing w:line="360" w:lineRule="auto"/>
        <w:ind w:left="851" w:firstLine="707"/>
        <w:jc w:val="both"/>
        <w:rPr>
          <w:rFonts w:ascii="Palatino Linotype" w:eastAsia="Palatino Linotype" w:hAnsi="Palatino Linotype" w:cs="Palatino Linotype"/>
          <w:color w:val="000000"/>
        </w:rPr>
      </w:pPr>
    </w:p>
    <w:p w:rsidR="0032746D" w:rsidRDefault="00D418E5">
      <w:pPr>
        <w:ind w:left="567" w:right="61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HECHOS NOTORIOS. CONCEPTOS GENERAL Y JURÍDICO</w:t>
      </w:r>
    </w:p>
    <w:p w:rsidR="0032746D" w:rsidRDefault="00D418E5">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Conforme al artículo </w:t>
      </w:r>
      <w:hyperlink r:id="rId21">
        <w:r>
          <w:rPr>
            <w:rFonts w:ascii="Palatino Linotype" w:eastAsia="Palatino Linotype" w:hAnsi="Palatino Linotype" w:cs="Palatino Linotype"/>
            <w:b/>
            <w:i/>
            <w:sz w:val="22"/>
            <w:szCs w:val="22"/>
          </w:rPr>
          <w:t>88 del Código Federal de Procedimientos Civiles</w:t>
        </w:r>
      </w:hyperlink>
      <w:r>
        <w:rPr>
          <w:rFonts w:ascii="Palatino Linotype" w:eastAsia="Palatino Linotype" w:hAnsi="Palatino Linotype" w:cs="Palatino Linotype"/>
          <w:b/>
          <w:i/>
          <w:sz w:val="22"/>
          <w:szCs w:val="22"/>
        </w:rPr>
        <w:t xml:space="preserve"> los tribunales pueden invocar hechos notorios aunque no hayan sido alegados ni probados por las partes.</w:t>
      </w:r>
      <w:r>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Pr>
          <w:rFonts w:ascii="Palatino Linotype" w:eastAsia="Palatino Linotype" w:hAnsi="Palatino Linotype" w:cs="Palatino Linotype"/>
          <w:b/>
          <w:i/>
          <w:sz w:val="22"/>
          <w:szCs w:val="22"/>
        </w:rPr>
        <w:t>, a las vicisitudes de la vida pública actual o a circunstancias comúnmente conocidas en un determinado lugar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 modo que toda persona de ese medio esté en condiciones de saberlo</w:t>
      </w:r>
      <w:r>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32746D" w:rsidRDefault="0032746D">
      <w:pPr>
        <w:ind w:left="567" w:right="616"/>
        <w:rPr>
          <w:rFonts w:ascii="Palatino Linotype" w:eastAsia="Palatino Linotype" w:hAnsi="Palatino Linotype" w:cs="Palatino Linotype"/>
          <w:i/>
          <w:sz w:val="22"/>
          <w:szCs w:val="22"/>
        </w:rPr>
      </w:pPr>
    </w:p>
    <w:p w:rsidR="0032746D" w:rsidRDefault="00D418E5">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rsidR="0032746D" w:rsidRDefault="00D418E5">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rsidR="0032746D" w:rsidRDefault="00D418E5">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Nota: Esta tesis fue objeto de la denuncia relativa a la contradicción de tesis 91/2014, desechada por notoriamente improcedente, mediante acuerdo de 24 de marzo de 2014.”</w:t>
      </w:r>
    </w:p>
    <w:p w:rsidR="0032746D" w:rsidRDefault="0032746D">
      <w:pPr>
        <w:ind w:left="567" w:right="616"/>
        <w:jc w:val="both"/>
        <w:rPr>
          <w:rFonts w:ascii="Palatino Linotype" w:eastAsia="Palatino Linotype" w:hAnsi="Palatino Linotype" w:cs="Palatino Linotype"/>
          <w:i/>
          <w:sz w:val="22"/>
          <w:szCs w:val="22"/>
        </w:rPr>
      </w:pPr>
    </w:p>
    <w:p w:rsidR="0032746D" w:rsidRDefault="00D418E5">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PÁGINAS WEB O ELECTRÓNICAS. SU CONTENIDO ES UN HECHO NOTORIO Y SUSCEPTIBLE DE SER VALORADO EN UNA DECISIÓN JUDICIAL.</w:t>
      </w:r>
      <w:r>
        <w:rPr>
          <w:color w:val="000000"/>
          <w:sz w:val="22"/>
          <w:szCs w:val="22"/>
        </w:rPr>
        <w:t xml:space="preserve"> </w:t>
      </w:r>
      <w:r>
        <w:rPr>
          <w:rFonts w:ascii="Palatino Linotype" w:eastAsia="Palatino Linotype" w:hAnsi="Palatino Linotype" w:cs="Palatino Linotype"/>
          <w:i/>
          <w:color w:val="000000"/>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w:t>
      </w:r>
      <w:r>
        <w:rPr>
          <w:rFonts w:ascii="Palatino Linotype" w:eastAsia="Palatino Linotype" w:hAnsi="Palatino Linotype" w:cs="Palatino Linotype"/>
          <w:i/>
          <w:color w:val="000000"/>
          <w:sz w:val="22"/>
          <w:szCs w:val="22"/>
        </w:rPr>
        <w:lastRenderedPageBreak/>
        <w:t>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ese contexto,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obligación de documentar todo lo relacionado con sus atribuciones, en cualquier soporte documental,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2746D" w:rsidRDefault="0032746D">
      <w:pPr>
        <w:ind w:left="851" w:right="899"/>
        <w:jc w:val="both"/>
        <w:rPr>
          <w:rFonts w:ascii="Palatino Linotype" w:eastAsia="Palatino Linotype" w:hAnsi="Palatino Linotype" w:cs="Palatino Linotype"/>
        </w:rPr>
      </w:pPr>
    </w:p>
    <w:p w:rsidR="0032746D" w:rsidRDefault="00D418E5">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32746D" w:rsidRDefault="00D418E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2746D" w:rsidRDefault="00D418E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32746D" w:rsidRDefault="00D418E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32746D" w:rsidRDefault="00D418E5">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32746D" w:rsidRDefault="00D418E5">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32746D" w:rsidRDefault="0032746D">
      <w:pPr>
        <w:spacing w:line="360" w:lineRule="auto"/>
        <w:jc w:val="both"/>
        <w:rPr>
          <w:rFonts w:ascii="Palatino Linotype" w:eastAsia="Palatino Linotype" w:hAnsi="Palatino Linotype" w:cs="Palatino Linotype"/>
        </w:rPr>
      </w:pPr>
    </w:p>
    <w:p w:rsidR="0032746D" w:rsidRDefault="00D418E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es responsabilidad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conservar todos los soportes documentales en el ejercicio de sus atribuciones y de lo que se haya publicado en la red social de referencia, así como en cualquier otra que se administró, ello derivado de que si bien, las redes sociales digitales no se encuentran reguladas por ninguna norma para su procedimiento de creación y eliminación;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ejercicio de sus funciones de comunicación social la utiliza como un medio a través del cual comparte contenido de tipo fotográfico, escrito o de vídeo, que se tuvo que haber respaldado, por el simple hecho de generarlo derivado de su función como autoridad y por el fin que se persiguió con la difusión en dicha plataforma.</w:t>
      </w:r>
    </w:p>
    <w:p w:rsidR="0032746D" w:rsidRDefault="0032746D">
      <w:pPr>
        <w:spacing w:line="360" w:lineRule="auto"/>
        <w:jc w:val="both"/>
        <w:rPr>
          <w:rFonts w:ascii="Palatino Linotype" w:eastAsia="Palatino Linotype" w:hAnsi="Palatino Linotype" w:cs="Palatino Linotype"/>
          <w:color w:val="FF0000"/>
        </w:rPr>
      </w:pPr>
    </w:p>
    <w:p w:rsidR="0032746D" w:rsidRDefault="00D418E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Ello es así, ya que la conservación de los archivos, ya sea físicos o digitales, es una responsabilidad encomendada para cualquier autoridad, entidad, órgano y organismo de los poderes Legislativo, Ejecutivo y Judicial, Ayuntamientos, órganos autónomos, partidos políticos, fideicomisos y fondos públicos, así como de cualquier persona física, moral o sindicato que reciba y ejerza recursos públicos o realice actos de autoridad de la federación, las entidades federativas y los municipios, según lo dispuesto en la Ley General de Archivos.</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dicha norma, se define al archivo como el conjunto organizado de documentos producidos o recibidos por los sujetos obligados en el ejercicio de sus atribuciones y funciones, con independencia del soporte, espacio o lugar que se resguarden; de igual forma, señala que la conservación es el conjunto de procedimientos y medidas destinados a asegurar la prevención de alteraciones físicas de los documentos en papel y la preservación de documentos digitales a largo plazo.</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manera, que la Ley fija que al igual que en materia de transparencia y acceso a la información pública, toda la información contenida en documentos de archivo producidos, obtenidos, adquiridos, transformados o en posesión de los Sujetos Obligados es pública; por lo que destaca que el Estado mexicano deberá garantizar la organización, conservación y preservación de los archivos con el objeto de respetar el derecho a la verdad y el acceso a la información contenida en los archivos, por lo cual indica en su artículo 7 que los sujetos obligados deberán producir, registrar, organizar y conservar los documentos de archivo sobre todo acto que derive del ejercicio de sus facultades, competencias o funciones de acuerdo con lo establecido en las disposiciones jurídicas correspondientes.</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de lo citado con antelación, se advierte que en efecto es un hecho notorio que sí se realizó el evento de reyes magos y entrega de juguetes a niños por parte del Ayuntamiento de Metepec el pasado seis de enero de anualidad en curso; por lo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tomar las medidas sanitarias ante la Contingencia Sanitaria provocada por el Virus COVID-19, que fueron implementadas por el Gobierno del Estado de México, a través del Acuerdo por el que se establece el Plan para regreso seguro a las Actividades Económicas, Sociales, Gubernamentales y Educativas con motivo del virus Sars -cov-2 (covid 19), publicado en el periódico oficial Gaceta de Gobierno de fecha 3 de julio de 2020, el cual puede ser consultado en: </w:t>
      </w:r>
      <w:hyperlink r:id="rId22">
        <w:r>
          <w:rPr>
            <w:rFonts w:ascii="Palatino Linotype" w:eastAsia="Palatino Linotype" w:hAnsi="Palatino Linotype" w:cs="Palatino Linotype"/>
            <w:color w:val="0000FF"/>
            <w:u w:val="single"/>
          </w:rPr>
          <w:t>http://legislacion.edomex.gob.mx/sites/legislacion.edomex.gob.mx/files/files/pdf/gct/2020/jul033.pdf</w:t>
        </w:r>
      </w:hyperlink>
      <w:r>
        <w:rPr>
          <w:rFonts w:ascii="Palatino Linotype" w:eastAsia="Palatino Linotype" w:hAnsi="Palatino Linotype" w:cs="Palatino Linotype"/>
        </w:rPr>
        <w:t>, mismo que al ser consultado se advirtió lo siguiente:</w:t>
      </w:r>
    </w:p>
    <w:p w:rsidR="0032746D" w:rsidRDefault="0032746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32746D" w:rsidRDefault="00D418E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Acuerdo en estudio tiene por objeto establecer el Plan para el regreso seguro, gradual y ordenado a las actividades económicas, sociales, </w:t>
      </w:r>
      <w:r>
        <w:rPr>
          <w:rFonts w:ascii="Palatino Linotype" w:eastAsia="Palatino Linotype" w:hAnsi="Palatino Linotype" w:cs="Palatino Linotype"/>
          <w:b/>
          <w:color w:val="000000"/>
        </w:rPr>
        <w:t>gubernamentales</w:t>
      </w:r>
      <w:r>
        <w:rPr>
          <w:rFonts w:ascii="Palatino Linotype" w:eastAsia="Palatino Linotype" w:hAnsi="Palatino Linotype" w:cs="Palatino Linotype"/>
          <w:color w:val="000000"/>
        </w:rPr>
        <w:t xml:space="preserve"> y educativas en el Estado de México. Para el regreso a las actividades referidas en el presente Acuerdo, se deberán tomar en consideración: </w:t>
      </w:r>
    </w:p>
    <w:p w:rsidR="0032746D" w:rsidRDefault="0032746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32746D" w:rsidRDefault="00D418E5">
      <w:pPr>
        <w:numPr>
          <w:ilvl w:val="0"/>
          <w:numId w:val="4"/>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sistema de semáforos establecido por la Secretaría de Salud del Gobierno Federal, mediante los Acuerdos publicados en el Diario Oficial de la Federación los días 14 y 15 de mayo de 2020;</w:t>
      </w:r>
    </w:p>
    <w:p w:rsidR="0032746D" w:rsidRDefault="00D418E5">
      <w:pPr>
        <w:numPr>
          <w:ilvl w:val="0"/>
          <w:numId w:val="4"/>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“Acuerdo por el que se fortalecen las medidas preventivas y de seguridad para la mitigación y control de los riesgos para la salud que implica la </w:t>
      </w:r>
      <w:r>
        <w:rPr>
          <w:rFonts w:ascii="Palatino Linotype" w:eastAsia="Palatino Linotype" w:hAnsi="Palatino Linotype" w:cs="Palatino Linotype"/>
          <w:color w:val="000000"/>
        </w:rPr>
        <w:lastRenderedPageBreak/>
        <w:t>enfermedad por el virus (COVID-19), en el Estado de México y se establece un programa de verificación para su cumplimiento”, expedido por la Secretaría de Salud y la Comisión para la Protección Contra Riesgos Sanitarios del Estado de México, publicado con fecha 22 de abril de 2020, en el Periódico Oficial “Gaceta del Gobierno”, el cual continuará vigente y será aplicable en todo lo que no contravenga al Acuerdo;</w:t>
      </w:r>
    </w:p>
    <w:p w:rsidR="0032746D" w:rsidRDefault="00D418E5">
      <w:pPr>
        <w:numPr>
          <w:ilvl w:val="0"/>
          <w:numId w:val="4"/>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evolución del riesgo sanitario en las cuatro regiones que comprenden el Estado de México:</w:t>
      </w:r>
    </w:p>
    <w:p w:rsidR="0032746D" w:rsidRDefault="00D418E5">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Municipios de la Zona Metropolitana Valle de México:</w:t>
      </w:r>
      <w:r>
        <w:rPr>
          <w:rFonts w:ascii="Palatino Linotype" w:eastAsia="Palatino Linotype" w:hAnsi="Palatino Linotype" w:cs="Palatino Linotype"/>
          <w:color w:val="000000"/>
        </w:rPr>
        <w:t xml:space="preserve"> Acolman, Amecameca, Apaxco, Atenco, Atizapán de Zaragoza, Atlautla, Axapusco, Ayapango, Coacalco de Berriozábal, Cocotitlán, Coyotepec, Cuautitlán, Cuautitlán Izcalli, Chalco, Chiautla, Chicoloapan, Chiconcuac, Chimalhuacán, Ecatepec de Morelos, Ecatzingo, Huehuetoca, Hueypoxtla, Huixquilucan, Isidro Fabela, Ixtapaluca, Jaltenco, Jilotzingo, Juchitepec, La Paz, Melchor Ocampo, Naucalpan de Juárez, Nextlalpan, Nezahualcóyotl, Nicolás Romero, Nopaltepec, Otumba, Ozumba, Papalotla, San Martín de las Pirámides, Tecámac, Temamatla, Temascalapa, Tenango del Aire, Teoloyucan, Teotihuacán, Tepetlaoxtoc, Tepetlixpa, Tepotzotlán, Tequixquiac, Texcoco, Tezoyuca, Tlalmanalco, Tlalnepantla de Baz, Tonanitla, Tultepec, Tultitlán, Valle de Chalco Solidaridad, Villa del Carbón y Zumpango.</w:t>
      </w:r>
    </w:p>
    <w:p w:rsidR="0032746D" w:rsidRDefault="00D418E5">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Municipios del Valle de Toluca:</w:t>
      </w:r>
      <w:r>
        <w:rPr>
          <w:rFonts w:ascii="Palatino Linotype" w:eastAsia="Palatino Linotype" w:hAnsi="Palatino Linotype" w:cs="Palatino Linotype"/>
          <w:color w:val="000000"/>
        </w:rPr>
        <w:t xml:space="preserve"> Almoloya de Juárez, Almoloya del Río, Atizapán, Calimaya, Capulhuac, Chapultepec, Lerma, </w:t>
      </w:r>
      <w:r>
        <w:rPr>
          <w:rFonts w:ascii="Palatino Linotype" w:eastAsia="Palatino Linotype" w:hAnsi="Palatino Linotype" w:cs="Palatino Linotype"/>
          <w:b/>
          <w:color w:val="000000"/>
          <w:u w:val="single"/>
        </w:rPr>
        <w:t>Metepec</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Mexicaltzingo, Ocoyoacac, Otzolotepec, Rayón, San Antonio la Isla, San Mateo Atenco, Temoaya, Tenango del Valle, Texcalyacac, Tianguistenco, Toluca, Xalatlaco, Xonacatlán y Zinacantepec.</w:t>
      </w:r>
    </w:p>
    <w:p w:rsidR="0032746D" w:rsidRDefault="00D418E5">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Municipios de la Zona Norte:</w:t>
      </w:r>
      <w:r>
        <w:rPr>
          <w:rFonts w:ascii="Palatino Linotype" w:eastAsia="Palatino Linotype" w:hAnsi="Palatino Linotype" w:cs="Palatino Linotype"/>
          <w:color w:val="000000"/>
        </w:rPr>
        <w:t xml:space="preserve"> Ixtlahuaca, San Felipe del Progreso, El Oro, Atlacomulco, Jiquipilco, Jocotitlán, San José del Rincón, Acambay de Ruíz Castañeda, Jilotepec, Soyaniquilpan de Juárez, Aculco, Morelos, Temascalcingo, Timilpan, Polotitlán y Chapa de Mota.</w:t>
      </w:r>
    </w:p>
    <w:p w:rsidR="0032746D" w:rsidRDefault="00D418E5">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Municipios de la Zona Sur:</w:t>
      </w:r>
      <w:r>
        <w:rPr>
          <w:rFonts w:ascii="Palatino Linotype" w:eastAsia="Palatino Linotype" w:hAnsi="Palatino Linotype" w:cs="Palatino Linotype"/>
          <w:color w:val="000000"/>
        </w:rPr>
        <w:t xml:space="preserve"> Almoloya de Alquisiras, Amanalco, Amatepec, Coatepec Harinas, Donato Guerra, Ixtapan de la Sal, Ixtapan del Oro, Joquicingo, Malinalco, Ocuilan, Otzoloapan, San Simón de Guerrero, Santo Tomás, Sultepec, Tejupilco, Temascaltepec, </w:t>
      </w:r>
      <w:r>
        <w:rPr>
          <w:rFonts w:ascii="Palatino Linotype" w:eastAsia="Palatino Linotype" w:hAnsi="Palatino Linotype" w:cs="Palatino Linotype"/>
          <w:color w:val="000000"/>
          <w:u w:val="single"/>
        </w:rPr>
        <w:t>Tenancingo</w:t>
      </w:r>
      <w:r>
        <w:rPr>
          <w:rFonts w:ascii="Palatino Linotype" w:eastAsia="Palatino Linotype" w:hAnsi="Palatino Linotype" w:cs="Palatino Linotype"/>
          <w:color w:val="000000"/>
        </w:rPr>
        <w:t>, Texcaltitlán, Tlatlaya, Tonatico, Valle de Bravo, Villa de Allende, Villa Guerrero, Villa Victoria, Luvianos, Zacazonapan, Zacualpan y Zumpahuacán.</w:t>
      </w:r>
    </w:p>
    <w:p w:rsidR="0032746D" w:rsidRDefault="00D418E5">
      <w:pPr>
        <w:numPr>
          <w:ilvl w:val="0"/>
          <w:numId w:val="4"/>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mantenimiento de las medidas de prevención e higiene emitidas por las Autoridades Sanitarias.</w:t>
      </w:r>
    </w:p>
    <w:p w:rsidR="0032746D" w:rsidRDefault="0032746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32746D" w:rsidRDefault="00D418E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pertinente referir que la reapertura de actividades en el Estado de México se llevará a cabo a partir de cinco dimensiones:</w:t>
      </w:r>
    </w:p>
    <w:p w:rsidR="0032746D" w:rsidRDefault="0032746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32746D" w:rsidRDefault="00D418E5">
      <w:pPr>
        <w:numPr>
          <w:ilvl w:val="0"/>
          <w:numId w:val="3"/>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Economía;</w:t>
      </w:r>
    </w:p>
    <w:p w:rsidR="0032746D" w:rsidRDefault="00D418E5">
      <w:pPr>
        <w:numPr>
          <w:ilvl w:val="0"/>
          <w:numId w:val="3"/>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Espacios Públicos;</w:t>
      </w:r>
    </w:p>
    <w:p w:rsidR="0032746D" w:rsidRDefault="00D418E5">
      <w:pPr>
        <w:numPr>
          <w:ilvl w:val="0"/>
          <w:numId w:val="3"/>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Población Vulnerable;</w:t>
      </w:r>
    </w:p>
    <w:p w:rsidR="0032746D" w:rsidRDefault="00D418E5">
      <w:pPr>
        <w:numPr>
          <w:ilvl w:val="0"/>
          <w:numId w:val="3"/>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Actividades Gubernamentales, y </w:t>
      </w:r>
    </w:p>
    <w:p w:rsidR="0032746D" w:rsidRDefault="00D418E5">
      <w:pPr>
        <w:numPr>
          <w:ilvl w:val="0"/>
          <w:numId w:val="3"/>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Educación.</w:t>
      </w:r>
    </w:p>
    <w:p w:rsidR="0032746D" w:rsidRDefault="0032746D">
      <w:pPr>
        <w:tabs>
          <w:tab w:val="left" w:pos="0"/>
        </w:tabs>
        <w:spacing w:line="360" w:lineRule="auto"/>
        <w:ind w:right="51"/>
        <w:jc w:val="both"/>
        <w:rPr>
          <w:rFonts w:ascii="Palatino Linotype" w:eastAsia="Palatino Linotype" w:hAnsi="Palatino Linotype" w:cs="Palatino Linotype"/>
        </w:rPr>
      </w:pPr>
    </w:p>
    <w:p w:rsidR="0032746D" w:rsidRDefault="00D418E5">
      <w:pPr>
        <w:tabs>
          <w:tab w:val="left" w:pos="0"/>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que se refiere al regreso gradual a las actividades no esenciales se determinará por: a) región; b) contribución a la economía de las familias mexiquenses, y c) el nivel de riesgo sanitario que determine la autoridad sanitaria, de conformidad con el sistema de semáforos siguiente:</w:t>
      </w:r>
    </w:p>
    <w:p w:rsidR="0032746D" w:rsidRDefault="0032746D">
      <w:pPr>
        <w:tabs>
          <w:tab w:val="left" w:pos="0"/>
        </w:tabs>
        <w:spacing w:line="360" w:lineRule="auto"/>
        <w:ind w:right="49"/>
        <w:jc w:val="both"/>
      </w:pPr>
    </w:p>
    <w:p w:rsidR="0032746D" w:rsidRDefault="00D418E5">
      <w:pPr>
        <w:tabs>
          <w:tab w:val="left" w:pos="0"/>
        </w:tabs>
        <w:spacing w:line="360" w:lineRule="auto"/>
        <w:ind w:right="49"/>
        <w:jc w:val="both"/>
        <w:rPr>
          <w:rFonts w:ascii="Palatino Linotype" w:eastAsia="Palatino Linotype" w:hAnsi="Palatino Linotype" w:cs="Palatino Linotype"/>
        </w:rPr>
      </w:pPr>
      <w:r>
        <w:rPr>
          <w:noProof/>
          <w:lang w:val="en-US" w:eastAsia="en-US"/>
        </w:rPr>
        <w:drawing>
          <wp:inline distT="0" distB="0" distL="0" distR="0">
            <wp:extent cx="5486400" cy="1438275"/>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l="7638" t="42587" r="57909" b="46289"/>
                    <a:stretch>
                      <a:fillRect/>
                    </a:stretch>
                  </pic:blipFill>
                  <pic:spPr>
                    <a:xfrm>
                      <a:off x="0" y="0"/>
                      <a:ext cx="5486400" cy="1438275"/>
                    </a:xfrm>
                    <a:prstGeom prst="rect">
                      <a:avLst/>
                    </a:prstGeom>
                    <a:ln/>
                  </pic:spPr>
                </pic:pic>
              </a:graphicData>
            </a:graphic>
          </wp:inline>
        </w:drawing>
      </w:r>
    </w:p>
    <w:p w:rsidR="0032746D" w:rsidRDefault="00D418E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Estableciendo en los artículos cuarto, quinto sexto y séptimo las actividades permitidas durante el semáforo, atendiendo al nivel de riesgo epidemiológico, así como el nivel de riesgo sanitario determinado por la autoridad sanitaria competente, en atención a las actividades gubernamentales, el acuerdo en comento establece:</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“CUARTO. Actividades permitidas durante la etapa de Riesgo Máximo. (ROJO) I. Las actividades determinadas como “esenciales” continuarán rigiendo su funcionamiento conforme al “Acuerdo por el que se fortalecen las medidas preventivas y de seguridad para la mitigación y control de los riesgos para la salud que implica la enfermedad por el virus (COVID-19), en el Estado de México y se establece un programa de verificación para su cumplimiento”, expedido por la Secretaría de Salud y la Comisión para la Protección Contra Riesgos Sanitarios del Estado de México, publicado con fecha 22 de abril de 2020, en el Periódico Oficial “Gaceta del Gobierno”.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Las “nuevas actividades esenciales” -industria de la construcción, minería y fabricación de equipo de transporte-, podrán realizar actividades, siempre y cuando </w:t>
      </w:r>
      <w:r>
        <w:rPr>
          <w:rFonts w:ascii="Palatino Linotype" w:eastAsia="Palatino Linotype" w:hAnsi="Palatino Linotype" w:cs="Palatino Linotype"/>
          <w:i/>
          <w:color w:val="000000"/>
          <w:sz w:val="22"/>
          <w:szCs w:val="22"/>
        </w:rPr>
        <w:lastRenderedPageBreak/>
        <w:t>cumplan con lo previsto en los “Lineamientos de Seguridad Sanitaria en el Entorno Laboral”, emitidos por el Gobierno Federal: (</w:t>
      </w:r>
      <w:hyperlink r:id="rId24">
        <w:r>
          <w:rPr>
            <w:rFonts w:ascii="Palatino Linotype" w:eastAsia="Palatino Linotype" w:hAnsi="Palatino Linotype" w:cs="Palatino Linotype"/>
            <w:i/>
            <w:color w:val="0000FF"/>
            <w:sz w:val="22"/>
            <w:szCs w:val="22"/>
            <w:u w:val="single"/>
          </w:rPr>
          <w:t>https://www.gob.mx/cms/uploads/attachment/file/552550/Lineamientos_de_Seguridad_Sanitaria_F.pdf</w:t>
        </w:r>
      </w:hyperlink>
      <w:r>
        <w:rPr>
          <w:rFonts w:ascii="Palatino Linotype" w:eastAsia="Palatino Linotype" w:hAnsi="Palatino Linotype" w:cs="Palatino Linotype"/>
          <w:i/>
          <w:color w:val="000000"/>
          <w:sz w:val="22"/>
          <w:szCs w:val="22"/>
        </w:rPr>
        <w:t xml:space="preserve">)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igual forma, en su operación deberán observar las siguientes medidas:</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a) Industria de la construcción y minería: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Instalar un punto de desinfección y toma de temperatura por cada 15 trabajadores y contratistas en los turnos que se manejen;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 Desinfectar herramientas y maquinaria de uso común al menos dos veces al día;</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 Evitar concentraciones de más de 10 trabajadores en un mismo espacio;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4. Llevar un estricto control de asistencia y acceso de los trabajadores y evitar el ingreso de personas ajenas a las obras;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 Uso obligatorio de cubre bocas;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6. En obras con más de 50 trabajadores, establecer horarios escalonados de entrada y salida;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7. Continuar con el uso de guantes y lentes de seguridad.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Fabricación de equipo de transporte: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Establecer barreras físicas en las líneas de producción y áreas de trabajo para mantener la sana distancia entre trabajadores;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 Contar con protocolos de seguridad sanitaria para el transporte de personal, así́como para las áreas de carga, entrada y salida de transportistas;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 Impulsar estrategia de puertas abiertas para incrementar los flujos de aire natural;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4. Implementar horarios escalonados de entrada y salida que eviten aglomeraciones en el transporte público;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 En el caso de grandes empresas (ancla), se encargarán de que su cadena de proveeduría cumpla con los “Lineamientos Técnicos de Seguridad Sanitaria en el Entorno Laboral” emitidos por el Gobierno Federal.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Apertura de unidades económicas de bajo impacto o pequeños negocios, tales como papelerías, tiendas de ropa, jugueterías, mueblerías, refaccionarias, tiendas de artículos electrónicos, así como comercios al por menor y al por mayor, cuidando, en todo momento, que no se generen aglomeraciones al interior de sus establecimientos.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Industrias manufactureras, observando en todo momento las medidas previstas en el presente Acuerdo y demás disposiciones sanitarias aplicables.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Las siguientes actividades podrán iniciar operaciones, limitando en todos los casos su aforo a un 30% de su capacidad: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Actividades relacionadas con servicios personales como peluquerías, tintorerías, talleres, locales de reparación de electrodomésticos y mantenimiento en general;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b) Restaurantes y establecimientos de venta de alimentos preparados y bebidas en espacios cerrados; exceptuando bares, cantinas y demás establecimientos análogos previstos en el artículo Séptimo del presente Acuerdo;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Servicio de hospedaje al público en general (adicional al aforo previsto para actividades esenciales);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 Estacionamientos;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 Tiendas departamentales, centros y plazas comerciales, y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f) Espacios públicos, parques, zoológicos, áreas naturales, actividades acuáticas y campos deportivos, así como todas las actividades físicas y recreativas al aire libre. VI. Las siguientes actividades podrán iniciar operaciones, limitando en todos los casos su aforo a un 40% de su capacidad: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Restaurantes y establecimientos de venta de alimentos preparados y bebidas en espacios abiertos; sin que se pueda exceder dicho porcentaje sumando espacios cerrados y abiertos. Se exceptúan bares, cantinas y demás establecimientos análogos previstos en el artículo Séptimo del presente Acuerdo.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Se permitirá la reanudación de servicios varios, profesionales, científicos o técnicos, que estén directamente relacionados con las actividades o las necesidades para la reapertura en esta etapa, privilegiando y facilitando el trabajo a distancia. Se exceptuará de lo anterior los servicios relacionados con la organización de eventos sociales y análogos.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VIII. Actividades gubernamentales, en términos del artículo Décimo Primero del presente Acuerdo.</w:t>
      </w:r>
    </w:p>
    <w:p w:rsidR="0032746D" w:rsidRDefault="0032746D">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u w:val="single"/>
        </w:rPr>
      </w:pP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QUINTO. Actividades permitidas durante la etapa de Riesgo Alto. (NARANJA)</w:t>
      </w:r>
    </w:p>
    <w:p w:rsidR="0032746D" w:rsidRDefault="00D418E5">
      <w:pPr>
        <w:numPr>
          <w:ilvl w:val="0"/>
          <w:numId w:val="5"/>
        </w:numPr>
        <w:pBdr>
          <w:top w:val="nil"/>
          <w:left w:val="nil"/>
          <w:bottom w:val="nil"/>
          <w:right w:val="nil"/>
          <w:between w:val="nil"/>
        </w:pBdr>
        <w:tabs>
          <w:tab w:val="left" w:pos="709"/>
        </w:tabs>
        <w:ind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actividades esenciales y nuevas esenciales continuarán su funcionamiento conforme a lo previsto en el artículo Cuarto del presente Acuerdo.</w:t>
      </w:r>
    </w:p>
    <w:p w:rsidR="0032746D" w:rsidRDefault="00D418E5">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Las actividades previstas en las fracciones III a VIII del artículo Cuarto del presente Acuerdo, continuarán su funcionamiento en los términos previstos en el mismo. </w:t>
      </w:r>
    </w:p>
    <w:p w:rsidR="0032746D" w:rsidRDefault="00D418E5">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Las siguientes actividades podrán iniciar operaciones, limitando en todos los casos su aforo a un 30% de su capacidad: </w:t>
      </w:r>
    </w:p>
    <w:p w:rsidR="0032746D" w:rsidRDefault="00D418E5">
      <w:pPr>
        <w:numPr>
          <w:ilvl w:val="0"/>
          <w:numId w:val="7"/>
        </w:numPr>
        <w:pBdr>
          <w:top w:val="nil"/>
          <w:left w:val="nil"/>
          <w:bottom w:val="nil"/>
          <w:right w:val="nil"/>
          <w:between w:val="nil"/>
        </w:pBdr>
        <w:tabs>
          <w:tab w:val="left" w:pos="709"/>
        </w:tabs>
        <w:ind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Servicios religiosos. </w:t>
      </w:r>
    </w:p>
    <w:p w:rsidR="0032746D" w:rsidRDefault="0032746D">
      <w:pPr>
        <w:pBdr>
          <w:top w:val="nil"/>
          <w:left w:val="nil"/>
          <w:bottom w:val="nil"/>
          <w:right w:val="nil"/>
          <w:between w:val="nil"/>
        </w:pBdr>
        <w:tabs>
          <w:tab w:val="left" w:pos="709"/>
        </w:tabs>
        <w:ind w:left="987" w:right="474"/>
        <w:jc w:val="both"/>
        <w:rPr>
          <w:rFonts w:ascii="Palatino Linotype" w:eastAsia="Palatino Linotype" w:hAnsi="Palatino Linotype" w:cs="Palatino Linotype"/>
          <w:i/>
          <w:color w:val="000000"/>
          <w:sz w:val="22"/>
          <w:szCs w:val="22"/>
        </w:rPr>
      </w:pPr>
    </w:p>
    <w:p w:rsidR="0032746D" w:rsidRDefault="00D418E5">
      <w:pPr>
        <w:tabs>
          <w:tab w:val="left" w:pos="709"/>
        </w:tabs>
        <w:ind w:left="627" w:right="47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SEXTO. Actividades permitidas durante la etapa de Riesgo Intermedio. (AMARILLO) </w:t>
      </w:r>
    </w:p>
    <w:p w:rsidR="0032746D" w:rsidRDefault="00D418E5">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Las actividades esenciales y nuevas esenciales continuarán su funcionamiento conforme a lo previsto en el artículo Cuarto del presente Acuerdo. </w:t>
      </w:r>
    </w:p>
    <w:p w:rsidR="0032746D" w:rsidRDefault="00D418E5">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Las actividades previstas en las fracciones III, IV, VII y VIII del artículo Cuarto del presente Acuerdo continuarán su operación conforme lo previsto en el mismo. III. Las actividades previstas en las fracciones V y VI del artículo Cuarto y fracción III del </w:t>
      </w:r>
      <w:r>
        <w:rPr>
          <w:rFonts w:ascii="Palatino Linotype" w:eastAsia="Palatino Linotype" w:hAnsi="Palatino Linotype" w:cs="Palatino Linotype"/>
          <w:i/>
          <w:sz w:val="22"/>
          <w:szCs w:val="22"/>
        </w:rPr>
        <w:lastRenderedPageBreak/>
        <w:t xml:space="preserve">artículo Quinto del presente Acuerdo, podrán aumentar su aforo al 60% de su capacidad. </w:t>
      </w:r>
    </w:p>
    <w:p w:rsidR="0032746D" w:rsidRDefault="00D418E5">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Las siguientes actividades podrán iniciar operaciones, limitando en todos los casos su aforo al 60% de su capacidad: </w:t>
      </w:r>
    </w:p>
    <w:p w:rsidR="0032746D" w:rsidRDefault="00D418E5">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Servicios profesionales, científicos y técnicos distintos a los previstos en el artículo Cuarto, corporativos, organizaciones civiles y políticas, privilegiando y facilitando el trabajo a distancia; </w:t>
      </w:r>
    </w:p>
    <w:p w:rsidR="0032746D" w:rsidRDefault="00D418E5">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Museos, cines y teatros. </w:t>
      </w:r>
    </w:p>
    <w:p w:rsidR="0032746D" w:rsidRDefault="00D418E5">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Se reanudarán los eventos deportivos sin público, observando las medidas sanitarias y las pruebas correspondientes para asegurar la salud de los atletas. SÉPTIMO. Actividades permitidas durante la etapa de Riesgo Bajo. (VERDE) </w:t>
      </w:r>
    </w:p>
    <w:p w:rsidR="0032746D" w:rsidRDefault="00D418E5">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Las actividades previstas en los artículos Cuarto, Quinto y Sexto del presente Acuerdo podrán operar sin limitación de aforo. </w:t>
      </w:r>
    </w:p>
    <w:p w:rsidR="0032746D" w:rsidRDefault="00D418E5">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resto de las actividades no contempladas en los artículos anteriores podrán reiniciar operaciones sin restricción de aforo, tales como: locales o espacios destinados a actividades culturales, auditorios, foros y palenques, gimnasios, balnearios, albercas públicas, boliches, baños públicos, vapores y spas, bares, cantinas, discotecas y videobares, centros nocturnos, centros botaneros y cerveceros, salas de sorteos de números, centros de apuestas remotas (casinos), billares y establecimientos para venta de bebidas alcohólicas para su consumo inmediato y/o al copeo. Se deberán observar las medidas de prevención e higiene que determine la autoridad sanitaria. </w:t>
      </w:r>
    </w:p>
    <w:p w:rsidR="0032746D" w:rsidRDefault="00D418E5">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Cuando así lo determinen las autoridades educativas y sanitarias correspondientes, durante esta etapa, se podrán reanudar las actividades educativas.</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DÉCIMO PRIMERO. Actividades gubernamentales.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Las actividades gubernamentales que se encuentran suspendidas se reanudarán sin perjuicio de lo previsto en el artículo Noveno del presente Acuerdo y, de ser el caso, conforme a los Acuerdos que sobre el particular expidan las dependencias e instituciones públicas competentes.</w:t>
      </w:r>
      <w:r>
        <w:rPr>
          <w:rFonts w:ascii="Palatino Linotype" w:eastAsia="Palatino Linotype" w:hAnsi="Palatino Linotype" w:cs="Palatino Linotype"/>
          <w:i/>
          <w:color w:val="000000"/>
          <w:sz w:val="22"/>
          <w:szCs w:val="22"/>
        </w:rPr>
        <w:t xml:space="preserve">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Las instituciones públicas deberán garantizar las medidas de prevención e higiene emitidas por las autoridades sanitarias. </w:t>
      </w:r>
    </w:p>
    <w:p w:rsidR="0032746D" w:rsidRDefault="00D418E5">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Las actividades jurisdiccionales se reanudarán en términos de los Acuerdos que expidan para tal efecto las autoridades competentes.” (Sic)</w:t>
      </w:r>
    </w:p>
    <w:p w:rsidR="0032746D" w:rsidRDefault="0032746D">
      <w:pPr>
        <w:pBdr>
          <w:top w:val="nil"/>
          <w:left w:val="nil"/>
          <w:bottom w:val="nil"/>
          <w:right w:val="nil"/>
          <w:between w:val="nil"/>
        </w:pBdr>
        <w:tabs>
          <w:tab w:val="left" w:pos="0"/>
        </w:tabs>
        <w:spacing w:line="360" w:lineRule="auto"/>
        <w:ind w:right="49" w:hanging="142"/>
        <w:jc w:val="both"/>
        <w:rPr>
          <w:rFonts w:ascii="Palatino Linotype" w:eastAsia="Palatino Linotype" w:hAnsi="Palatino Linotype" w:cs="Palatino Linotype"/>
          <w:i/>
          <w:color w:val="000000"/>
        </w:rPr>
      </w:pPr>
    </w:p>
    <w:p w:rsidR="0032746D" w:rsidRDefault="00D418E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los dispositivos legales en comento se aprecia cuáles son las actividades permitidas durante la etapa de riesgo máximo (rojo), alto (naranja), intermedio (amarillo) y bajo (Verde).</w:t>
      </w:r>
    </w:p>
    <w:p w:rsidR="0032746D" w:rsidRDefault="0032746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32746D" w:rsidRDefault="00D418E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Luego entonces las actividades gubernamentales se reanudarán en términos de los acuerdos que expidan para tal efecto las autoridades competentes, en este caso el Ayuntamiento de Metepec, debió emitir y</w:t>
      </w:r>
      <w:r>
        <w:rPr>
          <w:rFonts w:ascii="Palatino Linotype" w:eastAsia="Palatino Linotype" w:hAnsi="Palatino Linotype" w:cs="Palatino Linotype"/>
        </w:rPr>
        <w:t xml:space="preserve">/o </w:t>
      </w:r>
      <w:r>
        <w:rPr>
          <w:rFonts w:ascii="Palatino Linotype" w:eastAsia="Palatino Linotype" w:hAnsi="Palatino Linotype" w:cs="Palatino Linotype"/>
          <w:color w:val="000000"/>
        </w:rPr>
        <w:t>atender los acuerdos correspondientes a los semáforo rojo, naranja, amarillo y verde; respectivamente, con la finalidad de la mitigación y control de los riesgos para la salud que implica la enfermedad por el virus (COVID-19).</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ese contexto, si bien es cierto, que el que se manifestó fue servidor público habilitado competente para dar respuesta, no menos cierto es que no se colmó a cabalidad el derecho de acceso a la información pública, toda vez que se limitó a manifestar que no organizó este evento, por lo que no cuenta con la información al respecto, sin que obre un pronunciamiento respecto de los protocolos o medidas sanitarias implementadas en la Caravana del 6 de enero de 2022, por lo que se concluye que la manifestación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carece de congruencia y exhaustividad, sirve como refuerzo de lo anterior, traer a colación el Criterio 02/17, emitido por el Pleno del Instituto Nacional de Transparencia y Acceso a la Información y Protección de Datos Personales, de título y texto siguientes:</w:t>
      </w:r>
    </w:p>
    <w:p w:rsidR="0032746D" w:rsidRDefault="00D418E5">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Congruencia y exhaustividad</w:t>
      </w:r>
      <w:r>
        <w:rPr>
          <w:rFonts w:ascii="Palatino Linotype" w:eastAsia="Palatino Linotype" w:hAnsi="Palatino Linotype" w:cs="Palatino Linotype"/>
          <w:i/>
          <w:sz w:val="22"/>
          <w:szCs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w:t>
      </w:r>
      <w:r>
        <w:rPr>
          <w:rFonts w:ascii="Palatino Linotype" w:eastAsia="Palatino Linotype" w:hAnsi="Palatino Linotype" w:cs="Palatino Linotype"/>
          <w:i/>
          <w:sz w:val="22"/>
          <w:szCs w:val="22"/>
        </w:rPr>
        <w:lastRenderedPageBreak/>
        <w:t>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32746D" w:rsidRDefault="00D418E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debe precisarse que conformidad con el artículo 120 del Bando Municipal de Metepec es atribución del Ayuntamiento contribuir a mejorar la salud entre las comunidades, coadyuvando a elevar su calidad de vida, promover y desarrollar programas de prevención y educación para la salud en coordinación con otros sectores competentes en la materia, debiendo llevar a cabo las siguientes acciones para alcanzar dicho objetivo:</w:t>
      </w:r>
    </w:p>
    <w:p w:rsidR="0032746D" w:rsidRDefault="00D418E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Para alcanzar el objetivo, realizará las siguientes acciones:</w:t>
      </w:r>
    </w:p>
    <w:p w:rsidR="0032746D" w:rsidRDefault="00D418E5">
      <w:pPr>
        <w:spacing w:before="240"/>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Colaborar con las autoridades federales y estatales, así como instituciones privadas, en la ejecución de planes y programas de salud, a fin de mejorar el nivel de vida de las y los habitantes del municipio; </w:t>
      </w:r>
    </w:p>
    <w:p w:rsidR="0032746D" w:rsidRDefault="00D418E5">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Promover programas de prevención de enfermedades</w:t>
      </w:r>
      <w:r>
        <w:rPr>
          <w:rFonts w:ascii="Palatino Linotype" w:eastAsia="Palatino Linotype" w:hAnsi="Palatino Linotype" w:cs="Palatino Linotype"/>
          <w:i/>
          <w:sz w:val="22"/>
          <w:szCs w:val="22"/>
        </w:rPr>
        <w:t xml:space="preserve">, así como de educación para la salud entre las y los habitantes del municipio, </w:t>
      </w:r>
      <w:r>
        <w:rPr>
          <w:rFonts w:ascii="Palatino Linotype" w:eastAsia="Palatino Linotype" w:hAnsi="Palatino Linotype" w:cs="Palatino Linotype"/>
          <w:b/>
          <w:i/>
          <w:sz w:val="22"/>
          <w:szCs w:val="22"/>
        </w:rPr>
        <w:t xml:space="preserve">focalizándolo a los grupos vulnerables del municipio, </w:t>
      </w:r>
      <w:r>
        <w:rPr>
          <w:rFonts w:ascii="Palatino Linotype" w:eastAsia="Palatino Linotype" w:hAnsi="Palatino Linotype" w:cs="Palatino Linotype"/>
          <w:i/>
          <w:sz w:val="22"/>
          <w:szCs w:val="22"/>
        </w:rPr>
        <w:t xml:space="preserve">con el objetivo de elevar su calidad de vida, así como brindarles atención médica básica; </w:t>
      </w:r>
    </w:p>
    <w:p w:rsidR="0032746D" w:rsidRDefault="00D418E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se precisa que, además la Coordinación de Protección Civil y Bomberos, que tiene entre otras, las siguientes las atribuciones en su parte conducente:</w:t>
      </w:r>
    </w:p>
    <w:p w:rsidR="0032746D" w:rsidRDefault="00D418E5">
      <w:pPr>
        <w:numPr>
          <w:ilvl w:val="0"/>
          <w:numId w:val="1"/>
        </w:numPr>
        <w:spacing w:before="240"/>
        <w:ind w:left="425" w:right="51" w:hanging="35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Realizar evaluaciones de riesgo en espacios públicos y privados, cuando esté en riesgo la seguridad de la población o por solicitud ciudadana, para que a partir de la gestión integral de riesgos y el resultado de la evaluación, se apliquen las medidas y acciones necesarias para salvaguardar la vida, la integridad y la salud de la población;</w:t>
      </w:r>
      <w:r>
        <w:rPr>
          <w:rFonts w:ascii="Palatino Linotype" w:eastAsia="Palatino Linotype" w:hAnsi="Palatino Linotype" w:cs="Palatino Linotype"/>
          <w:i/>
          <w:sz w:val="22"/>
          <w:szCs w:val="22"/>
        </w:rPr>
        <w:t xml:space="preserve"> así como sus bienes, la infraestructura y el medio ambiente; </w:t>
      </w:r>
    </w:p>
    <w:p w:rsidR="0032746D" w:rsidRDefault="00D418E5">
      <w:pPr>
        <w:numPr>
          <w:ilvl w:val="0"/>
          <w:numId w:val="1"/>
        </w:numPr>
        <w:ind w:left="425" w:right="51" w:hanging="35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Promover programas de capacitación en materia de protección civil para</w:t>
      </w:r>
      <w:r>
        <w:rPr>
          <w:rFonts w:ascii="Palatino Linotype" w:eastAsia="Palatino Linotype" w:hAnsi="Palatino Linotype" w:cs="Palatino Linotype"/>
          <w:i/>
          <w:sz w:val="22"/>
          <w:szCs w:val="22"/>
        </w:rPr>
        <w:t xml:space="preserve"> las y los habitantes del municipio y </w:t>
      </w:r>
      <w:r>
        <w:rPr>
          <w:rFonts w:ascii="Palatino Linotype" w:eastAsia="Palatino Linotype" w:hAnsi="Palatino Linotype" w:cs="Palatino Linotype"/>
          <w:b/>
          <w:i/>
          <w:sz w:val="22"/>
          <w:szCs w:val="22"/>
        </w:rPr>
        <w:t>servidoras y servidores públicos</w:t>
      </w:r>
      <w:r>
        <w:rPr>
          <w:rFonts w:ascii="Palatino Linotype" w:eastAsia="Palatino Linotype" w:hAnsi="Palatino Linotype" w:cs="Palatino Linotype"/>
          <w:i/>
          <w:sz w:val="22"/>
          <w:szCs w:val="22"/>
        </w:rPr>
        <w:t xml:space="preserve"> del mismo; </w:t>
      </w:r>
    </w:p>
    <w:p w:rsidR="0032746D" w:rsidRDefault="00D418E5">
      <w:pPr>
        <w:numPr>
          <w:ilvl w:val="0"/>
          <w:numId w:val="1"/>
        </w:numPr>
        <w:ind w:left="425" w:right="51" w:hanging="3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Emitir las disposiciones relativas a la regulación de protección civil en el territorio municipal;</w:t>
      </w:r>
    </w:p>
    <w:p w:rsidR="0032746D" w:rsidRDefault="0032746D">
      <w:pPr>
        <w:spacing w:line="360" w:lineRule="auto"/>
        <w:ind w:left="66" w:right="49"/>
        <w:jc w:val="both"/>
        <w:rPr>
          <w:rFonts w:ascii="Palatino Linotype" w:eastAsia="Palatino Linotype" w:hAnsi="Palatino Linotype" w:cs="Palatino Linotype"/>
        </w:rPr>
      </w:pPr>
    </w:p>
    <w:p w:rsidR="0032746D" w:rsidRDefault="00D418E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hasta aquí expuesto, es evidente que el derecho de acceso a la información del particular no puede tenerse por atendido, en consecuencia, lo procedente es ordenar, se haga entrega del soporte documental en el que consten las medidas o protocolos sanitarios implementados por el Ayuntamiento de Metepec en la Caravana de Reyes Magos, celebrada el 6 de enero de 2022, para evitar el contagio del COVID-19.</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rsidR="0032746D" w:rsidRDefault="00D418E5">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y II; 176, 178, 179, </w:t>
      </w:r>
      <w:r>
        <w:rPr>
          <w:rFonts w:ascii="Palatino Linotype" w:eastAsia="Palatino Linotype" w:hAnsi="Palatino Linotype" w:cs="Palatino Linotype"/>
        </w:rPr>
        <w:lastRenderedPageBreak/>
        <w:t>fracción I, 181, 185 de la Ley de Transparencia y Acceso a la Información Pública del Estado de México y Municipios, este Pleno:</w:t>
      </w:r>
    </w:p>
    <w:p w:rsidR="0032746D" w:rsidRDefault="00D418E5">
      <w:pPr>
        <w:spacing w:before="280" w:after="280" w:line="360" w:lineRule="auto"/>
        <w:ind w:left="284"/>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parcialmente fundados los motivos de inconformidad hechos valer por la parte</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02134/INFOEM/IP/RR/2022</w:t>
      </w:r>
      <w:r>
        <w:rPr>
          <w:rFonts w:ascii="Palatino Linotype" w:eastAsia="Palatino Linotype" w:hAnsi="Palatino Linotype" w:cs="Palatino Linotype"/>
        </w:rPr>
        <w:t>, por lo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w:t>
      </w:r>
      <w:r>
        <w:rPr>
          <w:rFonts w:ascii="Palatino Linotype" w:eastAsia="Palatino Linotype" w:hAnsi="Palatino Linotype" w:cs="Palatino Linotype"/>
          <w:b/>
        </w:rPr>
        <w:t>del 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rsidR="0032746D" w:rsidRDefault="00D418E5">
      <w:pPr>
        <w:spacing w:before="240" w:after="240" w:line="360" w:lineRule="auto"/>
        <w:jc w:val="both"/>
        <w:rPr>
          <w:rFonts w:ascii="Palatino Linotype" w:eastAsia="Palatino Linotype" w:hAnsi="Palatino Linotype" w:cs="Palatino Linotype"/>
        </w:rPr>
      </w:pPr>
      <w:bookmarkStart w:id="0" w:name="_heading=h.tyjcwt" w:colFirst="0" w:colLast="0"/>
      <w:bookmarkEnd w:id="0"/>
      <w:r>
        <w:rPr>
          <w:rFonts w:ascii="Palatino Linotype" w:eastAsia="Palatino Linotype" w:hAnsi="Palatino Linotype" w:cs="Palatino Linotype"/>
          <w:b/>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w:t>
      </w:r>
      <w:r>
        <w:rPr>
          <w:rFonts w:ascii="Palatino Linotype" w:eastAsia="Palatino Linotype" w:hAnsi="Palatino Linotype" w:cs="Palatino Linotype"/>
          <w:b/>
        </w:rPr>
        <w:t>previa búsqueda exhaustiva y razonable</w:t>
      </w:r>
      <w:r>
        <w:rPr>
          <w:rFonts w:ascii="Palatino Linotype" w:eastAsia="Palatino Linotype" w:hAnsi="Palatino Linotype" w:cs="Palatino Linotype"/>
        </w:rPr>
        <w:t xml:space="preserve">, haga entrega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esta resolución,</w:t>
      </w:r>
      <w:r>
        <w:rPr>
          <w:rFonts w:ascii="Palatino Linotype" w:eastAsia="Palatino Linotype" w:hAnsi="Palatino Linotype" w:cs="Palatino Linotype"/>
          <w:b/>
        </w:rPr>
        <w:t xml:space="preserve"> </w:t>
      </w:r>
      <w:r>
        <w:rPr>
          <w:rFonts w:ascii="Palatino Linotype" w:eastAsia="Palatino Linotype" w:hAnsi="Palatino Linotype" w:cs="Palatino Linotype"/>
        </w:rPr>
        <w:t>del documento o documento en donde conste</w:t>
      </w:r>
      <w:r>
        <w:rPr>
          <w:rFonts w:ascii="Palatino Linotype" w:eastAsia="Palatino Linotype" w:hAnsi="Palatino Linotype" w:cs="Palatino Linotype"/>
          <w:b/>
        </w:rPr>
        <w:t xml:space="preserve"> </w:t>
      </w:r>
      <w:r>
        <w:rPr>
          <w:rFonts w:ascii="Palatino Linotype" w:eastAsia="Palatino Linotype" w:hAnsi="Palatino Linotype" w:cs="Palatino Linotype"/>
        </w:rPr>
        <w:t>lo siguiente:</w:t>
      </w:r>
    </w:p>
    <w:p w:rsidR="0032746D" w:rsidRDefault="00D418E5">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Los protocolos o</w:t>
      </w:r>
      <w:r>
        <w:rPr>
          <w:rFonts w:ascii="Palatino Linotype" w:eastAsia="Palatino Linotype" w:hAnsi="Palatino Linotype" w:cs="Palatino Linotype"/>
          <w:color w:val="000000"/>
        </w:rPr>
        <w:t xml:space="preserve"> medidas sanitarias implementadas por el Ayuntamiento de Metepec para evitar el contagio del COVID-19</w:t>
      </w:r>
      <w:r>
        <w:rPr>
          <w:rFonts w:ascii="Palatino Linotype" w:eastAsia="Palatino Linotype" w:hAnsi="Palatino Linotype" w:cs="Palatino Linotype"/>
        </w:rPr>
        <w:t xml:space="preserve">, que se debieron seguir también </w:t>
      </w:r>
      <w:r w:rsidR="001D5128">
        <w:rPr>
          <w:rFonts w:ascii="Palatino Linotype" w:eastAsia="Palatino Linotype" w:hAnsi="Palatino Linotype" w:cs="Palatino Linotype"/>
        </w:rPr>
        <w:t>en la</w:t>
      </w:r>
      <w:r>
        <w:rPr>
          <w:rFonts w:ascii="Palatino Linotype" w:eastAsia="Palatino Linotype" w:hAnsi="Palatino Linotype" w:cs="Palatino Linotype"/>
        </w:rPr>
        <w:t xml:space="preserve"> Caravana de Reyes Magos, celebrada el 6 de enero de 2022. </w:t>
      </w:r>
    </w:p>
    <w:p w:rsidR="0032746D" w:rsidRDefault="00D418E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Tercero. Notifíquese vía Sistema de Acceso a la Información Mexiquense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w:t>
      </w:r>
      <w:r>
        <w:rPr>
          <w:rFonts w:ascii="Palatino Linotype" w:eastAsia="Palatino Linotype" w:hAnsi="Palatino Linotype" w:cs="Palatino Linotype"/>
          <w:b/>
        </w:rPr>
        <w:t>diez días hábiles</w:t>
      </w:r>
      <w:r>
        <w:rPr>
          <w:rFonts w:ascii="Palatino Linotype" w:eastAsia="Palatino Linotype" w:hAnsi="Palatino Linotype" w:cs="Palatino Linotype"/>
        </w:rPr>
        <w:t>, debiendo informar a este Instituto en un plazo de tres días hábiles siguientes sobre el cumplimiento dado a la misma</w:t>
      </w:r>
      <w:r>
        <w:rPr>
          <w:rFonts w:ascii="Palatino Linotype" w:eastAsia="Palatino Linotype" w:hAnsi="Palatino Linotype" w:cs="Palatino Linotype"/>
          <w:b/>
        </w:rPr>
        <w:t>.</w:t>
      </w:r>
    </w:p>
    <w:p w:rsidR="0032746D" w:rsidRDefault="00D418E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Cuarto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2746D" w:rsidRDefault="00D418E5">
      <w:pPr>
        <w:spacing w:before="240" w:after="240" w:line="360" w:lineRule="auto"/>
        <w:jc w:val="both"/>
        <w:rPr>
          <w:rFonts w:ascii="Palatino Linotype" w:eastAsia="Palatino Linotype" w:hAnsi="Palatino Linotype" w:cs="Palatino Linotype"/>
        </w:rPr>
      </w:pPr>
      <w:bookmarkStart w:id="1" w:name="_heading=h.1fob9te" w:colFirst="0" w:colLast="0"/>
      <w:bookmarkEnd w:id="1"/>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vía Sistema de Acceso a la Información Mexiquense (SAIMEX),</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la presente resolución, </w:t>
      </w:r>
      <w:r>
        <w:rPr>
          <w:rFonts w:ascii="Palatino Linotype" w:eastAsia="Palatino Linotype" w:hAnsi="Palatino Linotype" w:cs="Palatino Linotype"/>
        </w:rPr>
        <w:t xml:space="preserve">así como, que de conformidad con lo establecido en el artículo 196 de la Ley de Transparencia y Acceso a la Información Pública del Estado de México y Municipios, en caso de que considere que le causa algún perjuicio podrá impugnarla </w:t>
      </w:r>
      <w:r>
        <w:rPr>
          <w:rFonts w:ascii="Palatino Linotype" w:eastAsia="Palatino Linotype" w:hAnsi="Palatino Linotype" w:cs="Palatino Linotype"/>
          <w:b/>
        </w:rPr>
        <w:t>vía Juicio de Amparo</w:t>
      </w:r>
      <w:r>
        <w:rPr>
          <w:rFonts w:ascii="Palatino Linotype" w:eastAsia="Palatino Linotype" w:hAnsi="Palatino Linotype" w:cs="Palatino Linotype"/>
        </w:rPr>
        <w:t xml:space="preserve"> en los términos de las leyes aplicables.</w:t>
      </w:r>
    </w:p>
    <w:bookmarkStart w:id="2" w:name="_heading=h.30j0zll" w:colFirst="0" w:colLast="0"/>
    <w:bookmarkEnd w:id="2"/>
    <w:p w:rsidR="0032746D" w:rsidRDefault="00734FCA">
      <w:pPr>
        <w:spacing w:before="240" w:after="240" w:line="360" w:lineRule="auto"/>
        <w:jc w:val="both"/>
        <w:rPr>
          <w:rFonts w:ascii="Palatino Linotype" w:eastAsia="Palatino Linotype" w:hAnsi="Palatino Linotype" w:cs="Palatino Linotype"/>
        </w:rPr>
        <w:sectPr w:rsidR="0032746D">
          <w:headerReference w:type="default" r:id="rId25"/>
          <w:footerReference w:type="default" r:id="rId26"/>
          <w:headerReference w:type="first" r:id="rId27"/>
          <w:footerReference w:type="first" r:id="rId28"/>
          <w:pgSz w:w="12240" w:h="15840"/>
          <w:pgMar w:top="1417" w:right="1750" w:bottom="1701" w:left="1701" w:header="708" w:footer="708" w:gutter="0"/>
          <w:pgNumType w:start="1"/>
          <w:cols w:space="720"/>
          <w:titlePg/>
        </w:sectPr>
      </w:pPr>
      <w:r>
        <w:rPr>
          <w:rFonts w:ascii="Palatino Linotype" w:eastAsia="Palatino Linotype" w:hAnsi="Palatino Linotype" w:cs="Palatino Linotype"/>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2915919</wp:posOffset>
                </wp:positionV>
                <wp:extent cx="5429250" cy="107632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5429250" cy="1076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EF5A952"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229.6pt" to="430.2pt,3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" strokecolor="black [3200]" strokeweight="2pt">
                <v:shadow on="t" color="black" opacity="24903f" origin=",.5" offset="0,.55556mm"/>
              </v:line>
            </w:pict>
          </mc:Fallback>
        </mc:AlternateContent>
      </w:r>
      <w:r w:rsidR="00D418E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 MARÍA DEL ROSARIO MEJÍA AYALA; LUIS GUSTAVO PARRA NORIEGA Y GUADALUPE RAMÍREZ PEÑA; EN LA DÉCIMA SÉPTIMA SE</w:t>
      </w:r>
      <w:r>
        <w:rPr>
          <w:rFonts w:ascii="Palatino Linotype" w:eastAsia="Palatino Linotype" w:hAnsi="Palatino Linotype" w:cs="Palatino Linotype"/>
        </w:rPr>
        <w:t>SI</w:t>
      </w:r>
      <w:r w:rsidR="00AC1DEC">
        <w:rPr>
          <w:rFonts w:ascii="Palatino Linotype" w:eastAsia="Palatino Linotype" w:hAnsi="Palatino Linotype" w:cs="Palatino Linotype"/>
        </w:rPr>
        <w:t>ÓN ORDINARIA CELEBRADA EL ONCE</w:t>
      </w:r>
      <w:r w:rsidR="00D418E5">
        <w:rPr>
          <w:rFonts w:ascii="Palatino Linotype" w:eastAsia="Palatino Linotype" w:hAnsi="Palatino Linotype" w:cs="Palatino Linotype"/>
        </w:rPr>
        <w:t xml:space="preserve"> DE MAYO D</w:t>
      </w:r>
      <w:bookmarkStart w:id="3" w:name="_GoBack"/>
      <w:bookmarkEnd w:id="3"/>
      <w:r w:rsidR="00D418E5">
        <w:rPr>
          <w:rFonts w:ascii="Palatino Linotype" w:eastAsia="Palatino Linotype" w:hAnsi="Palatino Linotype" w:cs="Palatino Linotype"/>
        </w:rPr>
        <w:t>EL DOS MIL VEINTIDÓS, ANTE EL SECRETARIO TÉCNICO DEL PLENO, ALEXIS TAPIA RAMÍREZ.</w:t>
      </w:r>
    </w:p>
    <w:p w:rsidR="0032746D" w:rsidRDefault="0032746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32746D" w:rsidRDefault="0032746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32746D" w:rsidRDefault="0032746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32746D">
      <w:headerReference w:type="first" r:id="rId29"/>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8E5" w:rsidRDefault="00D418E5">
      <w:r>
        <w:separator/>
      </w:r>
    </w:p>
  </w:endnote>
  <w:endnote w:type="continuationSeparator" w:id="0">
    <w:p w:rsidR="00D418E5" w:rsidRDefault="00D41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46D" w:rsidRDefault="00D418E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C1DEC">
      <w:rPr>
        <w:rFonts w:ascii="Arial" w:eastAsia="Arial" w:hAnsi="Arial" w:cs="Arial"/>
        <w:b/>
        <w:noProof/>
        <w:color w:val="000000"/>
        <w:sz w:val="20"/>
        <w:szCs w:val="20"/>
      </w:rPr>
      <w:t>38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C1DEC">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rsidR="0032746D" w:rsidRDefault="0032746D">
    <w:pPr>
      <w:pBdr>
        <w:top w:val="nil"/>
        <w:left w:val="nil"/>
        <w:bottom w:val="nil"/>
        <w:right w:val="nil"/>
        <w:between w:val="nil"/>
      </w:pBdr>
      <w:tabs>
        <w:tab w:val="center" w:pos="4252"/>
        <w:tab w:val="right" w:pos="8504"/>
      </w:tabs>
      <w:rPr>
        <w:color w:val="000000"/>
      </w:rPr>
    </w:pPr>
  </w:p>
  <w:p w:rsidR="0032746D" w:rsidRDefault="0032746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46D" w:rsidRDefault="00D418E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C1DEC">
      <w:rPr>
        <w:rFonts w:ascii="Arial" w:eastAsia="Arial" w:hAnsi="Arial" w:cs="Arial"/>
        <w:b/>
        <w:noProof/>
        <w:color w:val="000000"/>
        <w:sz w:val="20"/>
        <w:szCs w:val="20"/>
      </w:rPr>
      <w:t>39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C1DEC">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rsidR="0032746D" w:rsidRDefault="0032746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8E5" w:rsidRDefault="00D418E5">
      <w:r>
        <w:separator/>
      </w:r>
    </w:p>
  </w:footnote>
  <w:footnote w:type="continuationSeparator" w:id="0">
    <w:p w:rsidR="00D418E5" w:rsidRDefault="00D418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46D" w:rsidRDefault="00D418E5">
    <w:pPr>
      <w:widowControl w:val="0"/>
      <w:pBdr>
        <w:top w:val="nil"/>
        <w:left w:val="nil"/>
        <w:bottom w:val="nil"/>
        <w:right w:val="nil"/>
        <w:between w:val="nil"/>
      </w:pBdr>
      <w:spacing w:line="276" w:lineRule="auto"/>
      <w:rPr>
        <w:rFonts w:ascii="Cambria" w:eastAsia="Cambria" w:hAnsi="Cambria" w:cs="Cambria"/>
        <w:color w:val="000000"/>
      </w:rPr>
    </w:pPr>
    <w:r>
      <w:rPr>
        <w:noProof/>
        <w:lang w:val="en-US" w:eastAsia="en-US"/>
      </w:rPr>
      <w:drawing>
        <wp:anchor distT="0" distB="0" distL="0" distR="0" simplePos="0" relativeHeight="251658240" behindDoc="1" locked="0" layoutInCell="1" hidden="0" allowOverlap="1">
          <wp:simplePos x="0" y="0"/>
          <wp:positionH relativeFrom="column">
            <wp:posOffset>-1080132</wp:posOffset>
          </wp:positionH>
          <wp:positionV relativeFrom="paragraph">
            <wp:posOffset>-356867</wp:posOffset>
          </wp:positionV>
          <wp:extent cx="7635600" cy="9943200"/>
          <wp:effectExtent l="0" t="0" r="0" b="0"/>
          <wp:wrapNone/>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6240" w:type="dxa"/>
      <w:tblInd w:w="3746" w:type="dxa"/>
      <w:tblLayout w:type="fixed"/>
      <w:tblLook w:val="0400" w:firstRow="0" w:lastRow="0" w:firstColumn="0" w:lastColumn="0" w:noHBand="0" w:noVBand="1"/>
    </w:tblPr>
    <w:tblGrid>
      <w:gridCol w:w="2553"/>
      <w:gridCol w:w="3687"/>
    </w:tblGrid>
    <w:tr w:rsidR="0032746D">
      <w:tc>
        <w:tcPr>
          <w:tcW w:w="2553" w:type="dxa"/>
          <w:vAlign w:val="center"/>
        </w:tcPr>
        <w:p w:rsidR="0032746D" w:rsidRDefault="00D418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32746D" w:rsidRDefault="00D418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02134/INFOEM/IP/RR/2022</w:t>
          </w:r>
        </w:p>
      </w:tc>
    </w:tr>
    <w:tr w:rsidR="0032746D">
      <w:trPr>
        <w:trHeight w:val="228"/>
      </w:trPr>
      <w:tc>
        <w:tcPr>
          <w:tcW w:w="2553" w:type="dxa"/>
          <w:vAlign w:val="center"/>
        </w:tcPr>
        <w:p w:rsidR="0032746D" w:rsidRDefault="00D418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32746D" w:rsidRDefault="00D418E5">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32746D">
      <w:tc>
        <w:tcPr>
          <w:tcW w:w="2553" w:type="dxa"/>
          <w:vAlign w:val="center"/>
        </w:tcPr>
        <w:p w:rsidR="0032746D" w:rsidRDefault="00D418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32746D" w:rsidRDefault="00D418E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2746D" w:rsidRDefault="00D418E5">
    <w:pPr>
      <w:rPr>
        <w:rFonts w:ascii="Cambria" w:eastAsia="Cambria" w:hAnsi="Cambria" w:cs="Cambria"/>
        <w:color w:val="000000"/>
      </w:rPr>
    </w:pPr>
    <w:r>
      <w:rPr>
        <w:rFonts w:ascii="Cambria" w:eastAsia="Cambria" w:hAnsi="Cambria" w:cs="Cambria"/>
        <w:color w:val="000000"/>
      </w:rPr>
      <w:tab/>
    </w:r>
  </w:p>
  <w:p w:rsidR="0032746D" w:rsidRDefault="0032746D">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46D" w:rsidRDefault="00D418E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n-US" w:eastAsia="en-US"/>
      </w:rPr>
      <w:drawing>
        <wp:anchor distT="0" distB="0" distL="0" distR="0" simplePos="0" relativeHeight="251659264" behindDoc="1" locked="0" layoutInCell="1" hidden="0" allowOverlap="1">
          <wp:simplePos x="0" y="0"/>
          <wp:positionH relativeFrom="column">
            <wp:posOffset>-983613</wp:posOffset>
          </wp:positionH>
          <wp:positionV relativeFrom="paragraph">
            <wp:posOffset>-342264</wp:posOffset>
          </wp:positionV>
          <wp:extent cx="7635600" cy="9943200"/>
          <wp:effectExtent l="0" t="0" r="0" b="0"/>
          <wp:wrapNone/>
          <wp:docPr id="3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240" w:type="dxa"/>
      <w:tblInd w:w="3685" w:type="dxa"/>
      <w:tblLayout w:type="fixed"/>
      <w:tblLook w:val="0400" w:firstRow="0" w:lastRow="0" w:firstColumn="0" w:lastColumn="0" w:noHBand="0" w:noVBand="1"/>
    </w:tblPr>
    <w:tblGrid>
      <w:gridCol w:w="2553"/>
      <w:gridCol w:w="3687"/>
    </w:tblGrid>
    <w:tr w:rsidR="0032746D">
      <w:tc>
        <w:tcPr>
          <w:tcW w:w="2553" w:type="dxa"/>
          <w:vAlign w:val="center"/>
        </w:tcPr>
        <w:p w:rsidR="0032746D" w:rsidRDefault="00D418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32746D" w:rsidRDefault="00D418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02134/INFOEM/IP/RR/2022</w:t>
          </w:r>
        </w:p>
      </w:tc>
    </w:tr>
    <w:tr w:rsidR="0032746D">
      <w:tc>
        <w:tcPr>
          <w:tcW w:w="2553" w:type="dxa"/>
          <w:vAlign w:val="center"/>
        </w:tcPr>
        <w:p w:rsidR="0032746D" w:rsidRDefault="00D418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32746D" w:rsidRDefault="0032746D">
          <w:pPr>
            <w:rPr>
              <w:rFonts w:ascii="Palatino Linotype" w:eastAsia="Palatino Linotype" w:hAnsi="Palatino Linotype" w:cs="Palatino Linotype"/>
              <w:b/>
              <w:sz w:val="22"/>
              <w:szCs w:val="22"/>
            </w:rPr>
          </w:pPr>
        </w:p>
      </w:tc>
    </w:tr>
    <w:tr w:rsidR="0032746D">
      <w:trPr>
        <w:trHeight w:val="228"/>
      </w:trPr>
      <w:tc>
        <w:tcPr>
          <w:tcW w:w="2553" w:type="dxa"/>
          <w:vAlign w:val="center"/>
        </w:tcPr>
        <w:p w:rsidR="0032746D" w:rsidRDefault="00D418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32746D" w:rsidRDefault="00D418E5">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32746D">
      <w:tc>
        <w:tcPr>
          <w:tcW w:w="2553" w:type="dxa"/>
          <w:vAlign w:val="center"/>
        </w:tcPr>
        <w:p w:rsidR="0032746D" w:rsidRDefault="00D418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32746D" w:rsidRDefault="00D418E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2746D" w:rsidRDefault="0032746D">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46D" w:rsidRDefault="00D418E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32746D" w:rsidRDefault="0032746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6395C"/>
    <w:multiLevelType w:val="multilevel"/>
    <w:tmpl w:val="9DCAB64A"/>
    <w:lvl w:ilvl="0">
      <w:start w:val="1"/>
      <w:numFmt w:val="lowerLetter"/>
      <w:lvlText w:val="%1)"/>
      <w:lvlJc w:val="left"/>
      <w:pPr>
        <w:ind w:left="987" w:hanging="36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1" w15:restartNumberingAfterBreak="0">
    <w:nsid w:val="32DA0807"/>
    <w:multiLevelType w:val="multilevel"/>
    <w:tmpl w:val="2AF2E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DF08DB"/>
    <w:multiLevelType w:val="multilevel"/>
    <w:tmpl w:val="B2A058D4"/>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FEB6604"/>
    <w:multiLevelType w:val="multilevel"/>
    <w:tmpl w:val="F4C6EC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444996"/>
    <w:multiLevelType w:val="multilevel"/>
    <w:tmpl w:val="A1F26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93327C"/>
    <w:multiLevelType w:val="multilevel"/>
    <w:tmpl w:val="F8B0195E"/>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6" w15:restartNumberingAfterBreak="0">
    <w:nsid w:val="7B1C2C56"/>
    <w:multiLevelType w:val="multilevel"/>
    <w:tmpl w:val="369C5E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6"/>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46D"/>
    <w:rsid w:val="001D5128"/>
    <w:rsid w:val="0032746D"/>
    <w:rsid w:val="00734FCA"/>
    <w:rsid w:val="00AC1DEC"/>
    <w:rsid w:val="00D418E5"/>
    <w:rsid w:val="00F02D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F872285"/>
  <w15:docId w15:val="{C542EB1F-0390-4F10-BACE-FE9B8193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2"/>
    <w:tblPr>
      <w:tblStyleRowBandSize w:val="1"/>
      <w:tblStyleColBandSize w:val="1"/>
      <w:tblCellMar>
        <w:left w:w="108" w:type="dxa"/>
        <w:right w:w="108"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aimex.org.mx/saimex/solicitud/downloadAttach/1322700.pag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facebook.com/AyuntamientoMetepec/videos/61843289607973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gob.mx/cms/uploads/attachment/file/552550/Lineamientos_de_Seguridad_Sanitaria_F.pdf"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legislacion.edomex.gob.mx/sites/legislacion.edomex.gob.mx/files/files/pdf/gct/2020/jul033.pdf"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42xBQcp7qr0AALYeM8iGGV0trw==">AMUW2mWqpYD47ysVX4iwkKeNVhCqSbwNdCzUtELigKjF26fihNMRgv+Wuq6laWIrrE8zaIe6Fyy0lLvt8LaS0V8EQnEYohfEN3KdCYR8YWAMXC5xbgaMOK5SrXTJilI8zKeKOpx6zubf/zsbPZWO403Hq/qGNW3X7g==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9174</Words>
  <Characters>52298</Characters>
  <Application>Microsoft Office Word</Application>
  <DocSecurity>0</DocSecurity>
  <Lines>435</Lines>
  <Paragraphs>122</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NAJERA </cp:lastModifiedBy>
  <cp:revision>5</cp:revision>
  <dcterms:created xsi:type="dcterms:W3CDTF">2022-05-06T03:15:00Z</dcterms:created>
  <dcterms:modified xsi:type="dcterms:W3CDTF">2022-05-12T18:56:00Z</dcterms:modified>
</cp:coreProperties>
</file>