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6BD6" w14:textId="75A6D7BE" w:rsidR="00EA0165" w:rsidRPr="005B7458" w:rsidRDefault="00EA0165" w:rsidP="007D7513">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B7458">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5B7458">
        <w:rPr>
          <w:rFonts w:ascii="Palatino Linotype" w:eastAsiaTheme="minorEastAsia" w:hAnsi="Palatino Linotype" w:cstheme="minorBidi"/>
          <w:color w:val="000000" w:themeColor="text1"/>
          <w:lang w:val="es-ES_tradnl"/>
        </w:rPr>
        <w:t xml:space="preserve">n Metepec, Estado </w:t>
      </w:r>
      <w:r w:rsidR="00B96D41" w:rsidRPr="005B7458">
        <w:rPr>
          <w:rFonts w:ascii="Palatino Linotype" w:eastAsiaTheme="minorEastAsia" w:hAnsi="Palatino Linotype" w:cstheme="minorBidi"/>
          <w:color w:val="000000" w:themeColor="text1"/>
          <w:lang w:val="es-ES_tradnl"/>
        </w:rPr>
        <w:t xml:space="preserve">de México; de dieciséis </w:t>
      </w:r>
      <w:r w:rsidRPr="005B7458">
        <w:rPr>
          <w:rFonts w:ascii="Palatino Linotype" w:eastAsiaTheme="minorEastAsia" w:hAnsi="Palatino Linotype" w:cstheme="minorBidi"/>
          <w:color w:val="000000" w:themeColor="text1"/>
          <w:lang w:val="es-MX"/>
        </w:rPr>
        <w:t>(</w:t>
      </w:r>
      <w:r w:rsidR="00B96D41" w:rsidRPr="005B7458">
        <w:rPr>
          <w:rFonts w:ascii="Palatino Linotype" w:eastAsiaTheme="minorEastAsia" w:hAnsi="Palatino Linotype" w:cstheme="minorBidi"/>
          <w:color w:val="000000" w:themeColor="text1"/>
          <w:lang w:val="es-MX"/>
        </w:rPr>
        <w:t>16</w:t>
      </w:r>
      <w:r w:rsidRPr="005B7458">
        <w:rPr>
          <w:rFonts w:ascii="Palatino Linotype" w:eastAsiaTheme="minorEastAsia" w:hAnsi="Palatino Linotype" w:cstheme="minorBidi"/>
          <w:color w:val="000000" w:themeColor="text1"/>
          <w:lang w:val="es-MX"/>
        </w:rPr>
        <w:t>) de</w:t>
      </w:r>
      <w:r w:rsidR="00B96D41" w:rsidRPr="005B7458">
        <w:rPr>
          <w:rFonts w:ascii="Palatino Linotype" w:eastAsiaTheme="minorEastAsia" w:hAnsi="Palatino Linotype" w:cstheme="minorBidi"/>
          <w:color w:val="000000" w:themeColor="text1"/>
          <w:lang w:val="es-MX"/>
        </w:rPr>
        <w:t xml:space="preserve"> marzo</w:t>
      </w:r>
      <w:r w:rsidR="00F03AFC" w:rsidRPr="005B7458">
        <w:rPr>
          <w:rFonts w:ascii="Palatino Linotype" w:eastAsiaTheme="minorEastAsia" w:hAnsi="Palatino Linotype" w:cstheme="minorBidi"/>
          <w:color w:val="000000" w:themeColor="text1"/>
          <w:lang w:val="es-MX"/>
        </w:rPr>
        <w:t xml:space="preserve"> </w:t>
      </w:r>
      <w:r w:rsidR="00003CF3" w:rsidRPr="005B7458">
        <w:rPr>
          <w:rFonts w:ascii="Palatino Linotype" w:eastAsiaTheme="minorEastAsia" w:hAnsi="Palatino Linotype" w:cstheme="minorBidi"/>
          <w:color w:val="000000" w:themeColor="text1"/>
          <w:lang w:val="es-MX"/>
        </w:rPr>
        <w:t>de dos mil veintidós</w:t>
      </w:r>
      <w:r w:rsidRPr="005B7458">
        <w:rPr>
          <w:rFonts w:ascii="Palatino Linotype" w:eastAsiaTheme="minorEastAsia" w:hAnsi="Palatino Linotype" w:cstheme="minorBidi"/>
          <w:color w:val="000000" w:themeColor="text1"/>
          <w:lang w:val="es-ES_tradnl"/>
        </w:rPr>
        <w:t xml:space="preserve">. </w:t>
      </w:r>
    </w:p>
    <w:p w14:paraId="68E5E524" w14:textId="08DA1EE7" w:rsidR="00EA0165" w:rsidRPr="005B7458" w:rsidRDefault="00EA0165" w:rsidP="007D7513">
      <w:pPr>
        <w:pStyle w:val="Prrafodelista"/>
        <w:tabs>
          <w:tab w:val="left" w:pos="0"/>
        </w:tabs>
        <w:spacing w:line="360" w:lineRule="auto"/>
        <w:ind w:left="0"/>
        <w:jc w:val="both"/>
        <w:rPr>
          <w:rFonts w:ascii="Palatino Linotype" w:eastAsia="MS Mincho" w:hAnsi="Palatino Linotype"/>
          <w:lang w:val="es-ES_tradnl"/>
        </w:rPr>
      </w:pPr>
      <w:r w:rsidRPr="005B7458">
        <w:rPr>
          <w:rFonts w:ascii="Palatino Linotype" w:eastAsia="MS Mincho" w:hAnsi="Palatino Linotype"/>
          <w:b/>
          <w:lang w:val="es-ES_tradnl"/>
        </w:rPr>
        <w:t>VISTO</w:t>
      </w:r>
      <w:r w:rsidRPr="005B7458">
        <w:rPr>
          <w:rFonts w:ascii="Palatino Linotype" w:eastAsia="MS Mincho" w:hAnsi="Palatino Linotype"/>
          <w:lang w:val="es-ES_tradnl"/>
        </w:rPr>
        <w:t xml:space="preserve"> el expediente electrónico forma</w:t>
      </w:r>
      <w:bookmarkStart w:id="0" w:name="_GoBack"/>
      <w:bookmarkEnd w:id="0"/>
      <w:r w:rsidRPr="005B7458">
        <w:rPr>
          <w:rFonts w:ascii="Palatino Linotype" w:eastAsia="MS Mincho" w:hAnsi="Palatino Linotype"/>
          <w:lang w:val="es-ES_tradnl"/>
        </w:rPr>
        <w:t>do con motivo del recurso de revisión</w:t>
      </w:r>
      <w:r w:rsidR="00C428D6" w:rsidRPr="005B7458">
        <w:rPr>
          <w:rFonts w:ascii="Palatino Linotype" w:eastAsia="MS Mincho" w:hAnsi="Palatino Linotype"/>
          <w:lang w:val="es-ES_tradnl"/>
        </w:rPr>
        <w:t xml:space="preserve"> </w:t>
      </w:r>
      <w:r w:rsidR="00C428D6" w:rsidRPr="005B7458">
        <w:rPr>
          <w:rFonts w:ascii="Palatino Linotype" w:eastAsia="MS Mincho" w:hAnsi="Palatino Linotype"/>
          <w:b/>
          <w:lang w:val="es-ES_tradnl"/>
        </w:rPr>
        <w:t>00343/INFOEM/IP/RR/2022</w:t>
      </w:r>
      <w:r w:rsidRPr="005B7458">
        <w:rPr>
          <w:rFonts w:ascii="Palatino Linotype" w:eastAsia="MS Mincho" w:hAnsi="Palatino Linotype"/>
          <w:b/>
          <w:bCs/>
          <w:lang w:val="es-ES_tradnl"/>
        </w:rPr>
        <w:t xml:space="preserve">, </w:t>
      </w:r>
      <w:r w:rsidRPr="005B7458">
        <w:rPr>
          <w:rFonts w:ascii="Palatino Linotype" w:eastAsia="MS Mincho" w:hAnsi="Palatino Linotype"/>
          <w:lang w:val="es-ES_tradnl"/>
        </w:rPr>
        <w:t>promovido por</w:t>
      </w:r>
      <w:r w:rsidR="00A92600" w:rsidRPr="00A92600">
        <w:t xml:space="preserve"> </w:t>
      </w:r>
      <w:r w:rsidR="00A92600" w:rsidRPr="00A92600">
        <w:rPr>
          <w:rFonts w:ascii="Palatino Linotype" w:eastAsia="MS Mincho" w:hAnsi="Palatino Linotype"/>
          <w:b/>
          <w:lang w:val="es-ES_tradnl"/>
        </w:rPr>
        <w:t>XXXXXX XXXXXXXX XXXXX XXXXXXX</w:t>
      </w:r>
      <w:r w:rsidR="00B4299A" w:rsidRPr="005B7458">
        <w:rPr>
          <w:rFonts w:ascii="Palatino Linotype" w:eastAsia="MS Mincho" w:hAnsi="Palatino Linotype"/>
          <w:lang w:val="es-ES_tradnl"/>
        </w:rPr>
        <w:t xml:space="preserve">, </w:t>
      </w:r>
      <w:r w:rsidR="00C428D6" w:rsidRPr="005B7458">
        <w:rPr>
          <w:rFonts w:ascii="Palatino Linotype" w:eastAsia="MS Mincho" w:hAnsi="Palatino Linotype"/>
          <w:lang w:val="es-ES_tradnl"/>
        </w:rPr>
        <w:t xml:space="preserve">en contra de la respuesta del </w:t>
      </w:r>
      <w:r w:rsidR="00C428D6" w:rsidRPr="005B7458">
        <w:rPr>
          <w:rFonts w:ascii="Palatino Linotype" w:eastAsia="MS Mincho" w:hAnsi="Palatino Linotype"/>
          <w:b/>
          <w:lang w:val="es-ES_tradnl"/>
        </w:rPr>
        <w:t>Ayuntamiento de Huixquilucan</w:t>
      </w:r>
      <w:r w:rsidR="00923BD9" w:rsidRPr="005B7458">
        <w:rPr>
          <w:rFonts w:ascii="Palatino Linotype" w:eastAsia="MS Mincho" w:hAnsi="Palatino Linotype"/>
          <w:lang w:val="es-ES_tradnl"/>
        </w:rPr>
        <w:t xml:space="preserve"> </w:t>
      </w:r>
      <w:r w:rsidRPr="005B7458">
        <w:rPr>
          <w:rFonts w:ascii="Palatino Linotype" w:eastAsia="MS Mincho" w:hAnsi="Palatino Linotype"/>
          <w:lang w:val="es-ES_tradnl"/>
        </w:rPr>
        <w:t>en lo sucesivo el</w:t>
      </w:r>
      <w:r w:rsidRPr="005B7458">
        <w:rPr>
          <w:rFonts w:ascii="Palatino Linotype" w:eastAsia="MS Mincho" w:hAnsi="Palatino Linotype"/>
          <w:b/>
          <w:lang w:val="es-ES_tradnl"/>
        </w:rPr>
        <w:t xml:space="preserve"> SUJETO OBLIGADO, </w:t>
      </w:r>
      <w:r w:rsidRPr="005B7458">
        <w:rPr>
          <w:rFonts w:ascii="Palatino Linotype" w:eastAsia="MS Mincho" w:hAnsi="Palatino Linotype"/>
          <w:lang w:val="es-ES_tradnl"/>
        </w:rPr>
        <w:t xml:space="preserve">se procede a dictar la presente resolución, con base en los siguientes: </w:t>
      </w:r>
    </w:p>
    <w:p w14:paraId="64D30E95" w14:textId="2F57A823" w:rsidR="00F216D7" w:rsidRPr="005B7458" w:rsidRDefault="00EA0165" w:rsidP="007D7513">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97826082"/>
      <w:r w:rsidRPr="005B7458">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1175DDC1" w:rsidR="00707416" w:rsidRPr="005B7458" w:rsidRDefault="00EA0165" w:rsidP="007D7513">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5B7458">
        <w:rPr>
          <w:rFonts w:ascii="Palatino Linotype" w:eastAsia="Calibri" w:hAnsi="Palatino Linotype" w:cs="Arial"/>
          <w:color w:val="000000" w:themeColor="text1"/>
        </w:rPr>
        <w:t>El</w:t>
      </w:r>
      <w:r w:rsidR="00F216D7" w:rsidRPr="005B7458">
        <w:rPr>
          <w:rFonts w:ascii="Palatino Linotype" w:eastAsia="Calibri" w:hAnsi="Palatino Linotype" w:cs="Arial"/>
          <w:color w:val="000000" w:themeColor="text1"/>
        </w:rPr>
        <w:t xml:space="preserve"> </w:t>
      </w:r>
      <w:r w:rsidR="00C428D6" w:rsidRPr="005B7458">
        <w:rPr>
          <w:rFonts w:ascii="Palatino Linotype" w:eastAsia="Calibri" w:hAnsi="Palatino Linotype" w:cs="Arial"/>
          <w:color w:val="000000" w:themeColor="text1"/>
        </w:rPr>
        <w:t xml:space="preserve">veinte </w:t>
      </w:r>
      <w:r w:rsidRPr="005B7458">
        <w:rPr>
          <w:rFonts w:ascii="Palatino Linotype" w:eastAsia="Calibri" w:hAnsi="Palatino Linotype" w:cs="Arial"/>
          <w:color w:val="000000" w:themeColor="text1"/>
        </w:rPr>
        <w:t>(</w:t>
      </w:r>
      <w:r w:rsidR="00C428D6" w:rsidRPr="005B7458">
        <w:rPr>
          <w:rFonts w:ascii="Palatino Linotype" w:eastAsia="Calibri" w:hAnsi="Palatino Linotype" w:cs="Arial"/>
          <w:color w:val="000000" w:themeColor="text1"/>
        </w:rPr>
        <w:t>20</w:t>
      </w:r>
      <w:r w:rsidRPr="005B7458">
        <w:rPr>
          <w:rFonts w:ascii="Palatino Linotype" w:eastAsia="Calibri" w:hAnsi="Palatino Linotype" w:cs="Arial"/>
          <w:color w:val="000000" w:themeColor="text1"/>
        </w:rPr>
        <w:t>) de</w:t>
      </w:r>
      <w:r w:rsidR="003F045C" w:rsidRPr="005B7458">
        <w:rPr>
          <w:rFonts w:ascii="Palatino Linotype" w:eastAsia="Calibri" w:hAnsi="Palatino Linotype" w:cs="Arial"/>
          <w:color w:val="000000" w:themeColor="text1"/>
        </w:rPr>
        <w:t xml:space="preserve"> diciembre</w:t>
      </w:r>
      <w:r w:rsidR="00C428D6" w:rsidRPr="005B7458">
        <w:rPr>
          <w:rFonts w:ascii="Palatino Linotype" w:eastAsia="Calibri" w:hAnsi="Palatino Linotype" w:cs="Arial"/>
          <w:color w:val="000000" w:themeColor="text1"/>
        </w:rPr>
        <w:t xml:space="preserve"> </w:t>
      </w:r>
      <w:r w:rsidRPr="005B7458">
        <w:rPr>
          <w:rFonts w:ascii="Palatino Linotype" w:eastAsia="Calibri" w:hAnsi="Palatino Linotype" w:cs="Arial"/>
          <w:color w:val="000000" w:themeColor="text1"/>
        </w:rPr>
        <w:t xml:space="preserve">de dos mil </w:t>
      </w:r>
      <w:r w:rsidR="002B2B24" w:rsidRPr="005B7458">
        <w:rPr>
          <w:rFonts w:ascii="Palatino Linotype" w:eastAsia="Calibri" w:hAnsi="Palatino Linotype" w:cs="Arial"/>
          <w:color w:val="000000" w:themeColor="text1"/>
        </w:rPr>
        <w:t>veintiuno</w:t>
      </w:r>
      <w:r w:rsidRPr="005B7458">
        <w:rPr>
          <w:rFonts w:ascii="Palatino Linotype" w:eastAsia="Calibri" w:hAnsi="Palatino Linotype" w:cs="Arial"/>
          <w:color w:val="000000" w:themeColor="text1"/>
        </w:rPr>
        <w:t xml:space="preserve">, </w:t>
      </w:r>
      <w:r w:rsidRPr="005B7458">
        <w:rPr>
          <w:rFonts w:ascii="Palatino Linotype" w:eastAsiaTheme="minorEastAsia" w:hAnsi="Palatino Linotype" w:cstheme="minorBidi"/>
          <w:color w:val="000000" w:themeColor="text1"/>
          <w:lang w:val="es-ES_tradnl"/>
        </w:rPr>
        <w:t>el particular presentó</w:t>
      </w:r>
      <w:r w:rsidRPr="005B7458">
        <w:rPr>
          <w:rFonts w:ascii="Palatino Linotype" w:eastAsiaTheme="minorEastAsia" w:hAnsi="Palatino Linotype" w:cstheme="minorBidi"/>
          <w:b/>
          <w:color w:val="000000" w:themeColor="text1"/>
          <w:lang w:val="es-ES_tradnl"/>
        </w:rPr>
        <w:t xml:space="preserve"> </w:t>
      </w:r>
      <w:r w:rsidR="00936BED" w:rsidRPr="005B7458">
        <w:rPr>
          <w:rFonts w:ascii="Palatino Linotype" w:eastAsiaTheme="minorEastAsia" w:hAnsi="Palatino Linotype" w:cstheme="minorBidi"/>
          <w:bCs/>
          <w:color w:val="000000" w:themeColor="text1"/>
          <w:lang w:val="es-ES_tradnl"/>
        </w:rPr>
        <w:t>a través de</w:t>
      </w:r>
      <w:r w:rsidR="00923BD9" w:rsidRPr="005B7458">
        <w:rPr>
          <w:rFonts w:ascii="Palatino Linotype" w:eastAsiaTheme="minorEastAsia" w:hAnsi="Palatino Linotype" w:cstheme="minorBidi"/>
          <w:bCs/>
          <w:color w:val="000000" w:themeColor="text1"/>
          <w:lang w:val="es-ES_tradnl"/>
        </w:rPr>
        <w:t>l</w:t>
      </w:r>
      <w:r w:rsidR="00923BD9" w:rsidRPr="005B7458">
        <w:rPr>
          <w:rFonts w:ascii="Palatino Linotype" w:eastAsia="Calibri" w:hAnsi="Palatino Linotype" w:cs="Arial"/>
          <w:color w:val="000000" w:themeColor="text1"/>
        </w:rPr>
        <w:t xml:space="preserve"> </w:t>
      </w:r>
      <w:r w:rsidR="00923BD9" w:rsidRPr="005B7458">
        <w:rPr>
          <w:rFonts w:ascii="Palatino Linotype" w:eastAsiaTheme="minorEastAsia" w:hAnsi="Palatino Linotype" w:cstheme="minorBidi"/>
          <w:bCs/>
          <w:color w:val="000000" w:themeColor="text1"/>
        </w:rPr>
        <w:t xml:space="preserve">Sistema de Acceso a la Información Mexiquense </w:t>
      </w:r>
      <w:r w:rsidR="00923BD9" w:rsidRPr="005B7458">
        <w:rPr>
          <w:rFonts w:ascii="Palatino Linotype" w:eastAsiaTheme="minorEastAsia" w:hAnsi="Palatino Linotype" w:cstheme="minorBidi"/>
          <w:b/>
          <w:bCs/>
          <w:color w:val="000000" w:themeColor="text1"/>
        </w:rPr>
        <w:t>(SAIMEX)</w:t>
      </w:r>
      <w:r w:rsidRPr="005B7458">
        <w:rPr>
          <w:rFonts w:ascii="Palatino Linotype" w:eastAsia="Calibri" w:hAnsi="Palatino Linotype" w:cs="Arial"/>
          <w:b/>
          <w:color w:val="000000" w:themeColor="text1"/>
        </w:rPr>
        <w:t xml:space="preserve">, </w:t>
      </w:r>
      <w:r w:rsidRPr="005B7458">
        <w:rPr>
          <w:rFonts w:ascii="Palatino Linotype" w:eastAsia="Calibri" w:hAnsi="Palatino Linotype" w:cs="Arial"/>
          <w:color w:val="000000" w:themeColor="text1"/>
        </w:rPr>
        <w:t>la solicitud de información pública registrada con el número</w:t>
      </w:r>
      <w:r w:rsidR="00C428D6" w:rsidRPr="005B7458">
        <w:rPr>
          <w:rFonts w:ascii="Palatino Linotype" w:eastAsia="Calibri" w:hAnsi="Palatino Linotype" w:cs="Arial"/>
          <w:b/>
          <w:bCs/>
          <w:color w:val="000000" w:themeColor="text1"/>
        </w:rPr>
        <w:t> 01479/HUIXQUIL/IP/2021</w:t>
      </w:r>
      <w:r w:rsidRPr="005B7458">
        <w:rPr>
          <w:rFonts w:ascii="Palatino Linotype" w:eastAsiaTheme="minorEastAsia" w:hAnsi="Palatino Linotype" w:cstheme="minorBidi"/>
          <w:b/>
          <w:bCs/>
          <w:color w:val="000000" w:themeColor="text1"/>
          <w:lang w:val="es-ES_tradnl"/>
        </w:rPr>
        <w:t>,</w:t>
      </w:r>
      <w:r w:rsidRPr="005B7458">
        <w:rPr>
          <w:rFonts w:ascii="Palatino Linotype" w:eastAsia="Calibri" w:hAnsi="Palatino Linotype" w:cs="Arial"/>
          <w:color w:val="000000" w:themeColor="text1"/>
        </w:rPr>
        <w:t xml:space="preserve"> mediante la cual requirió:</w:t>
      </w:r>
    </w:p>
    <w:p w14:paraId="119BF7E0" w14:textId="277CE8A4" w:rsidR="00EA0165" w:rsidRPr="005B7458" w:rsidRDefault="00EA0165" w:rsidP="007D7513">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5B7458">
        <w:rPr>
          <w:rFonts w:ascii="Palatino Linotype" w:eastAsiaTheme="minorEastAsia" w:hAnsi="Palatino Linotype" w:cstheme="minorBidi"/>
          <w:i/>
          <w:color w:val="000000" w:themeColor="text1"/>
          <w:lang w:val="es-ES_tradnl"/>
        </w:rPr>
        <w:t>“</w:t>
      </w:r>
      <w:r w:rsidR="00C428D6" w:rsidRPr="005B7458">
        <w:rPr>
          <w:rFonts w:ascii="Palatino Linotype" w:eastAsiaTheme="minorEastAsia" w:hAnsi="Palatino Linotype" w:cstheme="minorBidi"/>
          <w:i/>
          <w:color w:val="000000" w:themeColor="text1"/>
          <w:lang w:val="es-ES_tradnl"/>
        </w:rPr>
        <w:t>Me permito solicitar de manera pacifica el dictamen que catalogo al establecimiento mercantil con la licencia 1040 como de bajo impacto. Gracias</w:t>
      </w:r>
      <w:r w:rsidRPr="005B7458">
        <w:rPr>
          <w:rFonts w:ascii="Palatino Linotype" w:eastAsiaTheme="minorEastAsia" w:hAnsi="Palatino Linotype" w:cstheme="minorBidi"/>
          <w:i/>
          <w:color w:val="000000" w:themeColor="text1"/>
          <w:lang w:val="es-ES_tradnl"/>
        </w:rPr>
        <w:t xml:space="preserve">.” </w:t>
      </w:r>
      <w:r w:rsidRPr="005B7458">
        <w:rPr>
          <w:rFonts w:ascii="Palatino Linotype" w:eastAsiaTheme="minorEastAsia" w:hAnsi="Palatino Linotype" w:cstheme="minorBidi"/>
          <w:color w:val="000000" w:themeColor="text1"/>
          <w:lang w:val="es-ES_tradnl"/>
        </w:rPr>
        <w:t>(Sic).</w:t>
      </w:r>
    </w:p>
    <w:p w14:paraId="1046CCE1" w14:textId="304A6F03" w:rsidR="00A415DB" w:rsidRPr="005B7458" w:rsidRDefault="00A415DB" w:rsidP="007D7513">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CDF046F" w14:textId="555546DC" w:rsidR="00DD02B8" w:rsidRPr="005B7458" w:rsidRDefault="00923BD9" w:rsidP="007D7513">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5B7458">
        <w:rPr>
          <w:rFonts w:ascii="Palatino Linotype" w:hAnsi="Palatino Linotype" w:cs="Arial"/>
        </w:rPr>
        <w:t>Se hace constar que se señaló como modalidad de entrega de la información</w:t>
      </w:r>
      <w:r w:rsidRPr="005B7458">
        <w:rPr>
          <w:rFonts w:ascii="Palatino Linotype" w:hAnsi="Palatino Linotype" w:cs="Arial"/>
          <w:b/>
        </w:rPr>
        <w:t>:</w:t>
      </w:r>
      <w:r w:rsidRPr="005B7458">
        <w:rPr>
          <w:rFonts w:ascii="Palatino Linotype" w:hAnsi="Palatino Linotype" w:cs="Arial"/>
        </w:rPr>
        <w:t xml:space="preserve"> </w:t>
      </w:r>
      <w:r w:rsidRPr="005B7458">
        <w:rPr>
          <w:rFonts w:ascii="Palatino Linotype" w:hAnsi="Palatino Linotype" w:cs="Arial"/>
          <w:b/>
        </w:rPr>
        <w:t>A través del SAIMEX.</w:t>
      </w:r>
    </w:p>
    <w:p w14:paraId="438C3DE3" w14:textId="77777777" w:rsidR="00DD02B8" w:rsidRPr="005B7458" w:rsidRDefault="00DD02B8" w:rsidP="007D7513">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23B8908C" w14:textId="14E4B809" w:rsidR="00D01CEF" w:rsidRPr="005B7458" w:rsidRDefault="00C428D6" w:rsidP="00C428D6">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eastAsiaTheme="minorEastAsia" w:hAnsi="Palatino Linotype" w:cstheme="minorBidi"/>
          <w:color w:val="000000" w:themeColor="text1"/>
          <w:lang w:val="es-ES_tradnl"/>
        </w:rPr>
      </w:pPr>
      <w:r w:rsidRPr="005B7458">
        <w:rPr>
          <w:rFonts w:ascii="Palatino Linotype" w:hAnsi="Palatino Linotype" w:cs="Arial"/>
          <w:color w:val="000000" w:themeColor="text1"/>
        </w:rPr>
        <w:lastRenderedPageBreak/>
        <w:t>El veintiséis (26</w:t>
      </w:r>
      <w:r w:rsidR="00DD02B8" w:rsidRPr="005B7458">
        <w:rPr>
          <w:rFonts w:ascii="Palatino Linotype" w:hAnsi="Palatino Linotype" w:cs="Arial"/>
          <w:color w:val="000000" w:themeColor="text1"/>
        </w:rPr>
        <w:t>) de</w:t>
      </w:r>
      <w:r w:rsidRPr="005B7458">
        <w:rPr>
          <w:rFonts w:ascii="Palatino Linotype" w:hAnsi="Palatino Linotype" w:cs="Arial"/>
          <w:color w:val="000000" w:themeColor="text1"/>
        </w:rPr>
        <w:t xml:space="preserve"> enero de dos mil veintidós</w:t>
      </w:r>
      <w:r w:rsidR="00EA0165" w:rsidRPr="005B7458">
        <w:rPr>
          <w:rFonts w:ascii="Palatino Linotype" w:eastAsiaTheme="minorEastAsia" w:hAnsi="Palatino Linotype" w:cstheme="minorBidi"/>
          <w:color w:val="000000" w:themeColor="text1"/>
          <w:lang w:val="es-ES_tradnl"/>
        </w:rPr>
        <w:t xml:space="preserve">, el </w:t>
      </w:r>
      <w:r w:rsidR="00EA0165" w:rsidRPr="005B7458">
        <w:rPr>
          <w:rFonts w:ascii="Palatino Linotype" w:eastAsiaTheme="minorEastAsia" w:hAnsi="Palatino Linotype" w:cstheme="minorBidi"/>
          <w:b/>
          <w:color w:val="000000" w:themeColor="text1"/>
          <w:lang w:val="es-ES_tradnl"/>
        </w:rPr>
        <w:t>SUJETO OBLIGADO</w:t>
      </w:r>
      <w:r w:rsidR="00EA0165" w:rsidRPr="005B7458">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5C9CB737" w14:textId="6C9678DA" w:rsidR="00C428D6" w:rsidRPr="005B7458" w:rsidRDefault="00EA0165" w:rsidP="00C428D6">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B7458">
        <w:rPr>
          <w:rFonts w:ascii="Palatino Linotype" w:eastAsiaTheme="minorEastAsia" w:hAnsi="Palatino Linotype" w:cstheme="minorBidi"/>
          <w:i/>
          <w:noProof/>
          <w:color w:val="000000" w:themeColor="text1"/>
          <w:lang w:val="es-MX" w:eastAsia="es-MX"/>
        </w:rPr>
        <w:t>“</w:t>
      </w:r>
      <w:r w:rsidR="00C428D6" w:rsidRPr="005B7458">
        <w:rPr>
          <w:rFonts w:ascii="Palatino Linotype" w:eastAsiaTheme="minorEastAsia" w:hAnsi="Palatino Linotype" w:cstheme="minorBidi"/>
          <w:i/>
          <w:noProof/>
          <w:color w:val="000000" w:themeColor="text1"/>
          <w:lang w:val="es-MX" w:eastAsia="es-MX"/>
        </w:rPr>
        <w:t>Huixquilucan, México a 26 de Enero de 2022</w:t>
      </w:r>
    </w:p>
    <w:p w14:paraId="032DADCC" w14:textId="1F16D80A" w:rsidR="00C428D6" w:rsidRPr="005B7458" w:rsidRDefault="00C428D6" w:rsidP="00C428D6">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B7458">
        <w:rPr>
          <w:rFonts w:ascii="Palatino Linotype" w:eastAsiaTheme="minorEastAsia" w:hAnsi="Palatino Linotype" w:cstheme="minorBidi"/>
          <w:i/>
          <w:noProof/>
          <w:color w:val="000000" w:themeColor="text1"/>
          <w:lang w:val="es-MX" w:eastAsia="es-MX"/>
        </w:rPr>
        <w:t>Nombre del solicitante:</w:t>
      </w:r>
      <w:r w:rsidR="00A92600" w:rsidRPr="00A92600">
        <w:t xml:space="preserve"> </w:t>
      </w:r>
      <w:r w:rsidR="00A92600" w:rsidRPr="00A92600">
        <w:rPr>
          <w:rFonts w:ascii="Palatino Linotype" w:eastAsiaTheme="minorEastAsia" w:hAnsi="Palatino Linotype" w:cstheme="minorBidi"/>
          <w:i/>
          <w:noProof/>
          <w:color w:val="000000" w:themeColor="text1"/>
          <w:lang w:val="es-MX" w:eastAsia="es-MX"/>
        </w:rPr>
        <w:t>XXXXXX XXXXXXXX XXXXX XXXXXXX</w:t>
      </w:r>
      <w:r w:rsidRPr="005B7458">
        <w:rPr>
          <w:rFonts w:ascii="Palatino Linotype" w:eastAsiaTheme="minorEastAsia" w:hAnsi="Palatino Linotype" w:cstheme="minorBidi"/>
          <w:i/>
          <w:noProof/>
          <w:color w:val="000000" w:themeColor="text1"/>
          <w:lang w:val="es-MX" w:eastAsia="es-MX"/>
        </w:rPr>
        <w:t xml:space="preserve"> </w:t>
      </w:r>
    </w:p>
    <w:p w14:paraId="0A712568" w14:textId="77777777" w:rsidR="00C428D6" w:rsidRPr="005B7458" w:rsidRDefault="00C428D6" w:rsidP="00C428D6">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B7458">
        <w:rPr>
          <w:rFonts w:ascii="Palatino Linotype" w:eastAsiaTheme="minorEastAsia" w:hAnsi="Palatino Linotype" w:cstheme="minorBidi"/>
          <w:i/>
          <w:noProof/>
          <w:color w:val="000000" w:themeColor="text1"/>
          <w:lang w:val="es-MX" w:eastAsia="es-MX"/>
        </w:rPr>
        <w:t>Folio de la solicitud: 01479/HUIXQUIL/IP/2021</w:t>
      </w:r>
    </w:p>
    <w:p w14:paraId="4DE8872C" w14:textId="77777777" w:rsidR="00C428D6" w:rsidRPr="005B7458" w:rsidRDefault="00C428D6" w:rsidP="00C428D6">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31B4C666" w14:textId="77777777" w:rsidR="00C428D6" w:rsidRPr="005B7458" w:rsidRDefault="00C428D6" w:rsidP="00C428D6">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B7458">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2C09B0" w14:textId="77777777" w:rsidR="00C428D6" w:rsidRPr="005B7458" w:rsidRDefault="00C428D6" w:rsidP="00C428D6">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B7458">
        <w:rPr>
          <w:rFonts w:ascii="Palatino Linotype" w:eastAsiaTheme="minorEastAsia" w:hAnsi="Palatino Linotype" w:cstheme="minorBidi"/>
          <w:i/>
          <w:noProof/>
          <w:color w:val="000000" w:themeColor="text1"/>
          <w:lang w:val="es-MX" w:eastAsia="es-MX"/>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con el número de folio 01479/HUIXQUIL/IP/2021 </w:t>
      </w:r>
      <w:r w:rsidRPr="005B7458">
        <w:rPr>
          <w:rFonts w:ascii="Palatino Linotype" w:eastAsiaTheme="minorEastAsia" w:hAnsi="Palatino Linotype" w:cstheme="minorBidi"/>
          <w:i/>
          <w:noProof/>
          <w:color w:val="000000" w:themeColor="text1"/>
          <w:lang w:val="es-MX" w:eastAsia="es-MX"/>
        </w:rPr>
        <w:lastRenderedPageBreak/>
        <w:t xml:space="preserve">misma que a la letra dice: “Me permito solicitar de manera pacifica el dictamen que catalogo al establecimiento mercantil con la licencia 1040 como de bajo impacto. Gracias.” (sic) Sobre el particular, esta Unidad de Transparencia en ejercicio de las atribuciones que la Ley le confiere, turno su solicitud de información a la siguiente área administrativa: Dirección General de Desarrollo Económico y Empresarial, misma que manifestó lo siguiente: Dirección General de Desarrollo Económico y Empresarial: “En atención a su solicitud 01479/HUIXQUIL/IP/2021, le informo que en concordancia con los artículos 11,12,15, 20, 27, 32; la expedición de las licencias de funcionamiento y de los permisos provisionales se realizan de acuerdo a la solicitud que hagan los peticionarios. Es decir, de acuerdo a la información asentada en las solicitudes de alta o refrendo, es que se determina, qué tipo de cobro o licencia corresponde al trámite en cuestión. La licencia 1040 se sujetó a dicho procedimiento. Sin mas por el momento le envió un cordial y afectuoso saludo.”(sic), se adjuntan formatos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w:t>
      </w:r>
      <w:r w:rsidRPr="005B7458">
        <w:rPr>
          <w:rFonts w:ascii="Palatino Linotype" w:eastAsiaTheme="minorEastAsia" w:hAnsi="Palatino Linotype" w:cstheme="minorBidi"/>
          <w:i/>
          <w:noProof/>
          <w:color w:val="000000" w:themeColor="text1"/>
          <w:lang w:val="es-MX" w:eastAsia="es-MX"/>
        </w:rPr>
        <w:lastRenderedPageBreak/>
        <w:t>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577CA34E" w14:textId="77777777" w:rsidR="00C428D6" w:rsidRPr="005B7458" w:rsidRDefault="00C428D6" w:rsidP="00C428D6">
      <w:pPr>
        <w:spacing w:line="360" w:lineRule="auto"/>
        <w:ind w:left="567" w:right="567"/>
        <w:rPr>
          <w:rFonts w:ascii="Palatino Linotype" w:eastAsiaTheme="minorEastAsia" w:hAnsi="Palatino Linotype" w:cstheme="minorBidi"/>
          <w:i/>
          <w:noProof/>
          <w:color w:val="000000" w:themeColor="text1"/>
          <w:lang w:val="es-MX" w:eastAsia="es-MX"/>
        </w:rPr>
      </w:pPr>
      <w:r w:rsidRPr="005B7458">
        <w:rPr>
          <w:rFonts w:ascii="Palatino Linotype" w:eastAsiaTheme="minorEastAsia" w:hAnsi="Palatino Linotype" w:cstheme="minorBidi"/>
          <w:i/>
          <w:noProof/>
          <w:color w:val="000000" w:themeColor="text1"/>
          <w:lang w:val="es-MX" w:eastAsia="es-MX"/>
        </w:rPr>
        <w:t>ATENTAMENTE</w:t>
      </w:r>
    </w:p>
    <w:p w14:paraId="1CD10B41" w14:textId="68C0F79F" w:rsidR="00EA0165" w:rsidRPr="005B7458" w:rsidRDefault="00C428D6" w:rsidP="00C428D6">
      <w:pPr>
        <w:spacing w:line="360" w:lineRule="auto"/>
        <w:ind w:left="567" w:right="567"/>
        <w:rPr>
          <w:rFonts w:ascii="Palatino Linotype" w:eastAsiaTheme="minorEastAsia" w:hAnsi="Palatino Linotype" w:cstheme="minorBidi"/>
          <w:i/>
          <w:noProof/>
          <w:color w:val="000000" w:themeColor="text1"/>
          <w:lang w:val="es-MX" w:eastAsia="es-MX"/>
        </w:rPr>
      </w:pPr>
      <w:r w:rsidRPr="005B7458">
        <w:rPr>
          <w:rFonts w:ascii="Palatino Linotype" w:eastAsiaTheme="minorEastAsia" w:hAnsi="Palatino Linotype" w:cstheme="minorBidi"/>
          <w:i/>
          <w:noProof/>
          <w:color w:val="000000" w:themeColor="text1"/>
          <w:lang w:val="es-MX" w:eastAsia="es-MX"/>
        </w:rPr>
        <w:t>C. ULISES MAURICIO SALAZAR FRANCO</w:t>
      </w:r>
      <w:r w:rsidR="001A0598" w:rsidRPr="005B7458">
        <w:rPr>
          <w:rFonts w:ascii="Palatino Linotype" w:eastAsiaTheme="minorEastAsia" w:hAnsi="Palatino Linotype" w:cstheme="minorBidi"/>
          <w:i/>
          <w:noProof/>
          <w:color w:val="000000" w:themeColor="text1"/>
          <w:lang w:val="es-MX" w:eastAsia="es-MX"/>
        </w:rPr>
        <w:t>.” (Sic)</w:t>
      </w:r>
    </w:p>
    <w:p w14:paraId="3FD7499C" w14:textId="77777777" w:rsidR="00D01CEF" w:rsidRPr="005B7458" w:rsidRDefault="00D01CEF" w:rsidP="007D7513">
      <w:pPr>
        <w:spacing w:line="360" w:lineRule="auto"/>
        <w:ind w:left="567" w:right="567"/>
        <w:rPr>
          <w:rFonts w:ascii="Palatino Linotype" w:eastAsiaTheme="minorEastAsia" w:hAnsi="Palatino Linotype" w:cstheme="minorBidi"/>
          <w:i/>
          <w:noProof/>
          <w:color w:val="000000" w:themeColor="text1"/>
          <w:lang w:val="es-MX" w:eastAsia="es-MX"/>
        </w:rPr>
      </w:pPr>
    </w:p>
    <w:p w14:paraId="1AA97197" w14:textId="3C70D1C4" w:rsidR="00EA0165" w:rsidRPr="005B7458" w:rsidRDefault="00EA0165" w:rsidP="007D7513">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B7458">
        <w:rPr>
          <w:rFonts w:ascii="Palatino Linotype" w:eastAsiaTheme="minorEastAsia" w:hAnsi="Palatino Linotype" w:cstheme="minorBidi"/>
          <w:color w:val="000000" w:themeColor="text1"/>
          <w:lang w:val="es-ES_tradnl"/>
        </w:rPr>
        <w:t xml:space="preserve">Asimismo, el </w:t>
      </w:r>
      <w:r w:rsidRPr="005B7458">
        <w:rPr>
          <w:rFonts w:ascii="Palatino Linotype" w:eastAsiaTheme="minorEastAsia" w:hAnsi="Palatino Linotype" w:cstheme="minorBidi"/>
          <w:b/>
          <w:bCs/>
          <w:color w:val="000000" w:themeColor="text1"/>
          <w:lang w:val="es-ES_tradnl"/>
        </w:rPr>
        <w:t>SUJETO OBLIGADO</w:t>
      </w:r>
      <w:r w:rsidRPr="005B7458">
        <w:rPr>
          <w:rFonts w:ascii="Palatino Linotype" w:eastAsiaTheme="minorEastAsia" w:hAnsi="Palatino Linotype" w:cstheme="minorBidi"/>
          <w:color w:val="000000" w:themeColor="text1"/>
          <w:lang w:val="es-ES_tradnl"/>
        </w:rPr>
        <w:t xml:space="preserve"> adjuntó a su respuesta </w:t>
      </w:r>
      <w:r w:rsidR="009B5F4C" w:rsidRPr="005B7458">
        <w:rPr>
          <w:rFonts w:ascii="Palatino Linotype" w:eastAsiaTheme="minorEastAsia" w:hAnsi="Palatino Linotype" w:cstheme="minorBidi"/>
          <w:color w:val="000000" w:themeColor="text1"/>
          <w:lang w:val="es-ES_tradnl"/>
        </w:rPr>
        <w:t xml:space="preserve">los </w:t>
      </w:r>
      <w:r w:rsidR="00F11AAF" w:rsidRPr="005B7458">
        <w:rPr>
          <w:rFonts w:ascii="Palatino Linotype" w:eastAsiaTheme="minorEastAsia" w:hAnsi="Palatino Linotype" w:cstheme="minorBidi"/>
          <w:color w:val="000000" w:themeColor="text1"/>
          <w:lang w:val="es-ES_tradnl"/>
        </w:rPr>
        <w:t>archivo</w:t>
      </w:r>
      <w:r w:rsidR="009B5F4C" w:rsidRPr="005B7458">
        <w:rPr>
          <w:rFonts w:ascii="Palatino Linotype" w:eastAsiaTheme="minorEastAsia" w:hAnsi="Palatino Linotype" w:cstheme="minorBidi"/>
          <w:color w:val="000000" w:themeColor="text1"/>
          <w:lang w:val="es-ES_tradnl"/>
        </w:rPr>
        <w:t>s</w:t>
      </w:r>
      <w:r w:rsidR="00376142" w:rsidRPr="005B7458">
        <w:rPr>
          <w:rFonts w:ascii="Palatino Linotype" w:eastAsiaTheme="minorEastAsia" w:hAnsi="Palatino Linotype" w:cstheme="minorBidi"/>
          <w:color w:val="000000" w:themeColor="text1"/>
          <w:lang w:val="es-ES_tradnl"/>
        </w:rPr>
        <w:t xml:space="preserve"> </w:t>
      </w:r>
      <w:r w:rsidRPr="005B7458">
        <w:rPr>
          <w:rFonts w:ascii="Palatino Linotype" w:eastAsiaTheme="minorEastAsia" w:hAnsi="Palatino Linotype" w:cstheme="minorBidi"/>
          <w:color w:val="000000" w:themeColor="text1"/>
          <w:lang w:val="es-ES_tradnl"/>
        </w:rPr>
        <w:t>electrónico</w:t>
      </w:r>
      <w:r w:rsidR="00AE125E" w:rsidRPr="005B7458">
        <w:rPr>
          <w:rFonts w:ascii="Palatino Linotype" w:eastAsiaTheme="minorEastAsia" w:hAnsi="Palatino Linotype" w:cstheme="minorBidi"/>
          <w:color w:val="000000" w:themeColor="text1"/>
          <w:lang w:val="es-ES_tradnl"/>
        </w:rPr>
        <w:t>s</w:t>
      </w:r>
      <w:r w:rsidRPr="005B7458">
        <w:rPr>
          <w:rFonts w:ascii="Palatino Linotype" w:eastAsiaTheme="minorEastAsia" w:hAnsi="Palatino Linotype" w:cstheme="minorBidi"/>
          <w:color w:val="000000" w:themeColor="text1"/>
          <w:lang w:val="es-ES_tradnl"/>
        </w:rPr>
        <w:t xml:space="preserve"> que se describe</w:t>
      </w:r>
      <w:r w:rsidR="00BF0B64" w:rsidRPr="005B7458">
        <w:rPr>
          <w:rFonts w:ascii="Palatino Linotype" w:eastAsiaTheme="minorEastAsia" w:hAnsi="Palatino Linotype" w:cstheme="minorBidi"/>
          <w:color w:val="000000" w:themeColor="text1"/>
          <w:lang w:val="es-ES_tradnl"/>
        </w:rPr>
        <w:t>n</w:t>
      </w:r>
      <w:r w:rsidRPr="005B7458">
        <w:rPr>
          <w:rFonts w:ascii="Palatino Linotype" w:eastAsiaTheme="minorEastAsia" w:hAnsi="Palatino Linotype" w:cstheme="minorBidi"/>
          <w:color w:val="000000" w:themeColor="text1"/>
          <w:lang w:val="es-ES_tradnl"/>
        </w:rPr>
        <w:t xml:space="preserve"> a continuación:</w:t>
      </w:r>
    </w:p>
    <w:p w14:paraId="2C4ABD59" w14:textId="77777777" w:rsidR="00A3314E" w:rsidRPr="005B7458" w:rsidRDefault="00A3314E" w:rsidP="007D7513">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623EAF9A" w14:textId="6F11C68B" w:rsidR="0080388F" w:rsidRPr="005B7458" w:rsidRDefault="00C428D6" w:rsidP="00C428D6">
      <w:pPr>
        <w:pStyle w:val="Prrafodelista"/>
        <w:numPr>
          <w:ilvl w:val="0"/>
          <w:numId w:val="10"/>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r w:rsidRPr="005B7458">
        <w:rPr>
          <w:rFonts w:ascii="Palatino Linotype" w:eastAsiaTheme="minorEastAsia" w:hAnsi="Palatino Linotype" w:cstheme="minorBidi"/>
          <w:b/>
          <w:color w:val="000000" w:themeColor="text1"/>
          <w:lang w:val="es-ES_tradnl"/>
        </w:rPr>
        <w:t>transparencia.pdf</w:t>
      </w:r>
      <w:r w:rsidR="00556E99" w:rsidRPr="005B7458">
        <w:rPr>
          <w:rFonts w:ascii="Palatino Linotype" w:eastAsiaTheme="minorEastAsia" w:hAnsi="Palatino Linotype" w:cstheme="minorBidi"/>
          <w:color w:val="000000" w:themeColor="text1"/>
          <w:lang w:val="es-ES_tradnl"/>
        </w:rPr>
        <w:t>: D</w:t>
      </w:r>
      <w:r w:rsidR="00923BD9" w:rsidRPr="005B7458">
        <w:rPr>
          <w:rFonts w:ascii="Palatino Linotype" w:eastAsiaTheme="minorEastAsia" w:hAnsi="Palatino Linotype" w:cstheme="minorBidi"/>
          <w:color w:val="000000" w:themeColor="text1"/>
          <w:lang w:val="es-ES_tradnl"/>
        </w:rPr>
        <w:t xml:space="preserve">ocumento </w:t>
      </w:r>
      <w:r w:rsidRPr="005B7458">
        <w:rPr>
          <w:rFonts w:ascii="Palatino Linotype" w:eastAsiaTheme="minorEastAsia" w:hAnsi="Palatino Linotype" w:cstheme="minorBidi"/>
          <w:color w:val="000000" w:themeColor="text1"/>
          <w:lang w:val="es-ES_tradnl"/>
        </w:rPr>
        <w:t xml:space="preserve">electrónico que en una (01) hoja contiene el oficio DGDEyE/EA/020/2022 </w:t>
      </w:r>
      <w:r w:rsidR="0080388F" w:rsidRPr="005B7458">
        <w:rPr>
          <w:rFonts w:ascii="Palatino Linotype" w:eastAsiaTheme="minorEastAsia" w:hAnsi="Palatino Linotype" w:cstheme="minorBidi"/>
          <w:color w:val="000000" w:themeColor="text1"/>
          <w:lang w:val="es-ES_tradnl"/>
        </w:rPr>
        <w:t xml:space="preserve">dirigido al Titular de la Unidad </w:t>
      </w:r>
      <w:r w:rsidRPr="005B7458">
        <w:rPr>
          <w:rFonts w:ascii="Palatino Linotype" w:eastAsiaTheme="minorEastAsia" w:hAnsi="Palatino Linotype" w:cstheme="minorBidi"/>
          <w:color w:val="000000" w:themeColor="text1"/>
          <w:lang w:val="es-ES_tradnl"/>
        </w:rPr>
        <w:t xml:space="preserve">de Transparencia y </w:t>
      </w:r>
      <w:r w:rsidR="0080388F" w:rsidRPr="005B7458">
        <w:rPr>
          <w:rFonts w:ascii="Palatino Linotype" w:eastAsiaTheme="minorEastAsia" w:hAnsi="Palatino Linotype" w:cstheme="minorBidi"/>
          <w:color w:val="000000" w:themeColor="text1"/>
          <w:lang w:val="es-ES_tradnl"/>
        </w:rPr>
        <w:t xml:space="preserve">suscrito por el </w:t>
      </w:r>
      <w:r w:rsidRPr="005B7458">
        <w:rPr>
          <w:rFonts w:ascii="Palatino Linotype" w:eastAsiaTheme="minorEastAsia" w:hAnsi="Palatino Linotype" w:cstheme="minorBidi"/>
          <w:color w:val="000000" w:themeColor="text1"/>
          <w:lang w:val="es-ES_tradnl"/>
        </w:rPr>
        <w:t>Director General de Desarrollo Económico y Empresarial</w:t>
      </w:r>
      <w:r w:rsidR="0080388F" w:rsidRPr="005B7458">
        <w:rPr>
          <w:rFonts w:ascii="Palatino Linotype" w:eastAsiaTheme="minorEastAsia" w:hAnsi="Palatino Linotype" w:cstheme="minorBidi"/>
          <w:color w:val="000000" w:themeColor="text1"/>
          <w:lang w:val="es-ES_tradnl"/>
        </w:rPr>
        <w:t>, mediante el cual se refiere:</w:t>
      </w:r>
    </w:p>
    <w:p w14:paraId="21D3D247" w14:textId="77777777" w:rsidR="0080388F" w:rsidRPr="005B7458" w:rsidRDefault="0080388F" w:rsidP="007D7513">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1BC6E883" w14:textId="475EA88C" w:rsidR="00FA0A3A" w:rsidRPr="005B7458" w:rsidRDefault="0080388F" w:rsidP="00FA0A3A">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5B7458">
        <w:rPr>
          <w:rFonts w:ascii="Palatino Linotype" w:eastAsiaTheme="minorEastAsia" w:hAnsi="Palatino Linotype" w:cstheme="minorBidi"/>
          <w:color w:val="000000" w:themeColor="text1"/>
          <w:lang w:val="es-ES_tradnl"/>
        </w:rPr>
        <w:t>“</w:t>
      </w:r>
      <w:r w:rsidR="00FA0A3A" w:rsidRPr="005B7458">
        <w:rPr>
          <w:rFonts w:ascii="Palatino Linotype" w:eastAsiaTheme="minorEastAsia" w:hAnsi="Palatino Linotype" w:cstheme="minorBidi"/>
          <w:i/>
          <w:color w:val="000000" w:themeColor="text1"/>
          <w:lang w:val="es-ES_tradnl"/>
        </w:rPr>
        <w:t>… me permito informarle que en concordancia con los artículos 11, 12, 15, 20, 27, 32; la expedición de las licencias de funcionamiento y de los permisos provisionales, se realizan de acuerdo a la solicitud de que hagan los peticionarios. Es decir, de acuerdo a la información asentada en las solicitudes de alta o refrendo, es que se determina, que tipo de cobro o licencia corresponde al trámite en cuestión. En el caso de la licencia 1040 se sujetó a dicho procedimiento. “ (Sic)</w:t>
      </w:r>
    </w:p>
    <w:p w14:paraId="7132F863" w14:textId="2CBBE042" w:rsidR="00A3314E" w:rsidRPr="005B7458" w:rsidRDefault="00A3314E" w:rsidP="007D7513">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7E1D0FB0" w:rsidR="00EA0165" w:rsidRPr="005B7458" w:rsidRDefault="00EA0165" w:rsidP="007D7513">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B7458">
        <w:rPr>
          <w:rFonts w:ascii="Palatino Linotype" w:hAnsi="Palatino Linotype" w:cs="Arial"/>
          <w:color w:val="000000" w:themeColor="text1"/>
        </w:rPr>
        <w:lastRenderedPageBreak/>
        <w:t xml:space="preserve">Derivado de la respuesta emitida por el </w:t>
      </w:r>
      <w:r w:rsidRPr="005B7458">
        <w:rPr>
          <w:rFonts w:ascii="Palatino Linotype" w:hAnsi="Palatino Linotype" w:cs="Arial"/>
          <w:b/>
          <w:color w:val="000000" w:themeColor="text1"/>
        </w:rPr>
        <w:t>SUJETO OBLIGADO</w:t>
      </w:r>
      <w:r w:rsidRPr="005B7458">
        <w:rPr>
          <w:rFonts w:ascii="Palatino Linotype" w:hAnsi="Palatino Linotype" w:cs="Arial"/>
          <w:color w:val="000000" w:themeColor="text1"/>
        </w:rPr>
        <w:t>, e</w:t>
      </w:r>
      <w:r w:rsidR="00FA0A3A" w:rsidRPr="005B7458">
        <w:rPr>
          <w:rFonts w:ascii="Palatino Linotype" w:hAnsi="Palatino Linotype" w:cs="Arial"/>
          <w:color w:val="000000" w:themeColor="text1"/>
        </w:rPr>
        <w:t>l veintisiete  (27</w:t>
      </w:r>
      <w:r w:rsidR="00AB7DB9" w:rsidRPr="005B7458">
        <w:rPr>
          <w:rFonts w:ascii="Palatino Linotype" w:hAnsi="Palatino Linotype" w:cs="Arial"/>
          <w:color w:val="000000" w:themeColor="text1"/>
        </w:rPr>
        <w:t>)</w:t>
      </w:r>
      <w:r w:rsidR="00917444" w:rsidRPr="005B7458">
        <w:rPr>
          <w:rFonts w:ascii="Palatino Linotype" w:hAnsi="Palatino Linotype" w:cs="Arial"/>
          <w:color w:val="000000" w:themeColor="text1"/>
        </w:rPr>
        <w:t xml:space="preserve"> de</w:t>
      </w:r>
      <w:r w:rsidR="00FA0A3A" w:rsidRPr="005B7458">
        <w:rPr>
          <w:rFonts w:ascii="Palatino Linotype" w:hAnsi="Palatino Linotype" w:cs="Arial"/>
          <w:color w:val="000000" w:themeColor="text1"/>
        </w:rPr>
        <w:t xml:space="preserve"> enero</w:t>
      </w:r>
      <w:r w:rsidR="00917444" w:rsidRPr="005B7458">
        <w:rPr>
          <w:rFonts w:ascii="Palatino Linotype" w:hAnsi="Palatino Linotype" w:cs="Arial"/>
          <w:color w:val="000000" w:themeColor="text1"/>
        </w:rPr>
        <w:t xml:space="preserve"> d</w:t>
      </w:r>
      <w:r w:rsidR="00233D1C" w:rsidRPr="005B7458">
        <w:rPr>
          <w:rFonts w:ascii="Palatino Linotype" w:hAnsi="Palatino Linotype" w:cs="Arial"/>
          <w:color w:val="000000" w:themeColor="text1"/>
        </w:rPr>
        <w:t xml:space="preserve">e dos mil </w:t>
      </w:r>
      <w:r w:rsidRPr="005B7458">
        <w:rPr>
          <w:rFonts w:ascii="Palatino Linotype" w:hAnsi="Palatino Linotype" w:cs="Arial"/>
          <w:color w:val="000000" w:themeColor="text1"/>
        </w:rPr>
        <w:t>veinti</w:t>
      </w:r>
      <w:r w:rsidR="00FA0A3A" w:rsidRPr="005B7458">
        <w:rPr>
          <w:rFonts w:ascii="Palatino Linotype" w:hAnsi="Palatino Linotype" w:cs="Arial"/>
          <w:color w:val="000000" w:themeColor="text1"/>
        </w:rPr>
        <w:t>dós</w:t>
      </w:r>
      <w:r w:rsidRPr="005B7458">
        <w:rPr>
          <w:rFonts w:ascii="Palatino Linotype" w:hAnsi="Palatino Linotype" w:cs="Arial"/>
          <w:color w:val="000000" w:themeColor="text1"/>
        </w:rPr>
        <w:t>, el particular interpuso el recurso de revisión</w:t>
      </w:r>
      <w:r w:rsidR="00FA0A3A" w:rsidRPr="005B7458">
        <w:rPr>
          <w:rFonts w:ascii="Palatino Linotype" w:hAnsi="Palatino Linotype" w:cs="Arial"/>
          <w:color w:val="000000" w:themeColor="text1"/>
        </w:rPr>
        <w:t xml:space="preserve"> </w:t>
      </w:r>
      <w:r w:rsidR="00FA0A3A" w:rsidRPr="005B7458">
        <w:rPr>
          <w:rFonts w:ascii="Palatino Linotype" w:hAnsi="Palatino Linotype" w:cs="Arial"/>
          <w:b/>
          <w:color w:val="000000" w:themeColor="text1"/>
        </w:rPr>
        <w:t>00343/INFOEM/IP/RR/2022</w:t>
      </w:r>
      <w:r w:rsidRPr="005B7458">
        <w:rPr>
          <w:rFonts w:ascii="Palatino Linotype" w:eastAsia="Calibri" w:hAnsi="Palatino Linotype" w:cs="Arial"/>
          <w:b/>
          <w:color w:val="000000" w:themeColor="text1"/>
        </w:rPr>
        <w:t>;</w:t>
      </w:r>
      <w:r w:rsidRPr="005B7458">
        <w:rPr>
          <w:rFonts w:ascii="Palatino Linotype" w:hAnsi="Palatino Linotype" w:cs="Arial"/>
          <w:color w:val="000000" w:themeColor="text1"/>
        </w:rPr>
        <w:t xml:space="preserve"> impugnación en la que refirió lo siguiente:</w:t>
      </w:r>
    </w:p>
    <w:p w14:paraId="176F4252" w14:textId="77777777" w:rsidR="00EA0165" w:rsidRPr="005B7458" w:rsidRDefault="00EA0165" w:rsidP="007D7513">
      <w:pPr>
        <w:tabs>
          <w:tab w:val="left" w:pos="426"/>
        </w:tabs>
        <w:spacing w:line="360" w:lineRule="auto"/>
        <w:ind w:left="284"/>
        <w:contextualSpacing/>
        <w:jc w:val="both"/>
        <w:rPr>
          <w:rFonts w:ascii="Palatino Linotype" w:hAnsi="Palatino Linotype" w:cs="Arial"/>
          <w:color w:val="000000" w:themeColor="text1"/>
        </w:rPr>
      </w:pPr>
    </w:p>
    <w:p w14:paraId="224FFDC9" w14:textId="5F06012E" w:rsidR="00EA0165" w:rsidRPr="005B7458" w:rsidRDefault="00EA0165" w:rsidP="00FA0A3A">
      <w:pPr>
        <w:numPr>
          <w:ilvl w:val="0"/>
          <w:numId w:val="1"/>
        </w:numPr>
        <w:tabs>
          <w:tab w:val="left" w:pos="426"/>
          <w:tab w:val="left" w:pos="567"/>
        </w:tabs>
        <w:spacing w:line="360" w:lineRule="auto"/>
        <w:ind w:left="567" w:right="616" w:firstLine="0"/>
        <w:contextualSpacing/>
        <w:jc w:val="both"/>
        <w:rPr>
          <w:rFonts w:ascii="Palatino Linotype" w:hAnsi="Palatino Linotype" w:cs="Arial"/>
          <w:color w:val="000000" w:themeColor="text1"/>
        </w:rPr>
      </w:pPr>
      <w:r w:rsidRPr="005B7458">
        <w:rPr>
          <w:rFonts w:ascii="Palatino Linotype" w:hAnsi="Palatino Linotype" w:cs="Arial"/>
          <w:b/>
          <w:color w:val="000000" w:themeColor="text1"/>
        </w:rPr>
        <w:t>Acto impugnado:</w:t>
      </w:r>
      <w:r w:rsidRPr="005B7458">
        <w:rPr>
          <w:rFonts w:ascii="Palatino Linotype" w:hAnsi="Palatino Linotype" w:cs="Arial"/>
          <w:color w:val="000000" w:themeColor="text1"/>
        </w:rPr>
        <w:t xml:space="preserve"> </w:t>
      </w:r>
      <w:r w:rsidRPr="005B7458">
        <w:rPr>
          <w:rFonts w:ascii="Palatino Linotype" w:hAnsi="Palatino Linotype" w:cs="Arial"/>
          <w:i/>
          <w:color w:val="000000" w:themeColor="text1"/>
        </w:rPr>
        <w:t>“</w:t>
      </w:r>
      <w:r w:rsidR="00FA0A3A" w:rsidRPr="005B7458">
        <w:rPr>
          <w:rFonts w:ascii="Palatino Linotype" w:hAnsi="Palatino Linotype" w:cs="Arial"/>
          <w:i/>
          <w:color w:val="000000" w:themeColor="text1"/>
        </w:rPr>
        <w:t>LA FALTA DE LA INFORMACIÓN SOLICITADA (dictamen técnico que considera de bajo impacto el NEGOCIO DENOMINADO JARDÍN DE EVENTOS AGUA BENDITA...LICENCIA DE FUNCIONAMIENTO 1040.)</w:t>
      </w:r>
      <w:r w:rsidR="00AB7DB9" w:rsidRPr="005B7458">
        <w:rPr>
          <w:rFonts w:ascii="Palatino Linotype" w:hAnsi="Palatino Linotype" w:cs="Arial"/>
          <w:i/>
          <w:color w:val="000000" w:themeColor="text1"/>
        </w:rPr>
        <w:t>.”</w:t>
      </w:r>
      <w:r w:rsidRPr="005B7458">
        <w:rPr>
          <w:rFonts w:ascii="Palatino Linotype" w:hAnsi="Palatino Linotype" w:cs="Arial"/>
          <w:color w:val="000000" w:themeColor="text1"/>
        </w:rPr>
        <w:t>(Sic).</w:t>
      </w:r>
    </w:p>
    <w:p w14:paraId="71C7D21F" w14:textId="77777777" w:rsidR="00EA0165" w:rsidRPr="005B7458" w:rsidRDefault="00EA0165" w:rsidP="007D7513">
      <w:pPr>
        <w:tabs>
          <w:tab w:val="left" w:pos="0"/>
        </w:tabs>
        <w:spacing w:line="360" w:lineRule="auto"/>
        <w:ind w:left="567" w:right="616"/>
        <w:contextualSpacing/>
        <w:jc w:val="both"/>
        <w:rPr>
          <w:rFonts w:ascii="Palatino Linotype" w:hAnsi="Palatino Linotype" w:cs="Arial"/>
          <w:color w:val="000000" w:themeColor="text1"/>
        </w:rPr>
      </w:pPr>
    </w:p>
    <w:p w14:paraId="16E57192" w14:textId="4E7625C3" w:rsidR="00EA0165" w:rsidRPr="005B7458" w:rsidRDefault="00EA0165" w:rsidP="00FA0A3A">
      <w:pPr>
        <w:numPr>
          <w:ilvl w:val="0"/>
          <w:numId w:val="1"/>
        </w:numPr>
        <w:tabs>
          <w:tab w:val="left" w:pos="0"/>
        </w:tabs>
        <w:spacing w:line="360" w:lineRule="auto"/>
        <w:ind w:left="709" w:right="616" w:hanging="142"/>
        <w:contextualSpacing/>
        <w:jc w:val="both"/>
        <w:rPr>
          <w:rFonts w:ascii="Palatino Linotype" w:hAnsi="Palatino Linotype" w:cs="Arial"/>
          <w:color w:val="000000" w:themeColor="text1"/>
        </w:rPr>
      </w:pPr>
      <w:r w:rsidRPr="005B7458">
        <w:rPr>
          <w:rFonts w:ascii="Palatino Linotype" w:hAnsi="Palatino Linotype" w:cs="Arial"/>
          <w:b/>
          <w:color w:val="000000" w:themeColor="text1"/>
        </w:rPr>
        <w:t>Razones o motivos de inconformidad:</w:t>
      </w:r>
      <w:r w:rsidRPr="005B7458">
        <w:rPr>
          <w:rFonts w:ascii="Palatino Linotype" w:hAnsi="Palatino Linotype" w:cs="Arial"/>
          <w:color w:val="000000" w:themeColor="text1"/>
        </w:rPr>
        <w:t xml:space="preserve"> </w:t>
      </w:r>
      <w:r w:rsidRPr="005B7458">
        <w:rPr>
          <w:rFonts w:ascii="Palatino Linotype" w:hAnsi="Palatino Linotype" w:cs="Arial"/>
          <w:i/>
          <w:color w:val="000000" w:themeColor="text1"/>
        </w:rPr>
        <w:t>“</w:t>
      </w:r>
      <w:r w:rsidR="00FA0A3A" w:rsidRPr="005B7458">
        <w:rPr>
          <w:rFonts w:ascii="Palatino Linotype" w:hAnsi="Palatino Linotype" w:cs="Arial"/>
          <w:i/>
          <w:color w:val="000000" w:themeColor="text1"/>
        </w:rPr>
        <w:t>Fue solicitado el DICTAMEN técnico por el cual se considero otorgar la LICENCIA 1040 como un giro de BAJO IMPACTO, toda vez que esa licencia fue otorgada a un negocio denominado JARDÍN DE EVENTOS AGUA BENDITA, el cual no es un giro considerado de BAJO IMPACTO, por lo que es de interés conocer las razones que llevaron a considerarlo como BAJO IMPACTO, eso independientemente de lo manifestado por el solicitante, porque es responsabilidad de la AUTORIDAD verificar lo manifestado por el solicitante.</w:t>
      </w:r>
      <w:r w:rsidR="00AB7DB9" w:rsidRPr="005B7458">
        <w:rPr>
          <w:rFonts w:ascii="Palatino Linotype" w:hAnsi="Palatino Linotype" w:cs="Arial"/>
          <w:i/>
          <w:color w:val="000000" w:themeColor="text1"/>
        </w:rPr>
        <w:t>.</w:t>
      </w:r>
      <w:r w:rsidRPr="005B7458">
        <w:rPr>
          <w:rFonts w:ascii="Palatino Linotype" w:hAnsi="Palatino Linotype" w:cs="Arial"/>
          <w:i/>
          <w:color w:val="000000" w:themeColor="text1"/>
        </w:rPr>
        <w:t xml:space="preserve">” </w:t>
      </w:r>
      <w:r w:rsidRPr="005B7458">
        <w:rPr>
          <w:rFonts w:ascii="Palatino Linotype" w:hAnsi="Palatino Linotype" w:cs="Arial"/>
          <w:color w:val="000000" w:themeColor="text1"/>
        </w:rPr>
        <w:t>(Sic).</w:t>
      </w:r>
    </w:p>
    <w:p w14:paraId="552C6645" w14:textId="77777777" w:rsidR="001B234C" w:rsidRPr="005B7458" w:rsidRDefault="001B234C" w:rsidP="007D7513">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5B7458" w:rsidRDefault="00EA0165" w:rsidP="007D751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B7458">
        <w:rPr>
          <w:rFonts w:ascii="Palatino Linotype" w:hAnsi="Palatino Linotype" w:cs="Arial"/>
          <w:color w:val="000000" w:themeColor="text1"/>
        </w:rPr>
        <w:t xml:space="preserve">Se registró el recurso de revisión bajo el número de expediente </w:t>
      </w:r>
      <w:r w:rsidRPr="005B7458">
        <w:rPr>
          <w:rFonts w:ascii="Palatino Linotype" w:eastAsiaTheme="minorEastAsia" w:hAnsi="Palatino Linotype" w:cs="Arial"/>
          <w:bCs/>
          <w:color w:val="000000" w:themeColor="text1"/>
          <w:lang w:val="es-ES_tradnl"/>
        </w:rPr>
        <w:t xml:space="preserve">al rubro indicado, asimismo, con fundamento en lo dispuesto por el </w:t>
      </w:r>
      <w:r w:rsidRPr="005B7458">
        <w:rPr>
          <w:rFonts w:ascii="Palatino Linotype" w:eastAsia="Calibri" w:hAnsi="Palatino Linotype" w:cs="Arial"/>
          <w:color w:val="000000" w:themeColor="text1"/>
        </w:rPr>
        <w:t xml:space="preserve">artículo 185 fracción I de la </w:t>
      </w:r>
      <w:r w:rsidRPr="005B7458">
        <w:rPr>
          <w:rFonts w:ascii="Palatino Linotype" w:eastAsia="Calibri" w:hAnsi="Palatino Linotype" w:cs="Arial"/>
          <w:b/>
          <w:color w:val="000000" w:themeColor="text1"/>
        </w:rPr>
        <w:t xml:space="preserve">Ley de Transparencia y Acceso a la Información Pública del Estado de México y Municipios </w:t>
      </w:r>
      <w:r w:rsidR="005E6282" w:rsidRPr="005B7458">
        <w:rPr>
          <w:rFonts w:ascii="Palatino Linotype" w:hAnsi="Palatino Linotype" w:cs="Arial"/>
          <w:color w:val="000000" w:themeColor="text1"/>
        </w:rPr>
        <w:t>se turnó a</w:t>
      </w:r>
      <w:r w:rsidR="00351568" w:rsidRPr="005B7458">
        <w:rPr>
          <w:rFonts w:ascii="Palatino Linotype" w:hAnsi="Palatino Linotype" w:cs="Arial"/>
          <w:color w:val="000000" w:themeColor="text1"/>
        </w:rPr>
        <w:t xml:space="preserve"> la </w:t>
      </w:r>
      <w:r w:rsidR="00E3149E" w:rsidRPr="005B7458">
        <w:rPr>
          <w:rFonts w:ascii="Palatino Linotype" w:hAnsi="Palatino Linotype" w:cs="Arial"/>
          <w:b/>
          <w:color w:val="000000" w:themeColor="text1"/>
        </w:rPr>
        <w:t>C</w:t>
      </w:r>
      <w:r w:rsidR="00351568" w:rsidRPr="005B7458">
        <w:rPr>
          <w:rFonts w:ascii="Palatino Linotype" w:hAnsi="Palatino Linotype" w:cs="Arial"/>
          <w:b/>
          <w:color w:val="000000" w:themeColor="text1"/>
        </w:rPr>
        <w:t>omisionada María del Rosario Mejía Ayala</w:t>
      </w:r>
      <w:r w:rsidRPr="005B7458">
        <w:rPr>
          <w:rFonts w:ascii="Palatino Linotype" w:hAnsi="Palatino Linotype" w:cs="Arial"/>
          <w:b/>
          <w:color w:val="000000" w:themeColor="text1"/>
        </w:rPr>
        <w:t xml:space="preserve">, </w:t>
      </w:r>
      <w:r w:rsidRPr="005B7458">
        <w:rPr>
          <w:rFonts w:ascii="Palatino Linotype" w:hAnsi="Palatino Linotype" w:cs="Arial"/>
          <w:color w:val="000000" w:themeColor="text1"/>
        </w:rPr>
        <w:t xml:space="preserve">con el objeto de </w:t>
      </w:r>
      <w:r w:rsidRPr="005B7458">
        <w:rPr>
          <w:rFonts w:ascii="Palatino Linotype" w:hAnsi="Palatino Linotype" w:cs="Arial"/>
          <w:color w:val="000000" w:themeColor="text1"/>
          <w:lang w:val="es-MX"/>
        </w:rPr>
        <w:t>su análisis.</w:t>
      </w:r>
    </w:p>
    <w:p w14:paraId="49F28BD1" w14:textId="77777777" w:rsidR="00EA0165" w:rsidRPr="005B7458" w:rsidRDefault="00EA0165" w:rsidP="007D7513">
      <w:pPr>
        <w:tabs>
          <w:tab w:val="left" w:pos="426"/>
        </w:tabs>
        <w:spacing w:line="360" w:lineRule="auto"/>
        <w:contextualSpacing/>
        <w:jc w:val="both"/>
        <w:rPr>
          <w:rFonts w:ascii="Palatino Linotype" w:eastAsia="Calibri" w:hAnsi="Palatino Linotype" w:cs="Arial"/>
          <w:color w:val="000000" w:themeColor="text1"/>
        </w:rPr>
      </w:pPr>
    </w:p>
    <w:p w14:paraId="78EABB65" w14:textId="102044A0" w:rsidR="00EA0165" w:rsidRPr="005B7458" w:rsidRDefault="00351568" w:rsidP="007D751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B7458">
        <w:rPr>
          <w:rFonts w:ascii="Palatino Linotype" w:hAnsi="Palatino Linotype" w:cs="Arial"/>
          <w:color w:val="000000" w:themeColor="text1"/>
        </w:rPr>
        <w:lastRenderedPageBreak/>
        <w:t xml:space="preserve">La </w:t>
      </w:r>
      <w:r w:rsidRPr="005B7458">
        <w:rPr>
          <w:rFonts w:ascii="Palatino Linotype" w:hAnsi="Palatino Linotype" w:cs="Arial"/>
          <w:b/>
          <w:color w:val="000000" w:themeColor="text1"/>
        </w:rPr>
        <w:t>Comisionada María del Rosario Mejía Ayala</w:t>
      </w:r>
      <w:r w:rsidR="00EA0165" w:rsidRPr="005B7458">
        <w:rPr>
          <w:rFonts w:ascii="Palatino Linotype" w:eastAsia="Calibri" w:hAnsi="Palatino Linotype" w:cs="Arial"/>
          <w:color w:val="000000" w:themeColor="text1"/>
        </w:rPr>
        <w:t>, con fundamento en lo dispuesto por el artículo 185 fracción II de la ley de la materia, a t</w:t>
      </w:r>
      <w:r w:rsidR="007A237F" w:rsidRPr="005B7458">
        <w:rPr>
          <w:rFonts w:ascii="Palatino Linotype" w:eastAsia="Calibri" w:hAnsi="Palatino Linotype" w:cs="Arial"/>
          <w:color w:val="000000" w:themeColor="text1"/>
        </w:rPr>
        <w:t xml:space="preserve">ravés del </w:t>
      </w:r>
      <w:r w:rsidR="00FA0A3A" w:rsidRPr="005B7458">
        <w:rPr>
          <w:rFonts w:ascii="Palatino Linotype" w:eastAsia="Calibri" w:hAnsi="Palatino Linotype" w:cs="Arial"/>
          <w:color w:val="000000" w:themeColor="text1"/>
        </w:rPr>
        <w:t>acuerdo de admisión de uno</w:t>
      </w:r>
      <w:r w:rsidR="008426D8" w:rsidRPr="005B7458">
        <w:rPr>
          <w:rFonts w:ascii="Palatino Linotype" w:eastAsia="Calibri" w:hAnsi="Palatino Linotype" w:cs="Arial"/>
          <w:color w:val="000000" w:themeColor="text1"/>
        </w:rPr>
        <w:t xml:space="preserve"> </w:t>
      </w:r>
      <w:r w:rsidR="00EA0165" w:rsidRPr="005B7458">
        <w:rPr>
          <w:rFonts w:ascii="Palatino Linotype" w:eastAsia="Calibri" w:hAnsi="Palatino Linotype" w:cs="Arial"/>
          <w:color w:val="000000" w:themeColor="text1"/>
        </w:rPr>
        <w:t>(</w:t>
      </w:r>
      <w:r w:rsidR="00FA0A3A" w:rsidRPr="005B7458">
        <w:rPr>
          <w:rFonts w:ascii="Palatino Linotype" w:eastAsia="Calibri" w:hAnsi="Palatino Linotype" w:cs="Arial"/>
          <w:color w:val="000000" w:themeColor="text1"/>
        </w:rPr>
        <w:t>01</w:t>
      </w:r>
      <w:r w:rsidR="00EA0165" w:rsidRPr="005B7458">
        <w:rPr>
          <w:rFonts w:ascii="Palatino Linotype" w:eastAsia="Calibri" w:hAnsi="Palatino Linotype" w:cs="Arial"/>
          <w:color w:val="000000" w:themeColor="text1"/>
        </w:rPr>
        <w:t>) de</w:t>
      </w:r>
      <w:r w:rsidR="00FA0A3A" w:rsidRPr="005B7458">
        <w:rPr>
          <w:rFonts w:ascii="Palatino Linotype" w:eastAsia="Calibri" w:hAnsi="Palatino Linotype" w:cs="Arial"/>
          <w:color w:val="000000" w:themeColor="text1"/>
        </w:rPr>
        <w:t xml:space="preserve"> febrero de dos mil veintidós</w:t>
      </w:r>
      <w:r w:rsidR="00EA0165" w:rsidRPr="005B7458">
        <w:rPr>
          <w:rFonts w:ascii="Palatino Linotype" w:eastAsia="Calibri" w:hAnsi="Palatino Linotype" w:cs="Arial"/>
          <w:color w:val="000000" w:themeColor="text1"/>
        </w:rPr>
        <w:t xml:space="preserve">, puso a disposición de las partes el expediente electrónico </w:t>
      </w:r>
      <w:r w:rsidR="00EA0165" w:rsidRPr="005B7458">
        <w:rPr>
          <w:rFonts w:ascii="Palatino Linotype" w:eastAsia="Calibri" w:hAnsi="Palatino Linotype" w:cs="Arial"/>
          <w:color w:val="000000" w:themeColor="text1"/>
          <w:lang w:val="es-ES_tradnl"/>
        </w:rPr>
        <w:t xml:space="preserve">vía </w:t>
      </w:r>
      <w:r w:rsidR="00EA0165" w:rsidRPr="005B7458">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5B7458">
        <w:rPr>
          <w:rFonts w:ascii="Palatino Linotype" w:eastAsia="Calibri" w:hAnsi="Palatino Linotype" w:cs="Arial"/>
          <w:b/>
          <w:color w:val="000000" w:themeColor="text1"/>
        </w:rPr>
        <w:t>SUJETO OBLIGADO</w:t>
      </w:r>
      <w:r w:rsidR="00EA0165" w:rsidRPr="005B7458">
        <w:rPr>
          <w:rFonts w:ascii="Palatino Linotype" w:eastAsia="Calibri" w:hAnsi="Palatino Linotype" w:cs="Arial"/>
          <w:color w:val="000000" w:themeColor="text1"/>
        </w:rPr>
        <w:t xml:space="preserve"> presentara el</w:t>
      </w:r>
      <w:r w:rsidR="00266490" w:rsidRPr="005B7458">
        <w:rPr>
          <w:rFonts w:ascii="Palatino Linotype" w:eastAsia="Calibri" w:hAnsi="Palatino Linotype" w:cs="Arial"/>
          <w:color w:val="000000" w:themeColor="text1"/>
        </w:rPr>
        <w:t xml:space="preserve"> </w:t>
      </w:r>
      <w:r w:rsidR="00D75922" w:rsidRPr="005B7458">
        <w:rPr>
          <w:rFonts w:ascii="Palatino Linotype" w:eastAsia="Calibri" w:hAnsi="Palatino Linotype" w:cs="Arial"/>
          <w:color w:val="000000" w:themeColor="text1"/>
        </w:rPr>
        <w:t>informe justificado procedente.</w:t>
      </w:r>
    </w:p>
    <w:p w14:paraId="069466D8" w14:textId="77777777" w:rsidR="001B234C" w:rsidRPr="005B7458" w:rsidRDefault="001B234C" w:rsidP="007D7513">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05AB312E" w14:textId="5C39D71A" w:rsidR="00D75922" w:rsidRPr="005B7458" w:rsidRDefault="00C83B36" w:rsidP="007D751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B7458">
        <w:rPr>
          <w:rFonts w:ascii="Palatino Linotype" w:eastAsia="Calibri" w:hAnsi="Palatino Linotype" w:cs="Arial"/>
          <w:color w:val="000000" w:themeColor="text1"/>
        </w:rPr>
        <w:t>En fecha</w:t>
      </w:r>
      <w:r w:rsidR="003F045C" w:rsidRPr="005B7458">
        <w:rPr>
          <w:rFonts w:ascii="Palatino Linotype" w:eastAsia="Calibri" w:hAnsi="Palatino Linotype" w:cs="Arial"/>
          <w:color w:val="000000" w:themeColor="text1"/>
        </w:rPr>
        <w:t>s</w:t>
      </w:r>
      <w:r w:rsidRPr="005B7458">
        <w:rPr>
          <w:rFonts w:ascii="Palatino Linotype" w:eastAsia="Calibri" w:hAnsi="Palatino Linotype" w:cs="Arial"/>
          <w:color w:val="000000" w:themeColor="text1"/>
        </w:rPr>
        <w:t xml:space="preserve"> </w:t>
      </w:r>
      <w:r w:rsidR="00FA0A3A" w:rsidRPr="005B7458">
        <w:rPr>
          <w:rFonts w:ascii="Palatino Linotype" w:eastAsia="Calibri" w:hAnsi="Palatino Linotype" w:cs="Arial"/>
          <w:color w:val="000000" w:themeColor="text1"/>
        </w:rPr>
        <w:t>catorce (14</w:t>
      </w:r>
      <w:r w:rsidR="00D75922" w:rsidRPr="005B7458">
        <w:rPr>
          <w:rFonts w:ascii="Palatino Linotype" w:eastAsia="Calibri" w:hAnsi="Palatino Linotype" w:cs="Arial"/>
          <w:color w:val="000000" w:themeColor="text1"/>
        </w:rPr>
        <w:t xml:space="preserve">) </w:t>
      </w:r>
      <w:r w:rsidR="003F045C" w:rsidRPr="005B7458">
        <w:rPr>
          <w:rFonts w:ascii="Palatino Linotype" w:eastAsia="Calibri" w:hAnsi="Palatino Linotype" w:cs="Arial"/>
          <w:color w:val="000000" w:themeColor="text1"/>
        </w:rPr>
        <w:t xml:space="preserve">y quince (15) </w:t>
      </w:r>
      <w:r w:rsidR="00D75922" w:rsidRPr="005B7458">
        <w:rPr>
          <w:rFonts w:ascii="Palatino Linotype" w:eastAsia="Calibri" w:hAnsi="Palatino Linotype" w:cs="Arial"/>
          <w:color w:val="000000" w:themeColor="text1"/>
        </w:rPr>
        <w:t>de</w:t>
      </w:r>
      <w:r w:rsidR="00FA0A3A" w:rsidRPr="005B7458">
        <w:rPr>
          <w:rFonts w:ascii="Palatino Linotype" w:eastAsia="Calibri" w:hAnsi="Palatino Linotype" w:cs="Arial"/>
          <w:color w:val="000000" w:themeColor="text1"/>
        </w:rPr>
        <w:t xml:space="preserve"> febrero</w:t>
      </w:r>
      <w:r w:rsidR="007A237F" w:rsidRPr="005B7458">
        <w:rPr>
          <w:rFonts w:ascii="Palatino Linotype" w:eastAsia="Calibri" w:hAnsi="Palatino Linotype" w:cs="Arial"/>
          <w:color w:val="000000" w:themeColor="text1"/>
        </w:rPr>
        <w:t xml:space="preserve"> </w:t>
      </w:r>
      <w:r w:rsidR="00FA0A3A" w:rsidRPr="005B7458">
        <w:rPr>
          <w:rFonts w:ascii="Palatino Linotype" w:eastAsia="Calibri" w:hAnsi="Palatino Linotype" w:cs="Arial"/>
          <w:color w:val="000000" w:themeColor="text1"/>
        </w:rPr>
        <w:t>de dos mil veintidós</w:t>
      </w:r>
      <w:r w:rsidR="00D75922" w:rsidRPr="005B7458">
        <w:rPr>
          <w:rFonts w:ascii="Palatino Linotype" w:eastAsia="Calibri" w:hAnsi="Palatino Linotype" w:cs="Arial"/>
          <w:color w:val="000000" w:themeColor="text1"/>
        </w:rPr>
        <w:t xml:space="preserve"> el </w:t>
      </w:r>
      <w:r w:rsidR="00D75922" w:rsidRPr="005B7458">
        <w:rPr>
          <w:rFonts w:ascii="Palatino Linotype" w:eastAsia="Calibri" w:hAnsi="Palatino Linotype" w:cs="Arial"/>
          <w:b/>
          <w:color w:val="000000" w:themeColor="text1"/>
        </w:rPr>
        <w:t xml:space="preserve">SUJETO OBLIGADO </w:t>
      </w:r>
      <w:r w:rsidR="007A237F" w:rsidRPr="005B7458">
        <w:rPr>
          <w:rFonts w:ascii="Palatino Linotype" w:eastAsia="Calibri" w:hAnsi="Palatino Linotype" w:cs="Arial"/>
          <w:color w:val="000000" w:themeColor="text1"/>
        </w:rPr>
        <w:t xml:space="preserve">realizó entrega de </w:t>
      </w:r>
      <w:r w:rsidR="00FA0A3A" w:rsidRPr="005B7458">
        <w:rPr>
          <w:rFonts w:ascii="Palatino Linotype" w:eastAsia="Calibri" w:hAnsi="Palatino Linotype" w:cs="Arial"/>
          <w:color w:val="000000" w:themeColor="text1"/>
        </w:rPr>
        <w:t xml:space="preserve">diversos </w:t>
      </w:r>
      <w:r w:rsidR="007A237F" w:rsidRPr="005B7458">
        <w:rPr>
          <w:rFonts w:ascii="Palatino Linotype" w:eastAsia="Calibri" w:hAnsi="Palatino Linotype" w:cs="Arial"/>
          <w:color w:val="000000" w:themeColor="text1"/>
        </w:rPr>
        <w:t>un</w:t>
      </w:r>
      <w:r w:rsidR="00663F26" w:rsidRPr="005B7458">
        <w:rPr>
          <w:rFonts w:ascii="Palatino Linotype" w:eastAsia="Calibri" w:hAnsi="Palatino Linotype" w:cs="Arial"/>
          <w:color w:val="000000" w:themeColor="text1"/>
        </w:rPr>
        <w:t xml:space="preserve"> </w:t>
      </w:r>
      <w:r w:rsidR="00EC5949" w:rsidRPr="005B7458">
        <w:rPr>
          <w:rFonts w:ascii="Palatino Linotype" w:eastAsia="Calibri" w:hAnsi="Palatino Linotype" w:cs="Arial"/>
          <w:color w:val="000000" w:themeColor="text1"/>
        </w:rPr>
        <w:t>documento</w:t>
      </w:r>
      <w:r w:rsidR="00FA0A3A" w:rsidRPr="005B7458">
        <w:rPr>
          <w:rFonts w:ascii="Palatino Linotype" w:eastAsia="Calibri" w:hAnsi="Palatino Linotype" w:cs="Arial"/>
          <w:color w:val="000000" w:themeColor="text1"/>
        </w:rPr>
        <w:t>s</w:t>
      </w:r>
      <w:r w:rsidR="00D75922" w:rsidRPr="005B7458">
        <w:rPr>
          <w:rFonts w:ascii="Palatino Linotype" w:eastAsia="Calibri" w:hAnsi="Palatino Linotype" w:cs="Arial"/>
          <w:color w:val="000000" w:themeColor="text1"/>
        </w:rPr>
        <w:t xml:space="preserve"> en calidad de in</w:t>
      </w:r>
      <w:r w:rsidR="00BF0B64" w:rsidRPr="005B7458">
        <w:rPr>
          <w:rFonts w:ascii="Palatino Linotype" w:eastAsia="Calibri" w:hAnsi="Palatino Linotype" w:cs="Arial"/>
          <w:color w:val="000000" w:themeColor="text1"/>
        </w:rPr>
        <w:t>forme justificado, mismo</w:t>
      </w:r>
      <w:r w:rsidR="00FA0A3A" w:rsidRPr="005B7458">
        <w:rPr>
          <w:rFonts w:ascii="Palatino Linotype" w:eastAsia="Calibri" w:hAnsi="Palatino Linotype" w:cs="Arial"/>
          <w:color w:val="000000" w:themeColor="text1"/>
        </w:rPr>
        <w:t>s</w:t>
      </w:r>
      <w:r w:rsidRPr="005B7458">
        <w:rPr>
          <w:rFonts w:ascii="Palatino Linotype" w:eastAsia="Calibri" w:hAnsi="Palatino Linotype" w:cs="Arial"/>
          <w:color w:val="000000" w:themeColor="text1"/>
        </w:rPr>
        <w:t xml:space="preserve"> que </w:t>
      </w:r>
      <w:r w:rsidR="00FA0A3A" w:rsidRPr="005B7458">
        <w:rPr>
          <w:rFonts w:ascii="Palatino Linotype" w:eastAsia="Calibri" w:hAnsi="Palatino Linotype" w:cs="Arial"/>
          <w:color w:val="000000" w:themeColor="text1"/>
        </w:rPr>
        <w:t>se hicieron</w:t>
      </w:r>
      <w:r w:rsidR="00D75922" w:rsidRPr="005B7458">
        <w:rPr>
          <w:rFonts w:ascii="Palatino Linotype" w:eastAsia="Calibri" w:hAnsi="Palatino Linotype" w:cs="Arial"/>
          <w:color w:val="000000" w:themeColor="text1"/>
        </w:rPr>
        <w:t xml:space="preserve"> de conocimiento </w:t>
      </w:r>
      <w:r w:rsidR="006E2585" w:rsidRPr="005B7458">
        <w:rPr>
          <w:rFonts w:ascii="Palatino Linotype" w:eastAsia="Calibri" w:hAnsi="Palatino Linotype" w:cs="Arial"/>
          <w:color w:val="000000" w:themeColor="text1"/>
        </w:rPr>
        <w:t xml:space="preserve">del Recurrente </w:t>
      </w:r>
      <w:r w:rsidR="00EC5949" w:rsidRPr="005B7458">
        <w:rPr>
          <w:rFonts w:ascii="Palatino Linotype" w:eastAsia="Calibri" w:hAnsi="Palatino Linotype" w:cs="Arial"/>
          <w:color w:val="000000" w:themeColor="text1"/>
        </w:rPr>
        <w:t>medi</w:t>
      </w:r>
      <w:r w:rsidR="00CE515F" w:rsidRPr="005B7458">
        <w:rPr>
          <w:rFonts w:ascii="Palatino Linotype" w:eastAsia="Calibri" w:hAnsi="Palatino Linotype" w:cs="Arial"/>
          <w:color w:val="000000" w:themeColor="text1"/>
        </w:rPr>
        <w:t>ante acuerdo de fecha</w:t>
      </w:r>
      <w:r w:rsidR="007A237F" w:rsidRPr="005B7458">
        <w:rPr>
          <w:rFonts w:ascii="Palatino Linotype" w:eastAsia="Calibri" w:hAnsi="Palatino Linotype" w:cs="Arial"/>
          <w:color w:val="000000" w:themeColor="text1"/>
        </w:rPr>
        <w:t xml:space="preserve"> </w:t>
      </w:r>
      <w:r w:rsidR="00FA0A3A" w:rsidRPr="005B7458">
        <w:rPr>
          <w:rFonts w:ascii="Palatino Linotype" w:eastAsia="Calibri" w:hAnsi="Palatino Linotype" w:cs="Arial"/>
          <w:color w:val="000000" w:themeColor="text1"/>
        </w:rPr>
        <w:t>diez (10</w:t>
      </w:r>
      <w:r w:rsidR="00003CF3" w:rsidRPr="005B7458">
        <w:rPr>
          <w:rFonts w:ascii="Palatino Linotype" w:eastAsia="Calibri" w:hAnsi="Palatino Linotype" w:cs="Arial"/>
          <w:color w:val="000000" w:themeColor="text1"/>
        </w:rPr>
        <w:t>) de marzo</w:t>
      </w:r>
      <w:r w:rsidR="007A237F" w:rsidRPr="005B7458">
        <w:rPr>
          <w:rFonts w:ascii="Palatino Linotype" w:eastAsia="Calibri" w:hAnsi="Palatino Linotype" w:cs="Arial"/>
          <w:color w:val="000000" w:themeColor="text1"/>
        </w:rPr>
        <w:t xml:space="preserve"> de dos mil veintidós</w:t>
      </w:r>
      <w:r w:rsidR="00C24F5E" w:rsidRPr="005B7458">
        <w:rPr>
          <w:rFonts w:ascii="Palatino Linotype" w:eastAsia="Calibri" w:hAnsi="Palatino Linotype" w:cs="Arial"/>
          <w:color w:val="000000" w:themeColor="text1"/>
        </w:rPr>
        <w:t>, no obstante</w:t>
      </w:r>
      <w:r w:rsidR="009C61F1" w:rsidRPr="005B7458">
        <w:rPr>
          <w:rFonts w:ascii="Palatino Linotype" w:eastAsia="Calibri" w:hAnsi="Palatino Linotype" w:cs="Arial"/>
          <w:color w:val="000000" w:themeColor="text1"/>
        </w:rPr>
        <w:t xml:space="preserve">, </w:t>
      </w:r>
      <w:r w:rsidR="006B497B" w:rsidRPr="005B7458">
        <w:rPr>
          <w:rFonts w:ascii="Palatino Linotype" w:eastAsia="Calibri" w:hAnsi="Palatino Linotype" w:cs="Arial"/>
          <w:color w:val="000000" w:themeColor="text1"/>
        </w:rPr>
        <w:t>y afecto de que</w:t>
      </w:r>
      <w:r w:rsidR="00BF0B64" w:rsidRPr="005B7458">
        <w:rPr>
          <w:rFonts w:ascii="Palatino Linotype" w:eastAsia="Calibri" w:hAnsi="Palatino Linotype" w:cs="Arial"/>
          <w:color w:val="000000" w:themeColor="text1"/>
        </w:rPr>
        <w:t xml:space="preserve"> no exista opacidad se describe</w:t>
      </w:r>
      <w:r w:rsidR="006B497B" w:rsidRPr="005B7458">
        <w:rPr>
          <w:rFonts w:ascii="Palatino Linotype" w:eastAsia="Calibri" w:hAnsi="Palatino Linotype" w:cs="Arial"/>
          <w:color w:val="000000" w:themeColor="text1"/>
        </w:rPr>
        <w:t xml:space="preserve"> a continuación: </w:t>
      </w:r>
    </w:p>
    <w:p w14:paraId="08AF98DE" w14:textId="77777777" w:rsidR="000B4571" w:rsidRPr="005B7458" w:rsidRDefault="000B4571" w:rsidP="007D7513">
      <w:pPr>
        <w:pStyle w:val="Prrafodelista"/>
        <w:spacing w:line="360" w:lineRule="auto"/>
        <w:ind w:left="567" w:right="616"/>
        <w:rPr>
          <w:rFonts w:ascii="Palatino Linotype" w:eastAsia="Calibri" w:hAnsi="Palatino Linotype" w:cs="Arial"/>
          <w:b/>
          <w:color w:val="000000" w:themeColor="text1"/>
        </w:rPr>
      </w:pPr>
    </w:p>
    <w:p w14:paraId="3D8209DB" w14:textId="5F4D6B2E" w:rsidR="00E42EB2" w:rsidRPr="005B7458" w:rsidRDefault="007A237F" w:rsidP="007D7513">
      <w:pPr>
        <w:pStyle w:val="Prrafodelista"/>
        <w:numPr>
          <w:ilvl w:val="0"/>
          <w:numId w:val="4"/>
        </w:numPr>
        <w:tabs>
          <w:tab w:val="left" w:pos="284"/>
        </w:tabs>
        <w:spacing w:line="360" w:lineRule="auto"/>
        <w:ind w:left="284" w:right="616" w:firstLine="0"/>
        <w:contextualSpacing/>
        <w:jc w:val="both"/>
        <w:rPr>
          <w:rFonts w:ascii="Palatino Linotype" w:eastAsia="Calibri" w:hAnsi="Palatino Linotype" w:cs="Arial"/>
          <w:b/>
          <w:color w:val="000000" w:themeColor="text1"/>
        </w:rPr>
      </w:pPr>
      <w:r w:rsidRPr="005B7458">
        <w:rPr>
          <w:rFonts w:ascii="Palatino Linotype" w:eastAsia="Calibri" w:hAnsi="Palatino Linotype" w:cs="Arial"/>
          <w:b/>
        </w:rPr>
        <w:t>i</w:t>
      </w:r>
      <w:hyperlink r:id="rId8" w:history="1">
        <w:r w:rsidRPr="005B7458">
          <w:rPr>
            <w:rStyle w:val="Hipervnculo"/>
            <w:rFonts w:ascii="Palatino Linotype" w:eastAsia="Calibri" w:hAnsi="Palatino Linotype" w:cs="Arial"/>
            <w:b/>
            <w:bCs/>
            <w:color w:val="auto"/>
            <w:u w:val="none"/>
          </w:rPr>
          <w:t>nforme Justificado 118-2021.pdf</w:t>
        </w:r>
      </w:hyperlink>
      <w:r w:rsidR="00CE515F" w:rsidRPr="005B7458">
        <w:rPr>
          <w:rFonts w:ascii="Palatino Linotype" w:eastAsia="Calibri" w:hAnsi="Palatino Linotype" w:cs="Arial"/>
          <w:b/>
          <w:color w:val="000000" w:themeColor="text1"/>
        </w:rPr>
        <w:t xml:space="preserve">: </w:t>
      </w:r>
      <w:r w:rsidR="00E05DED" w:rsidRPr="005B7458">
        <w:rPr>
          <w:rFonts w:ascii="Palatino Linotype" w:eastAsia="Calibri" w:hAnsi="Palatino Linotype" w:cs="Arial"/>
          <w:color w:val="000000" w:themeColor="text1"/>
        </w:rPr>
        <w:t>D</w:t>
      </w:r>
      <w:r w:rsidRPr="005B7458">
        <w:rPr>
          <w:rFonts w:ascii="Palatino Linotype" w:eastAsia="Calibri" w:hAnsi="Palatino Linotype" w:cs="Arial"/>
          <w:color w:val="000000" w:themeColor="text1"/>
        </w:rPr>
        <w:t>ocumento electrónico que en siete (07</w:t>
      </w:r>
      <w:r w:rsidR="00EC5949" w:rsidRPr="005B7458">
        <w:rPr>
          <w:rFonts w:ascii="Palatino Linotype" w:eastAsia="Calibri" w:hAnsi="Palatino Linotype" w:cs="Arial"/>
          <w:color w:val="000000" w:themeColor="text1"/>
        </w:rPr>
        <w:t xml:space="preserve">) hojas </w:t>
      </w:r>
      <w:r w:rsidR="00F05E09" w:rsidRPr="005B7458">
        <w:rPr>
          <w:rFonts w:ascii="Palatino Linotype" w:eastAsia="Calibri" w:hAnsi="Palatino Linotype" w:cs="Arial"/>
          <w:color w:val="000000" w:themeColor="text1"/>
        </w:rPr>
        <w:t>contiene el</w:t>
      </w:r>
      <w:r w:rsidR="00E05DED" w:rsidRPr="005B7458">
        <w:rPr>
          <w:rFonts w:ascii="Palatino Linotype" w:eastAsia="Calibri" w:hAnsi="Palatino Linotype" w:cs="Arial"/>
          <w:color w:val="000000" w:themeColor="text1"/>
        </w:rPr>
        <w:t xml:space="preserve"> </w:t>
      </w:r>
      <w:r w:rsidR="00CE515F" w:rsidRPr="005B7458">
        <w:rPr>
          <w:rFonts w:ascii="Palatino Linotype" w:eastAsia="Calibri" w:hAnsi="Palatino Linotype" w:cs="Arial"/>
          <w:color w:val="000000" w:themeColor="text1"/>
        </w:rPr>
        <w:t>Informe Justificado dirigido a la Comisionada María del Rosari</w:t>
      </w:r>
      <w:r w:rsidRPr="005B7458">
        <w:rPr>
          <w:rFonts w:ascii="Palatino Linotype" w:eastAsia="Calibri" w:hAnsi="Palatino Linotype" w:cs="Arial"/>
          <w:color w:val="000000" w:themeColor="text1"/>
        </w:rPr>
        <w:t>o Mejía Ayala, y suscrito por la Titular de la Unidad de Información Planeación, Programación y Evaluación</w:t>
      </w:r>
      <w:r w:rsidR="00CE515F" w:rsidRPr="005B7458">
        <w:rPr>
          <w:rFonts w:ascii="Palatino Linotype" w:eastAsia="Calibri" w:hAnsi="Palatino Linotype" w:cs="Arial"/>
          <w:color w:val="000000" w:themeColor="text1"/>
        </w:rPr>
        <w:t xml:space="preserve">, mediante el cual medialmente se confirma la respuesta y </w:t>
      </w:r>
      <w:r w:rsidR="00E42EB2" w:rsidRPr="005B7458">
        <w:rPr>
          <w:rFonts w:ascii="Palatino Linotype" w:eastAsia="Calibri" w:hAnsi="Palatino Linotype" w:cs="Arial"/>
          <w:color w:val="000000" w:themeColor="text1"/>
        </w:rPr>
        <w:t>contiene:</w:t>
      </w:r>
    </w:p>
    <w:p w14:paraId="3815A0D9" w14:textId="77777777" w:rsidR="00E42EB2" w:rsidRPr="005B7458" w:rsidRDefault="00E42EB2" w:rsidP="007D7513">
      <w:pPr>
        <w:pStyle w:val="Prrafodelista"/>
        <w:tabs>
          <w:tab w:val="left" w:pos="284"/>
        </w:tabs>
        <w:spacing w:line="360" w:lineRule="auto"/>
        <w:ind w:left="284" w:right="616"/>
        <w:contextualSpacing/>
        <w:jc w:val="both"/>
        <w:rPr>
          <w:rFonts w:ascii="Palatino Linotype" w:eastAsia="Calibri" w:hAnsi="Palatino Linotype" w:cs="Arial"/>
          <w:b/>
          <w:color w:val="000000" w:themeColor="text1"/>
        </w:rPr>
      </w:pPr>
    </w:p>
    <w:p w14:paraId="5B112992" w14:textId="77777777" w:rsidR="00E42EB2" w:rsidRPr="005B7458" w:rsidRDefault="00E42EB2" w:rsidP="007D7513">
      <w:pPr>
        <w:tabs>
          <w:tab w:val="left" w:pos="284"/>
        </w:tabs>
        <w:spacing w:line="360" w:lineRule="auto"/>
        <w:ind w:right="616"/>
        <w:contextualSpacing/>
        <w:jc w:val="both"/>
        <w:rPr>
          <w:rFonts w:ascii="Palatino Linotype" w:eastAsia="Calibri" w:hAnsi="Palatino Linotype" w:cs="Arial"/>
          <w:b/>
          <w:color w:val="000000" w:themeColor="text1"/>
        </w:rPr>
      </w:pPr>
    </w:p>
    <w:p w14:paraId="6869F150" w14:textId="4B2F0B73" w:rsidR="00E42EB2" w:rsidRPr="005B7458" w:rsidRDefault="00A87032" w:rsidP="00FA0A3A">
      <w:pPr>
        <w:pStyle w:val="Prrafodelista"/>
        <w:numPr>
          <w:ilvl w:val="0"/>
          <w:numId w:val="4"/>
        </w:numPr>
        <w:tabs>
          <w:tab w:val="left" w:pos="284"/>
        </w:tabs>
        <w:spacing w:line="360" w:lineRule="auto"/>
        <w:ind w:right="616"/>
        <w:contextualSpacing/>
        <w:jc w:val="both"/>
        <w:rPr>
          <w:rFonts w:ascii="Palatino Linotype" w:eastAsia="Calibri" w:hAnsi="Palatino Linotype" w:cs="Arial"/>
          <w:color w:val="000000" w:themeColor="text1"/>
        </w:rPr>
      </w:pPr>
      <w:hyperlink r:id="rId9" w:history="1">
        <w:r w:rsidR="00FA0A3A" w:rsidRPr="005B7458">
          <w:rPr>
            <w:rStyle w:val="Hipervnculo"/>
            <w:rFonts w:ascii="Palatino Linotype" w:eastAsia="Calibri" w:hAnsi="Palatino Linotype" w:cs="Arial"/>
            <w:b/>
            <w:bCs/>
            <w:color w:val="000000" w:themeColor="text1"/>
            <w:u w:val="none"/>
          </w:rPr>
          <w:t>20220214165404767.pdf</w:t>
        </w:r>
      </w:hyperlink>
      <w:r w:rsidR="00CA509B" w:rsidRPr="005B7458">
        <w:rPr>
          <w:rFonts w:ascii="Palatino Linotype" w:eastAsia="Calibri" w:hAnsi="Palatino Linotype" w:cs="Arial"/>
          <w:color w:val="000000" w:themeColor="text1"/>
        </w:rPr>
        <w:t xml:space="preserve"> y </w:t>
      </w:r>
      <w:hyperlink r:id="rId10" w:history="1">
        <w:r w:rsidR="00CA509B" w:rsidRPr="005B7458">
          <w:rPr>
            <w:rStyle w:val="Hipervnculo"/>
            <w:rFonts w:ascii="Palatino Linotype" w:eastAsia="Calibri" w:hAnsi="Palatino Linotype" w:cs="Arial"/>
            <w:b/>
            <w:bCs/>
            <w:color w:val="000000" w:themeColor="text1"/>
            <w:u w:val="none"/>
          </w:rPr>
          <w:t>RR 00343.pdf</w:t>
        </w:r>
      </w:hyperlink>
      <w:r w:rsidR="00FA0A3A" w:rsidRPr="005B7458">
        <w:rPr>
          <w:rFonts w:ascii="Palatino Linotype" w:eastAsia="Calibri" w:hAnsi="Palatino Linotype" w:cs="Arial"/>
          <w:color w:val="000000" w:themeColor="text1"/>
        </w:rPr>
        <w:t>: Documento</w:t>
      </w:r>
      <w:r w:rsidR="00CA509B" w:rsidRPr="005B7458">
        <w:rPr>
          <w:rFonts w:ascii="Palatino Linotype" w:eastAsia="Calibri" w:hAnsi="Palatino Linotype" w:cs="Arial"/>
          <w:color w:val="000000" w:themeColor="text1"/>
        </w:rPr>
        <w:t>s</w:t>
      </w:r>
      <w:r w:rsidR="00FA0A3A" w:rsidRPr="005B7458">
        <w:rPr>
          <w:rFonts w:ascii="Palatino Linotype" w:eastAsia="Calibri" w:hAnsi="Palatino Linotype" w:cs="Arial"/>
          <w:color w:val="000000" w:themeColor="text1"/>
        </w:rPr>
        <w:t xml:space="preserve"> electrónico que en una (01) hoja contiene</w:t>
      </w:r>
      <w:r w:rsidR="00CA509B" w:rsidRPr="005B7458">
        <w:rPr>
          <w:rFonts w:ascii="Palatino Linotype" w:eastAsia="Calibri" w:hAnsi="Palatino Linotype" w:cs="Arial"/>
          <w:color w:val="000000" w:themeColor="text1"/>
        </w:rPr>
        <w:t>n, respectivamente,</w:t>
      </w:r>
      <w:r w:rsidR="00FA0A3A" w:rsidRPr="005B7458">
        <w:rPr>
          <w:rFonts w:ascii="Palatino Linotype" w:eastAsia="Calibri" w:hAnsi="Palatino Linotype" w:cs="Arial"/>
          <w:color w:val="000000" w:themeColor="text1"/>
        </w:rPr>
        <w:t xml:space="preserve"> el oficio DGDEyE/EA/039/2022 dirigido a al Titular </w:t>
      </w:r>
      <w:r w:rsidR="00E42EB2" w:rsidRPr="005B7458">
        <w:rPr>
          <w:rFonts w:ascii="Palatino Linotype" w:eastAsia="Calibri" w:hAnsi="Palatino Linotype" w:cs="Arial"/>
          <w:color w:val="000000" w:themeColor="text1"/>
        </w:rPr>
        <w:t xml:space="preserve">de la Unidad </w:t>
      </w:r>
      <w:r w:rsidR="00FA0A3A" w:rsidRPr="005B7458">
        <w:rPr>
          <w:rFonts w:ascii="Palatino Linotype" w:eastAsia="Calibri" w:hAnsi="Palatino Linotype" w:cs="Arial"/>
          <w:color w:val="000000" w:themeColor="text1"/>
        </w:rPr>
        <w:t xml:space="preserve">Transparencia </w:t>
      </w:r>
      <w:r w:rsidR="00FA0A3A" w:rsidRPr="005B7458">
        <w:rPr>
          <w:rFonts w:ascii="Palatino Linotype" w:eastAsia="Calibri" w:hAnsi="Palatino Linotype" w:cs="Arial"/>
          <w:color w:val="000000" w:themeColor="text1"/>
        </w:rPr>
        <w:lastRenderedPageBreak/>
        <w:t xml:space="preserve">y suscrito por el Director de Desarrollo Económico y Empresarial, </w:t>
      </w:r>
      <w:r w:rsidR="00E42EB2" w:rsidRPr="005B7458">
        <w:rPr>
          <w:rFonts w:ascii="Palatino Linotype" w:eastAsia="Calibri" w:hAnsi="Palatino Linotype" w:cs="Arial"/>
          <w:color w:val="000000" w:themeColor="text1"/>
        </w:rPr>
        <w:t>mediante el cual se refiere que:</w:t>
      </w:r>
    </w:p>
    <w:p w14:paraId="2DFC76E7" w14:textId="77777777" w:rsidR="00E42EB2" w:rsidRPr="005B7458" w:rsidRDefault="00E42EB2" w:rsidP="007D7513">
      <w:pPr>
        <w:pStyle w:val="Prrafodelista"/>
        <w:tabs>
          <w:tab w:val="left" w:pos="284"/>
        </w:tabs>
        <w:spacing w:line="360" w:lineRule="auto"/>
        <w:ind w:left="927" w:right="616"/>
        <w:contextualSpacing/>
        <w:jc w:val="both"/>
        <w:rPr>
          <w:rFonts w:ascii="Palatino Linotype" w:eastAsia="Calibri" w:hAnsi="Palatino Linotype" w:cs="Arial"/>
          <w:color w:val="000000" w:themeColor="text1"/>
        </w:rPr>
      </w:pPr>
    </w:p>
    <w:p w14:paraId="5D1ED773" w14:textId="31116B35" w:rsidR="00CA509B" w:rsidRPr="005B7458" w:rsidRDefault="00440BFF" w:rsidP="007D7513">
      <w:pPr>
        <w:pStyle w:val="Prrafodelista"/>
        <w:tabs>
          <w:tab w:val="left" w:pos="284"/>
        </w:tabs>
        <w:spacing w:line="360" w:lineRule="auto"/>
        <w:ind w:left="927" w:right="616"/>
        <w:contextualSpacing/>
        <w:jc w:val="both"/>
        <w:rPr>
          <w:rFonts w:ascii="Palatino Linotype" w:eastAsia="Calibri" w:hAnsi="Palatino Linotype" w:cs="Arial"/>
          <w:i/>
        </w:rPr>
      </w:pPr>
      <w:r w:rsidRPr="005B7458">
        <w:rPr>
          <w:rFonts w:ascii="Palatino Linotype" w:eastAsia="Calibri" w:hAnsi="Palatino Linotype" w:cs="Arial"/>
          <w:i/>
        </w:rPr>
        <w:t>“</w:t>
      </w:r>
      <w:r w:rsidR="00E42EB2" w:rsidRPr="005B7458">
        <w:rPr>
          <w:rFonts w:ascii="Palatino Linotype" w:eastAsia="Calibri" w:hAnsi="Palatino Linotype" w:cs="Arial"/>
          <w:i/>
        </w:rPr>
        <w:t xml:space="preserve">… </w:t>
      </w:r>
      <w:r w:rsidR="00CA509B" w:rsidRPr="005B7458">
        <w:rPr>
          <w:rFonts w:ascii="Palatino Linotype" w:eastAsia="Calibri" w:hAnsi="Palatino Linotype" w:cs="Arial"/>
          <w:i/>
        </w:rPr>
        <w:t>la expedición de licencias de funcionamiento y de los permisos provisionales se realizarán de acuerdo a la solicitud que hagan los peticionarios, es decir, de acuerdo a la información asentada en las solicitudes de alta o refrendo, es que se determina que tipo de cobro o licencia corresponde al trámite en cuestión. La licencia 1040 se sujetó a dicho procedimiento y en vista de que solicitó una licencia sin venta de bebidas alcohólicas el copeo es que se otorgó la misma y no con base en algún catálogo de giros como presupone el solicitante.”</w:t>
      </w:r>
    </w:p>
    <w:p w14:paraId="13F2A835" w14:textId="77777777" w:rsidR="00CA509B" w:rsidRPr="005B7458" w:rsidRDefault="00CA509B" w:rsidP="005E01B6">
      <w:pPr>
        <w:tabs>
          <w:tab w:val="left" w:pos="284"/>
        </w:tabs>
        <w:spacing w:line="360" w:lineRule="auto"/>
        <w:ind w:right="616"/>
        <w:contextualSpacing/>
        <w:jc w:val="both"/>
        <w:rPr>
          <w:rFonts w:ascii="Palatino Linotype" w:eastAsia="Calibri" w:hAnsi="Palatino Linotype" w:cs="Arial"/>
          <w:b/>
          <w:i/>
        </w:rPr>
      </w:pPr>
    </w:p>
    <w:p w14:paraId="088217A0" w14:textId="77777777" w:rsidR="00CA509B" w:rsidRPr="005B7458" w:rsidRDefault="00CA509B" w:rsidP="00CA509B">
      <w:pPr>
        <w:pStyle w:val="Prrafodelista"/>
        <w:numPr>
          <w:ilvl w:val="0"/>
          <w:numId w:val="4"/>
        </w:numPr>
        <w:tabs>
          <w:tab w:val="left" w:pos="284"/>
        </w:tabs>
        <w:spacing w:line="360" w:lineRule="auto"/>
        <w:ind w:right="616"/>
        <w:contextualSpacing/>
        <w:jc w:val="both"/>
        <w:rPr>
          <w:rFonts w:ascii="Palatino Linotype" w:eastAsia="Calibri" w:hAnsi="Palatino Linotype" w:cs="Arial"/>
          <w:b/>
          <w:i/>
        </w:rPr>
      </w:pPr>
      <w:r w:rsidRPr="005B7458">
        <w:rPr>
          <w:rFonts w:ascii="Palatino Linotype" w:eastAsia="Calibri" w:hAnsi="Palatino Linotype" w:cs="Arial"/>
          <w:color w:val="000000" w:themeColor="text1"/>
        </w:rPr>
        <w:tab/>
      </w:r>
      <w:r w:rsidRPr="005B7458">
        <w:rPr>
          <w:rFonts w:ascii="Palatino Linotype" w:eastAsia="Calibri" w:hAnsi="Palatino Linotype" w:cs="Arial"/>
          <w:b/>
          <w:color w:val="000000" w:themeColor="text1"/>
        </w:rPr>
        <w:t>INFORME JUSTIFICADO RR 00343 2022.pdf</w:t>
      </w:r>
      <w:r w:rsidRPr="005B7458">
        <w:rPr>
          <w:rFonts w:ascii="Palatino Linotype" w:eastAsia="Calibri" w:hAnsi="Palatino Linotype" w:cs="Arial"/>
          <w:color w:val="000000" w:themeColor="text1"/>
        </w:rPr>
        <w:t xml:space="preserve">: Documento electrónico que en tres  (03) hojas contiene el Informe Justificado dirigido a la Comisionada María del Rosario Mejía Ayala y suscrito por el Titular de la Unidad de Transparencia, mediante el cual se refiere que se emitió respuesta por el área con facultades para otorgarla. </w:t>
      </w:r>
    </w:p>
    <w:p w14:paraId="4F76E64C" w14:textId="77777777" w:rsidR="00CA509B" w:rsidRPr="005B7458" w:rsidRDefault="00CA509B" w:rsidP="00CA509B">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bookmarkStart w:id="5" w:name="_Toc461555889"/>
      <w:bookmarkStart w:id="6" w:name="_Toc466371858"/>
    </w:p>
    <w:p w14:paraId="7D15F30F" w14:textId="681C4A3D" w:rsidR="00A47AE2" w:rsidRPr="005B7458" w:rsidRDefault="00A47AE2" w:rsidP="007D7513">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5B7458">
        <w:rPr>
          <w:rFonts w:ascii="Palatino Linotype" w:eastAsiaTheme="minorEastAsia" w:hAnsi="Palatino Linotype" w:cstheme="minorBidi"/>
          <w:color w:val="000000" w:themeColor="text1"/>
          <w:lang w:val="es-ES_tradnl"/>
        </w:rPr>
        <w:t>Así las cosas, la</w:t>
      </w:r>
      <w:r w:rsidRPr="005B7458">
        <w:rPr>
          <w:rFonts w:ascii="Palatino Linotype" w:eastAsiaTheme="minorEastAsia" w:hAnsi="Palatino Linotype" w:cstheme="minorBidi"/>
          <w:b/>
          <w:color w:val="000000" w:themeColor="text1"/>
          <w:lang w:val="es-ES_tradnl"/>
        </w:rPr>
        <w:t xml:space="preserve"> Comisionada María del Rosario Mejía Ayala</w:t>
      </w:r>
      <w:r w:rsidRPr="005B7458">
        <w:rPr>
          <w:rFonts w:ascii="Palatino Linotype" w:eastAsiaTheme="minorEastAsia" w:hAnsi="Palatino Linotype" w:cstheme="minorBidi"/>
          <w:color w:val="000000" w:themeColor="text1"/>
          <w:lang w:val="es-ES_tradnl"/>
        </w:rPr>
        <w:t xml:space="preserve"> decretó el cierre de instrucción </w:t>
      </w:r>
      <w:r w:rsidR="00CA509B" w:rsidRPr="005B7458">
        <w:rPr>
          <w:rFonts w:ascii="Palatino Linotype" w:eastAsiaTheme="minorEastAsia" w:hAnsi="Palatino Linotype" w:cstheme="minorBidi"/>
          <w:color w:val="000000" w:themeColor="text1"/>
          <w:lang w:val="es-ES_tradnl"/>
        </w:rPr>
        <w:t xml:space="preserve">mediante acuerdo de fecha </w:t>
      </w:r>
      <w:r w:rsidR="005E01B6" w:rsidRPr="005B7458">
        <w:rPr>
          <w:rFonts w:ascii="Palatino Linotype" w:eastAsiaTheme="minorEastAsia" w:hAnsi="Palatino Linotype" w:cstheme="minorBidi"/>
          <w:color w:val="000000" w:themeColor="text1"/>
          <w:lang w:val="es-ES_tradnl"/>
        </w:rPr>
        <w:t>(16</w:t>
      </w:r>
      <w:r w:rsidRPr="005B7458">
        <w:rPr>
          <w:rFonts w:ascii="Palatino Linotype" w:eastAsiaTheme="minorEastAsia" w:hAnsi="Palatino Linotype" w:cstheme="minorBidi"/>
          <w:color w:val="000000" w:themeColor="text1"/>
          <w:lang w:val="es-ES_tradnl"/>
        </w:rPr>
        <w:t xml:space="preserve">) de marzo de dos mil veintidós. </w:t>
      </w:r>
    </w:p>
    <w:p w14:paraId="1A06EC63" w14:textId="5F16CF07" w:rsidR="0028674A" w:rsidRPr="005B7458" w:rsidRDefault="0028674A" w:rsidP="007D7513">
      <w:pPr>
        <w:spacing w:line="360" w:lineRule="auto"/>
        <w:rPr>
          <w:rFonts w:ascii="Palatino Linotype" w:hAnsi="Palatino Linotype"/>
          <w:lang w:val="es-MX" w:eastAsia="en-US"/>
        </w:rPr>
      </w:pPr>
      <w:bookmarkStart w:id="7" w:name="_Toc68804758"/>
    </w:p>
    <w:p w14:paraId="494F97AD" w14:textId="77777777" w:rsidR="00EA0165" w:rsidRPr="005B7458" w:rsidRDefault="00EA0165" w:rsidP="007D7513">
      <w:pPr>
        <w:pStyle w:val="Ttulo1"/>
        <w:spacing w:line="360" w:lineRule="auto"/>
        <w:jc w:val="center"/>
        <w:rPr>
          <w:rFonts w:ascii="Palatino Linotype" w:hAnsi="Palatino Linotype"/>
          <w:b/>
          <w:color w:val="000000" w:themeColor="text1"/>
          <w:sz w:val="24"/>
          <w:szCs w:val="24"/>
          <w:lang w:val="es-MX" w:eastAsia="en-US"/>
        </w:rPr>
      </w:pPr>
      <w:bookmarkStart w:id="8" w:name="_Toc97826083"/>
      <w:r w:rsidRPr="005B7458">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5B7458" w:rsidRDefault="00EA0165" w:rsidP="007D7513">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5B7458" w:rsidRDefault="00EA0165" w:rsidP="007D7513">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97826084"/>
      <w:r w:rsidRPr="005B7458">
        <w:rPr>
          <w:rFonts w:ascii="Palatino Linotype" w:hAnsi="Palatino Linotype"/>
          <w:b/>
          <w:color w:val="000000" w:themeColor="text1"/>
          <w:sz w:val="24"/>
          <w:szCs w:val="24"/>
          <w:lang w:val="es-MX" w:eastAsia="en-US"/>
        </w:rPr>
        <w:lastRenderedPageBreak/>
        <w:t>PRIMERO. De la competencia</w:t>
      </w:r>
      <w:bookmarkEnd w:id="9"/>
      <w:bookmarkEnd w:id="10"/>
      <w:bookmarkEnd w:id="11"/>
      <w:r w:rsidR="00537427" w:rsidRPr="005B7458">
        <w:rPr>
          <w:rFonts w:ascii="Palatino Linotype" w:hAnsi="Palatino Linotype"/>
          <w:b/>
          <w:color w:val="000000" w:themeColor="text1"/>
          <w:sz w:val="24"/>
          <w:szCs w:val="24"/>
          <w:lang w:val="es-MX" w:eastAsia="en-US"/>
        </w:rPr>
        <w:t>.</w:t>
      </w:r>
      <w:bookmarkEnd w:id="12"/>
    </w:p>
    <w:p w14:paraId="341F67EC" w14:textId="77777777" w:rsidR="00EA0165" w:rsidRPr="005B7458" w:rsidRDefault="00EA0165" w:rsidP="007D7513">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5B7458" w:rsidRDefault="00EA0165" w:rsidP="007D7513">
      <w:pPr>
        <w:pStyle w:val="Prrafodelista"/>
        <w:numPr>
          <w:ilvl w:val="0"/>
          <w:numId w:val="38"/>
        </w:numPr>
        <w:tabs>
          <w:tab w:val="left" w:pos="0"/>
        </w:tabs>
        <w:spacing w:after="160" w:line="360" w:lineRule="auto"/>
        <w:ind w:left="0" w:hanging="11"/>
        <w:contextualSpacing/>
        <w:jc w:val="both"/>
        <w:rPr>
          <w:rFonts w:ascii="Palatino Linotype" w:eastAsia="MS Mincho" w:hAnsi="Palatino Linotype"/>
          <w:lang w:val="es-ES_tradnl"/>
        </w:rPr>
      </w:pPr>
      <w:r w:rsidRPr="005B7458">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B7458">
        <w:rPr>
          <w:rFonts w:ascii="Palatino Linotype" w:eastAsia="Calibri" w:hAnsi="Palatino Linotype"/>
          <w:b/>
        </w:rPr>
        <w:t>Constitución Política de los Estados Unidos Mexicanos</w:t>
      </w:r>
      <w:r w:rsidRPr="005B7458">
        <w:rPr>
          <w:rFonts w:ascii="Palatino Linotype" w:eastAsia="Calibri" w:hAnsi="Palatino Linotype"/>
        </w:rPr>
        <w:t xml:space="preserve">; </w:t>
      </w:r>
      <w:r w:rsidRPr="005B7458">
        <w:rPr>
          <w:rFonts w:ascii="Palatino Linotype" w:eastAsia="Calibri" w:hAnsi="Palatino Linotype" w:cs="Arial"/>
          <w:bCs/>
          <w:color w:val="222222"/>
          <w:shd w:val="clear" w:color="auto" w:fill="FFFFFF"/>
          <w:lang w:eastAsia="en-US"/>
        </w:rPr>
        <w:t>5, párrafo</w:t>
      </w:r>
      <w:r w:rsidR="00543BF9" w:rsidRPr="005B7458">
        <w:rPr>
          <w:rFonts w:ascii="Palatino Linotype" w:eastAsia="Calibri" w:hAnsi="Palatino Linotype"/>
          <w:lang w:val="es-MX" w:eastAsia="en-US"/>
        </w:rPr>
        <w:t xml:space="preserve"> trigésimo, trigésimo primero y trigésimo segundo, fracciones I, II, III, IV y V</w:t>
      </w:r>
      <w:r w:rsidR="00543BF9" w:rsidRPr="005B7458">
        <w:rPr>
          <w:rFonts w:ascii="Palatino Linotype" w:eastAsia="MS Mincho" w:hAnsi="Palatino Linotype"/>
          <w:lang w:val="es-ES_tradnl"/>
        </w:rPr>
        <w:t xml:space="preserve"> </w:t>
      </w:r>
      <w:r w:rsidRPr="005B7458">
        <w:rPr>
          <w:rFonts w:ascii="Palatino Linotype" w:eastAsia="Calibri" w:hAnsi="Palatino Linotype"/>
        </w:rPr>
        <w:t xml:space="preserve">de la </w:t>
      </w:r>
      <w:r w:rsidRPr="005B7458">
        <w:rPr>
          <w:rFonts w:ascii="Palatino Linotype" w:eastAsia="Calibri" w:hAnsi="Palatino Linotype"/>
          <w:b/>
        </w:rPr>
        <w:t>Constitución Política del Estado Libre y Soberano de México</w:t>
      </w:r>
      <w:r w:rsidRPr="005B7458">
        <w:rPr>
          <w:rFonts w:ascii="Palatino Linotype" w:eastAsia="Calibri" w:hAnsi="Palatino Linotype"/>
        </w:rPr>
        <w:t xml:space="preserve">; artículos 1, 2 fracción II, 13, 29, 36 fracciones I y II, 176, 178, 179, 181 párrafo tercero y 185 </w:t>
      </w:r>
      <w:r w:rsidRPr="005B7458">
        <w:rPr>
          <w:rFonts w:ascii="Palatino Linotype" w:eastAsia="Calibri" w:hAnsi="Palatino Linotype" w:cs="Arial"/>
        </w:rPr>
        <w:t xml:space="preserve">de la </w:t>
      </w:r>
      <w:r w:rsidRPr="005B7458">
        <w:rPr>
          <w:rFonts w:ascii="Palatino Linotype" w:eastAsia="Calibri" w:hAnsi="Palatino Linotype" w:cs="Arial"/>
          <w:b/>
        </w:rPr>
        <w:t>Ley de Transparencia y Acceso a la Información Pública del Estado de México y Municipios</w:t>
      </w:r>
      <w:r w:rsidRPr="005B7458">
        <w:rPr>
          <w:rFonts w:ascii="Palatino Linotype" w:eastAsia="Calibri" w:hAnsi="Palatino Linotype" w:cs="Arial"/>
        </w:rPr>
        <w:t xml:space="preserve">; </w:t>
      </w:r>
      <w:r w:rsidRPr="005B7458">
        <w:rPr>
          <w:rFonts w:ascii="Palatino Linotype" w:eastAsia="Calibri" w:hAnsi="Palatino Linotype" w:cs="Arial"/>
          <w:b/>
        </w:rPr>
        <w:t>7, 9 fracciones I y XXIV, y 11</w:t>
      </w:r>
      <w:r w:rsidRPr="005B7458">
        <w:rPr>
          <w:rFonts w:ascii="Palatino Linotype" w:eastAsia="Calibri" w:hAnsi="Palatino Linotype" w:cs="Arial"/>
        </w:rPr>
        <w:t xml:space="preserve"> del </w:t>
      </w:r>
      <w:r w:rsidRPr="005B7458">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5B7458">
        <w:rPr>
          <w:rFonts w:ascii="Palatino Linotype" w:eastAsia="Calibri" w:hAnsi="Palatino Linotype" w:cs="Arial"/>
          <w:b/>
        </w:rPr>
        <w:t>.</w:t>
      </w:r>
    </w:p>
    <w:p w14:paraId="343B0FCF" w14:textId="413622B7" w:rsidR="00EA0165" w:rsidRPr="005B7458" w:rsidRDefault="00EA0165" w:rsidP="007D7513">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97826085"/>
      <w:r w:rsidRPr="005B7458">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5B7458" w:rsidRDefault="00EA0165" w:rsidP="007D7513">
      <w:pPr>
        <w:pStyle w:val="Ttulo1"/>
        <w:spacing w:line="360" w:lineRule="auto"/>
        <w:rPr>
          <w:rFonts w:ascii="Palatino Linotype" w:hAnsi="Palatino Linotype"/>
          <w:b/>
          <w:color w:val="000000" w:themeColor="text1"/>
          <w:sz w:val="24"/>
          <w:szCs w:val="24"/>
          <w:lang w:val="es-MX" w:eastAsia="en-US"/>
        </w:rPr>
      </w:pPr>
      <w:bookmarkStart w:id="17" w:name="_Toc67587985"/>
      <w:bookmarkStart w:id="18" w:name="_Toc68804761"/>
      <w:bookmarkStart w:id="19" w:name="_Toc97826086"/>
      <w:r w:rsidRPr="005B7458">
        <w:rPr>
          <w:rFonts w:ascii="Palatino Linotype" w:hAnsi="Palatino Linotype"/>
          <w:b/>
          <w:color w:val="000000" w:themeColor="text1"/>
          <w:sz w:val="24"/>
          <w:szCs w:val="24"/>
          <w:lang w:val="es-MX" w:eastAsia="en-US"/>
        </w:rPr>
        <w:t>I. De la interposición del recurso.</w:t>
      </w:r>
      <w:bookmarkEnd w:id="17"/>
      <w:bookmarkEnd w:id="18"/>
      <w:bookmarkEnd w:id="19"/>
      <w:r w:rsidRPr="005B7458">
        <w:rPr>
          <w:rFonts w:ascii="Palatino Linotype" w:hAnsi="Palatino Linotype"/>
          <w:b/>
          <w:color w:val="000000" w:themeColor="text1"/>
          <w:sz w:val="24"/>
          <w:szCs w:val="24"/>
          <w:lang w:val="es-MX" w:eastAsia="en-US"/>
        </w:rPr>
        <w:t xml:space="preserve"> </w:t>
      </w:r>
    </w:p>
    <w:p w14:paraId="489BB18C" w14:textId="77777777" w:rsidR="00EA0165" w:rsidRPr="005B7458" w:rsidRDefault="00EA0165" w:rsidP="007D7513">
      <w:pPr>
        <w:keepNext/>
        <w:keepLines/>
        <w:tabs>
          <w:tab w:val="left" w:pos="0"/>
        </w:tabs>
        <w:spacing w:line="360" w:lineRule="auto"/>
        <w:contextualSpacing/>
        <w:outlineLvl w:val="0"/>
        <w:rPr>
          <w:rFonts w:ascii="Palatino Linotype" w:eastAsia="MS Gothic" w:hAnsi="Palatino Linotype"/>
          <w:b/>
          <w:lang w:val="es-MX" w:eastAsia="en-US"/>
        </w:rPr>
      </w:pPr>
    </w:p>
    <w:p w14:paraId="1B758BB3" w14:textId="42662980" w:rsidR="008C4188" w:rsidRPr="005B7458" w:rsidRDefault="00EA0165" w:rsidP="008C4188">
      <w:pPr>
        <w:pStyle w:val="Prrafodelista"/>
        <w:numPr>
          <w:ilvl w:val="0"/>
          <w:numId w:val="38"/>
        </w:numPr>
        <w:spacing w:after="160" w:line="360" w:lineRule="auto"/>
        <w:ind w:left="0" w:right="49" w:firstLine="0"/>
        <w:contextualSpacing/>
        <w:jc w:val="both"/>
        <w:rPr>
          <w:rFonts w:ascii="Palatino Linotype" w:hAnsi="Palatino Linotype"/>
          <w:lang w:val="es-ES_tradnl"/>
        </w:rPr>
      </w:pPr>
      <w:r w:rsidRPr="005B7458">
        <w:rPr>
          <w:rFonts w:ascii="Palatino Linotype" w:eastAsia="Calibri" w:hAnsi="Palatino Linotype" w:cs="Arial"/>
          <w:lang w:val="es-ES_tradnl"/>
        </w:rPr>
        <w:t xml:space="preserve">El medio de impugnación fue presentado a través del </w:t>
      </w:r>
      <w:r w:rsidRPr="005B7458">
        <w:rPr>
          <w:rFonts w:ascii="Palatino Linotype" w:eastAsia="Calibri" w:hAnsi="Palatino Linotype" w:cs="Arial"/>
          <w:b/>
          <w:lang w:val="es-ES_tradnl"/>
        </w:rPr>
        <w:t>SAIMEX,</w:t>
      </w:r>
      <w:r w:rsidRPr="005B7458">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5B7458">
        <w:rPr>
          <w:rFonts w:ascii="Palatino Linotype" w:eastAsia="Calibri" w:hAnsi="Palatino Linotype" w:cs="Arial"/>
          <w:lang w:val="es-ES_tradnl"/>
        </w:rPr>
        <w:t xml:space="preserve">particular es de señalar que si el </w:t>
      </w:r>
      <w:r w:rsidRPr="005B7458">
        <w:rPr>
          <w:rFonts w:ascii="Palatino Linotype" w:eastAsia="Calibri" w:hAnsi="Palatino Linotype" w:cs="Arial"/>
          <w:b/>
          <w:lang w:val="es-ES_tradnl"/>
        </w:rPr>
        <w:t>SUJETO OBLIGADO</w:t>
      </w:r>
      <w:r w:rsidRPr="005B7458">
        <w:rPr>
          <w:rFonts w:ascii="Palatino Linotype" w:eastAsia="Calibri" w:hAnsi="Palatino Linotype" w:cs="Arial"/>
          <w:lang w:val="es-ES_tradnl"/>
        </w:rPr>
        <w:t xml:space="preserve"> entregó respuesta el d</w:t>
      </w:r>
      <w:r w:rsidR="008C4188" w:rsidRPr="005B7458">
        <w:rPr>
          <w:rFonts w:ascii="Palatino Linotype" w:eastAsia="Calibri" w:hAnsi="Palatino Linotype" w:cs="Arial"/>
          <w:lang w:val="es-ES_tradnl"/>
        </w:rPr>
        <w:t>ía veintiséis (26</w:t>
      </w:r>
      <w:r w:rsidRPr="005B7458">
        <w:rPr>
          <w:rFonts w:ascii="Palatino Linotype" w:eastAsia="Calibri" w:hAnsi="Palatino Linotype" w:cs="Arial"/>
          <w:lang w:val="es-ES_tradnl"/>
        </w:rPr>
        <w:t>) de</w:t>
      </w:r>
      <w:r w:rsidR="00366414" w:rsidRPr="005B7458">
        <w:rPr>
          <w:rFonts w:ascii="Palatino Linotype" w:eastAsia="Calibri" w:hAnsi="Palatino Linotype" w:cs="Arial"/>
          <w:lang w:val="es-ES_tradnl"/>
        </w:rPr>
        <w:t xml:space="preserve"> enero</w:t>
      </w:r>
      <w:r w:rsidR="008C4188" w:rsidRPr="005B7458">
        <w:rPr>
          <w:rFonts w:ascii="Palatino Linotype" w:eastAsia="Calibri" w:hAnsi="Palatino Linotype" w:cs="Arial"/>
          <w:lang w:val="es-ES_tradnl"/>
        </w:rPr>
        <w:t xml:space="preserve"> de dos mil veintidós</w:t>
      </w:r>
      <w:r w:rsidRPr="005B7458">
        <w:rPr>
          <w:rFonts w:ascii="Palatino Linotype" w:eastAsia="Calibri" w:hAnsi="Palatino Linotype" w:cs="Arial"/>
          <w:lang w:val="es-MX" w:eastAsia="en-US"/>
        </w:rPr>
        <w:t>, el plazo para interponer el recurso de rev</w:t>
      </w:r>
      <w:r w:rsidR="00E62DC6" w:rsidRPr="005B7458">
        <w:rPr>
          <w:rFonts w:ascii="Palatino Linotype" w:eastAsia="Calibri" w:hAnsi="Palatino Linotype" w:cs="Arial"/>
          <w:lang w:val="es-MX" w:eastAsia="en-US"/>
        </w:rPr>
        <w:t xml:space="preserve">isión </w:t>
      </w:r>
      <w:r w:rsidR="00A2042B" w:rsidRPr="005B7458">
        <w:rPr>
          <w:rFonts w:ascii="Palatino Linotype" w:eastAsia="Calibri" w:hAnsi="Palatino Linotype" w:cs="Arial"/>
          <w:lang w:val="es-MX" w:eastAsia="en-US"/>
        </w:rPr>
        <w:t>trascurrió del</w:t>
      </w:r>
      <w:r w:rsidR="00366414" w:rsidRPr="005B7458">
        <w:rPr>
          <w:rFonts w:ascii="Palatino Linotype" w:eastAsia="Calibri" w:hAnsi="Palatino Linotype" w:cs="Arial"/>
          <w:lang w:val="es-MX" w:eastAsia="en-US"/>
        </w:rPr>
        <w:t xml:space="preserve"> veintisiete (27</w:t>
      </w:r>
      <w:r w:rsidRPr="005B7458">
        <w:rPr>
          <w:rFonts w:ascii="Palatino Linotype" w:eastAsia="Calibri" w:hAnsi="Palatino Linotype" w:cs="Arial"/>
          <w:lang w:val="es-MX" w:eastAsia="en-US"/>
        </w:rPr>
        <w:t>)</w:t>
      </w:r>
      <w:r w:rsidR="00A2042B" w:rsidRPr="005B7458">
        <w:rPr>
          <w:rFonts w:ascii="Palatino Linotype" w:eastAsia="Calibri" w:hAnsi="Palatino Linotype" w:cs="Arial"/>
          <w:lang w:val="es-MX" w:eastAsia="en-US"/>
        </w:rPr>
        <w:t xml:space="preserve"> </w:t>
      </w:r>
      <w:r w:rsidR="00366414" w:rsidRPr="005B7458">
        <w:rPr>
          <w:rFonts w:ascii="Palatino Linotype" w:eastAsia="Calibri" w:hAnsi="Palatino Linotype" w:cs="Arial"/>
          <w:lang w:val="es-MX" w:eastAsia="en-US"/>
        </w:rPr>
        <w:t xml:space="preserve">de enero </w:t>
      </w:r>
      <w:r w:rsidRPr="005B7458">
        <w:rPr>
          <w:rFonts w:ascii="Palatino Linotype" w:eastAsia="Calibri" w:hAnsi="Palatino Linotype" w:cs="Arial"/>
          <w:lang w:val="es-MX" w:eastAsia="en-US"/>
        </w:rPr>
        <w:t>al</w:t>
      </w:r>
      <w:r w:rsidR="00A47AE2" w:rsidRPr="005B7458">
        <w:rPr>
          <w:rFonts w:ascii="Palatino Linotype" w:eastAsia="Calibri" w:hAnsi="Palatino Linotype" w:cs="Arial"/>
          <w:lang w:val="es-MX" w:eastAsia="en-US"/>
        </w:rPr>
        <w:t xml:space="preserve"> </w:t>
      </w:r>
      <w:r w:rsidR="00366414" w:rsidRPr="005B7458">
        <w:rPr>
          <w:rFonts w:ascii="Palatino Linotype" w:eastAsia="Calibri" w:hAnsi="Palatino Linotype" w:cs="Arial"/>
          <w:lang w:val="es-MX" w:eastAsia="en-US"/>
        </w:rPr>
        <w:t>diecisiete (17) de febrero de dos mil veintidós,</w:t>
      </w:r>
      <w:r w:rsidR="00E62DC6" w:rsidRPr="005B7458">
        <w:rPr>
          <w:rFonts w:ascii="Palatino Linotype" w:eastAsia="Calibri" w:hAnsi="Palatino Linotype" w:cs="Arial"/>
          <w:lang w:val="es-MX" w:eastAsia="en-US"/>
        </w:rPr>
        <w:t xml:space="preserve"> </w:t>
      </w:r>
      <w:r w:rsidRPr="005B7458">
        <w:rPr>
          <w:rFonts w:ascii="Palatino Linotype" w:eastAsia="Calibri" w:hAnsi="Palatino Linotype" w:cs="Arial"/>
          <w:lang w:val="es-MX" w:eastAsia="en-US"/>
        </w:rPr>
        <w:t>por lo que si el particular i</w:t>
      </w:r>
      <w:r w:rsidR="00392E2B" w:rsidRPr="005B7458">
        <w:rPr>
          <w:rFonts w:ascii="Palatino Linotype" w:eastAsia="Calibri" w:hAnsi="Palatino Linotype" w:cs="Arial"/>
          <w:lang w:val="es-MX" w:eastAsia="en-US"/>
        </w:rPr>
        <w:t>nterpus</w:t>
      </w:r>
      <w:r w:rsidR="00806829" w:rsidRPr="005B7458">
        <w:rPr>
          <w:rFonts w:ascii="Palatino Linotype" w:eastAsia="Calibri" w:hAnsi="Palatino Linotype" w:cs="Arial"/>
          <w:lang w:val="es-MX" w:eastAsia="en-US"/>
        </w:rPr>
        <w:t xml:space="preserve">o </w:t>
      </w:r>
      <w:r w:rsidR="00366414" w:rsidRPr="005B7458">
        <w:rPr>
          <w:rFonts w:ascii="Palatino Linotype" w:eastAsia="Calibri" w:hAnsi="Palatino Linotype" w:cs="Arial"/>
          <w:lang w:val="es-MX" w:eastAsia="en-US"/>
        </w:rPr>
        <w:t>recurso de revisión el veintisiete (27</w:t>
      </w:r>
      <w:r w:rsidR="00BD6857" w:rsidRPr="005B7458">
        <w:rPr>
          <w:rFonts w:ascii="Palatino Linotype" w:eastAsia="Calibri" w:hAnsi="Palatino Linotype" w:cs="Arial"/>
          <w:lang w:val="es-MX" w:eastAsia="en-US"/>
        </w:rPr>
        <w:t>) de</w:t>
      </w:r>
      <w:r w:rsidR="00A2042B" w:rsidRPr="005B7458">
        <w:rPr>
          <w:rFonts w:ascii="Palatino Linotype" w:eastAsia="Calibri" w:hAnsi="Palatino Linotype" w:cs="Arial"/>
          <w:lang w:val="es-MX" w:eastAsia="en-US"/>
        </w:rPr>
        <w:t xml:space="preserve"> </w:t>
      </w:r>
      <w:r w:rsidR="00366414" w:rsidRPr="005B7458">
        <w:rPr>
          <w:rFonts w:ascii="Palatino Linotype" w:eastAsia="Calibri" w:hAnsi="Palatino Linotype" w:cs="Arial"/>
          <w:lang w:val="es-MX" w:eastAsia="en-US"/>
        </w:rPr>
        <w:t>enero d dos mil veintidós</w:t>
      </w:r>
      <w:r w:rsidR="00A47AE2" w:rsidRPr="005B7458">
        <w:rPr>
          <w:rFonts w:ascii="Palatino Linotype" w:eastAsia="Calibri" w:hAnsi="Palatino Linotype" w:cs="Arial"/>
          <w:lang w:val="es-MX" w:eastAsia="en-US"/>
        </w:rPr>
        <w:t xml:space="preserve">, </w:t>
      </w:r>
      <w:r w:rsidRPr="005B7458">
        <w:rPr>
          <w:rFonts w:ascii="Palatino Linotype" w:hAnsi="Palatino Linotype"/>
          <w:lang w:val="es-ES_tradnl"/>
        </w:rPr>
        <w:t xml:space="preserve">se encuentra dentro del periodo establecido por la Ley. </w:t>
      </w:r>
    </w:p>
    <w:p w14:paraId="3667250E" w14:textId="6452FA4D" w:rsidR="00D217A4" w:rsidRPr="005B7458" w:rsidRDefault="00D53E41" w:rsidP="007D7513">
      <w:pPr>
        <w:pStyle w:val="Ttulo1"/>
        <w:spacing w:line="360" w:lineRule="auto"/>
        <w:jc w:val="both"/>
        <w:rPr>
          <w:rFonts w:ascii="Palatino Linotype" w:hAnsi="Palatino Linotype"/>
          <w:b/>
          <w:color w:val="000000" w:themeColor="text1"/>
          <w:sz w:val="24"/>
          <w:szCs w:val="24"/>
          <w:lang w:val="es-MX" w:eastAsia="en-US"/>
        </w:rPr>
      </w:pPr>
      <w:bookmarkStart w:id="20" w:name="_Toc85137160"/>
      <w:bookmarkStart w:id="21" w:name="_Toc97826087"/>
      <w:r w:rsidRPr="005B7458">
        <w:rPr>
          <w:rFonts w:ascii="Palatino Linotype" w:hAnsi="Palatino Linotype"/>
          <w:b/>
          <w:color w:val="auto"/>
          <w:sz w:val="24"/>
          <w:szCs w:val="24"/>
        </w:rPr>
        <w:lastRenderedPageBreak/>
        <w:t>II</w:t>
      </w:r>
      <w:bookmarkStart w:id="22" w:name="_Toc82023088"/>
      <w:bookmarkStart w:id="23" w:name="_Toc82784385"/>
      <w:bookmarkStart w:id="24" w:name="_Toc84940707"/>
      <w:bookmarkEnd w:id="20"/>
      <w:r w:rsidR="00806829" w:rsidRPr="005B7458">
        <w:rPr>
          <w:rFonts w:ascii="Palatino Linotype" w:hAnsi="Palatino Linotype"/>
          <w:b/>
          <w:color w:val="auto"/>
          <w:sz w:val="24"/>
          <w:szCs w:val="24"/>
        </w:rPr>
        <w:t xml:space="preserve">. </w:t>
      </w:r>
      <w:bookmarkStart w:id="25" w:name="_Toc67587987"/>
      <w:bookmarkStart w:id="26" w:name="_Toc68804763"/>
      <w:bookmarkEnd w:id="22"/>
      <w:bookmarkEnd w:id="23"/>
      <w:bookmarkEnd w:id="24"/>
      <w:r w:rsidR="00EA0165" w:rsidRPr="005B7458">
        <w:rPr>
          <w:rFonts w:ascii="Palatino Linotype" w:hAnsi="Palatino Linotype"/>
          <w:b/>
          <w:color w:val="000000" w:themeColor="text1"/>
          <w:sz w:val="24"/>
          <w:szCs w:val="24"/>
          <w:lang w:val="es-MX" w:eastAsia="en-US"/>
        </w:rPr>
        <w:t>De la determinación sobre la procedibilidad del recurso.</w:t>
      </w:r>
      <w:bookmarkEnd w:id="21"/>
      <w:bookmarkEnd w:id="25"/>
      <w:bookmarkEnd w:id="26"/>
      <w:r w:rsidR="00EA0165" w:rsidRPr="005B7458">
        <w:rPr>
          <w:rFonts w:ascii="Palatino Linotype" w:hAnsi="Palatino Linotype"/>
          <w:b/>
          <w:color w:val="000000" w:themeColor="text1"/>
          <w:sz w:val="24"/>
          <w:szCs w:val="24"/>
          <w:lang w:val="es-MX" w:eastAsia="en-US"/>
        </w:rPr>
        <w:t xml:space="preserve"> </w:t>
      </w:r>
    </w:p>
    <w:p w14:paraId="1115619A" w14:textId="77777777" w:rsidR="00D53E41" w:rsidRPr="005B7458" w:rsidRDefault="00D53E41" w:rsidP="007D7513">
      <w:pPr>
        <w:spacing w:line="360" w:lineRule="auto"/>
        <w:rPr>
          <w:rFonts w:ascii="Palatino Linotype" w:hAnsi="Palatino Linotype"/>
          <w:lang w:val="es-MX" w:eastAsia="en-US"/>
        </w:rPr>
      </w:pPr>
    </w:p>
    <w:p w14:paraId="7DF2873B" w14:textId="0EC6D713" w:rsidR="00EA0165" w:rsidRPr="005B7458" w:rsidRDefault="00EA0165" w:rsidP="007D7513">
      <w:pPr>
        <w:pStyle w:val="Prrafodelista"/>
        <w:numPr>
          <w:ilvl w:val="0"/>
          <w:numId w:val="38"/>
        </w:numPr>
        <w:spacing w:after="160" w:line="360" w:lineRule="auto"/>
        <w:ind w:left="0" w:right="49" w:firstLine="0"/>
        <w:contextualSpacing/>
        <w:jc w:val="both"/>
        <w:rPr>
          <w:rFonts w:ascii="Palatino Linotype" w:hAnsi="Palatino Linotype"/>
          <w:lang w:val="es-ES_tradnl"/>
        </w:rPr>
      </w:pPr>
      <w:r w:rsidRPr="005B7458">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CAA4C68" w14:textId="77777777" w:rsidR="00A2042B" w:rsidRPr="005B7458" w:rsidRDefault="00A2042B" w:rsidP="007D7513">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5B7458" w:rsidRDefault="00992BC7" w:rsidP="007D7513">
      <w:pPr>
        <w:pStyle w:val="Ttulo1"/>
        <w:spacing w:line="360" w:lineRule="auto"/>
        <w:rPr>
          <w:rFonts w:ascii="Palatino Linotype" w:hAnsi="Palatino Linotype"/>
          <w:sz w:val="24"/>
          <w:szCs w:val="24"/>
          <w:lang w:eastAsia="es-ES_tradnl"/>
        </w:rPr>
      </w:pPr>
      <w:bookmarkStart w:id="27" w:name="_Toc97826088"/>
      <w:r w:rsidRPr="005B7458">
        <w:rPr>
          <w:rFonts w:ascii="Palatino Linotype" w:eastAsia="MS Mincho" w:hAnsi="Palatino Linotype"/>
          <w:b/>
          <w:color w:val="000000" w:themeColor="text1"/>
          <w:sz w:val="24"/>
          <w:szCs w:val="24"/>
          <w:lang w:val="es-ES_tradnl"/>
        </w:rPr>
        <w:t>TERCERO</w:t>
      </w:r>
      <w:r w:rsidRPr="005B7458">
        <w:rPr>
          <w:rFonts w:ascii="Palatino Linotype" w:hAnsi="Palatino Linotype" w:cs="Times New Roman"/>
          <w:b/>
          <w:color w:val="000000" w:themeColor="text1"/>
          <w:sz w:val="24"/>
          <w:szCs w:val="24"/>
        </w:rPr>
        <w:t>.</w:t>
      </w:r>
      <w:bookmarkStart w:id="28" w:name="_Toc67587990"/>
      <w:bookmarkStart w:id="29" w:name="_Toc68804766"/>
      <w:bookmarkStart w:id="30" w:name="_Toc455991148"/>
      <w:bookmarkStart w:id="31" w:name="_Toc450120669"/>
      <w:bookmarkStart w:id="32" w:name="_Toc461555896"/>
      <w:bookmarkStart w:id="33" w:name="_Toc462154385"/>
      <w:bookmarkStart w:id="34" w:name="_Toc462660376"/>
      <w:bookmarkStart w:id="35" w:name="_Toc462660687"/>
      <w:bookmarkStart w:id="36" w:name="_Toc462660766"/>
      <w:bookmarkStart w:id="37" w:name="_Toc465264624"/>
      <w:bookmarkStart w:id="38" w:name="_Toc465264870"/>
      <w:bookmarkStart w:id="39" w:name="_Toc465266520"/>
      <w:bookmarkStart w:id="40" w:name="_Toc466302258"/>
      <w:bookmarkStart w:id="41" w:name="_Toc466371866"/>
      <w:bookmarkStart w:id="42" w:name="_Toc466371925"/>
      <w:bookmarkStart w:id="43" w:name="_Toc466377654"/>
      <w:bookmarkStart w:id="44" w:name="_Toc478549736"/>
      <w:bookmarkStart w:id="45" w:name="_Toc478572850"/>
      <w:bookmarkStart w:id="46" w:name="_Toc479238537"/>
      <w:r w:rsidR="0065578F" w:rsidRPr="005B7458">
        <w:rPr>
          <w:rFonts w:ascii="Palatino Linotype" w:hAnsi="Palatino Linotype" w:cs="Times New Roman"/>
          <w:b/>
          <w:color w:val="000000" w:themeColor="text1"/>
          <w:sz w:val="24"/>
          <w:szCs w:val="24"/>
        </w:rPr>
        <w:t xml:space="preserve"> </w:t>
      </w:r>
      <w:r w:rsidR="00EA0165" w:rsidRPr="005B7458">
        <w:rPr>
          <w:rFonts w:ascii="Palatino Linotype" w:hAnsi="Palatino Linotype"/>
          <w:b/>
          <w:color w:val="000000" w:themeColor="text1"/>
          <w:sz w:val="24"/>
          <w:szCs w:val="24"/>
          <w:lang w:val="es-MX" w:eastAsia="en-US"/>
        </w:rPr>
        <w:t xml:space="preserve">Del planteamiento de la </w:t>
      </w:r>
      <w:r w:rsidR="00EA0165" w:rsidRPr="005B7458">
        <w:rPr>
          <w:rFonts w:ascii="Palatino Linotype" w:hAnsi="Palatino Linotype"/>
          <w:b/>
          <w:i/>
          <w:color w:val="000000" w:themeColor="text1"/>
          <w:sz w:val="24"/>
          <w:szCs w:val="24"/>
          <w:lang w:val="es-MX" w:eastAsia="en-US"/>
        </w:rPr>
        <w:t>Litis.</w:t>
      </w:r>
      <w:bookmarkEnd w:id="27"/>
      <w:bookmarkEnd w:id="28"/>
      <w:bookmarkEnd w:id="29"/>
    </w:p>
    <w:p w14:paraId="6B097BE2" w14:textId="0929F460" w:rsidR="00D217A4" w:rsidRPr="005B7458" w:rsidRDefault="00EA0165" w:rsidP="007D7513">
      <w:pPr>
        <w:pStyle w:val="Prrafodelista"/>
        <w:numPr>
          <w:ilvl w:val="0"/>
          <w:numId w:val="38"/>
        </w:numPr>
        <w:spacing w:before="240" w:after="240" w:line="360" w:lineRule="auto"/>
        <w:ind w:left="0" w:firstLine="0"/>
        <w:contextualSpacing/>
        <w:jc w:val="both"/>
        <w:rPr>
          <w:rFonts w:ascii="Palatino Linotype" w:hAnsi="Palatino Linotype"/>
          <w:i/>
          <w:lang w:val="es-ES_tradnl"/>
        </w:rPr>
      </w:pPr>
      <w:r w:rsidRPr="005B7458">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5B7458">
        <w:rPr>
          <w:rFonts w:ascii="Palatino Linotype" w:eastAsia="Calibri" w:hAnsi="Palatino Linotype" w:cs="Arial"/>
          <w:b/>
        </w:rPr>
        <w:t>Ley de Transparencia y Acceso a la Información Pública del Estado de México y Municipios</w:t>
      </w:r>
      <w:r w:rsidRPr="005B7458">
        <w:rPr>
          <w:rFonts w:ascii="Palatino Linotype" w:hAnsi="Palatino Linotype" w:cs="Arial"/>
          <w:lang w:val="es-ES_tradnl"/>
        </w:rPr>
        <w:t xml:space="preserve"> y determinar la confirmación; revocación o modificación; desechamiento o sobreseimiento; y en su </w:t>
      </w:r>
      <w:r w:rsidRPr="005B7458">
        <w:rPr>
          <w:rFonts w:ascii="Palatino Linotype" w:hAnsi="Palatino Linotype" w:cs="Arial"/>
          <w:b/>
          <w:lang w:val="es-ES_tradnl"/>
        </w:rPr>
        <w:t>caso ordenar la entrega de la información,</w:t>
      </w:r>
      <w:r w:rsidRPr="005B7458">
        <w:rPr>
          <w:rFonts w:ascii="Palatino Linotype" w:hAnsi="Palatino Linotype" w:cs="Arial"/>
          <w:lang w:val="es-ES_tradnl"/>
        </w:rPr>
        <w:t xml:space="preserve"> respecto a las respuestas o falta de ellas de los Sujetos Obligados.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E5F6627" w14:textId="77777777" w:rsidR="00D217A4" w:rsidRPr="005B7458" w:rsidRDefault="00D217A4" w:rsidP="007D7513">
      <w:pPr>
        <w:pStyle w:val="Prrafodelista"/>
        <w:spacing w:before="240" w:after="240" w:line="360" w:lineRule="auto"/>
        <w:ind w:left="0"/>
        <w:contextualSpacing/>
        <w:jc w:val="both"/>
        <w:rPr>
          <w:rFonts w:ascii="Palatino Linotype" w:hAnsi="Palatino Linotype"/>
          <w:i/>
          <w:lang w:val="es-ES_tradnl"/>
        </w:rPr>
      </w:pPr>
    </w:p>
    <w:p w14:paraId="22E5B958" w14:textId="71D9E3E2" w:rsidR="00D217A4" w:rsidRPr="005B7458" w:rsidRDefault="00EA0165" w:rsidP="007D7513">
      <w:pPr>
        <w:pStyle w:val="Prrafodelista"/>
        <w:numPr>
          <w:ilvl w:val="0"/>
          <w:numId w:val="38"/>
        </w:numPr>
        <w:spacing w:before="240" w:after="240" w:line="360" w:lineRule="auto"/>
        <w:ind w:left="0" w:firstLine="0"/>
        <w:contextualSpacing/>
        <w:jc w:val="both"/>
        <w:rPr>
          <w:rFonts w:ascii="Palatino Linotype" w:hAnsi="Palatino Linotype"/>
          <w:i/>
          <w:lang w:val="es-ES_tradnl"/>
        </w:rPr>
      </w:pPr>
      <w:r w:rsidRPr="005B7458">
        <w:rPr>
          <w:rFonts w:ascii="Palatino Linotype" w:eastAsia="MS Mincho" w:hAnsi="Palatino Linotype"/>
          <w:lang w:val="es-ES_tradnl"/>
        </w:rPr>
        <w:t xml:space="preserve">De las constancias en el expediente al rubro indicado, se desprende que el particular solicitó </w:t>
      </w:r>
      <w:r w:rsidR="003669E8" w:rsidRPr="005B7458">
        <w:rPr>
          <w:rFonts w:ascii="Palatino Linotype" w:eastAsia="MS Mincho" w:hAnsi="Palatino Linotype"/>
          <w:lang w:val="es-ES_tradnl"/>
        </w:rPr>
        <w:t xml:space="preserve">acceso </w:t>
      </w:r>
      <w:r w:rsidR="00366414" w:rsidRPr="005B7458">
        <w:rPr>
          <w:rFonts w:ascii="Palatino Linotype" w:eastAsia="MS Mincho" w:hAnsi="Palatino Linotype"/>
          <w:lang w:val="es-ES_tradnl"/>
        </w:rPr>
        <w:t>al dictamen por medio del cual se otorgó una licencia de funcionamiento</w:t>
      </w:r>
      <w:r w:rsidR="00366414" w:rsidRPr="005B7458">
        <w:rPr>
          <w:rFonts w:ascii="Palatino Linotype" w:hAnsi="Palatino Linotype"/>
          <w:lang w:val="es-ES_tradnl"/>
        </w:rPr>
        <w:t>, requerimiento</w:t>
      </w:r>
      <w:r w:rsidR="00B0049C" w:rsidRPr="005B7458">
        <w:rPr>
          <w:rFonts w:ascii="Palatino Linotype" w:eastAsia="MS Mincho" w:hAnsi="Palatino Linotype"/>
          <w:lang w:val="es-ES_tradnl"/>
        </w:rPr>
        <w:t xml:space="preserve">, </w:t>
      </w:r>
      <w:r w:rsidR="00366414" w:rsidRPr="005B7458">
        <w:rPr>
          <w:rFonts w:ascii="Palatino Linotype" w:eastAsia="MS Mincho" w:hAnsi="Palatino Linotype"/>
          <w:lang w:val="es-ES_tradnl"/>
        </w:rPr>
        <w:t>al</w:t>
      </w:r>
      <w:r w:rsidR="007E5467" w:rsidRPr="005B7458">
        <w:rPr>
          <w:rFonts w:ascii="Palatino Linotype" w:eastAsia="MS Mincho" w:hAnsi="Palatino Linotype"/>
          <w:lang w:val="es-ES_tradnl"/>
        </w:rPr>
        <w:t xml:space="preserve"> </w:t>
      </w:r>
      <w:r w:rsidR="00562ACE" w:rsidRPr="005B7458">
        <w:rPr>
          <w:rFonts w:ascii="Palatino Linotype" w:eastAsia="MS Mincho" w:hAnsi="Palatino Linotype"/>
          <w:lang w:val="es-ES_tradnl"/>
        </w:rPr>
        <w:t xml:space="preserve"> que se respondió</w:t>
      </w:r>
      <w:r w:rsidR="00366414" w:rsidRPr="005B7458">
        <w:rPr>
          <w:rFonts w:ascii="Palatino Linotype" w:eastAsia="MS Mincho" w:hAnsi="Palatino Linotype"/>
          <w:lang w:val="es-ES_tradnl"/>
        </w:rPr>
        <w:t xml:space="preserve"> a través del </w:t>
      </w:r>
      <w:r w:rsidR="0034430B" w:rsidRPr="005B7458">
        <w:rPr>
          <w:rFonts w:ascii="Palatino Linotype" w:eastAsia="MS Mincho" w:hAnsi="Palatino Linotype"/>
          <w:lang w:val="es-ES_tradnl"/>
        </w:rPr>
        <w:t>Director General de Desarrollo Económico y E</w:t>
      </w:r>
      <w:r w:rsidR="00754275" w:rsidRPr="005B7458">
        <w:rPr>
          <w:rFonts w:ascii="Palatino Linotype" w:eastAsia="MS Mincho" w:hAnsi="Palatino Linotype"/>
          <w:lang w:val="es-ES_tradnl"/>
        </w:rPr>
        <w:t>mpresarial que la licencia 1040 se sujetó al procedimiento correspondiente</w:t>
      </w:r>
      <w:r w:rsidR="007E6704" w:rsidRPr="005B7458">
        <w:rPr>
          <w:rFonts w:ascii="Palatino Linotype" w:eastAsia="MS Mincho" w:hAnsi="Palatino Linotype"/>
          <w:lang w:val="es-ES_tradnl"/>
        </w:rPr>
        <w:t xml:space="preserve">, </w:t>
      </w:r>
      <w:r w:rsidR="00EC6134" w:rsidRPr="005B7458">
        <w:rPr>
          <w:rFonts w:ascii="Palatino Linotype" w:eastAsia="MS Mincho" w:hAnsi="Palatino Linotype"/>
          <w:lang w:val="es-ES_tradnl"/>
        </w:rPr>
        <w:t>no</w:t>
      </w:r>
      <w:r w:rsidR="009C61F1" w:rsidRPr="005B7458">
        <w:rPr>
          <w:rFonts w:ascii="Palatino Linotype" w:eastAsia="MS Mincho" w:hAnsi="Palatino Linotype"/>
          <w:lang w:val="es-ES_tradnl"/>
        </w:rPr>
        <w:t xml:space="preserve"> obstante lo anterior, </w:t>
      </w:r>
      <w:r w:rsidR="00B0049C" w:rsidRPr="005B7458">
        <w:rPr>
          <w:rFonts w:ascii="Palatino Linotype" w:eastAsia="MS Mincho" w:hAnsi="Palatino Linotype"/>
          <w:lang w:val="es-ES_tradnl"/>
        </w:rPr>
        <w:t xml:space="preserve">la parte recurrente </w:t>
      </w:r>
      <w:r w:rsidRPr="005B7458">
        <w:rPr>
          <w:rFonts w:ascii="Palatino Linotype" w:eastAsia="MS Mincho" w:hAnsi="Palatino Linotype"/>
          <w:lang w:val="es-ES_tradnl"/>
        </w:rPr>
        <w:t>se inconforma e interpone el presente recurso de revisión, argumentado como raz</w:t>
      </w:r>
      <w:r w:rsidR="00B153AD" w:rsidRPr="005B7458">
        <w:rPr>
          <w:rFonts w:ascii="Palatino Linotype" w:eastAsia="MS Mincho" w:hAnsi="Palatino Linotype"/>
          <w:lang w:val="es-ES_tradnl"/>
        </w:rPr>
        <w:t xml:space="preserve">ones o motivos de inconformidad la </w:t>
      </w:r>
      <w:r w:rsidR="00A2042B" w:rsidRPr="005B7458">
        <w:rPr>
          <w:rFonts w:ascii="Palatino Linotype" w:eastAsia="MS Mincho" w:hAnsi="Palatino Linotype"/>
          <w:lang w:val="es-ES_tradnl"/>
        </w:rPr>
        <w:t xml:space="preserve">entrega de información </w:t>
      </w:r>
      <w:r w:rsidR="007E6704" w:rsidRPr="005B7458">
        <w:rPr>
          <w:rFonts w:ascii="Palatino Linotype" w:eastAsia="MS Mincho" w:hAnsi="Palatino Linotype"/>
          <w:lang w:val="es-ES_tradnl"/>
        </w:rPr>
        <w:t xml:space="preserve">que no corresponde con lo solicitado. </w:t>
      </w:r>
      <w:r w:rsidR="00A2042B" w:rsidRPr="005B7458">
        <w:rPr>
          <w:rFonts w:ascii="Palatino Linotype" w:eastAsia="MS Mincho" w:hAnsi="Palatino Linotype"/>
          <w:lang w:val="es-ES_tradnl"/>
        </w:rPr>
        <w:t xml:space="preserve"> </w:t>
      </w:r>
    </w:p>
    <w:p w14:paraId="44EC49A6" w14:textId="77777777" w:rsidR="00B153AD" w:rsidRPr="005B7458" w:rsidRDefault="00B153AD" w:rsidP="007D7513">
      <w:pPr>
        <w:pStyle w:val="Prrafodelista"/>
        <w:spacing w:before="240" w:after="240" w:line="360" w:lineRule="auto"/>
        <w:ind w:left="0"/>
        <w:contextualSpacing/>
        <w:jc w:val="both"/>
        <w:rPr>
          <w:rFonts w:ascii="Palatino Linotype" w:hAnsi="Palatino Linotype"/>
          <w:i/>
          <w:lang w:val="es-ES_tradnl"/>
        </w:rPr>
      </w:pPr>
    </w:p>
    <w:p w14:paraId="4F030FC3" w14:textId="4F0849FD" w:rsidR="00D217A4" w:rsidRPr="005B7458" w:rsidRDefault="00EA0165" w:rsidP="007D7513">
      <w:pPr>
        <w:pStyle w:val="Prrafodelista"/>
        <w:numPr>
          <w:ilvl w:val="0"/>
          <w:numId w:val="38"/>
        </w:numPr>
        <w:spacing w:before="240" w:after="240" w:line="360" w:lineRule="auto"/>
        <w:ind w:left="0" w:firstLine="0"/>
        <w:contextualSpacing/>
        <w:jc w:val="both"/>
        <w:rPr>
          <w:rFonts w:ascii="Palatino Linotype" w:hAnsi="Palatino Linotype"/>
          <w:i/>
          <w:lang w:val="es-ES_tradnl"/>
        </w:rPr>
      </w:pPr>
      <w:r w:rsidRPr="005B7458">
        <w:rPr>
          <w:rFonts w:ascii="Palatino Linotype" w:eastAsia="MS Mincho" w:hAnsi="Palatino Linotype"/>
          <w:lang w:val="es-ES_tradnl"/>
        </w:rPr>
        <w:t xml:space="preserve">En ese sentido, el agravio del recurrente consiste en que la respuesta proporcionada por el </w:t>
      </w:r>
      <w:r w:rsidRPr="005B7458">
        <w:rPr>
          <w:rFonts w:ascii="Palatino Linotype" w:eastAsia="MS Mincho" w:hAnsi="Palatino Linotype"/>
          <w:b/>
          <w:lang w:val="es-ES_tradnl"/>
        </w:rPr>
        <w:t>SUJETO OBLIGADO</w:t>
      </w:r>
      <w:r w:rsidRPr="005B7458">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5B7458">
        <w:rPr>
          <w:rFonts w:ascii="Palatino Linotype" w:eastAsia="MS Mincho" w:hAnsi="Palatino Linotype"/>
          <w:lang w:val="es-ES_tradnl"/>
        </w:rPr>
        <w:t xml:space="preserve"> se deberá garantiza</w:t>
      </w:r>
      <w:r w:rsidR="00543427" w:rsidRPr="005B7458">
        <w:rPr>
          <w:rFonts w:ascii="Palatino Linotype" w:eastAsia="MS Mincho" w:hAnsi="Palatino Linotype"/>
          <w:lang w:val="es-ES_tradnl"/>
        </w:rPr>
        <w:t>r que sea</w:t>
      </w:r>
      <w:r w:rsidR="0082641D" w:rsidRPr="005B7458">
        <w:rPr>
          <w:rFonts w:ascii="Palatino Linotype" w:eastAsia="MS Mincho" w:hAnsi="Palatino Linotype"/>
          <w:lang w:val="es-ES_tradnl"/>
        </w:rPr>
        <w:t xml:space="preserve"> </w:t>
      </w:r>
      <w:r w:rsidR="007E6704" w:rsidRPr="005B7458">
        <w:rPr>
          <w:rFonts w:ascii="Palatino Linotype" w:eastAsia="MS Mincho" w:hAnsi="Palatino Linotype"/>
          <w:lang w:val="es-ES_tradnl"/>
        </w:rPr>
        <w:t xml:space="preserve">congruente. </w:t>
      </w:r>
    </w:p>
    <w:p w14:paraId="35853B1F" w14:textId="77777777" w:rsidR="00D217A4" w:rsidRPr="005B7458" w:rsidRDefault="00D217A4" w:rsidP="007D7513">
      <w:pPr>
        <w:pStyle w:val="Prrafodelista"/>
        <w:spacing w:line="360" w:lineRule="auto"/>
        <w:rPr>
          <w:rFonts w:ascii="Palatino Linotype" w:eastAsia="MS Mincho" w:hAnsi="Palatino Linotype"/>
          <w:lang w:val="es-ES_tradnl"/>
        </w:rPr>
      </w:pPr>
    </w:p>
    <w:p w14:paraId="78993703" w14:textId="2A03A7A1" w:rsidR="002C7E93" w:rsidRPr="005B7458" w:rsidRDefault="00EA0165" w:rsidP="007D7513">
      <w:pPr>
        <w:pStyle w:val="Prrafodelista"/>
        <w:numPr>
          <w:ilvl w:val="0"/>
          <w:numId w:val="38"/>
        </w:numPr>
        <w:spacing w:before="240" w:after="240" w:line="360" w:lineRule="auto"/>
        <w:ind w:left="0" w:firstLine="0"/>
        <w:contextualSpacing/>
        <w:jc w:val="both"/>
        <w:rPr>
          <w:rFonts w:ascii="Palatino Linotype" w:hAnsi="Palatino Linotype"/>
          <w:i/>
          <w:lang w:val="es-ES_tradnl"/>
        </w:rPr>
      </w:pPr>
      <w:r w:rsidRPr="005B7458">
        <w:rPr>
          <w:rFonts w:ascii="Palatino Linotype" w:eastAsia="MS Mincho" w:hAnsi="Palatino Linotype"/>
          <w:lang w:val="es-ES_tradnl"/>
        </w:rPr>
        <w:t xml:space="preserve">Por lo que de este modo, el presente recurso de revisión se circunscribe a determinar si el </w:t>
      </w:r>
      <w:r w:rsidRPr="005B7458">
        <w:rPr>
          <w:rFonts w:ascii="Palatino Linotype" w:eastAsia="MS Mincho" w:hAnsi="Palatino Linotype"/>
          <w:b/>
          <w:lang w:val="es-ES_tradnl"/>
        </w:rPr>
        <w:t>SUJETO OBLIGADO</w:t>
      </w:r>
      <w:r w:rsidR="009C4F62" w:rsidRPr="005B7458">
        <w:rPr>
          <w:rFonts w:ascii="Palatino Linotype" w:eastAsia="MS Mincho" w:hAnsi="Palatino Linotype"/>
          <w:lang w:val="es-ES_tradnl"/>
        </w:rPr>
        <w:t xml:space="preserve"> con la respuesta otorgada</w:t>
      </w:r>
      <w:r w:rsidR="00562ACE" w:rsidRPr="005B7458">
        <w:rPr>
          <w:rFonts w:ascii="Palatino Linotype" w:eastAsia="MS Mincho" w:hAnsi="Palatino Linotype"/>
          <w:lang w:val="es-ES_tradnl"/>
        </w:rPr>
        <w:t xml:space="preserve">, </w:t>
      </w:r>
      <w:r w:rsidRPr="005B7458">
        <w:rPr>
          <w:rFonts w:ascii="Palatino Linotype" w:eastAsia="MS Mincho" w:hAnsi="Palatino Linotype"/>
          <w:lang w:val="es-ES_tradnl"/>
        </w:rPr>
        <w:t>vulnera el derecho de acceso a la información accionado por el particular a</w:t>
      </w:r>
      <w:r w:rsidR="005F7AD4" w:rsidRPr="005B7458">
        <w:rPr>
          <w:rFonts w:ascii="Palatino Linotype" w:eastAsia="MS Mincho" w:hAnsi="Palatino Linotype"/>
          <w:lang w:val="es-ES_tradnl"/>
        </w:rPr>
        <w:t>ctualizando la causal</w:t>
      </w:r>
      <w:r w:rsidRPr="005B7458">
        <w:rPr>
          <w:rFonts w:ascii="Palatino Linotype" w:eastAsia="MS Mincho" w:hAnsi="Palatino Linotype"/>
          <w:lang w:val="es-ES_tradnl"/>
        </w:rPr>
        <w:t xml:space="preserve"> de procedencia prevista</w:t>
      </w:r>
      <w:r w:rsidR="00650D78" w:rsidRPr="005B7458">
        <w:rPr>
          <w:rFonts w:ascii="Palatino Linotype" w:eastAsia="MS Mincho" w:hAnsi="Palatino Linotype"/>
          <w:lang w:val="es-ES_tradnl"/>
        </w:rPr>
        <w:t xml:space="preserve"> en el artículo 179 fracciones </w:t>
      </w:r>
      <w:r w:rsidR="00A2042B" w:rsidRPr="005B7458">
        <w:rPr>
          <w:rFonts w:ascii="Palatino Linotype" w:eastAsia="MS Mincho" w:hAnsi="Palatino Linotype"/>
          <w:lang w:val="es-ES_tradnl"/>
        </w:rPr>
        <w:t>V</w:t>
      </w:r>
      <w:r w:rsidR="007E6704" w:rsidRPr="005B7458">
        <w:rPr>
          <w:rFonts w:ascii="Palatino Linotype" w:eastAsia="MS Mincho" w:hAnsi="Palatino Linotype"/>
          <w:lang w:val="es-ES_tradnl"/>
        </w:rPr>
        <w:t>I</w:t>
      </w:r>
      <w:r w:rsidR="009C4F62" w:rsidRPr="005B7458">
        <w:rPr>
          <w:rStyle w:val="Refdenotaalpie"/>
          <w:rFonts w:ascii="Palatino Linotype" w:eastAsia="MS Mincho" w:hAnsi="Palatino Linotype"/>
          <w:lang w:val="es-ES_tradnl"/>
        </w:rPr>
        <w:footnoteReference w:id="1"/>
      </w:r>
      <w:r w:rsidR="00562ACE" w:rsidRPr="005B7458">
        <w:rPr>
          <w:rFonts w:ascii="Palatino Linotype" w:eastAsia="MS Mincho" w:hAnsi="Palatino Linotype"/>
          <w:lang w:val="es-ES_tradnl"/>
        </w:rPr>
        <w:t xml:space="preserve"> </w:t>
      </w:r>
      <w:r w:rsidRPr="005B7458">
        <w:rPr>
          <w:rFonts w:ascii="Palatino Linotype" w:eastAsia="MS Mincho" w:hAnsi="Palatino Linotype"/>
          <w:lang w:val="es-ES_tradnl"/>
        </w:rPr>
        <w:t>de la Ley de Transparencia y Acceso a la Información del Estado de México y Municipios.</w:t>
      </w:r>
    </w:p>
    <w:p w14:paraId="5162A17C" w14:textId="71549F44" w:rsidR="00286C23" w:rsidRPr="005B7458" w:rsidRDefault="009A1E3F" w:rsidP="007D7513">
      <w:pPr>
        <w:pStyle w:val="Ttulo1"/>
        <w:spacing w:line="360" w:lineRule="auto"/>
        <w:rPr>
          <w:rFonts w:ascii="Palatino Linotype" w:hAnsi="Palatino Linotype"/>
          <w:b/>
          <w:color w:val="000000" w:themeColor="text1"/>
          <w:sz w:val="24"/>
          <w:szCs w:val="24"/>
          <w:lang w:val="es-MX" w:eastAsia="en-US"/>
        </w:rPr>
      </w:pPr>
      <w:bookmarkStart w:id="47" w:name="_Toc68804767"/>
      <w:bookmarkStart w:id="48" w:name="_Toc97826089"/>
      <w:bookmarkStart w:id="49" w:name="_Toc459174366"/>
      <w:bookmarkStart w:id="50" w:name="_Toc459659884"/>
      <w:bookmarkStart w:id="51" w:name="_Toc461687280"/>
      <w:bookmarkStart w:id="52" w:name="_Toc462771051"/>
      <w:bookmarkStart w:id="53" w:name="_Toc464139201"/>
      <w:r w:rsidRPr="005B7458">
        <w:rPr>
          <w:rFonts w:ascii="Palatino Linotype" w:hAnsi="Palatino Linotype"/>
          <w:b/>
          <w:color w:val="000000" w:themeColor="text1"/>
          <w:sz w:val="24"/>
          <w:szCs w:val="24"/>
          <w:lang w:val="es-MX" w:eastAsia="en-US"/>
        </w:rPr>
        <w:t>CUARTO</w:t>
      </w:r>
      <w:r w:rsidR="00F041CF" w:rsidRPr="005B7458">
        <w:rPr>
          <w:rFonts w:ascii="Palatino Linotype" w:hAnsi="Palatino Linotype"/>
          <w:b/>
          <w:color w:val="000000" w:themeColor="text1"/>
          <w:sz w:val="24"/>
          <w:szCs w:val="24"/>
          <w:lang w:val="es-MX" w:eastAsia="en-US"/>
        </w:rPr>
        <w:t>. Estudio y r</w:t>
      </w:r>
      <w:r w:rsidR="00EA0165" w:rsidRPr="005B7458">
        <w:rPr>
          <w:rFonts w:ascii="Palatino Linotype" w:hAnsi="Palatino Linotype"/>
          <w:b/>
          <w:color w:val="000000" w:themeColor="text1"/>
          <w:sz w:val="24"/>
          <w:szCs w:val="24"/>
          <w:lang w:val="es-MX" w:eastAsia="en-US"/>
        </w:rPr>
        <w:t>esolución del asunto.</w:t>
      </w:r>
      <w:bookmarkEnd w:id="47"/>
      <w:bookmarkEnd w:id="48"/>
    </w:p>
    <w:p w14:paraId="38D9F738" w14:textId="2A255571" w:rsidR="002C7E93" w:rsidRPr="005B7458" w:rsidRDefault="002C7E93" w:rsidP="007D7513">
      <w:pPr>
        <w:spacing w:line="360" w:lineRule="auto"/>
        <w:rPr>
          <w:rFonts w:ascii="Palatino Linotype" w:hAnsi="Palatino Linotype"/>
          <w:lang w:val="es-MX" w:eastAsia="en-US"/>
        </w:rPr>
      </w:pPr>
    </w:p>
    <w:p w14:paraId="4C48BE97" w14:textId="241D1C60" w:rsidR="003523DE" w:rsidRPr="005B7458" w:rsidRDefault="00D91C33" w:rsidP="007D7513">
      <w:pPr>
        <w:pStyle w:val="Ttulo1"/>
        <w:numPr>
          <w:ilvl w:val="0"/>
          <w:numId w:val="7"/>
        </w:numPr>
        <w:spacing w:line="360" w:lineRule="auto"/>
        <w:ind w:left="0" w:firstLine="0"/>
        <w:rPr>
          <w:rFonts w:ascii="Palatino Linotype" w:hAnsi="Palatino Linotype"/>
          <w:b/>
          <w:color w:val="auto"/>
          <w:sz w:val="24"/>
          <w:szCs w:val="24"/>
          <w:lang w:val="es-MX" w:eastAsia="en-US"/>
        </w:rPr>
      </w:pPr>
      <w:bookmarkStart w:id="54" w:name="_Toc97826090"/>
      <w:r w:rsidRPr="005B7458">
        <w:rPr>
          <w:rFonts w:ascii="Palatino Linotype" w:hAnsi="Palatino Linotype"/>
          <w:b/>
          <w:color w:val="auto"/>
          <w:sz w:val="24"/>
          <w:szCs w:val="24"/>
          <w:lang w:val="es-MX" w:eastAsia="en-US"/>
        </w:rPr>
        <w:t xml:space="preserve">De la </w:t>
      </w:r>
      <w:r w:rsidR="00754275" w:rsidRPr="005B7458">
        <w:rPr>
          <w:rFonts w:ascii="Palatino Linotype" w:hAnsi="Palatino Linotype"/>
          <w:b/>
          <w:color w:val="auto"/>
          <w:sz w:val="24"/>
          <w:szCs w:val="24"/>
          <w:lang w:val="es-MX" w:eastAsia="en-US"/>
        </w:rPr>
        <w:t>naturaleza de la información solicitada.</w:t>
      </w:r>
      <w:bookmarkEnd w:id="54"/>
      <w:r w:rsidR="00754275" w:rsidRPr="005B7458">
        <w:rPr>
          <w:rFonts w:ascii="Palatino Linotype" w:hAnsi="Palatino Linotype"/>
          <w:b/>
          <w:color w:val="auto"/>
          <w:sz w:val="24"/>
          <w:szCs w:val="24"/>
          <w:lang w:val="es-MX" w:eastAsia="en-US"/>
        </w:rPr>
        <w:t xml:space="preserve"> </w:t>
      </w:r>
    </w:p>
    <w:p w14:paraId="4BF3BCA3" w14:textId="77777777" w:rsidR="00D91C33" w:rsidRPr="005B7458" w:rsidRDefault="00D91C33" w:rsidP="007D7513">
      <w:pPr>
        <w:pStyle w:val="Prrafodelista"/>
        <w:spacing w:line="360" w:lineRule="auto"/>
        <w:ind w:left="1080"/>
        <w:rPr>
          <w:rFonts w:ascii="Palatino Linotype" w:hAnsi="Palatino Linotype"/>
          <w:lang w:val="es-MX" w:eastAsia="en-US"/>
        </w:rPr>
      </w:pPr>
    </w:p>
    <w:p w14:paraId="113D11EC" w14:textId="77777777" w:rsidR="00D91C33" w:rsidRPr="005B7458" w:rsidRDefault="00EA0165" w:rsidP="007D7513">
      <w:pPr>
        <w:pStyle w:val="Prrafodelista"/>
        <w:numPr>
          <w:ilvl w:val="0"/>
          <w:numId w:val="38"/>
        </w:numPr>
        <w:spacing w:before="240" w:after="360" w:line="360" w:lineRule="auto"/>
        <w:ind w:left="0" w:firstLine="0"/>
        <w:contextualSpacing/>
        <w:jc w:val="both"/>
        <w:rPr>
          <w:rFonts w:ascii="Palatino Linotype" w:eastAsia="MS Mincho" w:hAnsi="Palatino Linotype" w:cs="Arial"/>
          <w:i/>
          <w:lang w:val="es-MX"/>
        </w:rPr>
      </w:pPr>
      <w:r w:rsidRPr="005B7458">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w:t>
      </w:r>
      <w:r w:rsidRPr="005B7458">
        <w:rPr>
          <w:rFonts w:ascii="Palatino Linotype" w:eastAsia="Cambria" w:hAnsi="Palatino Linotype" w:cs="Arial"/>
          <w:lang w:val="es-MX" w:eastAsia="en-US"/>
        </w:rPr>
        <w:lastRenderedPageBreak/>
        <w:t xml:space="preserve">en consideración los elementos aportados por las partes y apegándose en todo momento al principio de máxima publicidad de acuerdo con lo establecido en el artículo 8 de la </w:t>
      </w:r>
      <w:r w:rsidRPr="005B7458">
        <w:rPr>
          <w:rFonts w:ascii="Palatino Linotype" w:eastAsia="Calibri" w:hAnsi="Palatino Linotype" w:cs="Arial"/>
          <w:b/>
          <w:lang w:eastAsia="en-US"/>
        </w:rPr>
        <w:t>Ley de Transparencia y Acceso a la Información Pública del Estado de México y Municipios</w:t>
      </w:r>
      <w:r w:rsidR="006C693D" w:rsidRPr="005B7458">
        <w:rPr>
          <w:rFonts w:ascii="Palatino Linotype" w:hAnsi="Palatino Linotype" w:cs="Arial"/>
          <w:lang w:eastAsia="es-MX"/>
        </w:rPr>
        <w:t>.</w:t>
      </w:r>
    </w:p>
    <w:p w14:paraId="57E3A5B6" w14:textId="29DAABF0" w:rsidR="002C7E93" w:rsidRPr="005B7458" w:rsidRDefault="002C7E93" w:rsidP="007D7513">
      <w:pPr>
        <w:tabs>
          <w:tab w:val="left" w:pos="0"/>
          <w:tab w:val="left" w:pos="426"/>
        </w:tabs>
        <w:spacing w:before="240" w:after="240" w:line="360" w:lineRule="auto"/>
        <w:ind w:right="49"/>
        <w:contextualSpacing/>
        <w:jc w:val="both"/>
        <w:rPr>
          <w:rFonts w:ascii="Palatino Linotype" w:eastAsia="MS Mincho" w:hAnsi="Palatino Linotype" w:cs="Arial"/>
          <w:lang w:val="es-MX"/>
        </w:rPr>
      </w:pPr>
      <w:bookmarkStart w:id="55" w:name="_Toc84264165"/>
    </w:p>
    <w:p w14:paraId="683F722A" w14:textId="6688F426" w:rsidR="00FD6480" w:rsidRPr="005B7458" w:rsidRDefault="00C548CF" w:rsidP="00754275">
      <w:pPr>
        <w:numPr>
          <w:ilvl w:val="0"/>
          <w:numId w:val="38"/>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5B7458">
        <w:rPr>
          <w:rFonts w:ascii="Palatino Linotype" w:eastAsia="MS Mincho" w:hAnsi="Palatino Linotype" w:cs="Arial"/>
          <w:color w:val="000000"/>
          <w:lang w:val="es-ES_tradnl"/>
        </w:rPr>
        <w:t>Así las cosas, este Instituto de Transparencia, de conformidad con los principios de eficacia y profesionalismo</w:t>
      </w:r>
      <w:r w:rsidRPr="005B7458">
        <w:rPr>
          <w:rStyle w:val="Refdenotaalpie"/>
          <w:rFonts w:ascii="Palatino Linotype" w:eastAsia="MS Mincho" w:hAnsi="Palatino Linotype" w:cs="Arial"/>
          <w:color w:val="000000"/>
          <w:lang w:val="es-ES_tradnl"/>
        </w:rPr>
        <w:footnoteReference w:id="2"/>
      </w:r>
      <w:r w:rsidRPr="005B7458">
        <w:rPr>
          <w:rFonts w:ascii="Palatino Linotype" w:eastAsia="MS Mincho" w:hAnsi="Palatino Linotype" w:cs="Arial"/>
          <w:color w:val="000000"/>
          <w:lang w:val="es-ES_tradnl"/>
        </w:rPr>
        <w:t xml:space="preserve">, procederá a verificar la información remitida por el </w:t>
      </w:r>
      <w:r w:rsidRPr="005B7458">
        <w:rPr>
          <w:rFonts w:ascii="Palatino Linotype" w:eastAsia="MS Mincho" w:hAnsi="Palatino Linotype" w:cs="Arial"/>
          <w:b/>
          <w:color w:val="000000"/>
          <w:lang w:val="es-ES_tradnl"/>
        </w:rPr>
        <w:t>SUJETO OBLIGADO y</w:t>
      </w:r>
      <w:r w:rsidRPr="005B7458">
        <w:rPr>
          <w:rFonts w:ascii="Palatino Linotype" w:eastAsia="MS Mincho" w:hAnsi="Palatino Linotype" w:cs="Arial"/>
          <w:color w:val="000000"/>
          <w:lang w:val="es-ES_tradnl"/>
        </w:rPr>
        <w:t xml:space="preserve"> las manifestaciones realizadas por el </w:t>
      </w:r>
      <w:r w:rsidRPr="005B7458">
        <w:rPr>
          <w:rFonts w:ascii="Palatino Linotype" w:eastAsia="MS Mincho" w:hAnsi="Palatino Linotype" w:cs="Arial"/>
          <w:b/>
          <w:color w:val="000000"/>
          <w:lang w:val="es-ES_tradnl"/>
        </w:rPr>
        <w:t xml:space="preserve">SOLICTANTE </w:t>
      </w:r>
      <w:r w:rsidRPr="005B7458">
        <w:rPr>
          <w:rFonts w:ascii="Palatino Linotype" w:eastAsia="MS Mincho" w:hAnsi="Palatino Linotype" w:cs="Arial"/>
          <w:color w:val="000000"/>
          <w:lang w:val="es-ES_tradnl"/>
        </w:rPr>
        <w:t xml:space="preserve">a efecto de determinar </w:t>
      </w:r>
      <w:bookmarkEnd w:id="55"/>
      <w:r w:rsidR="002E2669" w:rsidRPr="005B7458">
        <w:rPr>
          <w:rFonts w:ascii="Palatino Linotype" w:eastAsia="MS Mincho" w:hAnsi="Palatino Linotype" w:cs="Arial"/>
          <w:color w:val="000000"/>
          <w:lang w:val="es-ES_tradnl"/>
        </w:rPr>
        <w:t xml:space="preserve">si la información remitida se encuentra apegada a lo que </w:t>
      </w:r>
      <w:r w:rsidR="00575053" w:rsidRPr="005B7458">
        <w:rPr>
          <w:rFonts w:ascii="Palatino Linotype" w:eastAsia="MS Mincho" w:hAnsi="Palatino Linotype" w:cs="Arial"/>
          <w:color w:val="000000"/>
          <w:lang w:val="es-ES_tradnl"/>
        </w:rPr>
        <w:t>establece la Ley en materia de T</w:t>
      </w:r>
      <w:r w:rsidR="002E2669" w:rsidRPr="005B7458">
        <w:rPr>
          <w:rFonts w:ascii="Palatino Linotype" w:eastAsia="MS Mincho" w:hAnsi="Palatino Linotype" w:cs="Arial"/>
          <w:color w:val="000000"/>
          <w:lang w:val="es-ES_tradnl"/>
        </w:rPr>
        <w:t xml:space="preserve">ransparencia. </w:t>
      </w:r>
    </w:p>
    <w:p w14:paraId="379AB981" w14:textId="2AE3FE55" w:rsidR="001C2C24" w:rsidRPr="005B7458" w:rsidRDefault="001C2C24" w:rsidP="007D7513">
      <w:pPr>
        <w:spacing w:line="360" w:lineRule="auto"/>
        <w:jc w:val="both"/>
        <w:rPr>
          <w:rFonts w:ascii="Palatino Linotype" w:hAnsi="Palatino Linotype"/>
          <w:b/>
        </w:rPr>
      </w:pPr>
    </w:p>
    <w:p w14:paraId="689A8B31" w14:textId="46B71F3D" w:rsidR="001C2C24" w:rsidRPr="005B7458" w:rsidRDefault="00754275" w:rsidP="007D7513">
      <w:pPr>
        <w:pStyle w:val="Prrafodelista"/>
        <w:numPr>
          <w:ilvl w:val="0"/>
          <w:numId w:val="38"/>
        </w:numPr>
        <w:tabs>
          <w:tab w:val="left" w:pos="0"/>
        </w:tabs>
        <w:spacing w:before="240" w:after="360" w:line="360" w:lineRule="auto"/>
        <w:ind w:left="0" w:firstLine="0"/>
        <w:contextualSpacing/>
        <w:jc w:val="both"/>
        <w:rPr>
          <w:rFonts w:ascii="Palatino Linotype" w:hAnsi="Palatino Linotype"/>
          <w:color w:val="000000"/>
        </w:rPr>
      </w:pPr>
      <w:r w:rsidRPr="005B7458">
        <w:rPr>
          <w:rFonts w:ascii="Palatino Linotype" w:hAnsi="Palatino Linotype"/>
          <w:color w:val="000000"/>
        </w:rPr>
        <w:t>Así y p</w:t>
      </w:r>
      <w:r w:rsidR="001C2C24" w:rsidRPr="005B7458">
        <w:rPr>
          <w:rFonts w:ascii="Palatino Linotype" w:hAnsi="Palatino Linotype"/>
          <w:color w:val="000000"/>
        </w:rPr>
        <w:t xml:space="preserve">revio al estudio de la naturaleza de la información solicitada, resulta necesario señalar que el </w:t>
      </w:r>
      <w:r w:rsidR="001C2C24" w:rsidRPr="005B7458">
        <w:rPr>
          <w:rFonts w:ascii="Palatino Linotype" w:hAnsi="Palatino Linotype"/>
          <w:b/>
          <w:color w:val="000000"/>
        </w:rPr>
        <w:t xml:space="preserve">SUJETO OBLIGADO </w:t>
      </w:r>
      <w:r w:rsidR="001C2C24" w:rsidRPr="005B7458">
        <w:rPr>
          <w:rFonts w:ascii="Palatino Linotype" w:hAnsi="Palatino Linotype"/>
          <w:color w:val="000000"/>
        </w:rPr>
        <w:t>asume contar con la información solicitada, de lo que se deduce que, derivado de sus facultades y atribuciones, genera posee y administra.</w:t>
      </w:r>
    </w:p>
    <w:p w14:paraId="0BDACA0B" w14:textId="6452BA18" w:rsidR="001C2C24" w:rsidRPr="005B7458" w:rsidRDefault="001C2C24" w:rsidP="007D7513">
      <w:pPr>
        <w:numPr>
          <w:ilvl w:val="0"/>
          <w:numId w:val="38"/>
        </w:numPr>
        <w:spacing w:before="240" w:after="360" w:line="360" w:lineRule="auto"/>
        <w:ind w:left="0" w:firstLine="0"/>
        <w:contextualSpacing/>
        <w:jc w:val="both"/>
        <w:rPr>
          <w:rFonts w:ascii="Palatino Linotype" w:eastAsia="MS Mincho" w:hAnsi="Palatino Linotype" w:cs="Arial"/>
          <w:i/>
          <w:lang w:val="es-MX"/>
        </w:rPr>
      </w:pPr>
      <w:r w:rsidRPr="005B7458">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5B7458">
        <w:rPr>
          <w:rFonts w:ascii="Palatino Linotype" w:eastAsia="MS Mincho" w:hAnsi="Palatino Linotype"/>
          <w:color w:val="000000"/>
          <w:lang w:val="es-ES_tradnl" w:eastAsia="es-MX"/>
        </w:rPr>
        <w:t xml:space="preserve">, en </w:t>
      </w:r>
      <w:r w:rsidRPr="005B7458">
        <w:rPr>
          <w:rFonts w:ascii="Palatino Linotype" w:eastAsia="MS Mincho" w:hAnsi="Palatino Linotype"/>
          <w:color w:val="000000"/>
          <w:lang w:val="es-ES_tradnl" w:eastAsia="es-MX"/>
        </w:rPr>
        <w:lastRenderedPageBreak/>
        <w:t xml:space="preserve">ese sentido el </w:t>
      </w:r>
      <w:r w:rsidRPr="005B7458">
        <w:rPr>
          <w:rFonts w:ascii="Palatino Linotype" w:eastAsia="MS Mincho" w:hAnsi="Palatino Linotype"/>
          <w:b/>
          <w:color w:val="000000"/>
          <w:lang w:val="es-ES_tradnl" w:eastAsia="es-MX"/>
        </w:rPr>
        <w:t xml:space="preserve">SUJETO OBLIGADO, </w:t>
      </w:r>
      <w:r w:rsidRPr="005B7458">
        <w:rPr>
          <w:rFonts w:ascii="Palatino Linotype" w:eastAsia="MS Mincho" w:hAnsi="Palatino Linotype"/>
          <w:color w:val="000000"/>
          <w:lang w:val="es-ES_tradnl" w:eastAsia="es-MX"/>
        </w:rPr>
        <w:t>está reconociendo implícitamente que la misma obra en sus archivos.</w:t>
      </w:r>
    </w:p>
    <w:p w14:paraId="7A364737" w14:textId="77777777" w:rsidR="00754275" w:rsidRPr="005B7458" w:rsidRDefault="00754275" w:rsidP="00754275">
      <w:pPr>
        <w:spacing w:before="240" w:after="360" w:line="360" w:lineRule="auto"/>
        <w:contextualSpacing/>
        <w:jc w:val="both"/>
        <w:rPr>
          <w:rFonts w:ascii="Palatino Linotype" w:eastAsia="MS Mincho" w:hAnsi="Palatino Linotype" w:cs="Arial"/>
          <w:i/>
          <w:lang w:val="es-MX"/>
        </w:rPr>
      </w:pPr>
    </w:p>
    <w:p w14:paraId="6385C968" w14:textId="4FA40DAC" w:rsidR="001C2C24" w:rsidRPr="005B7458" w:rsidRDefault="001C2C24" w:rsidP="007D7513">
      <w:pPr>
        <w:numPr>
          <w:ilvl w:val="0"/>
          <w:numId w:val="38"/>
        </w:numPr>
        <w:spacing w:after="160" w:line="360" w:lineRule="auto"/>
        <w:ind w:left="0" w:firstLine="0"/>
        <w:jc w:val="both"/>
        <w:rPr>
          <w:rFonts w:ascii="Palatino Linotype" w:hAnsi="Palatino Linotype" w:cs="Arial"/>
        </w:rPr>
      </w:pPr>
      <w:r w:rsidRPr="005B7458">
        <w:rPr>
          <w:rFonts w:ascii="Palatino Linotype" w:eastAsia="Calibri" w:hAnsi="Palatino Linotype" w:cs="Arial"/>
          <w:bCs/>
          <w:lang w:val="es-MX"/>
        </w:rPr>
        <w:t>No obstante lo anterior</w:t>
      </w:r>
      <w:r w:rsidRPr="005B7458">
        <w:rPr>
          <w:rFonts w:ascii="Palatino Linotype" w:eastAsia="Calibri" w:hAnsi="Palatino Linotype" w:cs="Arial"/>
          <w:bCs/>
        </w:rPr>
        <w:t xml:space="preserve">, es pertinente mencionar que, </w:t>
      </w:r>
      <w:r w:rsidRPr="005B7458">
        <w:rPr>
          <w:rFonts w:ascii="Palatino Linotype" w:eastAsia="MS Mincho" w:hAnsi="Palatino Linotype"/>
          <w:lang w:eastAsia="es-ES_tradnl"/>
        </w:rPr>
        <w:t xml:space="preserve">el </w:t>
      </w:r>
      <w:r w:rsidRPr="005B7458">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3AD701A" w14:textId="77777777" w:rsidR="001C2C24" w:rsidRPr="005B7458" w:rsidRDefault="001C2C24" w:rsidP="007D7513">
      <w:pPr>
        <w:spacing w:after="160" w:line="360" w:lineRule="auto"/>
        <w:jc w:val="both"/>
        <w:rPr>
          <w:rFonts w:ascii="Palatino Linotype" w:hAnsi="Palatino Linotype" w:cs="Arial"/>
        </w:rPr>
      </w:pPr>
    </w:p>
    <w:p w14:paraId="1E8C8A94" w14:textId="77777777" w:rsidR="001C2C24" w:rsidRPr="005B7458" w:rsidRDefault="001C2C24" w:rsidP="007D7513">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5B7458">
        <w:rPr>
          <w:rFonts w:ascii="Palatino Linotype" w:eastAsia="Calibri" w:hAnsi="Palatino Linotype"/>
          <w:b/>
          <w:i/>
          <w:lang w:val="es-MX" w:eastAsia="es-ES_tradnl"/>
        </w:rPr>
        <w:t>Artículo 18.</w:t>
      </w:r>
      <w:r w:rsidRPr="005B7458">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0AD038B" w14:textId="77777777" w:rsidR="001C2C24" w:rsidRPr="005B7458" w:rsidRDefault="001C2C24" w:rsidP="007D7513">
      <w:pPr>
        <w:spacing w:line="360" w:lineRule="auto"/>
        <w:jc w:val="both"/>
        <w:rPr>
          <w:rFonts w:ascii="Palatino Linotype" w:hAnsi="Palatino Linotype" w:cs="Arial"/>
        </w:rPr>
      </w:pPr>
    </w:p>
    <w:p w14:paraId="586DB2AD" w14:textId="77777777" w:rsidR="001C2C24" w:rsidRPr="005B7458" w:rsidRDefault="001C2C24" w:rsidP="007D7513">
      <w:pPr>
        <w:numPr>
          <w:ilvl w:val="0"/>
          <w:numId w:val="38"/>
        </w:numPr>
        <w:spacing w:after="160" w:line="360" w:lineRule="auto"/>
        <w:ind w:left="0" w:firstLine="0"/>
        <w:jc w:val="both"/>
        <w:rPr>
          <w:rFonts w:ascii="Palatino Linotype" w:hAnsi="Palatino Linotype" w:cs="Arial"/>
        </w:rPr>
      </w:pPr>
      <w:r w:rsidRPr="005B7458">
        <w:rPr>
          <w:rFonts w:ascii="Palatino Linotype" w:eastAsia="Calibri" w:hAnsi="Palatino Linotype" w:cs="Arial"/>
          <w:lang w:val="es-MX" w:eastAsia="en-US"/>
        </w:rPr>
        <w:t xml:space="preserve">Por otro lado, </w:t>
      </w:r>
      <w:r w:rsidRPr="005B7458">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5B7458">
        <w:rPr>
          <w:rFonts w:ascii="Palatino Linotype" w:hAnsi="Palatino Linotype"/>
          <w:b/>
          <w:lang w:val="es-MX" w:eastAsia="es-MX"/>
        </w:rPr>
        <w:t>SUJETOS OBLIGADOS</w:t>
      </w:r>
      <w:r w:rsidRPr="005B7458">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036C861F" w14:textId="77777777" w:rsidR="001C2C24" w:rsidRPr="005B7458" w:rsidRDefault="001C2C24" w:rsidP="007D7513">
      <w:pPr>
        <w:spacing w:line="360" w:lineRule="auto"/>
        <w:jc w:val="both"/>
        <w:rPr>
          <w:rFonts w:ascii="Palatino Linotype" w:hAnsi="Palatino Linotype" w:cs="Arial"/>
        </w:rPr>
      </w:pPr>
    </w:p>
    <w:p w14:paraId="7561FC9F" w14:textId="77777777" w:rsidR="001C2C24" w:rsidRPr="005B7458" w:rsidRDefault="001C2C24" w:rsidP="007D7513">
      <w:pPr>
        <w:spacing w:after="160" w:line="360" w:lineRule="auto"/>
        <w:ind w:left="567" w:right="567"/>
        <w:jc w:val="both"/>
        <w:rPr>
          <w:rFonts w:ascii="Palatino Linotype" w:hAnsi="Palatino Linotype"/>
          <w:i/>
          <w:lang w:eastAsia="en-US"/>
        </w:rPr>
      </w:pPr>
      <w:r w:rsidRPr="005B7458">
        <w:rPr>
          <w:rFonts w:ascii="Palatino Linotype" w:hAnsi="Palatino Linotype"/>
          <w:i/>
          <w:lang w:eastAsia="en-US"/>
        </w:rPr>
        <w:t>“</w:t>
      </w:r>
      <w:r w:rsidRPr="005B7458">
        <w:rPr>
          <w:rFonts w:ascii="Palatino Linotype" w:hAnsi="Palatino Linotype"/>
          <w:b/>
          <w:i/>
          <w:lang w:eastAsia="en-US"/>
        </w:rPr>
        <w:t>Artículo 4.</w:t>
      </w:r>
      <w:r w:rsidRPr="005B7458">
        <w:rPr>
          <w:rFonts w:ascii="Palatino Linotype" w:hAnsi="Palatino Linotype"/>
          <w:i/>
          <w:lang w:eastAsia="en-US"/>
        </w:rPr>
        <w:t xml:space="preserve"> </w:t>
      </w:r>
    </w:p>
    <w:p w14:paraId="4B2543CA" w14:textId="77777777" w:rsidR="001C2C24" w:rsidRPr="005B7458" w:rsidRDefault="001C2C24" w:rsidP="007D7513">
      <w:pPr>
        <w:spacing w:after="160" w:line="360" w:lineRule="auto"/>
        <w:ind w:left="567" w:right="567"/>
        <w:jc w:val="both"/>
        <w:rPr>
          <w:rFonts w:ascii="Palatino Linotype" w:hAnsi="Palatino Linotype"/>
          <w:i/>
          <w:lang w:eastAsia="en-US"/>
        </w:rPr>
      </w:pPr>
      <w:r w:rsidRPr="005B7458">
        <w:rPr>
          <w:rFonts w:ascii="Palatino Linotype" w:hAnsi="Palatino Linotype"/>
          <w:i/>
          <w:lang w:eastAsia="en-US"/>
        </w:rPr>
        <w:t>(…)</w:t>
      </w:r>
    </w:p>
    <w:p w14:paraId="6FA6891A" w14:textId="77777777" w:rsidR="001C2C24" w:rsidRPr="005B7458" w:rsidRDefault="001C2C24" w:rsidP="007D7513">
      <w:pPr>
        <w:spacing w:after="160" w:line="360" w:lineRule="auto"/>
        <w:ind w:left="567" w:right="567"/>
        <w:jc w:val="both"/>
        <w:rPr>
          <w:rFonts w:ascii="Palatino Linotype" w:hAnsi="Palatino Linotype"/>
          <w:i/>
          <w:lang w:eastAsia="en-US"/>
        </w:rPr>
      </w:pPr>
      <w:r w:rsidRPr="005B7458">
        <w:rPr>
          <w:rFonts w:ascii="Palatino Linotype" w:hAnsi="Palatino Linotype"/>
          <w:b/>
          <w:i/>
          <w:lang w:eastAsia="en-US"/>
        </w:rPr>
        <w:lastRenderedPageBreak/>
        <w:t>Toda la información generada, obtenida, adquirida, transformada, administrada o en posesión de los sujetos obligados es pública y accesible de manera permanente a cualquier persona,</w:t>
      </w:r>
      <w:r w:rsidRPr="005B7458">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5B7458">
        <w:rPr>
          <w:rFonts w:ascii="Palatino Linotype" w:hAnsi="Palatino Linotype"/>
          <w:b/>
          <w:i/>
          <w:lang w:eastAsia="en-US"/>
        </w:rPr>
        <w:t>principio de máxima publicidad</w:t>
      </w:r>
      <w:r w:rsidRPr="005B7458">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2E699C9" w14:textId="77777777" w:rsidR="001C2C24" w:rsidRPr="005B7458" w:rsidRDefault="001C2C24" w:rsidP="007D7513">
      <w:pPr>
        <w:spacing w:after="160" w:line="360" w:lineRule="auto"/>
        <w:ind w:left="567" w:right="567"/>
        <w:jc w:val="both"/>
        <w:rPr>
          <w:rFonts w:ascii="Palatino Linotype" w:hAnsi="Palatino Linotype"/>
          <w:i/>
          <w:lang w:eastAsia="en-US"/>
        </w:rPr>
      </w:pPr>
      <w:r w:rsidRPr="005B7458">
        <w:rPr>
          <w:rFonts w:ascii="Palatino Linotype" w:hAnsi="Palatino Linotype"/>
          <w:i/>
          <w:lang w:eastAsia="en-US"/>
        </w:rPr>
        <w:t>(…)</w:t>
      </w:r>
    </w:p>
    <w:p w14:paraId="43A6B13A" w14:textId="77777777" w:rsidR="001C2C24" w:rsidRPr="005B7458" w:rsidRDefault="001C2C24" w:rsidP="007D7513">
      <w:pPr>
        <w:spacing w:after="160" w:line="360" w:lineRule="auto"/>
        <w:ind w:right="567"/>
        <w:jc w:val="both"/>
        <w:rPr>
          <w:rFonts w:ascii="Palatino Linotype" w:hAnsi="Palatino Linotype"/>
          <w:lang w:eastAsia="en-US"/>
        </w:rPr>
      </w:pPr>
    </w:p>
    <w:p w14:paraId="6CE9C58D" w14:textId="77777777" w:rsidR="001C2C24" w:rsidRPr="005B7458" w:rsidRDefault="001C2C24" w:rsidP="007D7513">
      <w:pPr>
        <w:spacing w:after="160" w:line="360" w:lineRule="auto"/>
        <w:ind w:left="567" w:right="567"/>
        <w:jc w:val="both"/>
        <w:rPr>
          <w:rFonts w:ascii="Palatino Linotype" w:hAnsi="Palatino Linotype"/>
          <w:i/>
          <w:lang w:eastAsia="en-US"/>
        </w:rPr>
      </w:pPr>
      <w:r w:rsidRPr="005B7458">
        <w:rPr>
          <w:rFonts w:ascii="Palatino Linotype" w:hAnsi="Palatino Linotype"/>
          <w:i/>
          <w:lang w:eastAsia="en-US"/>
        </w:rPr>
        <w:t>(Énfasis añadido)</w:t>
      </w:r>
    </w:p>
    <w:p w14:paraId="5F4C9700" w14:textId="77777777" w:rsidR="001C2C24" w:rsidRPr="005B7458" w:rsidRDefault="001C2C24" w:rsidP="007D7513">
      <w:pPr>
        <w:spacing w:line="360" w:lineRule="auto"/>
        <w:jc w:val="both"/>
        <w:rPr>
          <w:rFonts w:ascii="Palatino Linotype" w:hAnsi="Palatino Linotype" w:cs="Arial"/>
        </w:rPr>
      </w:pPr>
    </w:p>
    <w:p w14:paraId="1849C0AE" w14:textId="77777777" w:rsidR="001C2C24" w:rsidRPr="005B7458" w:rsidRDefault="001C2C24" w:rsidP="007D7513">
      <w:pPr>
        <w:numPr>
          <w:ilvl w:val="0"/>
          <w:numId w:val="38"/>
        </w:numPr>
        <w:spacing w:after="160" w:line="360" w:lineRule="auto"/>
        <w:ind w:left="0" w:firstLine="0"/>
        <w:jc w:val="both"/>
        <w:rPr>
          <w:rFonts w:ascii="Palatino Linotype" w:hAnsi="Palatino Linotype" w:cs="Arial"/>
        </w:rPr>
      </w:pPr>
      <w:r w:rsidRPr="005B7458">
        <w:rPr>
          <w:rFonts w:ascii="Palatino Linotype" w:eastAsia="Calibri" w:hAnsi="Palatino Linotype" w:cs="Arial"/>
          <w:lang w:val="es-MX" w:eastAsia="en-US"/>
        </w:rPr>
        <w:t xml:space="preserve">En ese sentido, no debe de pasar de vista para el </w:t>
      </w:r>
      <w:r w:rsidRPr="005B7458">
        <w:rPr>
          <w:rFonts w:ascii="Palatino Linotype" w:eastAsia="Calibri" w:hAnsi="Palatino Linotype" w:cs="Arial"/>
          <w:b/>
          <w:lang w:val="es-MX" w:eastAsia="en-US"/>
        </w:rPr>
        <w:t>SUJETO OBLIGADO</w:t>
      </w:r>
      <w:r w:rsidRPr="005B7458">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0719958" w14:textId="77777777" w:rsidR="001C2C24" w:rsidRPr="005B7458" w:rsidRDefault="001C2C24" w:rsidP="007D7513">
      <w:pPr>
        <w:spacing w:line="360" w:lineRule="auto"/>
        <w:jc w:val="both"/>
        <w:rPr>
          <w:rFonts w:ascii="Palatino Linotype" w:hAnsi="Palatino Linotype" w:cs="Arial"/>
        </w:rPr>
      </w:pPr>
    </w:p>
    <w:p w14:paraId="01149F69" w14:textId="77777777" w:rsidR="001C2C24" w:rsidRPr="005B7458" w:rsidRDefault="001C2C24" w:rsidP="007D7513">
      <w:pPr>
        <w:spacing w:after="160" w:line="360" w:lineRule="auto"/>
        <w:ind w:left="567" w:right="567"/>
        <w:jc w:val="both"/>
        <w:rPr>
          <w:rFonts w:ascii="Palatino Linotype" w:eastAsia="Calibri" w:hAnsi="Palatino Linotype"/>
          <w:i/>
          <w:lang w:val="es-MX" w:eastAsia="en-US"/>
        </w:rPr>
      </w:pPr>
      <w:r w:rsidRPr="005B7458">
        <w:rPr>
          <w:rFonts w:ascii="Palatino Linotype" w:eastAsia="Calibri" w:hAnsi="Palatino Linotype"/>
          <w:i/>
          <w:lang w:val="es-MX" w:eastAsia="en-US"/>
        </w:rPr>
        <w:lastRenderedPageBreak/>
        <w:t>“</w:t>
      </w:r>
      <w:r w:rsidRPr="005B7458">
        <w:rPr>
          <w:rFonts w:ascii="Palatino Linotype" w:eastAsia="Calibri" w:hAnsi="Palatino Linotype"/>
          <w:b/>
          <w:i/>
          <w:lang w:val="es-MX" w:eastAsia="en-US"/>
        </w:rPr>
        <w:t>Artículo 8.</w:t>
      </w:r>
      <w:r w:rsidRPr="005B7458">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F343BD7" w14:textId="77777777" w:rsidR="001C2C24" w:rsidRPr="005B7458" w:rsidRDefault="001C2C24" w:rsidP="007D7513">
      <w:pPr>
        <w:spacing w:after="160" w:line="360" w:lineRule="auto"/>
        <w:ind w:left="567" w:right="567"/>
        <w:jc w:val="both"/>
        <w:rPr>
          <w:rFonts w:ascii="Palatino Linotype" w:eastAsia="Calibri" w:hAnsi="Palatino Linotype"/>
          <w:i/>
          <w:lang w:val="es-MX" w:eastAsia="en-US"/>
        </w:rPr>
      </w:pPr>
    </w:p>
    <w:p w14:paraId="61E85F87" w14:textId="77777777" w:rsidR="001C2C24" w:rsidRPr="005B7458" w:rsidRDefault="001C2C24" w:rsidP="007D7513">
      <w:pPr>
        <w:spacing w:after="160" w:line="360" w:lineRule="auto"/>
        <w:ind w:left="567" w:right="567"/>
        <w:jc w:val="both"/>
        <w:rPr>
          <w:rFonts w:ascii="Palatino Linotype" w:eastAsia="Calibri" w:hAnsi="Palatino Linotype"/>
          <w:i/>
          <w:lang w:val="es-MX" w:eastAsia="en-US"/>
        </w:rPr>
      </w:pPr>
      <w:r w:rsidRPr="005B7458">
        <w:rPr>
          <w:rFonts w:ascii="Palatino Linotype" w:eastAsia="Calibri" w:hAnsi="Palatino Linotype"/>
          <w:b/>
          <w:i/>
          <w:lang w:val="es-MX" w:eastAsia="en-US"/>
        </w:rPr>
        <w:t>En la aplicación e interpretación de la presente Ley deberá prevalecer el principio de máxima publicidad,</w:t>
      </w:r>
      <w:r w:rsidRPr="005B7458">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AA59AC5" w14:textId="77777777" w:rsidR="001C2C24" w:rsidRPr="005B7458" w:rsidRDefault="001C2C24" w:rsidP="007D7513">
      <w:pPr>
        <w:spacing w:after="160" w:line="360" w:lineRule="auto"/>
        <w:ind w:left="567" w:right="567"/>
        <w:jc w:val="both"/>
        <w:rPr>
          <w:rFonts w:ascii="Palatino Linotype" w:eastAsia="Calibri" w:hAnsi="Palatino Linotype"/>
          <w:i/>
          <w:lang w:val="es-MX" w:eastAsia="en-US"/>
        </w:rPr>
      </w:pPr>
    </w:p>
    <w:p w14:paraId="2E2F35C2" w14:textId="77777777" w:rsidR="001C2C24" w:rsidRPr="005B7458" w:rsidRDefault="001C2C24" w:rsidP="007D7513">
      <w:pPr>
        <w:spacing w:after="160" w:line="360" w:lineRule="auto"/>
        <w:ind w:left="567" w:right="567"/>
        <w:jc w:val="both"/>
        <w:rPr>
          <w:rFonts w:ascii="Palatino Linotype" w:eastAsia="Calibri" w:hAnsi="Palatino Linotype"/>
          <w:i/>
          <w:lang w:val="es-MX" w:eastAsia="en-US"/>
        </w:rPr>
      </w:pPr>
      <w:r w:rsidRPr="005B7458">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642E242C" w14:textId="77777777" w:rsidR="001C2C24" w:rsidRPr="005B7458" w:rsidRDefault="001C2C24" w:rsidP="007D7513">
      <w:pPr>
        <w:spacing w:after="160" w:line="360" w:lineRule="auto"/>
        <w:ind w:left="567" w:right="567"/>
        <w:jc w:val="both"/>
        <w:rPr>
          <w:rFonts w:ascii="Palatino Linotype" w:eastAsia="Calibri" w:hAnsi="Palatino Linotype"/>
          <w:i/>
          <w:lang w:val="es-MX" w:eastAsia="en-US"/>
        </w:rPr>
      </w:pPr>
      <w:r w:rsidRPr="005B7458">
        <w:rPr>
          <w:rFonts w:ascii="Palatino Linotype" w:eastAsia="Calibri" w:hAnsi="Palatino Linotype"/>
          <w:i/>
          <w:lang w:val="es-MX" w:eastAsia="en-US"/>
        </w:rPr>
        <w:t>(Énfasis añadido)</w:t>
      </w:r>
    </w:p>
    <w:p w14:paraId="592E9DE0" w14:textId="77777777" w:rsidR="001C2C24" w:rsidRPr="005B7458" w:rsidRDefault="001C2C24" w:rsidP="007D7513">
      <w:pPr>
        <w:spacing w:line="360" w:lineRule="auto"/>
        <w:jc w:val="both"/>
        <w:rPr>
          <w:rFonts w:ascii="Palatino Linotype" w:hAnsi="Palatino Linotype" w:cs="Arial"/>
        </w:rPr>
      </w:pPr>
    </w:p>
    <w:p w14:paraId="6C6B77CF" w14:textId="77777777" w:rsidR="001C2C24" w:rsidRPr="005B7458" w:rsidRDefault="001C2C24" w:rsidP="007D7513">
      <w:pPr>
        <w:numPr>
          <w:ilvl w:val="0"/>
          <w:numId w:val="38"/>
        </w:numPr>
        <w:spacing w:after="160" w:line="360" w:lineRule="auto"/>
        <w:ind w:left="0" w:firstLine="0"/>
        <w:jc w:val="both"/>
        <w:rPr>
          <w:rFonts w:ascii="Palatino Linotype" w:hAnsi="Palatino Linotype" w:cs="Arial"/>
        </w:rPr>
      </w:pPr>
      <w:r w:rsidRPr="005B7458">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1C51C03A" w14:textId="77777777" w:rsidR="00FD7396" w:rsidRPr="005B7458" w:rsidRDefault="00FD7396" w:rsidP="00FD7396">
      <w:pPr>
        <w:spacing w:after="160" w:line="360" w:lineRule="auto"/>
        <w:jc w:val="both"/>
        <w:rPr>
          <w:rFonts w:ascii="Palatino Linotype" w:hAnsi="Palatino Linotype" w:cs="Arial"/>
        </w:rPr>
      </w:pPr>
    </w:p>
    <w:p w14:paraId="71E02D71" w14:textId="77777777" w:rsidR="001C2C24" w:rsidRPr="005B7458" w:rsidRDefault="001C2C24" w:rsidP="007D7513">
      <w:pPr>
        <w:spacing w:before="240" w:after="240" w:line="360" w:lineRule="auto"/>
        <w:ind w:left="540" w:right="738"/>
        <w:contextualSpacing/>
        <w:jc w:val="both"/>
        <w:rPr>
          <w:rFonts w:ascii="Palatino Linotype" w:eastAsia="Calibri" w:hAnsi="Palatino Linotype"/>
          <w:i/>
        </w:rPr>
      </w:pPr>
      <w:r w:rsidRPr="005B7458">
        <w:rPr>
          <w:rFonts w:ascii="Palatino Linotype" w:eastAsia="Calibri" w:hAnsi="Palatino Linotype"/>
        </w:rPr>
        <w:lastRenderedPageBreak/>
        <w:t>“</w:t>
      </w:r>
      <w:r w:rsidRPr="005B7458">
        <w:rPr>
          <w:rFonts w:ascii="Palatino Linotype" w:eastAsia="Calibri" w:hAnsi="Palatino Linotype"/>
          <w:b/>
          <w:i/>
        </w:rPr>
        <w:t>Artículo 7.</w:t>
      </w:r>
      <w:r w:rsidRPr="005B7458">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03C41F6" w14:textId="77777777" w:rsidR="001C2C24" w:rsidRPr="005B7458" w:rsidRDefault="001C2C24" w:rsidP="007D7513">
      <w:pPr>
        <w:spacing w:line="360" w:lineRule="auto"/>
        <w:jc w:val="both"/>
        <w:rPr>
          <w:rFonts w:ascii="Palatino Linotype" w:hAnsi="Palatino Linotype" w:cs="Arial"/>
        </w:rPr>
      </w:pPr>
    </w:p>
    <w:p w14:paraId="62BB4239" w14:textId="77777777" w:rsidR="001C2C24" w:rsidRPr="005B7458" w:rsidRDefault="001C2C24" w:rsidP="007D7513">
      <w:pPr>
        <w:numPr>
          <w:ilvl w:val="0"/>
          <w:numId w:val="38"/>
        </w:numPr>
        <w:spacing w:after="160" w:line="360" w:lineRule="auto"/>
        <w:ind w:left="0" w:firstLine="0"/>
        <w:jc w:val="both"/>
        <w:rPr>
          <w:rFonts w:ascii="Palatino Linotype" w:hAnsi="Palatino Linotype" w:cs="Arial"/>
        </w:rPr>
      </w:pPr>
      <w:r w:rsidRPr="005B7458">
        <w:rPr>
          <w:rFonts w:ascii="Palatino Linotype" w:eastAsia="Calibri" w:hAnsi="Palatino Linotype" w:cs="Arial"/>
          <w:bCs/>
          <w:lang w:val="es-MX" w:eastAsia="en-US"/>
        </w:rPr>
        <w:t xml:space="preserve">Además, </w:t>
      </w:r>
      <w:r w:rsidRPr="005B7458">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44E865F7" w14:textId="77777777" w:rsidR="001C2C24" w:rsidRPr="005B7458" w:rsidRDefault="001C2C24" w:rsidP="007D7513">
      <w:pPr>
        <w:spacing w:line="360" w:lineRule="auto"/>
        <w:jc w:val="both"/>
        <w:rPr>
          <w:rFonts w:ascii="Palatino Linotype" w:hAnsi="Palatino Linotype" w:cs="Arial"/>
        </w:rPr>
      </w:pPr>
    </w:p>
    <w:p w14:paraId="229C85BB" w14:textId="77777777" w:rsidR="001C2C24" w:rsidRPr="005B7458" w:rsidRDefault="001C2C24" w:rsidP="007D7513">
      <w:pPr>
        <w:spacing w:after="160" w:line="360" w:lineRule="auto"/>
        <w:ind w:left="426" w:right="616"/>
        <w:contextualSpacing/>
        <w:jc w:val="both"/>
        <w:rPr>
          <w:rFonts w:ascii="Palatino Linotype" w:hAnsi="Palatino Linotype" w:cs="Arial"/>
          <w:i/>
          <w:lang w:val="es-MX" w:eastAsia="en-US"/>
        </w:rPr>
      </w:pPr>
      <w:r w:rsidRPr="005B7458">
        <w:rPr>
          <w:rFonts w:ascii="Palatino Linotype" w:hAnsi="Palatino Linotype" w:cs="Arial"/>
          <w:b/>
          <w:i/>
          <w:lang w:eastAsia="en-US"/>
        </w:rPr>
        <w:t>“Artículo 23.</w:t>
      </w:r>
      <w:r w:rsidRPr="005B7458">
        <w:rPr>
          <w:rFonts w:ascii="Palatino Linotype" w:hAnsi="Palatino Linotype" w:cs="Arial"/>
          <w:i/>
          <w:lang w:eastAsia="en-US"/>
        </w:rPr>
        <w:t xml:space="preserve"> Son sujetos obligados a transparentar y permitir el acceso a su información y proteger los datos personales que obren en su poder:”</w:t>
      </w:r>
    </w:p>
    <w:p w14:paraId="69C317F8" w14:textId="77777777" w:rsidR="001C2C24" w:rsidRPr="005B7458" w:rsidRDefault="001C2C24" w:rsidP="007D7513">
      <w:pPr>
        <w:spacing w:after="160" w:line="360" w:lineRule="auto"/>
        <w:contextualSpacing/>
        <w:jc w:val="both"/>
        <w:rPr>
          <w:rFonts w:ascii="Palatino Linotype" w:eastAsia="MS Mincho" w:hAnsi="Palatino Linotype"/>
          <w:lang w:val="es-MX" w:eastAsia="en-US"/>
        </w:rPr>
      </w:pPr>
    </w:p>
    <w:p w14:paraId="7C7B7868" w14:textId="77777777" w:rsidR="001C2C24" w:rsidRPr="005B7458" w:rsidRDefault="001C2C24" w:rsidP="007D7513">
      <w:pPr>
        <w:spacing w:before="240" w:after="240" w:line="360" w:lineRule="auto"/>
        <w:ind w:left="567" w:right="616"/>
        <w:contextualSpacing/>
        <w:jc w:val="both"/>
        <w:rPr>
          <w:rFonts w:ascii="Palatino Linotype" w:eastAsia="MS Mincho" w:hAnsi="Palatino Linotype" w:cs="Arial"/>
          <w:lang w:val="es-MX"/>
        </w:rPr>
      </w:pPr>
      <w:r w:rsidRPr="005B7458">
        <w:rPr>
          <w:rFonts w:ascii="Palatino Linotype" w:eastAsia="MS Mincho" w:hAnsi="Palatino Linotype" w:cs="Arial"/>
          <w:lang w:val="es-MX"/>
        </w:rPr>
        <w:t>(…)</w:t>
      </w:r>
    </w:p>
    <w:p w14:paraId="27C71C87" w14:textId="77777777" w:rsidR="001C2C24" w:rsidRPr="005B7458" w:rsidRDefault="001C2C24" w:rsidP="007D7513">
      <w:pPr>
        <w:spacing w:before="240" w:after="240" w:line="360" w:lineRule="auto"/>
        <w:ind w:left="567" w:right="616"/>
        <w:contextualSpacing/>
        <w:jc w:val="both"/>
        <w:rPr>
          <w:rFonts w:ascii="Palatino Linotype" w:eastAsia="MS Mincho" w:hAnsi="Palatino Linotype" w:cs="Arial"/>
          <w:b/>
          <w:lang w:val="es-MX"/>
        </w:rPr>
      </w:pPr>
    </w:p>
    <w:p w14:paraId="7B1E12F2" w14:textId="08F068E3" w:rsidR="001C2C24" w:rsidRPr="005B7458" w:rsidRDefault="00927329" w:rsidP="00927329">
      <w:pPr>
        <w:spacing w:before="240" w:after="240" w:line="360" w:lineRule="auto"/>
        <w:ind w:left="567" w:right="616"/>
        <w:contextualSpacing/>
        <w:jc w:val="both"/>
        <w:rPr>
          <w:rFonts w:ascii="Palatino Linotype" w:eastAsia="MS Mincho" w:hAnsi="Palatino Linotype" w:cs="Arial"/>
          <w:b/>
          <w:i/>
          <w:lang w:val="es-MX"/>
        </w:rPr>
      </w:pPr>
      <w:r w:rsidRPr="005B7458">
        <w:rPr>
          <w:rFonts w:ascii="Palatino Linotype" w:eastAsia="MS Mincho" w:hAnsi="Palatino Linotype" w:cs="Arial"/>
          <w:b/>
          <w:i/>
          <w:lang w:val="es-MX"/>
        </w:rPr>
        <w:t>IV. Los ayuntamientos y las dependencias, organismos, órganos y entidades de la administración municipal;"</w:t>
      </w:r>
    </w:p>
    <w:p w14:paraId="4BC9D60F" w14:textId="77777777" w:rsidR="001C2C24" w:rsidRPr="005B7458" w:rsidRDefault="001C2C24" w:rsidP="007D7513">
      <w:pPr>
        <w:tabs>
          <w:tab w:val="left" w:pos="851"/>
        </w:tabs>
        <w:spacing w:line="360" w:lineRule="auto"/>
        <w:ind w:left="567" w:right="616"/>
        <w:contextualSpacing/>
        <w:jc w:val="both"/>
        <w:rPr>
          <w:rFonts w:ascii="Palatino Linotype" w:hAnsi="Palatino Linotype" w:cs="Arial"/>
          <w:i/>
          <w:lang w:val="es-MX" w:eastAsia="en-US"/>
        </w:rPr>
      </w:pPr>
      <w:r w:rsidRPr="005B7458">
        <w:rPr>
          <w:rFonts w:ascii="Palatino Linotype" w:hAnsi="Palatino Linotype" w:cs="Arial"/>
          <w:i/>
          <w:lang w:val="es-MX" w:eastAsia="en-US"/>
        </w:rPr>
        <w:t>(…)”</w:t>
      </w:r>
    </w:p>
    <w:p w14:paraId="1925D8F0" w14:textId="77777777" w:rsidR="001C2C24" w:rsidRPr="005B7458" w:rsidRDefault="001C2C24" w:rsidP="007D7513">
      <w:pPr>
        <w:spacing w:line="360" w:lineRule="auto"/>
        <w:jc w:val="both"/>
        <w:rPr>
          <w:rFonts w:ascii="Palatino Linotype" w:hAnsi="Palatino Linotype" w:cs="Arial"/>
        </w:rPr>
      </w:pPr>
    </w:p>
    <w:p w14:paraId="5C0040B5" w14:textId="6F2B738A" w:rsidR="001C2C24" w:rsidRPr="005B7458" w:rsidRDefault="001C2C24" w:rsidP="007D7513">
      <w:pPr>
        <w:numPr>
          <w:ilvl w:val="0"/>
          <w:numId w:val="38"/>
        </w:numPr>
        <w:spacing w:after="160" w:line="360" w:lineRule="auto"/>
        <w:ind w:left="0" w:firstLine="0"/>
        <w:jc w:val="both"/>
        <w:rPr>
          <w:rFonts w:ascii="Palatino Linotype" w:hAnsi="Palatino Linotype" w:cs="Arial"/>
        </w:rPr>
      </w:pPr>
      <w:r w:rsidRPr="005B7458">
        <w:rPr>
          <w:rFonts w:ascii="Palatino Linotype" w:eastAsia="Calibri" w:hAnsi="Palatino Linotype"/>
          <w:lang w:val="es-ES_tradnl"/>
        </w:rPr>
        <w:t xml:space="preserve">Al tenor de lo anterior, es oportuno establecer que </w:t>
      </w:r>
      <w:r w:rsidRPr="005B7458">
        <w:rPr>
          <w:rFonts w:ascii="Palatino Linotype" w:hAnsi="Palatino Linotype"/>
          <w:lang w:eastAsia="es-MX"/>
        </w:rPr>
        <w:t xml:space="preserve">la fracción XIV del artículo 92 de la Ley de Transparencia y Acceso a la Información del Estado de México y </w:t>
      </w:r>
      <w:r w:rsidRPr="005B7458">
        <w:rPr>
          <w:rFonts w:ascii="Palatino Linotype" w:hAnsi="Palatino Linotype"/>
          <w:lang w:eastAsia="es-MX"/>
        </w:rPr>
        <w:lastRenderedPageBreak/>
        <w:t xml:space="preserve">Municipios, establece que las remuneraciones, declaraciones patrimoniales e informes de actividades, constituyen una obligación de transparencia común, como a continuación se observa: </w:t>
      </w:r>
    </w:p>
    <w:p w14:paraId="10BF5193" w14:textId="77777777" w:rsidR="001C2C24" w:rsidRPr="005B7458" w:rsidRDefault="001C2C24" w:rsidP="007D7513">
      <w:pPr>
        <w:spacing w:line="360" w:lineRule="auto"/>
        <w:jc w:val="both"/>
        <w:rPr>
          <w:rFonts w:ascii="Palatino Linotype" w:hAnsi="Palatino Linotype" w:cs="Arial"/>
        </w:rPr>
      </w:pPr>
    </w:p>
    <w:p w14:paraId="16A92482" w14:textId="77777777" w:rsidR="001C2C24" w:rsidRPr="005B7458" w:rsidRDefault="001C2C24" w:rsidP="007D7513">
      <w:pPr>
        <w:spacing w:before="240" w:after="360" w:line="360" w:lineRule="auto"/>
        <w:ind w:left="567" w:right="616"/>
        <w:contextualSpacing/>
        <w:jc w:val="both"/>
        <w:rPr>
          <w:rFonts w:ascii="Palatino Linotype" w:hAnsi="Palatino Linotype"/>
          <w:i/>
        </w:rPr>
      </w:pPr>
      <w:r w:rsidRPr="005B7458">
        <w:rPr>
          <w:rFonts w:ascii="Palatino Linotype" w:hAnsi="Palatino Linotype"/>
          <w:i/>
        </w:rPr>
        <w:t>“</w:t>
      </w:r>
      <w:r w:rsidRPr="005B7458">
        <w:rPr>
          <w:rFonts w:ascii="Palatino Linotype" w:hAnsi="Palatino Linotype"/>
          <w:b/>
          <w:i/>
        </w:rPr>
        <w:t>Artículo 92.</w:t>
      </w:r>
      <w:r w:rsidRPr="005B7458">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1EA5A3A" w14:textId="77777777" w:rsidR="001C2C24" w:rsidRPr="005B7458" w:rsidRDefault="001C2C24" w:rsidP="007D7513">
      <w:pPr>
        <w:spacing w:before="240" w:after="240" w:line="360" w:lineRule="auto"/>
        <w:ind w:right="616"/>
        <w:contextualSpacing/>
        <w:jc w:val="both"/>
        <w:rPr>
          <w:rFonts w:ascii="Palatino Linotype" w:eastAsia="MS Mincho" w:hAnsi="Palatino Linotype"/>
          <w:i/>
        </w:rPr>
      </w:pPr>
    </w:p>
    <w:p w14:paraId="46945C74" w14:textId="77777777" w:rsidR="001C2C24" w:rsidRPr="005B7458" w:rsidRDefault="001C2C24" w:rsidP="007D7513">
      <w:pPr>
        <w:spacing w:before="240" w:after="240" w:line="360" w:lineRule="auto"/>
        <w:ind w:left="567" w:right="616"/>
        <w:contextualSpacing/>
        <w:jc w:val="both"/>
        <w:rPr>
          <w:rFonts w:ascii="Palatino Linotype" w:eastAsia="MS Mincho" w:hAnsi="Palatino Linotype"/>
          <w:i/>
        </w:rPr>
      </w:pPr>
      <w:r w:rsidRPr="005B7458">
        <w:rPr>
          <w:rFonts w:ascii="Palatino Linotype" w:eastAsia="MS Mincho" w:hAnsi="Palatino Linotype"/>
          <w:i/>
        </w:rPr>
        <w:t xml:space="preserve"> (…)</w:t>
      </w:r>
    </w:p>
    <w:p w14:paraId="220194A3" w14:textId="77777777" w:rsidR="00754275" w:rsidRPr="005B7458" w:rsidRDefault="00754275" w:rsidP="007D7513">
      <w:pPr>
        <w:spacing w:before="240" w:after="240" w:line="360" w:lineRule="auto"/>
        <w:ind w:left="567" w:right="616"/>
        <w:contextualSpacing/>
        <w:jc w:val="both"/>
        <w:rPr>
          <w:rFonts w:ascii="Palatino Linotype" w:eastAsia="MS Mincho" w:hAnsi="Palatino Linotype"/>
          <w:i/>
        </w:rPr>
      </w:pPr>
    </w:p>
    <w:p w14:paraId="44ABB1DF" w14:textId="1FDAA53B" w:rsidR="001C2C24" w:rsidRPr="005B7458" w:rsidRDefault="00754275" w:rsidP="007D7513">
      <w:pPr>
        <w:spacing w:before="240" w:after="240" w:line="360" w:lineRule="auto"/>
        <w:ind w:left="567" w:right="616"/>
        <w:contextualSpacing/>
        <w:jc w:val="both"/>
        <w:rPr>
          <w:rFonts w:ascii="Palatino Linotype" w:eastAsia="MS Mincho" w:hAnsi="Palatino Linotype"/>
          <w:i/>
        </w:rPr>
      </w:pPr>
      <w:r w:rsidRPr="005B7458">
        <w:rPr>
          <w:rFonts w:ascii="Palatino Linotype" w:eastAsia="MS Mincho" w:hAnsi="Palatino Linotype"/>
          <w:i/>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EFE7793" w14:textId="40D5BBD2" w:rsidR="001C2C24" w:rsidRPr="005B7458" w:rsidRDefault="001C2C24" w:rsidP="007D7513">
      <w:pPr>
        <w:spacing w:before="240" w:after="240" w:line="360" w:lineRule="auto"/>
        <w:ind w:left="567" w:right="616"/>
        <w:contextualSpacing/>
        <w:jc w:val="both"/>
        <w:rPr>
          <w:rFonts w:ascii="Palatino Linotype" w:eastAsia="MS Mincho" w:hAnsi="Palatino Linotype"/>
          <w:i/>
        </w:rPr>
      </w:pPr>
    </w:p>
    <w:p w14:paraId="2E75DB5D" w14:textId="0F5703F1" w:rsidR="001C2C24" w:rsidRPr="005B7458" w:rsidRDefault="00754275" w:rsidP="007D7513">
      <w:pPr>
        <w:spacing w:before="240" w:after="240" w:line="360" w:lineRule="auto"/>
        <w:ind w:left="567" w:right="616"/>
        <w:contextualSpacing/>
        <w:jc w:val="both"/>
        <w:rPr>
          <w:rFonts w:ascii="Palatino Linotype" w:eastAsia="MS Mincho" w:hAnsi="Palatino Linotype"/>
          <w:i/>
        </w:rPr>
      </w:pPr>
      <w:r w:rsidRPr="005B7458">
        <w:rPr>
          <w:rFonts w:ascii="Palatino Linotype" w:eastAsia="MS Mincho" w:hAnsi="Palatino Linotype"/>
          <w:i/>
        </w:rPr>
        <w:t xml:space="preserve"> </w:t>
      </w:r>
      <w:r w:rsidR="001C2C24" w:rsidRPr="005B7458">
        <w:rPr>
          <w:rFonts w:ascii="Palatino Linotype" w:eastAsia="MS Mincho" w:hAnsi="Palatino Linotype"/>
          <w:i/>
        </w:rPr>
        <w:t>(…)</w:t>
      </w:r>
    </w:p>
    <w:p w14:paraId="56FAF25D" w14:textId="77777777" w:rsidR="001C2C24" w:rsidRPr="005B7458" w:rsidRDefault="001C2C24" w:rsidP="007D7513">
      <w:pPr>
        <w:spacing w:before="240" w:after="240" w:line="360" w:lineRule="auto"/>
        <w:ind w:left="567" w:right="616"/>
        <w:contextualSpacing/>
        <w:jc w:val="both"/>
        <w:rPr>
          <w:rFonts w:ascii="Palatino Linotype" w:eastAsia="MS Mincho" w:hAnsi="Palatino Linotype"/>
          <w:i/>
        </w:rPr>
      </w:pPr>
    </w:p>
    <w:p w14:paraId="13362AC4" w14:textId="634A8595" w:rsidR="001C2C24" w:rsidRPr="005B7458" w:rsidRDefault="00754275" w:rsidP="007D7513">
      <w:pPr>
        <w:spacing w:after="160" w:line="360" w:lineRule="auto"/>
        <w:jc w:val="both"/>
        <w:rPr>
          <w:rFonts w:ascii="Palatino Linotype" w:eastAsia="Calibri" w:hAnsi="Palatino Linotype" w:cs="Arial"/>
          <w:i/>
          <w:lang w:val="es-MX"/>
        </w:rPr>
      </w:pPr>
      <w:r w:rsidRPr="005B7458">
        <w:rPr>
          <w:rFonts w:ascii="Palatino Linotype" w:eastAsia="Calibri" w:hAnsi="Palatino Linotype" w:cs="Arial"/>
          <w:i/>
          <w:lang w:val="es-MX"/>
        </w:rPr>
        <w:t xml:space="preserve"> </w:t>
      </w:r>
      <w:r w:rsidR="001C2C24" w:rsidRPr="005B7458">
        <w:rPr>
          <w:rFonts w:ascii="Palatino Linotype" w:eastAsia="Calibri" w:hAnsi="Palatino Linotype" w:cs="Arial"/>
          <w:i/>
          <w:lang w:val="es-MX"/>
        </w:rPr>
        <w:t xml:space="preserve">(Énfasis añadido)  </w:t>
      </w:r>
    </w:p>
    <w:p w14:paraId="20136B4F" w14:textId="77777777" w:rsidR="001C2C24" w:rsidRPr="005B7458" w:rsidRDefault="001C2C24" w:rsidP="007D7513">
      <w:pPr>
        <w:spacing w:after="160" w:line="360" w:lineRule="auto"/>
        <w:jc w:val="both"/>
        <w:rPr>
          <w:rFonts w:ascii="Palatino Linotype" w:eastAsia="Calibri" w:hAnsi="Palatino Linotype" w:cs="Arial"/>
          <w:i/>
          <w:lang w:val="es-MX"/>
        </w:rPr>
      </w:pPr>
    </w:p>
    <w:p w14:paraId="4277B83F" w14:textId="6AD2B33E" w:rsidR="00282C55" w:rsidRPr="005B7458" w:rsidRDefault="001C2C24" w:rsidP="00282C55">
      <w:pPr>
        <w:numPr>
          <w:ilvl w:val="0"/>
          <w:numId w:val="38"/>
        </w:numPr>
        <w:tabs>
          <w:tab w:val="left" w:pos="284"/>
          <w:tab w:val="left" w:pos="426"/>
        </w:tabs>
        <w:spacing w:before="240" w:after="240" w:line="360" w:lineRule="auto"/>
        <w:ind w:left="0" w:right="49" w:firstLine="0"/>
        <w:contextualSpacing/>
        <w:jc w:val="both"/>
        <w:rPr>
          <w:rFonts w:ascii="Palatino Linotype" w:hAnsi="Palatino Linotype" w:cs="Arial"/>
          <w:lang w:eastAsia="en-US"/>
        </w:rPr>
      </w:pPr>
      <w:r w:rsidRPr="005B7458">
        <w:rPr>
          <w:rFonts w:ascii="Palatino Linotype" w:hAnsi="Palatino Linotype" w:cs="Arial"/>
          <w:lang w:eastAsia="en-US"/>
        </w:rPr>
        <w:t>De lo anterior se coligue que los Sujetos Obligados deberán poner a disposición de la ciudadanía toda información re</w:t>
      </w:r>
      <w:r w:rsidR="00155D53" w:rsidRPr="005B7458">
        <w:rPr>
          <w:rFonts w:ascii="Palatino Linotype" w:hAnsi="Palatino Linotype" w:cs="Arial"/>
          <w:lang w:eastAsia="en-US"/>
        </w:rPr>
        <w:t xml:space="preserve">lacionada con las </w:t>
      </w:r>
      <w:r w:rsidR="0089347C" w:rsidRPr="005B7458">
        <w:rPr>
          <w:rFonts w:ascii="Palatino Linotype" w:hAnsi="Palatino Linotype" w:cs="Arial"/>
          <w:lang w:eastAsia="en-US"/>
        </w:rPr>
        <w:t xml:space="preserve">licencias otorgadas a </w:t>
      </w:r>
      <w:r w:rsidR="0089347C" w:rsidRPr="005B7458">
        <w:rPr>
          <w:rFonts w:ascii="Palatino Linotype" w:hAnsi="Palatino Linotype" w:cs="Arial"/>
          <w:lang w:eastAsia="en-US"/>
        </w:rPr>
        <w:lastRenderedPageBreak/>
        <w:t>particulares</w:t>
      </w:r>
      <w:r w:rsidR="00282C55" w:rsidRPr="005B7458">
        <w:rPr>
          <w:rFonts w:ascii="Palatino Linotype" w:hAnsi="Palatino Linotype" w:cs="Arial"/>
          <w:lang w:eastAsia="en-US"/>
        </w:rPr>
        <w:t>, d</w:t>
      </w:r>
      <w:r w:rsidR="00282C55" w:rsidRPr="005B7458">
        <w:rPr>
          <w:rFonts w:ascii="Palatino Linotype" w:hAnsi="Palatino Linotype" w:cs="Arial"/>
          <w:lang w:val="es-ES_tradnl" w:eastAsia="en-US"/>
        </w:rPr>
        <w:t>amostrada</w:t>
      </w:r>
      <w:r w:rsidR="0069195B" w:rsidRPr="005B7458">
        <w:rPr>
          <w:rFonts w:ascii="Palatino Linotype" w:hAnsi="Palatino Linotype" w:cs="Arial"/>
          <w:lang w:val="es-ES_tradnl" w:eastAsia="en-US"/>
        </w:rPr>
        <w:t xml:space="preserve"> </w:t>
      </w:r>
      <w:r w:rsidR="0069195B" w:rsidRPr="005B7458">
        <w:rPr>
          <w:rFonts w:ascii="Palatino Linotype" w:hAnsi="Palatino Linotype" w:cs="Arial"/>
          <w:lang w:eastAsia="en-US"/>
        </w:rPr>
        <w:t xml:space="preserve">la procedencia del acceso en términos de la Ley de Transparencia Estatal, </w:t>
      </w:r>
      <w:r w:rsidR="008E04DE" w:rsidRPr="005B7458">
        <w:rPr>
          <w:rFonts w:ascii="Palatino Linotype" w:hAnsi="Palatino Linotype" w:cs="Arial"/>
          <w:lang w:eastAsia="en-US"/>
        </w:rPr>
        <w:t>resulta oportuno traer a contexto</w:t>
      </w:r>
      <w:r w:rsidR="00282C55" w:rsidRPr="005B7458">
        <w:rPr>
          <w:rFonts w:ascii="Palatino Linotype" w:hAnsi="Palatino Linotype" w:cs="Arial"/>
          <w:lang w:eastAsia="en-US"/>
        </w:rPr>
        <w:t xml:space="preserve"> la Ley Orgánica Municipal del Estado de México,</w:t>
      </w:r>
      <w:r w:rsidR="00927329" w:rsidRPr="005B7458">
        <w:rPr>
          <w:rFonts w:ascii="Palatino Linotype" w:hAnsi="Palatino Linotype" w:cs="Arial"/>
          <w:lang w:eastAsia="en-US"/>
        </w:rPr>
        <w:t xml:space="preserve"> misma que de conformidad con la fracción XIX del</w:t>
      </w:r>
      <w:r w:rsidR="00282C55" w:rsidRPr="005B7458">
        <w:rPr>
          <w:rFonts w:ascii="Palatino Linotype" w:hAnsi="Palatino Linotype" w:cs="Arial"/>
          <w:lang w:eastAsia="en-US"/>
        </w:rPr>
        <w:t xml:space="preserve"> artículo </w:t>
      </w:r>
      <w:r w:rsidR="00927329" w:rsidRPr="005B7458">
        <w:rPr>
          <w:rFonts w:ascii="Palatino Linotype" w:hAnsi="Palatino Linotype" w:cs="Arial"/>
          <w:lang w:eastAsia="en-US"/>
        </w:rPr>
        <w:t>96 Quáter</w:t>
      </w:r>
      <w:r w:rsidR="00282C55" w:rsidRPr="005B7458">
        <w:rPr>
          <w:rFonts w:ascii="Palatino Linotype" w:hAnsi="Palatino Linotype" w:cs="Arial"/>
          <w:lang w:eastAsia="en-US"/>
        </w:rPr>
        <w:t>, establece</w:t>
      </w:r>
      <w:r w:rsidR="00927329" w:rsidRPr="005B7458">
        <w:rPr>
          <w:rFonts w:ascii="Palatino Linotype" w:hAnsi="Palatino Linotype" w:cs="Arial"/>
          <w:lang w:eastAsia="en-US"/>
        </w:rPr>
        <w:t xml:space="preserve"> como atribuciones del Titular de la Dirección de Desarrollo Económico </w:t>
      </w:r>
      <w:r w:rsidR="00282C55" w:rsidRPr="005B7458">
        <w:rPr>
          <w:rFonts w:ascii="Palatino Linotype" w:hAnsi="Palatino Linotype" w:cs="Arial"/>
          <w:lang w:eastAsia="en-US"/>
        </w:rPr>
        <w:t xml:space="preserve">: </w:t>
      </w:r>
    </w:p>
    <w:p w14:paraId="1A9F5C0F" w14:textId="77777777" w:rsidR="00282C55" w:rsidRPr="005B7458" w:rsidRDefault="00282C55" w:rsidP="00282C55">
      <w:pPr>
        <w:tabs>
          <w:tab w:val="left" w:pos="284"/>
          <w:tab w:val="left" w:pos="426"/>
        </w:tabs>
        <w:spacing w:before="240" w:after="240" w:line="360" w:lineRule="auto"/>
        <w:ind w:right="49"/>
        <w:contextualSpacing/>
        <w:jc w:val="both"/>
        <w:rPr>
          <w:rFonts w:ascii="Palatino Linotype" w:hAnsi="Palatino Linotype" w:cs="Arial"/>
          <w:lang w:eastAsia="en-US"/>
        </w:rPr>
      </w:pPr>
    </w:p>
    <w:p w14:paraId="4937E087" w14:textId="63145E71" w:rsidR="00282C55" w:rsidRPr="005B7458" w:rsidRDefault="00282C55" w:rsidP="00282C55">
      <w:pPr>
        <w:tabs>
          <w:tab w:val="left" w:pos="284"/>
          <w:tab w:val="left" w:pos="426"/>
        </w:tabs>
        <w:spacing w:before="240" w:after="240" w:line="360" w:lineRule="auto"/>
        <w:ind w:left="567" w:right="49"/>
        <w:contextualSpacing/>
        <w:jc w:val="both"/>
        <w:rPr>
          <w:rFonts w:ascii="Palatino Linotype" w:hAnsi="Palatino Linotype" w:cs="Arial"/>
          <w:i/>
          <w:lang w:eastAsia="en-US"/>
        </w:rPr>
      </w:pPr>
      <w:r w:rsidRPr="005B7458">
        <w:rPr>
          <w:rFonts w:ascii="Palatino Linotype" w:hAnsi="Palatino Linotype" w:cs="Arial"/>
          <w:lang w:eastAsia="en-US"/>
        </w:rPr>
        <w:t>“</w:t>
      </w:r>
      <w:r w:rsidR="00927329" w:rsidRPr="005B7458">
        <w:rPr>
          <w:rFonts w:ascii="Palatino Linotype" w:hAnsi="Palatino Linotype" w:cs="Arial"/>
          <w:b/>
          <w:i/>
          <w:lang w:eastAsia="en-US"/>
        </w:rPr>
        <w:t>Artículo 96 Quáter.-</w:t>
      </w:r>
      <w:r w:rsidR="00927329" w:rsidRPr="005B7458">
        <w:rPr>
          <w:rFonts w:ascii="Palatino Linotype" w:hAnsi="Palatino Linotype" w:cs="Arial"/>
          <w:i/>
          <w:lang w:eastAsia="en-US"/>
        </w:rPr>
        <w:t xml:space="preserve"> El Titular de la Dirección de Desarrollo Económico Municipal o el Titular de la Unidad Administrativa equivalente, tiene las siguientes atribuciones:</w:t>
      </w:r>
    </w:p>
    <w:p w14:paraId="58EEBD29" w14:textId="77777777" w:rsidR="00927329" w:rsidRPr="005B7458" w:rsidRDefault="00927329" w:rsidP="00282C55">
      <w:pPr>
        <w:tabs>
          <w:tab w:val="left" w:pos="284"/>
          <w:tab w:val="left" w:pos="426"/>
        </w:tabs>
        <w:spacing w:before="240" w:after="240" w:line="360" w:lineRule="auto"/>
        <w:ind w:left="567" w:right="49"/>
        <w:contextualSpacing/>
        <w:jc w:val="both"/>
        <w:rPr>
          <w:rFonts w:ascii="Palatino Linotype" w:hAnsi="Palatino Linotype" w:cs="Arial"/>
          <w:i/>
          <w:lang w:eastAsia="en-US"/>
        </w:rPr>
      </w:pPr>
    </w:p>
    <w:p w14:paraId="59DBB1D9" w14:textId="48999692" w:rsidR="00927329" w:rsidRPr="005B7458" w:rsidRDefault="00927329" w:rsidP="00282C55">
      <w:pPr>
        <w:tabs>
          <w:tab w:val="left" w:pos="284"/>
          <w:tab w:val="left" w:pos="426"/>
        </w:tabs>
        <w:spacing w:before="240" w:after="240" w:line="360" w:lineRule="auto"/>
        <w:ind w:left="567" w:right="49"/>
        <w:contextualSpacing/>
        <w:jc w:val="both"/>
        <w:rPr>
          <w:rFonts w:ascii="Palatino Linotype" w:hAnsi="Palatino Linotype" w:cs="Arial"/>
          <w:i/>
          <w:lang w:eastAsia="en-US"/>
        </w:rPr>
      </w:pPr>
      <w:r w:rsidRPr="005B7458">
        <w:rPr>
          <w:rFonts w:ascii="Palatino Linotype" w:hAnsi="Palatino Linotype" w:cs="Arial"/>
          <w:i/>
          <w:lang w:eastAsia="en-US"/>
        </w:rPr>
        <w:t>(…)</w:t>
      </w:r>
    </w:p>
    <w:p w14:paraId="47323E33" w14:textId="77777777" w:rsidR="00927329" w:rsidRPr="005B7458" w:rsidRDefault="00927329" w:rsidP="00282C55">
      <w:pPr>
        <w:tabs>
          <w:tab w:val="left" w:pos="284"/>
          <w:tab w:val="left" w:pos="426"/>
        </w:tabs>
        <w:spacing w:before="240" w:after="240" w:line="360" w:lineRule="auto"/>
        <w:ind w:left="567" w:right="49"/>
        <w:contextualSpacing/>
        <w:jc w:val="both"/>
        <w:rPr>
          <w:rFonts w:ascii="Palatino Linotype" w:hAnsi="Palatino Linotype" w:cs="Arial"/>
          <w:i/>
          <w:lang w:eastAsia="en-US"/>
        </w:rPr>
      </w:pPr>
    </w:p>
    <w:p w14:paraId="6D88F83A" w14:textId="6C16B892" w:rsidR="00927329" w:rsidRPr="005B7458" w:rsidRDefault="00927329" w:rsidP="00282C55">
      <w:pPr>
        <w:tabs>
          <w:tab w:val="left" w:pos="284"/>
          <w:tab w:val="left" w:pos="426"/>
        </w:tabs>
        <w:spacing w:before="240" w:after="240" w:line="360" w:lineRule="auto"/>
        <w:ind w:left="567" w:right="49"/>
        <w:contextualSpacing/>
        <w:jc w:val="both"/>
        <w:rPr>
          <w:rFonts w:ascii="Palatino Linotype" w:hAnsi="Palatino Linotype" w:cs="Arial"/>
          <w:i/>
          <w:lang w:eastAsia="en-US"/>
        </w:rPr>
      </w:pPr>
      <w:r w:rsidRPr="005B7458">
        <w:rPr>
          <w:rFonts w:ascii="Palatino Linotype" w:hAnsi="Palatino Linotype" w:cs="Arial"/>
          <w:b/>
          <w:i/>
          <w:lang w:eastAsia="en-US"/>
        </w:rPr>
        <w:t xml:space="preserve">XIX. Operar y actualizar el Registro Municipal de Unidades Económicas de los permisos o licencias de funcionamiento otorgadas </w:t>
      </w:r>
      <w:r w:rsidRPr="005B7458">
        <w:rPr>
          <w:rFonts w:ascii="Palatino Linotype" w:hAnsi="Palatino Linotype" w:cs="Arial"/>
          <w:i/>
          <w:lang w:eastAsia="en-US"/>
        </w:rPr>
        <w:t>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14:paraId="0AF9A959" w14:textId="77777777" w:rsidR="00927329" w:rsidRPr="005B7458" w:rsidRDefault="00927329" w:rsidP="00282C55">
      <w:pPr>
        <w:tabs>
          <w:tab w:val="left" w:pos="284"/>
          <w:tab w:val="left" w:pos="426"/>
        </w:tabs>
        <w:spacing w:before="240" w:after="240" w:line="360" w:lineRule="auto"/>
        <w:ind w:left="567" w:right="49"/>
        <w:contextualSpacing/>
        <w:jc w:val="both"/>
        <w:rPr>
          <w:rFonts w:ascii="Palatino Linotype" w:hAnsi="Palatino Linotype" w:cs="Arial"/>
          <w:i/>
          <w:lang w:eastAsia="en-US"/>
        </w:rPr>
      </w:pPr>
    </w:p>
    <w:p w14:paraId="26E269A4" w14:textId="0A5BCE19" w:rsidR="00927329" w:rsidRPr="005B7458" w:rsidRDefault="00927329" w:rsidP="00282C55">
      <w:pPr>
        <w:tabs>
          <w:tab w:val="left" w:pos="284"/>
          <w:tab w:val="left" w:pos="426"/>
        </w:tabs>
        <w:spacing w:before="240" w:after="240" w:line="360" w:lineRule="auto"/>
        <w:ind w:left="567" w:right="49"/>
        <w:contextualSpacing/>
        <w:jc w:val="both"/>
        <w:rPr>
          <w:rFonts w:ascii="Palatino Linotype" w:hAnsi="Palatino Linotype" w:cs="Arial"/>
          <w:i/>
          <w:lang w:eastAsia="en-US"/>
        </w:rPr>
      </w:pPr>
      <w:r w:rsidRPr="005B7458">
        <w:rPr>
          <w:rFonts w:ascii="Palatino Linotype" w:hAnsi="Palatino Linotype" w:cs="Arial"/>
          <w:i/>
          <w:lang w:eastAsia="en-US"/>
        </w:rPr>
        <w:t>(…)” (Sic)</w:t>
      </w:r>
    </w:p>
    <w:p w14:paraId="0A2C1855" w14:textId="7F9155E5" w:rsidR="00282C55" w:rsidRPr="005B7458" w:rsidRDefault="00282C55" w:rsidP="00927329">
      <w:pPr>
        <w:tabs>
          <w:tab w:val="left" w:pos="284"/>
          <w:tab w:val="left" w:pos="426"/>
        </w:tabs>
        <w:spacing w:before="240" w:after="240" w:line="360" w:lineRule="auto"/>
        <w:ind w:right="616"/>
        <w:contextualSpacing/>
        <w:jc w:val="both"/>
        <w:rPr>
          <w:rFonts w:ascii="Palatino Linotype" w:hAnsi="Palatino Linotype" w:cs="Arial"/>
          <w:i/>
          <w:lang w:eastAsia="en-US"/>
        </w:rPr>
      </w:pPr>
    </w:p>
    <w:p w14:paraId="398E84FB" w14:textId="50E25F93" w:rsidR="00AD4845" w:rsidRPr="005B7458" w:rsidRDefault="00AD4845" w:rsidP="00282C55">
      <w:pPr>
        <w:numPr>
          <w:ilvl w:val="0"/>
          <w:numId w:val="38"/>
        </w:numPr>
        <w:tabs>
          <w:tab w:val="left" w:pos="284"/>
          <w:tab w:val="left" w:pos="426"/>
        </w:tabs>
        <w:spacing w:before="240" w:after="240" w:line="360" w:lineRule="auto"/>
        <w:ind w:left="0" w:right="49" w:firstLine="0"/>
        <w:contextualSpacing/>
        <w:jc w:val="both"/>
        <w:rPr>
          <w:rFonts w:ascii="Palatino Linotype" w:hAnsi="Palatino Linotype" w:cs="Arial"/>
          <w:lang w:eastAsia="en-US"/>
        </w:rPr>
      </w:pPr>
      <w:r w:rsidRPr="005B7458">
        <w:rPr>
          <w:rFonts w:ascii="Palatino Linotype" w:hAnsi="Palatino Linotype" w:cs="Arial"/>
          <w:lang w:eastAsia="en-US"/>
        </w:rPr>
        <w:t xml:space="preserve">Señalado lo anterior,  resulta oportuno precisar lo que establecen los artículos 32 y 33 el Reglamento Municipal para el Funcionamiento de las Unidades Económicas Comerciales, Industriales y de Prestación de Servicios del Municipio de Huixquilucan, como a continuación se observa: </w:t>
      </w:r>
    </w:p>
    <w:p w14:paraId="298B533A" w14:textId="77777777" w:rsidR="00AD4845" w:rsidRPr="005B7458" w:rsidRDefault="00AD4845" w:rsidP="00AD4845">
      <w:pPr>
        <w:tabs>
          <w:tab w:val="left" w:pos="284"/>
          <w:tab w:val="left" w:pos="426"/>
        </w:tabs>
        <w:spacing w:before="240" w:after="240" w:line="360" w:lineRule="auto"/>
        <w:ind w:right="49"/>
        <w:contextualSpacing/>
        <w:jc w:val="both"/>
        <w:rPr>
          <w:rFonts w:ascii="Palatino Linotype" w:hAnsi="Palatino Linotype" w:cs="Arial"/>
          <w:lang w:eastAsia="en-US"/>
        </w:rPr>
      </w:pPr>
    </w:p>
    <w:p w14:paraId="6104AF0F" w14:textId="13E120AC"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lastRenderedPageBreak/>
        <w:t>“</w:t>
      </w:r>
      <w:r w:rsidRPr="005B7458">
        <w:rPr>
          <w:rFonts w:ascii="Palatino Linotype" w:hAnsi="Palatino Linotype" w:cs="Arial"/>
          <w:b/>
          <w:i/>
          <w:lang w:eastAsia="en-US"/>
        </w:rPr>
        <w:t>Artículo 32.-</w:t>
      </w:r>
      <w:r w:rsidRPr="005B7458">
        <w:rPr>
          <w:rFonts w:ascii="Palatino Linotype" w:hAnsi="Palatino Linotype" w:cs="Arial"/>
          <w:i/>
          <w:lang w:eastAsia="en-US"/>
        </w:rPr>
        <w:t xml:space="preserve"> </w:t>
      </w:r>
      <w:r w:rsidRPr="005B7458">
        <w:rPr>
          <w:rFonts w:ascii="Palatino Linotype" w:hAnsi="Palatino Linotype" w:cs="Arial"/>
          <w:b/>
          <w:i/>
          <w:lang w:eastAsia="en-US"/>
        </w:rPr>
        <w:t>La solicitud Formato Único de Apertura de Licencia de Funcionamiento, de las unidades económicas</w:t>
      </w:r>
      <w:r w:rsidRPr="005B7458">
        <w:rPr>
          <w:rFonts w:ascii="Palatino Linotype" w:hAnsi="Palatino Linotype" w:cs="Arial"/>
          <w:i/>
          <w:lang w:eastAsia="en-US"/>
        </w:rPr>
        <w:t>, además de lo dispuesto en la Ley de Competitividad y Ordenamiento Comercial del Estado de México, deberán presentarse ante la Dirección General de Desarrollo Económico y Empresarial, los requisitos siguientes:</w:t>
      </w:r>
    </w:p>
    <w:p w14:paraId="5E9E73D8" w14:textId="77777777"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cs="Arial"/>
          <w:i/>
          <w:lang w:eastAsia="en-US"/>
        </w:rPr>
      </w:pPr>
    </w:p>
    <w:p w14:paraId="448F7B13" w14:textId="1CE20B1F"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w:t>
      </w:r>
    </w:p>
    <w:p w14:paraId="26D17663" w14:textId="77777777"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cs="Arial"/>
          <w:i/>
          <w:lang w:eastAsia="en-US"/>
        </w:rPr>
      </w:pPr>
    </w:p>
    <w:p w14:paraId="4CB76A70" w14:textId="60771267"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cs="Arial"/>
          <w:b/>
          <w:i/>
          <w:lang w:eastAsia="en-US"/>
        </w:rPr>
      </w:pPr>
      <w:r w:rsidRPr="005B7458">
        <w:rPr>
          <w:rFonts w:ascii="Palatino Linotype" w:hAnsi="Palatino Linotype" w:cs="Arial"/>
          <w:b/>
          <w:i/>
          <w:lang w:eastAsia="en-US"/>
        </w:rPr>
        <w:t>X. Dictamen Único de Factibilidad, según corresponda al caso particular, emitido por la Comisión Estatal de Factibilidad;</w:t>
      </w:r>
    </w:p>
    <w:p w14:paraId="3D2AE36E" w14:textId="77777777"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cs="Arial"/>
          <w:i/>
          <w:lang w:eastAsia="en-US"/>
        </w:rPr>
      </w:pPr>
    </w:p>
    <w:p w14:paraId="3163CE60" w14:textId="702D5B82"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w:t>
      </w:r>
    </w:p>
    <w:p w14:paraId="7FCF08BF" w14:textId="77777777"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cs="Arial"/>
          <w:i/>
          <w:lang w:eastAsia="en-US"/>
        </w:rPr>
      </w:pPr>
    </w:p>
    <w:p w14:paraId="15730AC9" w14:textId="24304ABD"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b/>
          <w:i/>
          <w:lang w:eastAsia="en-US"/>
        </w:rPr>
        <w:t>Artículo 33.-</w:t>
      </w:r>
      <w:r w:rsidRPr="005B7458">
        <w:rPr>
          <w:rFonts w:ascii="Palatino Linotype" w:hAnsi="Palatino Linotype" w:cs="Arial"/>
          <w:i/>
          <w:lang w:eastAsia="en-US"/>
        </w:rPr>
        <w:t xml:space="preserve"> La solicitud de Permiso Provisional de Funcionamiento o Licencia de Funcionamiento deberá presentarse ante la Dirección General de Desarrollo Económico y Empresarial, debiendo incluir, además de los requisitos e información del artículo anterior, los siguientes:</w:t>
      </w:r>
    </w:p>
    <w:p w14:paraId="5BB61B58" w14:textId="72DFCEF4"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w:t>
      </w:r>
    </w:p>
    <w:p w14:paraId="07E0D604" w14:textId="77777777"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cs="Arial"/>
          <w:i/>
          <w:lang w:eastAsia="en-US"/>
        </w:rPr>
      </w:pPr>
    </w:p>
    <w:p w14:paraId="0F13693E" w14:textId="77777777"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b/>
          <w:i/>
        </w:rPr>
      </w:pPr>
      <w:r w:rsidRPr="005B7458">
        <w:rPr>
          <w:rFonts w:ascii="Palatino Linotype" w:hAnsi="Palatino Linotype"/>
          <w:b/>
          <w:i/>
        </w:rPr>
        <w:t xml:space="preserve">IV. Dictamen técnico expedido por la Dirección General de Desarrollo Urbano Sustentable, relativo a la seguridad e idoneidad del inmueble en que se pretendan prestar los servicios o realizar la actividad económica de que se trate la solicitud, especificando en todo caso, el uso del suelo autorizado por el Plan de Desarrollo Urbano Municipal vigente en la zona en que se pretenda ubicar el Establecimiento; y </w:t>
      </w:r>
    </w:p>
    <w:p w14:paraId="3AF5E0D7" w14:textId="77777777"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b/>
          <w:i/>
        </w:rPr>
      </w:pPr>
    </w:p>
    <w:p w14:paraId="51F5F766" w14:textId="2749DB41" w:rsidR="00AD4845" w:rsidRPr="005B7458" w:rsidRDefault="00AD4845" w:rsidP="00AD4845">
      <w:pPr>
        <w:tabs>
          <w:tab w:val="left" w:pos="284"/>
          <w:tab w:val="left" w:pos="426"/>
        </w:tabs>
        <w:spacing w:before="240" w:after="240" w:line="360" w:lineRule="auto"/>
        <w:ind w:left="567" w:right="616"/>
        <w:contextualSpacing/>
        <w:jc w:val="both"/>
        <w:rPr>
          <w:rFonts w:ascii="Palatino Linotype" w:hAnsi="Palatino Linotype"/>
          <w:i/>
        </w:rPr>
      </w:pPr>
      <w:r w:rsidRPr="005B7458">
        <w:rPr>
          <w:rFonts w:ascii="Palatino Linotype" w:hAnsi="Palatino Linotype"/>
          <w:b/>
          <w:i/>
        </w:rPr>
        <w:t>V. Dictamen de viabilidad expedido por la Unidad de Protección Civil, en el que se determine con toda precisión si el inmueble en el cual se pretende realizar la actividad económica, cuenta con todas las medidas de seguridad que para Establecimientos de su clase impongan los ordenamientos legales aplicables.”</w:t>
      </w:r>
      <w:r w:rsidRPr="005B7458">
        <w:rPr>
          <w:rFonts w:ascii="Palatino Linotype" w:hAnsi="Palatino Linotype"/>
          <w:i/>
        </w:rPr>
        <w:t xml:space="preserve"> (Sic)</w:t>
      </w:r>
    </w:p>
    <w:p w14:paraId="3B6D2CEC" w14:textId="2B9072AB" w:rsidR="00AD4845" w:rsidRPr="005B7458" w:rsidRDefault="00AD4845" w:rsidP="00AD4845">
      <w:pPr>
        <w:tabs>
          <w:tab w:val="left" w:pos="284"/>
          <w:tab w:val="left" w:pos="426"/>
        </w:tabs>
        <w:spacing w:before="240" w:after="240" w:line="360" w:lineRule="auto"/>
        <w:ind w:right="49"/>
        <w:contextualSpacing/>
        <w:jc w:val="both"/>
        <w:rPr>
          <w:rFonts w:ascii="Palatino Linotype" w:hAnsi="Palatino Linotype" w:cs="Arial"/>
          <w:lang w:eastAsia="en-US"/>
        </w:rPr>
      </w:pPr>
      <w:r w:rsidRPr="005B7458">
        <w:rPr>
          <w:rFonts w:ascii="Palatino Linotype" w:hAnsi="Palatino Linotype" w:cs="Arial"/>
          <w:lang w:eastAsia="en-US"/>
        </w:rPr>
        <w:t xml:space="preserve"> </w:t>
      </w:r>
    </w:p>
    <w:p w14:paraId="576D209B" w14:textId="4E982040" w:rsidR="00AD4845" w:rsidRPr="005B7458" w:rsidRDefault="00282C55" w:rsidP="00282C55">
      <w:pPr>
        <w:numPr>
          <w:ilvl w:val="0"/>
          <w:numId w:val="38"/>
        </w:numPr>
        <w:tabs>
          <w:tab w:val="left" w:pos="284"/>
          <w:tab w:val="left" w:pos="426"/>
        </w:tabs>
        <w:spacing w:before="240" w:after="240" w:line="360" w:lineRule="auto"/>
        <w:ind w:left="0" w:right="49" w:firstLine="0"/>
        <w:contextualSpacing/>
        <w:jc w:val="both"/>
        <w:rPr>
          <w:rFonts w:ascii="Palatino Linotype" w:hAnsi="Palatino Linotype" w:cs="Arial"/>
          <w:lang w:eastAsia="en-US"/>
        </w:rPr>
      </w:pPr>
      <w:r w:rsidRPr="005B7458">
        <w:rPr>
          <w:rFonts w:ascii="Palatino Linotype" w:hAnsi="Palatino Linotype" w:cs="Arial"/>
          <w:lang w:eastAsia="en-US"/>
        </w:rPr>
        <w:t>En ese mismo sentido la Ley de Competitividad y Ordenamiento Comercial del Estado de México, señala en su diverso</w:t>
      </w:r>
      <w:r w:rsidR="00AD4845" w:rsidRPr="005B7458">
        <w:rPr>
          <w:rFonts w:ascii="Palatino Linotype" w:hAnsi="Palatino Linotype" w:cs="Arial"/>
          <w:lang w:eastAsia="en-US"/>
        </w:rPr>
        <w:t xml:space="preserve"> 66, que para la obtención de un permiso</w:t>
      </w:r>
      <w:r w:rsidR="00AE0D9D" w:rsidRPr="005B7458">
        <w:rPr>
          <w:rFonts w:ascii="Palatino Linotype" w:hAnsi="Palatino Linotype" w:cs="Arial"/>
          <w:lang w:eastAsia="en-US"/>
        </w:rPr>
        <w:t xml:space="preserve"> o licencia</w:t>
      </w:r>
      <w:r w:rsidR="00AD4845" w:rsidRPr="005B7458">
        <w:rPr>
          <w:rFonts w:ascii="Palatino Linotype" w:hAnsi="Palatino Linotype" w:cs="Arial"/>
          <w:lang w:eastAsia="en-US"/>
        </w:rPr>
        <w:t xml:space="preserve"> de funcionamiento, los solicitantes  tendr</w:t>
      </w:r>
      <w:r w:rsidR="008762BF" w:rsidRPr="005B7458">
        <w:rPr>
          <w:rFonts w:ascii="Palatino Linotype" w:hAnsi="Palatino Linotype" w:cs="Arial"/>
          <w:lang w:eastAsia="en-US"/>
        </w:rPr>
        <w:t>á</w:t>
      </w:r>
      <w:r w:rsidR="00AE0D9D" w:rsidRPr="005B7458">
        <w:rPr>
          <w:rFonts w:ascii="Palatino Linotype" w:hAnsi="Palatino Linotype" w:cs="Arial"/>
          <w:lang w:eastAsia="en-US"/>
        </w:rPr>
        <w:t>n</w:t>
      </w:r>
      <w:r w:rsidR="008762BF" w:rsidRPr="005B7458">
        <w:rPr>
          <w:rFonts w:ascii="Palatino Linotype" w:hAnsi="Palatino Linotype" w:cs="Arial"/>
          <w:lang w:eastAsia="en-US"/>
        </w:rPr>
        <w:t xml:space="preserve"> que cumplir con una serie de requisitos, como a continuación se observa:</w:t>
      </w:r>
    </w:p>
    <w:p w14:paraId="1639899D" w14:textId="77777777" w:rsidR="008762BF" w:rsidRPr="005B7458" w:rsidRDefault="008762BF" w:rsidP="008762BF">
      <w:pPr>
        <w:tabs>
          <w:tab w:val="left" w:pos="284"/>
          <w:tab w:val="left" w:pos="426"/>
        </w:tabs>
        <w:spacing w:before="240" w:after="240" w:line="360" w:lineRule="auto"/>
        <w:ind w:right="49"/>
        <w:contextualSpacing/>
        <w:jc w:val="both"/>
        <w:rPr>
          <w:rFonts w:ascii="Palatino Linotype" w:hAnsi="Palatino Linotype" w:cs="Arial"/>
          <w:lang w:eastAsia="en-US"/>
        </w:rPr>
      </w:pPr>
    </w:p>
    <w:p w14:paraId="386102A9" w14:textId="77777777" w:rsidR="008762BF" w:rsidRPr="005B7458" w:rsidRDefault="008762BF" w:rsidP="008762BF">
      <w:pPr>
        <w:tabs>
          <w:tab w:val="left" w:pos="284"/>
          <w:tab w:val="left" w:pos="426"/>
        </w:tabs>
        <w:spacing w:before="240" w:after="240" w:line="360" w:lineRule="auto"/>
        <w:ind w:right="49"/>
        <w:contextualSpacing/>
        <w:jc w:val="both"/>
        <w:rPr>
          <w:rFonts w:ascii="Palatino Linotype" w:hAnsi="Palatino Linotype" w:cs="Arial"/>
          <w:i/>
          <w:lang w:eastAsia="en-US"/>
        </w:rPr>
      </w:pPr>
    </w:p>
    <w:p w14:paraId="6B031E7A" w14:textId="19391D9C" w:rsidR="00AD4845" w:rsidRPr="005B7458" w:rsidRDefault="008762BF" w:rsidP="008762BF">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w:t>
      </w:r>
      <w:r w:rsidRPr="005B7458">
        <w:rPr>
          <w:rFonts w:ascii="Palatino Linotype" w:hAnsi="Palatino Linotype" w:cs="Arial"/>
          <w:b/>
          <w:i/>
          <w:lang w:eastAsia="en-US"/>
        </w:rPr>
        <w:t>Artículo 66.</w:t>
      </w:r>
      <w:r w:rsidRPr="005B7458">
        <w:rPr>
          <w:rFonts w:ascii="Palatino Linotype" w:hAnsi="Palatino Linotype" w:cs="Arial"/>
          <w:i/>
          <w:lang w:eastAsia="en-US"/>
        </w:rPr>
        <w:t xml:space="preserve"> Para la obtención de un permiso o licencia de funcionamiento, los solicitantes o representante legal tendrán que cumplir los requisitos siguientes:</w:t>
      </w:r>
    </w:p>
    <w:p w14:paraId="66B4BACF" w14:textId="77777777" w:rsidR="008762BF" w:rsidRPr="005B7458" w:rsidRDefault="008762BF" w:rsidP="008762BF">
      <w:pPr>
        <w:tabs>
          <w:tab w:val="left" w:pos="284"/>
          <w:tab w:val="left" w:pos="426"/>
        </w:tabs>
        <w:spacing w:before="240" w:after="240" w:line="360" w:lineRule="auto"/>
        <w:ind w:left="567" w:right="616"/>
        <w:contextualSpacing/>
        <w:jc w:val="both"/>
        <w:rPr>
          <w:rFonts w:ascii="Palatino Linotype" w:hAnsi="Palatino Linotype" w:cs="Arial"/>
          <w:i/>
          <w:lang w:eastAsia="en-US"/>
        </w:rPr>
      </w:pPr>
    </w:p>
    <w:p w14:paraId="663664E1" w14:textId="6CA31545" w:rsidR="008762BF" w:rsidRPr="005B7458" w:rsidRDefault="008762BF" w:rsidP="008762BF">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 xml:space="preserve">I. Solicitud en la que se señale la razón social del solicitante, así como domicilio para oír y recibir notificaciones y dirección de correo electrónico para los efectos de esta Ley. En caso de que el solicitante sea persona física se cotejarán los datos de la credencial para votar con fotografía. </w:t>
      </w:r>
    </w:p>
    <w:p w14:paraId="69064BE7" w14:textId="4773DD25" w:rsidR="008762BF" w:rsidRPr="005B7458" w:rsidRDefault="008762BF" w:rsidP="008762BF">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 xml:space="preserve">II. Actividad económica que se pretende operar. </w:t>
      </w:r>
    </w:p>
    <w:p w14:paraId="7A05E156" w14:textId="42F7AFA1" w:rsidR="008762BF" w:rsidRPr="005B7458" w:rsidRDefault="008762BF" w:rsidP="008762BF">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 xml:space="preserve">III. Datos de la licencia de uso del suelo que señale el permitido para la actividad económica que se pretende operar. </w:t>
      </w:r>
    </w:p>
    <w:p w14:paraId="4EA28DDD" w14:textId="77777777" w:rsidR="008762BF" w:rsidRPr="005B7458" w:rsidRDefault="008762BF" w:rsidP="008762BF">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 xml:space="preserve">IV. Que cuenta con los cajones de estacionamiento que determine la autoridad correspondiente. </w:t>
      </w:r>
    </w:p>
    <w:p w14:paraId="3F31980E" w14:textId="33198F80" w:rsidR="008762BF" w:rsidRPr="005B7458" w:rsidRDefault="008762BF" w:rsidP="008762BF">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lastRenderedPageBreak/>
        <w:t xml:space="preserve">V. La capacidad de aforo respectiva. </w:t>
      </w:r>
    </w:p>
    <w:p w14:paraId="5062D676" w14:textId="77777777" w:rsidR="008762BF" w:rsidRPr="005B7458" w:rsidRDefault="008762BF" w:rsidP="008762BF">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 xml:space="preserve">VI. Dar cuenta del programa interno de protección civil. </w:t>
      </w:r>
    </w:p>
    <w:p w14:paraId="76A2FD6F" w14:textId="77777777" w:rsidR="008762BF" w:rsidRPr="005B7458" w:rsidRDefault="008762BF" w:rsidP="008762BF">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b/>
          <w:i/>
          <w:lang w:eastAsia="en-US"/>
        </w:rPr>
        <w:t>VII. Dictamen de Giro o permiso, en su caso, emitido por la autoridad municipal.</w:t>
      </w:r>
      <w:r w:rsidRPr="005B7458">
        <w:rPr>
          <w:rFonts w:ascii="Palatino Linotype" w:hAnsi="Palatino Linotype" w:cs="Arial"/>
          <w:i/>
          <w:lang w:eastAsia="en-US"/>
        </w:rPr>
        <w:t xml:space="preserve"> </w:t>
      </w:r>
    </w:p>
    <w:p w14:paraId="3B976FFB" w14:textId="65E186A7" w:rsidR="008762BF" w:rsidRPr="005B7458" w:rsidRDefault="008762BF" w:rsidP="008762BF">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 xml:space="preserve">VIII. Para el caso de las unidades económicas de alto impacto deberá manifestar que cuenta con el sistema de seguridad a que hace referencia esta Ley. </w:t>
      </w:r>
    </w:p>
    <w:p w14:paraId="606AAAEC" w14:textId="77777777" w:rsidR="008762BF" w:rsidRPr="005B7458" w:rsidRDefault="008762BF" w:rsidP="008762BF">
      <w:pPr>
        <w:tabs>
          <w:tab w:val="left" w:pos="284"/>
          <w:tab w:val="left" w:pos="426"/>
        </w:tabs>
        <w:spacing w:before="240" w:after="240" w:line="360" w:lineRule="auto"/>
        <w:ind w:left="567" w:right="616"/>
        <w:contextualSpacing/>
        <w:jc w:val="both"/>
        <w:rPr>
          <w:rFonts w:ascii="Palatino Linotype" w:hAnsi="Palatino Linotype" w:cs="Arial"/>
          <w:i/>
          <w:lang w:eastAsia="en-US"/>
        </w:rPr>
      </w:pPr>
    </w:p>
    <w:p w14:paraId="0E636580" w14:textId="4841426C" w:rsidR="008762BF" w:rsidRPr="005B7458" w:rsidRDefault="008762BF" w:rsidP="008762BF">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Una vez cubiertos los requisitos señalados en el presente artículo y en caso de ser procedente el permiso o licencia de funcionamiento, la autoridad hará del conocimiento al solicitante o representante legal el monto a cubrir por los derechos correspondientes, una vez cubiertos se otorgará el permiso o licencia de funcionamiento.” (Sic)</w:t>
      </w:r>
    </w:p>
    <w:p w14:paraId="71B52C0C" w14:textId="77777777" w:rsidR="00AD4845" w:rsidRPr="005B7458" w:rsidRDefault="00AD4845" w:rsidP="00AD4845">
      <w:pPr>
        <w:tabs>
          <w:tab w:val="left" w:pos="284"/>
          <w:tab w:val="left" w:pos="426"/>
        </w:tabs>
        <w:spacing w:before="240" w:after="240" w:line="360" w:lineRule="auto"/>
        <w:ind w:right="49"/>
        <w:contextualSpacing/>
        <w:jc w:val="both"/>
        <w:rPr>
          <w:rFonts w:ascii="Palatino Linotype" w:hAnsi="Palatino Linotype" w:cs="Arial"/>
          <w:lang w:eastAsia="en-US"/>
        </w:rPr>
      </w:pPr>
    </w:p>
    <w:p w14:paraId="7008AF0E" w14:textId="77D3C375" w:rsidR="00282C55" w:rsidRPr="005B7458" w:rsidRDefault="00282C55" w:rsidP="00282C55">
      <w:pPr>
        <w:numPr>
          <w:ilvl w:val="0"/>
          <w:numId w:val="38"/>
        </w:numPr>
        <w:tabs>
          <w:tab w:val="left" w:pos="284"/>
          <w:tab w:val="left" w:pos="426"/>
        </w:tabs>
        <w:spacing w:before="240" w:after="240" w:line="360" w:lineRule="auto"/>
        <w:ind w:left="0" w:right="49" w:firstLine="0"/>
        <w:contextualSpacing/>
        <w:jc w:val="both"/>
        <w:rPr>
          <w:rFonts w:ascii="Palatino Linotype" w:hAnsi="Palatino Linotype" w:cs="Arial"/>
          <w:lang w:eastAsia="en-US"/>
        </w:rPr>
      </w:pPr>
      <w:r w:rsidRPr="005B7458">
        <w:rPr>
          <w:rFonts w:ascii="Palatino Linotype" w:hAnsi="Palatino Linotype" w:cs="Arial"/>
          <w:lang w:eastAsia="en-US"/>
        </w:rPr>
        <w:t xml:space="preserve"> </w:t>
      </w:r>
      <w:r w:rsidR="008762BF" w:rsidRPr="005B7458">
        <w:rPr>
          <w:rFonts w:ascii="Palatino Linotype" w:hAnsi="Palatino Linotype" w:cs="Arial"/>
          <w:lang w:eastAsia="en-US"/>
        </w:rPr>
        <w:t xml:space="preserve">En razón de lo anterior, el artículo 2  establece  </w:t>
      </w:r>
      <w:r w:rsidRPr="005B7458">
        <w:rPr>
          <w:rFonts w:ascii="Palatino Linotype" w:hAnsi="Palatino Linotype" w:cs="Arial"/>
          <w:lang w:eastAsia="en-US"/>
        </w:rPr>
        <w:t xml:space="preserve">que el Dictamen de Giro es el documento de carácter permanente emitido por el Comité Municipal de Giro, sustentado en las actividades técnicas de factibilidad, como a continuación se observa: </w:t>
      </w:r>
    </w:p>
    <w:p w14:paraId="5C4CA82D" w14:textId="77777777" w:rsidR="00AC267D" w:rsidRPr="005B7458" w:rsidRDefault="00AC267D" w:rsidP="00AC267D">
      <w:pPr>
        <w:tabs>
          <w:tab w:val="left" w:pos="284"/>
          <w:tab w:val="left" w:pos="426"/>
        </w:tabs>
        <w:spacing w:before="240" w:after="240" w:line="360" w:lineRule="auto"/>
        <w:ind w:right="49"/>
        <w:contextualSpacing/>
        <w:jc w:val="both"/>
        <w:rPr>
          <w:rFonts w:ascii="Palatino Linotype" w:hAnsi="Palatino Linotype" w:cs="Arial"/>
          <w:lang w:eastAsia="en-US"/>
        </w:rPr>
      </w:pPr>
    </w:p>
    <w:p w14:paraId="42B4FAB4" w14:textId="27E68D43" w:rsidR="00AC267D" w:rsidRPr="005B7458" w:rsidRDefault="00AC267D" w:rsidP="00AC267D">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w:t>
      </w:r>
    </w:p>
    <w:p w14:paraId="52C61A55" w14:textId="77777777" w:rsidR="00AC267D" w:rsidRPr="005B7458" w:rsidRDefault="00AC267D" w:rsidP="00AC267D">
      <w:pPr>
        <w:tabs>
          <w:tab w:val="left" w:pos="284"/>
          <w:tab w:val="left" w:pos="426"/>
        </w:tabs>
        <w:spacing w:before="240" w:after="240" w:line="360" w:lineRule="auto"/>
        <w:ind w:left="567" w:right="616"/>
        <w:contextualSpacing/>
        <w:jc w:val="both"/>
        <w:rPr>
          <w:rFonts w:ascii="Palatino Linotype" w:hAnsi="Palatino Linotype" w:cs="Arial"/>
          <w:i/>
          <w:lang w:eastAsia="en-US"/>
        </w:rPr>
      </w:pPr>
    </w:p>
    <w:p w14:paraId="3402A575" w14:textId="60D3F703" w:rsidR="00AC267D" w:rsidRPr="005B7458" w:rsidRDefault="00AC267D" w:rsidP="00AC267D">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b/>
          <w:i/>
          <w:lang w:eastAsia="en-US"/>
        </w:rPr>
        <w:t>Artículo 2.</w:t>
      </w:r>
      <w:r w:rsidRPr="005B7458">
        <w:rPr>
          <w:rFonts w:ascii="Palatino Linotype" w:hAnsi="Palatino Linotype" w:cs="Arial"/>
          <w:i/>
          <w:lang w:eastAsia="en-US"/>
        </w:rPr>
        <w:t xml:space="preserve"> Para los efectos de esta Ley, se entenderá por:</w:t>
      </w:r>
    </w:p>
    <w:p w14:paraId="0BDB2D4F" w14:textId="77777777" w:rsidR="00AC267D" w:rsidRPr="005B7458" w:rsidRDefault="00AC267D" w:rsidP="00AC267D">
      <w:pPr>
        <w:tabs>
          <w:tab w:val="left" w:pos="284"/>
          <w:tab w:val="left" w:pos="426"/>
        </w:tabs>
        <w:spacing w:before="240" w:after="240" w:line="360" w:lineRule="auto"/>
        <w:ind w:left="567" w:right="616"/>
        <w:contextualSpacing/>
        <w:jc w:val="both"/>
        <w:rPr>
          <w:rFonts w:ascii="Palatino Linotype" w:hAnsi="Palatino Linotype" w:cs="Arial"/>
          <w:i/>
          <w:lang w:eastAsia="en-US"/>
        </w:rPr>
      </w:pPr>
    </w:p>
    <w:p w14:paraId="7265D41D" w14:textId="191C19C0" w:rsidR="00AC267D" w:rsidRPr="005B7458" w:rsidRDefault="00AC267D" w:rsidP="00AC267D">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w:t>
      </w:r>
    </w:p>
    <w:p w14:paraId="14ED044D" w14:textId="77777777" w:rsidR="00AC267D" w:rsidRPr="005B7458" w:rsidRDefault="00AC267D" w:rsidP="00AC267D">
      <w:pPr>
        <w:tabs>
          <w:tab w:val="left" w:pos="284"/>
          <w:tab w:val="left" w:pos="426"/>
        </w:tabs>
        <w:spacing w:before="240" w:after="240" w:line="360" w:lineRule="auto"/>
        <w:ind w:left="567" w:right="616"/>
        <w:contextualSpacing/>
        <w:jc w:val="both"/>
        <w:rPr>
          <w:rFonts w:ascii="Palatino Linotype" w:hAnsi="Palatino Linotype" w:cs="Arial"/>
          <w:i/>
          <w:lang w:eastAsia="en-US"/>
        </w:rPr>
      </w:pPr>
    </w:p>
    <w:p w14:paraId="63CAB425" w14:textId="104FD0C0" w:rsidR="00AC267D" w:rsidRPr="005B7458" w:rsidRDefault="00AC267D" w:rsidP="00AC267D">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b/>
          <w:i/>
          <w:lang w:eastAsia="en-US"/>
        </w:rPr>
        <w:lastRenderedPageBreak/>
        <w:t>XII. Dictamen de Giro:</w:t>
      </w:r>
      <w:r w:rsidRPr="005B7458">
        <w:rPr>
          <w:rFonts w:ascii="Palatino Linotype" w:hAnsi="Palatino Linotype" w:cs="Arial"/>
          <w:i/>
          <w:lang w:eastAsia="en-US"/>
        </w:rPr>
        <w:t xml:space="preserve"> Al documento de carácter permanente emitido por el Comité Municipal de Dictámenes de Giro, sustentado en las evaluaciones que realicen las autoridades municipales en el ámbito de su competencia, en materias de salubridad local tratándose de venta de bebidas alcohólicas para consumo inmediato y rastros, previo análisis normativo multidisciplinario, para el funcionamiento de las unidades económicas que regula la presente Ley en los casos que expresamente así lo prevé y en términos de las disposiciones jurídicas aplicables de acuerdo con los principios de transparencia y publicidad;</w:t>
      </w:r>
    </w:p>
    <w:p w14:paraId="66149FE8" w14:textId="77777777" w:rsidR="00AC267D" w:rsidRPr="005B7458" w:rsidRDefault="00AC267D" w:rsidP="00AC267D">
      <w:pPr>
        <w:tabs>
          <w:tab w:val="left" w:pos="284"/>
          <w:tab w:val="left" w:pos="426"/>
        </w:tabs>
        <w:spacing w:before="240" w:after="240" w:line="360" w:lineRule="auto"/>
        <w:ind w:left="567" w:right="616"/>
        <w:contextualSpacing/>
        <w:jc w:val="both"/>
        <w:rPr>
          <w:rFonts w:ascii="Palatino Linotype" w:hAnsi="Palatino Linotype" w:cs="Arial"/>
          <w:i/>
          <w:lang w:eastAsia="en-US"/>
        </w:rPr>
      </w:pPr>
    </w:p>
    <w:p w14:paraId="40477A39" w14:textId="6AA7305C" w:rsidR="00AC267D" w:rsidRPr="005B7458" w:rsidRDefault="00AC267D" w:rsidP="00AC267D">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5B7458">
        <w:rPr>
          <w:rFonts w:ascii="Palatino Linotype" w:hAnsi="Palatino Linotype" w:cs="Arial"/>
          <w:i/>
          <w:lang w:eastAsia="en-US"/>
        </w:rPr>
        <w:t>(…)</w:t>
      </w:r>
    </w:p>
    <w:p w14:paraId="7C59FBD8" w14:textId="77777777" w:rsidR="00AC267D" w:rsidRPr="005B7458" w:rsidRDefault="00AC267D" w:rsidP="00AC267D">
      <w:pPr>
        <w:tabs>
          <w:tab w:val="left" w:pos="284"/>
          <w:tab w:val="left" w:pos="426"/>
        </w:tabs>
        <w:spacing w:before="240" w:after="240" w:line="360" w:lineRule="auto"/>
        <w:ind w:right="49"/>
        <w:contextualSpacing/>
        <w:jc w:val="both"/>
        <w:rPr>
          <w:rFonts w:ascii="Palatino Linotype" w:hAnsi="Palatino Linotype" w:cs="Arial"/>
          <w:lang w:eastAsia="en-US"/>
        </w:rPr>
      </w:pPr>
    </w:p>
    <w:p w14:paraId="15AAC1ED" w14:textId="593FCBA7" w:rsidR="006D4327" w:rsidRPr="005B7458" w:rsidRDefault="00AC267D" w:rsidP="006D4327">
      <w:pPr>
        <w:numPr>
          <w:ilvl w:val="0"/>
          <w:numId w:val="38"/>
        </w:numPr>
        <w:tabs>
          <w:tab w:val="left" w:pos="284"/>
          <w:tab w:val="left" w:pos="426"/>
        </w:tabs>
        <w:spacing w:before="240" w:after="240" w:line="360" w:lineRule="auto"/>
        <w:ind w:left="0" w:right="49" w:firstLine="0"/>
        <w:contextualSpacing/>
        <w:jc w:val="both"/>
        <w:rPr>
          <w:rFonts w:ascii="Palatino Linotype" w:hAnsi="Palatino Linotype" w:cs="Arial"/>
          <w:lang w:eastAsia="en-US"/>
        </w:rPr>
      </w:pPr>
      <w:r w:rsidRPr="005B7458">
        <w:rPr>
          <w:rFonts w:ascii="Palatino Linotype" w:hAnsi="Palatino Linotype" w:cs="Arial"/>
          <w:lang w:eastAsia="en-US"/>
        </w:rPr>
        <w:t xml:space="preserve">   E</w:t>
      </w:r>
      <w:r w:rsidR="006D4327" w:rsidRPr="005B7458">
        <w:rPr>
          <w:rFonts w:ascii="Palatino Linotype" w:hAnsi="Palatino Linotype" w:cs="Arial"/>
          <w:lang w:eastAsia="en-US"/>
        </w:rPr>
        <w:t xml:space="preserve">n razón de lo anterior se </w:t>
      </w:r>
      <w:r w:rsidRPr="005B7458">
        <w:rPr>
          <w:rFonts w:ascii="Palatino Linotype" w:hAnsi="Palatino Linotype" w:cs="Arial"/>
          <w:lang w:eastAsia="en-US"/>
        </w:rPr>
        <w:t xml:space="preserve">advierte la competencia del </w:t>
      </w:r>
      <w:r w:rsidRPr="005B7458">
        <w:rPr>
          <w:rFonts w:ascii="Palatino Linotype" w:hAnsi="Palatino Linotype" w:cs="Arial"/>
          <w:b/>
          <w:lang w:eastAsia="en-US"/>
        </w:rPr>
        <w:t xml:space="preserve">SUJETO OBLIGADO </w:t>
      </w:r>
      <w:r w:rsidRPr="005B7458">
        <w:rPr>
          <w:rFonts w:ascii="Palatino Linotype" w:hAnsi="Palatino Linotype" w:cs="Arial"/>
          <w:lang w:eastAsia="en-US"/>
        </w:rPr>
        <w:t>para poseer la información solicitada</w:t>
      </w:r>
      <w:r w:rsidR="006D4327" w:rsidRPr="005B7458">
        <w:rPr>
          <w:rFonts w:ascii="Palatino Linotype" w:hAnsi="Palatino Linotype" w:cs="Arial"/>
          <w:lang w:eastAsia="en-US"/>
        </w:rPr>
        <w:t xml:space="preserve"> si consideramos que se ha asumido la existencia de la Licencia de Funcionamiento solicitada por el particular, y si bien el hoy Recurrente no refirió con precisión el Documento al que desea acceder, </w:t>
      </w:r>
      <w:r w:rsidR="006D4327" w:rsidRPr="005B7458">
        <w:rPr>
          <w:rFonts w:ascii="Palatino Linotype" w:eastAsia="Calibri" w:hAnsi="Palatino Linotype" w:cs="Arial"/>
          <w:bCs/>
          <w:color w:val="000000"/>
        </w:rPr>
        <w:t xml:space="preserve">es necesario observar que </w:t>
      </w:r>
      <w:r w:rsidR="006D4327" w:rsidRPr="005B7458">
        <w:rPr>
          <w:rFonts w:ascii="Palatino Linotype" w:eastAsia="MS Mincho" w:hAnsi="Palatino Linotype"/>
        </w:rPr>
        <w:t>el particular al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52DE6BE0" w14:textId="77777777" w:rsidR="006D4327" w:rsidRPr="005B7458" w:rsidRDefault="006D4327" w:rsidP="006D4327">
      <w:pPr>
        <w:tabs>
          <w:tab w:val="left" w:pos="5430"/>
        </w:tabs>
        <w:spacing w:before="240" w:after="240" w:line="360" w:lineRule="auto"/>
        <w:ind w:left="567" w:right="616"/>
        <w:contextualSpacing/>
        <w:jc w:val="both"/>
        <w:rPr>
          <w:rFonts w:ascii="Palatino Linotype" w:eastAsia="MS Mincho" w:hAnsi="Palatino Linotype"/>
        </w:rPr>
      </w:pPr>
      <w:r w:rsidRPr="005B7458">
        <w:rPr>
          <w:rFonts w:ascii="Palatino Linotype" w:eastAsia="MS Mincho" w:hAnsi="Palatino Linotype"/>
        </w:rPr>
        <w:tab/>
      </w:r>
    </w:p>
    <w:p w14:paraId="39DD54DB" w14:textId="77777777" w:rsidR="006D4327" w:rsidRPr="005B7458" w:rsidRDefault="006D4327" w:rsidP="006D4327">
      <w:pPr>
        <w:autoSpaceDE w:val="0"/>
        <w:autoSpaceDN w:val="0"/>
        <w:adjustRightInd w:val="0"/>
        <w:spacing w:line="360" w:lineRule="auto"/>
        <w:ind w:left="567" w:right="616"/>
        <w:jc w:val="both"/>
        <w:rPr>
          <w:rFonts w:ascii="Palatino Linotype" w:eastAsia="MS Mincho" w:hAnsi="Palatino Linotype" w:cs="Bookman Old Style"/>
          <w:i/>
        </w:rPr>
      </w:pPr>
      <w:r w:rsidRPr="005B7458">
        <w:rPr>
          <w:rFonts w:ascii="Palatino Linotype" w:eastAsia="MS Mincho" w:hAnsi="Palatino Linotype" w:cs="Bookman Old Style,Bold"/>
          <w:b/>
          <w:bCs/>
          <w:i/>
        </w:rPr>
        <w:lastRenderedPageBreak/>
        <w:t xml:space="preserve">“Artículo 13. </w:t>
      </w:r>
      <w:r w:rsidRPr="005B7458">
        <w:rPr>
          <w:rFonts w:ascii="Palatino Linotype" w:eastAsia="MS Mincho" w:hAnsi="Palatino Linotype" w:cs="Bookman Old Style"/>
          <w:i/>
        </w:rPr>
        <w:t xml:space="preserve">El Instituto, en el ámbito de sus atribuciones, deberá </w:t>
      </w:r>
      <w:r w:rsidRPr="005B7458">
        <w:rPr>
          <w:rFonts w:ascii="Palatino Linotype" w:eastAsia="MS Mincho" w:hAnsi="Palatino Linotype" w:cs="Bookman Old Style"/>
          <w:b/>
          <w:i/>
        </w:rPr>
        <w:t xml:space="preserve">suplir cualquier deficiencia </w:t>
      </w:r>
      <w:r w:rsidRPr="005B7458">
        <w:rPr>
          <w:rFonts w:ascii="Palatino Linotype" w:eastAsia="MS Mincho" w:hAnsi="Palatino Linotype" w:cs="Bookman Old Style"/>
          <w:i/>
        </w:rPr>
        <w:t>para garantizar el ejercicio del derecho de acceso a la información.”</w:t>
      </w:r>
    </w:p>
    <w:p w14:paraId="7B0D1F49" w14:textId="77777777" w:rsidR="006D4327" w:rsidRPr="005B7458" w:rsidRDefault="006D4327" w:rsidP="006D4327">
      <w:pPr>
        <w:autoSpaceDE w:val="0"/>
        <w:autoSpaceDN w:val="0"/>
        <w:adjustRightInd w:val="0"/>
        <w:spacing w:line="360" w:lineRule="auto"/>
        <w:ind w:left="567" w:right="616"/>
        <w:jc w:val="both"/>
        <w:rPr>
          <w:rFonts w:ascii="Palatino Linotype" w:eastAsia="MS Mincho" w:hAnsi="Palatino Linotype" w:cs="Bookman Old Style"/>
          <w:i/>
        </w:rPr>
      </w:pPr>
    </w:p>
    <w:p w14:paraId="41762988" w14:textId="77777777" w:rsidR="006D4327" w:rsidRPr="005B7458" w:rsidRDefault="006D4327" w:rsidP="006D4327">
      <w:pPr>
        <w:autoSpaceDE w:val="0"/>
        <w:autoSpaceDN w:val="0"/>
        <w:adjustRightInd w:val="0"/>
        <w:spacing w:line="360" w:lineRule="auto"/>
        <w:ind w:left="567" w:right="616"/>
        <w:jc w:val="both"/>
        <w:rPr>
          <w:rFonts w:ascii="Palatino Linotype" w:eastAsia="MS Mincho" w:hAnsi="Palatino Linotype"/>
          <w:i/>
          <w:color w:val="000000"/>
        </w:rPr>
      </w:pPr>
      <w:r w:rsidRPr="005B7458">
        <w:rPr>
          <w:rFonts w:ascii="Palatino Linotype" w:eastAsia="MS Mincho" w:hAnsi="Palatino Linotype"/>
          <w:i/>
          <w:color w:val="000000"/>
        </w:rPr>
        <w:t>“</w:t>
      </w:r>
      <w:r w:rsidRPr="005B7458">
        <w:rPr>
          <w:rFonts w:ascii="Palatino Linotype" w:eastAsia="MS Mincho" w:hAnsi="Palatino Linotype"/>
          <w:b/>
          <w:i/>
          <w:color w:val="000000"/>
        </w:rPr>
        <w:t>Artículo 181</w:t>
      </w:r>
    </w:p>
    <w:p w14:paraId="6D24238A" w14:textId="77777777" w:rsidR="006D4327" w:rsidRPr="005B7458" w:rsidRDefault="006D4327" w:rsidP="006D4327">
      <w:pPr>
        <w:autoSpaceDE w:val="0"/>
        <w:autoSpaceDN w:val="0"/>
        <w:adjustRightInd w:val="0"/>
        <w:spacing w:line="360" w:lineRule="auto"/>
        <w:ind w:left="567" w:right="616"/>
        <w:jc w:val="both"/>
        <w:rPr>
          <w:rFonts w:ascii="Palatino Linotype" w:eastAsia="MS Mincho" w:hAnsi="Palatino Linotype"/>
          <w:i/>
          <w:color w:val="000000"/>
        </w:rPr>
      </w:pPr>
      <w:r w:rsidRPr="005B7458">
        <w:rPr>
          <w:rFonts w:ascii="Palatino Linotype" w:eastAsia="MS Mincho" w:hAnsi="Palatino Linotype"/>
          <w:i/>
          <w:color w:val="000000"/>
        </w:rPr>
        <w:t>…</w:t>
      </w:r>
    </w:p>
    <w:p w14:paraId="1E745CDF" w14:textId="77777777" w:rsidR="006D4327" w:rsidRPr="005B7458" w:rsidRDefault="006D4327" w:rsidP="006D4327">
      <w:pPr>
        <w:autoSpaceDE w:val="0"/>
        <w:autoSpaceDN w:val="0"/>
        <w:adjustRightInd w:val="0"/>
        <w:spacing w:line="360" w:lineRule="auto"/>
        <w:ind w:left="567" w:right="616"/>
        <w:jc w:val="both"/>
        <w:rPr>
          <w:rFonts w:ascii="Palatino Linotype" w:eastAsia="MS Mincho" w:hAnsi="Palatino Linotype" w:cs="Bookman Old Style"/>
          <w:i/>
        </w:rPr>
      </w:pPr>
      <w:r w:rsidRPr="005B7458">
        <w:rPr>
          <w:rFonts w:ascii="Palatino Linotype" w:eastAsia="MS Mincho" w:hAnsi="Palatino Linotype" w:cs="Bookman Old Style"/>
          <w:i/>
        </w:rPr>
        <w:t xml:space="preserve">Durante el procedimiento deberá aplicarse la </w:t>
      </w:r>
      <w:r w:rsidRPr="005B7458">
        <w:rPr>
          <w:rFonts w:ascii="Palatino Linotype" w:eastAsia="MS Mincho" w:hAnsi="Palatino Linotype" w:cs="Bookman Old Style"/>
          <w:b/>
          <w:i/>
        </w:rPr>
        <w:t>suplencia de la queja a favor del recurrente</w:t>
      </w:r>
      <w:r w:rsidRPr="005B7458">
        <w:rPr>
          <w:rFonts w:ascii="Palatino Linotype" w:eastAsia="MS Mincho" w:hAnsi="Palatino Linotype" w:cs="Bookman Old Style"/>
          <w:i/>
        </w:rPr>
        <w:t>, sin cambiar los hechos expuestos, asegurándose de que las partes puedan presentar, de manera oral o escrita, los argumentos que funden y motiven sus pretensiones</w:t>
      </w:r>
    </w:p>
    <w:p w14:paraId="06F0FF52" w14:textId="5AD359DA" w:rsidR="00CE1503" w:rsidRPr="005B7458" w:rsidRDefault="006D4327" w:rsidP="006C5105">
      <w:pPr>
        <w:autoSpaceDE w:val="0"/>
        <w:autoSpaceDN w:val="0"/>
        <w:adjustRightInd w:val="0"/>
        <w:spacing w:line="360" w:lineRule="auto"/>
        <w:ind w:left="851" w:right="567"/>
        <w:jc w:val="both"/>
        <w:rPr>
          <w:rFonts w:ascii="Palatino Linotype" w:eastAsia="MS Mincho" w:hAnsi="Palatino Linotype"/>
          <w:i/>
          <w:color w:val="000000"/>
        </w:rPr>
      </w:pPr>
      <w:r w:rsidRPr="005B7458">
        <w:rPr>
          <w:rFonts w:ascii="Palatino Linotype" w:eastAsia="MS Mincho" w:hAnsi="Palatino Linotype"/>
          <w:i/>
          <w:color w:val="000000"/>
        </w:rPr>
        <w:t>…</w:t>
      </w:r>
    </w:p>
    <w:p w14:paraId="063198AF" w14:textId="78B24CFB" w:rsidR="00CE1503" w:rsidRPr="005B7458" w:rsidRDefault="009E05A5" w:rsidP="006C5105">
      <w:pPr>
        <w:pStyle w:val="Prrafodelista"/>
        <w:widowControl w:val="0"/>
        <w:numPr>
          <w:ilvl w:val="0"/>
          <w:numId w:val="38"/>
        </w:numPr>
        <w:tabs>
          <w:tab w:val="left" w:pos="0"/>
        </w:tabs>
        <w:autoSpaceDE w:val="0"/>
        <w:autoSpaceDN w:val="0"/>
        <w:adjustRightInd w:val="0"/>
        <w:spacing w:before="240" w:after="240" w:line="360" w:lineRule="auto"/>
        <w:ind w:left="0" w:right="49" w:firstLine="0"/>
        <w:contextualSpacing/>
        <w:jc w:val="both"/>
        <w:rPr>
          <w:rFonts w:ascii="Palatino Linotype" w:eastAsiaTheme="minorEastAsia" w:hAnsi="Palatino Linotype" w:cstheme="minorBidi"/>
          <w:color w:val="000000" w:themeColor="text1"/>
          <w:lang w:val="es-ES_tradnl"/>
        </w:rPr>
      </w:pPr>
      <w:r w:rsidRPr="005B7458">
        <w:rPr>
          <w:rFonts w:ascii="Palatino Linotype" w:eastAsiaTheme="minorEastAsia" w:hAnsi="Palatino Linotype" w:cstheme="minorBidi"/>
          <w:color w:val="000000" w:themeColor="text1"/>
          <w:lang w:val="es-ES_tradnl"/>
        </w:rPr>
        <w:t>Finalmente</w:t>
      </w:r>
      <w:r w:rsidR="00CE1503" w:rsidRPr="005B7458">
        <w:rPr>
          <w:rFonts w:ascii="Palatino Linotype" w:eastAsiaTheme="minorEastAsia" w:hAnsi="Palatino Linotype" w:cstheme="minorBidi"/>
          <w:color w:val="000000" w:themeColor="text1"/>
          <w:lang w:val="es-ES_tradnl"/>
        </w:rPr>
        <w:t>, es necesario precisar que la información otorgada por el ente recurrido no</w:t>
      </w:r>
      <w:r w:rsidR="006C5105" w:rsidRPr="005B7458">
        <w:rPr>
          <w:rFonts w:ascii="Palatino Linotype" w:eastAsiaTheme="minorEastAsia" w:hAnsi="Palatino Linotype" w:cstheme="minorBidi"/>
          <w:color w:val="000000" w:themeColor="text1"/>
          <w:lang w:val="es-ES_tradnl"/>
        </w:rPr>
        <w:t xml:space="preserve"> corresponde con lo solicitado ya que</w:t>
      </w:r>
      <w:r w:rsidR="003C58B8" w:rsidRPr="005B7458">
        <w:rPr>
          <w:rFonts w:ascii="Palatino Linotype" w:eastAsiaTheme="minorEastAsia" w:hAnsi="Palatino Linotype" w:cstheme="minorBidi"/>
          <w:color w:val="000000" w:themeColor="text1"/>
          <w:lang w:val="es-ES_tradnl"/>
        </w:rPr>
        <w:t xml:space="preserve"> </w:t>
      </w:r>
      <w:r w:rsidR="006C5105" w:rsidRPr="005B7458">
        <w:rPr>
          <w:rFonts w:ascii="Palatino Linotype" w:eastAsiaTheme="minorEastAsia" w:hAnsi="Palatino Linotype" w:cstheme="minorBidi"/>
          <w:color w:val="000000" w:themeColor="text1"/>
          <w:lang w:val="es-ES_tradnl"/>
        </w:rPr>
        <w:t>no se observa la entrega del Dictamen Solicitado</w:t>
      </w:r>
      <w:r w:rsidR="003C58B8" w:rsidRPr="005B7458">
        <w:rPr>
          <w:rFonts w:ascii="Palatino Linotype" w:eastAsiaTheme="minorEastAsia" w:hAnsi="Palatino Linotype" w:cstheme="minorBidi"/>
          <w:color w:val="000000" w:themeColor="text1"/>
          <w:lang w:val="es-ES_tradnl"/>
        </w:rPr>
        <w:t>, en ese sentido resulta oportuno referir lo que señala el artículo 11 de la Ley de Transparencia Esta, como a continuación se observa:</w:t>
      </w:r>
    </w:p>
    <w:p w14:paraId="0C3E50F5" w14:textId="77777777" w:rsidR="003C58B8" w:rsidRPr="005B7458" w:rsidRDefault="003C58B8" w:rsidP="007D7513">
      <w:pPr>
        <w:pStyle w:val="Prrafodelista"/>
        <w:spacing w:line="360" w:lineRule="auto"/>
        <w:rPr>
          <w:rFonts w:ascii="Palatino Linotype" w:eastAsia="MS Mincho" w:hAnsi="Palatino Linotype"/>
          <w:lang w:val="es-MX" w:eastAsia="es-ES_tradnl"/>
        </w:rPr>
      </w:pPr>
    </w:p>
    <w:p w14:paraId="0A86DED8" w14:textId="1B8F9C63" w:rsidR="003C58B8" w:rsidRPr="005B7458" w:rsidRDefault="003C58B8" w:rsidP="007D7513">
      <w:pPr>
        <w:widowControl w:val="0"/>
        <w:autoSpaceDE w:val="0"/>
        <w:autoSpaceDN w:val="0"/>
        <w:adjustRightInd w:val="0"/>
        <w:spacing w:before="240" w:after="240" w:line="360" w:lineRule="auto"/>
        <w:ind w:left="540" w:right="738"/>
        <w:contextualSpacing/>
        <w:jc w:val="both"/>
        <w:rPr>
          <w:rFonts w:ascii="Palatino Linotype" w:eastAsia="MS Mincho" w:hAnsi="Palatino Linotype"/>
          <w:i/>
          <w:lang w:eastAsia="es-ES_tradnl"/>
        </w:rPr>
      </w:pPr>
      <w:r w:rsidRPr="005B7458">
        <w:rPr>
          <w:rFonts w:ascii="Palatino Linotype" w:eastAsia="MS Mincho" w:hAnsi="Palatino Linotype"/>
          <w:b/>
          <w:i/>
          <w:lang w:eastAsia="es-ES_tradnl"/>
        </w:rPr>
        <w:t xml:space="preserve">“Artículo 11. </w:t>
      </w:r>
      <w:r w:rsidRPr="005B7458">
        <w:rPr>
          <w:rFonts w:ascii="Palatino Linotype" w:eastAsia="MS Mincho" w:hAnsi="Palatino Linotype"/>
          <w:i/>
          <w:lang w:eastAsia="es-ES_tradnl"/>
        </w:rPr>
        <w:t xml:space="preserve">En </w:t>
      </w:r>
      <w:r w:rsidRPr="005B7458">
        <w:rPr>
          <w:rFonts w:ascii="Palatino Linotype" w:eastAsia="MS Mincho" w:hAnsi="Palatino Linotype"/>
          <w:b/>
          <w:i/>
          <w:lang w:eastAsia="es-ES_tradnl"/>
        </w:rPr>
        <w:t xml:space="preserve">la generación, publicación y entrega de información se deberá garantizar que ésta sea </w:t>
      </w:r>
      <w:r w:rsidRPr="005B7458">
        <w:rPr>
          <w:rFonts w:ascii="Palatino Linotype" w:eastAsia="MS Mincho" w:hAnsi="Palatino Linotype"/>
          <w:i/>
          <w:lang w:eastAsia="es-ES_tradnl"/>
        </w:rPr>
        <w:t xml:space="preserve">accesible, actualizada, </w:t>
      </w:r>
      <w:r w:rsidRPr="005B7458">
        <w:rPr>
          <w:rFonts w:ascii="Palatino Linotype" w:eastAsia="MS Mincho" w:hAnsi="Palatino Linotype"/>
          <w:b/>
          <w:i/>
          <w:lang w:eastAsia="es-ES_tradnl"/>
        </w:rPr>
        <w:t>completa, congruente</w:t>
      </w:r>
      <w:r w:rsidRPr="005B7458">
        <w:rPr>
          <w:rFonts w:ascii="Palatino Linotype" w:eastAsia="MS Mincho" w:hAnsi="Palatino Linotype"/>
          <w:i/>
          <w:lang w:eastAsia="es-ES_tradnl"/>
        </w:rPr>
        <w:t xml:space="preserv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7BD24609" w14:textId="77777777" w:rsidR="003C58B8" w:rsidRPr="005B7458" w:rsidRDefault="003C58B8" w:rsidP="007D7513">
      <w:pPr>
        <w:widowControl w:val="0"/>
        <w:autoSpaceDE w:val="0"/>
        <w:autoSpaceDN w:val="0"/>
        <w:adjustRightInd w:val="0"/>
        <w:spacing w:before="240" w:after="240" w:line="360" w:lineRule="auto"/>
        <w:ind w:left="540" w:right="738"/>
        <w:contextualSpacing/>
        <w:jc w:val="both"/>
        <w:rPr>
          <w:rFonts w:ascii="Palatino Linotype" w:eastAsia="MS Mincho" w:hAnsi="Palatino Linotype"/>
          <w:i/>
          <w:lang w:eastAsia="es-ES_tradnl"/>
        </w:rPr>
      </w:pPr>
    </w:p>
    <w:p w14:paraId="160A8941" w14:textId="5F903F37" w:rsidR="003A3518" w:rsidRPr="005B7458" w:rsidRDefault="003C58B8" w:rsidP="007D7513">
      <w:pPr>
        <w:widowControl w:val="0"/>
        <w:autoSpaceDE w:val="0"/>
        <w:autoSpaceDN w:val="0"/>
        <w:adjustRightInd w:val="0"/>
        <w:spacing w:before="240" w:after="240" w:line="360" w:lineRule="auto"/>
        <w:ind w:left="540" w:right="738"/>
        <w:contextualSpacing/>
        <w:jc w:val="both"/>
        <w:rPr>
          <w:rFonts w:ascii="Palatino Linotype" w:eastAsia="MS Mincho" w:hAnsi="Palatino Linotype"/>
          <w:i/>
          <w:lang w:eastAsia="es-ES_tradnl"/>
        </w:rPr>
      </w:pPr>
      <w:r w:rsidRPr="005B7458">
        <w:rPr>
          <w:rFonts w:ascii="Palatino Linotype" w:eastAsia="MS Mincho" w:hAnsi="Palatino Linotype"/>
          <w:i/>
          <w:lang w:eastAsia="es-ES_tradnl"/>
        </w:rPr>
        <w:t xml:space="preserve">Los sujetos obligados buscarán en todo momento que la información generada </w:t>
      </w:r>
      <w:r w:rsidRPr="005B7458">
        <w:rPr>
          <w:rFonts w:ascii="Palatino Linotype" w:eastAsia="MS Mincho" w:hAnsi="Palatino Linotype"/>
          <w:i/>
          <w:lang w:eastAsia="es-ES_tradnl"/>
        </w:rPr>
        <w:lastRenderedPageBreak/>
        <w:t>tenga un lenguaje sencillo para cualquier persona y se procurará, en la medida de lo posible, traducción a lenguas indígenas, principalmente de aquellas con que se cuenta en el Estado de México.” (Sic)</w:t>
      </w:r>
    </w:p>
    <w:p w14:paraId="3BD5F9B2" w14:textId="77777777" w:rsidR="003C58B8" w:rsidRPr="005B7458" w:rsidRDefault="003C58B8" w:rsidP="007D7513">
      <w:pPr>
        <w:widowControl w:val="0"/>
        <w:autoSpaceDE w:val="0"/>
        <w:autoSpaceDN w:val="0"/>
        <w:adjustRightInd w:val="0"/>
        <w:spacing w:before="240" w:after="240" w:line="360" w:lineRule="auto"/>
        <w:ind w:left="540" w:right="738"/>
        <w:contextualSpacing/>
        <w:jc w:val="both"/>
        <w:rPr>
          <w:rFonts w:ascii="Palatino Linotype" w:eastAsia="MS Mincho" w:hAnsi="Palatino Linotype"/>
          <w:i/>
          <w:lang w:val="es-MX" w:eastAsia="es-ES_tradnl"/>
        </w:rPr>
      </w:pPr>
    </w:p>
    <w:p w14:paraId="2AC78319" w14:textId="5D3DF1A3" w:rsidR="006C5105" w:rsidRPr="005B7458" w:rsidRDefault="006C5105" w:rsidP="006C5105">
      <w:pPr>
        <w:pStyle w:val="Prrafodelista"/>
        <w:numPr>
          <w:ilvl w:val="0"/>
          <w:numId w:val="38"/>
        </w:numPr>
        <w:tabs>
          <w:tab w:val="left" w:pos="426"/>
        </w:tabs>
        <w:spacing w:line="360" w:lineRule="auto"/>
        <w:ind w:left="0" w:right="51" w:firstLine="0"/>
        <w:contextualSpacing/>
        <w:jc w:val="both"/>
        <w:rPr>
          <w:rFonts w:ascii="Palatino Linotype" w:eastAsia="MS Mincho" w:hAnsi="Palatino Linotype" w:cs="Arial"/>
          <w:lang w:val="es-ES_tradnl"/>
        </w:rPr>
      </w:pPr>
      <w:r w:rsidRPr="005B7458">
        <w:rPr>
          <w:rFonts w:ascii="Palatino Linotype" w:eastAsia="MS Mincho" w:hAnsi="Palatino Linotype" w:cs="Arial"/>
          <w:lang w:val="es-ES_tradnl"/>
        </w:rPr>
        <w:t xml:space="preserve">Robustece lo anterior </w:t>
      </w:r>
      <w:r w:rsidRPr="005B7458">
        <w:rPr>
          <w:rFonts w:ascii="Palatino Linotype" w:eastAsia="Calibri" w:hAnsi="Palatino Linotype" w:cs="Segoe UI"/>
          <w:lang w:val="es-MX" w:eastAsia="en-US"/>
        </w:rPr>
        <w:t xml:space="preserve">el criterio orientador </w:t>
      </w:r>
      <w:r w:rsidRPr="005B7458">
        <w:rPr>
          <w:rFonts w:ascii="Palatino Linotype" w:eastAsia="Calibri" w:hAnsi="Palatino Linotype"/>
          <w:lang w:val="es-MX" w:eastAsia="es-MX"/>
        </w:rPr>
        <w:t>002/2017 del Instituto Nacional de Acceso a la Información y Protección de Datos (INAI),</w:t>
      </w:r>
      <w:r w:rsidRPr="005B7458">
        <w:rPr>
          <w:rFonts w:ascii="Palatino Linotype" w:eastAsia="Calibri" w:hAnsi="Palatino Linotype" w:cs="Arial"/>
          <w:lang w:val="es-MX" w:eastAsia="en-US"/>
        </w:rPr>
        <w:t xml:space="preserve"> cuyo tenor es el siguiente:</w:t>
      </w:r>
    </w:p>
    <w:p w14:paraId="42FD0F07" w14:textId="77777777" w:rsidR="006C5105" w:rsidRPr="005B7458" w:rsidRDefault="006C5105" w:rsidP="006C5105">
      <w:pPr>
        <w:spacing w:before="100" w:beforeAutospacing="1" w:after="100" w:afterAutospacing="1" w:line="360" w:lineRule="auto"/>
        <w:ind w:left="851" w:right="899"/>
        <w:jc w:val="both"/>
        <w:rPr>
          <w:rFonts w:ascii="Palatino Linotype" w:eastAsia="Calibri" w:hAnsi="Palatino Linotype" w:cs="Arial"/>
          <w:b/>
          <w:bCs/>
          <w:i/>
          <w:sz w:val="22"/>
          <w:szCs w:val="22"/>
          <w:lang w:val="es-MX" w:eastAsia="en-US"/>
        </w:rPr>
      </w:pPr>
      <w:r w:rsidRPr="005B7458">
        <w:rPr>
          <w:rFonts w:ascii="Palatino Linotype" w:eastAsia="Calibri" w:hAnsi="Palatino Linotype" w:cs="Arial"/>
          <w:b/>
          <w:bCs/>
          <w:i/>
          <w:sz w:val="22"/>
          <w:szCs w:val="22"/>
          <w:lang w:val="es-MX" w:eastAsia="en-US"/>
        </w:rPr>
        <w:t>“Congruencia y exhaustividad.</w:t>
      </w:r>
      <w:r w:rsidRPr="005B7458">
        <w:rPr>
          <w:rFonts w:ascii="Palatino Linotype" w:eastAsia="Calibri" w:hAnsi="Palatino Linotype" w:cs="Arial"/>
          <w:bCs/>
          <w:i/>
          <w:sz w:val="22"/>
          <w:szCs w:val="22"/>
          <w:lang w:val="es-MX" w:eastAsia="en-US"/>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B7458">
        <w:rPr>
          <w:rFonts w:ascii="Palatino Linotype" w:eastAsia="Calibri" w:hAnsi="Palatino Linotype" w:cs="Arial"/>
          <w:b/>
          <w:bCs/>
          <w:i/>
          <w:sz w:val="22"/>
          <w:szCs w:val="22"/>
          <w:lang w:val="es-MX" w:eastAsia="en-US"/>
        </w:rPr>
        <w:t>la congruencia implica que exista concordancia entre el requerimiento formulado por el particular y la respuesta proporcionada por el sujeto obligado;</w:t>
      </w:r>
      <w:r w:rsidRPr="005B7458">
        <w:rPr>
          <w:rFonts w:ascii="Palatino Linotype" w:eastAsia="Calibri" w:hAnsi="Palatino Linotype" w:cs="Arial"/>
          <w:bCs/>
          <w:i/>
          <w:sz w:val="22"/>
          <w:szCs w:val="22"/>
          <w:lang w:val="es-MX" w:eastAsia="en-US"/>
        </w:rPr>
        <w:t xml:space="preserve"> mientras que </w:t>
      </w:r>
      <w:r w:rsidRPr="005B7458">
        <w:rPr>
          <w:rFonts w:ascii="Palatino Linotype" w:eastAsia="Calibri" w:hAnsi="Palatino Linotype" w:cs="Arial"/>
          <w:b/>
          <w:bCs/>
          <w:i/>
          <w:sz w:val="22"/>
          <w:szCs w:val="22"/>
          <w:lang w:val="es-MX" w:eastAsia="en-US"/>
        </w:rPr>
        <w:t xml:space="preserve">la exhaustividad significa que dicha respuesta se refiera expresamente a cada uno de los puntos solicitados. </w:t>
      </w:r>
      <w:r w:rsidRPr="005B7458">
        <w:rPr>
          <w:rFonts w:ascii="Palatino Linotype" w:eastAsia="Calibri" w:hAnsi="Palatino Linotype" w:cs="Arial"/>
          <w:bCs/>
          <w:i/>
          <w:sz w:val="22"/>
          <w:szCs w:val="22"/>
          <w:lang w:val="es-MX" w:eastAsia="en-US"/>
        </w:rPr>
        <w:t xml:space="preserve">Por lo anterior, los sujetos obligados cumplirán con los principios de congruencia y exhaustividad, </w:t>
      </w:r>
      <w:r w:rsidRPr="005B7458">
        <w:rPr>
          <w:rFonts w:ascii="Palatino Linotype" w:eastAsia="Calibri" w:hAnsi="Palatino Linotype" w:cs="Arial"/>
          <w:b/>
          <w:bCs/>
          <w:i/>
          <w:sz w:val="22"/>
          <w:szCs w:val="22"/>
          <w:lang w:val="es-MX" w:eastAsia="en-US"/>
        </w:rPr>
        <w:t>cuando las respuestas que emitan guarden una relación lógica con lo solicitado y atiendan de manera puntual y expresa, cada uno de los contenidos de información.</w:t>
      </w:r>
    </w:p>
    <w:p w14:paraId="01365B2F" w14:textId="77777777" w:rsidR="006C5105" w:rsidRPr="005B7458" w:rsidRDefault="006C5105" w:rsidP="006C5105">
      <w:pPr>
        <w:spacing w:before="100" w:beforeAutospacing="1" w:after="100" w:afterAutospacing="1" w:line="360" w:lineRule="auto"/>
        <w:ind w:left="851" w:right="899"/>
        <w:jc w:val="both"/>
        <w:rPr>
          <w:rFonts w:ascii="Palatino Linotype" w:eastAsia="Calibri" w:hAnsi="Palatino Linotype" w:cs="Arial"/>
          <w:sz w:val="22"/>
          <w:szCs w:val="22"/>
          <w:lang w:val="es-MX" w:eastAsia="en-US"/>
        </w:rPr>
      </w:pPr>
      <w:r w:rsidRPr="005B7458">
        <w:rPr>
          <w:rFonts w:ascii="Palatino Linotype" w:eastAsia="Calibri" w:hAnsi="Palatino Linotype" w:cs="Arial"/>
          <w:bCs/>
          <w:i/>
          <w:sz w:val="22"/>
          <w:szCs w:val="22"/>
          <w:lang w:val="es-MX" w:eastAsia="en-US"/>
        </w:rPr>
        <w:t xml:space="preserve">Resoluciones: </w:t>
      </w:r>
      <w:r w:rsidRPr="005B7458">
        <w:rPr>
          <w:rFonts w:ascii="Palatino Linotype" w:eastAsia="Calibri" w:hAnsi="Palatino Linotype" w:cs="Arial"/>
          <w:bCs/>
          <w:i/>
          <w:sz w:val="22"/>
          <w:szCs w:val="22"/>
          <w:lang w:val="es-MX" w:eastAsia="en-US"/>
        </w:rPr>
        <w:sym w:font="Symbol" w:char="F0B7"/>
      </w:r>
      <w:r w:rsidRPr="005B7458">
        <w:rPr>
          <w:rFonts w:ascii="Palatino Linotype" w:eastAsia="Calibri" w:hAnsi="Palatino Linotype" w:cs="Arial"/>
          <w:bCs/>
          <w:i/>
          <w:sz w:val="22"/>
          <w:szCs w:val="22"/>
          <w:lang w:val="es-MX" w:eastAsia="en-US"/>
        </w:rPr>
        <w:t xml:space="preserve"> RRA 0003/16. Comisión Nacional de las Zonas Áridas. 29 de junio de 2016. Por unanimidad. Comisionado Ponente Oscar Mauricio Guerra Ford. </w:t>
      </w:r>
      <w:r w:rsidRPr="005B7458">
        <w:rPr>
          <w:rFonts w:ascii="Palatino Linotype" w:eastAsia="Calibri" w:hAnsi="Palatino Linotype" w:cs="Arial"/>
          <w:bCs/>
          <w:i/>
          <w:sz w:val="22"/>
          <w:szCs w:val="22"/>
          <w:lang w:val="es-MX" w:eastAsia="en-US"/>
        </w:rPr>
        <w:sym w:font="Symbol" w:char="F0B7"/>
      </w:r>
      <w:r w:rsidRPr="005B7458">
        <w:rPr>
          <w:rFonts w:ascii="Palatino Linotype" w:eastAsia="Calibri" w:hAnsi="Palatino Linotype" w:cs="Arial"/>
          <w:bCs/>
          <w:i/>
          <w:sz w:val="22"/>
          <w:szCs w:val="22"/>
          <w:lang w:val="es-MX" w:eastAsia="en-US"/>
        </w:rPr>
        <w:t xml:space="preserve"> RRA 0100/16. Sindicato Nacional de Trabajadores de la Educación. 13 de julio de 2016. Por unanimidad. Comisionada Ponente. Areli Cano Guadiana. </w:t>
      </w:r>
      <w:r w:rsidRPr="005B7458">
        <w:rPr>
          <w:rFonts w:ascii="Palatino Linotype" w:eastAsia="Calibri" w:hAnsi="Palatino Linotype" w:cs="Arial"/>
          <w:bCs/>
          <w:i/>
          <w:sz w:val="22"/>
          <w:szCs w:val="22"/>
          <w:lang w:val="es-MX" w:eastAsia="en-US"/>
        </w:rPr>
        <w:lastRenderedPageBreak/>
        <w:sym w:font="Symbol" w:char="F0B7"/>
      </w:r>
      <w:r w:rsidRPr="005B7458">
        <w:rPr>
          <w:rFonts w:ascii="Palatino Linotype" w:eastAsia="Calibri" w:hAnsi="Palatino Linotype" w:cs="Arial"/>
          <w:bCs/>
          <w:i/>
          <w:sz w:val="22"/>
          <w:szCs w:val="22"/>
          <w:lang w:val="es-MX" w:eastAsia="en-US"/>
        </w:rPr>
        <w:t xml:space="preserve"> RRA 1419/16. Secretaría de Educación Pública. 14 de septiembre de 2016. Por unanimidad. Comisionado Ponente Rosendoevgueni Monterrey Chepov</w:t>
      </w:r>
      <w:r w:rsidRPr="005B7458">
        <w:rPr>
          <w:rFonts w:ascii="Palatino Linotype" w:eastAsia="Calibri" w:hAnsi="Palatino Linotype" w:cs="Arial"/>
          <w:b/>
          <w:bCs/>
          <w:i/>
          <w:sz w:val="22"/>
          <w:szCs w:val="22"/>
          <w:lang w:val="es-MX" w:eastAsia="en-US"/>
        </w:rPr>
        <w:t>.”</w:t>
      </w:r>
      <w:r w:rsidRPr="005B7458">
        <w:rPr>
          <w:rFonts w:ascii="Palatino Linotype" w:eastAsia="Calibri" w:hAnsi="Palatino Linotype" w:cs="Arial"/>
          <w:sz w:val="22"/>
          <w:szCs w:val="22"/>
          <w:lang w:val="es-MX" w:eastAsia="en-US"/>
        </w:rPr>
        <w:t xml:space="preserve">  </w:t>
      </w:r>
    </w:p>
    <w:p w14:paraId="3536D4C4" w14:textId="77777777" w:rsidR="00DB7452" w:rsidRPr="005B7458" w:rsidRDefault="00DB7452" w:rsidP="007D7513">
      <w:pPr>
        <w:spacing w:after="160" w:line="360" w:lineRule="auto"/>
        <w:ind w:right="-93"/>
        <w:contextualSpacing/>
        <w:jc w:val="both"/>
        <w:rPr>
          <w:rFonts w:ascii="Palatino Linotype" w:eastAsia="Calibri" w:hAnsi="Palatino Linotype" w:cs="Arial"/>
          <w:lang w:val="es-ES_tradnl" w:eastAsia="en-US"/>
        </w:rPr>
      </w:pPr>
    </w:p>
    <w:p w14:paraId="23238FA0" w14:textId="39F9ED3C" w:rsidR="00340732" w:rsidRPr="005B7458" w:rsidRDefault="00C660E9" w:rsidP="007D7513">
      <w:pPr>
        <w:widowControl w:val="0"/>
        <w:numPr>
          <w:ilvl w:val="0"/>
          <w:numId w:val="38"/>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lang w:val="es-MX" w:eastAsia="es-ES_tradnl"/>
        </w:rPr>
      </w:pPr>
      <w:r w:rsidRPr="005B7458">
        <w:rPr>
          <w:rFonts w:ascii="Palatino Linotype" w:eastAsia="Calibri" w:hAnsi="Palatino Linotype"/>
        </w:rPr>
        <w:t xml:space="preserve">En ese sentido y toda vez que el ente recurrido emitió documentales ad hoc en calidad de respuesta, </w:t>
      </w:r>
      <w:r w:rsidR="00340732" w:rsidRPr="005B7458">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2649B5A8" w14:textId="77777777" w:rsidR="00340732" w:rsidRPr="005B7458" w:rsidRDefault="00340732" w:rsidP="007D7513">
      <w:pPr>
        <w:pStyle w:val="Prrafodelista"/>
        <w:spacing w:line="360" w:lineRule="auto"/>
        <w:rPr>
          <w:rFonts w:ascii="Palatino Linotype" w:eastAsia="Calibri" w:hAnsi="Palatino Linotype"/>
        </w:rPr>
      </w:pPr>
    </w:p>
    <w:p w14:paraId="74CAC146" w14:textId="77777777" w:rsidR="00340732" w:rsidRPr="005B7458" w:rsidRDefault="00340732" w:rsidP="007D7513">
      <w:pPr>
        <w:spacing w:before="240" w:after="240" w:line="360" w:lineRule="auto"/>
        <w:ind w:left="567" w:right="616"/>
        <w:contextualSpacing/>
        <w:jc w:val="both"/>
        <w:rPr>
          <w:rFonts w:ascii="Palatino Linotype" w:eastAsia="Calibri" w:hAnsi="Palatino Linotype"/>
          <w:i/>
        </w:rPr>
      </w:pPr>
      <w:r w:rsidRPr="005B7458">
        <w:rPr>
          <w:rFonts w:ascii="Palatino Linotype" w:eastAsia="Calibri" w:hAnsi="Palatino Linotype"/>
        </w:rPr>
        <w:t>“</w:t>
      </w:r>
      <w:r w:rsidRPr="005B7458">
        <w:rPr>
          <w:rFonts w:ascii="Palatino Linotype" w:eastAsia="Calibri" w:hAnsi="Palatino Linotype"/>
          <w:b/>
          <w:i/>
        </w:rPr>
        <w:t>Artículo 12.</w:t>
      </w:r>
      <w:r w:rsidRPr="005B7458">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21659311" w14:textId="77777777" w:rsidR="00340732" w:rsidRPr="005B7458" w:rsidRDefault="00340732" w:rsidP="007D7513">
      <w:pPr>
        <w:spacing w:before="240" w:after="240" w:line="360" w:lineRule="auto"/>
        <w:ind w:left="567" w:right="616"/>
        <w:contextualSpacing/>
        <w:jc w:val="both"/>
        <w:rPr>
          <w:rFonts w:ascii="Palatino Linotype" w:eastAsia="Calibri" w:hAnsi="Palatino Linotype"/>
          <w:i/>
        </w:rPr>
      </w:pPr>
    </w:p>
    <w:p w14:paraId="50C7B7BC" w14:textId="77777777" w:rsidR="00340732" w:rsidRPr="005B7458" w:rsidRDefault="00340732" w:rsidP="007D7513">
      <w:pPr>
        <w:spacing w:before="240" w:after="240" w:line="360" w:lineRule="auto"/>
        <w:ind w:left="567" w:right="616"/>
        <w:contextualSpacing/>
        <w:jc w:val="both"/>
        <w:rPr>
          <w:rFonts w:ascii="Palatino Linotype" w:eastAsia="Calibri" w:hAnsi="Palatino Linotype"/>
          <w:i/>
        </w:rPr>
      </w:pPr>
      <w:r w:rsidRPr="005B7458">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48A702CB" w14:textId="38C22035" w:rsidR="00F904F7" w:rsidRPr="005B7458" w:rsidRDefault="00F904F7" w:rsidP="007D7513">
      <w:pPr>
        <w:pStyle w:val="Prrafodelista"/>
        <w:spacing w:before="100" w:beforeAutospacing="1" w:after="100" w:afterAutospacing="1" w:line="360" w:lineRule="auto"/>
        <w:ind w:left="0"/>
        <w:contextualSpacing/>
        <w:jc w:val="both"/>
        <w:rPr>
          <w:rFonts w:ascii="Palatino Linotype" w:eastAsia="MS Mincho" w:hAnsi="Palatino Linotype" w:cs="Segoe UI"/>
          <w:lang w:val="es-ES_tradnl"/>
        </w:rPr>
      </w:pPr>
    </w:p>
    <w:p w14:paraId="766BCE5F" w14:textId="2E0081A1" w:rsidR="00F904F7" w:rsidRPr="005B7458" w:rsidRDefault="00F904F7" w:rsidP="007D7513">
      <w:pPr>
        <w:pStyle w:val="Prrafodelista"/>
        <w:numPr>
          <w:ilvl w:val="0"/>
          <w:numId w:val="38"/>
        </w:numPr>
        <w:spacing w:before="100" w:beforeAutospacing="1" w:after="100" w:afterAutospacing="1" w:line="360" w:lineRule="auto"/>
        <w:ind w:left="0" w:firstLine="0"/>
        <w:contextualSpacing/>
        <w:jc w:val="both"/>
        <w:rPr>
          <w:rFonts w:ascii="Palatino Linotype" w:eastAsia="MS Mincho" w:hAnsi="Palatino Linotype" w:cs="Segoe UI"/>
          <w:lang w:val="es-ES_tradnl"/>
        </w:rPr>
      </w:pPr>
      <w:r w:rsidRPr="005B7458">
        <w:rPr>
          <w:rFonts w:ascii="Palatino Linotype" w:eastAsia="MS Mincho" w:hAnsi="Palatino Linotype" w:cs="Arial"/>
          <w:lang w:val="es-ES_tradnl"/>
        </w:rPr>
        <w:t xml:space="preserve">Por otro lado,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w:t>
      </w:r>
      <w:r w:rsidRPr="005B7458">
        <w:rPr>
          <w:rFonts w:ascii="Palatino Linotype" w:eastAsia="MS Mincho" w:hAnsi="Palatino Linotype" w:cs="Arial"/>
          <w:lang w:val="es-ES_tradnl"/>
        </w:rPr>
        <w:lastRenderedPageBreak/>
        <w:t xml:space="preserve">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0D902D5" w14:textId="77777777" w:rsidR="00F904F7" w:rsidRPr="005B7458" w:rsidRDefault="00F904F7" w:rsidP="007D7513">
      <w:pPr>
        <w:spacing w:before="240" w:after="360" w:line="360" w:lineRule="auto"/>
        <w:contextualSpacing/>
        <w:jc w:val="both"/>
        <w:rPr>
          <w:rFonts w:ascii="Palatino Linotype" w:hAnsi="Palatino Linotype"/>
          <w:lang w:eastAsia="es-MX"/>
        </w:rPr>
      </w:pPr>
    </w:p>
    <w:p w14:paraId="404E63A5" w14:textId="77777777" w:rsidR="00F904F7" w:rsidRPr="005B7458" w:rsidRDefault="00F904F7" w:rsidP="007D7513">
      <w:pPr>
        <w:spacing w:line="360" w:lineRule="auto"/>
        <w:ind w:left="567" w:right="565"/>
        <w:jc w:val="both"/>
        <w:rPr>
          <w:rFonts w:ascii="Palatino Linotype" w:eastAsia="MS Mincho" w:hAnsi="Palatino Linotype" w:cs="Arial"/>
          <w:i/>
          <w:lang w:val="es-ES_tradnl"/>
        </w:rPr>
      </w:pPr>
      <w:r w:rsidRPr="005B7458">
        <w:rPr>
          <w:rFonts w:ascii="Palatino Linotype" w:eastAsia="MS Mincho" w:hAnsi="Palatino Linotype" w:cs="Arial"/>
          <w:i/>
          <w:lang w:val="es-ES_tradnl"/>
        </w:rPr>
        <w:t>“</w:t>
      </w:r>
      <w:r w:rsidRPr="005B7458">
        <w:rPr>
          <w:rFonts w:ascii="Palatino Linotype" w:eastAsia="MS Mincho" w:hAnsi="Palatino Linotype" w:cs="Arial"/>
          <w:b/>
          <w:i/>
          <w:lang w:val="es-ES_tradnl"/>
        </w:rPr>
        <w:t xml:space="preserve">Artículo 3. </w:t>
      </w:r>
      <w:r w:rsidRPr="005B7458">
        <w:rPr>
          <w:rFonts w:ascii="Palatino Linotype" w:eastAsia="MS Mincho" w:hAnsi="Palatino Linotype" w:cs="Arial"/>
          <w:i/>
          <w:lang w:val="es-ES_tradnl"/>
        </w:rPr>
        <w:t>Para los efectos de la presente Ley se entenderá por:</w:t>
      </w:r>
    </w:p>
    <w:p w14:paraId="1A51889C" w14:textId="77777777" w:rsidR="00F904F7" w:rsidRPr="005B7458" w:rsidRDefault="00F904F7" w:rsidP="007D7513">
      <w:pPr>
        <w:spacing w:line="360" w:lineRule="auto"/>
        <w:ind w:left="567" w:right="565"/>
        <w:jc w:val="both"/>
        <w:rPr>
          <w:rFonts w:ascii="Palatino Linotype" w:eastAsia="MS Mincho" w:hAnsi="Palatino Linotype" w:cs="Arial"/>
          <w:i/>
          <w:lang w:val="es-ES_tradnl"/>
        </w:rPr>
      </w:pPr>
      <w:r w:rsidRPr="005B7458">
        <w:rPr>
          <w:rFonts w:ascii="Palatino Linotype" w:eastAsia="MS Mincho" w:hAnsi="Palatino Linotype" w:cs="Arial"/>
          <w:i/>
          <w:lang w:val="es-ES_tradnl"/>
        </w:rPr>
        <w:t>…</w:t>
      </w:r>
    </w:p>
    <w:p w14:paraId="44F29014" w14:textId="77777777" w:rsidR="00F904F7" w:rsidRPr="005B7458" w:rsidRDefault="00F904F7" w:rsidP="007D7513">
      <w:pPr>
        <w:spacing w:line="360" w:lineRule="auto"/>
        <w:ind w:left="567" w:right="565"/>
        <w:jc w:val="both"/>
        <w:rPr>
          <w:rFonts w:ascii="Palatino Linotype" w:eastAsia="MS Mincho" w:hAnsi="Palatino Linotype" w:cs="Arial"/>
          <w:i/>
          <w:lang w:val="es-ES_tradnl"/>
        </w:rPr>
      </w:pPr>
      <w:r w:rsidRPr="005B7458">
        <w:rPr>
          <w:rFonts w:ascii="Palatino Linotype" w:eastAsia="MS Mincho" w:hAnsi="Palatino Linotype" w:cs="Arial"/>
          <w:b/>
          <w:i/>
          <w:lang w:val="es-ES_tradnl"/>
        </w:rPr>
        <w:t>XI. Documento:</w:t>
      </w:r>
      <w:r w:rsidRPr="005B7458">
        <w:rPr>
          <w:rFonts w:ascii="Palatino Linotype" w:eastAsia="MS Mincho" w:hAnsi="Palatino Linotype" w:cs="Arial"/>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8E2D14" w14:textId="77777777" w:rsidR="00F904F7" w:rsidRPr="005B7458" w:rsidRDefault="00F904F7" w:rsidP="007D7513">
      <w:pPr>
        <w:spacing w:line="360" w:lineRule="auto"/>
        <w:ind w:left="567" w:right="565"/>
        <w:jc w:val="both"/>
        <w:rPr>
          <w:rFonts w:ascii="Palatino Linotype" w:eastAsia="MS Mincho" w:hAnsi="Palatino Linotype" w:cs="Arial"/>
          <w:i/>
          <w:lang w:val="es-ES_tradnl"/>
        </w:rPr>
      </w:pPr>
    </w:p>
    <w:p w14:paraId="71641BA0" w14:textId="77777777" w:rsidR="00F904F7" w:rsidRPr="005B7458" w:rsidRDefault="00F904F7" w:rsidP="007D7513">
      <w:pPr>
        <w:numPr>
          <w:ilvl w:val="0"/>
          <w:numId w:val="38"/>
        </w:numPr>
        <w:spacing w:before="240" w:after="360" w:line="360" w:lineRule="auto"/>
        <w:ind w:left="0" w:firstLine="0"/>
        <w:contextualSpacing/>
        <w:jc w:val="both"/>
        <w:rPr>
          <w:rFonts w:ascii="Palatino Linotype" w:hAnsi="Palatino Linotype"/>
          <w:lang w:eastAsia="es-MX"/>
        </w:rPr>
      </w:pPr>
      <w:r w:rsidRPr="005B7458">
        <w:rPr>
          <w:rFonts w:ascii="Palatino Linotype" w:hAnsi="Palatino Linotype"/>
          <w:lang w:eastAsia="es-MX"/>
        </w:rPr>
        <w:t xml:space="preserve">Atendiendo a ello </w:t>
      </w:r>
      <w:r w:rsidRPr="005B7458">
        <w:rPr>
          <w:rFonts w:ascii="Palatino Linotype" w:eastAsia="MS Mincho" w:hAnsi="Palatino Linotype" w:cs="Arial"/>
          <w:lang w:val="es-ES_tradnl"/>
        </w:rPr>
        <w:t>sistemáticamente se ha señalado, y así lo establecen diversos Órganos Garantes</w:t>
      </w:r>
      <w:r w:rsidRPr="005B7458">
        <w:rPr>
          <w:rFonts w:ascii="Palatino Linotype" w:eastAsia="MS Mincho" w:hAnsi="Palatino Linotype" w:cs="Arial"/>
          <w:vertAlign w:val="superscript"/>
          <w:lang w:val="es-ES_tradnl"/>
        </w:rPr>
        <w:footnoteReference w:id="3"/>
      </w:r>
      <w:r w:rsidRPr="005B7458">
        <w:rPr>
          <w:rFonts w:ascii="Palatino Linotype" w:eastAsia="MS Mincho" w:hAnsi="Palatino Linotype" w:cs="Arial"/>
          <w:lang w:val="es-ES_tradnl"/>
        </w:rPr>
        <w:t xml:space="preserve"> Nacionales, como Órganos Internacionales </w:t>
      </w:r>
      <w:r w:rsidRPr="005B7458">
        <w:rPr>
          <w:rFonts w:ascii="Palatino Linotype" w:eastAsia="MS Mincho" w:hAnsi="Palatino Linotype" w:cs="Arial"/>
          <w:lang w:val="es-ES_tradnl"/>
        </w:rPr>
        <w:lastRenderedPageBreak/>
        <w:t>Especializados,</w:t>
      </w:r>
      <w:r w:rsidRPr="005B7458">
        <w:rPr>
          <w:rFonts w:ascii="Palatino Linotype" w:eastAsia="MS Mincho" w:hAnsi="Palatino Linotype" w:cs="Arial"/>
          <w:vertAlign w:val="superscript"/>
          <w:lang w:val="es-ES_tradnl"/>
        </w:rPr>
        <w:footnoteReference w:id="4"/>
      </w:r>
      <w:r w:rsidRPr="005B7458">
        <w:rPr>
          <w:rFonts w:ascii="Palatino Linotype" w:eastAsia="MS Mincho" w:hAnsi="Palatino Linotype" w:cs="Arial"/>
          <w:lang w:val="es-ES_tradnl"/>
        </w:rPr>
        <w:t xml:space="preserve"> el derecho de acceso a la información pública consiste en el </w:t>
      </w:r>
      <w:r w:rsidRPr="005B7458">
        <w:rPr>
          <w:rFonts w:ascii="Palatino Linotype" w:eastAsia="MS Mincho" w:hAnsi="Palatino Linotype" w:cs="Arial"/>
          <w:b/>
          <w:u w:val="single"/>
          <w:lang w:val="es-ES_tradnl"/>
        </w:rPr>
        <w:t>acceso a documentos</w:t>
      </w:r>
      <w:r w:rsidRPr="005B7458">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2884AE48" w14:textId="77777777" w:rsidR="00F904F7" w:rsidRPr="005B7458" w:rsidRDefault="00F904F7" w:rsidP="007D7513">
      <w:pPr>
        <w:spacing w:before="240" w:after="360" w:line="360" w:lineRule="auto"/>
        <w:contextualSpacing/>
        <w:jc w:val="both"/>
        <w:rPr>
          <w:rFonts w:ascii="Palatino Linotype" w:eastAsia="MS Mincho" w:hAnsi="Palatino Linotype" w:cs="Arial"/>
        </w:rPr>
      </w:pPr>
    </w:p>
    <w:p w14:paraId="051EBC07" w14:textId="6D086A09" w:rsidR="00F904F7" w:rsidRPr="005B7458" w:rsidRDefault="00F904F7" w:rsidP="007D7513">
      <w:pPr>
        <w:numPr>
          <w:ilvl w:val="0"/>
          <w:numId w:val="38"/>
        </w:numPr>
        <w:spacing w:before="240" w:after="360" w:line="360" w:lineRule="auto"/>
        <w:ind w:left="0" w:firstLine="0"/>
        <w:contextualSpacing/>
        <w:jc w:val="both"/>
        <w:rPr>
          <w:rFonts w:ascii="Palatino Linotype" w:eastAsia="MS Mincho" w:hAnsi="Palatino Linotype" w:cs="Arial"/>
        </w:rPr>
      </w:pPr>
      <w:r w:rsidRPr="005B7458">
        <w:rPr>
          <w:rFonts w:ascii="Palatino Linotype" w:eastAsia="MS Mincho" w:hAnsi="Palatino Linotype" w:cs="Arial"/>
          <w:lang w:val="es-ES_tradnl"/>
        </w:rPr>
        <w:t xml:space="preserve">Así, el </w:t>
      </w:r>
      <w:r w:rsidRPr="005B7458">
        <w:rPr>
          <w:rFonts w:ascii="Palatino Linotype" w:eastAsia="MS Mincho" w:hAnsi="Palatino Linotype" w:cs="Arial"/>
        </w:rPr>
        <w:t>Criterio</w:t>
      </w:r>
      <w:r w:rsidRPr="005B7458">
        <w:rPr>
          <w:rFonts w:ascii="Palatino Linotype" w:eastAsia="MS Mincho" w:hAnsi="Palatino Linotype" w:cs="Arial"/>
          <w:lang w:val="es-ES_tradnl"/>
        </w:rPr>
        <w:t xml:space="preserve"> </w:t>
      </w:r>
      <w:r w:rsidRPr="005B7458">
        <w:rPr>
          <w:rFonts w:ascii="Palatino Linotype" w:eastAsia="MS Mincho" w:hAnsi="Palatino Linotype" w:cs="Arial"/>
        </w:rPr>
        <w:t>028-10</w:t>
      </w:r>
      <w:r w:rsidRPr="005B7458">
        <w:rPr>
          <w:rFonts w:ascii="Palatino Linotype" w:eastAsia="MS Mincho" w:hAnsi="Palatino Linotype" w:cs="Arial"/>
          <w:lang w:val="es-ES_tradnl"/>
        </w:rPr>
        <w:t xml:space="preserve"> </w:t>
      </w:r>
      <w:r w:rsidRPr="005B7458">
        <w:rPr>
          <w:rFonts w:ascii="Palatino Linotype" w:eastAsia="MS Mincho" w:hAnsi="Palatino Linotype" w:cs="Arial"/>
        </w:rPr>
        <w:t>emitido por</w:t>
      </w:r>
      <w:r w:rsidRPr="005B7458">
        <w:rPr>
          <w:rFonts w:ascii="Palatino Linotype" w:eastAsia="MS Mincho" w:hAnsi="Palatino Linotype" w:cs="Arial"/>
          <w:lang w:val="es-ES_tradnl"/>
        </w:rPr>
        <w:t xml:space="preserve"> el Pleno del entonces llamado </w:t>
      </w:r>
      <w:r w:rsidRPr="005B7458">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sidRPr="005B7458">
        <w:rPr>
          <w:rFonts w:ascii="Palatino Linotype" w:eastAsia="MS Mincho" w:hAnsi="Palatino Linotype" w:cs="Arial"/>
          <w:lang w:val="es-ES_tradnl"/>
        </w:rPr>
        <w:t xml:space="preserve">ablece que se deberá garantizar </w:t>
      </w:r>
      <w:r w:rsidRPr="005B7458">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5B7458">
        <w:rPr>
          <w:rFonts w:ascii="Palatino Linotype" w:eastAsia="MS Mincho" w:hAnsi="Palatino Linotype" w:cs="Arial"/>
          <w:lang w:val="es-ES_tradnl"/>
        </w:rPr>
        <w:t xml:space="preserve"> </w:t>
      </w:r>
      <w:r w:rsidRPr="005B7458">
        <w:rPr>
          <w:rFonts w:ascii="Palatino Linotype" w:eastAsia="MS Mincho" w:hAnsi="Palatino Linotype" w:cs="Arial"/>
        </w:rPr>
        <w:t>particular lleve a cabo una solicitud de información sin identificar de forma precisa la do</w:t>
      </w:r>
      <w:r w:rsidRPr="005B7458">
        <w:rPr>
          <w:rFonts w:ascii="Palatino Linotype" w:eastAsia="MS Mincho" w:hAnsi="Palatino Linotype" w:cs="Arial"/>
          <w:lang w:val="es-ES_tradnl"/>
        </w:rPr>
        <w:t xml:space="preserve">cumentación a la que requiere acceso, como a continuación se observa: </w:t>
      </w:r>
    </w:p>
    <w:p w14:paraId="0720110B" w14:textId="77777777" w:rsidR="00F904F7" w:rsidRPr="005B7458" w:rsidRDefault="00F904F7" w:rsidP="007D7513">
      <w:pPr>
        <w:spacing w:before="240" w:after="360" w:line="360" w:lineRule="auto"/>
        <w:ind w:right="616"/>
        <w:contextualSpacing/>
        <w:jc w:val="both"/>
        <w:rPr>
          <w:rFonts w:ascii="Palatino Linotype" w:eastAsia="MS Mincho" w:hAnsi="Palatino Linotype" w:cs="Arial"/>
        </w:rPr>
      </w:pPr>
    </w:p>
    <w:p w14:paraId="0406647A" w14:textId="5CEFE4D1" w:rsidR="00F904F7" w:rsidRPr="005B7458" w:rsidRDefault="00F904F7" w:rsidP="007D7513">
      <w:pPr>
        <w:spacing w:before="240" w:after="360" w:line="360" w:lineRule="auto"/>
        <w:ind w:left="567" w:right="616"/>
        <w:contextualSpacing/>
        <w:jc w:val="both"/>
        <w:rPr>
          <w:rFonts w:ascii="Palatino Linotype" w:eastAsia="MS Mincho" w:hAnsi="Palatino Linotype" w:cs="Arial"/>
          <w:i/>
          <w:iCs/>
          <w:lang w:val="es-ES_tradnl"/>
        </w:rPr>
      </w:pPr>
      <w:r w:rsidRPr="005B7458">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5B7458">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w:t>
      </w:r>
      <w:r w:rsidRPr="005B7458">
        <w:rPr>
          <w:rFonts w:ascii="Palatino Linotype" w:eastAsia="MS Mincho" w:hAnsi="Palatino Linotype" w:cs="Arial"/>
          <w:i/>
          <w:iCs/>
          <w:lang w:val="es-ES_tradnl"/>
        </w:rPr>
        <w:lastRenderedPageBreak/>
        <w:t>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w:t>
      </w:r>
      <w:r w:rsidR="006A74E5" w:rsidRPr="005B7458">
        <w:rPr>
          <w:rFonts w:ascii="Palatino Linotype" w:eastAsia="MS Mincho" w:hAnsi="Palatino Linotype" w:cs="Arial"/>
          <w:i/>
          <w:iCs/>
          <w:lang w:val="es-ES_tradnl"/>
        </w:rPr>
        <w:t>rega del mismo al solicitante.”</w:t>
      </w:r>
    </w:p>
    <w:p w14:paraId="04495D4A" w14:textId="56A5F529" w:rsidR="00F904F7" w:rsidRPr="005B7458" w:rsidRDefault="00F904F7" w:rsidP="007D7513">
      <w:pPr>
        <w:pStyle w:val="Prrafodelista"/>
        <w:numPr>
          <w:ilvl w:val="0"/>
          <w:numId w:val="38"/>
        </w:numPr>
        <w:spacing w:before="240" w:after="360" w:line="360" w:lineRule="auto"/>
        <w:ind w:left="0" w:firstLine="0"/>
        <w:contextualSpacing/>
        <w:jc w:val="both"/>
        <w:rPr>
          <w:rFonts w:ascii="Palatino Linotype" w:eastAsia="MS Mincho" w:hAnsi="Palatino Linotype" w:cs="Arial"/>
          <w:lang w:val="es-ES_tradnl"/>
        </w:rPr>
      </w:pPr>
      <w:r w:rsidRPr="005B7458">
        <w:rPr>
          <w:rFonts w:ascii="Palatino Linotype" w:eastAsia="MS Mincho" w:hAnsi="Palatino Linotype" w:cs="Arial"/>
        </w:rPr>
        <w:t xml:space="preserve">Robustece lo anterior </w:t>
      </w:r>
      <w:r w:rsidRPr="005B7458">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0D8C7F82" w14:textId="77777777" w:rsidR="00F904F7" w:rsidRPr="005B7458" w:rsidRDefault="00F904F7" w:rsidP="007D7513">
      <w:pPr>
        <w:spacing w:before="240" w:after="360" w:line="360" w:lineRule="auto"/>
        <w:contextualSpacing/>
        <w:jc w:val="both"/>
        <w:rPr>
          <w:rFonts w:ascii="Palatino Linotype" w:eastAsia="MS Mincho" w:hAnsi="Palatino Linotype" w:cs="Arial"/>
          <w:lang w:val="es-ES_tradnl"/>
        </w:rPr>
      </w:pPr>
    </w:p>
    <w:p w14:paraId="6204445D" w14:textId="7F0C1E71" w:rsidR="00F904F7" w:rsidRPr="005B7458" w:rsidRDefault="00F904F7" w:rsidP="007D7513">
      <w:pPr>
        <w:spacing w:before="240" w:after="360" w:line="360" w:lineRule="auto"/>
        <w:ind w:left="567" w:right="616"/>
        <w:contextualSpacing/>
        <w:jc w:val="both"/>
        <w:rPr>
          <w:rFonts w:ascii="Palatino Linotype" w:eastAsia="MS Mincho" w:hAnsi="Palatino Linotype" w:cs="Arial"/>
          <w:i/>
          <w:lang w:val="es-ES_tradnl"/>
        </w:rPr>
      </w:pPr>
      <w:r w:rsidRPr="005B7458">
        <w:rPr>
          <w:rFonts w:ascii="Palatino Linotype" w:eastAsia="MS Mincho" w:hAnsi="Palatino Linotype" w:cs="Arial"/>
          <w:b/>
          <w:i/>
          <w:lang w:val="es-ES_tradnl"/>
        </w:rPr>
        <w:t>“Expresión documental</w:t>
      </w:r>
      <w:r w:rsidRPr="005B7458">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EF8BE67" w14:textId="77777777" w:rsidR="00DB7452" w:rsidRPr="005B7458" w:rsidRDefault="00DB7452" w:rsidP="007D7513">
      <w:pPr>
        <w:spacing w:before="240" w:after="360" w:line="360" w:lineRule="auto"/>
        <w:ind w:left="567" w:right="616"/>
        <w:contextualSpacing/>
        <w:jc w:val="both"/>
        <w:rPr>
          <w:rFonts w:ascii="Palatino Linotype" w:eastAsia="MS Mincho" w:hAnsi="Palatino Linotype" w:cs="Arial"/>
          <w:i/>
          <w:lang w:val="es-ES_tradnl"/>
        </w:rPr>
      </w:pPr>
    </w:p>
    <w:p w14:paraId="58BF8F15" w14:textId="2438D811" w:rsidR="00F904F7" w:rsidRPr="005B7458" w:rsidRDefault="00F904F7" w:rsidP="007D7513">
      <w:pPr>
        <w:spacing w:before="240" w:after="360" w:line="360" w:lineRule="auto"/>
        <w:ind w:left="567" w:right="616"/>
        <w:contextualSpacing/>
        <w:jc w:val="both"/>
        <w:rPr>
          <w:rFonts w:ascii="Palatino Linotype" w:eastAsia="MS Mincho" w:hAnsi="Palatino Linotype" w:cs="Arial"/>
          <w:i/>
          <w:lang w:val="es-ES_tradnl"/>
        </w:rPr>
      </w:pPr>
      <w:r w:rsidRPr="005B7458">
        <w:rPr>
          <w:rFonts w:ascii="Palatino Linotype" w:eastAsia="MS Mincho" w:hAnsi="Palatino Linotype" w:cs="Arial"/>
          <w:i/>
          <w:lang w:val="es-ES_tradnl"/>
        </w:rPr>
        <w:t>Resoluciones:</w:t>
      </w:r>
    </w:p>
    <w:p w14:paraId="33C5C0CB" w14:textId="77777777" w:rsidR="00DB7452" w:rsidRPr="005B7458" w:rsidRDefault="00DB7452" w:rsidP="007D7513">
      <w:pPr>
        <w:spacing w:before="240" w:after="360" w:line="360" w:lineRule="auto"/>
        <w:ind w:left="567" w:right="616"/>
        <w:contextualSpacing/>
        <w:jc w:val="both"/>
        <w:rPr>
          <w:rFonts w:ascii="Palatino Linotype" w:eastAsia="MS Mincho" w:hAnsi="Palatino Linotype" w:cs="Arial"/>
          <w:i/>
          <w:lang w:val="es-ES_tradnl"/>
        </w:rPr>
      </w:pPr>
    </w:p>
    <w:p w14:paraId="47E0F6AA" w14:textId="77777777" w:rsidR="00F904F7" w:rsidRPr="005B7458" w:rsidRDefault="00F904F7" w:rsidP="007D7513">
      <w:pPr>
        <w:spacing w:before="240" w:after="360" w:line="360" w:lineRule="auto"/>
        <w:ind w:left="567" w:right="616"/>
        <w:contextualSpacing/>
        <w:jc w:val="both"/>
        <w:rPr>
          <w:rFonts w:ascii="Palatino Linotype" w:eastAsia="MS Mincho" w:hAnsi="Palatino Linotype" w:cs="Arial"/>
          <w:i/>
          <w:lang w:val="es-ES_tradnl"/>
        </w:rPr>
      </w:pPr>
      <w:r w:rsidRPr="005B7458">
        <w:rPr>
          <w:rFonts w:ascii="Palatino Linotype" w:eastAsia="MS Mincho" w:hAnsi="Palatino Linotype" w:cs="Arial"/>
          <w:i/>
          <w:lang w:val="es-ES_tradnl"/>
        </w:rPr>
        <w:t>•</w:t>
      </w:r>
      <w:r w:rsidRPr="005B7458">
        <w:rPr>
          <w:rFonts w:ascii="Palatino Linotype" w:eastAsia="MS Mincho" w:hAnsi="Palatino Linotype" w:cs="Arial"/>
          <w:i/>
          <w:lang w:val="es-ES_tradnl"/>
        </w:rPr>
        <w:tab/>
        <w:t>RRA 0774/16. Secretaría de Salud. 31 de agosto de 2016. Por unanimidad. Comisionada Ponente María Patricia Kurczyn Villalobos.</w:t>
      </w:r>
    </w:p>
    <w:p w14:paraId="1C63B007" w14:textId="77777777" w:rsidR="00F904F7" w:rsidRPr="005B7458" w:rsidRDefault="00F904F7" w:rsidP="007D7513">
      <w:pPr>
        <w:spacing w:before="240" w:after="360" w:line="360" w:lineRule="auto"/>
        <w:ind w:left="567" w:right="616"/>
        <w:contextualSpacing/>
        <w:jc w:val="both"/>
        <w:rPr>
          <w:rFonts w:ascii="Palatino Linotype" w:eastAsia="MS Mincho" w:hAnsi="Palatino Linotype" w:cs="Arial"/>
          <w:i/>
          <w:lang w:val="es-ES_tradnl"/>
        </w:rPr>
      </w:pPr>
      <w:r w:rsidRPr="005B7458">
        <w:rPr>
          <w:rFonts w:ascii="Palatino Linotype" w:eastAsia="MS Mincho" w:hAnsi="Palatino Linotype" w:cs="Arial"/>
          <w:i/>
          <w:lang w:val="es-ES_tradnl"/>
        </w:rPr>
        <w:t>•</w:t>
      </w:r>
      <w:r w:rsidRPr="005B7458">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1CE67BE1" w14:textId="74E3DEB6" w:rsidR="00B14987" w:rsidRPr="005B7458" w:rsidRDefault="00F904F7" w:rsidP="007D7513">
      <w:pPr>
        <w:spacing w:before="240" w:after="360" w:line="360" w:lineRule="auto"/>
        <w:ind w:left="567" w:right="616"/>
        <w:contextualSpacing/>
        <w:jc w:val="both"/>
        <w:rPr>
          <w:rFonts w:ascii="Palatino Linotype" w:eastAsia="MS Mincho" w:hAnsi="Palatino Linotype" w:cs="Arial"/>
          <w:i/>
          <w:lang w:val="es-ES_tradnl"/>
        </w:rPr>
      </w:pPr>
      <w:r w:rsidRPr="005B7458">
        <w:rPr>
          <w:rFonts w:ascii="Palatino Linotype" w:eastAsia="MS Mincho" w:hAnsi="Palatino Linotype" w:cs="Arial"/>
          <w:i/>
          <w:lang w:val="es-ES_tradnl"/>
        </w:rPr>
        <w:t>•</w:t>
      </w:r>
      <w:r w:rsidRPr="005B7458">
        <w:rPr>
          <w:rFonts w:ascii="Palatino Linotype" w:eastAsia="MS Mincho" w:hAnsi="Palatino Linotype" w:cs="Arial"/>
          <w:i/>
          <w:lang w:val="es-ES_tradnl"/>
        </w:rPr>
        <w:tab/>
        <w:t>RRA 0540/17. Secretaría de Economía. 08 de marzo del 2017. Por unanimidad. Comisionado Ponente Francisco Javier Acuña Llama</w:t>
      </w:r>
      <w:r w:rsidR="006A74E5" w:rsidRPr="005B7458">
        <w:rPr>
          <w:rFonts w:ascii="Palatino Linotype" w:eastAsia="MS Mincho" w:hAnsi="Palatino Linotype" w:cs="Arial"/>
          <w:i/>
          <w:lang w:val="es-ES_tradnl"/>
        </w:rPr>
        <w:t>s”</w:t>
      </w:r>
    </w:p>
    <w:p w14:paraId="5A2462FC" w14:textId="7CA3D7E3" w:rsidR="00DB7452" w:rsidRPr="005B7458" w:rsidRDefault="00DB7452" w:rsidP="007D7513">
      <w:pPr>
        <w:spacing w:before="240" w:after="360" w:line="360" w:lineRule="auto"/>
        <w:ind w:right="616"/>
        <w:contextualSpacing/>
        <w:jc w:val="both"/>
        <w:rPr>
          <w:rFonts w:ascii="Palatino Linotype" w:eastAsia="MS Mincho" w:hAnsi="Palatino Linotype" w:cs="Arial"/>
          <w:i/>
          <w:lang w:val="es-ES_tradnl"/>
        </w:rPr>
      </w:pPr>
    </w:p>
    <w:p w14:paraId="45214624" w14:textId="3D52C21D" w:rsidR="004F4992" w:rsidRPr="005B7458" w:rsidRDefault="00DB7452" w:rsidP="007D7513">
      <w:pPr>
        <w:numPr>
          <w:ilvl w:val="0"/>
          <w:numId w:val="38"/>
        </w:numPr>
        <w:spacing w:after="160" w:line="360" w:lineRule="auto"/>
        <w:ind w:left="0" w:right="-93" w:firstLine="90"/>
        <w:contextualSpacing/>
        <w:jc w:val="both"/>
        <w:rPr>
          <w:rFonts w:ascii="Palatino Linotype" w:eastAsia="Calibri" w:hAnsi="Palatino Linotype" w:cs="Arial"/>
          <w:lang w:val="es-ES_tradnl" w:eastAsia="en-US"/>
        </w:rPr>
      </w:pPr>
      <w:r w:rsidRPr="005B7458">
        <w:rPr>
          <w:rFonts w:ascii="Palatino Linotype" w:eastAsia="Calibri" w:hAnsi="Palatino Linotype" w:cs="Arial"/>
          <w:lang w:val="es-ES_tradnl" w:eastAsia="en-US"/>
        </w:rPr>
        <w:t xml:space="preserve">Así, es dable </w:t>
      </w:r>
      <w:r w:rsidRPr="005B7458">
        <w:rPr>
          <w:rFonts w:ascii="Palatino Linotype" w:eastAsia="Calibri" w:hAnsi="Palatino Linotype" w:cs="Arial"/>
          <w:b/>
          <w:lang w:val="es-ES_tradnl" w:eastAsia="en-US"/>
        </w:rPr>
        <w:t xml:space="preserve">ORDENAR </w:t>
      </w:r>
      <w:r w:rsidR="00C660E9" w:rsidRPr="005B7458">
        <w:rPr>
          <w:rFonts w:ascii="Palatino Linotype" w:eastAsia="Calibri" w:hAnsi="Palatino Linotype" w:cs="Arial"/>
          <w:lang w:val="es-ES_tradnl" w:eastAsia="en-US"/>
        </w:rPr>
        <w:t xml:space="preserve">el </w:t>
      </w:r>
      <w:r w:rsidRPr="005B7458">
        <w:rPr>
          <w:rFonts w:ascii="Palatino Linotype" w:eastAsia="Calibri" w:hAnsi="Palatino Linotype" w:cs="Arial"/>
          <w:lang w:val="es-ES_tradnl" w:eastAsia="en-US"/>
        </w:rPr>
        <w:t>documento donde co</w:t>
      </w:r>
      <w:r w:rsidR="00C660E9" w:rsidRPr="005B7458">
        <w:rPr>
          <w:rFonts w:ascii="Palatino Linotype" w:eastAsia="Calibri" w:hAnsi="Palatino Linotype" w:cs="Arial"/>
          <w:lang w:val="es-ES_tradnl" w:eastAsia="en-US"/>
        </w:rPr>
        <w:t xml:space="preserve">nste el Dictamen de Giro emitido a la Unidad Económica con la licencia referida por el </w:t>
      </w:r>
      <w:r w:rsidR="00C660E9" w:rsidRPr="005B7458">
        <w:rPr>
          <w:rFonts w:ascii="Palatino Linotype" w:eastAsia="Calibri" w:hAnsi="Palatino Linotype" w:cs="Arial"/>
          <w:b/>
          <w:lang w:val="es-ES_tradnl" w:eastAsia="en-US"/>
        </w:rPr>
        <w:t>SUJETO OBLIGADO</w:t>
      </w:r>
      <w:r w:rsidR="00C660E9" w:rsidRPr="005B7458">
        <w:rPr>
          <w:rFonts w:ascii="Palatino Linotype" w:eastAsia="Calibri" w:hAnsi="Palatino Linotype" w:cs="Arial"/>
          <w:lang w:val="es-ES_tradnl" w:eastAsia="en-US"/>
        </w:rPr>
        <w:t xml:space="preserve"> en su respuesta, en versión pública</w:t>
      </w:r>
      <w:r w:rsidR="00B96241" w:rsidRPr="005B7458">
        <w:rPr>
          <w:rFonts w:ascii="Palatino Linotype" w:eastAsia="Calibri" w:hAnsi="Palatino Linotype" w:cs="Arial"/>
          <w:lang w:val="es-ES_tradnl" w:eastAsia="en-US"/>
        </w:rPr>
        <w:t xml:space="preserve"> de ser procedente, </w:t>
      </w:r>
      <w:r w:rsidR="00C660E9" w:rsidRPr="005B7458">
        <w:rPr>
          <w:rFonts w:ascii="Palatino Linotype" w:eastAsia="Calibri" w:hAnsi="Palatino Linotype" w:cs="Arial"/>
          <w:lang w:val="es-ES_tradnl" w:eastAsia="en-US"/>
        </w:rPr>
        <w:t xml:space="preserve">en términos del considerando </w:t>
      </w:r>
      <w:r w:rsidR="00C660E9" w:rsidRPr="005B7458">
        <w:rPr>
          <w:rFonts w:ascii="Palatino Linotype" w:eastAsia="Calibri" w:hAnsi="Palatino Linotype" w:cs="Arial"/>
          <w:b/>
          <w:lang w:val="es-ES_tradnl" w:eastAsia="en-US"/>
        </w:rPr>
        <w:t xml:space="preserve">QUINTO. </w:t>
      </w:r>
      <w:r w:rsidR="00C660E9" w:rsidRPr="005B7458">
        <w:rPr>
          <w:rFonts w:ascii="Palatino Linotype" w:eastAsia="Calibri" w:hAnsi="Palatino Linotype" w:cs="Arial"/>
          <w:lang w:val="es-ES_tradnl" w:eastAsia="en-US"/>
        </w:rPr>
        <w:t xml:space="preserve"> </w:t>
      </w:r>
    </w:p>
    <w:p w14:paraId="153383A3" w14:textId="7C4C96E4" w:rsidR="00DB7452" w:rsidRPr="005B7458" w:rsidRDefault="00C660E9" w:rsidP="00C660E9">
      <w:pPr>
        <w:tabs>
          <w:tab w:val="left" w:pos="6375"/>
        </w:tabs>
        <w:spacing w:after="160" w:line="360" w:lineRule="auto"/>
        <w:ind w:right="-93"/>
        <w:contextualSpacing/>
        <w:jc w:val="both"/>
        <w:rPr>
          <w:rFonts w:ascii="Palatino Linotype" w:eastAsia="Calibri" w:hAnsi="Palatino Linotype" w:cs="Arial"/>
          <w:lang w:val="es-ES_tradnl" w:eastAsia="en-US"/>
        </w:rPr>
      </w:pPr>
      <w:r w:rsidRPr="005B7458">
        <w:rPr>
          <w:rFonts w:ascii="Palatino Linotype" w:eastAsia="Calibri" w:hAnsi="Palatino Linotype" w:cs="Arial"/>
          <w:lang w:val="es-ES_tradnl" w:eastAsia="en-US"/>
        </w:rPr>
        <w:tab/>
      </w:r>
    </w:p>
    <w:p w14:paraId="2475EF13" w14:textId="2C012477" w:rsidR="00B14987" w:rsidRPr="005B7458" w:rsidRDefault="00464C89" w:rsidP="007D7513">
      <w:pPr>
        <w:keepNext/>
        <w:keepLines/>
        <w:spacing w:before="240" w:line="360" w:lineRule="auto"/>
        <w:outlineLvl w:val="0"/>
        <w:rPr>
          <w:rFonts w:ascii="Palatino Linotype" w:eastAsia="MS Mincho" w:hAnsi="Palatino Linotype"/>
          <w:b/>
          <w:lang w:val="es-ES_tradnl"/>
        </w:rPr>
      </w:pPr>
      <w:bookmarkStart w:id="56" w:name="_Toc84433126"/>
      <w:bookmarkStart w:id="57" w:name="_Toc97826091"/>
      <w:bookmarkStart w:id="58" w:name="_Toc34310247"/>
      <w:bookmarkStart w:id="59" w:name="_Toc34849558"/>
      <w:bookmarkStart w:id="60" w:name="_Toc53659481"/>
      <w:bookmarkStart w:id="61" w:name="_Toc67598514"/>
      <w:bookmarkStart w:id="62" w:name="_Toc69999203"/>
      <w:bookmarkStart w:id="63" w:name="_Toc73033012"/>
      <w:bookmarkStart w:id="64" w:name="_Toc466371865"/>
      <w:bookmarkStart w:id="65" w:name="_Toc466377653"/>
      <w:bookmarkEnd w:id="49"/>
      <w:bookmarkEnd w:id="50"/>
      <w:bookmarkEnd w:id="51"/>
      <w:bookmarkEnd w:id="52"/>
      <w:bookmarkEnd w:id="53"/>
      <w:r w:rsidRPr="005B7458">
        <w:rPr>
          <w:rFonts w:ascii="Palatino Linotype" w:eastAsia="MS Gothic" w:hAnsi="Palatino Linotype"/>
          <w:b/>
          <w:lang w:val="es-ES_tradnl" w:eastAsia="es-ES_tradnl"/>
        </w:rPr>
        <w:t xml:space="preserve">QUINTO. </w:t>
      </w:r>
      <w:r w:rsidRPr="005B7458">
        <w:rPr>
          <w:rFonts w:ascii="Palatino Linotype" w:eastAsia="MS Mincho" w:hAnsi="Palatino Linotype"/>
          <w:b/>
          <w:lang w:val="es-ES_tradnl"/>
        </w:rPr>
        <w:t>De la elaboración de la versión pública y el acuerdo de clasificación como información confidencial.</w:t>
      </w:r>
      <w:bookmarkEnd w:id="56"/>
      <w:bookmarkEnd w:id="57"/>
    </w:p>
    <w:p w14:paraId="6F81AC78" w14:textId="5E071E53" w:rsidR="00464C89" w:rsidRPr="005B7458" w:rsidRDefault="00464C89" w:rsidP="007D7513">
      <w:pPr>
        <w:pStyle w:val="Prrafodelista"/>
        <w:numPr>
          <w:ilvl w:val="0"/>
          <w:numId w:val="38"/>
        </w:numPr>
        <w:spacing w:before="240" w:after="240" w:line="360" w:lineRule="auto"/>
        <w:ind w:left="0" w:hanging="11"/>
        <w:contextualSpacing/>
        <w:jc w:val="both"/>
        <w:rPr>
          <w:rFonts w:ascii="Palatino Linotype" w:hAnsi="Palatino Linotype" w:cs="Arial"/>
        </w:rPr>
      </w:pPr>
      <w:r w:rsidRPr="005B7458">
        <w:rPr>
          <w:rFonts w:ascii="Palatino Linotype" w:hAnsi="Palatino Linotype" w:cs="Arial"/>
          <w:color w:val="000000"/>
          <w:lang w:val="es-ES_tradnl"/>
        </w:rPr>
        <w:t xml:space="preserve"> Debe destacarse que debido a la naturaleza de </w:t>
      </w:r>
      <w:r w:rsidRPr="005B7458">
        <w:rPr>
          <w:rFonts w:ascii="Palatino Linotype" w:hAnsi="Palatino Linotype"/>
          <w:color w:val="000000"/>
          <w:lang w:val="es-ES_tradnl"/>
        </w:rPr>
        <w:t xml:space="preserve">la información solicitada, en la misma pudieran obrar datos personales o información reservada susceptibles de protegerse </w:t>
      </w:r>
      <w:r w:rsidRPr="005B7458">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5CC26F07" w14:textId="77777777" w:rsidR="00464C89" w:rsidRPr="005B7458" w:rsidRDefault="00464C89" w:rsidP="007D7513">
      <w:pPr>
        <w:spacing w:before="240" w:after="240" w:line="360" w:lineRule="auto"/>
        <w:contextualSpacing/>
        <w:jc w:val="both"/>
        <w:rPr>
          <w:rFonts w:ascii="Palatino Linotype" w:hAnsi="Palatino Linotype" w:cs="Arial"/>
        </w:rPr>
      </w:pPr>
    </w:p>
    <w:p w14:paraId="2A2A4E10" w14:textId="77777777" w:rsidR="00464C89" w:rsidRPr="005B7458" w:rsidRDefault="00464C89" w:rsidP="007D7513">
      <w:pPr>
        <w:numPr>
          <w:ilvl w:val="0"/>
          <w:numId w:val="38"/>
        </w:numPr>
        <w:spacing w:before="240" w:after="240" w:line="360" w:lineRule="auto"/>
        <w:ind w:left="0" w:hanging="11"/>
        <w:contextualSpacing/>
        <w:jc w:val="both"/>
        <w:rPr>
          <w:rFonts w:ascii="Palatino Linotype" w:hAnsi="Palatino Linotype" w:cs="Arial"/>
        </w:rPr>
      </w:pPr>
      <w:r w:rsidRPr="005B7458">
        <w:rPr>
          <w:rFonts w:ascii="Palatino Linotype" w:eastAsia="Calibri" w:hAnsi="Palatino Linotype" w:cs="Arial"/>
          <w:color w:val="000000"/>
          <w:lang w:eastAsia="es-MX"/>
        </w:rPr>
        <w:t xml:space="preserve">Es de señalar que, por lo que hace a las versiones públicas, el </w:t>
      </w:r>
      <w:r w:rsidRPr="005B7458">
        <w:rPr>
          <w:rFonts w:ascii="Palatino Linotype" w:eastAsia="Calibri" w:hAnsi="Palatino Linotype" w:cs="Arial"/>
          <w:b/>
          <w:color w:val="000000"/>
          <w:lang w:eastAsia="es-MX"/>
        </w:rPr>
        <w:t>SUJETO OBLIGADO</w:t>
      </w:r>
      <w:r w:rsidRPr="005B7458">
        <w:rPr>
          <w:rFonts w:ascii="Palatino Linotype" w:eastAsia="Calibri" w:hAnsi="Palatino Linotype" w:cs="Arial"/>
          <w:color w:val="000000"/>
          <w:lang w:eastAsia="es-MX"/>
        </w:rPr>
        <w:t xml:space="preserve"> debe cumplir con las formalidades exigidas en la Ley, por lo que </w:t>
      </w:r>
      <w:r w:rsidRPr="005B7458">
        <w:rPr>
          <w:rFonts w:ascii="Palatino Linotype" w:hAnsi="Palatino Linotype" w:cs="Arial"/>
          <w:color w:val="000000"/>
          <w:lang w:val="es-ES_tradnl" w:eastAsia="es-MX"/>
        </w:rPr>
        <w:t xml:space="preserve">para tal efecto emitirá el </w:t>
      </w:r>
      <w:r w:rsidRPr="005B7458">
        <w:rPr>
          <w:rFonts w:ascii="Palatino Linotype" w:eastAsia="Calibri" w:hAnsi="Palatino Linotype" w:cs="Arial"/>
          <w:color w:val="000000"/>
          <w:lang w:eastAsia="es-MX"/>
        </w:rPr>
        <w:t>Acuerdo del Comité de Transparencia en términos de los artículos 49 fracción</w:t>
      </w:r>
      <w:r w:rsidRPr="005B7458">
        <w:rPr>
          <w:rFonts w:ascii="Palatino Linotype" w:eastAsia="Calibri" w:hAnsi="Palatino Linotype" w:cs="Arial"/>
          <w:bCs/>
          <w:color w:val="000000"/>
          <w:lang w:val="es-ES_tradnl"/>
        </w:rPr>
        <w:t xml:space="preserve"> VIII,</w:t>
      </w:r>
      <w:r w:rsidRPr="005B7458">
        <w:rPr>
          <w:rFonts w:ascii="Palatino Linotype" w:eastAsia="Calibri" w:hAnsi="Palatino Linotype" w:cs="Arial"/>
          <w:color w:val="000000"/>
          <w:lang w:eastAsia="es-MX"/>
        </w:rPr>
        <w:t xml:space="preserve"> 122</w:t>
      </w:r>
      <w:r w:rsidRPr="005B7458">
        <w:rPr>
          <w:rFonts w:ascii="Palatino Linotype" w:hAnsi="Palatino Linotype"/>
          <w:vertAlign w:val="superscript"/>
          <w:lang w:eastAsia="es-MX"/>
        </w:rPr>
        <w:footnoteReference w:id="5"/>
      </w:r>
      <w:r w:rsidRPr="005B7458">
        <w:rPr>
          <w:rFonts w:ascii="Palatino Linotype" w:eastAsia="Calibri" w:hAnsi="Palatino Linotype" w:cs="Arial"/>
          <w:color w:val="000000"/>
          <w:lang w:eastAsia="es-MX"/>
        </w:rPr>
        <w:t>, 135</w:t>
      </w:r>
      <w:r w:rsidRPr="005B7458">
        <w:rPr>
          <w:rFonts w:ascii="Palatino Linotype" w:hAnsi="Palatino Linotype"/>
          <w:vertAlign w:val="superscript"/>
          <w:lang w:eastAsia="es-MX"/>
        </w:rPr>
        <w:footnoteReference w:id="6"/>
      </w:r>
      <w:r w:rsidRPr="005B7458">
        <w:rPr>
          <w:rFonts w:ascii="Palatino Linotype" w:eastAsia="Calibri" w:hAnsi="Palatino Linotype" w:cs="Arial"/>
          <w:color w:val="000000"/>
          <w:lang w:eastAsia="es-MX"/>
        </w:rPr>
        <w:t xml:space="preserve"> y 149 de la </w:t>
      </w:r>
      <w:r w:rsidRPr="005B7458">
        <w:rPr>
          <w:rFonts w:ascii="Palatino Linotype" w:eastAsia="Calibri" w:hAnsi="Palatino Linotype" w:cs="Arial"/>
          <w:b/>
          <w:color w:val="000000"/>
          <w:lang w:eastAsia="es-MX"/>
        </w:rPr>
        <w:t>Ley de Transparencia y Acceso a la Información Pública del Estado de México y Municipios</w:t>
      </w:r>
      <w:r w:rsidRPr="005B7458">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34019295" w14:textId="77777777" w:rsidR="00464C89" w:rsidRPr="005B7458" w:rsidRDefault="00464C89" w:rsidP="007D7513">
      <w:pPr>
        <w:spacing w:before="240" w:after="240" w:line="360" w:lineRule="auto"/>
        <w:contextualSpacing/>
        <w:jc w:val="both"/>
        <w:rPr>
          <w:rFonts w:ascii="Palatino Linotype" w:hAnsi="Palatino Linotype" w:cs="Arial"/>
        </w:rPr>
      </w:pPr>
    </w:p>
    <w:p w14:paraId="3B611EA5" w14:textId="77777777" w:rsidR="00464C89" w:rsidRPr="005B7458" w:rsidRDefault="00464C89" w:rsidP="007D7513">
      <w:pPr>
        <w:keepNext/>
        <w:keepLines/>
        <w:numPr>
          <w:ilvl w:val="0"/>
          <w:numId w:val="23"/>
        </w:numPr>
        <w:spacing w:before="240" w:line="360" w:lineRule="auto"/>
        <w:ind w:left="284" w:hanging="284"/>
        <w:outlineLvl w:val="0"/>
        <w:rPr>
          <w:rFonts w:ascii="Palatino Linotype" w:eastAsiaTheme="majorEastAsia" w:hAnsi="Palatino Linotype" w:cstheme="majorBidi"/>
          <w:b/>
          <w:color w:val="000000" w:themeColor="text1"/>
          <w:lang w:val="es-ES_tradnl"/>
        </w:rPr>
      </w:pPr>
      <w:bookmarkStart w:id="66" w:name="_Toc84433127"/>
      <w:bookmarkStart w:id="67" w:name="_Toc97826092"/>
      <w:r w:rsidRPr="005B7458">
        <w:rPr>
          <w:rFonts w:ascii="Palatino Linotype" w:eastAsiaTheme="majorEastAsia" w:hAnsi="Palatino Linotype" w:cstheme="majorBidi"/>
          <w:b/>
          <w:color w:val="000000" w:themeColor="text1"/>
          <w:lang w:val="es-ES_tradnl"/>
        </w:rPr>
        <w:t>De la clasificación de la información.</w:t>
      </w:r>
      <w:bookmarkEnd w:id="66"/>
      <w:bookmarkEnd w:id="67"/>
      <w:r w:rsidRPr="005B7458">
        <w:rPr>
          <w:rFonts w:ascii="Palatino Linotype" w:eastAsiaTheme="majorEastAsia" w:hAnsi="Palatino Linotype" w:cstheme="majorBidi"/>
          <w:b/>
          <w:color w:val="000000" w:themeColor="text1"/>
          <w:lang w:val="es-ES_tradnl"/>
        </w:rPr>
        <w:t xml:space="preserve"> </w:t>
      </w:r>
    </w:p>
    <w:p w14:paraId="17E1627B" w14:textId="77777777" w:rsidR="00464C89" w:rsidRPr="005B7458" w:rsidRDefault="00464C89" w:rsidP="007D7513">
      <w:pPr>
        <w:shd w:val="clear" w:color="auto" w:fill="FFFFFF"/>
        <w:spacing w:before="240" w:after="200" w:line="360" w:lineRule="auto"/>
        <w:contextualSpacing/>
        <w:jc w:val="both"/>
        <w:rPr>
          <w:rFonts w:ascii="Palatino Linotype" w:hAnsi="Palatino Linotype" w:cs="Arial"/>
          <w:b/>
          <w:color w:val="000000"/>
          <w:lang w:val="es-ES_tradnl"/>
        </w:rPr>
      </w:pPr>
    </w:p>
    <w:p w14:paraId="3C8BC78D"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5B7458">
        <w:rPr>
          <w:rFonts w:ascii="Palatino Linotype" w:hAnsi="Palatino Linotype" w:cs="Arial"/>
          <w:color w:val="000000"/>
          <w:lang w:val="es-ES_tradnl"/>
        </w:rPr>
        <w:t>L</w:t>
      </w:r>
      <w:r w:rsidRPr="005B7458">
        <w:rPr>
          <w:rFonts w:ascii="Palatino Linotype" w:hAnsi="Palatino Linotype"/>
          <w:color w:val="000000"/>
          <w:lang w:val="es-ES_tradnl"/>
        </w:rPr>
        <w:t>a</w:t>
      </w:r>
      <w:r w:rsidRPr="005B7458">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B7458">
        <w:rPr>
          <w:rFonts w:ascii="Palatino Linotype" w:hAnsi="Palatino Linotype"/>
          <w:vertAlign w:val="superscript"/>
          <w:lang w:val="es-ES_tradnl"/>
        </w:rPr>
        <w:footnoteReference w:id="7"/>
      </w:r>
      <w:r w:rsidRPr="005B7458">
        <w:rPr>
          <w:rFonts w:ascii="Palatino Linotype" w:hAnsi="Palatino Linotype"/>
          <w:lang w:val="es-ES_tradnl"/>
        </w:rPr>
        <w:t xml:space="preserve"> aunque cualquier límite o restricción, </w:t>
      </w:r>
      <w:r w:rsidRPr="005B7458">
        <w:rPr>
          <w:rFonts w:ascii="Palatino Linotype" w:hAnsi="Palatino Linotype"/>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5B7458">
        <w:rPr>
          <w:rFonts w:ascii="Palatino Linotype" w:hAnsi="Palatino Linotype"/>
          <w:vertAlign w:val="superscript"/>
          <w:lang w:val="es-ES_tradnl"/>
        </w:rPr>
        <w:footnoteReference w:id="8"/>
      </w:r>
      <w:r w:rsidRPr="005B7458">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2DB6D72" w14:textId="77777777" w:rsidR="00464C89" w:rsidRPr="005B7458" w:rsidRDefault="00464C89" w:rsidP="007D7513">
      <w:pPr>
        <w:spacing w:before="240" w:after="240" w:line="360" w:lineRule="auto"/>
        <w:contextualSpacing/>
        <w:jc w:val="both"/>
        <w:rPr>
          <w:rFonts w:ascii="Palatino Linotype" w:hAnsi="Palatino Linotype" w:cs="Arial"/>
          <w:color w:val="000000"/>
          <w:lang w:val="es-ES_tradnl"/>
        </w:rPr>
      </w:pPr>
    </w:p>
    <w:p w14:paraId="27028F39" w14:textId="77777777" w:rsidR="00464C89" w:rsidRPr="005B7458" w:rsidRDefault="00464C89" w:rsidP="007D7513">
      <w:pPr>
        <w:keepNext/>
        <w:keepLines/>
        <w:spacing w:before="240" w:line="360" w:lineRule="auto"/>
        <w:outlineLvl w:val="0"/>
        <w:rPr>
          <w:rFonts w:ascii="Palatino Linotype" w:hAnsi="Palatino Linotype"/>
          <w:b/>
          <w:lang w:val="es-MX" w:eastAsia="en-US"/>
        </w:rPr>
      </w:pPr>
      <w:bookmarkStart w:id="68" w:name="_Toc97826093"/>
      <w:r w:rsidRPr="005B7458">
        <w:rPr>
          <w:rFonts w:ascii="Palatino Linotype" w:hAnsi="Palatino Linotype"/>
          <w:b/>
          <w:lang w:val="es-MX" w:eastAsia="en-US"/>
        </w:rPr>
        <w:lastRenderedPageBreak/>
        <w:t xml:space="preserve">II. </w:t>
      </w:r>
      <w:bookmarkStart w:id="69" w:name="_Toc5890461"/>
      <w:bookmarkStart w:id="70" w:name="_Toc50062187"/>
      <w:bookmarkStart w:id="71" w:name="_Toc63348478"/>
      <w:bookmarkStart w:id="72" w:name="_Toc67598515"/>
      <w:bookmarkStart w:id="73" w:name="_Toc69999204"/>
      <w:bookmarkStart w:id="74" w:name="_Toc73033013"/>
      <w:bookmarkStart w:id="75" w:name="_Toc84433128"/>
      <w:r w:rsidRPr="005B7458">
        <w:rPr>
          <w:rFonts w:ascii="Palatino Linotype" w:hAnsi="Palatino Linotype"/>
          <w:b/>
          <w:lang w:val="es-MX" w:eastAsia="en-US"/>
        </w:rPr>
        <w:t>Requisitos previos.</w:t>
      </w:r>
      <w:bookmarkEnd w:id="68"/>
      <w:bookmarkEnd w:id="69"/>
      <w:bookmarkEnd w:id="70"/>
      <w:bookmarkEnd w:id="71"/>
      <w:bookmarkEnd w:id="72"/>
      <w:bookmarkEnd w:id="73"/>
      <w:bookmarkEnd w:id="74"/>
      <w:bookmarkEnd w:id="75"/>
    </w:p>
    <w:p w14:paraId="304339A6" w14:textId="77777777" w:rsidR="001D6A83" w:rsidRPr="005B7458" w:rsidRDefault="001D6A83" w:rsidP="007D7513">
      <w:pPr>
        <w:keepNext/>
        <w:keepLines/>
        <w:spacing w:before="240" w:line="360" w:lineRule="auto"/>
        <w:outlineLvl w:val="0"/>
        <w:rPr>
          <w:rFonts w:ascii="Palatino Linotype" w:hAnsi="Palatino Linotype"/>
          <w:b/>
          <w:lang w:val="es-MX" w:eastAsia="en-US"/>
        </w:rPr>
      </w:pPr>
    </w:p>
    <w:p w14:paraId="283D4B42"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5B7458">
        <w:rPr>
          <w:rFonts w:ascii="Palatino Linotype" w:hAnsi="Palatino Linotype"/>
          <w:lang w:val="es-ES_tradnl"/>
        </w:rPr>
        <w:t>Los</w:t>
      </w:r>
      <w:r w:rsidRPr="005B7458">
        <w:rPr>
          <w:rFonts w:ascii="Palatino Linotype" w:hAnsi="Palatino Linotype" w:cs="Arial"/>
          <w:color w:val="000000"/>
          <w:lang w:val="es-ES_tradnl"/>
        </w:rPr>
        <w:t xml:space="preserve"> </w:t>
      </w:r>
      <w:r w:rsidRPr="005B7458">
        <w:rPr>
          <w:rFonts w:ascii="Palatino Linotype" w:hAnsi="Palatino Linotype"/>
          <w:lang w:val="es-ES_tradnl"/>
        </w:rPr>
        <w:t>artículos</w:t>
      </w:r>
      <w:r w:rsidRPr="005B7458">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27CFCBD" w14:textId="77777777" w:rsidR="00464C89" w:rsidRPr="005B7458" w:rsidRDefault="00464C89" w:rsidP="007D7513">
      <w:pPr>
        <w:spacing w:before="240" w:after="240" w:line="360" w:lineRule="auto"/>
        <w:contextualSpacing/>
        <w:jc w:val="both"/>
        <w:rPr>
          <w:rFonts w:ascii="Palatino Linotype" w:hAnsi="Palatino Linotype" w:cs="Arial"/>
          <w:color w:val="000000"/>
          <w:lang w:val="es-ES_tradnl"/>
        </w:rPr>
      </w:pPr>
    </w:p>
    <w:p w14:paraId="1FF8CFBB"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5B7458">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745F015" w14:textId="77777777" w:rsidR="00464C89" w:rsidRPr="005B7458" w:rsidRDefault="00464C89" w:rsidP="007D7513">
      <w:pPr>
        <w:spacing w:line="360" w:lineRule="auto"/>
        <w:ind w:left="708"/>
        <w:rPr>
          <w:rFonts w:ascii="Palatino Linotype" w:hAnsi="Palatino Linotype" w:cs="Arial"/>
          <w:color w:val="000000"/>
          <w:lang w:val="es-ES_tradnl"/>
        </w:rPr>
      </w:pPr>
    </w:p>
    <w:p w14:paraId="5ED72462" w14:textId="365988F4" w:rsidR="006A74E5"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5B7458">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5B7458">
        <w:rPr>
          <w:rFonts w:ascii="Palatino Linotype" w:hAnsi="Palatino Linotype" w:cs="Arial"/>
          <w:b/>
          <w:color w:val="000000"/>
          <w:lang w:val="es-ES_tradnl"/>
        </w:rPr>
        <w:t xml:space="preserve">no se puede hacer un acuerdo para clasificar de manera general todos los documentos de un expediente o área,  </w:t>
      </w:r>
      <w:r w:rsidRPr="005B7458">
        <w:rPr>
          <w:rFonts w:ascii="Palatino Linotype" w:hAnsi="Palatino Linotype" w:cs="Arial"/>
          <w:color w:val="000000"/>
          <w:lang w:val="es-ES_tradnl"/>
        </w:rPr>
        <w:t xml:space="preserve">sin individualizar su análisis y tampoco se puede hacer un </w:t>
      </w:r>
      <w:r w:rsidRPr="005B7458">
        <w:rPr>
          <w:rFonts w:ascii="Palatino Linotype" w:hAnsi="Palatino Linotype" w:cs="Arial"/>
          <w:color w:val="000000"/>
          <w:lang w:val="es-ES_tradnl"/>
        </w:rPr>
        <w:lastRenderedPageBreak/>
        <w:t>acuerdo por cada dato que se vaya a clasificar dentro de un documento con diez datos, por ejemplo, susceptibles de ser clasificados.</w:t>
      </w:r>
    </w:p>
    <w:p w14:paraId="23E7D421" w14:textId="77777777" w:rsidR="006A74E5" w:rsidRPr="005B7458" w:rsidRDefault="006A74E5" w:rsidP="007D7513">
      <w:pPr>
        <w:spacing w:before="240" w:after="240" w:line="360" w:lineRule="auto"/>
        <w:contextualSpacing/>
        <w:jc w:val="both"/>
        <w:rPr>
          <w:rFonts w:ascii="Palatino Linotype" w:hAnsi="Palatino Linotype" w:cs="Arial"/>
          <w:color w:val="000000"/>
          <w:lang w:val="es-ES_tradnl"/>
        </w:rPr>
      </w:pPr>
    </w:p>
    <w:p w14:paraId="5615F4F5" w14:textId="77777777" w:rsidR="00464C89" w:rsidRPr="005B7458" w:rsidRDefault="00464C89" w:rsidP="007D7513">
      <w:pPr>
        <w:keepNext/>
        <w:keepLines/>
        <w:spacing w:before="240" w:line="360" w:lineRule="auto"/>
        <w:outlineLvl w:val="0"/>
        <w:rPr>
          <w:rFonts w:ascii="Palatino Linotype" w:hAnsi="Palatino Linotype" w:cs="Arial"/>
          <w:color w:val="000000"/>
          <w:lang w:val="es-ES_tradnl"/>
        </w:rPr>
      </w:pPr>
      <w:bookmarkStart w:id="76" w:name="_Toc5890462"/>
      <w:bookmarkStart w:id="77" w:name="_Toc50062188"/>
      <w:bookmarkStart w:id="78" w:name="_Toc63348479"/>
      <w:bookmarkStart w:id="79" w:name="_Toc67598516"/>
      <w:bookmarkStart w:id="80" w:name="_Toc69999205"/>
      <w:bookmarkStart w:id="81" w:name="_Toc73033014"/>
      <w:bookmarkStart w:id="82" w:name="_Toc84433129"/>
      <w:bookmarkStart w:id="83" w:name="_Toc97826094"/>
      <w:r w:rsidRPr="005B7458">
        <w:rPr>
          <w:rFonts w:ascii="Palatino Linotype" w:hAnsi="Palatino Linotype"/>
          <w:b/>
          <w:lang w:val="es-MX" w:eastAsia="en-US"/>
        </w:rPr>
        <w:t>III</w:t>
      </w:r>
      <w:bookmarkStart w:id="84" w:name="_Toc5890463"/>
      <w:bookmarkStart w:id="85" w:name="_Toc50062189"/>
      <w:bookmarkStart w:id="86" w:name="_Toc63348480"/>
      <w:bookmarkStart w:id="87" w:name="_Toc67598517"/>
      <w:bookmarkStart w:id="88" w:name="_Toc69999206"/>
      <w:bookmarkStart w:id="89" w:name="_Toc73033015"/>
      <w:bookmarkEnd w:id="76"/>
      <w:bookmarkEnd w:id="77"/>
      <w:bookmarkEnd w:id="78"/>
      <w:bookmarkEnd w:id="79"/>
      <w:bookmarkEnd w:id="80"/>
      <w:bookmarkEnd w:id="81"/>
      <w:r w:rsidRPr="005B7458">
        <w:rPr>
          <w:rFonts w:ascii="Palatino Linotype" w:hAnsi="Palatino Linotype"/>
          <w:b/>
          <w:lang w:val="es-MX" w:eastAsia="en-US"/>
        </w:rPr>
        <w:t>. La intervención del comité de transparencia.</w:t>
      </w:r>
      <w:bookmarkEnd w:id="82"/>
      <w:bookmarkEnd w:id="83"/>
      <w:bookmarkEnd w:id="84"/>
      <w:bookmarkEnd w:id="85"/>
      <w:bookmarkEnd w:id="86"/>
      <w:bookmarkEnd w:id="87"/>
      <w:bookmarkEnd w:id="88"/>
      <w:bookmarkEnd w:id="89"/>
    </w:p>
    <w:p w14:paraId="23633B97" w14:textId="77777777" w:rsidR="00464C89" w:rsidRPr="005B7458" w:rsidRDefault="00464C89" w:rsidP="007D7513">
      <w:pPr>
        <w:keepNext/>
        <w:keepLines/>
        <w:numPr>
          <w:ilvl w:val="0"/>
          <w:numId w:val="21"/>
        </w:numPr>
        <w:spacing w:before="240" w:after="160" w:line="360" w:lineRule="auto"/>
        <w:ind w:left="0" w:firstLine="0"/>
        <w:outlineLvl w:val="0"/>
        <w:rPr>
          <w:rFonts w:ascii="Palatino Linotype" w:hAnsi="Palatino Linotype"/>
          <w:b/>
          <w:lang w:val="es-MX" w:eastAsia="en-US"/>
        </w:rPr>
      </w:pPr>
      <w:bookmarkStart w:id="90" w:name="_Toc5890464"/>
      <w:bookmarkStart w:id="91" w:name="_Toc50062190"/>
      <w:bookmarkStart w:id="92" w:name="_Toc63348481"/>
      <w:bookmarkStart w:id="93" w:name="_Toc67598518"/>
      <w:bookmarkStart w:id="94" w:name="_Toc69999207"/>
      <w:bookmarkStart w:id="95" w:name="_Toc73033016"/>
      <w:bookmarkStart w:id="96" w:name="_Toc84433130"/>
      <w:bookmarkStart w:id="97" w:name="_Toc97826095"/>
      <w:r w:rsidRPr="005B7458">
        <w:rPr>
          <w:rFonts w:ascii="Palatino Linotype" w:hAnsi="Palatino Linotype"/>
          <w:b/>
          <w:lang w:val="es-MX" w:eastAsia="en-US"/>
        </w:rPr>
        <w:t>Formalidades para emitir el acuerdo de clasificación.</w:t>
      </w:r>
      <w:bookmarkEnd w:id="90"/>
      <w:bookmarkEnd w:id="91"/>
      <w:bookmarkEnd w:id="92"/>
      <w:bookmarkEnd w:id="93"/>
      <w:bookmarkEnd w:id="94"/>
      <w:bookmarkEnd w:id="95"/>
      <w:bookmarkEnd w:id="96"/>
      <w:bookmarkEnd w:id="97"/>
    </w:p>
    <w:p w14:paraId="30F1C881"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lang w:val="es-ES_tradnl" w:eastAsia="es-ES_tradnl"/>
        </w:rPr>
      </w:pPr>
      <w:r w:rsidRPr="005B7458">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5B7458">
        <w:rPr>
          <w:rFonts w:ascii="Palatino Linotype" w:hAnsi="Palatino Linotype"/>
          <w:lang w:val="es-ES_tradnl"/>
        </w:rPr>
        <w:t xml:space="preserve">la fracción III del numeral Segundo de los </w:t>
      </w:r>
      <w:r w:rsidRPr="005B7458">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5B7458">
        <w:rPr>
          <w:rFonts w:ascii="Palatino Linotype" w:hAnsi="Palatino Linotype"/>
          <w:lang w:val="es-ES_tradnl"/>
        </w:rPr>
        <w:t xml:space="preserve"> </w:t>
      </w:r>
      <w:r w:rsidRPr="005B7458">
        <w:rPr>
          <w:rFonts w:ascii="Palatino Linotype" w:hAnsi="Palatino Linotype" w:cs="Arial"/>
          <w:color w:val="000000"/>
          <w:lang w:val="es-ES_tradnl"/>
        </w:rPr>
        <w:t xml:space="preserve">cuenta con las facultades para </w:t>
      </w:r>
      <w:r w:rsidRPr="005B7458">
        <w:rPr>
          <w:rFonts w:ascii="Palatino Linotype" w:hAnsi="Palatino Linotype" w:cs="Arial"/>
          <w:b/>
          <w:color w:val="000000"/>
          <w:lang w:val="es-ES_tradnl"/>
        </w:rPr>
        <w:t>confirmar, modificar o revocar</w:t>
      </w:r>
      <w:r w:rsidRPr="005B7458">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5B7458">
        <w:rPr>
          <w:rFonts w:ascii="Palatino Linotype" w:hAnsi="Palatino Linotype" w:cs="Arial"/>
          <w:b/>
          <w:color w:val="000000"/>
          <w:lang w:val="es-ES_tradnl"/>
        </w:rPr>
        <w:t>no aprueba</w:t>
      </w:r>
      <w:r w:rsidRPr="005B7458">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46A5BCA1" w14:textId="77777777" w:rsidR="00464C89" w:rsidRPr="005B7458" w:rsidRDefault="00464C89" w:rsidP="007D7513">
      <w:pPr>
        <w:spacing w:before="240" w:after="240" w:line="360" w:lineRule="auto"/>
        <w:contextualSpacing/>
        <w:jc w:val="both"/>
        <w:rPr>
          <w:rFonts w:ascii="Palatino Linotype" w:hAnsi="Palatino Linotype"/>
          <w:lang w:val="es-ES_tradnl" w:eastAsia="es-ES_tradnl"/>
        </w:rPr>
      </w:pPr>
    </w:p>
    <w:p w14:paraId="5F423611"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lang w:val="es-ES_tradnl" w:eastAsia="es-ES_tradnl"/>
        </w:rPr>
      </w:pPr>
      <w:r w:rsidRPr="005B7458">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5B7458">
        <w:rPr>
          <w:rFonts w:ascii="Palatino Linotype" w:hAnsi="Palatino Linotype" w:cs="Arial"/>
          <w:b/>
          <w:color w:val="000000"/>
          <w:lang w:val="es-ES_tradnl"/>
        </w:rPr>
        <w:t>el acto reúna con los requisitos elementales</w:t>
      </w:r>
      <w:r w:rsidRPr="005B7458">
        <w:rPr>
          <w:rFonts w:ascii="Palatino Linotype" w:hAnsi="Palatino Linotype" w:cs="Arial"/>
          <w:color w:val="000000"/>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5B7458">
        <w:rPr>
          <w:rFonts w:ascii="Palatino Linotype" w:hAnsi="Palatino Linotype" w:cs="Arial"/>
          <w:color w:val="000000"/>
          <w:lang w:val="es-ES_tradnl"/>
        </w:rPr>
        <w:lastRenderedPageBreak/>
        <w:t>que no debe de existir dependencia jerárquica entre sus integrantes. Cualquier otra composición del Comité puede generar vicios de legalidad de origen en el acto que restringe un derecho humano.</w:t>
      </w:r>
    </w:p>
    <w:p w14:paraId="0A211241" w14:textId="77777777" w:rsidR="00464C89" w:rsidRPr="005B7458" w:rsidRDefault="00464C89" w:rsidP="007D7513">
      <w:pPr>
        <w:spacing w:line="360" w:lineRule="auto"/>
        <w:ind w:left="708"/>
        <w:rPr>
          <w:rFonts w:ascii="Palatino Linotype" w:hAnsi="Palatino Linotype"/>
          <w:lang w:val="es-ES_tradnl"/>
        </w:rPr>
      </w:pPr>
    </w:p>
    <w:p w14:paraId="31C6068E"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lang w:val="es-ES_tradnl" w:eastAsia="es-ES_tradnl"/>
        </w:rPr>
      </w:pPr>
      <w:r w:rsidRPr="005B7458">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F11FEFF" w14:textId="77777777" w:rsidR="001D6A83" w:rsidRPr="005B7458" w:rsidRDefault="001D6A83" w:rsidP="007D7513">
      <w:pPr>
        <w:spacing w:before="240" w:after="240" w:line="360" w:lineRule="auto"/>
        <w:contextualSpacing/>
        <w:jc w:val="both"/>
        <w:rPr>
          <w:rFonts w:ascii="Palatino Linotype" w:hAnsi="Palatino Linotype"/>
          <w:lang w:val="es-ES_tradnl" w:eastAsia="es-ES_tradnl"/>
        </w:rPr>
      </w:pPr>
    </w:p>
    <w:p w14:paraId="026B71F7" w14:textId="7D6BEBD5" w:rsidR="001D6A83" w:rsidRPr="005B7458" w:rsidRDefault="00464C89" w:rsidP="007D7513">
      <w:pPr>
        <w:pStyle w:val="Prrafodelista"/>
        <w:keepNext/>
        <w:keepLines/>
        <w:numPr>
          <w:ilvl w:val="0"/>
          <w:numId w:val="21"/>
        </w:numPr>
        <w:spacing w:before="240" w:line="360" w:lineRule="auto"/>
        <w:ind w:left="142" w:hanging="142"/>
        <w:outlineLvl w:val="0"/>
        <w:rPr>
          <w:rFonts w:ascii="Palatino Linotype" w:hAnsi="Palatino Linotype"/>
          <w:b/>
          <w:lang w:val="es-MX" w:eastAsia="en-US"/>
        </w:rPr>
      </w:pPr>
      <w:bookmarkStart w:id="98" w:name="_Toc63348482"/>
      <w:bookmarkStart w:id="99" w:name="_Toc67598519"/>
      <w:bookmarkStart w:id="100" w:name="_Toc69999208"/>
      <w:bookmarkStart w:id="101" w:name="_Toc73033017"/>
      <w:bookmarkStart w:id="102" w:name="_Toc84433131"/>
      <w:bookmarkStart w:id="103" w:name="_Toc5890465"/>
      <w:bookmarkStart w:id="104" w:name="_Toc50062191"/>
      <w:bookmarkStart w:id="105" w:name="_Toc97826096"/>
      <w:r w:rsidRPr="005B7458">
        <w:rPr>
          <w:rFonts w:ascii="Palatino Linotype" w:hAnsi="Palatino Linotype"/>
          <w:b/>
          <w:lang w:val="es-MX" w:eastAsia="en-US"/>
        </w:rPr>
        <w:t>Requisitos de fondo del acuerdo de clasificación.</w:t>
      </w:r>
      <w:bookmarkEnd w:id="98"/>
      <w:bookmarkEnd w:id="99"/>
      <w:bookmarkEnd w:id="100"/>
      <w:bookmarkEnd w:id="101"/>
      <w:bookmarkEnd w:id="102"/>
      <w:bookmarkEnd w:id="103"/>
      <w:bookmarkEnd w:id="104"/>
      <w:bookmarkEnd w:id="105"/>
    </w:p>
    <w:p w14:paraId="45E4F634" w14:textId="1C9E15B1"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5B7458">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DF6D29" w:rsidRPr="005B7458">
        <w:rPr>
          <w:rFonts w:ascii="Palatino Linotype" w:hAnsi="Palatino Linotype" w:cs="Arial"/>
          <w:color w:val="000000"/>
          <w:lang w:val="es-ES_tradnl"/>
        </w:rPr>
        <w:t>Generales, al</w:t>
      </w:r>
      <w:r w:rsidRPr="005B7458">
        <w:rPr>
          <w:rFonts w:ascii="Palatino Linotype" w:hAnsi="Palatino Linotype" w:cs="Arial"/>
          <w:color w:val="000000"/>
          <w:lang w:val="es-ES_tradnl"/>
        </w:rPr>
        <w:t xml:space="preserve"> señalar que la carga de la prueba, para justificar las restricciones, corresponde a los sujetos obligados, por lo que deberán fundar y motivar debidamente la clasificación. </w:t>
      </w:r>
    </w:p>
    <w:p w14:paraId="7BC60A12" w14:textId="77777777" w:rsidR="00464C89" w:rsidRPr="005B7458" w:rsidRDefault="00464C89" w:rsidP="007D7513">
      <w:pPr>
        <w:spacing w:before="240" w:after="240" w:line="360" w:lineRule="auto"/>
        <w:contextualSpacing/>
        <w:jc w:val="both"/>
        <w:rPr>
          <w:rFonts w:ascii="Palatino Linotype" w:hAnsi="Palatino Linotype" w:cs="Arial"/>
          <w:color w:val="000000"/>
          <w:lang w:val="es-ES_tradnl"/>
        </w:rPr>
      </w:pPr>
    </w:p>
    <w:p w14:paraId="777D44EE" w14:textId="2695AC9F"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5B7458">
        <w:rPr>
          <w:rFonts w:ascii="Palatino Linotype" w:hAnsi="Palatino Linotype"/>
          <w:lang w:val="es-ES_tradnl"/>
        </w:rPr>
        <w:lastRenderedPageBreak/>
        <w:t xml:space="preserve">De lo anterior, se desprende </w:t>
      </w:r>
      <w:r w:rsidR="00DF6D29" w:rsidRPr="005B7458">
        <w:rPr>
          <w:rFonts w:ascii="Palatino Linotype" w:hAnsi="Palatino Linotype"/>
          <w:lang w:val="es-ES_tradnl"/>
        </w:rPr>
        <w:t>que,</w:t>
      </w:r>
      <w:r w:rsidRPr="005B7458">
        <w:rPr>
          <w:rFonts w:ascii="Palatino Linotype" w:hAnsi="Palatino Linotype"/>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CA49FC" w14:textId="77777777" w:rsidR="00464C89" w:rsidRPr="005B7458" w:rsidRDefault="00464C89" w:rsidP="007D7513">
      <w:pPr>
        <w:spacing w:line="360" w:lineRule="auto"/>
        <w:ind w:left="708"/>
        <w:rPr>
          <w:rFonts w:ascii="Palatino Linotype" w:hAnsi="Palatino Linotype" w:cs="Arial"/>
          <w:color w:val="000000"/>
          <w:lang w:val="es-ES_tradnl"/>
        </w:rPr>
      </w:pPr>
    </w:p>
    <w:p w14:paraId="3A851533" w14:textId="77777777" w:rsidR="00464C89" w:rsidRPr="005B7458" w:rsidRDefault="00464C89" w:rsidP="007D7513">
      <w:pPr>
        <w:spacing w:before="240" w:after="240" w:line="360" w:lineRule="auto"/>
        <w:contextualSpacing/>
        <w:jc w:val="both"/>
        <w:rPr>
          <w:rFonts w:ascii="Palatino Linotype" w:hAnsi="Palatino Linotype" w:cs="Arial"/>
          <w:color w:val="000000"/>
          <w:lang w:val="es-ES_tradnl"/>
        </w:rPr>
      </w:pPr>
    </w:p>
    <w:p w14:paraId="1E8B1867"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5B7458">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B7458">
        <w:rPr>
          <w:rFonts w:ascii="Palatino Linotype" w:hAnsi="Palatino Linotype"/>
          <w:vertAlign w:val="superscript"/>
          <w:lang w:val="es-ES_tradnl"/>
        </w:rPr>
        <w:footnoteReference w:id="9"/>
      </w:r>
    </w:p>
    <w:p w14:paraId="5933D6D9" w14:textId="77777777" w:rsidR="00464C89" w:rsidRPr="005B7458" w:rsidRDefault="00464C89" w:rsidP="007D7513">
      <w:pPr>
        <w:spacing w:line="360" w:lineRule="auto"/>
        <w:ind w:left="708"/>
        <w:rPr>
          <w:rFonts w:ascii="Palatino Linotype" w:hAnsi="Palatino Linotype" w:cs="Arial"/>
          <w:color w:val="222222"/>
          <w:lang w:val="es-ES_tradnl" w:eastAsia="es-MX"/>
        </w:rPr>
      </w:pPr>
    </w:p>
    <w:p w14:paraId="34C61BD9"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5B7458">
        <w:rPr>
          <w:rFonts w:ascii="Palatino Linotype" w:hAnsi="Palatino Linotype" w:cs="Arial"/>
          <w:color w:val="222222"/>
          <w:lang w:val="es-ES_tradnl" w:eastAsia="es-MX"/>
        </w:rPr>
        <w:lastRenderedPageBreak/>
        <w:t>Por su parte, el intérprete judicial del país ha establecido una jurisprudencia respecto a qué debe entenderse por fundamentación y motivación, en los siguientes términos:</w:t>
      </w:r>
    </w:p>
    <w:p w14:paraId="2F272595" w14:textId="77777777" w:rsidR="00464C89" w:rsidRPr="005B7458" w:rsidRDefault="00464C89" w:rsidP="007D7513">
      <w:pPr>
        <w:spacing w:before="240" w:after="240" w:line="360" w:lineRule="auto"/>
        <w:contextualSpacing/>
        <w:jc w:val="both"/>
        <w:rPr>
          <w:rFonts w:ascii="Palatino Linotype" w:hAnsi="Palatino Linotype" w:cs="Arial"/>
          <w:color w:val="222222"/>
          <w:lang w:val="es-ES_tradnl" w:eastAsia="es-MX"/>
        </w:rPr>
      </w:pPr>
    </w:p>
    <w:p w14:paraId="0BD97F20" w14:textId="77777777" w:rsidR="00464C89" w:rsidRPr="005B7458" w:rsidRDefault="00464C89" w:rsidP="007D7513">
      <w:pPr>
        <w:spacing w:line="360" w:lineRule="auto"/>
        <w:ind w:left="851" w:right="618"/>
        <w:contextualSpacing/>
        <w:jc w:val="both"/>
        <w:rPr>
          <w:rFonts w:ascii="Palatino Linotype" w:hAnsi="Palatino Linotype" w:cs="Arial"/>
          <w:i/>
          <w:color w:val="000000"/>
          <w:lang w:val="es-ES_tradnl"/>
        </w:rPr>
      </w:pPr>
      <w:r w:rsidRPr="005B7458">
        <w:rPr>
          <w:rFonts w:ascii="Palatino Linotype" w:hAnsi="Palatino Linotype" w:cs="Arial"/>
          <w:b/>
          <w:i/>
          <w:color w:val="000000"/>
          <w:lang w:val="es-ES_tradnl"/>
        </w:rPr>
        <w:t>FUNDAMENTACIÓN Y MOTIVACIÓN.</w:t>
      </w:r>
      <w:r w:rsidRPr="005B7458">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1EEB8BB" w14:textId="77777777" w:rsidR="00464C89" w:rsidRPr="005B7458" w:rsidRDefault="00464C89" w:rsidP="007D7513">
      <w:pPr>
        <w:spacing w:line="360" w:lineRule="auto"/>
        <w:ind w:left="851" w:right="618"/>
        <w:contextualSpacing/>
        <w:jc w:val="both"/>
        <w:rPr>
          <w:rFonts w:ascii="Palatino Linotype" w:hAnsi="Palatino Linotype" w:cs="Arial"/>
          <w:i/>
          <w:color w:val="000000"/>
          <w:lang w:val="es-ES_tradnl"/>
        </w:rPr>
      </w:pPr>
      <w:r w:rsidRPr="005B7458">
        <w:rPr>
          <w:rFonts w:ascii="Palatino Linotype" w:hAnsi="Palatino Linotype" w:cs="Arial"/>
          <w:i/>
          <w:color w:val="000000"/>
          <w:lang w:val="es-ES_tradnl"/>
        </w:rPr>
        <w:t>SEGUNDO TRIBUNAL COLEGIADO DEL SEXTO CIRCUITO.</w:t>
      </w:r>
    </w:p>
    <w:p w14:paraId="2E31AA10" w14:textId="77777777" w:rsidR="00464C89" w:rsidRPr="005B7458" w:rsidRDefault="00464C89" w:rsidP="007D7513">
      <w:pPr>
        <w:spacing w:line="360" w:lineRule="auto"/>
        <w:ind w:left="851" w:right="618"/>
        <w:contextualSpacing/>
        <w:jc w:val="both"/>
        <w:rPr>
          <w:rFonts w:ascii="Palatino Linotype" w:hAnsi="Palatino Linotype" w:cs="Arial"/>
          <w:i/>
          <w:color w:val="000000"/>
          <w:lang w:val="es-ES_tradnl"/>
        </w:rPr>
      </w:pPr>
      <w:r w:rsidRPr="005B7458">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4255F045" w14:textId="77777777" w:rsidR="00464C89" w:rsidRPr="005B7458" w:rsidRDefault="00464C89" w:rsidP="007D7513">
      <w:pPr>
        <w:spacing w:line="360" w:lineRule="auto"/>
        <w:ind w:left="851" w:right="618"/>
        <w:contextualSpacing/>
        <w:jc w:val="both"/>
        <w:rPr>
          <w:rFonts w:ascii="Palatino Linotype" w:hAnsi="Palatino Linotype" w:cs="Arial"/>
          <w:i/>
          <w:color w:val="000000"/>
          <w:lang w:val="es-ES_tradnl"/>
        </w:rPr>
      </w:pPr>
      <w:r w:rsidRPr="005B7458">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75EF5357" w14:textId="77777777" w:rsidR="00464C89" w:rsidRPr="005B7458" w:rsidRDefault="00464C89" w:rsidP="007D7513">
      <w:pPr>
        <w:spacing w:line="360" w:lineRule="auto"/>
        <w:ind w:left="851" w:right="618"/>
        <w:contextualSpacing/>
        <w:jc w:val="both"/>
        <w:rPr>
          <w:rFonts w:ascii="Palatino Linotype" w:hAnsi="Palatino Linotype" w:cs="Arial"/>
          <w:i/>
          <w:color w:val="000000"/>
          <w:lang w:val="es-ES_tradnl"/>
        </w:rPr>
      </w:pPr>
      <w:r w:rsidRPr="005B7458">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795D2D5C" w14:textId="77777777" w:rsidR="00464C89" w:rsidRPr="005B7458" w:rsidRDefault="00464C89" w:rsidP="007D7513">
      <w:pPr>
        <w:spacing w:line="360" w:lineRule="auto"/>
        <w:ind w:left="851" w:right="618"/>
        <w:contextualSpacing/>
        <w:jc w:val="both"/>
        <w:rPr>
          <w:rFonts w:ascii="Palatino Linotype" w:hAnsi="Palatino Linotype" w:cs="Arial"/>
          <w:i/>
          <w:color w:val="000000"/>
          <w:lang w:val="es-ES_tradnl"/>
        </w:rPr>
      </w:pPr>
      <w:r w:rsidRPr="005B7458">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06A20CE6" w14:textId="77777777" w:rsidR="00464C89" w:rsidRPr="005B7458" w:rsidRDefault="00464C89" w:rsidP="007D7513">
      <w:pPr>
        <w:spacing w:line="360" w:lineRule="auto"/>
        <w:ind w:left="851" w:right="618"/>
        <w:contextualSpacing/>
        <w:jc w:val="both"/>
        <w:rPr>
          <w:rFonts w:ascii="Palatino Linotype" w:hAnsi="Palatino Linotype" w:cs="Arial"/>
          <w:i/>
          <w:color w:val="000000"/>
          <w:lang w:val="es-ES_tradnl"/>
        </w:rPr>
      </w:pPr>
      <w:r w:rsidRPr="005B7458">
        <w:rPr>
          <w:rFonts w:ascii="Palatino Linotype" w:hAnsi="Palatino Linotype" w:cs="Arial"/>
          <w:i/>
          <w:color w:val="000000"/>
          <w:lang w:val="es-ES_tradnl"/>
        </w:rPr>
        <w:lastRenderedPageBreak/>
        <w:t>Amparo directo 7/96. Pedro Vicente López Miro. 21 de febrero de 1996. Unanimidad de votos. Ponente: María Eugenia Estela Martínez Cardiel. Secretario: Enrique Baigts Muñoz.</w:t>
      </w:r>
    </w:p>
    <w:p w14:paraId="11D58B61" w14:textId="77777777" w:rsidR="00464C89" w:rsidRPr="005B7458" w:rsidRDefault="00464C89" w:rsidP="007D7513">
      <w:pPr>
        <w:spacing w:line="360" w:lineRule="auto"/>
        <w:contextualSpacing/>
        <w:jc w:val="both"/>
        <w:rPr>
          <w:rFonts w:ascii="Palatino Linotype" w:hAnsi="Palatino Linotype" w:cs="Arial"/>
          <w:i/>
          <w:color w:val="000000"/>
          <w:lang w:val="es-ES_tradnl"/>
        </w:rPr>
      </w:pPr>
    </w:p>
    <w:p w14:paraId="4850C814"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5B7458">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E1877D0" w14:textId="77777777" w:rsidR="00464C89" w:rsidRPr="005B7458" w:rsidRDefault="00464C89" w:rsidP="007D7513">
      <w:pPr>
        <w:spacing w:before="240" w:after="240" w:line="360" w:lineRule="auto"/>
        <w:contextualSpacing/>
        <w:jc w:val="both"/>
        <w:rPr>
          <w:rFonts w:ascii="Palatino Linotype" w:hAnsi="Palatino Linotype" w:cs="Arial"/>
          <w:color w:val="222222"/>
          <w:lang w:val="es-ES_tradnl" w:eastAsia="es-MX"/>
        </w:rPr>
      </w:pPr>
    </w:p>
    <w:p w14:paraId="6BB94A84"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5B7458">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E6C8FA2" w14:textId="77777777" w:rsidR="00464C89" w:rsidRPr="005B7458" w:rsidRDefault="00464C89" w:rsidP="007D7513">
      <w:pPr>
        <w:spacing w:before="240" w:after="240" w:line="360" w:lineRule="auto"/>
        <w:contextualSpacing/>
        <w:jc w:val="both"/>
        <w:rPr>
          <w:rFonts w:ascii="Palatino Linotype" w:hAnsi="Palatino Linotype" w:cs="Arial"/>
          <w:color w:val="222222"/>
          <w:lang w:val="es-ES_tradnl" w:eastAsia="es-MX"/>
        </w:rPr>
      </w:pPr>
    </w:p>
    <w:p w14:paraId="65CF000F"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5B7458">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514220DB" w14:textId="77777777" w:rsidR="00464C89" w:rsidRPr="005B7458" w:rsidRDefault="00464C89" w:rsidP="007D7513">
      <w:pPr>
        <w:spacing w:before="240" w:after="240" w:line="360" w:lineRule="auto"/>
        <w:contextualSpacing/>
        <w:jc w:val="both"/>
        <w:rPr>
          <w:rFonts w:ascii="Palatino Linotype" w:hAnsi="Palatino Linotype" w:cs="Arial"/>
          <w:color w:val="222222"/>
          <w:lang w:val="es-ES_tradnl" w:eastAsia="es-MX"/>
        </w:rPr>
      </w:pPr>
    </w:p>
    <w:p w14:paraId="70F3507D" w14:textId="77777777" w:rsidR="00464C89" w:rsidRPr="005B7458" w:rsidRDefault="00464C89" w:rsidP="007D7513">
      <w:pPr>
        <w:spacing w:line="360" w:lineRule="auto"/>
        <w:ind w:left="708"/>
        <w:rPr>
          <w:rFonts w:ascii="Palatino Linotype" w:hAnsi="Palatino Linotype" w:cs="Arial"/>
          <w:color w:val="222222"/>
          <w:lang w:val="es-ES_tradnl" w:eastAsia="es-MX"/>
        </w:rPr>
      </w:pPr>
    </w:p>
    <w:p w14:paraId="4163D0EF"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5B7458">
        <w:rPr>
          <w:rFonts w:ascii="Palatino Linotype" w:hAnsi="Palatino Linotype" w:cs="Arial"/>
          <w:color w:val="222222"/>
          <w:lang w:val="es-ES_tradnl" w:eastAsia="es-MX"/>
        </w:rPr>
        <w:t xml:space="preserve">Ahora bien, </w:t>
      </w:r>
      <w:r w:rsidRPr="005B7458">
        <w:rPr>
          <w:rFonts w:ascii="Palatino Linotype" w:hAnsi="Palatino Linotype" w:cs="Arial"/>
          <w:b/>
          <w:color w:val="222222"/>
          <w:lang w:val="es-ES_tradnl" w:eastAsia="es-MX"/>
        </w:rPr>
        <w:t>para cada caso además de fundar y motivar</w:t>
      </w:r>
      <w:r w:rsidRPr="005B7458">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5B7458">
        <w:rPr>
          <w:rFonts w:ascii="Palatino Linotype" w:eastAsia="Calibri" w:hAnsi="Palatino Linotype" w:cs="Arial"/>
          <w:lang w:eastAsia="es-MX"/>
        </w:rPr>
        <w:t xml:space="preserve">el Registro Federal de Contribuyentes (R.F.C.), y clave de Cadenas Originales del Sellos Digitales y los </w:t>
      </w:r>
      <w:r w:rsidRPr="005B7458">
        <w:rPr>
          <w:rFonts w:ascii="Palatino Linotype" w:eastAsia="Calibri" w:hAnsi="Palatino Linotype" w:cs="Arial"/>
          <w:lang w:eastAsia="es-MX"/>
        </w:rPr>
        <w:lastRenderedPageBreak/>
        <w:t>Códigos Bidimensionales, también denominados Códigos QR, se consideran datos públicos, o de ser el caso en que una documental contenga datos personales relacionados con algún procedimiento judicial será susceptible de clasificarse como reservada.</w:t>
      </w:r>
    </w:p>
    <w:p w14:paraId="6B32721F" w14:textId="77777777" w:rsidR="00464C89" w:rsidRPr="005B7458" w:rsidRDefault="00464C89" w:rsidP="007D7513">
      <w:pPr>
        <w:spacing w:before="240" w:after="240" w:line="360" w:lineRule="auto"/>
        <w:contextualSpacing/>
        <w:jc w:val="both"/>
        <w:rPr>
          <w:rFonts w:ascii="Palatino Linotype" w:eastAsia="Calibri" w:hAnsi="Palatino Linotype" w:cs="Arial"/>
          <w:lang w:eastAsia="es-MX"/>
        </w:rPr>
      </w:pPr>
    </w:p>
    <w:p w14:paraId="0950EFD9" w14:textId="77777777" w:rsidR="00464C89" w:rsidRPr="005B7458" w:rsidRDefault="00464C89" w:rsidP="007D7513">
      <w:pPr>
        <w:keepNext/>
        <w:keepLines/>
        <w:spacing w:before="240" w:line="360" w:lineRule="auto"/>
        <w:jc w:val="both"/>
        <w:outlineLvl w:val="0"/>
        <w:rPr>
          <w:rFonts w:ascii="Palatino Linotype" w:hAnsi="Palatino Linotype"/>
          <w:b/>
          <w:lang w:val="es-MX" w:eastAsia="en-US"/>
        </w:rPr>
      </w:pPr>
      <w:bookmarkStart w:id="106" w:name="_Toc5711929"/>
      <w:bookmarkStart w:id="107" w:name="_Toc5890466"/>
      <w:bookmarkStart w:id="108" w:name="_Toc50062192"/>
      <w:bookmarkStart w:id="109" w:name="_Toc63348483"/>
      <w:bookmarkStart w:id="110" w:name="_Toc67598520"/>
      <w:bookmarkStart w:id="111" w:name="_Toc69999209"/>
      <w:bookmarkStart w:id="112" w:name="_Toc73033018"/>
      <w:bookmarkStart w:id="113" w:name="_Toc84433132"/>
      <w:bookmarkStart w:id="114" w:name="_Toc97826097"/>
      <w:r w:rsidRPr="005B7458">
        <w:rPr>
          <w:rFonts w:ascii="Palatino Linotype" w:hAnsi="Palatino Linotype"/>
          <w:b/>
          <w:lang w:val="es-MX" w:eastAsia="en-US"/>
        </w:rPr>
        <w:t>IV. Condiciones especiales de la clasificación de la información como confidencial.</w:t>
      </w:r>
      <w:bookmarkEnd w:id="106"/>
      <w:bookmarkEnd w:id="107"/>
      <w:bookmarkEnd w:id="108"/>
      <w:bookmarkEnd w:id="109"/>
      <w:bookmarkEnd w:id="110"/>
      <w:bookmarkEnd w:id="111"/>
      <w:bookmarkEnd w:id="112"/>
      <w:bookmarkEnd w:id="113"/>
      <w:bookmarkEnd w:id="114"/>
    </w:p>
    <w:p w14:paraId="010E108F" w14:textId="77777777" w:rsidR="00464C89" w:rsidRPr="005B7458" w:rsidRDefault="00464C89" w:rsidP="007D7513">
      <w:pPr>
        <w:keepNext/>
        <w:keepLines/>
        <w:spacing w:before="240" w:line="360" w:lineRule="auto"/>
        <w:jc w:val="both"/>
        <w:outlineLvl w:val="0"/>
        <w:rPr>
          <w:rFonts w:ascii="Palatino Linotype" w:hAnsi="Palatino Linotype"/>
          <w:b/>
          <w:lang w:val="es-MX" w:eastAsia="en-US"/>
        </w:rPr>
      </w:pPr>
    </w:p>
    <w:p w14:paraId="139DDE52" w14:textId="77777777" w:rsidR="00464C89" w:rsidRPr="005B7458" w:rsidRDefault="00464C89" w:rsidP="007D7513">
      <w:pPr>
        <w:numPr>
          <w:ilvl w:val="0"/>
          <w:numId w:val="38"/>
        </w:numPr>
        <w:spacing w:before="240" w:after="240" w:line="360" w:lineRule="auto"/>
        <w:ind w:left="-142" w:firstLine="142"/>
        <w:contextualSpacing/>
        <w:jc w:val="both"/>
        <w:rPr>
          <w:rFonts w:ascii="Palatino Linotype" w:hAnsi="Palatino Linotype" w:cs="Arial"/>
          <w:color w:val="000000"/>
          <w:lang w:val="es-ES_tradnl"/>
        </w:rPr>
      </w:pPr>
      <w:r w:rsidRPr="005B7458">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A66B540" w14:textId="77777777" w:rsidR="00464C89" w:rsidRPr="005B7458" w:rsidRDefault="00464C89" w:rsidP="007D7513">
      <w:pPr>
        <w:spacing w:before="240" w:after="240" w:line="360" w:lineRule="auto"/>
        <w:contextualSpacing/>
        <w:jc w:val="both"/>
        <w:rPr>
          <w:rFonts w:ascii="Palatino Linotype" w:hAnsi="Palatino Linotype" w:cs="Arial"/>
          <w:color w:val="000000"/>
          <w:lang w:val="es-ES_tradnl"/>
        </w:rPr>
      </w:pPr>
    </w:p>
    <w:p w14:paraId="414425D7"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5B7458">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6E6C732B" w14:textId="77777777" w:rsidR="00464C89" w:rsidRPr="005B7458" w:rsidRDefault="00464C89" w:rsidP="007D7513">
      <w:pPr>
        <w:spacing w:before="240" w:after="240" w:line="360" w:lineRule="auto"/>
        <w:contextualSpacing/>
        <w:jc w:val="both"/>
        <w:rPr>
          <w:rFonts w:ascii="Palatino Linotype" w:hAnsi="Palatino Linotype" w:cs="Arial"/>
          <w:color w:val="000000"/>
          <w:lang w:val="es-ES_tradnl"/>
        </w:rPr>
      </w:pPr>
    </w:p>
    <w:p w14:paraId="518B3AD9" w14:textId="77777777" w:rsidR="00464C89" w:rsidRPr="005B7458" w:rsidRDefault="00464C89" w:rsidP="007D7513">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5B7458">
        <w:rPr>
          <w:rFonts w:ascii="Palatino Linotype" w:hAnsi="Palatino Linotype" w:cs="Bookman Old Style"/>
          <w:bCs/>
          <w:i/>
          <w:color w:val="000000"/>
          <w:lang w:val="es-ES_tradnl"/>
        </w:rPr>
        <w:t xml:space="preserve">I. </w:t>
      </w:r>
      <w:r w:rsidRPr="005B7458">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655D64FB" w14:textId="77777777" w:rsidR="00464C89" w:rsidRPr="005B7458" w:rsidRDefault="00464C89" w:rsidP="007D7513">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5B7458">
        <w:rPr>
          <w:rFonts w:ascii="Palatino Linotype" w:hAnsi="Palatino Linotype" w:cs="Bookman Old Style"/>
          <w:bCs/>
          <w:i/>
          <w:color w:val="000000"/>
          <w:lang w:val="es-ES_tradnl"/>
        </w:rPr>
        <w:t xml:space="preserve">II. </w:t>
      </w:r>
      <w:r w:rsidRPr="005B7458">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AF7DC55" w14:textId="77777777" w:rsidR="00464C89" w:rsidRPr="005B7458" w:rsidRDefault="00464C89" w:rsidP="007D7513">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5B7458">
        <w:rPr>
          <w:rFonts w:ascii="Palatino Linotype" w:hAnsi="Palatino Linotype" w:cs="Bookman Old Style"/>
          <w:bCs/>
          <w:i/>
          <w:color w:val="000000"/>
          <w:lang w:val="es-ES_tradnl"/>
        </w:rPr>
        <w:t xml:space="preserve">III. </w:t>
      </w:r>
      <w:r w:rsidRPr="005B7458">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21CC78FB" w14:textId="77777777" w:rsidR="00464C89" w:rsidRPr="005B7458" w:rsidRDefault="00464C89" w:rsidP="007D7513">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5B7458">
        <w:rPr>
          <w:rFonts w:ascii="Palatino Linotype" w:hAnsi="Palatino Linotype" w:cs="Bookman Old Style"/>
          <w:i/>
          <w:color w:val="000000"/>
          <w:lang w:val="es-ES_tradnl"/>
        </w:rPr>
        <w:lastRenderedPageBreak/>
        <w:t xml:space="preserve">La información confidencial no estará sujeta a temporalidad alguna y sólo podrán tener acceso a ella los titulares de la misma, sus representantes y los servidores públicos facultados para ello. </w:t>
      </w:r>
    </w:p>
    <w:p w14:paraId="3C49EF54" w14:textId="77777777" w:rsidR="00464C89" w:rsidRPr="005B7458" w:rsidRDefault="00464C89" w:rsidP="007D7513">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5B7458">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7B6F418E"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5B7458">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32CED5" w14:textId="77777777" w:rsidR="00464C89" w:rsidRPr="005B7458" w:rsidRDefault="00464C89" w:rsidP="007D7513">
      <w:pPr>
        <w:spacing w:before="240" w:after="240" w:line="360" w:lineRule="auto"/>
        <w:contextualSpacing/>
        <w:jc w:val="both"/>
        <w:rPr>
          <w:rFonts w:ascii="Palatino Linotype" w:hAnsi="Palatino Linotype" w:cs="Arial"/>
          <w:color w:val="000000"/>
          <w:lang w:val="es-ES_tradnl"/>
        </w:rPr>
      </w:pPr>
    </w:p>
    <w:p w14:paraId="1635B11A"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5B7458">
        <w:rPr>
          <w:rFonts w:ascii="Palatino Linotype" w:hAnsi="Palatino Linotype" w:cs="Arial"/>
          <w:color w:val="000000"/>
          <w:lang w:val="es-ES_tradnl"/>
        </w:rPr>
        <w:t xml:space="preserve">Como consecuencia de lo anterior, el </w:t>
      </w:r>
      <w:r w:rsidRPr="005B7458">
        <w:rPr>
          <w:rFonts w:ascii="Palatino Linotype" w:hAnsi="Palatino Linotype" w:cs="Arial"/>
          <w:b/>
          <w:color w:val="000000"/>
          <w:lang w:val="es-ES_tradnl"/>
        </w:rPr>
        <w:t>SUJETO OBLIGADO</w:t>
      </w:r>
      <w:r w:rsidRPr="005B7458">
        <w:rPr>
          <w:rFonts w:ascii="Palatino Linotype" w:hAnsi="Palatino Linotype" w:cs="Arial"/>
          <w:color w:val="000000"/>
          <w:lang w:val="es-ES_tradnl"/>
        </w:rPr>
        <w:t xml:space="preserve"> debe identificar claramente el tipo de información y hacer un juicio de subsunción o encaje</w:t>
      </w:r>
      <w:r w:rsidRPr="005B7458">
        <w:rPr>
          <w:rFonts w:ascii="Palatino Linotype" w:hAnsi="Palatino Linotype"/>
          <w:vertAlign w:val="superscript"/>
          <w:lang w:val="es-ES_tradnl"/>
        </w:rPr>
        <w:footnoteReference w:id="10"/>
      </w:r>
      <w:r w:rsidRPr="005B7458">
        <w:rPr>
          <w:rFonts w:ascii="Palatino Linotype" w:hAnsi="Palatino Linotype" w:cs="Arial"/>
          <w:color w:val="000000"/>
          <w:lang w:val="es-ES_tradnl"/>
        </w:rPr>
        <w:t xml:space="preserve"> para acreditar que el supuesto de hecho corresponde estrictamente con la hipótesis </w:t>
      </w:r>
      <w:r w:rsidRPr="005B7458">
        <w:rPr>
          <w:rFonts w:ascii="Palatino Linotype" w:hAnsi="Palatino Linotype" w:cs="Arial"/>
          <w:color w:val="000000"/>
          <w:lang w:val="es-ES_tradnl"/>
        </w:rPr>
        <w:lastRenderedPageBreak/>
        <w:t>jurídica. Esto también lo debe de realizar el servidor público habilitado y el titular del área que administra la información.</w:t>
      </w:r>
    </w:p>
    <w:p w14:paraId="24D7DF54" w14:textId="77777777" w:rsidR="00464C89" w:rsidRPr="005B7458" w:rsidRDefault="00464C89" w:rsidP="007D7513">
      <w:pPr>
        <w:spacing w:line="360" w:lineRule="auto"/>
        <w:ind w:left="708"/>
        <w:rPr>
          <w:rFonts w:ascii="Palatino Linotype" w:hAnsi="Palatino Linotype" w:cs="Arial"/>
          <w:color w:val="000000"/>
          <w:lang w:val="es-ES_tradnl"/>
        </w:rPr>
      </w:pPr>
    </w:p>
    <w:p w14:paraId="089F6BCA" w14:textId="77777777" w:rsidR="00464C89" w:rsidRPr="005B7458" w:rsidRDefault="00464C89" w:rsidP="007D7513">
      <w:pPr>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5B7458">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66F6E8CA" w14:textId="77777777" w:rsidR="00464C89" w:rsidRPr="005B7458" w:rsidRDefault="00464C89" w:rsidP="007D7513">
      <w:pPr>
        <w:spacing w:line="360" w:lineRule="auto"/>
        <w:ind w:left="708"/>
        <w:rPr>
          <w:rFonts w:ascii="Palatino Linotype" w:hAnsi="Palatino Linotype" w:cs="Arial"/>
          <w:color w:val="000000"/>
          <w:lang w:val="es-ES_tradnl"/>
        </w:rPr>
      </w:pPr>
    </w:p>
    <w:p w14:paraId="294D875E" w14:textId="77777777" w:rsidR="00464C89" w:rsidRPr="005B7458" w:rsidRDefault="00464C89" w:rsidP="007D7513">
      <w:pPr>
        <w:spacing w:before="240" w:after="240" w:line="360" w:lineRule="auto"/>
        <w:contextualSpacing/>
        <w:jc w:val="both"/>
        <w:rPr>
          <w:rFonts w:ascii="Palatino Linotype" w:hAnsi="Palatino Linotype" w:cs="Arial"/>
          <w:color w:val="000000"/>
          <w:lang w:val="es-ES_tradnl"/>
        </w:rPr>
      </w:pPr>
    </w:p>
    <w:p w14:paraId="1E4EEFE7" w14:textId="77777777" w:rsidR="00464C89" w:rsidRPr="005B7458" w:rsidRDefault="00464C89" w:rsidP="007D7513">
      <w:pPr>
        <w:keepNext/>
        <w:keepLines/>
        <w:numPr>
          <w:ilvl w:val="0"/>
          <w:numId w:val="22"/>
        </w:numPr>
        <w:spacing w:before="240" w:after="160" w:line="360" w:lineRule="auto"/>
        <w:ind w:left="0" w:firstLine="0"/>
        <w:outlineLvl w:val="0"/>
        <w:rPr>
          <w:rFonts w:ascii="Palatino Linotype" w:eastAsia="MS Gothic" w:hAnsi="Palatino Linotype"/>
          <w:b/>
          <w:lang w:val="es-MX" w:eastAsia="en-US"/>
        </w:rPr>
      </w:pPr>
      <w:bookmarkStart w:id="115" w:name="_Toc5711930"/>
      <w:bookmarkStart w:id="116" w:name="_Toc5890467"/>
      <w:bookmarkStart w:id="117" w:name="_Toc50062193"/>
      <w:r w:rsidRPr="005B7458">
        <w:rPr>
          <w:rFonts w:ascii="Palatino Linotype" w:eastAsia="MS Gothic" w:hAnsi="Palatino Linotype"/>
          <w:b/>
          <w:lang w:val="es-MX" w:eastAsia="en-US"/>
        </w:rPr>
        <w:t xml:space="preserve"> </w:t>
      </w:r>
      <w:bookmarkStart w:id="118" w:name="_Toc63348484"/>
      <w:bookmarkStart w:id="119" w:name="_Toc67598521"/>
      <w:bookmarkStart w:id="120" w:name="_Toc69999210"/>
      <w:bookmarkStart w:id="121" w:name="_Toc73033019"/>
      <w:bookmarkStart w:id="122" w:name="_Toc84433133"/>
      <w:bookmarkStart w:id="123" w:name="_Toc97826098"/>
      <w:r w:rsidRPr="005B7458">
        <w:rPr>
          <w:rFonts w:ascii="Palatino Linotype" w:eastAsia="MS Gothic" w:hAnsi="Palatino Linotype"/>
          <w:b/>
          <w:lang w:val="es-MX" w:eastAsia="en-US"/>
        </w:rPr>
        <w:t>Del consentimiento.</w:t>
      </w:r>
      <w:bookmarkEnd w:id="115"/>
      <w:bookmarkEnd w:id="116"/>
      <w:bookmarkEnd w:id="117"/>
      <w:bookmarkEnd w:id="118"/>
      <w:bookmarkEnd w:id="119"/>
      <w:bookmarkEnd w:id="120"/>
      <w:bookmarkEnd w:id="121"/>
      <w:bookmarkEnd w:id="122"/>
      <w:bookmarkEnd w:id="123"/>
    </w:p>
    <w:p w14:paraId="555620B9" w14:textId="77777777" w:rsidR="00464C89" w:rsidRPr="005B7458" w:rsidRDefault="00464C89" w:rsidP="007D7513">
      <w:pPr>
        <w:spacing w:line="360" w:lineRule="auto"/>
        <w:rPr>
          <w:rFonts w:ascii="Palatino Linotype" w:eastAsia="MS Mincho" w:hAnsi="Palatino Linotype"/>
          <w:lang w:val="es-MX" w:eastAsia="en-US"/>
        </w:rPr>
      </w:pPr>
    </w:p>
    <w:p w14:paraId="64322EB3" w14:textId="77777777" w:rsidR="00464C89" w:rsidRPr="005B7458" w:rsidRDefault="00464C89" w:rsidP="007D7513">
      <w:pPr>
        <w:numPr>
          <w:ilvl w:val="0"/>
          <w:numId w:val="38"/>
        </w:numPr>
        <w:spacing w:after="120" w:line="360" w:lineRule="auto"/>
        <w:ind w:left="0" w:right="49" w:firstLine="0"/>
        <w:contextualSpacing/>
        <w:jc w:val="both"/>
        <w:rPr>
          <w:rFonts w:ascii="Palatino Linotype" w:eastAsia="MS Mincho" w:hAnsi="Palatino Linotype" w:cs="Arial"/>
          <w:color w:val="000000"/>
          <w:lang w:val="es-ES_tradnl"/>
        </w:rPr>
      </w:pPr>
      <w:r w:rsidRPr="005B7458">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4366C87" w14:textId="77777777" w:rsidR="00464C89" w:rsidRPr="005B7458" w:rsidRDefault="00464C89" w:rsidP="007D7513">
      <w:pPr>
        <w:spacing w:after="120" w:line="360" w:lineRule="auto"/>
        <w:ind w:left="426" w:right="49" w:hanging="426"/>
        <w:contextualSpacing/>
        <w:jc w:val="both"/>
        <w:rPr>
          <w:rFonts w:ascii="Palatino Linotype" w:eastAsia="MS Mincho" w:hAnsi="Palatino Linotype" w:cs="Arial"/>
          <w:color w:val="000000"/>
          <w:lang w:val="es-ES_tradnl"/>
        </w:rPr>
      </w:pPr>
    </w:p>
    <w:p w14:paraId="66EE7FA3" w14:textId="77777777" w:rsidR="00464C89" w:rsidRPr="005B7458" w:rsidRDefault="00464C89" w:rsidP="007D7513">
      <w:pPr>
        <w:spacing w:after="120" w:line="360" w:lineRule="auto"/>
        <w:ind w:left="567" w:right="567"/>
        <w:contextualSpacing/>
        <w:jc w:val="both"/>
        <w:rPr>
          <w:rFonts w:ascii="Palatino Linotype" w:eastAsia="MS Mincho" w:hAnsi="Palatino Linotype" w:cs="Arial"/>
          <w:bCs/>
          <w:i/>
          <w:color w:val="000000"/>
          <w:lang w:val="es-MX"/>
        </w:rPr>
      </w:pPr>
      <w:r w:rsidRPr="005B7458">
        <w:rPr>
          <w:rFonts w:ascii="Palatino Linotype" w:eastAsia="MS Mincho" w:hAnsi="Palatino Linotype" w:cs="Arial"/>
          <w:bCs/>
          <w:i/>
          <w:color w:val="000000"/>
          <w:lang w:val="es-MX"/>
        </w:rPr>
        <w:t>I.</w:t>
      </w:r>
      <w:r w:rsidRPr="005B7458">
        <w:rPr>
          <w:rFonts w:ascii="Palatino Linotype" w:eastAsia="MS Mincho" w:hAnsi="Palatino Linotype" w:cs="Arial"/>
          <w:i/>
          <w:color w:val="000000"/>
          <w:lang w:val="es-MX"/>
        </w:rPr>
        <w:t xml:space="preserve"> La información se encuentre en registros públicos o fuentes de acceso público;</w:t>
      </w:r>
    </w:p>
    <w:p w14:paraId="66A36F26" w14:textId="77777777" w:rsidR="00464C89" w:rsidRPr="005B7458" w:rsidRDefault="00464C89" w:rsidP="007D7513">
      <w:pPr>
        <w:spacing w:after="120" w:line="360" w:lineRule="auto"/>
        <w:ind w:left="567" w:right="567"/>
        <w:contextualSpacing/>
        <w:jc w:val="both"/>
        <w:rPr>
          <w:rFonts w:ascii="Palatino Linotype" w:eastAsia="MS Mincho" w:hAnsi="Palatino Linotype" w:cs="Arial"/>
          <w:bCs/>
          <w:i/>
          <w:color w:val="000000"/>
          <w:lang w:val="es-MX"/>
        </w:rPr>
      </w:pPr>
      <w:r w:rsidRPr="005B7458">
        <w:rPr>
          <w:rFonts w:ascii="Palatino Linotype" w:eastAsia="MS Mincho" w:hAnsi="Palatino Linotype" w:cs="Arial"/>
          <w:bCs/>
          <w:i/>
          <w:color w:val="000000"/>
          <w:lang w:val="es-MX"/>
        </w:rPr>
        <w:t xml:space="preserve">II. </w:t>
      </w:r>
      <w:r w:rsidRPr="005B7458">
        <w:rPr>
          <w:rFonts w:ascii="Palatino Linotype" w:eastAsia="MS Mincho" w:hAnsi="Palatino Linotype" w:cs="Arial"/>
          <w:i/>
          <w:color w:val="000000"/>
          <w:lang w:val="es-MX"/>
        </w:rPr>
        <w:t>Por Ley tenga el carácter de pública;</w:t>
      </w:r>
    </w:p>
    <w:p w14:paraId="26EBE3F7" w14:textId="77777777" w:rsidR="00464C89" w:rsidRPr="005B7458" w:rsidRDefault="00464C89" w:rsidP="007D7513">
      <w:pPr>
        <w:spacing w:after="120" w:line="360" w:lineRule="auto"/>
        <w:ind w:left="567" w:right="567"/>
        <w:contextualSpacing/>
        <w:jc w:val="both"/>
        <w:rPr>
          <w:rFonts w:ascii="Palatino Linotype" w:eastAsia="MS Mincho" w:hAnsi="Palatino Linotype" w:cs="Arial"/>
          <w:i/>
          <w:color w:val="000000"/>
          <w:lang w:val="es-MX"/>
        </w:rPr>
      </w:pPr>
      <w:r w:rsidRPr="005B7458">
        <w:rPr>
          <w:rFonts w:ascii="Palatino Linotype" w:eastAsia="MS Mincho" w:hAnsi="Palatino Linotype" w:cs="Arial"/>
          <w:bCs/>
          <w:i/>
          <w:color w:val="000000"/>
          <w:lang w:val="es-MX"/>
        </w:rPr>
        <w:t xml:space="preserve">III. </w:t>
      </w:r>
      <w:r w:rsidRPr="005B7458">
        <w:rPr>
          <w:rFonts w:ascii="Palatino Linotype" w:eastAsia="MS Mincho" w:hAnsi="Palatino Linotype" w:cs="Arial"/>
          <w:i/>
          <w:color w:val="000000"/>
          <w:lang w:val="es-MX"/>
        </w:rPr>
        <w:t xml:space="preserve">Exista una orden judicial; </w:t>
      </w:r>
    </w:p>
    <w:p w14:paraId="4295486E" w14:textId="77777777" w:rsidR="00464C89" w:rsidRPr="005B7458" w:rsidRDefault="00464C89" w:rsidP="007D7513">
      <w:pPr>
        <w:spacing w:after="120" w:line="360" w:lineRule="auto"/>
        <w:ind w:left="567" w:right="567"/>
        <w:contextualSpacing/>
        <w:jc w:val="both"/>
        <w:rPr>
          <w:rFonts w:ascii="Palatino Linotype" w:eastAsia="MS Mincho" w:hAnsi="Palatino Linotype" w:cs="Arial"/>
          <w:i/>
          <w:color w:val="000000"/>
          <w:lang w:val="es-MX"/>
        </w:rPr>
      </w:pPr>
      <w:r w:rsidRPr="005B7458">
        <w:rPr>
          <w:rFonts w:ascii="Palatino Linotype" w:eastAsia="MS Mincho" w:hAnsi="Palatino Linotype" w:cs="Arial"/>
          <w:bCs/>
          <w:i/>
          <w:color w:val="000000"/>
          <w:lang w:val="es-MX"/>
        </w:rPr>
        <w:t xml:space="preserve">IV. </w:t>
      </w:r>
      <w:r w:rsidRPr="005B7458">
        <w:rPr>
          <w:rFonts w:ascii="Palatino Linotype" w:eastAsia="MS Mincho" w:hAnsi="Palatino Linotype" w:cs="Arial"/>
          <w:i/>
          <w:color w:val="000000"/>
          <w:lang w:val="es-MX"/>
        </w:rPr>
        <w:t xml:space="preserve">Por razones de seguridad pública, o para proteger los derechos de terceros, se requiera su publicación; o </w:t>
      </w:r>
    </w:p>
    <w:p w14:paraId="74088BA9" w14:textId="77777777" w:rsidR="00464C89" w:rsidRPr="005B7458" w:rsidRDefault="00464C89" w:rsidP="007D7513">
      <w:pPr>
        <w:spacing w:after="120" w:line="360" w:lineRule="auto"/>
        <w:ind w:left="567" w:right="567"/>
        <w:contextualSpacing/>
        <w:jc w:val="both"/>
        <w:rPr>
          <w:rFonts w:ascii="Palatino Linotype" w:eastAsia="MS Mincho" w:hAnsi="Palatino Linotype" w:cs="Arial"/>
          <w:i/>
          <w:color w:val="000000"/>
          <w:lang w:val="es-MX"/>
        </w:rPr>
      </w:pPr>
      <w:r w:rsidRPr="005B7458">
        <w:rPr>
          <w:rFonts w:ascii="Palatino Linotype" w:eastAsia="MS Mincho" w:hAnsi="Palatino Linotype" w:cs="Arial"/>
          <w:bCs/>
          <w:i/>
          <w:color w:val="000000"/>
          <w:lang w:val="es-MX"/>
        </w:rPr>
        <w:t xml:space="preserve">V. </w:t>
      </w:r>
      <w:r w:rsidRPr="005B7458">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6E2BB39" w14:textId="77777777" w:rsidR="00464C89" w:rsidRPr="005B7458" w:rsidRDefault="00464C89" w:rsidP="007D7513">
      <w:pPr>
        <w:spacing w:after="120" w:line="360" w:lineRule="auto"/>
        <w:ind w:left="426" w:right="49" w:hanging="426"/>
        <w:contextualSpacing/>
        <w:jc w:val="both"/>
        <w:rPr>
          <w:rFonts w:ascii="Palatino Linotype" w:eastAsia="MS Mincho" w:hAnsi="Palatino Linotype" w:cs="Arial"/>
          <w:color w:val="000000"/>
          <w:lang w:val="es-ES_tradnl"/>
        </w:rPr>
      </w:pPr>
    </w:p>
    <w:p w14:paraId="433531AE" w14:textId="77777777" w:rsidR="00464C89" w:rsidRPr="005B7458" w:rsidRDefault="00464C89" w:rsidP="007D7513">
      <w:pPr>
        <w:numPr>
          <w:ilvl w:val="0"/>
          <w:numId w:val="38"/>
        </w:numPr>
        <w:spacing w:after="120" w:line="360" w:lineRule="auto"/>
        <w:ind w:left="0" w:firstLine="0"/>
        <w:contextualSpacing/>
        <w:jc w:val="both"/>
        <w:rPr>
          <w:rFonts w:ascii="Palatino Linotype" w:eastAsia="MS Mincho" w:hAnsi="Palatino Linotype" w:cs="Arial"/>
          <w:color w:val="000000"/>
          <w:lang w:val="es-ES_tradnl"/>
        </w:rPr>
      </w:pPr>
      <w:r w:rsidRPr="005B7458">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ABFADFC" w14:textId="77777777" w:rsidR="00464C89" w:rsidRPr="005B7458" w:rsidRDefault="00464C89" w:rsidP="007D7513">
      <w:pPr>
        <w:spacing w:after="120" w:line="360" w:lineRule="auto"/>
        <w:contextualSpacing/>
        <w:jc w:val="both"/>
        <w:rPr>
          <w:rFonts w:ascii="Palatino Linotype" w:eastAsia="MS Mincho" w:hAnsi="Palatino Linotype" w:cs="Arial"/>
          <w:color w:val="000000"/>
          <w:lang w:val="es-ES_tradnl"/>
        </w:rPr>
      </w:pPr>
    </w:p>
    <w:p w14:paraId="56828B37" w14:textId="669C4982" w:rsidR="00464C89" w:rsidRPr="005B7458" w:rsidRDefault="00464C89" w:rsidP="007D7513">
      <w:pPr>
        <w:numPr>
          <w:ilvl w:val="0"/>
          <w:numId w:val="38"/>
        </w:numPr>
        <w:spacing w:after="120" w:line="360" w:lineRule="auto"/>
        <w:ind w:left="0" w:firstLine="0"/>
        <w:contextualSpacing/>
        <w:jc w:val="both"/>
        <w:rPr>
          <w:rFonts w:ascii="Palatino Linotype" w:eastAsia="MS Mincho" w:hAnsi="Palatino Linotype" w:cs="Arial"/>
          <w:color w:val="000000"/>
          <w:lang w:val="es-ES_tradnl"/>
        </w:rPr>
      </w:pPr>
      <w:r w:rsidRPr="005B7458">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3593C6F" w14:textId="77777777" w:rsidR="00C26817" w:rsidRPr="005B7458" w:rsidRDefault="00C26817" w:rsidP="00C26817">
      <w:pPr>
        <w:pStyle w:val="Prrafodelista"/>
        <w:rPr>
          <w:rFonts w:ascii="Palatino Linotype" w:eastAsia="MS Mincho" w:hAnsi="Palatino Linotype" w:cs="Arial"/>
          <w:color w:val="000000"/>
          <w:lang w:val="es-ES_tradnl"/>
        </w:rPr>
      </w:pPr>
    </w:p>
    <w:p w14:paraId="14BCE023" w14:textId="3DFCAA59" w:rsidR="00C26817" w:rsidRPr="005B7458" w:rsidRDefault="00C26817" w:rsidP="00C26817">
      <w:pPr>
        <w:pStyle w:val="Ttulo1"/>
        <w:numPr>
          <w:ilvl w:val="0"/>
          <w:numId w:val="22"/>
        </w:numPr>
        <w:ind w:left="0" w:firstLine="0"/>
        <w:rPr>
          <w:rFonts w:ascii="Palatino Linotype" w:hAnsi="Palatino Linotype"/>
          <w:b/>
          <w:color w:val="auto"/>
          <w:sz w:val="24"/>
          <w:szCs w:val="24"/>
          <w:lang w:val="es-ES_tradnl"/>
        </w:rPr>
      </w:pPr>
      <w:bookmarkStart w:id="124" w:name="_Toc97826099"/>
      <w:r w:rsidRPr="005B7458">
        <w:rPr>
          <w:rFonts w:ascii="Palatino Linotype" w:hAnsi="Palatino Linotype"/>
          <w:b/>
          <w:color w:val="auto"/>
          <w:sz w:val="24"/>
          <w:szCs w:val="24"/>
          <w:lang w:val="es-ES_tradnl"/>
        </w:rPr>
        <w:t>D</w:t>
      </w:r>
      <w:r w:rsidR="00E17649" w:rsidRPr="005B7458">
        <w:rPr>
          <w:rFonts w:ascii="Palatino Linotype" w:hAnsi="Palatino Linotype"/>
          <w:b/>
          <w:color w:val="auto"/>
          <w:sz w:val="24"/>
          <w:szCs w:val="24"/>
          <w:lang w:val="es-ES_tradnl"/>
        </w:rPr>
        <w:t>el nombre de titulares de una licencia.</w:t>
      </w:r>
      <w:bookmarkEnd w:id="124"/>
      <w:r w:rsidR="00E17649" w:rsidRPr="005B7458">
        <w:rPr>
          <w:rFonts w:ascii="Palatino Linotype" w:hAnsi="Palatino Linotype"/>
          <w:b/>
          <w:color w:val="auto"/>
          <w:sz w:val="24"/>
          <w:szCs w:val="24"/>
          <w:lang w:val="es-ES_tradnl"/>
        </w:rPr>
        <w:t xml:space="preserve"> </w:t>
      </w:r>
    </w:p>
    <w:p w14:paraId="1FE22AFB" w14:textId="21E2C809" w:rsidR="00C26817" w:rsidRPr="005B7458" w:rsidRDefault="00C26817" w:rsidP="00C26817">
      <w:pPr>
        <w:rPr>
          <w:rFonts w:eastAsia="MS Mincho"/>
          <w:lang w:val="es-ES_tradnl"/>
        </w:rPr>
      </w:pPr>
    </w:p>
    <w:p w14:paraId="1420D27F" w14:textId="77777777" w:rsidR="00C26817" w:rsidRPr="005B7458" w:rsidRDefault="00C26817" w:rsidP="00C26817">
      <w:pPr>
        <w:rPr>
          <w:rFonts w:eastAsia="MS Mincho"/>
          <w:lang w:val="es-ES_tradnl"/>
        </w:rPr>
      </w:pPr>
    </w:p>
    <w:p w14:paraId="549F9EBB" w14:textId="793A65FD" w:rsidR="00C26817" w:rsidRPr="005B7458" w:rsidRDefault="00C26817" w:rsidP="00FC6133">
      <w:pPr>
        <w:pStyle w:val="Prrafodelista"/>
        <w:numPr>
          <w:ilvl w:val="0"/>
          <w:numId w:val="38"/>
        </w:numPr>
        <w:tabs>
          <w:tab w:val="left" w:pos="567"/>
        </w:tabs>
        <w:spacing w:after="160" w:line="360" w:lineRule="auto"/>
        <w:ind w:left="0" w:firstLine="0"/>
        <w:contextualSpacing/>
        <w:jc w:val="both"/>
        <w:rPr>
          <w:rFonts w:ascii="Palatino Linotype" w:hAnsi="Palatino Linotype"/>
          <w:b/>
          <w:lang w:val="es-ES_tradnl"/>
        </w:rPr>
      </w:pPr>
      <w:r w:rsidRPr="005B7458">
        <w:rPr>
          <w:rFonts w:ascii="Palatino Linotype" w:eastAsia="MS Mincho" w:hAnsi="Palatino Linotype"/>
          <w:lang w:val="es-ES_tradnl"/>
        </w:rPr>
        <w:t>En lo referente a</w:t>
      </w:r>
      <w:r w:rsidR="00E17649" w:rsidRPr="005B7458">
        <w:rPr>
          <w:rFonts w:ascii="Palatino Linotype" w:eastAsia="MS Mincho" w:hAnsi="Palatino Linotype"/>
          <w:lang w:val="es-ES_tradnl"/>
        </w:rPr>
        <w:t xml:space="preserve">l nombre de titulares de una licencia </w:t>
      </w:r>
      <w:r w:rsidRPr="005B7458">
        <w:rPr>
          <w:rFonts w:ascii="Palatino Linotype" w:eastAsia="MS Mincho" w:hAnsi="Palatino Linotype"/>
          <w:lang w:val="es-ES_tradnl"/>
        </w:rPr>
        <w:t>es necesario precisar que</w:t>
      </w:r>
      <w:r w:rsidR="00FC6133" w:rsidRPr="005B7458">
        <w:rPr>
          <w:rFonts w:ascii="Palatino Linotype" w:eastAsia="MS Mincho" w:hAnsi="Palatino Linotype"/>
          <w:lang w:val="es-ES_tradnl"/>
        </w:rPr>
        <w:t xml:space="preserve"> cuando </w:t>
      </w:r>
      <w:r w:rsidRPr="005B7458">
        <w:rPr>
          <w:rFonts w:ascii="Palatino Linotype" w:eastAsia="MS Mincho" w:hAnsi="Palatino Linotype"/>
          <w:lang w:val="es-ES_tradnl"/>
        </w:rPr>
        <w:t xml:space="preserve"> corresponder a un dato personal, lo anterior </w:t>
      </w:r>
      <w:r w:rsidR="00FC6133" w:rsidRPr="005B7458">
        <w:rPr>
          <w:rFonts w:ascii="Palatino Linotype" w:hAnsi="Palatino Linotype"/>
          <w:lang w:val="es-ES_tradnl"/>
        </w:rPr>
        <w:t xml:space="preserve">ya que </w:t>
      </w:r>
      <w:r w:rsidR="00FC6133" w:rsidRPr="005B7458">
        <w:rPr>
          <w:rFonts w:ascii="Palatino Linotype" w:hAnsi="Palatino Linotype"/>
        </w:rPr>
        <w:t>los datos personales de particulares únicamente se verá justificada cuando las licencias otorgadas involucren el aprovechamiento de bienes, servicios y/o recursos públicos</w:t>
      </w:r>
      <w:r w:rsidRPr="005B7458">
        <w:rPr>
          <w:rFonts w:ascii="Palatino Linotype" w:eastAsia="MS Mincho" w:hAnsi="Palatino Linotype"/>
          <w:lang w:val="es-ES_tradnl"/>
        </w:rPr>
        <w:t>, sirve de apoyo a lo anterior el siguiente criterio orientador</w:t>
      </w:r>
      <w:r w:rsidR="00FC6133" w:rsidRPr="005B7458">
        <w:rPr>
          <w:rFonts w:ascii="Palatino Linotype" w:eastAsia="MS Mincho" w:hAnsi="Palatino Linotype"/>
          <w:lang w:val="es-ES_tradnl"/>
        </w:rPr>
        <w:t>, emitido por el Pleno del Instituto de Transparencia, Acceso a la Información y Protección de Datos Personales del Estado de México y Municipios</w:t>
      </w:r>
      <w:r w:rsidRPr="005B7458">
        <w:rPr>
          <w:rFonts w:ascii="Palatino Linotype" w:eastAsia="MS Mincho" w:hAnsi="Palatino Linotype"/>
          <w:lang w:val="es-ES_tradnl"/>
        </w:rPr>
        <w:t xml:space="preserve">: </w:t>
      </w:r>
    </w:p>
    <w:p w14:paraId="0A99591C" w14:textId="77777777" w:rsidR="00C26817" w:rsidRPr="005B7458" w:rsidRDefault="00C26817" w:rsidP="00C26817">
      <w:pPr>
        <w:tabs>
          <w:tab w:val="left" w:pos="567"/>
        </w:tabs>
        <w:spacing w:line="360" w:lineRule="auto"/>
        <w:contextualSpacing/>
        <w:jc w:val="both"/>
        <w:rPr>
          <w:rFonts w:ascii="Palatino Linotype" w:hAnsi="Palatino Linotype"/>
          <w:b/>
          <w:lang w:val="es-ES_tradnl"/>
        </w:rPr>
      </w:pPr>
    </w:p>
    <w:p w14:paraId="26919579" w14:textId="77777777" w:rsidR="00E17649" w:rsidRPr="005B7458" w:rsidRDefault="00C26817" w:rsidP="00E17649">
      <w:pPr>
        <w:tabs>
          <w:tab w:val="left" w:pos="567"/>
        </w:tabs>
        <w:spacing w:line="360" w:lineRule="auto"/>
        <w:ind w:left="567" w:right="616"/>
        <w:jc w:val="center"/>
        <w:rPr>
          <w:rFonts w:ascii="Palatino Linotype" w:hAnsi="Palatino Linotype"/>
          <w:b/>
          <w:i/>
          <w:color w:val="000000"/>
        </w:rPr>
      </w:pPr>
      <w:r w:rsidRPr="005B7458">
        <w:rPr>
          <w:rFonts w:ascii="Palatino Linotype" w:hAnsi="Palatino Linotype"/>
          <w:i/>
          <w:color w:val="000000"/>
          <w:lang w:val="es-MX"/>
        </w:rPr>
        <w:t>“</w:t>
      </w:r>
      <w:r w:rsidR="00E17649" w:rsidRPr="005B7458">
        <w:rPr>
          <w:rFonts w:ascii="Palatino Linotype" w:hAnsi="Palatino Linotype"/>
          <w:b/>
          <w:i/>
          <w:color w:val="000000"/>
        </w:rPr>
        <w:t>Criterio Relevante 01/18de la Segunda Época</w:t>
      </w:r>
    </w:p>
    <w:p w14:paraId="789F6216" w14:textId="77777777" w:rsidR="00E17649" w:rsidRPr="005B7458" w:rsidRDefault="00E17649" w:rsidP="00E17649">
      <w:pPr>
        <w:tabs>
          <w:tab w:val="left" w:pos="567"/>
        </w:tabs>
        <w:spacing w:line="360" w:lineRule="auto"/>
        <w:ind w:left="567" w:right="616"/>
        <w:jc w:val="both"/>
        <w:rPr>
          <w:rFonts w:ascii="Palatino Linotype" w:hAnsi="Palatino Linotype"/>
          <w:b/>
          <w:i/>
          <w:color w:val="000000"/>
        </w:rPr>
      </w:pPr>
    </w:p>
    <w:p w14:paraId="37FC2D3C" w14:textId="3A1FFFA6" w:rsidR="00C26817" w:rsidRPr="005B7458" w:rsidRDefault="00E17649" w:rsidP="00E17649">
      <w:pPr>
        <w:tabs>
          <w:tab w:val="left" w:pos="567"/>
        </w:tabs>
        <w:spacing w:line="360" w:lineRule="auto"/>
        <w:ind w:left="567" w:right="616"/>
        <w:jc w:val="both"/>
        <w:rPr>
          <w:rFonts w:ascii="Palatino Linotype" w:hAnsi="Palatino Linotype"/>
          <w:i/>
          <w:color w:val="000000"/>
        </w:rPr>
      </w:pPr>
      <w:r w:rsidRPr="005B7458">
        <w:rPr>
          <w:rFonts w:ascii="Palatino Linotype" w:hAnsi="Palatino Linotype"/>
          <w:b/>
          <w:i/>
          <w:color w:val="000000"/>
        </w:rPr>
        <w:lastRenderedPageBreak/>
        <w:t xml:space="preserve"> Nombre del titular de una licencia que no involucre el aprovechamiento de bienes, servicios y/o recursos públicos, constituye un dato personal susceptible de clasificar como confidencial.</w:t>
      </w:r>
      <w:r w:rsidRPr="005B7458">
        <w:rPr>
          <w:rFonts w:ascii="Palatino Linotype" w:hAnsi="Palatino Linotype"/>
          <w:i/>
          <w:color w:val="000000"/>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w:t>
      </w:r>
      <w:r w:rsidRPr="005B7458">
        <w:rPr>
          <w:rFonts w:ascii="Palatino Linotype" w:hAnsi="Palatino Linotype"/>
          <w:i/>
          <w:color w:val="000000"/>
        </w:rPr>
        <w:lastRenderedPageBreak/>
        <w:t>materia, y para su publicidad se requerirá que la expedición de la licencia correspondiente involucre el aprovechamiento de bienes, servicios y/o recursos públicos, caso contrario se deberá clasificar como confidencial.</w:t>
      </w:r>
    </w:p>
    <w:p w14:paraId="573BEFF6" w14:textId="77777777" w:rsidR="00FC6133" w:rsidRPr="005B7458" w:rsidRDefault="00FC6133" w:rsidP="00E17649">
      <w:pPr>
        <w:tabs>
          <w:tab w:val="left" w:pos="567"/>
        </w:tabs>
        <w:spacing w:line="360" w:lineRule="auto"/>
        <w:ind w:left="567" w:right="616"/>
        <w:jc w:val="both"/>
        <w:rPr>
          <w:rFonts w:ascii="Palatino Linotype" w:hAnsi="Palatino Linotype"/>
          <w:b/>
          <w:i/>
          <w:color w:val="000000"/>
        </w:rPr>
      </w:pPr>
    </w:p>
    <w:p w14:paraId="22C52860" w14:textId="31BC1414" w:rsidR="00B14987" w:rsidRPr="005B7458" w:rsidRDefault="00FC6133" w:rsidP="00C428D6">
      <w:pPr>
        <w:numPr>
          <w:ilvl w:val="0"/>
          <w:numId w:val="38"/>
        </w:numPr>
        <w:spacing w:after="120" w:line="360" w:lineRule="auto"/>
        <w:ind w:left="0" w:firstLine="0"/>
        <w:contextualSpacing/>
        <w:jc w:val="both"/>
        <w:rPr>
          <w:rFonts w:ascii="Palatino Linotype" w:eastAsia="MS Mincho" w:hAnsi="Palatino Linotype" w:cs="Arial"/>
          <w:color w:val="000000"/>
          <w:lang w:val="es-ES_tradnl"/>
        </w:rPr>
      </w:pPr>
      <w:r w:rsidRPr="005B7458">
        <w:rPr>
          <w:rFonts w:ascii="Palatino Linotype" w:eastAsia="MS Mincho" w:hAnsi="Palatino Linotype"/>
          <w:lang w:val="es-ES_tradnl"/>
        </w:rPr>
        <w:t xml:space="preserve">Por lo tanto, el nombre de particulares que obren en documentos relacionados con la tramitación de licencias que no involucren el aprovechamiento de bienes, servicios y/o recursos públicos deberá clasificarse. </w:t>
      </w:r>
    </w:p>
    <w:p w14:paraId="66839595" w14:textId="23793DEE" w:rsidR="00EA0165" w:rsidRPr="005B7458" w:rsidRDefault="00A272BC" w:rsidP="007D7513">
      <w:pPr>
        <w:pStyle w:val="Ttulo1"/>
        <w:spacing w:line="360" w:lineRule="auto"/>
        <w:rPr>
          <w:rFonts w:ascii="Palatino Linotype" w:eastAsia="MS Mincho" w:hAnsi="Palatino Linotype"/>
          <w:b/>
          <w:color w:val="000000"/>
          <w:sz w:val="24"/>
          <w:szCs w:val="24"/>
          <w:lang w:val="es-ES_tradnl"/>
        </w:rPr>
      </w:pPr>
      <w:bookmarkStart w:id="125" w:name="_Toc97826100"/>
      <w:r w:rsidRPr="005B7458">
        <w:rPr>
          <w:rFonts w:ascii="Palatino Linotype" w:eastAsia="MS Gothic" w:hAnsi="Palatino Linotype"/>
          <w:b/>
          <w:color w:val="auto"/>
          <w:sz w:val="24"/>
          <w:szCs w:val="24"/>
          <w:lang w:val="es-ES_tradnl" w:eastAsia="es-ES_tradnl"/>
        </w:rPr>
        <w:t>SEXTO</w:t>
      </w:r>
      <w:r w:rsidR="008F1049" w:rsidRPr="005B7458">
        <w:rPr>
          <w:rFonts w:ascii="Palatino Linotype" w:eastAsia="MS Gothic" w:hAnsi="Palatino Linotype"/>
          <w:b/>
          <w:color w:val="auto"/>
          <w:sz w:val="24"/>
          <w:szCs w:val="24"/>
          <w:lang w:val="es-ES_tradnl" w:eastAsia="es-ES_tradnl"/>
        </w:rPr>
        <w:t xml:space="preserve">. </w:t>
      </w:r>
      <w:bookmarkStart w:id="126" w:name="_Toc67588008"/>
      <w:bookmarkStart w:id="127" w:name="_Toc68804770"/>
      <w:bookmarkEnd w:id="58"/>
      <w:bookmarkEnd w:id="59"/>
      <w:bookmarkEnd w:id="60"/>
      <w:bookmarkEnd w:id="61"/>
      <w:bookmarkEnd w:id="62"/>
      <w:bookmarkEnd w:id="63"/>
      <w:r w:rsidR="00EA0165" w:rsidRPr="005B7458">
        <w:rPr>
          <w:rFonts w:ascii="Palatino Linotype" w:eastAsia="MS Mincho" w:hAnsi="Palatino Linotype"/>
          <w:b/>
          <w:color w:val="000000"/>
          <w:sz w:val="24"/>
          <w:szCs w:val="24"/>
          <w:lang w:val="es-ES_tradnl"/>
        </w:rPr>
        <w:t>De la decisión.</w:t>
      </w:r>
      <w:bookmarkEnd w:id="125"/>
      <w:bookmarkEnd w:id="126"/>
      <w:bookmarkEnd w:id="127"/>
      <w:r w:rsidR="00EA0165" w:rsidRPr="005B7458">
        <w:rPr>
          <w:rFonts w:ascii="Palatino Linotype" w:eastAsia="MS Mincho" w:hAnsi="Palatino Linotype"/>
          <w:b/>
          <w:color w:val="000000"/>
          <w:sz w:val="24"/>
          <w:szCs w:val="24"/>
          <w:lang w:val="es-ES_tradnl"/>
        </w:rPr>
        <w:t xml:space="preserve"> </w:t>
      </w:r>
    </w:p>
    <w:p w14:paraId="673B635B" w14:textId="15AB935C" w:rsidR="002C1824" w:rsidRPr="005B7458" w:rsidRDefault="002C1824" w:rsidP="002C1824">
      <w:pPr>
        <w:rPr>
          <w:rFonts w:eastAsia="MS Mincho"/>
          <w:lang w:val="es-ES_tradnl"/>
        </w:rPr>
      </w:pPr>
    </w:p>
    <w:p w14:paraId="74EA7B37" w14:textId="46596CAB" w:rsidR="000200EF" w:rsidRPr="005B7458" w:rsidRDefault="00EA0165" w:rsidP="007D7513">
      <w:pPr>
        <w:pStyle w:val="Prrafodelista"/>
        <w:numPr>
          <w:ilvl w:val="0"/>
          <w:numId w:val="38"/>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5B7458">
        <w:rPr>
          <w:rFonts w:ascii="Palatino Linotype" w:hAnsi="Palatino Linotype" w:cs="Tahoma"/>
          <w:lang w:val="es-MX"/>
        </w:rPr>
        <w:t>Con base en todo lo expuesto, y con fundamento en el artículo 186, fracción II</w:t>
      </w:r>
      <w:r w:rsidR="002F750C" w:rsidRPr="005B7458">
        <w:rPr>
          <w:rFonts w:ascii="Palatino Linotype" w:hAnsi="Palatino Linotype" w:cs="Tahoma"/>
          <w:lang w:val="es-MX"/>
        </w:rPr>
        <w:t>I</w:t>
      </w:r>
      <w:r w:rsidRPr="005B7458">
        <w:rPr>
          <w:rFonts w:ascii="Palatino Linotype" w:hAnsi="Palatino Linotype" w:cs="Tahoma"/>
          <w:lang w:val="es-MX"/>
        </w:rPr>
        <w:t>, de la Ley de Transparencia y Acceso a la Información Pública del Estado de México y Municipios, este Instituto considera procedente</w:t>
      </w:r>
      <w:r w:rsidRPr="005B7458">
        <w:rPr>
          <w:rFonts w:ascii="Palatino Linotype" w:hAnsi="Palatino Linotype" w:cs="Tahoma"/>
          <w:b/>
          <w:lang w:val="es-MX"/>
        </w:rPr>
        <w:t xml:space="preserve"> </w:t>
      </w:r>
      <w:r w:rsidR="009F6E82" w:rsidRPr="005B7458">
        <w:rPr>
          <w:rFonts w:ascii="Palatino Linotype" w:hAnsi="Palatino Linotype" w:cs="Tahoma"/>
          <w:b/>
          <w:lang w:val="es-MX"/>
        </w:rPr>
        <w:t>MODIFICAR</w:t>
      </w:r>
      <w:r w:rsidR="0049105B" w:rsidRPr="005B7458">
        <w:rPr>
          <w:rFonts w:ascii="Palatino Linotype" w:hAnsi="Palatino Linotype" w:cs="Tahoma"/>
          <w:b/>
          <w:lang w:val="es-MX"/>
        </w:rPr>
        <w:t xml:space="preserve"> </w:t>
      </w:r>
      <w:r w:rsidR="00FC6133" w:rsidRPr="005B7458">
        <w:rPr>
          <w:rFonts w:ascii="Palatino Linotype" w:hAnsi="Palatino Linotype" w:cs="Tahoma"/>
          <w:lang w:val="es-MX"/>
        </w:rPr>
        <w:t xml:space="preserve">la respuesta otorgada por el </w:t>
      </w:r>
      <w:r w:rsidR="00FC6133" w:rsidRPr="005B7458">
        <w:rPr>
          <w:rFonts w:ascii="Palatino Linotype" w:hAnsi="Palatino Linotype"/>
          <w:b/>
          <w:lang w:val="es-ES_tradnl"/>
        </w:rPr>
        <w:t xml:space="preserve">Ayuntamiento de Huixquilucan </w:t>
      </w:r>
      <w:r w:rsidR="00FC6133" w:rsidRPr="005B7458">
        <w:rPr>
          <w:rFonts w:ascii="Palatino Linotype" w:eastAsia="MS Mincho" w:hAnsi="Palatino Linotype"/>
          <w:lang w:val="es-ES_tradnl"/>
        </w:rPr>
        <w:t xml:space="preserve">y ordenar </w:t>
      </w:r>
      <w:r w:rsidR="007F4FC6" w:rsidRPr="005B7458">
        <w:rPr>
          <w:rFonts w:ascii="Palatino Linotype" w:eastAsia="MS Mincho" w:hAnsi="Palatino Linotype"/>
          <w:lang w:val="es-ES_tradnl"/>
        </w:rPr>
        <w:t xml:space="preserve">la entrega </w:t>
      </w:r>
      <w:r w:rsidR="00B14987" w:rsidRPr="005B7458">
        <w:rPr>
          <w:rFonts w:ascii="Palatino Linotype" w:eastAsia="MS Mincho" w:hAnsi="Palatino Linotype"/>
          <w:lang w:val="es-ES_tradnl"/>
        </w:rPr>
        <w:t xml:space="preserve">de la información solicitada. </w:t>
      </w:r>
    </w:p>
    <w:p w14:paraId="011B21BC" w14:textId="438AFEB0" w:rsidR="002C1824" w:rsidRPr="005B7458" w:rsidRDefault="00EA0165" w:rsidP="002C1824">
      <w:pPr>
        <w:pStyle w:val="Prrafodelista"/>
        <w:numPr>
          <w:ilvl w:val="0"/>
          <w:numId w:val="38"/>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5B7458">
        <w:rPr>
          <w:rFonts w:ascii="Palatino Linotype" w:eastAsia="MS Mincho" w:hAnsi="Palatino Linotype"/>
          <w:color w:val="000000"/>
        </w:rPr>
        <w:t xml:space="preserve">Por lo anteriormente expuesto y fundado, este </w:t>
      </w:r>
      <w:r w:rsidRPr="005B7458">
        <w:rPr>
          <w:rFonts w:ascii="Palatino Linotype" w:eastAsia="MS Mincho" w:hAnsi="Palatino Linotype"/>
          <w:b/>
          <w:bCs/>
          <w:color w:val="000000"/>
        </w:rPr>
        <w:t>ÓRGANO GARANTE</w:t>
      </w:r>
      <w:r w:rsidRPr="005B7458">
        <w:rPr>
          <w:rFonts w:ascii="Palatino Linotype" w:eastAsia="MS Mincho" w:hAnsi="Palatino Linotype"/>
          <w:color w:val="000000"/>
        </w:rPr>
        <w:t xml:space="preserve"> emite los siguientes:</w:t>
      </w:r>
      <w:bookmarkStart w:id="128" w:name="_Toc495427547"/>
      <w:bookmarkStart w:id="129" w:name="_Toc497905366"/>
    </w:p>
    <w:p w14:paraId="364F838A" w14:textId="0C22A33F" w:rsidR="002F750C" w:rsidRPr="005B7458" w:rsidRDefault="00EA0165" w:rsidP="007D7513">
      <w:pPr>
        <w:pStyle w:val="Ttulo1"/>
        <w:spacing w:line="360" w:lineRule="auto"/>
        <w:jc w:val="center"/>
        <w:rPr>
          <w:rFonts w:ascii="Palatino Linotype" w:hAnsi="Palatino Linotype"/>
          <w:b/>
          <w:color w:val="000000" w:themeColor="text1"/>
          <w:sz w:val="24"/>
          <w:szCs w:val="24"/>
          <w:lang w:val="es-ES_tradnl"/>
        </w:rPr>
      </w:pPr>
      <w:bookmarkStart w:id="130" w:name="_Toc97826101"/>
      <w:r w:rsidRPr="005B7458">
        <w:rPr>
          <w:rFonts w:ascii="Palatino Linotype" w:hAnsi="Palatino Linotype"/>
          <w:b/>
          <w:color w:val="000000" w:themeColor="text1"/>
          <w:sz w:val="24"/>
          <w:szCs w:val="24"/>
          <w:lang w:val="es-ES_tradnl"/>
        </w:rPr>
        <w:t>R E S O L U T I V O S</w:t>
      </w:r>
      <w:bookmarkEnd w:id="64"/>
      <w:bookmarkEnd w:id="65"/>
      <w:bookmarkEnd w:id="128"/>
      <w:bookmarkEnd w:id="129"/>
      <w:bookmarkEnd w:id="130"/>
    </w:p>
    <w:p w14:paraId="7434775D" w14:textId="77777777" w:rsidR="00985D90" w:rsidRPr="005B7458" w:rsidRDefault="00985D90" w:rsidP="007D7513">
      <w:pPr>
        <w:spacing w:line="360" w:lineRule="auto"/>
        <w:rPr>
          <w:rFonts w:ascii="Palatino Linotype" w:eastAsiaTheme="minorEastAsia" w:hAnsi="Palatino Linotype"/>
          <w:lang w:val="es-ES_tradnl"/>
        </w:rPr>
      </w:pPr>
    </w:p>
    <w:p w14:paraId="69D049B8" w14:textId="1F5A2D32" w:rsidR="00F85D73" w:rsidRPr="005B7458" w:rsidRDefault="002F750C" w:rsidP="007D7513">
      <w:pPr>
        <w:spacing w:line="360" w:lineRule="auto"/>
        <w:jc w:val="both"/>
        <w:rPr>
          <w:rFonts w:ascii="Palatino Linotype" w:eastAsiaTheme="minorEastAsia" w:hAnsi="Palatino Linotype" w:cs="Arial"/>
          <w:bCs/>
          <w:lang w:val="es-ES_tradnl"/>
        </w:rPr>
      </w:pPr>
      <w:r w:rsidRPr="005B7458">
        <w:rPr>
          <w:rFonts w:ascii="Palatino Linotype" w:hAnsi="Palatino Linotype" w:cs="Arial"/>
          <w:b/>
          <w:lang w:val="es-ES_tradnl"/>
        </w:rPr>
        <w:t xml:space="preserve">PRIMERO. </w:t>
      </w:r>
      <w:r w:rsidRPr="005B7458">
        <w:rPr>
          <w:rFonts w:ascii="Palatino Linotype" w:hAnsi="Palatino Linotype" w:cs="Arial"/>
          <w:lang w:val="es-ES_tradnl"/>
        </w:rPr>
        <w:t>Resultan</w:t>
      </w:r>
      <w:r w:rsidR="00B14987" w:rsidRPr="005B7458">
        <w:rPr>
          <w:rFonts w:ascii="Palatino Linotype" w:hAnsi="Palatino Linotype" w:cs="Arial"/>
          <w:lang w:val="es-ES_tradnl"/>
        </w:rPr>
        <w:t xml:space="preserve"> </w:t>
      </w:r>
      <w:r w:rsidRPr="005B7458">
        <w:rPr>
          <w:rFonts w:ascii="Palatino Linotype" w:hAnsi="Palatino Linotype" w:cs="Arial"/>
          <w:lang w:val="es-ES_tradnl"/>
        </w:rPr>
        <w:t>fundadas las</w:t>
      </w:r>
      <w:r w:rsidRPr="005B7458">
        <w:rPr>
          <w:rFonts w:ascii="Palatino Linotype" w:hAnsi="Palatino Linotype" w:cs="Arial"/>
          <w:b/>
          <w:lang w:val="es-ES_tradnl"/>
        </w:rPr>
        <w:t xml:space="preserve"> </w:t>
      </w:r>
      <w:r w:rsidRPr="005B7458">
        <w:rPr>
          <w:rFonts w:ascii="Palatino Linotype" w:hAnsi="Palatino Linotype" w:cs="Arial"/>
          <w:lang w:val="es-ES_tradnl"/>
        </w:rPr>
        <w:t xml:space="preserve">razones y motivos de inconformidad hechos valer </w:t>
      </w:r>
      <w:r w:rsidRPr="005B7458">
        <w:rPr>
          <w:rFonts w:ascii="Palatino Linotype" w:eastAsia="Calibri" w:hAnsi="Palatino Linotype" w:cs="Arial"/>
          <w:lang w:val="es-ES_tradnl"/>
        </w:rPr>
        <w:t>en el recurso de revisión</w:t>
      </w:r>
      <w:r w:rsidR="00617FEB" w:rsidRPr="005B7458">
        <w:rPr>
          <w:rFonts w:ascii="Palatino Linotype" w:eastAsia="Calibri" w:hAnsi="Palatino Linotype" w:cs="Arial"/>
          <w:lang w:val="es-ES_tradnl"/>
        </w:rPr>
        <w:t xml:space="preserve"> </w:t>
      </w:r>
      <w:r w:rsidR="00617FEB" w:rsidRPr="005B7458">
        <w:rPr>
          <w:rFonts w:ascii="Palatino Linotype" w:eastAsia="Calibri" w:hAnsi="Palatino Linotype" w:cs="Arial"/>
          <w:b/>
          <w:lang w:val="es-ES_tradnl"/>
        </w:rPr>
        <w:t>05103/INFOEM/IP/RR/2021</w:t>
      </w:r>
      <w:r w:rsidRPr="005B7458">
        <w:rPr>
          <w:rFonts w:ascii="Palatino Linotype" w:eastAsiaTheme="minorEastAsia" w:hAnsi="Palatino Linotype" w:cs="Arial"/>
          <w:b/>
          <w:bCs/>
          <w:lang w:val="es-ES_tradnl"/>
        </w:rPr>
        <w:t xml:space="preserve">, </w:t>
      </w:r>
      <w:r w:rsidR="00B95CDD" w:rsidRPr="005B7458">
        <w:rPr>
          <w:rFonts w:ascii="Palatino Linotype" w:eastAsiaTheme="minorEastAsia" w:hAnsi="Palatino Linotype" w:cs="Arial"/>
          <w:bCs/>
          <w:lang w:val="es-ES_tradnl"/>
        </w:rPr>
        <w:t>en términos del</w:t>
      </w:r>
      <w:r w:rsidR="0077107A" w:rsidRPr="005B7458">
        <w:rPr>
          <w:rFonts w:ascii="Palatino Linotype" w:eastAsiaTheme="minorEastAsia" w:hAnsi="Palatino Linotype" w:cs="Arial"/>
          <w:bCs/>
          <w:lang w:val="es-ES_tradnl"/>
        </w:rPr>
        <w:t xml:space="preserve"> </w:t>
      </w:r>
      <w:r w:rsidRPr="005B7458">
        <w:rPr>
          <w:rFonts w:ascii="Palatino Linotype" w:eastAsiaTheme="minorEastAsia" w:hAnsi="Palatino Linotype" w:cs="Arial"/>
          <w:b/>
          <w:bCs/>
          <w:lang w:val="es-ES_tradnl"/>
        </w:rPr>
        <w:t>Considerando</w:t>
      </w:r>
      <w:r w:rsidR="00F86921" w:rsidRPr="005B7458">
        <w:rPr>
          <w:rFonts w:ascii="Palatino Linotype" w:eastAsiaTheme="minorEastAsia" w:hAnsi="Palatino Linotype" w:cs="Arial"/>
          <w:b/>
          <w:bCs/>
          <w:lang w:val="es-ES_tradnl"/>
        </w:rPr>
        <w:t>s</w:t>
      </w:r>
      <w:r w:rsidRPr="005B7458">
        <w:rPr>
          <w:rFonts w:ascii="Palatino Linotype" w:eastAsiaTheme="minorEastAsia" w:hAnsi="Palatino Linotype" w:cs="Arial"/>
          <w:bCs/>
          <w:lang w:val="es-ES_tradnl"/>
        </w:rPr>
        <w:t xml:space="preserve"> </w:t>
      </w:r>
      <w:r w:rsidR="00B95CDD" w:rsidRPr="005B7458">
        <w:rPr>
          <w:rFonts w:ascii="Palatino Linotype" w:eastAsiaTheme="minorEastAsia" w:hAnsi="Palatino Linotype" w:cs="Arial"/>
          <w:b/>
          <w:bCs/>
          <w:lang w:val="es-ES_tradnl"/>
        </w:rPr>
        <w:t>CUARTO</w:t>
      </w:r>
      <w:r w:rsidR="00F86921" w:rsidRPr="005B7458">
        <w:rPr>
          <w:rFonts w:ascii="Palatino Linotype" w:eastAsiaTheme="minorEastAsia" w:hAnsi="Palatino Linotype" w:cs="Arial"/>
          <w:b/>
          <w:bCs/>
          <w:lang w:val="es-ES_tradnl"/>
        </w:rPr>
        <w:t xml:space="preserve"> y QUINTO</w:t>
      </w:r>
      <w:r w:rsidRPr="005B7458">
        <w:rPr>
          <w:rFonts w:ascii="Palatino Linotype" w:eastAsiaTheme="minorEastAsia" w:hAnsi="Palatino Linotype" w:cs="Arial"/>
          <w:b/>
          <w:bCs/>
          <w:lang w:val="es-ES_tradnl"/>
        </w:rPr>
        <w:t xml:space="preserve"> </w:t>
      </w:r>
      <w:r w:rsidRPr="005B7458">
        <w:rPr>
          <w:rFonts w:ascii="Palatino Linotype" w:eastAsiaTheme="minorEastAsia" w:hAnsi="Palatino Linotype" w:cs="Arial"/>
          <w:bCs/>
          <w:lang w:val="es-ES_tradnl"/>
        </w:rPr>
        <w:t>de la presente resolución.</w:t>
      </w:r>
    </w:p>
    <w:p w14:paraId="4F573C02" w14:textId="75E507B2" w:rsidR="00B74573" w:rsidRPr="005B7458" w:rsidRDefault="00985D90" w:rsidP="007D7513">
      <w:pPr>
        <w:spacing w:before="240" w:line="360" w:lineRule="auto"/>
        <w:jc w:val="both"/>
        <w:rPr>
          <w:rFonts w:ascii="Palatino Linotype" w:eastAsia="MS Mincho" w:hAnsi="Palatino Linotype" w:cs="Arial"/>
          <w:lang w:val="es-MX"/>
        </w:rPr>
      </w:pPr>
      <w:bookmarkStart w:id="131" w:name="_Toc477891768"/>
      <w:bookmarkStart w:id="132" w:name="_Toc477891858"/>
      <w:bookmarkStart w:id="133" w:name="_Toc481576259"/>
      <w:bookmarkStart w:id="134" w:name="_Toc492590391"/>
      <w:bookmarkStart w:id="135" w:name="_Toc462653937"/>
      <w:bookmarkStart w:id="136" w:name="_Toc453696502"/>
      <w:bookmarkStart w:id="137" w:name="_Toc454301155"/>
      <w:r w:rsidRPr="005B7458">
        <w:rPr>
          <w:rFonts w:ascii="Palatino Linotype" w:eastAsiaTheme="minorEastAsia" w:hAnsi="Palatino Linotype" w:cstheme="minorBidi"/>
          <w:b/>
          <w:lang w:val="es-ES_tradnl"/>
        </w:rPr>
        <w:t>SEGUNDO.</w:t>
      </w:r>
      <w:r w:rsidRPr="005B7458">
        <w:rPr>
          <w:rFonts w:ascii="Palatino Linotype" w:eastAsiaTheme="majorEastAsia" w:hAnsi="Palatino Linotype" w:cstheme="majorBidi"/>
          <w:b/>
          <w:color w:val="365F91" w:themeColor="accent1" w:themeShade="BF"/>
          <w:lang w:val="es-MX" w:eastAsia="en-US"/>
        </w:rPr>
        <w:t xml:space="preserve"> </w:t>
      </w:r>
      <w:bookmarkEnd w:id="131"/>
      <w:bookmarkEnd w:id="132"/>
      <w:bookmarkEnd w:id="133"/>
      <w:bookmarkEnd w:id="134"/>
      <w:bookmarkEnd w:id="135"/>
      <w:bookmarkEnd w:id="136"/>
      <w:bookmarkEnd w:id="137"/>
      <w:r w:rsidRPr="005B7458">
        <w:rPr>
          <w:rFonts w:ascii="Palatino Linotype" w:eastAsia="Calibri" w:hAnsi="Palatino Linotype" w:cs="Arial"/>
          <w:lang w:val="es-ES_tradnl"/>
        </w:rPr>
        <w:t>Se</w:t>
      </w:r>
      <w:r w:rsidR="00B95CDD" w:rsidRPr="005B7458">
        <w:rPr>
          <w:rFonts w:ascii="Palatino Linotype" w:eastAsia="Calibri" w:hAnsi="Palatino Linotype" w:cs="Arial"/>
          <w:b/>
          <w:lang w:val="es-ES_tradnl"/>
        </w:rPr>
        <w:t xml:space="preserve"> MODIFICA</w:t>
      </w:r>
      <w:r w:rsidR="009015DD" w:rsidRPr="005B7458">
        <w:rPr>
          <w:rFonts w:ascii="Palatino Linotype" w:eastAsia="Calibri" w:hAnsi="Palatino Linotype" w:cs="Arial"/>
          <w:b/>
          <w:lang w:val="es-ES_tradnl"/>
        </w:rPr>
        <w:t xml:space="preserve"> </w:t>
      </w:r>
      <w:r w:rsidR="00617FEB" w:rsidRPr="005B7458">
        <w:rPr>
          <w:rFonts w:ascii="Palatino Linotype" w:eastAsia="Calibri" w:hAnsi="Palatino Linotype" w:cs="Arial"/>
          <w:lang w:val="es-ES_tradnl"/>
        </w:rPr>
        <w:t xml:space="preserve">la respuesta emitida por el </w:t>
      </w:r>
      <w:r w:rsidR="00A672BA" w:rsidRPr="005B7458">
        <w:rPr>
          <w:rFonts w:ascii="Palatino Linotype" w:eastAsia="Calibri" w:hAnsi="Palatino Linotype" w:cs="Arial"/>
          <w:b/>
          <w:bCs/>
        </w:rPr>
        <w:t>Ayuntamiento de Huixquilucan</w:t>
      </w:r>
      <w:r w:rsidR="00A672BA" w:rsidRPr="005B7458">
        <w:rPr>
          <w:rFonts w:ascii="Palatino Linotype" w:eastAsia="Calibri" w:hAnsi="Palatino Linotype" w:cs="Arial"/>
          <w:lang w:val="es-ES_tradnl"/>
        </w:rPr>
        <w:t xml:space="preserve"> </w:t>
      </w:r>
      <w:r w:rsidR="00617FEB" w:rsidRPr="005B7458">
        <w:rPr>
          <w:rFonts w:ascii="Palatino Linotype" w:eastAsia="Calibri" w:hAnsi="Palatino Linotype" w:cs="Arial"/>
          <w:lang w:val="es-ES_tradnl"/>
        </w:rPr>
        <w:t xml:space="preserve">y </w:t>
      </w:r>
      <w:r w:rsidRPr="005B7458">
        <w:rPr>
          <w:rFonts w:ascii="Palatino Linotype" w:eastAsia="Calibri" w:hAnsi="Palatino Linotype" w:cs="Arial"/>
          <w:lang w:val="es-ES_tradnl"/>
        </w:rPr>
        <w:t>se</w:t>
      </w:r>
      <w:r w:rsidRPr="005B7458">
        <w:rPr>
          <w:rFonts w:ascii="Palatino Linotype" w:eastAsia="Calibri" w:hAnsi="Palatino Linotype" w:cs="Arial"/>
          <w:b/>
          <w:lang w:val="es-ES_tradnl"/>
        </w:rPr>
        <w:t xml:space="preserve"> ORDENA </w:t>
      </w:r>
      <w:r w:rsidRPr="005B7458">
        <w:rPr>
          <w:rFonts w:ascii="Palatino Linotype" w:hAnsi="Palatino Linotype" w:cs="Arial"/>
          <w:lang w:val="es-ES_tradnl"/>
        </w:rPr>
        <w:t xml:space="preserve">entregar vía Sistema de Acceso a la Información </w:t>
      </w:r>
      <w:r w:rsidRPr="005B7458">
        <w:rPr>
          <w:rFonts w:ascii="Palatino Linotype" w:hAnsi="Palatino Linotype" w:cs="Arial"/>
          <w:lang w:val="es-ES_tradnl"/>
        </w:rPr>
        <w:lastRenderedPageBreak/>
        <w:t xml:space="preserve">Mexiquense </w:t>
      </w:r>
      <w:r w:rsidR="0077107A" w:rsidRPr="005B7458">
        <w:rPr>
          <w:rFonts w:ascii="Palatino Linotype" w:hAnsi="Palatino Linotype" w:cs="Arial"/>
          <w:b/>
          <w:lang w:val="es-ES_tradnl"/>
        </w:rPr>
        <w:t>(SAIMEX)</w:t>
      </w:r>
      <w:r w:rsidR="0049105B" w:rsidRPr="005B7458">
        <w:rPr>
          <w:rFonts w:ascii="Palatino Linotype" w:eastAsia="MS Mincho" w:hAnsi="Palatino Linotype" w:cs="Arial"/>
          <w:lang w:val="es-MX"/>
        </w:rPr>
        <w:t>,</w:t>
      </w:r>
      <w:r w:rsidR="002D0878" w:rsidRPr="005B7458">
        <w:rPr>
          <w:rFonts w:ascii="Palatino Linotype" w:eastAsia="MS Mincho" w:hAnsi="Palatino Linotype" w:cs="Arial"/>
          <w:lang w:val="es-MX"/>
        </w:rPr>
        <w:t xml:space="preserve"> </w:t>
      </w:r>
      <w:r w:rsidR="000B07E5" w:rsidRPr="005B7458">
        <w:rPr>
          <w:rFonts w:ascii="Palatino Linotype" w:eastAsia="MS Mincho" w:hAnsi="Palatino Linotype" w:cs="Arial"/>
          <w:lang w:val="es-MX"/>
        </w:rPr>
        <w:t>en versión pública</w:t>
      </w:r>
      <w:r w:rsidR="00892AF9" w:rsidRPr="005B7458">
        <w:rPr>
          <w:rFonts w:ascii="Palatino Linotype" w:eastAsia="MS Mincho" w:hAnsi="Palatino Linotype" w:cs="Arial"/>
          <w:lang w:val="es-MX"/>
        </w:rPr>
        <w:t xml:space="preserve"> de ser procedente</w:t>
      </w:r>
      <w:r w:rsidR="000B07E5" w:rsidRPr="005B7458">
        <w:rPr>
          <w:rFonts w:ascii="Palatino Linotype" w:eastAsia="MS Mincho" w:hAnsi="Palatino Linotype" w:cs="Arial"/>
          <w:lang w:val="es-MX"/>
        </w:rPr>
        <w:t xml:space="preserve">, </w:t>
      </w:r>
      <w:r w:rsidR="00B14987" w:rsidRPr="005B7458">
        <w:rPr>
          <w:rFonts w:ascii="Palatino Linotype" w:eastAsia="MS Mincho" w:hAnsi="Palatino Linotype" w:cs="Arial"/>
          <w:lang w:val="es-MX"/>
        </w:rPr>
        <w:t>previa búsqueda exhaustiva,</w:t>
      </w:r>
      <w:r w:rsidR="002C1824" w:rsidRPr="005B7458">
        <w:rPr>
          <w:rFonts w:ascii="Palatino Linotype" w:eastAsia="MS Mincho" w:hAnsi="Palatino Linotype" w:cs="Arial"/>
          <w:lang w:val="es-MX"/>
        </w:rPr>
        <w:t xml:space="preserve"> </w:t>
      </w:r>
      <w:r w:rsidR="00B74573" w:rsidRPr="005B7458">
        <w:rPr>
          <w:rFonts w:ascii="Palatino Linotype" w:eastAsia="MS Mincho" w:hAnsi="Palatino Linotype" w:cs="Arial"/>
          <w:lang w:val="es-MX"/>
        </w:rPr>
        <w:t xml:space="preserve">el </w:t>
      </w:r>
      <w:r w:rsidR="00DC36DB" w:rsidRPr="005B7458">
        <w:rPr>
          <w:rFonts w:ascii="Palatino Linotype" w:eastAsia="MS Mincho" w:hAnsi="Palatino Linotype" w:cs="Arial"/>
          <w:lang w:val="es-MX"/>
        </w:rPr>
        <w:t xml:space="preserve">o los </w:t>
      </w:r>
      <w:r w:rsidR="00B74573" w:rsidRPr="005B7458">
        <w:rPr>
          <w:rFonts w:ascii="Palatino Linotype" w:eastAsia="MS Mincho" w:hAnsi="Palatino Linotype" w:cs="Arial"/>
          <w:lang w:val="es-MX"/>
        </w:rPr>
        <w:t>documento</w:t>
      </w:r>
      <w:r w:rsidR="00DC36DB" w:rsidRPr="005B7458">
        <w:rPr>
          <w:rFonts w:ascii="Palatino Linotype" w:eastAsia="MS Mincho" w:hAnsi="Palatino Linotype" w:cs="Arial"/>
          <w:lang w:val="es-MX"/>
        </w:rPr>
        <w:t>s</w:t>
      </w:r>
      <w:r w:rsidR="00B74573" w:rsidRPr="005B7458">
        <w:rPr>
          <w:rFonts w:ascii="Palatino Linotype" w:eastAsia="MS Mincho" w:hAnsi="Palatino Linotype" w:cs="Arial"/>
          <w:lang w:val="es-MX"/>
        </w:rPr>
        <w:t xml:space="preserve"> donde conste</w:t>
      </w:r>
      <w:r w:rsidR="002C1824" w:rsidRPr="005B7458">
        <w:rPr>
          <w:rFonts w:ascii="Palatino Linotype" w:eastAsia="MS Mincho" w:hAnsi="Palatino Linotype" w:cs="Arial"/>
          <w:lang w:val="es-MX"/>
        </w:rPr>
        <w:t xml:space="preserve"> la siguiente </w:t>
      </w:r>
      <w:r w:rsidR="00DC36DB" w:rsidRPr="005B7458">
        <w:rPr>
          <w:rFonts w:ascii="Palatino Linotype" w:eastAsia="MS Mincho" w:hAnsi="Palatino Linotype" w:cs="Arial"/>
          <w:lang w:val="es-MX"/>
        </w:rPr>
        <w:t>información:</w:t>
      </w:r>
    </w:p>
    <w:p w14:paraId="61848A6A" w14:textId="77777777" w:rsidR="00FC6133" w:rsidRPr="005B7458" w:rsidRDefault="00FC6133" w:rsidP="007D7513">
      <w:pPr>
        <w:spacing w:before="240" w:line="360" w:lineRule="auto"/>
        <w:jc w:val="both"/>
        <w:rPr>
          <w:rFonts w:ascii="Palatino Linotype" w:eastAsia="MS Mincho" w:hAnsi="Palatino Linotype" w:cs="Arial"/>
          <w:lang w:val="es-MX"/>
        </w:rPr>
      </w:pPr>
    </w:p>
    <w:p w14:paraId="4E09A0D5" w14:textId="68FF4E0B" w:rsidR="00B74573" w:rsidRPr="005B7458" w:rsidRDefault="00DA37B7" w:rsidP="003836CE">
      <w:pPr>
        <w:pStyle w:val="Prrafodelista"/>
        <w:numPr>
          <w:ilvl w:val="0"/>
          <w:numId w:val="45"/>
        </w:numPr>
        <w:spacing w:after="160" w:line="360" w:lineRule="auto"/>
        <w:ind w:left="851" w:right="616" w:hanging="284"/>
        <w:contextualSpacing/>
        <w:jc w:val="both"/>
        <w:rPr>
          <w:rFonts w:ascii="Palatino Linotype" w:eastAsia="Calibri" w:hAnsi="Palatino Linotype" w:cs="Arial"/>
          <w:b/>
          <w:lang w:val="es-ES_tradnl" w:eastAsia="en-US"/>
        </w:rPr>
      </w:pPr>
      <w:r w:rsidRPr="005B7458">
        <w:rPr>
          <w:rFonts w:ascii="Palatino Linotype" w:eastAsia="Calibri" w:hAnsi="Palatino Linotype" w:cs="Arial"/>
          <w:b/>
          <w:lang w:val="es-ES_tradnl" w:eastAsia="en-US"/>
        </w:rPr>
        <w:t xml:space="preserve">Dictamen </w:t>
      </w:r>
      <w:r w:rsidR="00A672BA" w:rsidRPr="005B7458">
        <w:rPr>
          <w:rFonts w:ascii="Palatino Linotype" w:eastAsia="Calibri" w:hAnsi="Palatino Linotype" w:cs="Arial"/>
          <w:b/>
          <w:lang w:val="es-ES_tradnl" w:eastAsia="en-US"/>
        </w:rPr>
        <w:t>emitido a favor de l</w:t>
      </w:r>
      <w:r w:rsidR="00AE0D9D" w:rsidRPr="005B7458">
        <w:rPr>
          <w:rFonts w:ascii="Palatino Linotype" w:eastAsia="Calibri" w:hAnsi="Palatino Linotype" w:cs="Arial"/>
          <w:b/>
          <w:lang w:val="es-ES_tradnl" w:eastAsia="en-US"/>
        </w:rPr>
        <w:t xml:space="preserve">a unidad económica </w:t>
      </w:r>
      <w:r w:rsidR="00A672BA" w:rsidRPr="005B7458">
        <w:rPr>
          <w:rFonts w:ascii="Palatino Linotype" w:eastAsia="Calibri" w:hAnsi="Palatino Linotype" w:cs="Arial"/>
          <w:b/>
          <w:lang w:val="es-ES_tradnl" w:eastAsia="en-US"/>
        </w:rPr>
        <w:t>referida por el particular</w:t>
      </w:r>
      <w:r w:rsidR="00AE0D9D" w:rsidRPr="005B7458">
        <w:rPr>
          <w:rFonts w:ascii="Palatino Linotype" w:eastAsia="Calibri" w:hAnsi="Palatino Linotype" w:cs="Arial"/>
          <w:b/>
          <w:lang w:val="es-ES_tradnl" w:eastAsia="en-US"/>
        </w:rPr>
        <w:t xml:space="preserve"> en la solicitud de información mediante </w:t>
      </w:r>
      <w:r w:rsidR="006C7674" w:rsidRPr="005B7458">
        <w:rPr>
          <w:rFonts w:ascii="Palatino Linotype" w:eastAsia="Calibri" w:hAnsi="Palatino Linotype" w:cs="Arial"/>
          <w:b/>
          <w:lang w:val="es-ES_tradnl" w:eastAsia="en-US"/>
        </w:rPr>
        <w:t xml:space="preserve">el cual se le reconoció </w:t>
      </w:r>
      <w:r w:rsidR="00AE0D9D" w:rsidRPr="005B7458">
        <w:rPr>
          <w:rFonts w:ascii="Palatino Linotype" w:eastAsia="Calibri" w:hAnsi="Palatino Linotype" w:cs="Arial"/>
          <w:b/>
          <w:lang w:val="es-ES_tradnl" w:eastAsia="en-US"/>
        </w:rPr>
        <w:t xml:space="preserve">como de bajo impacto. </w:t>
      </w:r>
      <w:r w:rsidR="00A672BA" w:rsidRPr="005B7458">
        <w:rPr>
          <w:rFonts w:ascii="Palatino Linotype" w:eastAsia="Calibri" w:hAnsi="Palatino Linotype" w:cs="Arial"/>
          <w:b/>
          <w:lang w:val="es-ES_tradnl" w:eastAsia="en-US"/>
        </w:rPr>
        <w:t xml:space="preserve">  </w:t>
      </w:r>
    </w:p>
    <w:p w14:paraId="5D2EDD13" w14:textId="77777777" w:rsidR="003836CE" w:rsidRPr="005B7458" w:rsidRDefault="003836CE" w:rsidP="003836CE">
      <w:pPr>
        <w:pStyle w:val="Prrafodelista"/>
        <w:spacing w:after="160" w:line="360" w:lineRule="auto"/>
        <w:ind w:left="851" w:right="616"/>
        <w:contextualSpacing/>
        <w:jc w:val="both"/>
        <w:rPr>
          <w:rFonts w:ascii="Palatino Linotype" w:eastAsia="Calibri" w:hAnsi="Palatino Linotype" w:cs="Arial"/>
          <w:b/>
          <w:lang w:val="es-ES_tradnl" w:eastAsia="en-US"/>
        </w:rPr>
      </w:pPr>
    </w:p>
    <w:p w14:paraId="294A36DA" w14:textId="0A1380CE" w:rsidR="00B14987" w:rsidRPr="005B7458" w:rsidRDefault="002D0878" w:rsidP="00B74573">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5B7458">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7833DA77" w14:textId="77777777" w:rsidR="00397B04" w:rsidRPr="005B7458" w:rsidRDefault="00397B04" w:rsidP="007D7513">
      <w:pPr>
        <w:shd w:val="clear" w:color="auto" w:fill="FFFFFF"/>
        <w:spacing w:before="240" w:line="360" w:lineRule="auto"/>
        <w:ind w:right="49"/>
        <w:jc w:val="both"/>
        <w:rPr>
          <w:rFonts w:ascii="Palatino Linotype" w:hAnsi="Palatino Linotype" w:cs="Arial"/>
          <w:b/>
          <w:bCs/>
          <w:color w:val="222222"/>
          <w:lang w:val="es-ES_tradnl" w:eastAsia="es-MX"/>
        </w:rPr>
      </w:pPr>
      <w:r w:rsidRPr="005B7458">
        <w:rPr>
          <w:rFonts w:ascii="Palatino Linotype" w:hAnsi="Palatino Linotype" w:cs="Arial"/>
          <w:b/>
          <w:bCs/>
          <w:color w:val="222222"/>
          <w:lang w:val="es-ES_tradnl" w:eastAsia="es-MX"/>
        </w:rPr>
        <w:t xml:space="preserve">TERCERO. </w:t>
      </w:r>
      <w:r w:rsidRPr="005B7458">
        <w:rPr>
          <w:rFonts w:ascii="Palatino Linotype" w:hAnsi="Palatino Linotype" w:cs="Arial"/>
          <w:b/>
          <w:color w:val="222222"/>
          <w:lang w:val="es-ES_tradnl" w:eastAsia="es-MX"/>
        </w:rPr>
        <w:t>Notifíquese</w:t>
      </w:r>
      <w:r w:rsidRPr="005B7458">
        <w:rPr>
          <w:rFonts w:ascii="Palatino Linotype" w:hAnsi="Palatino Linotype" w:cs="Arial"/>
          <w:b/>
          <w:bCs/>
          <w:color w:val="222222"/>
          <w:lang w:val="es-ES_tradnl" w:eastAsia="es-MX"/>
        </w:rPr>
        <w:t xml:space="preserve"> </w:t>
      </w:r>
      <w:r w:rsidRPr="005B7458">
        <w:rPr>
          <w:rFonts w:ascii="Palatino Linotype" w:hAnsi="Palatino Linotype" w:cs="Arial"/>
          <w:color w:val="222222"/>
          <w:lang w:val="es-ES_tradnl" w:eastAsia="es-MX"/>
        </w:rPr>
        <w:t xml:space="preserve">al Titular de la Unidad de Transparencia del </w:t>
      </w:r>
      <w:r w:rsidRPr="005B7458">
        <w:rPr>
          <w:rFonts w:ascii="Palatino Linotype" w:hAnsi="Palatino Linotype" w:cs="Arial"/>
          <w:b/>
          <w:bCs/>
          <w:color w:val="222222"/>
          <w:lang w:val="es-ES_tradnl" w:eastAsia="es-MX"/>
        </w:rPr>
        <w:t>SUJETO OBLIGADO la presente resolución vía Sistema de Acceso a la Información Mexiquense (SAIMEX)</w:t>
      </w:r>
      <w:r w:rsidRPr="005B7458">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7850F6CC" w14:textId="77777777" w:rsidR="00397B04" w:rsidRPr="005B7458" w:rsidRDefault="00397B04" w:rsidP="007D7513">
      <w:pPr>
        <w:shd w:val="clear" w:color="auto" w:fill="FFFFFF"/>
        <w:spacing w:before="240" w:line="360" w:lineRule="auto"/>
        <w:ind w:right="49"/>
        <w:jc w:val="both"/>
        <w:rPr>
          <w:rFonts w:ascii="Palatino Linotype" w:hAnsi="Palatino Linotype" w:cs="Arial"/>
          <w:color w:val="222222"/>
          <w:lang w:val="es-ES_tradnl" w:eastAsia="es-MX"/>
        </w:rPr>
      </w:pPr>
    </w:p>
    <w:p w14:paraId="5518DBC8" w14:textId="77777777" w:rsidR="00397B04" w:rsidRPr="005B7458" w:rsidRDefault="00397B04" w:rsidP="007D7513">
      <w:pPr>
        <w:shd w:val="clear" w:color="auto" w:fill="FFFFFF"/>
        <w:spacing w:line="360" w:lineRule="auto"/>
        <w:jc w:val="both"/>
        <w:rPr>
          <w:rFonts w:ascii="Palatino Linotype" w:eastAsia="MS Mincho" w:hAnsi="Palatino Linotype"/>
          <w:color w:val="000000"/>
          <w:shd w:val="clear" w:color="auto" w:fill="FFFFFF"/>
          <w:lang w:val="es-ES_tradnl"/>
        </w:rPr>
      </w:pPr>
      <w:r w:rsidRPr="005B7458">
        <w:rPr>
          <w:rFonts w:ascii="Palatino Linotype" w:eastAsia="Calibri" w:hAnsi="Palatino Linotype" w:cs="Arial"/>
          <w:b/>
          <w:bCs/>
          <w:color w:val="000000"/>
          <w:lang w:val="es-MX" w:eastAsia="en-US"/>
        </w:rPr>
        <w:t>CUARTO.</w:t>
      </w:r>
      <w:r w:rsidRPr="005B7458">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w:t>
      </w:r>
      <w:r w:rsidRPr="005B7458">
        <w:rPr>
          <w:rFonts w:ascii="Palatino Linotype" w:eastAsia="Calibri" w:hAnsi="Palatino Linotype" w:cs="Arial"/>
          <w:bCs/>
          <w:color w:val="000000"/>
          <w:lang w:val="es-MX" w:eastAsia="en-US"/>
        </w:rPr>
        <w:lastRenderedPageBreak/>
        <w:t>procedente, el Sujeto Obligado de manera fundada y motivada, podrá solicitar una ampliación de plazo para el cumplimiento de la presente resolución.</w:t>
      </w:r>
    </w:p>
    <w:p w14:paraId="35B4623F" w14:textId="77777777" w:rsidR="00397B04" w:rsidRPr="005B7458" w:rsidRDefault="00397B04" w:rsidP="007D7513">
      <w:pPr>
        <w:spacing w:line="360" w:lineRule="auto"/>
        <w:rPr>
          <w:rFonts w:ascii="Palatino Linotype" w:eastAsia="MS Mincho" w:hAnsi="Palatino Linotype"/>
        </w:rPr>
      </w:pPr>
    </w:p>
    <w:p w14:paraId="6429D583" w14:textId="77777777" w:rsidR="00397B04" w:rsidRPr="005B7458" w:rsidRDefault="00397B04" w:rsidP="007D7513">
      <w:pPr>
        <w:shd w:val="clear" w:color="auto" w:fill="FFFFFF"/>
        <w:spacing w:line="360" w:lineRule="auto"/>
        <w:jc w:val="both"/>
        <w:rPr>
          <w:rFonts w:ascii="Palatino Linotype" w:hAnsi="Palatino Linotype"/>
          <w:color w:val="000000" w:themeColor="text1"/>
          <w:lang w:val="es-ES_tradnl"/>
        </w:rPr>
      </w:pPr>
      <w:r w:rsidRPr="005B7458">
        <w:rPr>
          <w:rFonts w:ascii="Palatino Linotype" w:hAnsi="Palatino Linotype" w:cs="Arial"/>
          <w:b/>
          <w:lang w:val="es-ES_tradnl"/>
        </w:rPr>
        <w:t xml:space="preserve">QUINTO. </w:t>
      </w:r>
      <w:r w:rsidRPr="005B7458">
        <w:rPr>
          <w:rFonts w:ascii="Palatino Linotype" w:hAnsi="Palatino Linotype"/>
          <w:b/>
          <w:bCs/>
          <w:color w:val="222222"/>
        </w:rPr>
        <w:t xml:space="preserve">Notifíquese </w:t>
      </w:r>
      <w:r w:rsidRPr="005B7458">
        <w:rPr>
          <w:rFonts w:ascii="Palatino Linotype" w:hAnsi="Palatino Linotype"/>
          <w:bCs/>
          <w:color w:val="222222"/>
        </w:rPr>
        <w:t xml:space="preserve">al </w:t>
      </w:r>
      <w:r w:rsidRPr="005B7458">
        <w:rPr>
          <w:rFonts w:ascii="Palatino Linotype" w:hAnsi="Palatino Linotype"/>
          <w:b/>
          <w:bCs/>
          <w:color w:val="222222"/>
        </w:rPr>
        <w:t>RECURRENTE</w:t>
      </w:r>
      <w:r w:rsidRPr="005B7458">
        <w:rPr>
          <w:rFonts w:ascii="Palatino Linotype" w:hAnsi="Palatino Linotype"/>
          <w:bCs/>
          <w:color w:val="222222"/>
        </w:rPr>
        <w:t xml:space="preserve"> </w:t>
      </w:r>
      <w:r w:rsidRPr="005B7458">
        <w:rPr>
          <w:rFonts w:ascii="Palatino Linotype" w:hAnsi="Palatino Linotype"/>
          <w:lang w:val="es-ES_tradnl"/>
        </w:rPr>
        <w:t xml:space="preserve">la presente resolución vía </w:t>
      </w:r>
      <w:r w:rsidRPr="005B7458">
        <w:rPr>
          <w:rFonts w:ascii="Palatino Linotype" w:hAnsi="Palatino Linotype" w:cs="Arial"/>
          <w:lang w:val="es-ES_tradnl"/>
        </w:rPr>
        <w:t xml:space="preserve">Sistema de Acceso a la Información Mexiquense </w:t>
      </w:r>
      <w:r w:rsidRPr="005B7458">
        <w:rPr>
          <w:rFonts w:ascii="Palatino Linotype" w:hAnsi="Palatino Linotype" w:cs="Arial"/>
          <w:b/>
          <w:lang w:val="es-ES_tradnl"/>
        </w:rPr>
        <w:t>(SAIMEX).</w:t>
      </w:r>
    </w:p>
    <w:p w14:paraId="33F0FF7F" w14:textId="77777777" w:rsidR="00397B04" w:rsidRPr="005B7458" w:rsidRDefault="00397B04" w:rsidP="007D7513">
      <w:pPr>
        <w:shd w:val="clear" w:color="auto" w:fill="FFFFFF"/>
        <w:spacing w:line="360" w:lineRule="auto"/>
        <w:jc w:val="both"/>
        <w:rPr>
          <w:rFonts w:ascii="Palatino Linotype" w:hAnsi="Palatino Linotype"/>
          <w:lang w:val="es-ES_tradnl"/>
        </w:rPr>
      </w:pPr>
    </w:p>
    <w:p w14:paraId="3F867D1C" w14:textId="77777777" w:rsidR="00397B04" w:rsidRPr="005B7458" w:rsidRDefault="00397B04" w:rsidP="007D7513">
      <w:pPr>
        <w:spacing w:line="360" w:lineRule="auto"/>
        <w:jc w:val="both"/>
        <w:rPr>
          <w:rFonts w:ascii="Palatino Linotype" w:hAnsi="Palatino Linotype"/>
          <w:b/>
          <w:lang w:val="es-MX" w:eastAsia="es-MX"/>
        </w:rPr>
      </w:pPr>
      <w:r w:rsidRPr="005B7458">
        <w:rPr>
          <w:rFonts w:ascii="Palatino Linotype" w:eastAsia="MS Mincho" w:hAnsi="Palatino Linotype"/>
          <w:b/>
          <w:lang w:val="es-MX"/>
        </w:rPr>
        <w:t>SEXTO.</w:t>
      </w:r>
      <w:r w:rsidRPr="005B7458">
        <w:rPr>
          <w:rFonts w:ascii="Palatino Linotype" w:eastAsia="MS Mincho" w:hAnsi="Palatino Linotype"/>
          <w:lang w:val="es-MX"/>
        </w:rPr>
        <w:t xml:space="preserve"> </w:t>
      </w:r>
      <w:r w:rsidRPr="005B7458">
        <w:rPr>
          <w:rFonts w:ascii="Palatino Linotype" w:eastAsia="MS Mincho" w:hAnsi="Palatino Linotype"/>
        </w:rPr>
        <w:t xml:space="preserve">Se hace del conocimiento del </w:t>
      </w:r>
      <w:r w:rsidRPr="005B7458">
        <w:rPr>
          <w:rFonts w:ascii="Palatino Linotype" w:eastAsia="MS Mincho" w:hAnsi="Palatino Linotype"/>
          <w:b/>
          <w:bCs/>
        </w:rPr>
        <w:t>RECURRENTE</w:t>
      </w:r>
      <w:r w:rsidRPr="005B7458">
        <w:rPr>
          <w:rFonts w:ascii="Palatino Linotype" w:hAnsi="Palatino Linotype"/>
          <w:bCs/>
          <w:color w:val="222222"/>
          <w:lang w:val="es-ES_tradnl"/>
        </w:rPr>
        <w:t xml:space="preserve"> </w:t>
      </w:r>
      <w:r w:rsidRPr="005B7458">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5B7458">
        <w:rPr>
          <w:rFonts w:ascii="Palatino Linotype" w:eastAsia="MS Mincho" w:hAnsi="Palatino Linotype"/>
          <w:bCs/>
        </w:rPr>
        <w:t>vía juicio de amparo</w:t>
      </w:r>
      <w:r w:rsidRPr="005B7458">
        <w:rPr>
          <w:rFonts w:ascii="Palatino Linotype" w:eastAsia="MS Mincho" w:hAnsi="Palatino Linotype"/>
        </w:rPr>
        <w:t> en los términos de las leyes aplicables.</w:t>
      </w:r>
      <w:r w:rsidRPr="005B7458">
        <w:rPr>
          <w:rFonts w:ascii="Palatino Linotype" w:eastAsia="MS Mincho" w:hAnsi="Palatino Linotype"/>
        </w:rPr>
        <w:tab/>
      </w:r>
      <w:r w:rsidRPr="005B7458">
        <w:rPr>
          <w:rFonts w:ascii="Palatino Linotype" w:hAnsi="Palatino Linotype"/>
          <w:b/>
          <w:lang w:val="es-MX" w:eastAsia="es-MX"/>
        </w:rPr>
        <w:t xml:space="preserve"> </w:t>
      </w:r>
    </w:p>
    <w:p w14:paraId="10EE6ED9" w14:textId="77777777" w:rsidR="005B7458" w:rsidRPr="00624AAD" w:rsidRDefault="005B7458" w:rsidP="005B7458">
      <w:pPr>
        <w:spacing w:before="240" w:after="240" w:line="360" w:lineRule="auto"/>
        <w:ind w:firstLine="1"/>
        <w:jc w:val="both"/>
        <w:rPr>
          <w:rFonts w:ascii="Palatino Linotype" w:hAnsi="Palatino Linotype"/>
        </w:rPr>
      </w:pPr>
      <w:bookmarkStart w:id="138" w:name="_Hlk96506827"/>
      <w:r w:rsidRPr="005B745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r w:rsidRPr="00624AAD">
        <w:rPr>
          <w:rFonts w:ascii="Palatino Linotype" w:hAnsi="Palatino Linotype"/>
        </w:rPr>
        <w:t xml:space="preserve"> </w:t>
      </w:r>
    </w:p>
    <w:bookmarkEnd w:id="138"/>
    <w:p w14:paraId="4453F8E6" w14:textId="0CDC3D99" w:rsidR="00090DE6" w:rsidRPr="007D7513" w:rsidRDefault="00090DE6" w:rsidP="007D7513">
      <w:pPr>
        <w:spacing w:before="240" w:after="240" w:line="360" w:lineRule="auto"/>
        <w:ind w:firstLine="1"/>
        <w:jc w:val="both"/>
        <w:rPr>
          <w:rFonts w:ascii="Palatino Linotype" w:hAnsi="Palatino Linotype"/>
          <w:lang w:val="es-ES_tradnl"/>
        </w:rPr>
      </w:pPr>
    </w:p>
    <w:sectPr w:rsidR="00090DE6" w:rsidRPr="007D7513"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29FC4" w14:textId="77777777" w:rsidR="00A87032" w:rsidRDefault="00A87032" w:rsidP="00C80F8C">
      <w:r>
        <w:separator/>
      </w:r>
    </w:p>
  </w:endnote>
  <w:endnote w:type="continuationSeparator" w:id="0">
    <w:p w14:paraId="1D3478DD" w14:textId="77777777" w:rsidR="00A87032" w:rsidRDefault="00A870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28587509" w:rsidR="003F045C" w:rsidRPr="00817AAB" w:rsidRDefault="003F045C"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A92600">
      <w:rPr>
        <w:rFonts w:ascii="Palatino Linotype" w:hAnsi="Palatino Linotype" w:cs="Arial"/>
        <w:b/>
        <w:bCs/>
        <w:noProof/>
      </w:rPr>
      <w:t>14</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A92600">
      <w:rPr>
        <w:rFonts w:ascii="Palatino Linotype" w:hAnsi="Palatino Linotype" w:cs="Arial"/>
        <w:b/>
        <w:bCs/>
        <w:noProof/>
      </w:rPr>
      <w:t>44</w:t>
    </w:r>
    <w:r w:rsidRPr="00817AAB">
      <w:rPr>
        <w:rFonts w:ascii="Palatino Linotype" w:hAnsi="Palatino Linotype" w:cs="Arial"/>
        <w:b/>
        <w:bCs/>
      </w:rPr>
      <w:fldChar w:fldCharType="end"/>
    </w:r>
  </w:p>
  <w:p w14:paraId="1192A578" w14:textId="77777777" w:rsidR="003F045C" w:rsidRDefault="003F045C" w:rsidP="00935A0D">
    <w:pPr>
      <w:pStyle w:val="Piedepgina"/>
      <w:rPr>
        <w:rFonts w:ascii="Times New Roman" w:hAnsi="Times New Roman" w:cs="Times New Roman"/>
      </w:rPr>
    </w:pPr>
  </w:p>
  <w:p w14:paraId="14A770F8" w14:textId="77777777" w:rsidR="003F045C" w:rsidRDefault="003F045C"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039ED512" w:rsidR="003F045C" w:rsidRDefault="003F045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9260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92600">
      <w:rPr>
        <w:rFonts w:ascii="Arial" w:hAnsi="Arial" w:cs="Arial"/>
        <w:b/>
        <w:bCs/>
        <w:noProof/>
        <w:sz w:val="20"/>
        <w:szCs w:val="20"/>
      </w:rPr>
      <w:t>44</w:t>
    </w:r>
    <w:r>
      <w:rPr>
        <w:rFonts w:ascii="Arial" w:hAnsi="Arial" w:cs="Arial"/>
        <w:b/>
        <w:bCs/>
        <w:sz w:val="20"/>
        <w:szCs w:val="20"/>
      </w:rPr>
      <w:fldChar w:fldCharType="end"/>
    </w:r>
  </w:p>
  <w:p w14:paraId="5D98ABD5" w14:textId="77777777" w:rsidR="003F045C" w:rsidRDefault="003F04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09DCC" w14:textId="77777777" w:rsidR="00A87032" w:rsidRDefault="00A87032" w:rsidP="00C80F8C">
      <w:r>
        <w:separator/>
      </w:r>
    </w:p>
  </w:footnote>
  <w:footnote w:type="continuationSeparator" w:id="0">
    <w:p w14:paraId="6C5DBB4B" w14:textId="77777777" w:rsidR="00A87032" w:rsidRDefault="00A87032" w:rsidP="00C80F8C">
      <w:r>
        <w:continuationSeparator/>
      </w:r>
    </w:p>
  </w:footnote>
  <w:footnote w:id="1">
    <w:p w14:paraId="39D7764F" w14:textId="77777777" w:rsidR="003F045C" w:rsidRDefault="003F045C"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1A8DFF2E" w14:textId="0C0B568A" w:rsidR="003F045C" w:rsidRDefault="003F045C" w:rsidP="009C4F62">
      <w:pPr>
        <w:pStyle w:val="Textonotapie"/>
        <w:jc w:val="both"/>
        <w:rPr>
          <w:lang w:val="es-ES"/>
        </w:rPr>
      </w:pPr>
      <w:r>
        <w:rPr>
          <w:lang w:val="es-ES"/>
        </w:rPr>
        <w:t>(…)</w:t>
      </w:r>
    </w:p>
    <w:p w14:paraId="181B869A" w14:textId="42F5E63B" w:rsidR="003F045C" w:rsidRDefault="003F045C" w:rsidP="009C4F62">
      <w:pPr>
        <w:pStyle w:val="Textonotapie"/>
        <w:jc w:val="both"/>
        <w:rPr>
          <w:lang w:val="es-ES"/>
        </w:rPr>
      </w:pPr>
      <w:r>
        <w:rPr>
          <w:lang w:val="es-ES"/>
        </w:rPr>
        <w:t xml:space="preserve">VI. </w:t>
      </w:r>
      <w:r w:rsidRPr="007E6704">
        <w:rPr>
          <w:lang w:val="es-ES"/>
        </w:rPr>
        <w:t>La entrega de información que no corresponda con lo solicitado;</w:t>
      </w:r>
    </w:p>
    <w:p w14:paraId="6E8E4B42" w14:textId="755DA3B2" w:rsidR="003F045C" w:rsidRDefault="003F045C" w:rsidP="009C4F62">
      <w:pPr>
        <w:pStyle w:val="Textonotapie"/>
        <w:jc w:val="both"/>
        <w:rPr>
          <w:lang w:val="es-ES"/>
        </w:rPr>
      </w:pPr>
      <w:r>
        <w:rPr>
          <w:lang w:val="es-ES"/>
        </w:rPr>
        <w:t>(…)</w:t>
      </w:r>
    </w:p>
    <w:p w14:paraId="3EBA8880" w14:textId="5E3164DF" w:rsidR="003F045C" w:rsidRDefault="003F045C" w:rsidP="00A2042B">
      <w:pPr>
        <w:pStyle w:val="Textonotapie"/>
        <w:jc w:val="both"/>
        <w:rPr>
          <w:lang w:val="es-ES"/>
        </w:rPr>
      </w:pPr>
    </w:p>
    <w:p w14:paraId="1867D448" w14:textId="3D0D5CA2" w:rsidR="003F045C" w:rsidRDefault="003F045C" w:rsidP="009C4F62">
      <w:pPr>
        <w:pStyle w:val="Textonotapie"/>
        <w:jc w:val="both"/>
      </w:pPr>
    </w:p>
  </w:footnote>
  <w:footnote w:id="2">
    <w:p w14:paraId="6E57EC4F" w14:textId="77777777" w:rsidR="003F045C" w:rsidRPr="00F5102E" w:rsidRDefault="003F045C"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3F045C" w:rsidRPr="00F5102E" w:rsidRDefault="003F045C" w:rsidP="00C548CF">
      <w:pPr>
        <w:pStyle w:val="Textonotapie"/>
        <w:jc w:val="both"/>
        <w:rPr>
          <w:rFonts w:ascii="Palatino Linotype" w:hAnsi="Palatino Linotype"/>
        </w:rPr>
      </w:pPr>
      <w:r w:rsidRPr="00F5102E">
        <w:rPr>
          <w:rFonts w:ascii="Palatino Linotype" w:hAnsi="Palatino Linotype"/>
        </w:rPr>
        <w:t>(…)</w:t>
      </w:r>
    </w:p>
    <w:p w14:paraId="42D31E86" w14:textId="77777777" w:rsidR="003F045C" w:rsidRPr="00F5102E" w:rsidRDefault="003F045C"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3F045C" w:rsidRPr="00F5102E" w:rsidRDefault="003F045C"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3F045C" w:rsidRDefault="003F045C"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3">
    <w:p w14:paraId="00C3B497" w14:textId="77777777" w:rsidR="003F045C" w:rsidRPr="00AE2E50" w:rsidRDefault="003F045C" w:rsidP="00F904F7">
      <w:pPr>
        <w:jc w:val="both"/>
        <w:rPr>
          <w:rFonts w:ascii="Calibri" w:hAnsi="Calibri"/>
          <w:sz w:val="20"/>
          <w:szCs w:val="20"/>
        </w:rPr>
      </w:pPr>
      <w:r w:rsidRPr="008E7F2E">
        <w:rPr>
          <w:rStyle w:val="Refdenotaalpie"/>
        </w:rPr>
        <w:footnoteRef/>
      </w:r>
      <w:r w:rsidRPr="008E7F2E">
        <w:rPr>
          <w:sz w:val="20"/>
          <w:szCs w:val="20"/>
        </w:rPr>
        <w:t xml:space="preserve"> Las dependencias y entidades no están obligadas</w:t>
      </w:r>
      <w:r w:rsidRPr="00AE2E50">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6EF3AEE3" w14:textId="77777777" w:rsidR="003F045C" w:rsidRPr="00AE2E50" w:rsidRDefault="003F045C" w:rsidP="00F904F7">
      <w:pPr>
        <w:jc w:val="both"/>
        <w:rPr>
          <w:rFonts w:ascii="Calibri" w:hAnsi="Calibri"/>
          <w:i/>
          <w:sz w:val="20"/>
          <w:szCs w:val="20"/>
        </w:rPr>
      </w:pPr>
      <w:r w:rsidRPr="00AE2E50">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4">
    <w:p w14:paraId="158936DA" w14:textId="77777777" w:rsidR="003F045C" w:rsidRPr="00AE2E50" w:rsidRDefault="003F045C" w:rsidP="00F904F7">
      <w:pPr>
        <w:pStyle w:val="Textonotapie"/>
        <w:jc w:val="both"/>
        <w:rPr>
          <w:rFonts w:ascii="Calibri" w:hAnsi="Calibri"/>
          <w:i/>
        </w:rPr>
      </w:pPr>
      <w:r w:rsidRPr="00AE2E50">
        <w:rPr>
          <w:rStyle w:val="Refdenotaalpie"/>
          <w:rFonts w:ascii="Calibri" w:hAnsi="Calibri"/>
        </w:rPr>
        <w:footnoteRef/>
      </w:r>
      <w:r w:rsidRPr="00AE2E50">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AE2E50">
        <w:rPr>
          <w:rFonts w:ascii="Calibri" w:hAnsi="Calibri"/>
          <w:i/>
        </w:rPr>
        <w:t>El derecho de acceso a la información en el marco jurídico interamericano.</w:t>
      </w:r>
      <w:r w:rsidRPr="00AE2E50">
        <w:rPr>
          <w:rFonts w:ascii="Calibri" w:hAnsi="Calibri"/>
        </w:rPr>
        <w:t xml:space="preserve"> 2ª edición, Comisión Interamericana de Derechos Humanos, 2012. Párr. 21.</w:t>
      </w:r>
    </w:p>
  </w:footnote>
  <w:footnote w:id="5">
    <w:p w14:paraId="4EE5ADB0" w14:textId="77777777" w:rsidR="003F045C" w:rsidRPr="00985DD4" w:rsidRDefault="003F045C" w:rsidP="00464C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5C450596" w14:textId="77777777" w:rsidR="003F045C" w:rsidRPr="00985DD4" w:rsidRDefault="003F045C" w:rsidP="00464C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5EF444B9" w14:textId="77777777" w:rsidR="003F045C" w:rsidRPr="00BE13A0" w:rsidRDefault="003F045C" w:rsidP="00464C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6">
    <w:p w14:paraId="5BFD695D" w14:textId="77777777" w:rsidR="003F045C" w:rsidRPr="00985DD4" w:rsidRDefault="003F045C" w:rsidP="00464C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23BFEDCD" w14:textId="77777777" w:rsidR="003F045C" w:rsidRPr="009F19BE" w:rsidRDefault="003F045C" w:rsidP="00464C8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512A339" w14:textId="77777777" w:rsidR="003F045C" w:rsidRPr="009F19BE" w:rsidRDefault="003F045C" w:rsidP="00464C89">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8">
    <w:p w14:paraId="070C7BB5" w14:textId="77777777" w:rsidR="003F045C" w:rsidRPr="009F19BE" w:rsidRDefault="003F045C" w:rsidP="00464C8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9">
    <w:p w14:paraId="04F27280" w14:textId="77777777" w:rsidR="003F045C" w:rsidRPr="00034B44" w:rsidRDefault="003F045C" w:rsidP="00464C8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641F3E43" w14:textId="77777777" w:rsidR="003F045C" w:rsidRPr="00034B44" w:rsidRDefault="003F045C" w:rsidP="00464C8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A47F29" w14:textId="77777777" w:rsidR="003F045C" w:rsidRPr="00034B44" w:rsidRDefault="003F045C" w:rsidP="00464C8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AAF142C" w14:textId="77777777" w:rsidR="003F045C" w:rsidRPr="00034B44" w:rsidRDefault="003F045C" w:rsidP="00464C8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3F045C" w14:paraId="6B4E3B81" w14:textId="77777777" w:rsidTr="00B4299A">
      <w:tc>
        <w:tcPr>
          <w:tcW w:w="2701" w:type="dxa"/>
          <w:vAlign w:val="center"/>
          <w:hideMark/>
        </w:tcPr>
        <w:p w14:paraId="0ABBC6C0" w14:textId="1226DAAF" w:rsidR="003F045C" w:rsidRPr="00B4299A" w:rsidRDefault="003F045C"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DC9582A" w:rsidR="003F045C" w:rsidRPr="00B4299A" w:rsidRDefault="003F045C" w:rsidP="006E011A">
          <w:pPr>
            <w:rPr>
              <w:rFonts w:ascii="Palatino Linotype" w:hAnsi="Palatino Linotype"/>
              <w:b/>
              <w:szCs w:val="22"/>
              <w:lang w:val="es-ES_tradnl"/>
            </w:rPr>
          </w:pPr>
          <w:r w:rsidRPr="00C428D6">
            <w:rPr>
              <w:rFonts w:ascii="Palatino Linotype" w:hAnsi="Palatino Linotype"/>
              <w:b/>
              <w:szCs w:val="22"/>
              <w:lang w:val="es-ES_tradnl"/>
            </w:rPr>
            <w:t>00343/INFOEM/IP/RR/2022</w:t>
          </w:r>
        </w:p>
      </w:tc>
    </w:tr>
    <w:tr w:rsidR="003F045C" w14:paraId="31CB780F" w14:textId="77777777" w:rsidTr="00B4299A">
      <w:trPr>
        <w:trHeight w:val="228"/>
      </w:trPr>
      <w:tc>
        <w:tcPr>
          <w:tcW w:w="2701" w:type="dxa"/>
          <w:vAlign w:val="center"/>
          <w:hideMark/>
        </w:tcPr>
        <w:p w14:paraId="4F49CB4A" w14:textId="6966D32E" w:rsidR="003F045C" w:rsidRPr="00B4299A" w:rsidRDefault="003F045C"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9FCABB7" w:rsidR="003F045C" w:rsidRPr="00B4299A" w:rsidRDefault="003F045C" w:rsidP="00B96D41">
          <w:pPr>
            <w:jc w:val="both"/>
            <w:rPr>
              <w:rFonts w:ascii="Palatino Linotype" w:hAnsi="Palatino Linotype"/>
              <w:b/>
              <w:szCs w:val="22"/>
              <w:lang w:val="es-ES_tradnl"/>
            </w:rPr>
          </w:pPr>
          <w:r w:rsidRPr="00C428D6">
            <w:rPr>
              <w:rFonts w:ascii="Palatino Linotype" w:hAnsi="Palatino Linotype"/>
              <w:b/>
              <w:szCs w:val="22"/>
              <w:lang w:val="es-ES_tradnl"/>
            </w:rPr>
            <w:t>Ayuntamiento de Huixquilucan</w:t>
          </w:r>
        </w:p>
      </w:tc>
    </w:tr>
    <w:tr w:rsidR="003F045C" w14:paraId="69050F56" w14:textId="77777777" w:rsidTr="00B4299A">
      <w:tc>
        <w:tcPr>
          <w:tcW w:w="2701" w:type="dxa"/>
          <w:vAlign w:val="center"/>
          <w:hideMark/>
        </w:tcPr>
        <w:p w14:paraId="65C9B735" w14:textId="75C78F81" w:rsidR="003F045C" w:rsidRPr="00B4299A" w:rsidRDefault="003F045C"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3F045C" w:rsidRPr="00B4299A" w:rsidRDefault="003F045C"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3F045C" w:rsidRDefault="003F045C"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3F045C" w:rsidRDefault="003F045C"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3F045C" w:rsidRDefault="003F045C"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3F045C" w14:paraId="477E149B" w14:textId="77777777" w:rsidTr="00CB57FD">
      <w:trPr>
        <w:trHeight w:val="277"/>
      </w:trPr>
      <w:tc>
        <w:tcPr>
          <w:tcW w:w="2693" w:type="dxa"/>
          <w:vAlign w:val="center"/>
          <w:hideMark/>
        </w:tcPr>
        <w:p w14:paraId="5C0586E4" w14:textId="77777777" w:rsidR="003F045C" w:rsidRPr="009B3353" w:rsidRDefault="003F045C"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0D34E60" w:rsidR="003F045C" w:rsidRPr="009B3353" w:rsidRDefault="003F045C" w:rsidP="00C428D6">
          <w:pPr>
            <w:rPr>
              <w:rFonts w:ascii="Palatino Linotype" w:hAnsi="Palatino Linotype"/>
              <w:b/>
              <w:szCs w:val="22"/>
              <w:lang w:val="es-ES_tradnl"/>
            </w:rPr>
          </w:pPr>
          <w:r w:rsidRPr="00C428D6">
            <w:rPr>
              <w:rFonts w:ascii="Palatino Linotype" w:hAnsi="Palatino Linotype"/>
              <w:b/>
              <w:szCs w:val="22"/>
              <w:lang w:val="es-ES_tradnl"/>
            </w:rPr>
            <w:t>00343/INFOEM/IP/RR/2022</w:t>
          </w:r>
        </w:p>
      </w:tc>
    </w:tr>
    <w:tr w:rsidR="003F045C" w14:paraId="5B5BE21C" w14:textId="77777777" w:rsidTr="00CB57FD">
      <w:tc>
        <w:tcPr>
          <w:tcW w:w="2693" w:type="dxa"/>
          <w:vAlign w:val="center"/>
          <w:hideMark/>
        </w:tcPr>
        <w:p w14:paraId="4AE96902" w14:textId="4E063913" w:rsidR="003F045C" w:rsidRPr="009B3353" w:rsidRDefault="003F045C"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8E454D7" w:rsidR="003F045C" w:rsidRPr="009B3353" w:rsidRDefault="00A92600" w:rsidP="002B7BCC">
          <w:pPr>
            <w:rPr>
              <w:rFonts w:ascii="Palatino Linotype" w:hAnsi="Palatino Linotype"/>
              <w:b/>
              <w:szCs w:val="22"/>
              <w:lang w:val="es-ES_tradnl"/>
            </w:rPr>
          </w:pPr>
          <w:r>
            <w:rPr>
              <w:rFonts w:ascii="Palatino Linotype" w:hAnsi="Palatino Linotype"/>
              <w:b/>
              <w:szCs w:val="22"/>
              <w:lang w:val="es-ES_tradnl"/>
            </w:rPr>
            <w:t>XXXXXX XXXXXXXX XXXXX XXXXXXX</w:t>
          </w:r>
        </w:p>
      </w:tc>
    </w:tr>
    <w:tr w:rsidR="003F045C" w14:paraId="22601A11" w14:textId="77777777" w:rsidTr="00CB57FD">
      <w:trPr>
        <w:trHeight w:val="228"/>
      </w:trPr>
      <w:tc>
        <w:tcPr>
          <w:tcW w:w="2693" w:type="dxa"/>
          <w:vAlign w:val="center"/>
          <w:hideMark/>
        </w:tcPr>
        <w:p w14:paraId="6EFE221D" w14:textId="49C5F800" w:rsidR="003F045C" w:rsidRPr="009B3353" w:rsidRDefault="003F045C"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B33F9AC" w:rsidR="003F045C" w:rsidRPr="009B3353" w:rsidRDefault="003F045C" w:rsidP="00C428D6">
          <w:pPr>
            <w:jc w:val="both"/>
            <w:rPr>
              <w:rFonts w:ascii="Palatino Linotype" w:eastAsia="Calibri" w:hAnsi="Palatino Linotype"/>
              <w:b/>
              <w:szCs w:val="22"/>
              <w:lang w:val="es-MX" w:eastAsia="en-US"/>
            </w:rPr>
          </w:pPr>
          <w:r w:rsidRPr="00C428D6">
            <w:rPr>
              <w:rFonts w:ascii="Palatino Linotype" w:eastAsia="Calibri" w:hAnsi="Palatino Linotype"/>
              <w:b/>
              <w:szCs w:val="22"/>
              <w:lang w:val="es-MX" w:eastAsia="en-US"/>
            </w:rPr>
            <w:t>Ayuntamiento de Huixquilucan</w:t>
          </w:r>
        </w:p>
      </w:tc>
    </w:tr>
    <w:tr w:rsidR="003F045C" w14:paraId="2D6C630E" w14:textId="77777777" w:rsidTr="00CB57FD">
      <w:tc>
        <w:tcPr>
          <w:tcW w:w="2693" w:type="dxa"/>
          <w:vAlign w:val="center"/>
          <w:hideMark/>
        </w:tcPr>
        <w:p w14:paraId="5BD4C6DB" w14:textId="7CF21504" w:rsidR="003F045C" w:rsidRPr="009B3353" w:rsidRDefault="003F045C"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3F045C" w:rsidRPr="009B3353" w:rsidRDefault="003F045C"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3F045C" w:rsidRDefault="003F045C"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21F"/>
    <w:multiLevelType w:val="hybridMultilevel"/>
    <w:tmpl w:val="6E460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706C3"/>
    <w:multiLevelType w:val="hybridMultilevel"/>
    <w:tmpl w:val="5A70F2F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CC199D"/>
    <w:multiLevelType w:val="hybridMultilevel"/>
    <w:tmpl w:val="7B1EB1E2"/>
    <w:lvl w:ilvl="0" w:tplc="1EA63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1F27F8"/>
    <w:multiLevelType w:val="hybridMultilevel"/>
    <w:tmpl w:val="37E48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64B66"/>
    <w:multiLevelType w:val="hybridMultilevel"/>
    <w:tmpl w:val="9E9AE6B6"/>
    <w:lvl w:ilvl="0" w:tplc="5590F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30C54"/>
    <w:multiLevelType w:val="hybridMultilevel"/>
    <w:tmpl w:val="918C26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374AB5"/>
    <w:multiLevelType w:val="hybridMultilevel"/>
    <w:tmpl w:val="E1E2288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1" w15:restartNumberingAfterBreak="0">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3B33C0"/>
    <w:multiLevelType w:val="hybridMultilevel"/>
    <w:tmpl w:val="BC187554"/>
    <w:lvl w:ilvl="0" w:tplc="A3986720">
      <w:start w:val="9"/>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655784"/>
    <w:multiLevelType w:val="hybridMultilevel"/>
    <w:tmpl w:val="A4361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44"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6"/>
  </w:num>
  <w:num w:numId="3">
    <w:abstractNumId w:val="6"/>
  </w:num>
  <w:num w:numId="4">
    <w:abstractNumId w:val="1"/>
  </w:num>
  <w:num w:numId="5">
    <w:abstractNumId w:val="13"/>
  </w:num>
  <w:num w:numId="6">
    <w:abstractNumId w:val="11"/>
  </w:num>
  <w:num w:numId="7">
    <w:abstractNumId w:val="10"/>
  </w:num>
  <w:num w:numId="8">
    <w:abstractNumId w:val="18"/>
  </w:num>
  <w:num w:numId="9">
    <w:abstractNumId w:val="23"/>
  </w:num>
  <w:num w:numId="10">
    <w:abstractNumId w:val="12"/>
  </w:num>
  <w:num w:numId="11">
    <w:abstractNumId w:val="33"/>
  </w:num>
  <w:num w:numId="12">
    <w:abstractNumId w:val="14"/>
  </w:num>
  <w:num w:numId="13">
    <w:abstractNumId w:val="35"/>
  </w:num>
  <w:num w:numId="14">
    <w:abstractNumId w:val="44"/>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2"/>
  </w:num>
  <w:num w:numId="18">
    <w:abstractNumId w:val="5"/>
  </w:num>
  <w:num w:numId="19">
    <w:abstractNumId w:val="16"/>
  </w:num>
  <w:num w:numId="20">
    <w:abstractNumId w:val="41"/>
  </w:num>
  <w:num w:numId="21">
    <w:abstractNumId w:val="8"/>
  </w:num>
  <w:num w:numId="22">
    <w:abstractNumId w:val="37"/>
  </w:num>
  <w:num w:numId="23">
    <w:abstractNumId w:val="34"/>
  </w:num>
  <w:num w:numId="24">
    <w:abstractNumId w:val="22"/>
  </w:num>
  <w:num w:numId="25">
    <w:abstractNumId w:val="27"/>
  </w:num>
  <w:num w:numId="26">
    <w:abstractNumId w:val="38"/>
  </w:num>
  <w:num w:numId="27">
    <w:abstractNumId w:val="29"/>
  </w:num>
  <w:num w:numId="28">
    <w:abstractNumId w:val="39"/>
  </w:num>
  <w:num w:numId="29">
    <w:abstractNumId w:val="24"/>
  </w:num>
  <w:num w:numId="30">
    <w:abstractNumId w:val="26"/>
  </w:num>
  <w:num w:numId="31">
    <w:abstractNumId w:val="4"/>
  </w:num>
  <w:num w:numId="32">
    <w:abstractNumId w:val="15"/>
  </w:num>
  <w:num w:numId="33">
    <w:abstractNumId w:val="2"/>
  </w:num>
  <w:num w:numId="34">
    <w:abstractNumId w:val="31"/>
  </w:num>
  <w:num w:numId="35">
    <w:abstractNumId w:val="30"/>
  </w:num>
  <w:num w:numId="36">
    <w:abstractNumId w:val="17"/>
  </w:num>
  <w:num w:numId="37">
    <w:abstractNumId w:val="40"/>
  </w:num>
  <w:num w:numId="38">
    <w:abstractNumId w:val="28"/>
  </w:num>
  <w:num w:numId="39">
    <w:abstractNumId w:val="20"/>
  </w:num>
  <w:num w:numId="40">
    <w:abstractNumId w:val="0"/>
  </w:num>
  <w:num w:numId="41">
    <w:abstractNumId w:val="42"/>
  </w:num>
  <w:num w:numId="42">
    <w:abstractNumId w:val="21"/>
  </w:num>
  <w:num w:numId="43">
    <w:abstractNumId w:val="19"/>
  </w:num>
  <w:num w:numId="44">
    <w:abstractNumId w:val="3"/>
  </w:num>
  <w:num w:numId="45">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322"/>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6FDC"/>
    <w:rsid w:val="0027702B"/>
    <w:rsid w:val="00277F70"/>
    <w:rsid w:val="00280FF5"/>
    <w:rsid w:val="002817BA"/>
    <w:rsid w:val="00281EF2"/>
    <w:rsid w:val="00282135"/>
    <w:rsid w:val="00282C5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430B"/>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414"/>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36CE"/>
    <w:rsid w:val="00384CD8"/>
    <w:rsid w:val="00387128"/>
    <w:rsid w:val="00392E2B"/>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5DB7"/>
    <w:rsid w:val="003E5F18"/>
    <w:rsid w:val="003E6A2E"/>
    <w:rsid w:val="003E6D0E"/>
    <w:rsid w:val="003F045C"/>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878"/>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724"/>
    <w:rsid w:val="004E585B"/>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747"/>
    <w:rsid w:val="005B1FED"/>
    <w:rsid w:val="005B2F33"/>
    <w:rsid w:val="005B3671"/>
    <w:rsid w:val="005B3B62"/>
    <w:rsid w:val="005B3D93"/>
    <w:rsid w:val="005B6938"/>
    <w:rsid w:val="005B6F32"/>
    <w:rsid w:val="005B7350"/>
    <w:rsid w:val="005B7458"/>
    <w:rsid w:val="005C222C"/>
    <w:rsid w:val="005C299A"/>
    <w:rsid w:val="005C2D60"/>
    <w:rsid w:val="005C3943"/>
    <w:rsid w:val="005C3D2C"/>
    <w:rsid w:val="005C5799"/>
    <w:rsid w:val="005C5929"/>
    <w:rsid w:val="005C637B"/>
    <w:rsid w:val="005C6B17"/>
    <w:rsid w:val="005D19E4"/>
    <w:rsid w:val="005D1DF5"/>
    <w:rsid w:val="005D434A"/>
    <w:rsid w:val="005D45A0"/>
    <w:rsid w:val="005D5A52"/>
    <w:rsid w:val="005D6415"/>
    <w:rsid w:val="005D6831"/>
    <w:rsid w:val="005D7248"/>
    <w:rsid w:val="005D7B7C"/>
    <w:rsid w:val="005E01B6"/>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1DB8"/>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C43"/>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105"/>
    <w:rsid w:val="006C5263"/>
    <w:rsid w:val="006C5282"/>
    <w:rsid w:val="006C60B5"/>
    <w:rsid w:val="006C693D"/>
    <w:rsid w:val="006C7674"/>
    <w:rsid w:val="006C7D68"/>
    <w:rsid w:val="006D07EA"/>
    <w:rsid w:val="006D153C"/>
    <w:rsid w:val="006D16CB"/>
    <w:rsid w:val="006D1A5E"/>
    <w:rsid w:val="006D25FC"/>
    <w:rsid w:val="006D396A"/>
    <w:rsid w:val="006D3F2C"/>
    <w:rsid w:val="006D4327"/>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275"/>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2F9"/>
    <w:rsid w:val="0087173E"/>
    <w:rsid w:val="008718F3"/>
    <w:rsid w:val="0087246B"/>
    <w:rsid w:val="00872487"/>
    <w:rsid w:val="00872D3B"/>
    <w:rsid w:val="00873B3E"/>
    <w:rsid w:val="00874685"/>
    <w:rsid w:val="00874DC9"/>
    <w:rsid w:val="0087561C"/>
    <w:rsid w:val="008762BF"/>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47C"/>
    <w:rsid w:val="00893CC5"/>
    <w:rsid w:val="00893DB2"/>
    <w:rsid w:val="0089436A"/>
    <w:rsid w:val="00894491"/>
    <w:rsid w:val="0089482C"/>
    <w:rsid w:val="00894C0D"/>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188"/>
    <w:rsid w:val="008C4415"/>
    <w:rsid w:val="008C48D5"/>
    <w:rsid w:val="008C4CFE"/>
    <w:rsid w:val="008D033C"/>
    <w:rsid w:val="008D0725"/>
    <w:rsid w:val="008D0B33"/>
    <w:rsid w:val="008D0B48"/>
    <w:rsid w:val="008D0D25"/>
    <w:rsid w:val="008D1526"/>
    <w:rsid w:val="008D2273"/>
    <w:rsid w:val="008D38EE"/>
    <w:rsid w:val="008D4B2A"/>
    <w:rsid w:val="008D70C5"/>
    <w:rsid w:val="008D75E7"/>
    <w:rsid w:val="008E04DE"/>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2732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1A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2BA"/>
    <w:rsid w:val="00A67754"/>
    <w:rsid w:val="00A67ED9"/>
    <w:rsid w:val="00A717E4"/>
    <w:rsid w:val="00A744CF"/>
    <w:rsid w:val="00A757D4"/>
    <w:rsid w:val="00A7641B"/>
    <w:rsid w:val="00A767EF"/>
    <w:rsid w:val="00A76FB1"/>
    <w:rsid w:val="00A77111"/>
    <w:rsid w:val="00A81037"/>
    <w:rsid w:val="00A81140"/>
    <w:rsid w:val="00A81C19"/>
    <w:rsid w:val="00A82448"/>
    <w:rsid w:val="00A8620C"/>
    <w:rsid w:val="00A87032"/>
    <w:rsid w:val="00A8711C"/>
    <w:rsid w:val="00A900E2"/>
    <w:rsid w:val="00A90703"/>
    <w:rsid w:val="00A917E6"/>
    <w:rsid w:val="00A92027"/>
    <w:rsid w:val="00A92600"/>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67D"/>
    <w:rsid w:val="00AC2D4B"/>
    <w:rsid w:val="00AC3EA4"/>
    <w:rsid w:val="00AC3EC5"/>
    <w:rsid w:val="00AC46E5"/>
    <w:rsid w:val="00AC5B93"/>
    <w:rsid w:val="00AC6E31"/>
    <w:rsid w:val="00AC6FA3"/>
    <w:rsid w:val="00AC74AC"/>
    <w:rsid w:val="00AC7ABC"/>
    <w:rsid w:val="00AD1C3D"/>
    <w:rsid w:val="00AD1D3D"/>
    <w:rsid w:val="00AD2277"/>
    <w:rsid w:val="00AD4845"/>
    <w:rsid w:val="00AD5C04"/>
    <w:rsid w:val="00AE013D"/>
    <w:rsid w:val="00AE0D9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241"/>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BF7F2F"/>
    <w:rsid w:val="00C0076A"/>
    <w:rsid w:val="00C0130F"/>
    <w:rsid w:val="00C0590E"/>
    <w:rsid w:val="00C05950"/>
    <w:rsid w:val="00C065CA"/>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376BA"/>
    <w:rsid w:val="00C400E5"/>
    <w:rsid w:val="00C4201F"/>
    <w:rsid w:val="00C420DF"/>
    <w:rsid w:val="00C4284F"/>
    <w:rsid w:val="00C428D6"/>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0E9"/>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509B"/>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7B7"/>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B7ECB"/>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17649"/>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44D7"/>
    <w:rsid w:val="00F97F78"/>
    <w:rsid w:val="00FA0A3A"/>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7E0"/>
    <w:rsid w:val="00FC21B4"/>
    <w:rsid w:val="00FC3122"/>
    <w:rsid w:val="00FC3695"/>
    <w:rsid w:val="00FC43ED"/>
    <w:rsid w:val="00FC5F9B"/>
    <w:rsid w:val="00FC6133"/>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396"/>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97609844">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9043230">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45963.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1334903.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333160.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35C99-4D3A-4B0B-8D6D-BF66F2B2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8665</Words>
  <Characters>49396</Characters>
  <Application>Microsoft Office Word</Application>
  <DocSecurity>0</DocSecurity>
  <Lines>411</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2021-11-30T23:45:00Z</cp:lastPrinted>
  <dcterms:created xsi:type="dcterms:W3CDTF">2022-04-06T06:53:00Z</dcterms:created>
  <dcterms:modified xsi:type="dcterms:W3CDTF">2022-04-06T06:53:00Z</dcterms:modified>
</cp:coreProperties>
</file>