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72F" w:rsidRPr="00720A41" w:rsidRDefault="002032B6">
      <w:pPr>
        <w:spacing w:before="240"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720A41">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veintiocho de septiembre de dos mil veintidós.</w:t>
      </w:r>
    </w:p>
    <w:p w:rsidR="0014272F" w:rsidRPr="00720A41" w:rsidRDefault="0014272F"/>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Visto </w:t>
      </w:r>
      <w:r w:rsidRPr="00720A41">
        <w:rPr>
          <w:rFonts w:ascii="Palatino Linotype" w:eastAsia="Palatino Linotype" w:hAnsi="Palatino Linotype" w:cs="Palatino Linotype"/>
          <w:sz w:val="24"/>
          <w:szCs w:val="24"/>
        </w:rPr>
        <w:t xml:space="preserve">los expedientes relativos a los recurso de revisión </w:t>
      </w:r>
      <w:r w:rsidRPr="00720A41">
        <w:rPr>
          <w:rFonts w:ascii="Palatino Linotype" w:eastAsia="Palatino Linotype" w:hAnsi="Palatino Linotype" w:cs="Palatino Linotype"/>
          <w:b/>
          <w:sz w:val="24"/>
          <w:szCs w:val="24"/>
        </w:rPr>
        <w:t>07374/INFOEM/IP/RR/2022</w:t>
      </w:r>
      <w:r w:rsidRPr="00720A41">
        <w:rPr>
          <w:rFonts w:ascii="Palatino Linotype" w:eastAsia="Palatino Linotype" w:hAnsi="Palatino Linotype" w:cs="Palatino Linotype"/>
          <w:sz w:val="24"/>
          <w:szCs w:val="24"/>
        </w:rPr>
        <w:t xml:space="preserve">, </w:t>
      </w:r>
      <w:r w:rsidRPr="00720A41">
        <w:rPr>
          <w:rFonts w:ascii="Palatino Linotype" w:eastAsia="Palatino Linotype" w:hAnsi="Palatino Linotype" w:cs="Palatino Linotype"/>
          <w:b/>
          <w:sz w:val="24"/>
          <w:szCs w:val="24"/>
        </w:rPr>
        <w:t xml:space="preserve">07375/INFOEM/IP/RR/2022 </w:t>
      </w:r>
      <w:r w:rsidRPr="00720A41">
        <w:rPr>
          <w:rFonts w:ascii="Palatino Linotype" w:eastAsia="Palatino Linotype" w:hAnsi="Palatino Linotype" w:cs="Palatino Linotype"/>
          <w:sz w:val="24"/>
          <w:szCs w:val="24"/>
        </w:rPr>
        <w:t xml:space="preserve"> y </w:t>
      </w:r>
      <w:r w:rsidRPr="00720A41">
        <w:rPr>
          <w:rFonts w:ascii="Palatino Linotype" w:eastAsia="Palatino Linotype" w:hAnsi="Palatino Linotype" w:cs="Palatino Linotype"/>
          <w:b/>
          <w:sz w:val="24"/>
          <w:szCs w:val="24"/>
        </w:rPr>
        <w:t xml:space="preserve">07380/INFOEM/IP/RR/2022 </w:t>
      </w:r>
      <w:r w:rsidRPr="00720A41">
        <w:rPr>
          <w:rFonts w:ascii="Palatino Linotype" w:eastAsia="Palatino Linotype" w:hAnsi="Palatino Linotype" w:cs="Palatino Linotype"/>
          <w:sz w:val="24"/>
          <w:szCs w:val="24"/>
        </w:rPr>
        <w:t xml:space="preserve">interpuestos por un particular de manera anónima, al cual en lo sucesivo se le denominara </w:t>
      </w:r>
      <w:r w:rsidRPr="00720A41">
        <w:rPr>
          <w:rFonts w:ascii="Palatino Linotype" w:eastAsia="Palatino Linotype" w:hAnsi="Palatino Linotype" w:cs="Palatino Linotype"/>
          <w:b/>
          <w:sz w:val="24"/>
          <w:szCs w:val="24"/>
        </w:rPr>
        <w:t>EL RECURRENTE</w:t>
      </w:r>
      <w:r w:rsidRPr="00720A41">
        <w:rPr>
          <w:rFonts w:ascii="Palatino Linotype" w:eastAsia="Palatino Linotype" w:hAnsi="Palatino Linotype" w:cs="Palatino Linotype"/>
          <w:sz w:val="24"/>
          <w:szCs w:val="24"/>
        </w:rPr>
        <w:t xml:space="preserve">, en contra de la respuesta a la solicitud de información con número de folio </w:t>
      </w:r>
      <w:r w:rsidRPr="00720A41">
        <w:rPr>
          <w:rFonts w:ascii="Palatino Linotype" w:eastAsia="Palatino Linotype" w:hAnsi="Palatino Linotype" w:cs="Palatino Linotype"/>
          <w:b/>
          <w:sz w:val="24"/>
          <w:szCs w:val="24"/>
        </w:rPr>
        <w:t>00075/ALMORI/IP/2022, 00076/ALMORI/IP/2022</w:t>
      </w:r>
      <w:r w:rsidRPr="00720A41">
        <w:rPr>
          <w:rFonts w:ascii="Palatino Linotype" w:eastAsia="Palatino Linotype" w:hAnsi="Palatino Linotype" w:cs="Palatino Linotype"/>
          <w:sz w:val="24"/>
          <w:szCs w:val="24"/>
        </w:rPr>
        <w:t xml:space="preserve"> y </w:t>
      </w:r>
      <w:r w:rsidRPr="00720A41">
        <w:rPr>
          <w:rFonts w:ascii="Palatino Linotype" w:eastAsia="Palatino Linotype" w:hAnsi="Palatino Linotype" w:cs="Palatino Linotype"/>
          <w:b/>
          <w:sz w:val="24"/>
          <w:szCs w:val="24"/>
        </w:rPr>
        <w:t xml:space="preserve">00079/ALMORI/IP/2022 </w:t>
      </w:r>
      <w:r w:rsidRPr="00720A41">
        <w:rPr>
          <w:rFonts w:ascii="Palatino Linotype" w:eastAsia="Palatino Linotype" w:hAnsi="Palatino Linotype" w:cs="Palatino Linotype"/>
          <w:sz w:val="24"/>
          <w:szCs w:val="24"/>
        </w:rPr>
        <w:t xml:space="preserve">por parte del Ayuntamiento de Almoloya del Río, en lo sucesivo </w:t>
      </w:r>
      <w:r w:rsidRPr="00720A41">
        <w:rPr>
          <w:rFonts w:ascii="Palatino Linotype" w:eastAsia="Palatino Linotype" w:hAnsi="Palatino Linotype" w:cs="Palatino Linotype"/>
          <w:b/>
          <w:sz w:val="24"/>
          <w:szCs w:val="24"/>
        </w:rPr>
        <w:t>EL</w:t>
      </w:r>
      <w:r w:rsidRPr="00720A41">
        <w:rPr>
          <w:rFonts w:ascii="Palatino Linotype" w:eastAsia="Palatino Linotype" w:hAnsi="Palatino Linotype" w:cs="Palatino Linotype"/>
          <w:sz w:val="24"/>
          <w:szCs w:val="24"/>
        </w:rPr>
        <w:t xml:space="preserve"> </w:t>
      </w:r>
      <w:r w:rsidRPr="00720A41">
        <w:rPr>
          <w:rFonts w:ascii="Palatino Linotype" w:eastAsia="Palatino Linotype" w:hAnsi="Palatino Linotype" w:cs="Palatino Linotype"/>
          <w:b/>
          <w:sz w:val="24"/>
          <w:szCs w:val="24"/>
        </w:rPr>
        <w:t xml:space="preserve">SUJETO OBLIGADO; </w:t>
      </w:r>
      <w:r w:rsidRPr="00720A41">
        <w:rPr>
          <w:rFonts w:ascii="Palatino Linotype" w:eastAsia="Palatino Linotype" w:hAnsi="Palatino Linotype" w:cs="Palatino Linotype"/>
          <w:sz w:val="24"/>
          <w:szCs w:val="24"/>
        </w:rPr>
        <w:t>se procede a dictar la presente resolución, con base en lo siguiente.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center"/>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 xml:space="preserve">A N T E C E D E N T E S   </w:t>
      </w:r>
    </w:p>
    <w:p w:rsidR="0014272F" w:rsidRPr="00720A41" w:rsidRDefault="0014272F">
      <w:pPr>
        <w:spacing w:after="0" w:line="360" w:lineRule="auto"/>
        <w:ind w:right="49"/>
        <w:jc w:val="center"/>
        <w:rPr>
          <w:rFonts w:ascii="Palatino Linotype" w:eastAsia="Palatino Linotype" w:hAnsi="Palatino Linotype" w:cs="Palatino Linotype"/>
          <w:b/>
          <w:sz w:val="24"/>
          <w:szCs w:val="24"/>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1.</w:t>
      </w:r>
      <w:r w:rsidRPr="00720A41">
        <w:rPr>
          <w:rFonts w:ascii="Palatino Linotype" w:eastAsia="Palatino Linotype" w:hAnsi="Palatino Linotype" w:cs="Palatino Linotype"/>
          <w:sz w:val="24"/>
          <w:szCs w:val="24"/>
        </w:rPr>
        <w:t xml:space="preserve"> </w:t>
      </w:r>
      <w:r w:rsidRPr="00720A41">
        <w:rPr>
          <w:rFonts w:ascii="Palatino Linotype" w:eastAsia="Palatino Linotype" w:hAnsi="Palatino Linotype" w:cs="Palatino Linotype"/>
          <w:b/>
          <w:sz w:val="24"/>
          <w:szCs w:val="24"/>
        </w:rPr>
        <w:t xml:space="preserve">SOLICITUDES DE INFORMACIÓN. </w:t>
      </w:r>
      <w:r w:rsidRPr="00720A41">
        <w:rPr>
          <w:rFonts w:ascii="Palatino Linotype" w:eastAsia="Palatino Linotype" w:hAnsi="Palatino Linotype" w:cs="Palatino Linotype"/>
          <w:sz w:val="24"/>
          <w:szCs w:val="24"/>
        </w:rPr>
        <w:t xml:space="preserve">Con fecha cuatro de abril de dos mil veintidós, </w:t>
      </w:r>
      <w:r w:rsidRPr="00720A41">
        <w:rPr>
          <w:rFonts w:ascii="Palatino Linotype" w:eastAsia="Palatino Linotype" w:hAnsi="Palatino Linotype" w:cs="Palatino Linotype"/>
          <w:b/>
          <w:sz w:val="24"/>
          <w:szCs w:val="24"/>
        </w:rPr>
        <w:t>EL RECURRENTE</w:t>
      </w:r>
      <w:r w:rsidRPr="00720A41">
        <w:rPr>
          <w:rFonts w:ascii="Palatino Linotype" w:eastAsia="Palatino Linotype" w:hAnsi="Palatino Linotype" w:cs="Palatino Linotype"/>
          <w:sz w:val="24"/>
          <w:szCs w:val="24"/>
        </w:rPr>
        <w:t>, presentó a través del Sistema de Acceso a la Información Mexiquense (</w:t>
      </w:r>
      <w:r w:rsidRPr="00720A41">
        <w:rPr>
          <w:rFonts w:ascii="Palatino Linotype" w:eastAsia="Palatino Linotype" w:hAnsi="Palatino Linotype" w:cs="Palatino Linotype"/>
          <w:b/>
          <w:sz w:val="24"/>
          <w:szCs w:val="24"/>
        </w:rPr>
        <w:t>SAIMEX)</w:t>
      </w:r>
      <w:r w:rsidRPr="00720A41">
        <w:rPr>
          <w:rFonts w:ascii="Palatino Linotype" w:eastAsia="Palatino Linotype" w:hAnsi="Palatino Linotype" w:cs="Palatino Linotype"/>
          <w:sz w:val="24"/>
          <w:szCs w:val="24"/>
        </w:rPr>
        <w:t xml:space="preserve"> ante </w:t>
      </w:r>
      <w:r w:rsidRPr="00720A41">
        <w:rPr>
          <w:rFonts w:ascii="Palatino Linotype" w:eastAsia="Palatino Linotype" w:hAnsi="Palatino Linotype" w:cs="Palatino Linotype"/>
          <w:b/>
          <w:sz w:val="24"/>
          <w:szCs w:val="24"/>
        </w:rPr>
        <w:t>EL SUJETO OBLIGADO</w:t>
      </w:r>
      <w:r w:rsidRPr="00720A41">
        <w:rPr>
          <w:rFonts w:ascii="Palatino Linotype" w:eastAsia="Palatino Linotype" w:hAnsi="Palatino Linotype" w:cs="Palatino Linotype"/>
          <w:sz w:val="24"/>
          <w:szCs w:val="24"/>
        </w:rPr>
        <w:t>, solicitudes de acceso a la información pública, registradas bajo los números de expediente</w:t>
      </w:r>
      <w:r w:rsidRPr="00720A41">
        <w:rPr>
          <w:rFonts w:ascii="Verdana" w:eastAsia="Verdana" w:hAnsi="Verdana" w:cs="Verdana"/>
          <w:b/>
        </w:rPr>
        <w:t> </w:t>
      </w:r>
      <w:r w:rsidRPr="00720A41">
        <w:rPr>
          <w:rFonts w:ascii="Palatino Linotype" w:eastAsia="Palatino Linotype" w:hAnsi="Palatino Linotype" w:cs="Palatino Linotype"/>
          <w:b/>
          <w:sz w:val="24"/>
          <w:szCs w:val="24"/>
        </w:rPr>
        <w:t>00075/ALMORI/IP/2022, 00076/ALMORI/IP/2022</w:t>
      </w:r>
      <w:r w:rsidRPr="00720A41">
        <w:rPr>
          <w:rFonts w:ascii="Palatino Linotype" w:eastAsia="Palatino Linotype" w:hAnsi="Palatino Linotype" w:cs="Palatino Linotype"/>
          <w:sz w:val="24"/>
          <w:szCs w:val="24"/>
        </w:rPr>
        <w:t xml:space="preserve"> y </w:t>
      </w:r>
      <w:r w:rsidRPr="00720A41">
        <w:rPr>
          <w:rFonts w:ascii="Palatino Linotype" w:eastAsia="Palatino Linotype" w:hAnsi="Palatino Linotype" w:cs="Palatino Linotype"/>
          <w:b/>
          <w:sz w:val="24"/>
          <w:szCs w:val="24"/>
        </w:rPr>
        <w:t xml:space="preserve">00079/ALMORI/IP/2022 </w:t>
      </w:r>
      <w:r w:rsidRPr="00720A41">
        <w:rPr>
          <w:rFonts w:ascii="Palatino Linotype" w:eastAsia="Palatino Linotype" w:hAnsi="Palatino Linotype" w:cs="Palatino Linotype"/>
          <w:sz w:val="24"/>
          <w:szCs w:val="24"/>
        </w:rPr>
        <w:t>mediante la cual solicitó la siguiente información:</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00075/ALMORI/IP/2022</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276" w:lineRule="auto"/>
        <w:ind w:left="709" w:right="758"/>
        <w:jc w:val="both"/>
        <w:rPr>
          <w:rFonts w:ascii="Palatino Linotype" w:eastAsia="Palatino Linotype" w:hAnsi="Palatino Linotype" w:cs="Palatino Linotype"/>
          <w:i/>
        </w:rPr>
      </w:pPr>
      <w:r w:rsidRPr="00720A41">
        <w:rPr>
          <w:rFonts w:ascii="Palatino Linotype" w:eastAsia="Palatino Linotype" w:hAnsi="Palatino Linotype" w:cs="Palatino Linotype"/>
          <w:i/>
        </w:rPr>
        <w:t>“Quiero conocer: A). Nombre de todos los servidores públicos adscritos a la UIPPE o equivalente B). Nombre de todos los servidores públicos adscritos a la Unidad de Transparencia o equivalente C). Nombre de todos los servidores públicos adscritos a la Secretaría Técnica D). CFDI de todos los servidores públicos adscritos a la UIPPE o equivalente E). CFDI de todos los servidores públicos adscritos a la Unidad de Transparencia o equivalente F). CFDI de todos los servidores públicos adscritos a la Secretaría Técnica G). Certificación del titular o encargado de la UIPPE H). Certificación del titular o encargado de la Unidad de Transparencia” (Sic).</w:t>
      </w:r>
    </w:p>
    <w:p w:rsidR="0014272F" w:rsidRPr="00720A41" w:rsidRDefault="0014272F">
      <w:pPr>
        <w:spacing w:after="0" w:line="360" w:lineRule="auto"/>
        <w:ind w:left="709" w:right="758"/>
        <w:jc w:val="both"/>
        <w:rPr>
          <w:rFonts w:ascii="Palatino Linotype" w:eastAsia="Palatino Linotype" w:hAnsi="Palatino Linotype" w:cs="Palatino Linotype"/>
          <w:i/>
        </w:rPr>
      </w:pPr>
    </w:p>
    <w:p w:rsidR="0014272F" w:rsidRPr="00720A41" w:rsidRDefault="002032B6">
      <w:pPr>
        <w:spacing w:after="0" w:line="360" w:lineRule="auto"/>
        <w:ind w:right="49"/>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00076/ALMORI/IP/2022</w:t>
      </w:r>
    </w:p>
    <w:p w:rsidR="0014272F" w:rsidRPr="00720A41" w:rsidRDefault="002032B6">
      <w:pPr>
        <w:spacing w:after="0" w:line="276" w:lineRule="auto"/>
        <w:ind w:left="709" w:right="758"/>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 “Solicito de la actual administración 2022 -2024 a) Nombre completo del titular o encargado de la UIPPE o equivalente b) Nombre completo del titular o encargado de la Unida de transparencia o equivalente” (Sic).</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00079/ALMORI/IP/2022</w:t>
      </w:r>
    </w:p>
    <w:p w:rsidR="0014272F" w:rsidRPr="00720A41" w:rsidRDefault="002032B6">
      <w:pPr>
        <w:spacing w:after="0" w:line="276" w:lineRule="auto"/>
        <w:ind w:left="709" w:right="758"/>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 “Solicito de la actual administración 2022 -2024 a) Nombramiento del titular o encargado de la UIPPE o equivalente b) Nombramiento del titular o encargado de la Unida de transparencia o equivalente” (Sic).</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Modalidad de entrega: A través del </w:t>
      </w:r>
      <w:r w:rsidRPr="00720A41">
        <w:rPr>
          <w:rFonts w:ascii="Palatino Linotype" w:eastAsia="Palatino Linotype" w:hAnsi="Palatino Linotype" w:cs="Palatino Linotype"/>
          <w:b/>
          <w:sz w:val="24"/>
          <w:szCs w:val="24"/>
        </w:rPr>
        <w:t>SAIMEX</w:t>
      </w:r>
      <w:r w:rsidRPr="00720A41">
        <w:rPr>
          <w:rFonts w:ascii="Palatino Linotype" w:eastAsia="Palatino Linotype" w:hAnsi="Palatino Linotype" w:cs="Palatino Linotype"/>
          <w:sz w:val="24"/>
          <w:szCs w:val="24"/>
        </w:rPr>
        <w:t>.</w:t>
      </w:r>
    </w:p>
    <w:p w:rsidR="0014272F" w:rsidRPr="00720A41" w:rsidRDefault="0014272F"/>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2. RESPUESTAS.  </w:t>
      </w:r>
      <w:r w:rsidRPr="00720A41">
        <w:rPr>
          <w:rFonts w:ascii="Palatino Linotype" w:eastAsia="Palatino Linotype" w:hAnsi="Palatino Linotype" w:cs="Palatino Linotype"/>
          <w:sz w:val="24"/>
          <w:szCs w:val="24"/>
        </w:rPr>
        <w:t xml:space="preserve">Con fecha seis y ocho de mayo del dos mil veintidós, </w:t>
      </w:r>
      <w:r w:rsidRPr="00720A41">
        <w:rPr>
          <w:rFonts w:ascii="Palatino Linotype" w:eastAsia="Palatino Linotype" w:hAnsi="Palatino Linotype" w:cs="Palatino Linotype"/>
          <w:b/>
          <w:sz w:val="24"/>
          <w:szCs w:val="24"/>
        </w:rPr>
        <w:t>EL SUJETO OBLIGADO</w:t>
      </w:r>
      <w:r w:rsidRPr="00720A41">
        <w:rPr>
          <w:rFonts w:ascii="Palatino Linotype" w:eastAsia="Palatino Linotype" w:hAnsi="Palatino Linotype" w:cs="Palatino Linotype"/>
          <w:sz w:val="24"/>
          <w:szCs w:val="24"/>
        </w:rPr>
        <w:t xml:space="preserve"> otorgó, a través del SAIMEX, respuestas a las solicitudes de acceso a la información de la siguiente manera:</w:t>
      </w:r>
      <w:r w:rsidRPr="00720A41">
        <w:t xml:space="preserve"> </w:t>
      </w:r>
    </w:p>
    <w:p w:rsidR="0014272F" w:rsidRPr="00720A41" w:rsidRDefault="0014272F">
      <w:pPr>
        <w:spacing w:after="0" w:line="360" w:lineRule="auto"/>
        <w:jc w:val="both"/>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00075/ALMORI/IP/2022</w:t>
      </w:r>
    </w:p>
    <w:p w:rsidR="0014272F" w:rsidRPr="00720A41" w:rsidRDefault="0014272F">
      <w:pPr>
        <w:spacing w:after="0" w:line="360" w:lineRule="auto"/>
        <w:jc w:val="both"/>
      </w:pP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Almoloya del Río, México a 6 de mayo de 2022. C. Sin nombre P R E S E N T E. En atención a la solicitud registrada con el folio 00075/ALMOR/IP/2022, presentada a través de la Plataforma Nacional de Transparencia, en la cual solicita: “Quiero conocer: A). Nombre de todos los servidores públicos adscritos a la UIPPE o equivalente B). Nombre de todos los servidores públicos adscritos a la Unidad de Transparencia o equivalente C). Nombre de todos los servidores públicos adscritos a la Secretaría Técnica D). CFDI de todos los servidores públicos adscritos a la UIPPE o equivalente E). CFDI de todos los servidores públicos adscritos a la Unidad de Transparencia o equivalente F). CFDI de todos los servidores públicos adscritos a la Secretaría Técnica G). Certificación del titular o encargado de la UIPPE H). Certificación del titular o encargado de la Unidad de Transparencia.” Al respecto me permito manifestar: ÚNICO. Que de acuerdo con lo establecido por el artículo 92, 93, 94 y 103 de la Ley de Transparencia y Acceso a la Información Pública del Estado de México y Municipios. Se da contestación: A). N</w:t>
      </w:r>
      <w:r w:rsidRPr="00720A41">
        <w:rPr>
          <w:rFonts w:ascii="Palatino Linotype" w:eastAsia="Palatino Linotype" w:hAnsi="Palatino Linotype" w:cs="Palatino Linotype"/>
          <w:b/>
          <w:i/>
        </w:rPr>
        <w:t>ombre de todos los servidores públicos adscritos a la UIPPE o equivalente</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No hay servidores públicos adscritos al área de la UIPPE.</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B). Nombre de todos los servidores públicos adscritos a la Unidad de Transparencia o equivalente</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No hay servidores públicos adscritos a la Unidad de Transparencia</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C). Nombre de todos los servidores públicos adscritos a la Secretaría Técnica</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No hay adscritos al área</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D). CFDI de todos los servidores públicos adscritos a la UIPPE o equivalente</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No hay adscritos</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E). CFDI de todos los servidores públicos adscritos a la Unidad de Transparencia o equivalente</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No hay adscritos</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F). CFDI de todos los servidores públicos adscritos a la Secretaría Técnica</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 xml:space="preserve">No hay adscritos </w:t>
      </w:r>
      <w:r w:rsidRPr="00720A41">
        <w:rPr>
          <w:rFonts w:ascii="Palatino Linotype" w:eastAsia="Palatino Linotype" w:hAnsi="Palatino Linotype" w:cs="Palatino Linotype"/>
          <w:b/>
          <w:i/>
        </w:rPr>
        <w:t>G). Certificación del titular o encargado de la UIPPE H). Certificación del titular o encargado de la Unidad de Transparencia.</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 xml:space="preserve">De acuerdo al artículo 32 de la Ley orgánica del Estado de México en su fracción V. En su caso, contar con certificación de competencia laboral en la materia del cargo que se </w:t>
      </w:r>
      <w:r w:rsidRPr="00720A41">
        <w:rPr>
          <w:rFonts w:ascii="Palatino Linotype" w:eastAsia="Palatino Linotype" w:hAnsi="Palatino Linotype" w:cs="Palatino Linotype"/>
          <w:i/>
          <w:u w:val="single"/>
        </w:rPr>
        <w:lastRenderedPageBreak/>
        <w:t xml:space="preserve">desempeñará, expedida por institución con reconocimiento de validez oficial. Este requisito podrá acreditarse dentro de los seis meses siguientes a la fecha en que inicien sus funciones. </w:t>
      </w:r>
      <w:r w:rsidRPr="00720A41">
        <w:rPr>
          <w:rFonts w:ascii="Palatino Linotype" w:eastAsia="Palatino Linotype" w:hAnsi="Palatino Linotype" w:cs="Palatino Linotype"/>
          <w:i/>
        </w:rPr>
        <w:t>Sin más por el momento quedo a las órdenes de usted. Atentamente: Ing. Rene Bolaños Armas Titular de Transparencia y Acceso a la Información Publica</w:t>
      </w:r>
    </w:p>
    <w:p w:rsidR="0014272F" w:rsidRPr="00720A41" w:rsidRDefault="002032B6">
      <w:pPr>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ATENTAMENTE</w:t>
      </w:r>
    </w:p>
    <w:p w:rsidR="0014272F" w:rsidRPr="00720A41" w:rsidRDefault="002032B6">
      <w:pPr>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ING. RENÉ BOLAÑOS ARMAS</w:t>
      </w:r>
    </w:p>
    <w:p w:rsidR="0014272F" w:rsidRPr="00720A41" w:rsidRDefault="0014272F">
      <w:pPr>
        <w:spacing w:after="0" w:line="360" w:lineRule="auto"/>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00076/ALMORI/IP/2022</w:t>
      </w:r>
    </w:p>
    <w:p w:rsidR="0014272F" w:rsidRPr="00720A41" w:rsidRDefault="0014272F">
      <w:pPr>
        <w:spacing w:after="0" w:line="360" w:lineRule="auto"/>
        <w:jc w:val="both"/>
      </w:pP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Almoloya del Río, México a 6 de mayo de 2022. C. Sin nombre P R E S E N T E. En atención a la solicitud registrada con el folio 00076/ALMOR/IP/2022, a través de la Plataforma Nacional de Transparencia, en la cual solicita: “Solicito de la actual administración 2022 -2024 a) Nombre completo del titular o encargado de la UIPPE o equivalente b) Nombre completo del titular o encargado de la Unida de transparencia o equivalente” Al respecto me permito manifestar: ÚNICO. Que de acuerdo con lo establecido por el artículo 92, 93, 94 y 103 de la Ley de Transparencia y Acceso a la Información Pública del Estado de México y Municipios: </w:t>
      </w:r>
      <w:r w:rsidRPr="00720A41">
        <w:rPr>
          <w:rFonts w:ascii="Palatino Linotype" w:eastAsia="Palatino Linotype" w:hAnsi="Palatino Linotype" w:cs="Palatino Linotype"/>
          <w:b/>
          <w:i/>
        </w:rPr>
        <w:t>Nombre Completo del Titular de la UIPPE de Almoloya del Río</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1.- Mario Alberto Gutiérrez Torres</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Nombre Completo del Titula de la Unidad de Transparencia de Almoloya del Río</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i/>
          <w:u w:val="single"/>
        </w:rPr>
        <w:t>2.- René Bolaños Armas</w:t>
      </w:r>
      <w:r w:rsidRPr="00720A41">
        <w:rPr>
          <w:rFonts w:ascii="Palatino Linotype" w:eastAsia="Palatino Linotype" w:hAnsi="Palatino Linotype" w:cs="Palatino Linotype"/>
          <w:i/>
        </w:rPr>
        <w:t xml:space="preserve"> Sin más por el momento quedo a sus órdenes. Atentamente: Ing. Rene Bolaños Armas Titular de Transparencia y Acceso a la Información Publica</w:t>
      </w:r>
    </w:p>
    <w:p w:rsidR="0014272F" w:rsidRPr="00720A41" w:rsidRDefault="002032B6">
      <w:pPr>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ATENTAMENTE</w:t>
      </w:r>
    </w:p>
    <w:p w:rsidR="0014272F" w:rsidRPr="00720A41" w:rsidRDefault="002032B6">
      <w:pPr>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ING. RENÉ BOLAÑOS ARMAS</w:t>
      </w:r>
    </w:p>
    <w:p w:rsidR="0014272F" w:rsidRPr="00720A41" w:rsidRDefault="0014272F">
      <w:pPr>
        <w:spacing w:after="0" w:line="360" w:lineRule="auto"/>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00076/ALMORI/IP/2022</w:t>
      </w:r>
    </w:p>
    <w:p w:rsidR="0014272F" w:rsidRPr="00720A41" w:rsidRDefault="0014272F">
      <w:pPr>
        <w:spacing w:after="0" w:line="360" w:lineRule="auto"/>
        <w:jc w:val="both"/>
      </w:pP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Almoloya del Río, México a 6 de mayo de 2022. C. Sin nombre P R E S E N T E. En atención a la solicitud registrada con el folio 00079/ALMOR/IP/2022, presentada a través de la Plataforma Nacional de Transparencia, en la cual solicita: “Solicito de la actual administración 2022 -2024 a) Nombramiento del titular o encargado de la UIPPE o equivalente b) Nombramiento del titular o encargado de la Unida de transparencia o equivalente.” Al respecto me permito manifestar: ÚNICO. Que de acuerdo con lo establecido por el artículo 92, 93, 94 y 103 de la Ley de Transparencia y Acceso a la Información Pública del Estado de México y Municipios. Se da contestación: </w:t>
      </w:r>
      <w:r w:rsidRPr="00720A41">
        <w:rPr>
          <w:rFonts w:ascii="Palatino Linotype" w:eastAsia="Palatino Linotype" w:hAnsi="Palatino Linotype" w:cs="Palatino Linotype"/>
          <w:b/>
          <w:i/>
          <w:u w:val="single"/>
        </w:rPr>
        <w:t>Se envía los nombramientos de los encargados de la UIPPE y Unidad de Transparencia. Se anexa archivo</w:t>
      </w:r>
      <w:r w:rsidRPr="00720A41">
        <w:rPr>
          <w:rFonts w:ascii="Palatino Linotype" w:eastAsia="Palatino Linotype" w:hAnsi="Palatino Linotype" w:cs="Palatino Linotype"/>
          <w:i/>
        </w:rPr>
        <w:t xml:space="preserve"> Sin más por el momento quedo a las órdenes de usted. Atentamente: Ing. Rene Bolaños Armas Titular de Transparencia y Acceso a la Información Publica</w:t>
      </w:r>
    </w:p>
    <w:p w:rsidR="0014272F" w:rsidRPr="00720A41" w:rsidRDefault="002032B6">
      <w:pPr>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ATENTAMENTE</w:t>
      </w:r>
    </w:p>
    <w:p w:rsidR="0014272F" w:rsidRPr="00720A41" w:rsidRDefault="002032B6">
      <w:pPr>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ING. RENÉ BOLAÑOS ARMAS</w:t>
      </w:r>
    </w:p>
    <w:p w:rsidR="0014272F" w:rsidRPr="00720A41" w:rsidRDefault="0014272F">
      <w:pPr>
        <w:spacing w:after="0" w:line="360" w:lineRule="auto"/>
        <w:ind w:left="851" w:right="900"/>
        <w:jc w:val="both"/>
        <w:rPr>
          <w:rFonts w:ascii="Palatino Linotype" w:eastAsia="Palatino Linotype" w:hAnsi="Palatino Linotype" w:cs="Palatino Linotype"/>
          <w:i/>
        </w:rPr>
      </w:pPr>
    </w:p>
    <w:p w:rsidR="0014272F" w:rsidRPr="00720A41" w:rsidRDefault="002032B6">
      <w:pPr>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El Sujeto Obligado adjuntó a su respuesta los siguientes archivos electrónicos:</w:t>
      </w:r>
    </w:p>
    <w:p w:rsidR="0014272F" w:rsidRPr="00720A41" w:rsidRDefault="0054429B">
      <w:pPr>
        <w:spacing w:line="360" w:lineRule="auto"/>
        <w:jc w:val="both"/>
        <w:rPr>
          <w:rFonts w:ascii="Palatino Linotype" w:eastAsia="Palatino Linotype" w:hAnsi="Palatino Linotype" w:cs="Palatino Linotype"/>
          <w:sz w:val="24"/>
          <w:szCs w:val="24"/>
        </w:rPr>
      </w:pPr>
      <w:hyperlink r:id="rId8">
        <w:r w:rsidR="002032B6" w:rsidRPr="00720A41">
          <w:rPr>
            <w:rFonts w:ascii="Palatino Linotype" w:eastAsia="Palatino Linotype" w:hAnsi="Palatino Linotype" w:cs="Palatino Linotype"/>
            <w:b/>
            <w:i/>
            <w:sz w:val="24"/>
            <w:szCs w:val="24"/>
            <w:u w:val="single"/>
          </w:rPr>
          <w:t>Nombramiento de René Bolaños Armas.rar</w:t>
        </w:r>
      </w:hyperlink>
      <w:r w:rsidR="002032B6" w:rsidRPr="00720A41">
        <w:rPr>
          <w:rFonts w:ascii="Palatino Linotype" w:eastAsia="Palatino Linotype" w:hAnsi="Palatino Linotype" w:cs="Palatino Linotype"/>
          <w:i/>
          <w:sz w:val="24"/>
          <w:szCs w:val="24"/>
        </w:rPr>
        <w:t xml:space="preserve">: </w:t>
      </w:r>
      <w:r w:rsidR="002032B6" w:rsidRPr="00720A41">
        <w:rPr>
          <w:rFonts w:ascii="Palatino Linotype" w:eastAsia="Palatino Linotype" w:hAnsi="Palatino Linotype" w:cs="Palatino Linotype"/>
          <w:sz w:val="24"/>
          <w:szCs w:val="24"/>
        </w:rPr>
        <w:t>Nombramiento del Titular de la Unidad de Transparencia:</w:t>
      </w:r>
    </w:p>
    <w:p w:rsidR="0014272F" w:rsidRPr="00720A41" w:rsidRDefault="002032B6">
      <w:pPr>
        <w:jc w:val="center"/>
        <w:rPr>
          <w:rFonts w:ascii="Palatino Linotype" w:eastAsia="Palatino Linotype" w:hAnsi="Palatino Linotype" w:cs="Palatino Linotype"/>
          <w:i/>
          <w:sz w:val="24"/>
          <w:szCs w:val="24"/>
        </w:rPr>
      </w:pPr>
      <w:r w:rsidRPr="00720A41">
        <w:rPr>
          <w:noProof/>
        </w:rPr>
        <w:drawing>
          <wp:inline distT="0" distB="0" distL="0" distR="0">
            <wp:extent cx="4662379" cy="5781350"/>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30041" t="11165" r="31772" b="4646"/>
                    <a:stretch>
                      <a:fillRect/>
                    </a:stretch>
                  </pic:blipFill>
                  <pic:spPr>
                    <a:xfrm>
                      <a:off x="0" y="0"/>
                      <a:ext cx="4662379" cy="5781350"/>
                    </a:xfrm>
                    <a:prstGeom prst="rect">
                      <a:avLst/>
                    </a:prstGeom>
                    <a:ln/>
                  </pic:spPr>
                </pic:pic>
              </a:graphicData>
            </a:graphic>
          </wp:inline>
        </w:drawing>
      </w:r>
    </w:p>
    <w:p w:rsidR="0014272F" w:rsidRPr="00720A41" w:rsidRDefault="0054429B">
      <w:pPr>
        <w:spacing w:line="360" w:lineRule="auto"/>
        <w:jc w:val="both"/>
        <w:rPr>
          <w:rFonts w:ascii="Palatino Linotype" w:eastAsia="Palatino Linotype" w:hAnsi="Palatino Linotype" w:cs="Palatino Linotype"/>
          <w:sz w:val="24"/>
          <w:szCs w:val="24"/>
        </w:rPr>
      </w:pPr>
      <w:hyperlink r:id="rId10">
        <w:r w:rsidR="002032B6" w:rsidRPr="00720A41">
          <w:rPr>
            <w:rFonts w:ascii="Palatino Linotype" w:eastAsia="Palatino Linotype" w:hAnsi="Palatino Linotype" w:cs="Palatino Linotype"/>
            <w:b/>
            <w:i/>
            <w:sz w:val="24"/>
            <w:szCs w:val="24"/>
            <w:u w:val="single"/>
          </w:rPr>
          <w:t>Nombramiento de Mario Alberto Guiterrez Torres.rar</w:t>
        </w:r>
      </w:hyperlink>
      <w:r w:rsidR="002032B6" w:rsidRPr="00720A41">
        <w:rPr>
          <w:rFonts w:ascii="Palatino Linotype" w:eastAsia="Palatino Linotype" w:hAnsi="Palatino Linotype" w:cs="Palatino Linotype"/>
          <w:i/>
          <w:sz w:val="24"/>
          <w:szCs w:val="24"/>
        </w:rPr>
        <w:t xml:space="preserve"> </w:t>
      </w:r>
      <w:r w:rsidR="002032B6" w:rsidRPr="00720A41">
        <w:rPr>
          <w:rFonts w:ascii="Palatino Linotype" w:eastAsia="Palatino Linotype" w:hAnsi="Palatino Linotype" w:cs="Palatino Linotype"/>
          <w:sz w:val="24"/>
          <w:szCs w:val="24"/>
        </w:rPr>
        <w:t xml:space="preserve">Nombramiento del Titular de la Unidad de Información, Planeación, Programación y Evaluación. </w:t>
      </w:r>
    </w:p>
    <w:p w:rsidR="0014272F" w:rsidRPr="00720A41" w:rsidRDefault="002032B6">
      <w:pPr>
        <w:spacing w:line="360" w:lineRule="auto"/>
        <w:jc w:val="center"/>
        <w:rPr>
          <w:rFonts w:ascii="Palatino Linotype" w:eastAsia="Palatino Linotype" w:hAnsi="Palatino Linotype" w:cs="Palatino Linotype"/>
          <w:sz w:val="24"/>
          <w:szCs w:val="24"/>
        </w:rPr>
      </w:pPr>
      <w:r w:rsidRPr="00720A41">
        <w:rPr>
          <w:noProof/>
        </w:rPr>
        <w:drawing>
          <wp:inline distT="0" distB="0" distL="0" distR="0">
            <wp:extent cx="4883421" cy="6093842"/>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30041" t="6337" r="30245" b="5552"/>
                    <a:stretch>
                      <a:fillRect/>
                    </a:stretch>
                  </pic:blipFill>
                  <pic:spPr>
                    <a:xfrm>
                      <a:off x="0" y="0"/>
                      <a:ext cx="4883421" cy="6093842"/>
                    </a:xfrm>
                    <a:prstGeom prst="rect">
                      <a:avLst/>
                    </a:prstGeom>
                    <a:ln/>
                  </pic:spPr>
                </pic:pic>
              </a:graphicData>
            </a:graphic>
          </wp:inline>
        </w:drawing>
      </w:r>
    </w:p>
    <w:p w:rsidR="0014272F" w:rsidRPr="00720A41" w:rsidRDefault="0014272F">
      <w:pPr>
        <w:spacing w:before="240" w:after="240" w:line="360" w:lineRule="auto"/>
        <w:ind w:right="-234"/>
        <w:jc w:val="both"/>
        <w:rPr>
          <w:rFonts w:ascii="Palatino Linotype" w:eastAsia="Palatino Linotype" w:hAnsi="Palatino Linotype" w:cs="Palatino Linotype"/>
          <w:b/>
          <w:sz w:val="24"/>
          <w:szCs w:val="24"/>
        </w:rPr>
      </w:pPr>
    </w:p>
    <w:p w:rsidR="0014272F" w:rsidRPr="00720A41" w:rsidRDefault="002032B6">
      <w:pPr>
        <w:spacing w:before="240" w:after="240" w:line="360" w:lineRule="auto"/>
        <w:ind w:right="-234"/>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3. INTERPOSICION DE LOS RECURSOS DE REVISIÓN. </w:t>
      </w:r>
      <w:r w:rsidRPr="00720A41">
        <w:rPr>
          <w:rFonts w:ascii="Palatino Linotype" w:eastAsia="Palatino Linotype" w:hAnsi="Palatino Linotype" w:cs="Palatino Linotype"/>
          <w:sz w:val="24"/>
          <w:szCs w:val="24"/>
        </w:rPr>
        <w:t>Inconforme con las respuestas del</w:t>
      </w:r>
      <w:r w:rsidRPr="00720A41">
        <w:rPr>
          <w:rFonts w:ascii="Palatino Linotype" w:eastAsia="Palatino Linotype" w:hAnsi="Palatino Linotype" w:cs="Palatino Linotype"/>
          <w:b/>
          <w:sz w:val="24"/>
          <w:szCs w:val="24"/>
        </w:rPr>
        <w:t xml:space="preserve"> SUJETO OBLIGADO, </w:t>
      </w:r>
      <w:r w:rsidRPr="00720A41">
        <w:rPr>
          <w:rFonts w:ascii="Palatino Linotype" w:eastAsia="Palatino Linotype" w:hAnsi="Palatino Linotype" w:cs="Palatino Linotype"/>
          <w:sz w:val="24"/>
          <w:szCs w:val="24"/>
        </w:rPr>
        <w:t>en fecha nueve de mayo de dos mil veintidós</w:t>
      </w:r>
      <w:r w:rsidRPr="00720A41">
        <w:rPr>
          <w:rFonts w:ascii="Palatino Linotype" w:eastAsia="Palatino Linotype" w:hAnsi="Palatino Linotype" w:cs="Palatino Linotype"/>
          <w:b/>
          <w:sz w:val="24"/>
          <w:szCs w:val="24"/>
        </w:rPr>
        <w:t xml:space="preserve">, EL RECURRENTE </w:t>
      </w:r>
      <w:r w:rsidRPr="00720A41">
        <w:rPr>
          <w:rFonts w:ascii="Palatino Linotype" w:eastAsia="Palatino Linotype" w:hAnsi="Palatino Linotype" w:cs="Palatino Linotype"/>
          <w:sz w:val="24"/>
          <w:szCs w:val="24"/>
        </w:rPr>
        <w:t>interpuso los recursos de revisión, los cuales fueron registrados</w:t>
      </w:r>
      <w:r w:rsidRPr="00720A41">
        <w:rPr>
          <w:rFonts w:ascii="Palatino Linotype" w:eastAsia="Palatino Linotype" w:hAnsi="Palatino Linotype" w:cs="Palatino Linotype"/>
          <w:b/>
          <w:sz w:val="24"/>
          <w:szCs w:val="24"/>
        </w:rPr>
        <w:t xml:space="preserve"> </w:t>
      </w:r>
      <w:r w:rsidRPr="00720A41">
        <w:rPr>
          <w:rFonts w:ascii="Palatino Linotype" w:eastAsia="Palatino Linotype" w:hAnsi="Palatino Linotype" w:cs="Palatino Linotype"/>
          <w:sz w:val="24"/>
          <w:szCs w:val="24"/>
        </w:rPr>
        <w:t xml:space="preserve">en el sistema electrónico con los expedientes números </w:t>
      </w:r>
      <w:r w:rsidRPr="00720A41">
        <w:rPr>
          <w:rFonts w:ascii="Palatino Linotype" w:eastAsia="Palatino Linotype" w:hAnsi="Palatino Linotype" w:cs="Palatino Linotype"/>
          <w:b/>
          <w:sz w:val="24"/>
          <w:szCs w:val="24"/>
        </w:rPr>
        <w:t>07374/INFOEM/IP/RR/2022</w:t>
      </w:r>
      <w:r w:rsidRPr="00720A41">
        <w:rPr>
          <w:rFonts w:ascii="Palatino Linotype" w:eastAsia="Palatino Linotype" w:hAnsi="Palatino Linotype" w:cs="Palatino Linotype"/>
          <w:sz w:val="24"/>
          <w:szCs w:val="24"/>
        </w:rPr>
        <w:t xml:space="preserve">, </w:t>
      </w:r>
      <w:r w:rsidRPr="00720A41">
        <w:rPr>
          <w:rFonts w:ascii="Palatino Linotype" w:eastAsia="Palatino Linotype" w:hAnsi="Palatino Linotype" w:cs="Palatino Linotype"/>
          <w:b/>
          <w:sz w:val="24"/>
          <w:szCs w:val="24"/>
        </w:rPr>
        <w:t xml:space="preserve">07375/INFOEM/IP/RR/2022 </w:t>
      </w:r>
      <w:r w:rsidRPr="00720A41">
        <w:rPr>
          <w:rFonts w:ascii="Palatino Linotype" w:eastAsia="Palatino Linotype" w:hAnsi="Palatino Linotype" w:cs="Palatino Linotype"/>
          <w:sz w:val="24"/>
          <w:szCs w:val="24"/>
        </w:rPr>
        <w:t xml:space="preserve">y </w:t>
      </w:r>
      <w:r w:rsidRPr="00720A41">
        <w:rPr>
          <w:rFonts w:ascii="Palatino Linotype" w:eastAsia="Palatino Linotype" w:hAnsi="Palatino Linotype" w:cs="Palatino Linotype"/>
          <w:b/>
          <w:sz w:val="24"/>
          <w:szCs w:val="24"/>
        </w:rPr>
        <w:t>07380/INFOEM/IP/RR/2022</w:t>
      </w:r>
      <w:r w:rsidRPr="00720A41">
        <w:rPr>
          <w:rFonts w:ascii="Palatino Linotype" w:eastAsia="Palatino Linotype" w:hAnsi="Palatino Linotype" w:cs="Palatino Linotype"/>
          <w:sz w:val="24"/>
          <w:szCs w:val="24"/>
        </w:rPr>
        <w:t xml:space="preserve"> en los cuales manifiesta, lo siguiente:</w:t>
      </w:r>
    </w:p>
    <w:p w:rsidR="0014272F" w:rsidRPr="00720A41" w:rsidRDefault="002032B6">
      <w:pPr>
        <w:spacing w:before="240" w:after="240" w:line="360" w:lineRule="auto"/>
        <w:ind w:right="-234"/>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07374/INFOEM/IP/RR/2022</w:t>
      </w:r>
    </w:p>
    <w:p w:rsidR="0014272F" w:rsidRPr="00720A41" w:rsidRDefault="002032B6">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720A41">
        <w:rPr>
          <w:rFonts w:ascii="Palatino Linotype" w:eastAsia="Palatino Linotype" w:hAnsi="Palatino Linotype" w:cs="Palatino Linotype"/>
          <w:b/>
          <w:i/>
          <w:sz w:val="24"/>
          <w:szCs w:val="24"/>
        </w:rPr>
        <w:t>Acto Impugnado:</w:t>
      </w:r>
    </w:p>
    <w:p w:rsidR="0014272F" w:rsidRPr="00720A41" w:rsidRDefault="002032B6">
      <w:pPr>
        <w:spacing w:before="240" w:after="240" w:line="276" w:lineRule="auto"/>
        <w:ind w:left="851"/>
        <w:jc w:val="both"/>
        <w:rPr>
          <w:rFonts w:ascii="Palatino Linotype" w:eastAsia="Palatino Linotype" w:hAnsi="Palatino Linotype" w:cs="Palatino Linotype"/>
          <w:i/>
        </w:rPr>
      </w:pPr>
      <w:r w:rsidRPr="00720A41">
        <w:rPr>
          <w:rFonts w:ascii="Palatino Linotype" w:eastAsia="Palatino Linotype" w:hAnsi="Palatino Linotype" w:cs="Palatino Linotype"/>
          <w:i/>
        </w:rPr>
        <w:t>“No entregaron la información solicitada” [sic]</w:t>
      </w:r>
    </w:p>
    <w:p w:rsidR="0014272F" w:rsidRPr="00720A41" w:rsidRDefault="002032B6">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20A41">
        <w:rPr>
          <w:rFonts w:ascii="Palatino Linotype" w:eastAsia="Palatino Linotype" w:hAnsi="Palatino Linotype" w:cs="Palatino Linotype"/>
          <w:b/>
          <w:i/>
          <w:sz w:val="24"/>
          <w:szCs w:val="24"/>
        </w:rPr>
        <w:t>Razones o Motivos de Inconformidad</w:t>
      </w:r>
      <w:r w:rsidRPr="00720A41">
        <w:rPr>
          <w:rFonts w:ascii="Palatino Linotype" w:eastAsia="Palatino Linotype" w:hAnsi="Palatino Linotype" w:cs="Palatino Linotype"/>
          <w:i/>
          <w:sz w:val="24"/>
          <w:szCs w:val="24"/>
        </w:rPr>
        <w:t>:</w:t>
      </w:r>
    </w:p>
    <w:p w:rsidR="0014272F" w:rsidRPr="00720A41" w:rsidRDefault="002032B6">
      <w:pPr>
        <w:spacing w:before="240" w:after="0" w:line="276" w:lineRule="auto"/>
        <w:ind w:left="851" w:right="616"/>
        <w:jc w:val="both"/>
        <w:rPr>
          <w:rFonts w:ascii="Palatino Linotype" w:eastAsia="Palatino Linotype" w:hAnsi="Palatino Linotype" w:cs="Palatino Linotype"/>
          <w:i/>
        </w:rPr>
      </w:pPr>
      <w:r w:rsidRPr="00720A41">
        <w:rPr>
          <w:rFonts w:ascii="Palatino Linotype" w:eastAsia="Palatino Linotype" w:hAnsi="Palatino Linotype" w:cs="Palatino Linotype"/>
          <w:i/>
          <w:sz w:val="24"/>
          <w:szCs w:val="24"/>
        </w:rPr>
        <w:t>“</w:t>
      </w:r>
      <w:r w:rsidRPr="00720A41">
        <w:rPr>
          <w:rFonts w:ascii="Palatino Linotype" w:eastAsia="Palatino Linotype" w:hAnsi="Palatino Linotype" w:cs="Palatino Linotype"/>
          <w:b/>
          <w:i/>
          <w:u w:val="single"/>
        </w:rPr>
        <w:t>No se entregó la información solicitada</w:t>
      </w:r>
      <w:r w:rsidRPr="00720A41">
        <w:rPr>
          <w:rFonts w:ascii="Palatino Linotype" w:eastAsia="Palatino Linotype" w:hAnsi="Palatino Linotype" w:cs="Palatino Linotype"/>
          <w:i/>
        </w:rPr>
        <w:t>, en caso de ser cierto que no hay personas al frente dela unidad de transparencia, quién está respondiendo a las solicitudes” [sic]</w:t>
      </w:r>
    </w:p>
    <w:p w:rsidR="0014272F" w:rsidRPr="00720A41" w:rsidRDefault="0014272F">
      <w:pPr>
        <w:spacing w:after="0" w:line="360" w:lineRule="auto"/>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 xml:space="preserve">07375/INFOEM/IP/RR/2022: </w:t>
      </w:r>
    </w:p>
    <w:p w:rsidR="0014272F" w:rsidRPr="00720A41" w:rsidRDefault="002032B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720A41">
        <w:rPr>
          <w:rFonts w:ascii="Palatino Linotype" w:eastAsia="Palatino Linotype" w:hAnsi="Palatino Linotype" w:cs="Palatino Linotype"/>
          <w:b/>
          <w:i/>
          <w:sz w:val="24"/>
          <w:szCs w:val="24"/>
        </w:rPr>
        <w:t>Acto Impugnado:</w:t>
      </w:r>
    </w:p>
    <w:p w:rsidR="0014272F" w:rsidRPr="00720A41" w:rsidRDefault="002032B6">
      <w:pPr>
        <w:spacing w:before="240" w:after="240" w:line="276" w:lineRule="auto"/>
        <w:ind w:left="851"/>
        <w:jc w:val="both"/>
        <w:rPr>
          <w:rFonts w:ascii="Palatino Linotype" w:eastAsia="Palatino Linotype" w:hAnsi="Palatino Linotype" w:cs="Palatino Linotype"/>
          <w:i/>
        </w:rPr>
      </w:pPr>
      <w:r w:rsidRPr="00720A41">
        <w:rPr>
          <w:rFonts w:ascii="Palatino Linotype" w:eastAsia="Palatino Linotype" w:hAnsi="Palatino Linotype" w:cs="Palatino Linotype"/>
          <w:i/>
        </w:rPr>
        <w:t>“Falsedad de la información” [sic]</w:t>
      </w:r>
    </w:p>
    <w:p w:rsidR="0014272F" w:rsidRPr="00720A41" w:rsidRDefault="002032B6">
      <w:pPr>
        <w:numPr>
          <w:ilvl w:val="0"/>
          <w:numId w:val="5"/>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20A41">
        <w:rPr>
          <w:rFonts w:ascii="Palatino Linotype" w:eastAsia="Palatino Linotype" w:hAnsi="Palatino Linotype" w:cs="Palatino Linotype"/>
          <w:b/>
          <w:i/>
          <w:sz w:val="24"/>
          <w:szCs w:val="24"/>
        </w:rPr>
        <w:t>Razones o Motivos de Inconformidad</w:t>
      </w:r>
      <w:r w:rsidRPr="00720A41">
        <w:rPr>
          <w:rFonts w:ascii="Palatino Linotype" w:eastAsia="Palatino Linotype" w:hAnsi="Palatino Linotype" w:cs="Palatino Linotype"/>
          <w:i/>
          <w:sz w:val="24"/>
          <w:szCs w:val="24"/>
        </w:rPr>
        <w:t>:</w:t>
      </w:r>
    </w:p>
    <w:p w:rsidR="0014272F" w:rsidRPr="00720A41" w:rsidRDefault="002032B6">
      <w:pPr>
        <w:spacing w:before="240" w:after="0" w:line="276" w:lineRule="auto"/>
        <w:ind w:left="851" w:right="616"/>
        <w:jc w:val="both"/>
        <w:rPr>
          <w:rFonts w:ascii="Palatino Linotype" w:eastAsia="Palatino Linotype" w:hAnsi="Palatino Linotype" w:cs="Palatino Linotype"/>
          <w:i/>
        </w:rPr>
      </w:pPr>
      <w:r w:rsidRPr="00720A41">
        <w:rPr>
          <w:rFonts w:ascii="Palatino Linotype" w:eastAsia="Palatino Linotype" w:hAnsi="Palatino Linotype" w:cs="Palatino Linotype"/>
          <w:i/>
          <w:sz w:val="24"/>
          <w:szCs w:val="24"/>
        </w:rPr>
        <w:t>“</w:t>
      </w:r>
      <w:r w:rsidRPr="00720A41">
        <w:rPr>
          <w:rFonts w:ascii="Palatino Linotype" w:eastAsia="Palatino Linotype" w:hAnsi="Palatino Linotype" w:cs="Palatino Linotype"/>
          <w:i/>
        </w:rPr>
        <w:t>Se solicita al INFOEM, revisar las respuestas dadas en la solicitud 00075/ALMORI/IP/2022, donde se manifiesta respuesta distinta a la dada en la respuesta esta solicitud, donde se observa no solo la negativa a la entrega de la información, sino ala falsedad en las respuestas dadas al ser contradictorias, solicito también, las solicitudes sean respondidas en documento que integre la firma quien está brindando la respuesta.” [sic]</w:t>
      </w:r>
    </w:p>
    <w:p w:rsidR="0014272F" w:rsidRPr="00720A41" w:rsidRDefault="0014272F">
      <w:pPr>
        <w:spacing w:after="0" w:line="360" w:lineRule="auto"/>
        <w:jc w:val="both"/>
        <w:rPr>
          <w:rFonts w:ascii="Palatino Linotype" w:eastAsia="Palatino Linotype" w:hAnsi="Palatino Linotype" w:cs="Palatino Linotype"/>
          <w:b/>
          <w:sz w:val="24"/>
          <w:szCs w:val="24"/>
        </w:rPr>
      </w:pPr>
    </w:p>
    <w:p w:rsidR="0014272F" w:rsidRPr="00720A41" w:rsidRDefault="002032B6">
      <w:pPr>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07380/INFOEM/IP/RR/2022:</w:t>
      </w:r>
    </w:p>
    <w:p w:rsidR="0014272F" w:rsidRPr="00720A41" w:rsidRDefault="002032B6">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720A41">
        <w:rPr>
          <w:rFonts w:ascii="Palatino Linotype" w:eastAsia="Palatino Linotype" w:hAnsi="Palatino Linotype" w:cs="Palatino Linotype"/>
          <w:b/>
          <w:i/>
          <w:sz w:val="24"/>
          <w:szCs w:val="24"/>
        </w:rPr>
        <w:t>Acto Impugnado:</w:t>
      </w:r>
    </w:p>
    <w:p w:rsidR="0014272F" w:rsidRPr="00720A41" w:rsidRDefault="002032B6">
      <w:pPr>
        <w:spacing w:before="240" w:after="240" w:line="276" w:lineRule="auto"/>
        <w:ind w:left="851"/>
        <w:jc w:val="both"/>
        <w:rPr>
          <w:rFonts w:ascii="Palatino Linotype" w:eastAsia="Palatino Linotype" w:hAnsi="Palatino Linotype" w:cs="Palatino Linotype"/>
          <w:i/>
        </w:rPr>
      </w:pPr>
      <w:r w:rsidRPr="00720A41">
        <w:rPr>
          <w:rFonts w:ascii="Palatino Linotype" w:eastAsia="Palatino Linotype" w:hAnsi="Palatino Linotype" w:cs="Palatino Linotype"/>
          <w:i/>
        </w:rPr>
        <w:t>“no son legibles los docvumentos adjuntos” [sic]</w:t>
      </w:r>
    </w:p>
    <w:p w:rsidR="0014272F" w:rsidRPr="00720A41" w:rsidRDefault="002032B6">
      <w:pPr>
        <w:numPr>
          <w:ilvl w:val="0"/>
          <w:numId w:val="6"/>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20A41">
        <w:rPr>
          <w:rFonts w:ascii="Palatino Linotype" w:eastAsia="Palatino Linotype" w:hAnsi="Palatino Linotype" w:cs="Palatino Linotype"/>
          <w:b/>
          <w:i/>
          <w:sz w:val="24"/>
          <w:szCs w:val="24"/>
        </w:rPr>
        <w:t>Razones o Motivos de Inconformidad</w:t>
      </w:r>
      <w:r w:rsidRPr="00720A41">
        <w:rPr>
          <w:rFonts w:ascii="Palatino Linotype" w:eastAsia="Palatino Linotype" w:hAnsi="Palatino Linotype" w:cs="Palatino Linotype"/>
          <w:i/>
          <w:sz w:val="24"/>
          <w:szCs w:val="24"/>
        </w:rPr>
        <w:t>:</w:t>
      </w:r>
    </w:p>
    <w:p w:rsidR="0014272F" w:rsidRPr="00720A41" w:rsidRDefault="002032B6">
      <w:pPr>
        <w:spacing w:before="240" w:after="0" w:line="360" w:lineRule="auto"/>
        <w:ind w:left="851"/>
        <w:jc w:val="both"/>
        <w:rPr>
          <w:rFonts w:ascii="Palatino Linotype" w:eastAsia="Palatino Linotype" w:hAnsi="Palatino Linotype" w:cs="Palatino Linotype"/>
          <w:i/>
        </w:rPr>
      </w:pPr>
      <w:r w:rsidRPr="00720A41">
        <w:rPr>
          <w:rFonts w:ascii="Palatino Linotype" w:eastAsia="Palatino Linotype" w:hAnsi="Palatino Linotype" w:cs="Palatino Linotype"/>
          <w:i/>
          <w:sz w:val="24"/>
          <w:szCs w:val="24"/>
        </w:rPr>
        <w:t>“</w:t>
      </w:r>
      <w:r w:rsidRPr="00720A41">
        <w:rPr>
          <w:rFonts w:ascii="Palatino Linotype" w:eastAsia="Palatino Linotype" w:hAnsi="Palatino Linotype" w:cs="Palatino Linotype"/>
          <w:i/>
        </w:rPr>
        <w:t>no son legibles los docvumentos adjuntos” [sic]</w:t>
      </w:r>
    </w:p>
    <w:p w:rsidR="0014272F" w:rsidRPr="00720A41" w:rsidRDefault="0014272F">
      <w:pPr>
        <w:spacing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4. TURNO. </w:t>
      </w:r>
      <w:r w:rsidRPr="00720A41">
        <w:rPr>
          <w:rFonts w:ascii="Palatino Linotype" w:eastAsia="Palatino Linotype" w:hAnsi="Palatino Linotype" w:cs="Palatino Linotype"/>
          <w:sz w:val="24"/>
          <w:szCs w:val="24"/>
        </w:rPr>
        <w:t>De conformidad con el artículo 185 fracción I de la Ley de Transparencia y Acceso a la Información Pública del Estado de México y Municipios vigente, los presentes</w:t>
      </w:r>
      <w:r w:rsidRPr="00720A41">
        <w:rPr>
          <w:rFonts w:ascii="Palatino Linotype" w:eastAsia="Palatino Linotype" w:hAnsi="Palatino Linotype" w:cs="Palatino Linotype"/>
          <w:sz w:val="40"/>
          <w:szCs w:val="40"/>
        </w:rPr>
        <w:t xml:space="preserve"> </w:t>
      </w:r>
      <w:r w:rsidRPr="00720A41">
        <w:rPr>
          <w:rFonts w:ascii="Palatino Linotype" w:eastAsia="Palatino Linotype" w:hAnsi="Palatino Linotype" w:cs="Palatino Linotype"/>
          <w:sz w:val="24"/>
          <w:szCs w:val="24"/>
        </w:rPr>
        <w:t>recursos</w:t>
      </w:r>
      <w:r w:rsidRPr="00720A41">
        <w:rPr>
          <w:rFonts w:ascii="Palatino Linotype" w:eastAsia="Palatino Linotype" w:hAnsi="Palatino Linotype" w:cs="Palatino Linotype"/>
          <w:sz w:val="36"/>
          <w:szCs w:val="36"/>
        </w:rPr>
        <w:t xml:space="preserve"> </w:t>
      </w:r>
      <w:r w:rsidRPr="00720A41">
        <w:rPr>
          <w:rFonts w:ascii="Palatino Linotype" w:eastAsia="Palatino Linotype" w:hAnsi="Palatino Linotype" w:cs="Palatino Linotype"/>
          <w:sz w:val="24"/>
          <w:szCs w:val="24"/>
        </w:rPr>
        <w:t>de revisión se turnaron por el sistema electrónico del Instituto de Transparencia, Acceso a la Información Pública y Protección de Datos Personales del Estado de México y Municipios, el recurso</w:t>
      </w:r>
      <w:r w:rsidRPr="00720A41">
        <w:rPr>
          <w:rFonts w:ascii="Palatino Linotype" w:eastAsia="Palatino Linotype" w:hAnsi="Palatino Linotype" w:cs="Palatino Linotype"/>
          <w:b/>
          <w:sz w:val="24"/>
          <w:szCs w:val="24"/>
        </w:rPr>
        <w:t xml:space="preserve"> 07374/INFOEM/IP/RR/2022 </w:t>
      </w:r>
      <w:r w:rsidRPr="00720A41">
        <w:rPr>
          <w:rFonts w:ascii="Palatino Linotype" w:eastAsia="Palatino Linotype" w:hAnsi="Palatino Linotype" w:cs="Palatino Linotype"/>
          <w:sz w:val="24"/>
          <w:szCs w:val="24"/>
        </w:rPr>
        <w:t xml:space="preserve">a la Comisionada </w:t>
      </w:r>
      <w:r w:rsidRPr="00720A41">
        <w:rPr>
          <w:rFonts w:ascii="Palatino Linotype" w:eastAsia="Palatino Linotype" w:hAnsi="Palatino Linotype" w:cs="Palatino Linotype"/>
          <w:b/>
          <w:sz w:val="24"/>
          <w:szCs w:val="24"/>
        </w:rPr>
        <w:t xml:space="preserve">Guadalupe Ramírez Peña </w:t>
      </w:r>
      <w:r w:rsidRPr="00720A41">
        <w:rPr>
          <w:rFonts w:ascii="Palatino Linotype" w:eastAsia="Palatino Linotype" w:hAnsi="Palatino Linotype" w:cs="Palatino Linotype"/>
          <w:sz w:val="24"/>
          <w:szCs w:val="24"/>
        </w:rPr>
        <w:t>y los recursos</w:t>
      </w:r>
      <w:r w:rsidRPr="00720A41">
        <w:rPr>
          <w:rFonts w:ascii="Palatino Linotype" w:eastAsia="Palatino Linotype" w:hAnsi="Palatino Linotype" w:cs="Palatino Linotype"/>
          <w:b/>
          <w:sz w:val="24"/>
          <w:szCs w:val="24"/>
        </w:rPr>
        <w:t xml:space="preserve"> 07375/INFOEM/IP/RR/2022 </w:t>
      </w:r>
      <w:r w:rsidRPr="00720A41">
        <w:rPr>
          <w:rFonts w:ascii="Palatino Linotype" w:eastAsia="Palatino Linotype" w:hAnsi="Palatino Linotype" w:cs="Palatino Linotype"/>
          <w:sz w:val="24"/>
          <w:szCs w:val="24"/>
        </w:rPr>
        <w:t xml:space="preserve">y </w:t>
      </w:r>
      <w:r w:rsidRPr="00720A41">
        <w:rPr>
          <w:rFonts w:ascii="Palatino Linotype" w:eastAsia="Palatino Linotype" w:hAnsi="Palatino Linotype" w:cs="Palatino Linotype"/>
          <w:b/>
          <w:sz w:val="24"/>
          <w:szCs w:val="24"/>
        </w:rPr>
        <w:t xml:space="preserve">07380/INFOEM/IP/RR/2022  </w:t>
      </w:r>
      <w:r w:rsidRPr="00720A41">
        <w:rPr>
          <w:rFonts w:ascii="Palatino Linotype" w:eastAsia="Palatino Linotype" w:hAnsi="Palatino Linotype" w:cs="Palatino Linotype"/>
          <w:sz w:val="24"/>
          <w:szCs w:val="24"/>
        </w:rPr>
        <w:t xml:space="preserve">al </w:t>
      </w:r>
      <w:r w:rsidRPr="00720A41">
        <w:rPr>
          <w:rFonts w:ascii="Palatino Linotype" w:eastAsia="Palatino Linotype" w:hAnsi="Palatino Linotype" w:cs="Palatino Linotype"/>
          <w:b/>
          <w:sz w:val="24"/>
          <w:szCs w:val="24"/>
        </w:rPr>
        <w:t>Comisionado Presidente José Martínez Vilchis</w:t>
      </w:r>
      <w:r w:rsidRPr="00720A41">
        <w:rPr>
          <w:rFonts w:ascii="Palatino Linotype" w:eastAsia="Palatino Linotype" w:hAnsi="Palatino Linotype" w:cs="Palatino Linotype"/>
          <w:sz w:val="24"/>
          <w:szCs w:val="24"/>
        </w:rPr>
        <w:t xml:space="preserve"> a efecto de que analizara sobre su admisión o su desechamiento.</w:t>
      </w:r>
    </w:p>
    <w:p w:rsidR="0014272F" w:rsidRPr="00720A41" w:rsidRDefault="0014272F">
      <w:pPr>
        <w:spacing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pPr>
      <w:r w:rsidRPr="00720A41">
        <w:rPr>
          <w:rFonts w:ascii="Palatino Linotype" w:eastAsia="Palatino Linotype" w:hAnsi="Palatino Linotype" w:cs="Palatino Linotype"/>
          <w:b/>
          <w:sz w:val="24"/>
          <w:szCs w:val="24"/>
        </w:rPr>
        <w:t>5. ADMISIÓN DE LOS RECURSOS DE REVISIÓN.</w:t>
      </w:r>
      <w:r w:rsidRPr="00720A41">
        <w:rPr>
          <w:rFonts w:ascii="Palatino Linotype" w:eastAsia="Palatino Linotype" w:hAnsi="Palatino Linotype" w:cs="Palatino Linotype"/>
          <w:sz w:val="24"/>
          <w:szCs w:val="24"/>
        </w:rPr>
        <w:t xml:space="preserve"> Con fecha</w:t>
      </w:r>
      <w:r w:rsidRPr="00720A41">
        <w:rPr>
          <w:rFonts w:ascii="Palatino Linotype" w:eastAsia="Palatino Linotype" w:hAnsi="Palatino Linotype" w:cs="Palatino Linotype"/>
          <w:b/>
          <w:sz w:val="24"/>
          <w:szCs w:val="24"/>
        </w:rPr>
        <w:t xml:space="preserve"> doce de mayo de dos mil veintidós, </w:t>
      </w:r>
      <w:r w:rsidRPr="00720A41">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w:t>
      </w:r>
      <w:r w:rsidRPr="00720A41">
        <w:rPr>
          <w:rFonts w:ascii="Palatino Linotype" w:eastAsia="Palatino Linotype" w:hAnsi="Palatino Linotype" w:cs="Palatino Linotype"/>
          <w:b/>
          <w:sz w:val="24"/>
          <w:szCs w:val="24"/>
        </w:rPr>
        <w:t xml:space="preserve">07374/INFOEM/IP/RR/2022, </w:t>
      </w:r>
      <w:r w:rsidRPr="00720A41">
        <w:rPr>
          <w:rFonts w:ascii="Palatino Linotype" w:eastAsia="Palatino Linotype" w:hAnsi="Palatino Linotype" w:cs="Palatino Linotype"/>
          <w:sz w:val="24"/>
          <w:szCs w:val="24"/>
        </w:rPr>
        <w:t xml:space="preserve">y en fecha trece de mayo de dos mil veintidós los recursos de revisión </w:t>
      </w:r>
      <w:r w:rsidRPr="00720A41">
        <w:rPr>
          <w:rFonts w:ascii="Palatino Linotype" w:eastAsia="Palatino Linotype" w:hAnsi="Palatino Linotype" w:cs="Palatino Linotype"/>
          <w:b/>
          <w:sz w:val="24"/>
          <w:szCs w:val="24"/>
        </w:rPr>
        <w:t xml:space="preserve">07375/INFOEM/IP/RR/2022  </w:t>
      </w:r>
      <w:r w:rsidRPr="00720A41">
        <w:rPr>
          <w:rFonts w:ascii="Palatino Linotype" w:eastAsia="Palatino Linotype" w:hAnsi="Palatino Linotype" w:cs="Palatino Linotype"/>
          <w:sz w:val="24"/>
          <w:szCs w:val="24"/>
        </w:rPr>
        <w:t xml:space="preserve">y </w:t>
      </w:r>
      <w:r w:rsidRPr="00720A41">
        <w:rPr>
          <w:rFonts w:ascii="Palatino Linotype" w:eastAsia="Palatino Linotype" w:hAnsi="Palatino Linotype" w:cs="Palatino Linotype"/>
          <w:b/>
          <w:sz w:val="24"/>
          <w:szCs w:val="24"/>
        </w:rPr>
        <w:t xml:space="preserve">07380/INFOEM/IP/RR/2022 </w:t>
      </w:r>
      <w:r w:rsidRPr="00720A41">
        <w:rPr>
          <w:rFonts w:ascii="Palatino Linotype" w:eastAsia="Palatino Linotype" w:hAnsi="Palatino Linotype" w:cs="Palatino Linotype"/>
          <w:sz w:val="24"/>
          <w:szCs w:val="24"/>
        </w:rPr>
        <w:t xml:space="preserve"> que ahora se resuelven, dando un plazo máximo de siete días hábiles para que las partes manifestaran lo que a su derecho resultara conveniente, ofrecieran pruebas, formularan alegatos y el </w:t>
      </w:r>
      <w:r w:rsidRPr="00720A41">
        <w:rPr>
          <w:rFonts w:ascii="Palatino Linotype" w:eastAsia="Palatino Linotype" w:hAnsi="Palatino Linotype" w:cs="Palatino Linotype"/>
          <w:b/>
          <w:sz w:val="24"/>
          <w:szCs w:val="24"/>
        </w:rPr>
        <w:t xml:space="preserve">SUJETO OBLIGADO </w:t>
      </w:r>
      <w:r w:rsidRPr="00720A41">
        <w:rPr>
          <w:rFonts w:ascii="Palatino Linotype" w:eastAsia="Palatino Linotype" w:hAnsi="Palatino Linotype" w:cs="Palatino Linotype"/>
          <w:sz w:val="24"/>
          <w:szCs w:val="24"/>
        </w:rPr>
        <w:t>presentara su informe justificado.</w:t>
      </w:r>
    </w:p>
    <w:p w:rsidR="0014272F" w:rsidRPr="00720A41" w:rsidRDefault="0014272F">
      <w:pPr>
        <w:spacing w:line="360" w:lineRule="auto"/>
        <w:jc w:val="both"/>
        <w:rPr>
          <w:rFonts w:ascii="Palatino Linotype" w:eastAsia="Palatino Linotype" w:hAnsi="Palatino Linotype" w:cs="Palatino Linotype"/>
          <w:sz w:val="24"/>
          <w:szCs w:val="24"/>
        </w:rPr>
      </w:pPr>
    </w:p>
    <w:p w:rsidR="0014272F" w:rsidRPr="00720A41" w:rsidRDefault="002032B6">
      <w:pPr>
        <w:spacing w:before="160"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6. MANIFESTACIONES. </w:t>
      </w:r>
      <w:r w:rsidRPr="00720A41">
        <w:rPr>
          <w:rFonts w:ascii="Palatino Linotype" w:eastAsia="Palatino Linotype" w:hAnsi="Palatino Linotype" w:cs="Palatino Linotype"/>
          <w:sz w:val="24"/>
          <w:szCs w:val="24"/>
        </w:rPr>
        <w:t xml:space="preserve">De las constancias que obran en los expedientes electrónicos del SAIMEX se desprende que 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xml:space="preserve"> no rindió sus informes justificados, del mismo modo el ahora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omitió realizar manifestaciones, como se observa a continuación:</w:t>
      </w:r>
    </w:p>
    <w:p w:rsidR="0014272F" w:rsidRPr="00720A41" w:rsidRDefault="002032B6">
      <w:pPr>
        <w:spacing w:line="360" w:lineRule="auto"/>
        <w:jc w:val="both"/>
        <w:rPr>
          <w:rFonts w:ascii="Palatino Linotype" w:eastAsia="Palatino Linotype" w:hAnsi="Palatino Linotype" w:cs="Palatino Linotype"/>
          <w:sz w:val="24"/>
          <w:szCs w:val="24"/>
        </w:rPr>
      </w:pPr>
      <w:r w:rsidRPr="00720A41">
        <w:rPr>
          <w:noProof/>
        </w:rPr>
        <w:drawing>
          <wp:inline distT="0" distB="0" distL="0" distR="0">
            <wp:extent cx="5831752" cy="1605503"/>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9023" t="24743" r="29056" b="54737"/>
                    <a:stretch>
                      <a:fillRect/>
                    </a:stretch>
                  </pic:blipFill>
                  <pic:spPr>
                    <a:xfrm>
                      <a:off x="0" y="0"/>
                      <a:ext cx="5831752" cy="1605503"/>
                    </a:xfrm>
                    <a:prstGeom prst="rect">
                      <a:avLst/>
                    </a:prstGeom>
                    <a:ln/>
                  </pic:spPr>
                </pic:pic>
              </a:graphicData>
            </a:graphic>
          </wp:inline>
        </w:drawing>
      </w:r>
    </w:p>
    <w:p w:rsidR="0014272F" w:rsidRPr="00720A41" w:rsidRDefault="002032B6">
      <w:pPr>
        <w:spacing w:line="360" w:lineRule="auto"/>
        <w:jc w:val="both"/>
        <w:rPr>
          <w:rFonts w:ascii="Palatino Linotype" w:eastAsia="Palatino Linotype" w:hAnsi="Palatino Linotype" w:cs="Palatino Linotype"/>
          <w:sz w:val="24"/>
          <w:szCs w:val="24"/>
        </w:rPr>
      </w:pPr>
      <w:r w:rsidRPr="00720A41">
        <w:rPr>
          <w:noProof/>
        </w:rPr>
        <w:drawing>
          <wp:inline distT="0" distB="0" distL="0" distR="0">
            <wp:extent cx="5887686" cy="1477978"/>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9532" t="25648" r="29225" b="55944"/>
                    <a:stretch>
                      <a:fillRect/>
                    </a:stretch>
                  </pic:blipFill>
                  <pic:spPr>
                    <a:xfrm>
                      <a:off x="0" y="0"/>
                      <a:ext cx="5887686" cy="1477978"/>
                    </a:xfrm>
                    <a:prstGeom prst="rect">
                      <a:avLst/>
                    </a:prstGeom>
                    <a:ln/>
                  </pic:spPr>
                </pic:pic>
              </a:graphicData>
            </a:graphic>
          </wp:inline>
        </w:drawing>
      </w:r>
    </w:p>
    <w:p w:rsidR="0014272F" w:rsidRPr="00720A41" w:rsidRDefault="002032B6">
      <w:pPr>
        <w:spacing w:line="360" w:lineRule="auto"/>
        <w:jc w:val="both"/>
        <w:rPr>
          <w:rFonts w:ascii="Palatino Linotype" w:eastAsia="Palatino Linotype" w:hAnsi="Palatino Linotype" w:cs="Palatino Linotype"/>
          <w:sz w:val="24"/>
          <w:szCs w:val="24"/>
        </w:rPr>
      </w:pPr>
      <w:r w:rsidRPr="00720A41">
        <w:rPr>
          <w:noProof/>
        </w:rPr>
        <w:drawing>
          <wp:inline distT="0" distB="0" distL="0" distR="0">
            <wp:extent cx="5507300" cy="1421967"/>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9362" t="25045" r="29226" b="55944"/>
                    <a:stretch>
                      <a:fillRect/>
                    </a:stretch>
                  </pic:blipFill>
                  <pic:spPr>
                    <a:xfrm>
                      <a:off x="0" y="0"/>
                      <a:ext cx="5507300" cy="1421967"/>
                    </a:xfrm>
                    <a:prstGeom prst="rect">
                      <a:avLst/>
                    </a:prstGeom>
                    <a:ln/>
                  </pic:spPr>
                </pic:pic>
              </a:graphicData>
            </a:graphic>
          </wp:inline>
        </w:drawing>
      </w:r>
    </w:p>
    <w:p w:rsidR="0014272F" w:rsidRPr="00720A41" w:rsidRDefault="002032B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7. DE LA ACUMULACIÓN. </w:t>
      </w:r>
      <w:r w:rsidRPr="00720A41">
        <w:rPr>
          <w:rFonts w:ascii="Palatino Linotype" w:eastAsia="Palatino Linotype" w:hAnsi="Palatino Linotype" w:cs="Palatino Linotype"/>
          <w:sz w:val="24"/>
          <w:szCs w:val="24"/>
        </w:rPr>
        <w:t xml:space="preserve">Posteriormente por acuerdo del Pleno del Instituto, en la Décimo Octava Sesión Ordinaria, de fecha dieciocho de mayo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RPr="00720A41">
        <w:rPr>
          <w:rFonts w:ascii="Palatino Linotype" w:eastAsia="Palatino Linotype" w:hAnsi="Palatino Linotype" w:cs="Palatino Linotype"/>
          <w:b/>
          <w:sz w:val="24"/>
          <w:szCs w:val="24"/>
        </w:rPr>
        <w:t>Comisionada Guadalupe Ramírez Peña</w:t>
      </w:r>
      <w:r w:rsidRPr="00720A41">
        <w:rPr>
          <w:rFonts w:ascii="Palatino Linotype" w:eastAsia="Palatino Linotype" w:hAnsi="Palatino Linotype" w:cs="Palatino Linotype"/>
          <w:sz w:val="24"/>
          <w:szCs w:val="24"/>
        </w:rPr>
        <w:t xml:space="preserve">; acumulación notificada a las partes, mediante acuerdo del primero de septiembre de dos mil veintidós.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14272F" w:rsidRPr="00720A41" w:rsidRDefault="002032B6">
      <w:pPr>
        <w:spacing w:before="80" w:line="276" w:lineRule="auto"/>
        <w:ind w:left="851" w:right="851"/>
        <w:jc w:val="center"/>
        <w:rPr>
          <w:rFonts w:ascii="Palatino Linotype" w:eastAsia="Palatino Linotype" w:hAnsi="Palatino Linotype" w:cs="Palatino Linotype"/>
          <w:b/>
          <w:i/>
        </w:rPr>
      </w:pPr>
      <w:r w:rsidRPr="00720A41">
        <w:rPr>
          <w:rFonts w:ascii="Palatino Linotype" w:eastAsia="Palatino Linotype" w:hAnsi="Palatino Linotype" w:cs="Palatino Linotype"/>
          <w:b/>
          <w:i/>
        </w:rPr>
        <w:t>Ley de Transparencia y Acceso a la Información Pública del Estado de México y Municipios</w:t>
      </w:r>
    </w:p>
    <w:p w:rsidR="0014272F" w:rsidRPr="00720A41" w:rsidRDefault="002032B6">
      <w:pPr>
        <w:spacing w:before="240" w:line="276" w:lineRule="auto"/>
        <w:ind w:left="851" w:right="851"/>
        <w:jc w:val="both"/>
        <w:rPr>
          <w:rFonts w:ascii="Palatino Linotype" w:eastAsia="Palatino Linotype" w:hAnsi="Palatino Linotype" w:cs="Palatino Linotype"/>
          <w:b/>
          <w:i/>
        </w:rPr>
      </w:pPr>
      <w:r w:rsidRPr="00720A41">
        <w:rPr>
          <w:rFonts w:ascii="Palatino Linotype" w:eastAsia="Palatino Linotype" w:hAnsi="Palatino Linotype" w:cs="Palatino Linotype"/>
          <w:i/>
        </w:rPr>
        <w:t xml:space="preserve">“Artículo 195. En la tramitación del recurso de revisión se aplicarán supletoriamente las disposiciones contenidas en el </w:t>
      </w:r>
      <w:r w:rsidRPr="00720A41">
        <w:rPr>
          <w:rFonts w:ascii="Palatino Linotype" w:eastAsia="Palatino Linotype" w:hAnsi="Palatino Linotype" w:cs="Palatino Linotype"/>
          <w:b/>
          <w:i/>
          <w:u w:val="single"/>
        </w:rPr>
        <w:t>Código de Procedimientos Administrativos del Estado de México</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[Sic]</w:t>
      </w:r>
    </w:p>
    <w:p w:rsidR="0014272F" w:rsidRPr="00720A41" w:rsidRDefault="002032B6">
      <w:pPr>
        <w:spacing w:before="240" w:line="276" w:lineRule="auto"/>
        <w:ind w:left="851" w:right="851"/>
        <w:jc w:val="center"/>
        <w:rPr>
          <w:rFonts w:ascii="Palatino Linotype" w:eastAsia="Palatino Linotype" w:hAnsi="Palatino Linotype" w:cs="Palatino Linotype"/>
          <w:b/>
          <w:i/>
        </w:rPr>
      </w:pPr>
      <w:r w:rsidRPr="00720A41">
        <w:rPr>
          <w:rFonts w:ascii="Palatino Linotype" w:eastAsia="Palatino Linotype" w:hAnsi="Palatino Linotype" w:cs="Palatino Linotype"/>
          <w:b/>
          <w:i/>
        </w:rPr>
        <w:t>Código de Procedimientos Administrativos del Estado de México</w:t>
      </w:r>
    </w:p>
    <w:p w:rsidR="0014272F" w:rsidRPr="00720A41" w:rsidRDefault="002032B6">
      <w:pPr>
        <w:spacing w:before="160" w:after="0" w:line="276" w:lineRule="auto"/>
        <w:ind w:left="851" w:right="851"/>
        <w:jc w:val="both"/>
        <w:rPr>
          <w:rFonts w:ascii="Palatino Linotype" w:eastAsia="Palatino Linotype" w:hAnsi="Palatino Linotype" w:cs="Palatino Linotype"/>
          <w:b/>
          <w:i/>
        </w:rPr>
      </w:pPr>
      <w:r w:rsidRPr="00720A41">
        <w:rPr>
          <w:rFonts w:ascii="Palatino Linotype" w:eastAsia="Palatino Linotype" w:hAnsi="Palatino Linotype" w:cs="Palatino Linotype"/>
          <w:i/>
        </w:rPr>
        <w:t xml:space="preserve">“Artículo 18.- </w:t>
      </w:r>
      <w:r w:rsidRPr="00720A41">
        <w:rPr>
          <w:rFonts w:ascii="Palatino Linotype" w:eastAsia="Palatino Linotype" w:hAnsi="Palatino Linotype" w:cs="Palatino Linotype"/>
          <w:b/>
          <w:i/>
          <w:u w:val="single"/>
        </w:rPr>
        <w:t>La autoridad administrativa</w:t>
      </w:r>
      <w:r w:rsidRPr="00720A41">
        <w:rPr>
          <w:rFonts w:ascii="Palatino Linotype" w:eastAsia="Palatino Linotype" w:hAnsi="Palatino Linotype" w:cs="Palatino Linotype"/>
          <w:i/>
        </w:rPr>
        <w:t xml:space="preserve"> o el Tribunal </w:t>
      </w:r>
      <w:r w:rsidRPr="00720A41">
        <w:rPr>
          <w:rFonts w:ascii="Palatino Linotype" w:eastAsia="Palatino Linotype" w:hAnsi="Palatino Linotype" w:cs="Palatino Linotype"/>
          <w:b/>
          <w:i/>
          <w:u w:val="single"/>
        </w:rPr>
        <w:t>acordarán la acumulación</w:t>
      </w:r>
      <w:r w:rsidRPr="00720A41">
        <w:rPr>
          <w:rFonts w:ascii="Palatino Linotype" w:eastAsia="Palatino Linotype" w:hAnsi="Palatino Linotype" w:cs="Palatino Linotype"/>
          <w:i/>
        </w:rPr>
        <w:t xml:space="preserve"> de los expedientes del procedimiento y proceso administrativo que ante ellos se sigan</w:t>
      </w:r>
      <w:r w:rsidRPr="00720A41">
        <w:rPr>
          <w:rFonts w:ascii="Palatino Linotype" w:eastAsia="Palatino Linotype" w:hAnsi="Palatino Linotype" w:cs="Palatino Linotype"/>
          <w:b/>
          <w:i/>
          <w:u w:val="single"/>
        </w:rPr>
        <w:t>, de oficio</w:t>
      </w:r>
      <w:r w:rsidRPr="00720A41">
        <w:rPr>
          <w:rFonts w:ascii="Palatino Linotype" w:eastAsia="Palatino Linotype" w:hAnsi="Palatino Linotype" w:cs="Palatino Linotype"/>
          <w:i/>
        </w:rPr>
        <w:t xml:space="preserve"> o a petición de parte, </w:t>
      </w:r>
      <w:r w:rsidRPr="00720A41">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720A41">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720A41">
        <w:rPr>
          <w:rFonts w:ascii="Palatino Linotype" w:eastAsia="Palatino Linotype" w:hAnsi="Palatino Linotype" w:cs="Palatino Linotype"/>
          <w:b/>
          <w:i/>
        </w:rPr>
        <w:t>[Sic]</w:t>
      </w:r>
    </w:p>
    <w:p w:rsidR="0014272F" w:rsidRPr="00720A41" w:rsidRDefault="0014272F">
      <w:pPr>
        <w:spacing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8. AMPLIACIÓN DEL TÉRMINO PARA RESOLVER</w:t>
      </w:r>
      <w:r w:rsidRPr="00720A41">
        <w:rPr>
          <w:rFonts w:ascii="Palatino Linotype" w:eastAsia="Palatino Linotype" w:hAnsi="Palatino Linotype" w:cs="Palatino Linotype"/>
          <w:sz w:val="24"/>
          <w:szCs w:val="24"/>
        </w:rPr>
        <w:t>.</w:t>
      </w:r>
      <w:r w:rsidRPr="00720A41">
        <w:rPr>
          <w:rFonts w:ascii="Palatino Linotype" w:eastAsia="Palatino Linotype" w:hAnsi="Palatino Linotype" w:cs="Palatino Linotype"/>
        </w:rPr>
        <w:t xml:space="preserve"> </w:t>
      </w:r>
      <w:r w:rsidRPr="00720A41">
        <w:rPr>
          <w:rFonts w:ascii="Palatino Linotype" w:eastAsia="Palatino Linotype" w:hAnsi="Palatino Linotype" w:cs="Palatino Linotype"/>
          <w:sz w:val="24"/>
          <w:szCs w:val="24"/>
        </w:rPr>
        <w:t xml:space="preserve">En fecha primero de septiembre de dos mil veintidós, se amplió el término para resolver los recursos de revisión en términos del artículo 181 párrafo tercero de la Ley de Transparencia y Acceso a la Información Pública del Estado de México y Municipios.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bookmarkStart w:id="1" w:name="_heading=h.30j0zll" w:colFirst="0" w:colLast="0"/>
      <w:bookmarkEnd w:id="1"/>
      <w:r w:rsidRPr="00720A41">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trike/>
          <w:sz w:val="24"/>
          <w:szCs w:val="24"/>
        </w:rPr>
      </w:pPr>
      <w:r w:rsidRPr="00720A41">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14272F" w:rsidRPr="00720A41" w:rsidRDefault="002032B6">
      <w:pPr>
        <w:numPr>
          <w:ilvl w:val="0"/>
          <w:numId w:val="1"/>
        </w:num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14272F" w:rsidRPr="00720A41" w:rsidRDefault="0014272F">
      <w:pPr>
        <w:spacing w:after="0" w:line="360" w:lineRule="auto"/>
        <w:ind w:left="927"/>
        <w:jc w:val="both"/>
        <w:rPr>
          <w:rFonts w:ascii="Palatino Linotype" w:eastAsia="Palatino Linotype" w:hAnsi="Palatino Linotype" w:cs="Palatino Linotype"/>
          <w:sz w:val="24"/>
          <w:szCs w:val="24"/>
        </w:rPr>
      </w:pPr>
    </w:p>
    <w:p w:rsidR="0014272F" w:rsidRPr="00720A41" w:rsidRDefault="002032B6">
      <w:pPr>
        <w:numPr>
          <w:ilvl w:val="0"/>
          <w:numId w:val="1"/>
        </w:num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Actividad Procesal del interesado. Acciones u omisiones del interesado.</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numPr>
          <w:ilvl w:val="0"/>
          <w:numId w:val="1"/>
        </w:num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14272F" w:rsidRPr="00720A41" w:rsidRDefault="0014272F">
      <w:pPr>
        <w:spacing w:line="360" w:lineRule="auto"/>
        <w:ind w:left="708"/>
        <w:rPr>
          <w:rFonts w:ascii="Palatino Linotype" w:eastAsia="Palatino Linotype" w:hAnsi="Palatino Linotype" w:cs="Palatino Linotype"/>
          <w:sz w:val="24"/>
          <w:szCs w:val="24"/>
        </w:rPr>
      </w:pPr>
    </w:p>
    <w:p w:rsidR="0014272F" w:rsidRPr="00720A41" w:rsidRDefault="002032B6">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La afectación generada en la situación jurídica de la persona involucrada en el proceso: Violación a sus derechos humanos.</w:t>
      </w:r>
    </w:p>
    <w:p w:rsidR="0014272F" w:rsidRPr="00720A41" w:rsidRDefault="0014272F">
      <w:pPr>
        <w:pBdr>
          <w:top w:val="nil"/>
          <w:left w:val="nil"/>
          <w:bottom w:val="nil"/>
          <w:right w:val="nil"/>
          <w:between w:val="nil"/>
        </w:pBdr>
        <w:spacing w:line="360" w:lineRule="auto"/>
        <w:ind w:left="927"/>
        <w:jc w:val="both"/>
        <w:rPr>
          <w:rFonts w:ascii="Palatino Linotype" w:eastAsia="Palatino Linotype" w:hAnsi="Palatino Linotype" w:cs="Palatino Linotype"/>
          <w:sz w:val="24"/>
          <w:szCs w:val="24"/>
        </w:rPr>
      </w:pPr>
    </w:p>
    <w:p w:rsidR="0014272F" w:rsidRPr="00720A41" w:rsidRDefault="002032B6">
      <w:pPr>
        <w:spacing w:after="0" w:line="360" w:lineRule="auto"/>
        <w:ind w:left="567"/>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720A41">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20A41">
        <w:rPr>
          <w:rFonts w:ascii="Palatino Linotype" w:eastAsia="Palatino Linotype" w:hAnsi="Palatino Linotype" w:cs="Palatino Linotype"/>
          <w:sz w:val="24"/>
          <w:szCs w:val="24"/>
        </w:rPr>
        <w:t>, visible en la Gaceta del Seminario Judicial de la Federación con el registro digital 205635.</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 </w:t>
      </w:r>
      <w:r w:rsidRPr="00720A41">
        <w:rPr>
          <w:rFonts w:ascii="Palatino Linotype" w:eastAsia="Palatino Linotype" w:hAnsi="Palatino Linotype" w:cs="Palatino Linotype"/>
          <w:i/>
          <w:sz w:val="24"/>
          <w:szCs w:val="24"/>
        </w:rPr>
        <w:t>“PLAZO RAZONABLE PARA RESOLVER. DIMENSIÓN Y EFECTOS DE ESTE CONCEPTO CUANDO SE ADUCE EXCESIVA CARGA DE TRABAJO.”</w:t>
      </w:r>
      <w:r w:rsidRPr="00720A41">
        <w:rPr>
          <w:rFonts w:ascii="Palatino Linotype" w:eastAsia="Palatino Linotype" w:hAnsi="Palatino Linotype" w:cs="Palatino Linotype"/>
          <w:sz w:val="24"/>
          <w:szCs w:val="24"/>
        </w:rPr>
        <w:t xml:space="preserve"> consultable en el Seminario Judicial de la Federación y su gaceta, con el registro digital 2002351.</w:t>
      </w:r>
    </w:p>
    <w:p w:rsidR="0014272F" w:rsidRPr="00720A41" w:rsidRDefault="0014272F">
      <w:pPr>
        <w:spacing w:after="0" w:line="360" w:lineRule="auto"/>
        <w:jc w:val="both"/>
        <w:rPr>
          <w:rFonts w:ascii="Palatino Linotype" w:eastAsia="Palatino Linotype" w:hAnsi="Palatino Linotype" w:cs="Palatino Linotype"/>
          <w:b/>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720A41">
        <w:rPr>
          <w:rFonts w:ascii="Palatino Linotype" w:eastAsia="Palatino Linotype" w:hAnsi="Palatino Linotype" w:cs="Palatino Linotype"/>
          <w:sz w:val="24"/>
          <w:szCs w:val="24"/>
        </w:rPr>
        <w:t>, visible en el Seminario Judicial de la Federación y su gaceta, con el registro digital 2002350.</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720A41">
        <w:rPr>
          <w:rFonts w:ascii="Palatino Linotype" w:eastAsia="Palatino Linotype" w:hAnsi="Palatino Linotype" w:cs="Palatino Linotype"/>
          <w:b/>
          <w:sz w:val="24"/>
          <w:szCs w:val="24"/>
        </w:rPr>
        <w:br/>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9. CIERRE DE INSTRUCCIÓN. </w:t>
      </w:r>
      <w:r w:rsidRPr="00720A41">
        <w:rPr>
          <w:rFonts w:ascii="Palatino Linotype" w:eastAsia="Palatino Linotype" w:hAnsi="Palatino Linotype" w:cs="Palatino Linotype"/>
          <w:sz w:val="24"/>
          <w:szCs w:val="24"/>
        </w:rPr>
        <w:t>El primero de septiembre de dos mil veintidós,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 razón de que fueron debidamente sustanciados los expedientes electrónicos y no existe diligencia pendiente de desahogo, se emite la Resolución que conforme a Derecho proceda, de acuerdo con los siguientes:</w:t>
      </w:r>
    </w:p>
    <w:p w:rsidR="0014272F" w:rsidRPr="00720A41" w:rsidRDefault="0014272F">
      <w:pPr>
        <w:spacing w:line="360" w:lineRule="auto"/>
        <w:jc w:val="both"/>
        <w:rPr>
          <w:rFonts w:ascii="Palatino Linotype" w:eastAsia="Palatino Linotype" w:hAnsi="Palatino Linotype" w:cs="Palatino Linotype"/>
          <w:sz w:val="24"/>
          <w:szCs w:val="24"/>
        </w:rPr>
      </w:pPr>
    </w:p>
    <w:p w:rsidR="0014272F" w:rsidRPr="00720A41" w:rsidRDefault="002032B6">
      <w:pPr>
        <w:widowControl w:val="0"/>
        <w:spacing w:after="0" w:line="360" w:lineRule="auto"/>
        <w:jc w:val="center"/>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C O N S I D E R A N D O S</w:t>
      </w:r>
    </w:p>
    <w:p w:rsidR="0014272F" w:rsidRPr="00720A41" w:rsidRDefault="0014272F">
      <w:pPr>
        <w:spacing w:after="0" w:line="360" w:lineRule="auto"/>
        <w:jc w:val="both"/>
        <w:rPr>
          <w:rFonts w:ascii="Palatino Linotype" w:eastAsia="Palatino Linotype" w:hAnsi="Palatino Linotype" w:cs="Palatino Linotype"/>
          <w:b/>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PRIMERO. COMPETENCIA.</w:t>
      </w:r>
      <w:r w:rsidRPr="00720A41">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ind w:right="-234"/>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SEGUNDO. OPORTUNIDAD Y PROCEDIBILIDAD DE LOS RECURSOS DE REVISIÓN.</w:t>
      </w:r>
      <w:r w:rsidRPr="00720A41">
        <w:rPr>
          <w:rFonts w:ascii="Palatino Linotype" w:eastAsia="Palatino Linotype" w:hAnsi="Palatino Linotype" w:cs="Palatino Linotype"/>
          <w:b/>
          <w:sz w:val="50"/>
          <w:szCs w:val="50"/>
        </w:rPr>
        <w:t xml:space="preserve"> </w:t>
      </w:r>
      <w:r w:rsidRPr="00720A41">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 previstos en los artículos 178 y 180 de la Ley de Transparencia y Acceso a la Información Pública del Estado de México y Municipios.</w:t>
      </w:r>
    </w:p>
    <w:p w:rsidR="0014272F" w:rsidRPr="00720A41" w:rsidRDefault="0014272F">
      <w:pPr>
        <w:spacing w:after="0" w:line="360" w:lineRule="auto"/>
        <w:ind w:right="-234"/>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Los recursos de revisión fueron interpuestos entro del plazo de quince días hábiles previsto en el artículo 178 de la Ley de Transparencia y Acceso a la Información Pública del Estado de México y Municipios, contados a partir de la fecha en que</w:t>
      </w:r>
      <w:r w:rsidRPr="00720A41">
        <w:rPr>
          <w:rFonts w:ascii="Palatino Linotype" w:eastAsia="Palatino Linotype" w:hAnsi="Palatino Linotype" w:cs="Palatino Linotype"/>
          <w:b/>
          <w:sz w:val="24"/>
          <w:szCs w:val="24"/>
        </w:rPr>
        <w:t xml:space="preserve"> EL SUJETO OBLIGADO </w:t>
      </w:r>
      <w:r w:rsidRPr="00720A41">
        <w:rPr>
          <w:rFonts w:ascii="Palatino Linotype" w:eastAsia="Palatino Linotype" w:hAnsi="Palatino Linotype" w:cs="Palatino Linotype"/>
          <w:sz w:val="24"/>
          <w:szCs w:val="24"/>
        </w:rPr>
        <w:t xml:space="preserve">emitió las respuestas, toda vez que estas fueron pronunciadas el día seis y ocho de mayo de dos mil veintidós, mientras que el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interpuso los recursos de revisión en fecha nueve de mayo de dos mil veintidós, es decir al siguiente y segundo día hábil, circunstancia que determina que se interpusieron en tiempo. </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Además, por cuanto hace a la procedibilidad de los recursos de revisión, es de suma importancia señalar que la parte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276" w:lineRule="auto"/>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Las solicitudes anónimas</w:t>
      </w:r>
      <w:r w:rsidRPr="00720A41">
        <w:rPr>
          <w:rFonts w:ascii="Palatino Linotype" w:eastAsia="Palatino Linotype" w:hAnsi="Palatino Linotype" w:cs="Palatino Linotype"/>
          <w:i/>
        </w:rPr>
        <w:t xml:space="preserve">, con nombre incompleto o seudónimo </w:t>
      </w:r>
      <w:r w:rsidRPr="00720A41">
        <w:rPr>
          <w:rFonts w:ascii="Palatino Linotype" w:eastAsia="Palatino Linotype" w:hAnsi="Palatino Linotype" w:cs="Palatino Linotype"/>
          <w:b/>
          <w:i/>
        </w:rPr>
        <w:t>serán procedentes para su trámite por parte del sujeto obligado ante quien se presente</w:t>
      </w:r>
      <w:r w:rsidRPr="00720A41">
        <w:rPr>
          <w:rFonts w:ascii="Palatino Linotype" w:eastAsia="Palatino Linotype" w:hAnsi="Palatino Linotype" w:cs="Palatino Linotype"/>
          <w:i/>
        </w:rPr>
        <w:t>. No podrá requerirse información adicional con motivo del nombre proporcionado por el solicitante."</w:t>
      </w:r>
    </w:p>
    <w:p w:rsidR="0014272F" w:rsidRPr="00720A41" w:rsidRDefault="0014272F">
      <w:pPr>
        <w:spacing w:after="0" w:line="360" w:lineRule="auto"/>
        <w:ind w:left="851" w:right="902"/>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fueron presentados mediante el formato visible </w:t>
      </w:r>
      <w:r w:rsidRPr="00720A41">
        <w:rPr>
          <w:rFonts w:ascii="Palatino Linotype" w:eastAsia="Palatino Linotype" w:hAnsi="Palatino Linotype" w:cs="Palatino Linotype"/>
          <w:b/>
          <w:sz w:val="24"/>
          <w:szCs w:val="24"/>
        </w:rPr>
        <w:t xml:space="preserve">EL SAIMEX.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Finalmente, resulta procedente la interposición de los recursos, según lo aducido por el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en sus razones o motivos de inconformidad, de acuerdo al artículo 179, fracciones I y IX de la Ley de Transparencia y Acceso a la Información Pública del Estado de México y Municipios; que a la letra dice:</w:t>
      </w:r>
    </w:p>
    <w:p w:rsidR="0014272F" w:rsidRPr="00720A41" w:rsidRDefault="002032B6">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179</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El recurso de revisión</w:t>
      </w:r>
      <w:r w:rsidRPr="00720A41">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720A41">
        <w:rPr>
          <w:rFonts w:ascii="Palatino Linotype" w:eastAsia="Palatino Linotype" w:hAnsi="Palatino Linotype" w:cs="Palatino Linotype"/>
          <w:b/>
          <w:i/>
        </w:rPr>
        <w:t>, y procederá en contra de las siguientes causas</w:t>
      </w:r>
      <w:r w:rsidRPr="00720A41">
        <w:rPr>
          <w:rFonts w:ascii="Palatino Linotype" w:eastAsia="Palatino Linotype" w:hAnsi="Palatino Linotype" w:cs="Palatino Linotype"/>
          <w:i/>
        </w:rPr>
        <w:t>:</w:t>
      </w:r>
    </w:p>
    <w:p w:rsidR="0014272F" w:rsidRPr="00720A41" w:rsidRDefault="002032B6">
      <w:pPr>
        <w:pBdr>
          <w:top w:val="nil"/>
          <w:left w:val="nil"/>
          <w:bottom w:val="nil"/>
          <w:right w:val="nil"/>
          <w:between w:val="nil"/>
        </w:pBdr>
        <w:spacing w:before="240"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i/>
        </w:rPr>
        <w:t>I. La negativa a la información solicitada;</w:t>
      </w:r>
    </w:p>
    <w:p w:rsidR="0014272F" w:rsidRPr="00720A41" w:rsidRDefault="002032B6">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i/>
        </w:rPr>
        <w:t>IX. La entrega o puesta a disposición de información en un formato incomprensible y/o no accesible para el solicitante;” (Sic)</w:t>
      </w:r>
    </w:p>
    <w:p w:rsidR="0014272F" w:rsidRPr="00720A41" w:rsidRDefault="0014272F">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p>
    <w:p w:rsidR="0014272F" w:rsidRPr="00720A41" w:rsidRDefault="002032B6">
      <w:pPr>
        <w:tabs>
          <w:tab w:val="left" w:pos="8647"/>
        </w:tabs>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TERCERO. MATERIA DE LA REVISIÓN. </w:t>
      </w:r>
      <w:r w:rsidRPr="00720A41">
        <w:rPr>
          <w:rFonts w:ascii="Palatino Linotype" w:eastAsia="Palatino Linotype" w:hAnsi="Palatino Linotype" w:cs="Palatino Linotype"/>
          <w:sz w:val="24"/>
          <w:szCs w:val="24"/>
        </w:rPr>
        <w:t>De la revisión a las constancias y documentos que obran en el expediente electrónico se advierte, que el tema sobre el que este Órgano Garante de Transparencia y Acceso a la Información se pronunciará será: verificar si las respuestas otorgadas</w:t>
      </w:r>
      <w:r w:rsidRPr="00720A41">
        <w:rPr>
          <w:rFonts w:ascii="Palatino Linotype" w:eastAsia="Palatino Linotype" w:hAnsi="Palatino Linotype" w:cs="Palatino Linotype"/>
          <w:sz w:val="36"/>
          <w:szCs w:val="36"/>
        </w:rPr>
        <w:t xml:space="preserve"> </w:t>
      </w:r>
      <w:r w:rsidRPr="00720A41">
        <w:rPr>
          <w:rFonts w:ascii="Palatino Linotype" w:eastAsia="Palatino Linotype" w:hAnsi="Palatino Linotype" w:cs="Palatino Linotype"/>
          <w:sz w:val="24"/>
          <w:szCs w:val="24"/>
        </w:rPr>
        <w:t xml:space="preserve">por el SUJETO OBLIGADO son adecuadas y suficientes para satisfacer el derecho de acceso a la información pública de la parte RECURRENTE, o en su defecto, en caso de ser procedente, ordenar la entrega de información oportuna. </w:t>
      </w:r>
    </w:p>
    <w:p w:rsidR="0014272F" w:rsidRPr="00720A41" w:rsidRDefault="0014272F">
      <w:pPr>
        <w:tabs>
          <w:tab w:val="left" w:pos="8647"/>
        </w:tabs>
        <w:spacing w:after="0" w:line="360" w:lineRule="auto"/>
        <w:jc w:val="both"/>
        <w:rPr>
          <w:rFonts w:ascii="Palatino Linotype" w:eastAsia="Palatino Linotype" w:hAnsi="Palatino Linotype" w:cs="Palatino Linotype"/>
          <w:sz w:val="24"/>
          <w:szCs w:val="24"/>
        </w:rPr>
      </w:pPr>
    </w:p>
    <w:p w:rsidR="0014272F" w:rsidRPr="00720A41" w:rsidRDefault="002032B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CUARTO. ESTUDIO Y RESOLUCIÓN DEL ASUNTO.  </w:t>
      </w:r>
      <w:r w:rsidRPr="00720A41">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14272F" w:rsidRPr="00720A41" w:rsidRDefault="0014272F">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Artículo 4.</w:t>
      </w:r>
      <w:r w:rsidRPr="00720A4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20A4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4272F" w:rsidRPr="00720A41" w:rsidRDefault="0014272F">
      <w:pPr>
        <w:spacing w:after="0" w:line="360" w:lineRule="auto"/>
        <w:ind w:left="851" w:right="900"/>
        <w:jc w:val="both"/>
        <w:rPr>
          <w:rFonts w:ascii="Palatino Linotype" w:eastAsia="Palatino Linotype" w:hAnsi="Palatino Linotype" w:cs="Palatino Linotype"/>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14272F" w:rsidRPr="00720A41" w:rsidRDefault="0014272F">
      <w:pPr>
        <w:spacing w:after="80" w:line="360" w:lineRule="auto"/>
        <w:jc w:val="both"/>
        <w:rPr>
          <w:rFonts w:ascii="Palatino Linotype" w:eastAsia="Palatino Linotype" w:hAnsi="Palatino Linotype" w:cs="Palatino Linotype"/>
          <w:sz w:val="24"/>
          <w:szCs w:val="24"/>
        </w:rPr>
      </w:pPr>
    </w:p>
    <w:p w:rsidR="0014272F" w:rsidRPr="00720A41" w:rsidRDefault="002032B6">
      <w:pPr>
        <w:spacing w:before="80" w:after="24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12</w:t>
      </w:r>
      <w:r w:rsidRPr="00720A4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14272F" w:rsidRPr="00720A41" w:rsidRDefault="002032B6">
      <w:pPr>
        <w:spacing w:before="240" w:after="24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4272F" w:rsidRPr="00720A41" w:rsidRDefault="002032B6">
      <w:pPr>
        <w:spacing w:before="240"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720A41">
        <w:rPr>
          <w:rFonts w:ascii="Palatino Linotype" w:eastAsia="Palatino Linotype" w:hAnsi="Palatino Linotype" w:cs="Palatino Linotype"/>
          <w:b/>
          <w:sz w:val="24"/>
          <w:szCs w:val="24"/>
        </w:rPr>
        <w:t xml:space="preserve"> </w:t>
      </w:r>
      <w:r w:rsidRPr="00720A41">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720A41">
        <w:rPr>
          <w:rFonts w:ascii="Palatino Linotype" w:eastAsia="Palatino Linotype" w:hAnsi="Palatino Linotype" w:cs="Palatino Linotype"/>
          <w:i/>
          <w:sz w:val="24"/>
          <w:szCs w:val="24"/>
        </w:rPr>
        <w:t>ad hoc</w:t>
      </w:r>
      <w:r w:rsidRPr="00720A41">
        <w:rPr>
          <w:rFonts w:ascii="Palatino Linotype" w:eastAsia="Palatino Linotype" w:hAnsi="Palatino Linotype" w:cs="Palatino Linotype"/>
          <w:sz w:val="24"/>
          <w:szCs w:val="24"/>
        </w:rPr>
        <w:t>, para satisfacer el derecho de acceso a la información pública.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Aunado a ello el artículo 24 de la Ley de la materia</w:t>
      </w:r>
      <w:r w:rsidRPr="00720A41">
        <w:rPr>
          <w:rFonts w:ascii="Palatino Linotype" w:eastAsia="Palatino Linotype" w:hAnsi="Palatino Linotype" w:cs="Palatino Linotype"/>
          <w:sz w:val="24"/>
          <w:szCs w:val="24"/>
          <w:vertAlign w:val="superscript"/>
        </w:rPr>
        <w:footnoteReference w:id="1"/>
      </w:r>
      <w:r w:rsidRPr="00720A41">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rPr>
      </w:pPr>
      <w:r w:rsidRPr="00720A41">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720A41">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720A41">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720A41">
        <w:rPr>
          <w:rFonts w:ascii="Palatino Linotype" w:eastAsia="Palatino Linotype" w:hAnsi="Palatino Linotype" w:cs="Palatino Linotype"/>
        </w:rPr>
        <w:t xml:space="preserve"> </w:t>
      </w:r>
    </w:p>
    <w:p w:rsidR="0014272F" w:rsidRPr="00720A41" w:rsidRDefault="0014272F">
      <w:pPr>
        <w:spacing w:after="0" w:line="360" w:lineRule="auto"/>
        <w:jc w:val="both"/>
        <w:rPr>
          <w:rFonts w:ascii="Palatino Linotype" w:eastAsia="Palatino Linotype" w:hAnsi="Palatino Linotype" w:cs="Palatino Linotype"/>
        </w:rPr>
      </w:pPr>
    </w:p>
    <w:p w:rsidR="0014272F" w:rsidRPr="00720A41" w:rsidRDefault="002032B6">
      <w:pPr>
        <w:spacing w:after="0" w:line="276" w:lineRule="auto"/>
        <w:ind w:left="851" w:right="899"/>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 xml:space="preserve">Artículo 3. </w:t>
      </w:r>
      <w:r w:rsidRPr="00720A41">
        <w:rPr>
          <w:rFonts w:ascii="Palatino Linotype" w:eastAsia="Palatino Linotype" w:hAnsi="Palatino Linotype" w:cs="Palatino Linotype"/>
          <w:i/>
        </w:rPr>
        <w:t>Para los efectos de la presente Ley se entenderá por:</w:t>
      </w:r>
    </w:p>
    <w:p w:rsidR="0014272F" w:rsidRPr="00720A41" w:rsidRDefault="002032B6">
      <w:pPr>
        <w:spacing w:after="0" w:line="276" w:lineRule="auto"/>
        <w:ind w:left="1134" w:right="899"/>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after="0" w:line="276" w:lineRule="auto"/>
        <w:ind w:left="1134" w:right="899"/>
        <w:jc w:val="both"/>
        <w:rPr>
          <w:rFonts w:ascii="Palatino Linotype" w:eastAsia="Palatino Linotype" w:hAnsi="Palatino Linotype" w:cs="Palatino Linotype"/>
          <w:i/>
        </w:rPr>
      </w:pPr>
      <w:r w:rsidRPr="00720A41">
        <w:rPr>
          <w:rFonts w:ascii="Palatino Linotype" w:eastAsia="Palatino Linotype" w:hAnsi="Palatino Linotype" w:cs="Palatino Linotype"/>
          <w:b/>
          <w:i/>
        </w:rPr>
        <w:t>XI. Documento:</w:t>
      </w:r>
      <w:r w:rsidRPr="00720A41">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20A41">
        <w:rPr>
          <w:rFonts w:ascii="Palatino Linotype" w:eastAsia="Palatino Linotype" w:hAnsi="Palatino Linotype" w:cs="Palatino Linotype"/>
          <w:b/>
          <w:i/>
        </w:rPr>
        <w:t>…</w:t>
      </w:r>
      <w:r w:rsidRPr="00720A41">
        <w:rPr>
          <w:rFonts w:ascii="Palatino Linotype" w:eastAsia="Palatino Linotype" w:hAnsi="Palatino Linotype" w:cs="Palatino Linotype"/>
          <w:i/>
        </w:rPr>
        <w:t>”</w:t>
      </w:r>
    </w:p>
    <w:p w:rsidR="0014272F" w:rsidRPr="00720A41" w:rsidRDefault="0014272F">
      <w:pPr>
        <w:spacing w:after="0" w:line="360" w:lineRule="auto"/>
        <w:ind w:left="1134" w:right="899"/>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276" w:lineRule="auto"/>
        <w:ind w:left="851" w:right="902"/>
        <w:jc w:val="both"/>
        <w:rPr>
          <w:rFonts w:ascii="Palatino Linotype" w:eastAsia="Palatino Linotype" w:hAnsi="Palatino Linotype" w:cs="Palatino Linotype"/>
          <w:b/>
          <w:i/>
        </w:rPr>
      </w:pPr>
      <w:r w:rsidRPr="00720A41">
        <w:rPr>
          <w:rFonts w:ascii="Palatino Linotype" w:eastAsia="Palatino Linotype" w:hAnsi="Palatino Linotype" w:cs="Palatino Linotype"/>
          <w:b/>
        </w:rPr>
        <w:t>“</w:t>
      </w:r>
      <w:r w:rsidRPr="00720A41">
        <w:rPr>
          <w:rFonts w:ascii="Palatino Linotype" w:eastAsia="Palatino Linotype" w:hAnsi="Palatino Linotype" w:cs="Palatino Linotype"/>
          <w:b/>
          <w:i/>
        </w:rPr>
        <w:t>CRITERIO 0002-11</w:t>
      </w:r>
    </w:p>
    <w:p w:rsidR="0014272F" w:rsidRPr="00720A41" w:rsidRDefault="002032B6">
      <w:pPr>
        <w:spacing w:after="0" w:line="276" w:lineRule="auto"/>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20A4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4272F" w:rsidRPr="00720A41" w:rsidRDefault="002032B6">
      <w:pPr>
        <w:spacing w:after="0" w:line="276" w:lineRule="auto"/>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En consecuencia el acceso a la información se refiere a que se cumplan cualquiera de los siguientes tres supuestos:</w:t>
      </w:r>
    </w:p>
    <w:p w:rsidR="0014272F" w:rsidRPr="00720A41" w:rsidRDefault="002032B6">
      <w:pPr>
        <w:spacing w:after="0" w:line="276" w:lineRule="auto"/>
        <w:ind w:left="1134" w:right="902"/>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14272F" w:rsidRPr="00720A41" w:rsidRDefault="002032B6">
      <w:pPr>
        <w:spacing w:after="0" w:line="276" w:lineRule="auto"/>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14272F" w:rsidRPr="00720A41" w:rsidRDefault="002032B6">
      <w:pPr>
        <w:spacing w:after="0" w:line="276" w:lineRule="auto"/>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14272F" w:rsidRPr="00720A41" w:rsidRDefault="0014272F">
      <w:pPr>
        <w:spacing w:after="0" w:line="276" w:lineRule="auto"/>
        <w:ind w:left="1134" w:right="902"/>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lo que se procede al análisis de la totalidad de las constancias que integran los expedientes electrónicos del Sistema de acceso a la Información Mexiquense (</w:t>
      </w:r>
      <w:r w:rsidRPr="00720A41">
        <w:rPr>
          <w:rFonts w:ascii="Palatino Linotype" w:eastAsia="Palatino Linotype" w:hAnsi="Palatino Linotype" w:cs="Palatino Linotype"/>
          <w:b/>
          <w:sz w:val="24"/>
          <w:szCs w:val="24"/>
        </w:rPr>
        <w:t>SAIMEX)</w:t>
      </w:r>
      <w:r w:rsidRPr="00720A41">
        <w:rPr>
          <w:rFonts w:ascii="Palatino Linotype" w:eastAsia="Palatino Linotype" w:hAnsi="Palatino Linotype" w:cs="Palatino Linotype"/>
          <w:sz w:val="24"/>
          <w:szCs w:val="24"/>
        </w:rPr>
        <w:t xml:space="preserve">, a efecto de determinar si con la información remitida por </w:t>
      </w:r>
      <w:r w:rsidRPr="00720A41">
        <w:rPr>
          <w:rFonts w:ascii="Palatino Linotype" w:eastAsia="Palatino Linotype" w:hAnsi="Palatino Linotype" w:cs="Palatino Linotype"/>
          <w:b/>
          <w:sz w:val="24"/>
          <w:szCs w:val="24"/>
        </w:rPr>
        <w:t>EL SUJETO OBLIGADO</w:t>
      </w:r>
      <w:r w:rsidRPr="00720A41">
        <w:rPr>
          <w:rFonts w:ascii="Palatino Linotype" w:eastAsia="Palatino Linotype" w:hAnsi="Palatino Linotype" w:cs="Palatino Linotype"/>
          <w:sz w:val="24"/>
          <w:szCs w:val="24"/>
        </w:rPr>
        <w:t xml:space="preserve"> a través de su respuesta inicial se colma lo requerido en dichas solicitudes.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07374/INFOEM/IP/RR/2022</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720A41" w:rsidRPr="00720A41">
        <w:tc>
          <w:tcPr>
            <w:tcW w:w="2291"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Información requerida.</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Respuesta</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Motivos de inconformidad</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Informe justificado</w:t>
            </w:r>
          </w:p>
        </w:tc>
      </w:tr>
      <w:tr w:rsidR="0014272F" w:rsidRPr="00720A41">
        <w:tc>
          <w:tcPr>
            <w:tcW w:w="2291" w:type="dxa"/>
          </w:tcPr>
          <w:p w:rsidR="0014272F" w:rsidRPr="00720A41" w:rsidRDefault="002032B6">
            <w:pPr>
              <w:spacing w:before="240" w:after="240"/>
              <w:jc w:val="both"/>
              <w:rPr>
                <w:rFonts w:ascii="Palatino Linotype" w:eastAsia="Palatino Linotype" w:hAnsi="Palatino Linotype" w:cs="Palatino Linotype"/>
                <w:b/>
                <w:sz w:val="18"/>
                <w:szCs w:val="18"/>
              </w:rPr>
            </w:pPr>
            <w:r w:rsidRPr="00720A41">
              <w:rPr>
                <w:rFonts w:ascii="Palatino Linotype" w:eastAsia="Palatino Linotype" w:hAnsi="Palatino Linotype" w:cs="Palatino Linotype"/>
                <w:b/>
                <w:sz w:val="18"/>
                <w:szCs w:val="18"/>
              </w:rPr>
              <w:t>00075/ALMORI/IP/2022=07374/INFOEM/IP/RR/2022</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A). Nombre de todos los servidores públicos adscritos a la UIPPE o equivalente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B). Nombre de todos los servidores públicos adscritos a la Unidad de Transparencia o equivalente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C). Nombre de todos los servidores públicos adscritos a la Secretaría Técnica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D). CFDI de todos los servidores públicos adscritos a la UIPPE o equivalente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E). CFDI de todos los servidores públicos adscritos a la Unidad de Transparencia o equivalente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F). CFDI de todos los servidores públicos adscritos a la Secretaría Técnica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G). Certificación del titular o encargado de la UIPPE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H). Certificación del titular o encargado de la Unidad de Transparencia</w:t>
            </w:r>
          </w:p>
        </w:tc>
        <w:tc>
          <w:tcPr>
            <w:tcW w:w="2179" w:type="dxa"/>
            <w:vAlign w:val="center"/>
          </w:tcPr>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 No hay servidores públicos adscritos al área de la UIPPE y a la Unidad de Transparencia.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De acuerdo al artículo 32 de la Ley orgánica del Estado de México en su fracción 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w:t>
            </w:r>
          </w:p>
        </w:tc>
        <w:tc>
          <w:tcPr>
            <w:tcW w:w="2179" w:type="dxa"/>
          </w:tcPr>
          <w:p w:rsidR="0014272F" w:rsidRPr="00720A41" w:rsidRDefault="002032B6">
            <w:pPr>
              <w:spacing w:before="240" w:after="240"/>
              <w:jc w:val="both"/>
              <w:rPr>
                <w:rFonts w:ascii="Palatino Linotype" w:eastAsia="Palatino Linotype" w:hAnsi="Palatino Linotype" w:cs="Palatino Linotype"/>
                <w:i/>
                <w:sz w:val="20"/>
                <w:szCs w:val="20"/>
              </w:rPr>
            </w:pPr>
            <w:r w:rsidRPr="00720A41">
              <w:rPr>
                <w:rFonts w:ascii="Palatino Linotype" w:eastAsia="Palatino Linotype" w:hAnsi="Palatino Linotype" w:cs="Palatino Linotype"/>
                <w:i/>
                <w:sz w:val="20"/>
                <w:szCs w:val="20"/>
              </w:rPr>
              <w:t>“No se entregó la información solicitada, en caso de ser cierto que no hay personas al frente dela unidad de transparencia, quién está respondiendo a las solicitudes (Sic)”.</w:t>
            </w:r>
          </w:p>
        </w:tc>
        <w:tc>
          <w:tcPr>
            <w:tcW w:w="2179" w:type="dxa"/>
          </w:tcPr>
          <w:p w:rsidR="0014272F" w:rsidRPr="00720A41" w:rsidRDefault="002032B6">
            <w:pPr>
              <w:spacing w:before="240" w:after="240"/>
              <w:jc w:val="center"/>
              <w:rPr>
                <w:rFonts w:ascii="Palatino Linotype" w:eastAsia="Palatino Linotype" w:hAnsi="Palatino Linotype" w:cs="Palatino Linotype"/>
                <w:sz w:val="20"/>
                <w:szCs w:val="20"/>
              </w:rPr>
            </w:pPr>
            <w:r w:rsidRPr="00720A41">
              <w:rPr>
                <w:rFonts w:ascii="Palatino Linotype" w:eastAsia="Palatino Linotype" w:hAnsi="Palatino Linotype" w:cs="Palatino Linotype"/>
                <w:sz w:val="20"/>
                <w:szCs w:val="20"/>
              </w:rPr>
              <w:t>N/A</w:t>
            </w:r>
          </w:p>
        </w:tc>
      </w:tr>
    </w:tbl>
    <w:p w:rsidR="0014272F" w:rsidRPr="00720A41" w:rsidRDefault="0014272F">
      <w:pPr>
        <w:spacing w:line="360" w:lineRule="auto"/>
        <w:jc w:val="both"/>
        <w:rPr>
          <w:rFonts w:ascii="Palatino Linotype" w:eastAsia="Palatino Linotype" w:hAnsi="Palatino Linotype" w:cs="Palatino Linotype"/>
          <w:b/>
          <w:sz w:val="24"/>
          <w:szCs w:val="24"/>
        </w:rPr>
      </w:pPr>
    </w:p>
    <w:p w:rsidR="0014272F" w:rsidRPr="00720A41" w:rsidRDefault="002032B6">
      <w:pPr>
        <w:spacing w:before="160"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Al respecto, de una revisión al expediente que no ocupa dentro del Sistema de Acceso a la Información Mexiquense, se advierte que la respuesta proporcionada al</w:t>
      </w:r>
      <w:r w:rsidRPr="00720A41">
        <w:rPr>
          <w:rFonts w:ascii="Palatino Linotype" w:eastAsia="Palatino Linotype" w:hAnsi="Palatino Linotype" w:cs="Palatino Linotype"/>
          <w:b/>
          <w:sz w:val="24"/>
          <w:szCs w:val="24"/>
        </w:rPr>
        <w:t xml:space="preserve"> RECURRENTE</w:t>
      </w:r>
      <w:r w:rsidRPr="00720A41">
        <w:rPr>
          <w:rFonts w:ascii="Palatino Linotype" w:eastAsia="Palatino Linotype" w:hAnsi="Palatino Linotype" w:cs="Palatino Linotype"/>
          <w:sz w:val="24"/>
          <w:szCs w:val="24"/>
        </w:rPr>
        <w:t xml:space="preserve"> fue realizada únicamente por el Titular de la Unidad de Información del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y no así por las unidades administrativas encargadas de generar, poseer o administrar la información solicitada.</w:t>
      </w:r>
    </w:p>
    <w:p w:rsidR="0014272F" w:rsidRPr="00720A41" w:rsidRDefault="0014272F">
      <w:pPr>
        <w:spacing w:after="0" w:line="360" w:lineRule="auto"/>
        <w:jc w:val="both"/>
        <w:rPr>
          <w:rFonts w:ascii="Palatino Linotype" w:eastAsia="Palatino Linotype" w:hAnsi="Palatino Linotype" w:cs="Palatino Linotype"/>
        </w:rPr>
      </w:pPr>
    </w:p>
    <w:p w:rsidR="0014272F" w:rsidRPr="00720A41" w:rsidRDefault="002032B6">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sz w:val="24"/>
          <w:szCs w:val="24"/>
        </w:rPr>
        <w:t>En ese tenor, conviene mencionar que el  Titular de la Unidad de Transparencia es el encargado de dar atención a las solicitudes de información con fundamento en los artículos 50 y 53 fracciones II, V y VI  de la Ley de Transparencia y Acceso a la Información Pública del Estado de México y Municipios,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720A41">
        <w:rPr>
          <w:rFonts w:ascii="Palatino Linotype" w:eastAsia="Palatino Linotype" w:hAnsi="Palatino Linotype" w:cs="Palatino Linotype"/>
          <w:b/>
          <w:sz w:val="24"/>
          <w:szCs w:val="24"/>
        </w:rPr>
        <w:t xml:space="preserve"> </w:t>
      </w:r>
    </w:p>
    <w:p w:rsidR="0014272F" w:rsidRPr="00720A41" w:rsidRDefault="0014272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14272F" w:rsidRPr="00720A41" w:rsidRDefault="002032B6">
      <w:pPr>
        <w:tabs>
          <w:tab w:val="left" w:pos="709"/>
        </w:tabs>
        <w:spacing w:after="0" w:line="360" w:lineRule="auto"/>
        <w:ind w:left="851" w:right="760"/>
        <w:jc w:val="center"/>
        <w:rPr>
          <w:rFonts w:ascii="Palatino Linotype" w:eastAsia="Palatino Linotype" w:hAnsi="Palatino Linotype" w:cs="Palatino Linotype"/>
          <w:b/>
          <w:i/>
        </w:rPr>
      </w:pPr>
      <w:r w:rsidRPr="00720A41">
        <w:rPr>
          <w:rFonts w:ascii="Palatino Linotype" w:eastAsia="Palatino Linotype" w:hAnsi="Palatino Linotype" w:cs="Palatino Linotype"/>
          <w:b/>
        </w:rPr>
        <w:t>Ley de Transparencia y Acceso a la Información Pública del Estado de México y Municipios</w:t>
      </w:r>
    </w:p>
    <w:p w:rsidR="0014272F" w:rsidRPr="00720A41" w:rsidRDefault="002032B6">
      <w:pPr>
        <w:tabs>
          <w:tab w:val="left" w:pos="709"/>
        </w:tabs>
        <w:spacing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720A41">
        <w:rPr>
          <w:rFonts w:ascii="Palatino Linotype" w:eastAsia="Palatino Linotype" w:hAnsi="Palatino Linotype" w:cs="Palatino Linotype"/>
          <w:b/>
          <w:i/>
          <w:u w:val="single"/>
        </w:rPr>
        <w:t>Dicha Unidad será la encargada de tramitar internamente la solicitud de información</w:t>
      </w:r>
      <w:r w:rsidRPr="00720A41">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Artículo 53. Las Unidades de Transparencia tendrán las siguientes funciones:</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II. Recibir, tramitar y dar respuesta a las solicitudes de acceso a la información; </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b/>
          <w:i/>
          <w:u w:val="single"/>
        </w:rPr>
      </w:pPr>
      <w:r w:rsidRPr="00720A41">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rsidR="0014272F" w:rsidRPr="00720A41" w:rsidRDefault="002032B6">
      <w:pPr>
        <w:tabs>
          <w:tab w:val="left" w:pos="709"/>
        </w:tabs>
        <w:spacing w:before="240" w:after="240"/>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V. Entregar, en su caso, a los particulares la información solicitada; </w:t>
      </w:r>
    </w:p>
    <w:p w:rsidR="0014272F" w:rsidRPr="00720A41" w:rsidRDefault="002032B6">
      <w:pPr>
        <w:tabs>
          <w:tab w:val="left" w:pos="709"/>
        </w:tabs>
        <w:spacing w:before="240" w:after="0" w:line="360" w:lineRule="auto"/>
        <w:ind w:left="851" w:right="760"/>
        <w:jc w:val="both"/>
        <w:rPr>
          <w:rFonts w:ascii="Palatino Linotype" w:eastAsia="Palatino Linotype" w:hAnsi="Palatino Linotype" w:cs="Palatino Linotype"/>
          <w:i/>
        </w:rPr>
      </w:pPr>
      <w:r w:rsidRPr="00720A41">
        <w:rPr>
          <w:rFonts w:ascii="Palatino Linotype" w:eastAsia="Palatino Linotype" w:hAnsi="Palatino Linotype" w:cs="Palatino Linotype"/>
          <w:i/>
        </w:rPr>
        <w:t>VI. Efectuar las notificaciones a los solicitantes;” (Sic)</w:t>
      </w:r>
    </w:p>
    <w:p w:rsidR="0014272F" w:rsidRPr="00720A41" w:rsidRDefault="0014272F">
      <w:pPr>
        <w:tabs>
          <w:tab w:val="left" w:pos="709"/>
        </w:tabs>
        <w:spacing w:after="0" w:line="360" w:lineRule="auto"/>
        <w:ind w:left="851" w:right="760"/>
        <w:jc w:val="both"/>
        <w:rPr>
          <w:rFonts w:ascii="Palatino Linotype" w:eastAsia="Palatino Linotype" w:hAnsi="Palatino Linotype" w:cs="Palatino Linotype"/>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Aunado a lo anterior, se debe señalar que aunque la solicitud de información y la respuesta estén dirigidas y atendidas por un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localizar la información que le solicite la Unidad de Transparencia; Proporcionar la información que obre en los archivos y que le sea solicitada por la Unidad de Transparencia, lo anterior de conformidad con los artículos 3 fracción XXXIX, 58 y 59  de la Ley en la materia, que estipulan lo siguiente:</w:t>
      </w:r>
    </w:p>
    <w:p w:rsidR="0014272F" w:rsidRPr="00720A41" w:rsidRDefault="002032B6">
      <w:pPr>
        <w:spacing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3.</w:t>
      </w:r>
      <w:r w:rsidRPr="00720A41">
        <w:rPr>
          <w:rFonts w:ascii="Palatino Linotype" w:eastAsia="Palatino Linotype" w:hAnsi="Palatino Linotype" w:cs="Palatino Linotype"/>
          <w:i/>
        </w:rPr>
        <w:t xml:space="preserve"> Para los efectos de la presente Ley se entenderá por:</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XXXIX. Servidor público habilitado: </w:t>
      </w:r>
      <w:r w:rsidRPr="00720A41">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58.</w:t>
      </w:r>
      <w:r w:rsidRPr="00720A41">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59.</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u w:val="single"/>
        </w:rPr>
        <w:t>Los servidores públicos habilitados</w:t>
      </w:r>
      <w:r w:rsidRPr="00720A41">
        <w:rPr>
          <w:rFonts w:ascii="Palatino Linotype" w:eastAsia="Palatino Linotype" w:hAnsi="Palatino Linotype" w:cs="Palatino Linotype"/>
          <w:i/>
        </w:rPr>
        <w:t xml:space="preserve"> tendrán las funciones siguientes:</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 </w:t>
      </w:r>
      <w:r w:rsidRPr="00720A41">
        <w:rPr>
          <w:rFonts w:ascii="Palatino Linotype" w:eastAsia="Palatino Linotype" w:hAnsi="Palatino Linotype" w:cs="Palatino Linotype"/>
          <w:b/>
          <w:i/>
          <w:u w:val="single"/>
        </w:rPr>
        <w:t>Localizar la información que le solicite la Unidad de Transparencia</w:t>
      </w:r>
      <w:r w:rsidRPr="00720A41">
        <w:rPr>
          <w:rFonts w:ascii="Palatino Linotype" w:eastAsia="Palatino Linotype" w:hAnsi="Palatino Linotype" w:cs="Palatino Linotype"/>
          <w:i/>
        </w:rPr>
        <w:t>;</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II. </w:t>
      </w:r>
      <w:r w:rsidRPr="00720A41">
        <w:rPr>
          <w:rFonts w:ascii="Palatino Linotype" w:eastAsia="Palatino Linotype" w:hAnsi="Palatino Linotype" w:cs="Palatino Linotype"/>
          <w:b/>
          <w:i/>
          <w:u w:val="single"/>
        </w:rPr>
        <w:t>Proporcionar la información que obre en los archivos y que le sea solicitada por la Unidad de Transparencia</w:t>
      </w:r>
      <w:r w:rsidRPr="00720A41">
        <w:rPr>
          <w:rFonts w:ascii="Palatino Linotype" w:eastAsia="Palatino Linotype" w:hAnsi="Palatino Linotype" w:cs="Palatino Linotype"/>
          <w:i/>
        </w:rPr>
        <w:t>;</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III. Apoyar a la Unidad de Transparencia en lo que esta le solicite para el cumplimiento de sus funciones;</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IV. Proporcionar a la Unidad de Transparencia, las modificaciones a la información pública de oficio que obre en su poder;</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14272F" w:rsidRPr="00720A41" w:rsidRDefault="002032B6">
      <w:pPr>
        <w:spacing w:before="240" w:after="240" w:line="276"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VI. Verificar, una vez analizado el contenido de la información, que no se encuentre en los supuestos de información clasificada; y</w:t>
      </w:r>
    </w:p>
    <w:p w:rsidR="0014272F" w:rsidRPr="00720A41" w:rsidRDefault="002032B6">
      <w:pPr>
        <w:spacing w:before="240" w:after="0" w:line="360" w:lineRule="auto"/>
        <w:ind w:left="567" w:right="708"/>
        <w:jc w:val="both"/>
        <w:rPr>
          <w:rFonts w:ascii="Palatino Linotype" w:eastAsia="Palatino Linotype" w:hAnsi="Palatino Linotype" w:cs="Palatino Linotype"/>
          <w:i/>
        </w:rPr>
      </w:pPr>
      <w:r w:rsidRPr="00720A41">
        <w:rPr>
          <w:rFonts w:ascii="Palatino Linotype" w:eastAsia="Palatino Linotype" w:hAnsi="Palatino Linotype" w:cs="Palatino Linotype"/>
          <w:i/>
        </w:rPr>
        <w:t>VII. Dar cuenta a la Unidad de Transparencia del vencimiento de los plazos de reserva.” (Sic)</w:t>
      </w:r>
    </w:p>
    <w:p w:rsidR="0014272F" w:rsidRPr="00720A41" w:rsidRDefault="0014272F">
      <w:pPr>
        <w:spacing w:after="0" w:line="360" w:lineRule="auto"/>
        <w:ind w:left="567" w:right="708"/>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 otras palabras, no se cumplió con lo que, para tal efecto, dispone el artículo 162 de la Ley de Transparencia y Acceso a la Información Pública del Estado de México y Municipios, que índica: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ind w:left="567" w:right="618"/>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 xml:space="preserve">Artículo 162. </w:t>
      </w:r>
      <w:r w:rsidRPr="00720A41">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20A41">
        <w:rPr>
          <w:rFonts w:ascii="Palatino Linotype" w:eastAsia="Palatino Linotype" w:hAnsi="Palatino Linotype" w:cs="Palatino Linotype"/>
          <w:i/>
        </w:rPr>
        <w:t>” (Sic)</w:t>
      </w:r>
    </w:p>
    <w:p w:rsidR="0014272F" w:rsidRPr="00720A41" w:rsidRDefault="0014272F">
      <w:pPr>
        <w:spacing w:after="0" w:line="360" w:lineRule="auto"/>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Cabe precisar, que no basta con que </w:t>
      </w:r>
      <w:r w:rsidRPr="00720A41">
        <w:rPr>
          <w:rFonts w:ascii="Palatino Linotype" w:eastAsia="Palatino Linotype" w:hAnsi="Palatino Linotype" w:cs="Palatino Linotype"/>
          <w:b/>
          <w:sz w:val="24"/>
          <w:szCs w:val="24"/>
        </w:rPr>
        <w:t>EL SUJETO OBLIGADO</w:t>
      </w:r>
      <w:r w:rsidRPr="00720A41">
        <w:rPr>
          <w:rFonts w:ascii="Palatino Linotype" w:eastAsia="Palatino Linotype" w:hAnsi="Palatino Linotype" w:cs="Palatino Linotype"/>
          <w:sz w:val="24"/>
          <w:szCs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720A41">
        <w:rPr>
          <w:rFonts w:ascii="Palatino Linotype" w:eastAsia="Palatino Linotype" w:hAnsi="Palatino Linotype" w:cs="Palatino Linotype"/>
          <w:b/>
          <w:sz w:val="24"/>
          <w:szCs w:val="24"/>
        </w:rPr>
        <w:t>EL SUJETO OBLIGADO</w:t>
      </w:r>
      <w:r w:rsidRPr="00720A41">
        <w:rPr>
          <w:rFonts w:ascii="Palatino Linotype" w:eastAsia="Palatino Linotype" w:hAnsi="Palatino Linotype" w:cs="Palatino Linotype"/>
          <w:sz w:val="24"/>
          <w:szCs w:val="24"/>
        </w:rPr>
        <w:t xml:space="preserve"> en el presente asunto es el Ayuntamiento de Almoloya del Río en su conjunto, incluyendo todas y cada una de las áreas que lo conforman y por supuesto en donde pudiera obrar la información que se solicita.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lo que una vez hecha la búsqueda exhaustiva y razonable de la información en todas y cada una de las áreas que pudieran poseer la información, deberá informar al </w:t>
      </w:r>
      <w:r w:rsidRPr="00720A41">
        <w:rPr>
          <w:rFonts w:ascii="Palatino Linotype" w:eastAsia="Palatino Linotype" w:hAnsi="Palatino Linotype" w:cs="Palatino Linotype"/>
          <w:b/>
          <w:sz w:val="24"/>
          <w:szCs w:val="24"/>
        </w:rPr>
        <w:t xml:space="preserve">RECURRENTE </w:t>
      </w:r>
      <w:r w:rsidRPr="00720A41">
        <w:rPr>
          <w:rFonts w:ascii="Palatino Linotype" w:eastAsia="Palatino Linotype" w:hAnsi="Palatino Linotype" w:cs="Palatino Linotype"/>
          <w:sz w:val="24"/>
          <w:szCs w:val="24"/>
        </w:rPr>
        <w:t>el resultado de la misma, junto con las constancias que acrediten la búsqueda precisada.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tabs>
          <w:tab w:val="left" w:pos="7938"/>
        </w:tabs>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Lo anterior es así ya que derivado de la solicitud de información (en la que se resuelve), se aprecia en el sistema SAIMEX, que el Titular de la Unidad de Transparencia del Sujeto Obligado, no tramitó ante las instancias del Municipio, que pudieran tener lo solicitado (derivado de sus funciones) lo requerido por el particular, sino que de </w:t>
      </w:r>
      <w:r w:rsidRPr="00720A41">
        <w:rPr>
          <w:rFonts w:ascii="Palatino Linotype" w:eastAsia="Palatino Linotype" w:hAnsi="Palatino Linotype" w:cs="Palatino Linotype"/>
          <w:i/>
          <w:sz w:val="24"/>
          <w:szCs w:val="24"/>
        </w:rPr>
        <w:t>motu proprio (por propia iniciativa)</w:t>
      </w:r>
      <w:r w:rsidRPr="00720A41">
        <w:rPr>
          <w:rFonts w:ascii="Palatino Linotype" w:eastAsia="Palatino Linotype" w:hAnsi="Palatino Linotype" w:cs="Palatino Linotype"/>
          <w:sz w:val="24"/>
          <w:szCs w:val="24"/>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del Titular de la Unidad de Transparencia que se haya dirigido a alguna otra dependencia del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ya que no se aprecia alguna comunicación interna en el sistema que haya quedado registrada.</w:t>
      </w:r>
    </w:p>
    <w:p w:rsidR="0014272F" w:rsidRPr="00720A41" w:rsidRDefault="0014272F">
      <w:pPr>
        <w:tabs>
          <w:tab w:val="left" w:pos="7938"/>
        </w:tabs>
        <w:spacing w:after="0" w:line="360" w:lineRule="auto"/>
        <w:jc w:val="both"/>
        <w:rPr>
          <w:rFonts w:ascii="Palatino Linotype" w:eastAsia="Palatino Linotype" w:hAnsi="Palatino Linotype" w:cs="Palatino Linotype"/>
          <w:sz w:val="24"/>
          <w:szCs w:val="24"/>
        </w:rPr>
      </w:pPr>
    </w:p>
    <w:p w:rsidR="0014272F" w:rsidRPr="00720A41" w:rsidRDefault="002032B6">
      <w:pPr>
        <w:tabs>
          <w:tab w:val="left" w:pos="7938"/>
        </w:tabs>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Es así como podemos concluir, que la respuesta proporcionada por </w:t>
      </w:r>
      <w:r w:rsidRPr="00720A41">
        <w:rPr>
          <w:rFonts w:ascii="Palatino Linotype" w:eastAsia="Palatino Linotype" w:hAnsi="Palatino Linotype" w:cs="Palatino Linotype"/>
          <w:b/>
          <w:sz w:val="24"/>
          <w:szCs w:val="24"/>
        </w:rPr>
        <w:t xml:space="preserve">EL SUJETO OBLIGADO </w:t>
      </w:r>
      <w:r w:rsidRPr="00720A41">
        <w:rPr>
          <w:rFonts w:ascii="Palatino Linotype" w:eastAsia="Palatino Linotype" w:hAnsi="Palatino Linotype" w:cs="Palatino Linotype"/>
          <w:sz w:val="24"/>
          <w:szCs w:val="24"/>
        </w:rPr>
        <w:t xml:space="preserve">carece de certeza jurídica; ello en razón, primeramente, no existe evidencia documental en el SAIMEX de que se hayan turnado las solicitudes al servidor público habilitado de las distintas áreas del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xml:space="preserve">; por lo que, la solicitud debe ser remitida a las áreas competentes de contar con la información y derivado a que no giró el requerimiento a la diferentes áreas con la que cuenta </w:t>
      </w:r>
      <w:r w:rsidRPr="00720A41">
        <w:rPr>
          <w:rFonts w:ascii="Palatino Linotype" w:eastAsia="Palatino Linotype" w:hAnsi="Palatino Linotype" w:cs="Palatino Linotype"/>
          <w:b/>
          <w:sz w:val="24"/>
          <w:szCs w:val="24"/>
        </w:rPr>
        <w:t>EL SUJETO OBLIGADO</w:t>
      </w:r>
      <w:r w:rsidRPr="00720A41">
        <w:rPr>
          <w:rFonts w:ascii="Palatino Linotype" w:eastAsia="Palatino Linotype" w:hAnsi="Palatino Linotype" w:cs="Palatino Linotype"/>
          <w:sz w:val="24"/>
          <w:szCs w:val="24"/>
        </w:rPr>
        <w:t>, es necesario se realice el procedimiento correspondiente a fin de localizar la información solicitada.</w:t>
      </w:r>
    </w:p>
    <w:p w:rsidR="0014272F" w:rsidRPr="00720A41" w:rsidRDefault="0014272F">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p>
    <w:p w:rsidR="0014272F" w:rsidRPr="00720A41" w:rsidRDefault="002032B6">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Respecto al CFDI y nombre de los Servidores Públicos adscritos a la UIPPE, de la Unidad de Transparencia y de la Secretaria Técnica.</w:t>
      </w:r>
    </w:p>
    <w:p w:rsidR="0014272F" w:rsidRPr="00720A41" w:rsidRDefault="0014272F">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sz w:val="24"/>
          <w:szCs w:val="24"/>
        </w:rPr>
      </w:pPr>
    </w:p>
    <w:p w:rsidR="0014272F" w:rsidRPr="00720A41" w:rsidRDefault="002032B6">
      <w:pPr>
        <w:tabs>
          <w:tab w:val="left" w:pos="8647"/>
        </w:tabs>
        <w:spacing w:after="0" w:line="360" w:lineRule="auto"/>
        <w:ind w:right="14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En primera instancia conviene precisar el organigrama del </w:t>
      </w:r>
      <w:r w:rsidRPr="00720A41">
        <w:rPr>
          <w:rFonts w:ascii="Palatino Linotype" w:eastAsia="Palatino Linotype" w:hAnsi="Palatino Linotype" w:cs="Palatino Linotype"/>
          <w:b/>
          <w:sz w:val="24"/>
          <w:szCs w:val="24"/>
        </w:rPr>
        <w:t xml:space="preserve">SUJETO OBLIGADO, </w:t>
      </w:r>
      <w:r w:rsidRPr="00720A41">
        <w:rPr>
          <w:rFonts w:ascii="Palatino Linotype" w:eastAsia="Palatino Linotype" w:hAnsi="Palatino Linotype" w:cs="Palatino Linotype"/>
          <w:sz w:val="24"/>
          <w:szCs w:val="24"/>
        </w:rPr>
        <w:t>a efecto de verificar que las áreas en mención forman parte de la estructura orgánica del Ayuntamiento de Almoloya del Río, por lo que dicho organigrama se observa en la siguiente liga electrónica:</w:t>
      </w:r>
    </w:p>
    <w:p w:rsidR="0014272F" w:rsidRPr="00720A41" w:rsidRDefault="0014272F">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sz w:val="24"/>
          <w:szCs w:val="24"/>
        </w:rPr>
      </w:pPr>
    </w:p>
    <w:p w:rsidR="0014272F" w:rsidRPr="00720A41" w:rsidRDefault="0054429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sz w:val="24"/>
          <w:szCs w:val="24"/>
        </w:rPr>
      </w:pPr>
      <w:hyperlink r:id="rId15">
        <w:r w:rsidR="002032B6" w:rsidRPr="00720A41">
          <w:rPr>
            <w:rFonts w:ascii="Palatino Linotype" w:eastAsia="Palatino Linotype" w:hAnsi="Palatino Linotype" w:cs="Palatino Linotype"/>
            <w:b/>
            <w:sz w:val="24"/>
            <w:szCs w:val="24"/>
            <w:u w:val="single"/>
          </w:rPr>
          <w:t>https://almoloyadelrio.gob.mx/transparencia/almoloyadelrio/ayuntamiento_92_II-B_220815130227_organigrama-almoloya-del-rio-pdf-2022-1-12-111857.pdf</w:t>
        </w:r>
      </w:hyperlink>
      <w:r w:rsidR="002032B6" w:rsidRPr="00720A41">
        <w:rPr>
          <w:rFonts w:ascii="Palatino Linotype" w:eastAsia="Palatino Linotype" w:hAnsi="Palatino Linotype" w:cs="Palatino Linotype"/>
          <w:b/>
          <w:sz w:val="24"/>
          <w:szCs w:val="24"/>
        </w:rPr>
        <w:t xml:space="preserve"> </w:t>
      </w:r>
    </w:p>
    <w:p w:rsidR="0014272F" w:rsidRPr="00720A41" w:rsidRDefault="002032B6">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sz w:val="24"/>
          <w:szCs w:val="24"/>
        </w:rPr>
      </w:pPr>
      <w:r w:rsidRPr="00720A41">
        <w:rPr>
          <w:noProof/>
        </w:rPr>
        <w:drawing>
          <wp:inline distT="0" distB="0" distL="0" distR="0">
            <wp:extent cx="5631403" cy="3517818"/>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17311" t="12672" r="16666" b="14002"/>
                    <a:stretch>
                      <a:fillRect/>
                    </a:stretch>
                  </pic:blipFill>
                  <pic:spPr>
                    <a:xfrm>
                      <a:off x="0" y="0"/>
                      <a:ext cx="5631403" cy="3517818"/>
                    </a:xfrm>
                    <a:prstGeom prst="rect">
                      <a:avLst/>
                    </a:prstGeom>
                    <a:ln/>
                  </pic:spPr>
                </pic:pic>
              </a:graphicData>
            </a:graphic>
          </wp:inline>
        </w:drawing>
      </w:r>
      <w:r w:rsidRPr="00720A41">
        <w:rPr>
          <w:noProof/>
        </w:rPr>
        <mc:AlternateContent>
          <mc:Choice Requires="wpg">
            <w:drawing>
              <wp:anchor distT="0" distB="0" distL="114300" distR="114300" simplePos="0" relativeHeight="251658240" behindDoc="0" locked="0" layoutInCell="1" hidden="0" allowOverlap="1">
                <wp:simplePos x="0" y="0"/>
                <wp:positionH relativeFrom="column">
                  <wp:posOffset>3048000</wp:posOffset>
                </wp:positionH>
                <wp:positionV relativeFrom="paragraph">
                  <wp:posOffset>1574800</wp:posOffset>
                </wp:positionV>
                <wp:extent cx="485775" cy="333375"/>
                <wp:effectExtent l="0" t="0" r="0" b="0"/>
                <wp:wrapNone/>
                <wp:docPr id="24" name="Rectángulo 24"/>
                <wp:cNvGraphicFramePr/>
                <a:graphic xmlns:a="http://schemas.openxmlformats.org/drawingml/2006/main">
                  <a:graphicData uri="http://schemas.microsoft.com/office/word/2010/wordprocessingShape">
                    <wps:wsp>
                      <wps:cNvSpPr/>
                      <wps:spPr>
                        <a:xfrm>
                          <a:off x="5122163" y="3632363"/>
                          <a:ext cx="447675" cy="295275"/>
                        </a:xfrm>
                        <a:prstGeom prst="rect">
                          <a:avLst/>
                        </a:prstGeom>
                        <a:noFill/>
                        <a:ln w="38100" cap="flat" cmpd="sng">
                          <a:solidFill>
                            <a:srgbClr val="FF0000"/>
                          </a:solidFill>
                          <a:prstDash val="solid"/>
                          <a:miter lim="800000"/>
                          <a:headEnd type="none" w="sm" len="sm"/>
                          <a:tailEnd type="none" w="sm" len="sm"/>
                        </a:ln>
                      </wps:spPr>
                      <wps:txbx>
                        <w:txbxContent>
                          <w:p w:rsidR="0014272F" w:rsidRDefault="001427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3048000</wp:posOffset>
                </wp:positionH>
                <wp:positionV relativeFrom="paragraph">
                  <wp:posOffset>1574800</wp:posOffset>
                </wp:positionV>
                <wp:extent cx="485775" cy="333375"/>
                <wp:effectExtent b="0" l="0" r="0" t="0"/>
                <wp:wrapNone/>
                <wp:docPr id="24"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485775" cy="333375"/>
                        </a:xfrm>
                        <a:prstGeom prst="rect"/>
                        <a:ln/>
                      </pic:spPr>
                    </pic:pic>
                  </a:graphicData>
                </a:graphic>
              </wp:anchor>
            </w:drawing>
          </mc:Fallback>
        </mc:AlternateContent>
      </w:r>
      <w:r w:rsidRPr="00720A41">
        <w:rPr>
          <w:noProof/>
        </w:rPr>
        <mc:AlternateContent>
          <mc:Choice Requires="wpg">
            <w:drawing>
              <wp:anchor distT="0" distB="0" distL="114300" distR="114300" simplePos="0" relativeHeight="251659264" behindDoc="0" locked="0" layoutInCell="1" hidden="0" allowOverlap="1">
                <wp:simplePos x="0" y="0"/>
                <wp:positionH relativeFrom="column">
                  <wp:posOffset>3898900</wp:posOffset>
                </wp:positionH>
                <wp:positionV relativeFrom="paragraph">
                  <wp:posOffset>889000</wp:posOffset>
                </wp:positionV>
                <wp:extent cx="361950" cy="828675"/>
                <wp:effectExtent l="0" t="0" r="0" b="0"/>
                <wp:wrapNone/>
                <wp:docPr id="25" name="Rectángulo 25"/>
                <wp:cNvGraphicFramePr/>
                <a:graphic xmlns:a="http://schemas.openxmlformats.org/drawingml/2006/main">
                  <a:graphicData uri="http://schemas.microsoft.com/office/word/2010/wordprocessingShape">
                    <wps:wsp>
                      <wps:cNvSpPr/>
                      <wps:spPr>
                        <a:xfrm>
                          <a:off x="5184075" y="3384713"/>
                          <a:ext cx="323850" cy="790575"/>
                        </a:xfrm>
                        <a:prstGeom prst="rect">
                          <a:avLst/>
                        </a:prstGeom>
                        <a:noFill/>
                        <a:ln w="38100" cap="flat" cmpd="sng">
                          <a:solidFill>
                            <a:srgbClr val="FF0000"/>
                          </a:solidFill>
                          <a:prstDash val="solid"/>
                          <a:miter lim="800000"/>
                          <a:headEnd type="none" w="sm" len="sm"/>
                          <a:tailEnd type="none" w="sm" len="sm"/>
                        </a:ln>
                      </wps:spPr>
                      <wps:txbx>
                        <w:txbxContent>
                          <w:p w:rsidR="0014272F" w:rsidRDefault="001427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3898900</wp:posOffset>
                </wp:positionH>
                <wp:positionV relativeFrom="paragraph">
                  <wp:posOffset>889000</wp:posOffset>
                </wp:positionV>
                <wp:extent cx="361950" cy="828675"/>
                <wp:effectExtent b="0" l="0" r="0" t="0"/>
                <wp:wrapNone/>
                <wp:docPr id="25"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361950" cy="828675"/>
                        </a:xfrm>
                        <a:prstGeom prst="rect"/>
                        <a:ln/>
                      </pic:spPr>
                    </pic:pic>
                  </a:graphicData>
                </a:graphic>
              </wp:anchor>
            </w:drawing>
          </mc:Fallback>
        </mc:AlternateContent>
      </w:r>
    </w:p>
    <w:p w:rsidR="0014272F" w:rsidRPr="00720A41" w:rsidRDefault="0014272F">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p>
    <w:p w:rsidR="0014272F" w:rsidRPr="00720A41" w:rsidRDefault="002032B6">
      <w:pPr>
        <w:pBdr>
          <w:top w:val="nil"/>
          <w:left w:val="nil"/>
          <w:bottom w:val="nil"/>
          <w:right w:val="nil"/>
          <w:between w:val="nil"/>
        </w:pBdr>
        <w:shd w:val="clear" w:color="auto" w:fill="FFFFFF"/>
        <w:spacing w:after="0" w:line="360" w:lineRule="auto"/>
        <w:jc w:val="center"/>
        <w:rPr>
          <w:rFonts w:ascii="Palatino Linotype" w:eastAsia="Palatino Linotype" w:hAnsi="Palatino Linotype" w:cs="Palatino Linotype"/>
          <w:sz w:val="24"/>
          <w:szCs w:val="24"/>
        </w:rPr>
      </w:pPr>
      <w:r w:rsidRPr="00720A41">
        <w:rPr>
          <w:noProof/>
        </w:rPr>
        <w:drawing>
          <wp:inline distT="0" distB="0" distL="0" distR="0">
            <wp:extent cx="1713887" cy="1810444"/>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32077" t="68497" r="55873" b="8870"/>
                    <a:stretch>
                      <a:fillRect/>
                    </a:stretch>
                  </pic:blipFill>
                  <pic:spPr>
                    <a:xfrm>
                      <a:off x="0" y="0"/>
                      <a:ext cx="1713887" cy="1810444"/>
                    </a:xfrm>
                    <a:prstGeom prst="rect">
                      <a:avLst/>
                    </a:prstGeom>
                    <a:ln/>
                  </pic:spPr>
                </pic:pic>
              </a:graphicData>
            </a:graphic>
          </wp:inline>
        </w:drawing>
      </w:r>
      <w:r w:rsidRPr="00720A41">
        <w:rPr>
          <w:noProof/>
        </w:rPr>
        <w:drawing>
          <wp:inline distT="0" distB="0" distL="0" distR="0">
            <wp:extent cx="1344365" cy="3219838"/>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68398" t="11768" r="17855" b="29692"/>
                    <a:stretch>
                      <a:fillRect/>
                    </a:stretch>
                  </pic:blipFill>
                  <pic:spPr>
                    <a:xfrm>
                      <a:off x="0" y="0"/>
                      <a:ext cx="1344365" cy="3219838"/>
                    </a:xfrm>
                    <a:prstGeom prst="rect">
                      <a:avLst/>
                    </a:prstGeom>
                    <a:ln/>
                  </pic:spPr>
                </pic:pic>
              </a:graphicData>
            </a:graphic>
          </wp:inline>
        </w:drawing>
      </w:r>
    </w:p>
    <w:p w:rsidR="0014272F" w:rsidRPr="00720A41" w:rsidRDefault="002032B6">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Aclarado lo anterior, con el objeto de garantizar el derecho de acceso a la información pública con apego al principio de máxima publicidad, 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14272F" w:rsidRPr="00720A41" w:rsidRDefault="0014272F">
      <w:pPr>
        <w:spacing w:line="360" w:lineRule="auto"/>
        <w:jc w:val="both"/>
        <w:rPr>
          <w:rFonts w:ascii="Palatino Linotype" w:eastAsia="Palatino Linotype" w:hAnsi="Palatino Linotype" w:cs="Palatino Linotype"/>
        </w:rPr>
      </w:pP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220 K.-</w:t>
      </w:r>
      <w:r w:rsidRPr="00720A41">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I. Contratos, Nombramientos o Formato Único de Movimientos de Personal, cuando no exista Convenio de condiciones generales de trabajo aplicable;</w:t>
      </w: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II. </w:t>
      </w:r>
      <w:r w:rsidRPr="00720A41">
        <w:rPr>
          <w:rFonts w:ascii="Palatino Linotype" w:eastAsia="Palatino Linotype" w:hAnsi="Palatino Linotype" w:cs="Palatino Linotype"/>
          <w:i/>
          <w:u w:val="single"/>
        </w:rPr>
        <w:t>Recibos de pagos</w:t>
      </w:r>
      <w:r w:rsidRPr="00720A41">
        <w:rPr>
          <w:rFonts w:ascii="Palatino Linotype" w:eastAsia="Palatino Linotype" w:hAnsi="Palatino Linotype" w:cs="Palatino Linotype"/>
          <w:i/>
        </w:rPr>
        <w:t xml:space="preserve"> de salarios o las constancias documentales del pago de salario cuando sea por depósito o mediante información electrónica;</w:t>
      </w: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III. Controles de asistencia o la información magnética o electrónica de asistencia de los servidores públicos;</w:t>
      </w: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V. Los demás que señalen las leyes.</w:t>
      </w:r>
    </w:p>
    <w:p w:rsidR="0014272F" w:rsidRPr="00720A41" w:rsidRDefault="002032B6">
      <w:pPr>
        <w:spacing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14272F" w:rsidRPr="00720A41" w:rsidRDefault="0014272F">
      <w:pPr>
        <w:spacing w:after="0" w:line="360" w:lineRule="auto"/>
        <w:jc w:val="both"/>
        <w:rPr>
          <w:rFonts w:ascii="Palatino Linotype" w:eastAsia="Palatino Linotype" w:hAnsi="Palatino Linotype" w:cs="Palatino Linotype"/>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tabs>
          <w:tab w:val="right" w:pos="8505"/>
        </w:tabs>
        <w:spacing w:after="240" w:line="360" w:lineRule="auto"/>
        <w:jc w:val="both"/>
        <w:rPr>
          <w:sz w:val="24"/>
          <w:szCs w:val="24"/>
        </w:rPr>
      </w:pPr>
      <w:r w:rsidRPr="00720A41">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que los municipios que conforman el Estado de México, entre ellos 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w:t>
      </w:r>
      <w:r w:rsidRPr="00720A41">
        <w:rPr>
          <w:sz w:val="24"/>
          <w:szCs w:val="24"/>
        </w:rPr>
        <w:t xml:space="preserve"> </w:t>
      </w:r>
      <w:r w:rsidRPr="00720A41">
        <w:rPr>
          <w:rFonts w:ascii="Palatino Linotype" w:eastAsia="Palatino Linotype" w:hAnsi="Palatino Linotype" w:cs="Palatino Linotype"/>
          <w:sz w:val="24"/>
          <w:szCs w:val="24"/>
        </w:rPr>
        <w:t>es considerado como ente fiscalizable, como así lo señala el artículo 4 fracción II de la Ley de Fiscalización Superior del Estado de México, el cual señala:</w:t>
      </w:r>
    </w:p>
    <w:p w:rsidR="0014272F" w:rsidRPr="00720A41" w:rsidRDefault="002032B6">
      <w:pPr>
        <w:spacing w:before="240"/>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“Artículo 4. </w:t>
      </w:r>
      <w:r w:rsidRPr="00720A41">
        <w:rPr>
          <w:rFonts w:ascii="Palatino Linotype" w:eastAsia="Palatino Linotype" w:hAnsi="Palatino Linotype" w:cs="Palatino Linotype"/>
          <w:i/>
        </w:rPr>
        <w:t>Son sujetos de fiscalización:</w:t>
      </w:r>
    </w:p>
    <w:p w:rsidR="0014272F" w:rsidRPr="00720A41" w:rsidRDefault="002032B6">
      <w:pPr>
        <w:ind w:left="851" w:right="851"/>
        <w:jc w:val="both"/>
        <w:rPr>
          <w:i/>
        </w:rPr>
      </w:pPr>
      <w:r w:rsidRPr="00720A41">
        <w:rPr>
          <w:rFonts w:ascii="Palatino Linotype" w:eastAsia="Palatino Linotype" w:hAnsi="Palatino Linotype" w:cs="Palatino Linotype"/>
          <w:i/>
        </w:rPr>
        <w:t>…</w:t>
      </w:r>
    </w:p>
    <w:p w:rsidR="0014272F" w:rsidRPr="00720A41" w:rsidRDefault="002032B6">
      <w:pPr>
        <w:numPr>
          <w:ilvl w:val="0"/>
          <w:numId w:val="2"/>
        </w:numPr>
        <w:spacing w:before="240" w:line="240" w:lineRule="auto"/>
        <w:ind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Los municipios del Estado de México…” (Sic)</w:t>
      </w:r>
    </w:p>
    <w:p w:rsidR="0014272F" w:rsidRPr="00720A41" w:rsidRDefault="0014272F">
      <w:pPr>
        <w:spacing w:before="240"/>
        <w:ind w:left="851" w:right="851"/>
        <w:jc w:val="both"/>
        <w:rPr>
          <w:b/>
        </w:rPr>
      </w:pPr>
    </w:p>
    <w:p w:rsidR="0014272F" w:rsidRPr="00720A41" w:rsidRDefault="002032B6">
      <w:pPr>
        <w:spacing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14272F" w:rsidRPr="00720A41" w:rsidRDefault="0014272F">
      <w:pPr>
        <w:spacing w:line="360" w:lineRule="auto"/>
        <w:ind w:right="49"/>
        <w:jc w:val="both"/>
        <w:rPr>
          <w:rFonts w:ascii="Palatino Linotype" w:eastAsia="Palatino Linotype" w:hAnsi="Palatino Linotype" w:cs="Palatino Linotype"/>
          <w:sz w:val="24"/>
          <w:szCs w:val="24"/>
        </w:rPr>
      </w:pPr>
    </w:p>
    <w:p w:rsidR="0014272F" w:rsidRPr="00720A41" w:rsidRDefault="002032B6">
      <w:pPr>
        <w:spacing w:line="276" w:lineRule="auto"/>
        <w:ind w:left="851" w:right="851"/>
        <w:jc w:val="both"/>
        <w:rPr>
          <w:i/>
        </w:rPr>
      </w:pPr>
      <w:r w:rsidRPr="00720A41">
        <w:rPr>
          <w:rFonts w:ascii="Palatino Linotype" w:eastAsia="Palatino Linotype" w:hAnsi="Palatino Linotype" w:cs="Palatino Linotype"/>
          <w:b/>
          <w:i/>
        </w:rPr>
        <w:t xml:space="preserve">“Artículo 8. </w:t>
      </w:r>
      <w:r w:rsidRPr="00720A41">
        <w:rPr>
          <w:rFonts w:ascii="Palatino Linotype" w:eastAsia="Palatino Linotype" w:hAnsi="Palatino Linotype" w:cs="Palatino Linotype"/>
          <w:i/>
        </w:rPr>
        <w:t>El Órgano Superior tendrá las siguientes atribuciones:</w:t>
      </w:r>
    </w:p>
    <w:p w:rsidR="0014272F" w:rsidRPr="00720A41" w:rsidRDefault="002032B6">
      <w:pPr>
        <w:spacing w:line="276" w:lineRule="auto"/>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line="276" w:lineRule="auto"/>
        <w:ind w:left="851" w:right="851"/>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XI. Establecer los lineamientos</w:t>
      </w:r>
      <w:r w:rsidRPr="00720A41">
        <w:rPr>
          <w:rFonts w:ascii="Palatino Linotype" w:eastAsia="Palatino Linotype" w:hAnsi="Palatino Linotype" w:cs="Palatino Linotype"/>
          <w:i/>
        </w:rPr>
        <w:t xml:space="preserve">, criterios, procedimientos, métodos y sistemas </w:t>
      </w:r>
      <w:r w:rsidRPr="00720A41">
        <w:rPr>
          <w:rFonts w:ascii="Palatino Linotype" w:eastAsia="Palatino Linotype" w:hAnsi="Palatino Linotype" w:cs="Palatino Linotype"/>
          <w:b/>
          <w:i/>
        </w:rPr>
        <w:t>para las acciones de control y evaluación, necesarios para la fiscalización de las cuentas públicas y los informes trimestrales</w:t>
      </w:r>
      <w:r w:rsidRPr="00720A41">
        <w:rPr>
          <w:rFonts w:ascii="Palatino Linotype" w:eastAsia="Palatino Linotype" w:hAnsi="Palatino Linotype" w:cs="Palatino Linotype"/>
          <w:i/>
        </w:rPr>
        <w:t>…</w:t>
      </w:r>
      <w:r w:rsidRPr="00720A41">
        <w:rPr>
          <w:rFonts w:ascii="Palatino Linotype" w:eastAsia="Palatino Linotype" w:hAnsi="Palatino Linotype" w:cs="Palatino Linotype"/>
        </w:rPr>
        <w:t>” (</w:t>
      </w:r>
      <w:r w:rsidRPr="00720A41">
        <w:rPr>
          <w:rFonts w:ascii="Palatino Linotype" w:eastAsia="Palatino Linotype" w:hAnsi="Palatino Linotype" w:cs="Palatino Linotype"/>
          <w:i/>
        </w:rPr>
        <w:t>Sic)</w:t>
      </w:r>
    </w:p>
    <w:p w:rsidR="0014272F" w:rsidRPr="00720A41" w:rsidRDefault="0014272F">
      <w:pPr>
        <w:ind w:left="851" w:right="851"/>
        <w:jc w:val="both"/>
        <w:rPr>
          <w:rFonts w:ascii="Palatino Linotype" w:eastAsia="Palatino Linotype" w:hAnsi="Palatino Linotype" w:cs="Palatino Linotype"/>
          <w:b/>
          <w:i/>
        </w:rPr>
      </w:pPr>
    </w:p>
    <w:p w:rsidR="0014272F" w:rsidRPr="00720A41" w:rsidRDefault="002032B6">
      <w:pPr>
        <w:spacing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Dentro de los cuales ubicamos en su módulo cuatro la información de la nómina, como se advierte en las siguientes imágenes sustraídas de dichas políticas:</w:t>
      </w:r>
    </w:p>
    <w:p w:rsidR="0014272F" w:rsidRPr="00720A41" w:rsidRDefault="002032B6">
      <w:pPr>
        <w:spacing w:after="0" w:line="360" w:lineRule="auto"/>
        <w:jc w:val="center"/>
        <w:rPr>
          <w:rFonts w:ascii="Palatino Linotype" w:eastAsia="Palatino Linotype" w:hAnsi="Palatino Linotype" w:cs="Palatino Linotype"/>
          <w:sz w:val="24"/>
          <w:szCs w:val="24"/>
        </w:rPr>
      </w:pPr>
      <w:r w:rsidRPr="00720A41">
        <w:rPr>
          <w:noProof/>
        </w:rPr>
        <w:drawing>
          <wp:inline distT="0" distB="0" distL="0" distR="0">
            <wp:extent cx="4131585" cy="6081897"/>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36320" t="22330" r="36354" b="6154"/>
                    <a:stretch>
                      <a:fillRect/>
                    </a:stretch>
                  </pic:blipFill>
                  <pic:spPr>
                    <a:xfrm>
                      <a:off x="0" y="0"/>
                      <a:ext cx="4131585" cy="6081897"/>
                    </a:xfrm>
                    <a:prstGeom prst="rect">
                      <a:avLst/>
                    </a:prstGeom>
                    <a:ln/>
                  </pic:spPr>
                </pic:pic>
              </a:graphicData>
            </a:graphic>
          </wp:inline>
        </w:drawing>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noProof/>
        </w:rPr>
        <w:drawing>
          <wp:inline distT="0" distB="0" distL="0" distR="0">
            <wp:extent cx="5609305" cy="7380664"/>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34623" t="19010" r="36354" b="13095"/>
                    <a:stretch>
                      <a:fillRect/>
                    </a:stretch>
                  </pic:blipFill>
                  <pic:spPr>
                    <a:xfrm>
                      <a:off x="0" y="0"/>
                      <a:ext cx="5609305" cy="7380664"/>
                    </a:xfrm>
                    <a:prstGeom prst="rect">
                      <a:avLst/>
                    </a:prstGeom>
                    <a:ln/>
                  </pic:spPr>
                </pic:pic>
              </a:graphicData>
            </a:graphic>
          </wp:inline>
        </w:drawing>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En observancia a las imágenes anteriores, se acredita que 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debió generar la información solicitada y remitirla al Órgano Superior de Fiscalización del Estado de México, para su respectiva revisión y fiscalización.</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En resumen, los recibos de pago o de nómina, es el documento que de manera enunciativa mas no limitativa contiene los salarios de todos los funcionarios de la administración pública del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xml:space="preserve"> y que debió haber</w:t>
      </w:r>
      <w:r w:rsidRPr="00720A41">
        <w:rPr>
          <w:rFonts w:ascii="Palatino Linotype" w:eastAsia="Palatino Linotype" w:hAnsi="Palatino Linotype" w:cs="Palatino Linotype"/>
          <w:b/>
          <w:sz w:val="24"/>
          <w:szCs w:val="24"/>
        </w:rPr>
        <w:t xml:space="preserve"> </w:t>
      </w:r>
      <w:r w:rsidRPr="00720A41">
        <w:rPr>
          <w:rFonts w:ascii="Palatino Linotype" w:eastAsia="Palatino Linotype" w:hAnsi="Palatino Linotype" w:cs="Palatino Linotype"/>
          <w:sz w:val="24"/>
          <w:szCs w:val="24"/>
        </w:rPr>
        <w:t xml:space="preserve">generado, administrado o poseído de acuerdo a lo establecido en el presente considerando; por lo que resulta procedente ordenar al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xml:space="preserve"> su entrega salvaguardando los datos personales que contenga, de conformidad con el considerando quinto. </w:t>
      </w:r>
    </w:p>
    <w:p w:rsidR="0014272F" w:rsidRPr="00720A41" w:rsidRDefault="0014272F">
      <w:pPr>
        <w:spacing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4272F" w:rsidRPr="00720A41" w:rsidRDefault="002032B6">
      <w:pPr>
        <w:ind w:left="851" w:right="851"/>
        <w:jc w:val="both"/>
        <w:rPr>
          <w:rFonts w:ascii="Palatino Linotype" w:eastAsia="Palatino Linotype" w:hAnsi="Palatino Linotype" w:cs="Palatino Linotype"/>
          <w:i/>
          <w:u w:val="single"/>
        </w:rPr>
      </w:pPr>
      <w:r w:rsidRPr="00720A41">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720A41">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720A41">
        <w:rPr>
          <w:rFonts w:ascii="Palatino Linotype" w:eastAsia="Palatino Linotype" w:hAnsi="Palatino Linotype" w:cs="Palatino Linotype"/>
          <w:b/>
          <w:i/>
          <w:u w:val="single"/>
        </w:rPr>
        <w:t>que reciba y ejerza recursos públicos</w:t>
      </w:r>
      <w:r w:rsidRPr="00720A41">
        <w:rPr>
          <w:rFonts w:ascii="Palatino Linotype" w:eastAsia="Palatino Linotype" w:hAnsi="Palatino Linotype" w:cs="Palatino Linotype"/>
          <w:i/>
        </w:rPr>
        <w:t xml:space="preserve"> o realice actos de autoridad </w:t>
      </w:r>
      <w:r w:rsidRPr="00720A41">
        <w:rPr>
          <w:rFonts w:ascii="Palatino Linotype" w:eastAsia="Palatino Linotype" w:hAnsi="Palatino Linotype" w:cs="Palatino Linotype"/>
          <w:b/>
          <w:i/>
          <w:u w:val="single"/>
        </w:rPr>
        <w:t>en el ámbito de competencia del Estado de México y sus municipios</w:t>
      </w:r>
      <w:r w:rsidRPr="00720A41">
        <w:rPr>
          <w:rFonts w:ascii="Palatino Linotype" w:eastAsia="Palatino Linotype" w:hAnsi="Palatino Linotype" w:cs="Palatino Linotype"/>
          <w:i/>
          <w:u w:val="single"/>
        </w:rPr>
        <w:t>.</w:t>
      </w:r>
    </w:p>
    <w:p w:rsidR="0014272F" w:rsidRPr="00720A41" w:rsidRDefault="002032B6">
      <w:pPr>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Artículo 23. Son sujetos obligados a transparentar y permitir el acceso a su información y proteger los datos personales que obren en su poder:</w:t>
      </w:r>
    </w:p>
    <w:p w:rsidR="0014272F" w:rsidRPr="00720A41" w:rsidRDefault="002032B6">
      <w:pPr>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ind w:left="851" w:right="851"/>
        <w:jc w:val="both"/>
        <w:rPr>
          <w:rFonts w:ascii="Palatino Linotype" w:eastAsia="Palatino Linotype" w:hAnsi="Palatino Linotype" w:cs="Palatino Linotype"/>
          <w:b/>
          <w:i/>
          <w:u w:val="single"/>
        </w:rPr>
      </w:pPr>
      <w:r w:rsidRPr="00720A41">
        <w:rPr>
          <w:rFonts w:ascii="Palatino Linotype" w:eastAsia="Palatino Linotype" w:hAnsi="Palatino Linotype" w:cs="Palatino Linotype"/>
          <w:b/>
          <w:i/>
          <w:u w:val="single"/>
        </w:rPr>
        <w:t>IV. Los ayuntamientos y las dependencias, organismos, órganos y entidades de la administración municipal;</w:t>
      </w:r>
    </w:p>
    <w:p w:rsidR="0014272F" w:rsidRPr="00720A41" w:rsidRDefault="002032B6">
      <w:pPr>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ind w:left="851" w:right="851"/>
        <w:jc w:val="both"/>
        <w:rPr>
          <w:rFonts w:ascii="Palatino Linotype" w:eastAsia="Palatino Linotype" w:hAnsi="Palatino Linotype" w:cs="Palatino Linotype"/>
          <w:b/>
          <w:i/>
          <w:u w:val="single"/>
        </w:rPr>
      </w:pPr>
      <w:r w:rsidRPr="00720A41">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4272F" w:rsidRPr="00720A41" w:rsidRDefault="002032B6">
      <w:pPr>
        <w:ind w:left="851" w:right="851"/>
        <w:jc w:val="both"/>
        <w:rPr>
          <w:rFonts w:ascii="Palatino Linotype" w:eastAsia="Palatino Linotype" w:hAnsi="Palatino Linotype" w:cs="Palatino Linotype"/>
          <w:b/>
          <w:i/>
        </w:rPr>
      </w:pPr>
      <w:r w:rsidRPr="00720A41">
        <w:rPr>
          <w:rFonts w:ascii="Palatino Linotype" w:eastAsia="Palatino Linotype" w:hAnsi="Palatino Linotype" w:cs="Palatino Linotype"/>
          <w:i/>
        </w:rPr>
        <w:t>Los servidores públicos deberán transparentar sus acciones así como garantizar y respetar el derecho de acceso a la información pública.”</w:t>
      </w:r>
      <w:r w:rsidRPr="00720A41">
        <w:rPr>
          <w:rFonts w:ascii="Palatino Linotype" w:eastAsia="Palatino Linotype" w:hAnsi="Palatino Linotype" w:cs="Palatino Linotype"/>
          <w:b/>
          <w:i/>
        </w:rPr>
        <w:t xml:space="preserve"> [Sic]</w:t>
      </w:r>
    </w:p>
    <w:p w:rsidR="0014272F" w:rsidRPr="00720A41" w:rsidRDefault="0014272F">
      <w:pPr>
        <w:spacing w:line="360" w:lineRule="auto"/>
        <w:jc w:val="both"/>
        <w:rPr>
          <w:rFonts w:ascii="Palatino Linotype" w:eastAsia="Palatino Linotype" w:hAnsi="Palatino Linotype" w:cs="Palatino Linotype"/>
        </w:rPr>
      </w:pPr>
    </w:p>
    <w:p w:rsidR="0014272F" w:rsidRPr="00720A41" w:rsidRDefault="002032B6">
      <w:pPr>
        <w:spacing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720A41">
        <w:rPr>
          <w:rFonts w:ascii="Palatino Linotype" w:eastAsia="Palatino Linotype" w:hAnsi="Palatino Linotype" w:cs="Palatino Linotype"/>
          <w:b/>
          <w:sz w:val="24"/>
          <w:szCs w:val="24"/>
        </w:rPr>
        <w:t>01/2003</w:t>
      </w:r>
      <w:r w:rsidRPr="00720A41">
        <w:rPr>
          <w:rFonts w:ascii="Palatino Linotype" w:eastAsia="Palatino Linotype" w:hAnsi="Palatino Linotype" w:cs="Palatino Linotype"/>
          <w:sz w:val="24"/>
          <w:szCs w:val="24"/>
        </w:rPr>
        <w:t xml:space="preserve"> y </w:t>
      </w:r>
      <w:r w:rsidRPr="00720A41">
        <w:rPr>
          <w:rFonts w:ascii="Palatino Linotype" w:eastAsia="Palatino Linotype" w:hAnsi="Palatino Linotype" w:cs="Palatino Linotype"/>
          <w:b/>
          <w:sz w:val="24"/>
          <w:szCs w:val="24"/>
        </w:rPr>
        <w:t>02/2003</w:t>
      </w:r>
      <w:r w:rsidRPr="00720A41">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rsidR="0014272F" w:rsidRPr="00720A41" w:rsidRDefault="002032B6">
      <w:pPr>
        <w:ind w:left="851" w:right="851"/>
        <w:rPr>
          <w:rFonts w:ascii="Palatino Linotype" w:eastAsia="Palatino Linotype" w:hAnsi="Palatino Linotype" w:cs="Palatino Linotype"/>
          <w:b/>
          <w:i/>
        </w:rPr>
      </w:pPr>
      <w:r w:rsidRPr="00720A41">
        <w:rPr>
          <w:rFonts w:ascii="Palatino Linotype" w:eastAsia="Palatino Linotype" w:hAnsi="Palatino Linotype" w:cs="Palatino Linotype"/>
          <w:b/>
          <w:i/>
        </w:rPr>
        <w:t>“Criterio 01/2003.</w:t>
      </w:r>
    </w:p>
    <w:p w:rsidR="0014272F" w:rsidRPr="00720A41" w:rsidRDefault="002032B6">
      <w:pPr>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720A41">
        <w:rPr>
          <w:rFonts w:ascii="Palatino Linotype" w:eastAsia="Palatino Linotype" w:hAnsi="Palatino Linotype" w:cs="Palatino Linotype"/>
          <w:i/>
        </w:rPr>
        <w:t xml:space="preserve"> </w:t>
      </w:r>
    </w:p>
    <w:p w:rsidR="0014272F" w:rsidRPr="00720A41" w:rsidRDefault="002032B6">
      <w:pPr>
        <w:ind w:left="851" w:right="851"/>
        <w:jc w:val="both"/>
        <w:rPr>
          <w:rFonts w:ascii="Palatino Linotype" w:eastAsia="Palatino Linotype" w:hAnsi="Palatino Linotype" w:cs="Palatino Linotype"/>
          <w:i/>
          <w:u w:val="single"/>
        </w:rPr>
      </w:pPr>
      <w:r w:rsidRPr="00720A41">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20A41">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20A41">
        <w:rPr>
          <w:rFonts w:ascii="Palatino Linotype" w:eastAsia="Palatino Linotype" w:hAnsi="Palatino Linotype" w:cs="Palatino Linotype"/>
          <w:i/>
          <w:u w:val="single"/>
        </w:rPr>
        <w:t>…”</w:t>
      </w:r>
    </w:p>
    <w:p w:rsidR="0014272F" w:rsidRPr="00720A41" w:rsidRDefault="0014272F">
      <w:pPr>
        <w:ind w:left="851" w:right="851"/>
        <w:jc w:val="both"/>
        <w:rPr>
          <w:rFonts w:ascii="Palatino Linotype" w:eastAsia="Palatino Linotype" w:hAnsi="Palatino Linotype" w:cs="Palatino Linotype"/>
          <w:i/>
        </w:rPr>
      </w:pPr>
    </w:p>
    <w:p w:rsidR="0014272F" w:rsidRPr="00720A41" w:rsidRDefault="002032B6">
      <w:pPr>
        <w:ind w:left="851" w:right="851"/>
        <w:rPr>
          <w:rFonts w:ascii="Palatino Linotype" w:eastAsia="Palatino Linotype" w:hAnsi="Palatino Linotype" w:cs="Palatino Linotype"/>
          <w:b/>
          <w:i/>
        </w:rPr>
      </w:pPr>
      <w:r w:rsidRPr="00720A41">
        <w:rPr>
          <w:rFonts w:ascii="Palatino Linotype" w:eastAsia="Palatino Linotype" w:hAnsi="Palatino Linotype" w:cs="Palatino Linotype"/>
          <w:b/>
          <w:i/>
        </w:rPr>
        <w:t>“Criterio 02/2003.</w:t>
      </w:r>
    </w:p>
    <w:p w:rsidR="0014272F" w:rsidRPr="00720A41" w:rsidRDefault="002032B6">
      <w:pPr>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720A41">
        <w:rPr>
          <w:rFonts w:ascii="Palatino Linotype" w:eastAsia="Palatino Linotype" w:hAnsi="Palatino Linotype" w:cs="Palatino Linotype"/>
          <w:i/>
        </w:rPr>
        <w:t xml:space="preserve"> </w:t>
      </w:r>
    </w:p>
    <w:p w:rsidR="0014272F" w:rsidRPr="00720A41" w:rsidRDefault="002032B6">
      <w:pPr>
        <w:spacing w:after="0" w:line="276" w:lineRule="auto"/>
        <w:ind w:left="851" w:right="851"/>
        <w:jc w:val="both"/>
        <w:rPr>
          <w:rFonts w:ascii="Palatino Linotype" w:eastAsia="Palatino Linotype" w:hAnsi="Palatino Linotype" w:cs="Palatino Linotype"/>
          <w:b/>
          <w:i/>
        </w:rPr>
      </w:pPr>
      <w:r w:rsidRPr="00720A41">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20A41">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20A41">
        <w:rPr>
          <w:rFonts w:ascii="Palatino Linotype" w:eastAsia="Palatino Linotype" w:hAnsi="Palatino Linotype" w:cs="Palatino Linotype"/>
          <w:i/>
        </w:rPr>
        <w:t xml:space="preserve"> el sistema de compensación…” </w:t>
      </w:r>
      <w:r w:rsidRPr="00720A41">
        <w:rPr>
          <w:rFonts w:ascii="Palatino Linotype" w:eastAsia="Palatino Linotype" w:hAnsi="Palatino Linotype" w:cs="Palatino Linotype"/>
          <w:b/>
          <w:i/>
        </w:rPr>
        <w:t>[Sic]</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rsidR="0014272F" w:rsidRPr="00720A41" w:rsidRDefault="0014272F">
      <w:pPr>
        <w:spacing w:after="0" w:line="360" w:lineRule="auto"/>
        <w:jc w:val="both"/>
        <w:rPr>
          <w:rFonts w:ascii="Palatino Linotype" w:eastAsia="Palatino Linotype" w:hAnsi="Palatino Linotype" w:cs="Palatino Linotype"/>
        </w:rPr>
      </w:pP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 </w:t>
      </w: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14272F" w:rsidRPr="00720A41" w:rsidRDefault="0014272F">
      <w:pPr>
        <w:spacing w:after="0" w:line="360" w:lineRule="auto"/>
        <w:jc w:val="both"/>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rsidR="0014272F" w:rsidRPr="00720A41" w:rsidRDefault="0014272F">
      <w:pPr>
        <w:spacing w:after="0" w:line="360" w:lineRule="auto"/>
        <w:ind w:right="49"/>
        <w:jc w:val="both"/>
        <w:rPr>
          <w:rFonts w:ascii="Palatino Linotype" w:eastAsia="Palatino Linotype" w:hAnsi="Palatino Linotype" w:cs="Palatino Linotype"/>
        </w:rPr>
      </w:pP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tabs>
          <w:tab w:val="left" w:pos="709"/>
        </w:tabs>
        <w:spacing w:after="0" w:line="360" w:lineRule="auto"/>
        <w:ind w:right="40"/>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lo tanto, el Pleno de este Instituto determina </w:t>
      </w:r>
      <w:r w:rsidRPr="00720A41">
        <w:rPr>
          <w:rFonts w:ascii="Palatino Linotype" w:eastAsia="Palatino Linotype" w:hAnsi="Palatino Linotype" w:cs="Palatino Linotype"/>
          <w:b/>
          <w:sz w:val="24"/>
          <w:szCs w:val="24"/>
        </w:rPr>
        <w:t xml:space="preserve">REVOCAR </w:t>
      </w:r>
      <w:r w:rsidRPr="00720A41">
        <w:rPr>
          <w:rFonts w:ascii="Palatino Linotype" w:eastAsia="Palatino Linotype" w:hAnsi="Palatino Linotype" w:cs="Palatino Linotype"/>
          <w:sz w:val="24"/>
          <w:szCs w:val="24"/>
        </w:rPr>
        <w:t xml:space="preserve">la respuesta del </w:t>
      </w:r>
      <w:r w:rsidRPr="00720A41">
        <w:rPr>
          <w:rFonts w:ascii="Palatino Linotype" w:eastAsia="Palatino Linotype" w:hAnsi="Palatino Linotype" w:cs="Palatino Linotype"/>
          <w:b/>
          <w:sz w:val="24"/>
          <w:szCs w:val="24"/>
        </w:rPr>
        <w:t xml:space="preserve">SUJETO OBLIGADO </w:t>
      </w:r>
      <w:r w:rsidRPr="00720A41">
        <w:rPr>
          <w:rFonts w:ascii="Palatino Linotype" w:eastAsia="Palatino Linotype" w:hAnsi="Palatino Linotype" w:cs="Palatino Linotype"/>
          <w:sz w:val="24"/>
          <w:szCs w:val="24"/>
        </w:rPr>
        <w:t>por lo que se ordena la entrega, el recibo de nómina de la primera y segunda quincena del mes de marzo de dos mil veintidós de los Servidores Públicos adscritos a la UIPPE, de la Unidad de Transparencia y de la Secretaria Técnica en donde también se podrán observar los nombres de los servidores públicos adscritos a dicha unidades administrativas, en términos de lo señalado por el considerando quinto del presente fallo.</w:t>
      </w:r>
    </w:p>
    <w:p w:rsidR="0014272F" w:rsidRPr="00720A41" w:rsidRDefault="0014272F">
      <w:pPr>
        <w:tabs>
          <w:tab w:val="left" w:pos="709"/>
        </w:tabs>
        <w:spacing w:after="0" w:line="360" w:lineRule="auto"/>
        <w:ind w:right="40"/>
        <w:jc w:val="both"/>
        <w:rPr>
          <w:rFonts w:ascii="Palatino Linotype" w:eastAsia="Palatino Linotype" w:hAnsi="Palatino Linotype" w:cs="Palatino Linotype"/>
          <w:sz w:val="24"/>
          <w:szCs w:val="24"/>
        </w:rPr>
      </w:pPr>
    </w:p>
    <w:p w:rsidR="0014272F" w:rsidRPr="00720A41" w:rsidRDefault="002032B6">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Respecto al certificado de competencia laboral de la UIPPE y de la Unidad de Transparencia.</w:t>
      </w:r>
    </w:p>
    <w:p w:rsidR="0014272F" w:rsidRPr="00720A41" w:rsidRDefault="0014272F">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sz w:val="24"/>
          <w:szCs w:val="24"/>
        </w:rPr>
      </w:pPr>
    </w:p>
    <w:p w:rsidR="0014272F" w:rsidRPr="00720A41" w:rsidRDefault="002032B6">
      <w:pPr>
        <w:spacing w:after="240" w:line="360" w:lineRule="auto"/>
        <w:ind w:right="-93"/>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Al respecto el artículo 32 fracción IV de la Ley Orgánica Municipal del Estado de México, señala lo conducente:</w:t>
      </w:r>
    </w:p>
    <w:p w:rsidR="0014272F" w:rsidRPr="00720A41" w:rsidRDefault="002032B6">
      <w:pPr>
        <w:spacing w:before="24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720A41">
        <w:rPr>
          <w:rFonts w:ascii="Palatino Linotype" w:eastAsia="Palatino Linotype" w:hAnsi="Palatino Linotype" w:cs="Palatino Linotype"/>
          <w:b/>
          <w:i/>
          <w:u w:val="single"/>
        </w:rPr>
        <w:t>de las unidades administrativas</w:t>
      </w:r>
      <w:r w:rsidRPr="00720A41">
        <w:rPr>
          <w:rFonts w:ascii="Palatino Linotype" w:eastAsia="Palatino Linotype" w:hAnsi="Palatino Linotype" w:cs="Palatino Linotype"/>
          <w:i/>
        </w:rPr>
        <w:t xml:space="preserve"> y de los organismos auxiliares, se deberán satisfacer los siguientes requisitos:</w:t>
      </w:r>
    </w:p>
    <w:p w:rsidR="0014272F" w:rsidRPr="00720A41" w:rsidRDefault="002032B6">
      <w:pPr>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ind w:left="851" w:right="902"/>
        <w:jc w:val="both"/>
        <w:rPr>
          <w:rFonts w:ascii="Palatino Linotype" w:eastAsia="Palatino Linotype" w:hAnsi="Palatino Linotype" w:cs="Palatino Linotype"/>
          <w:i/>
        </w:rPr>
      </w:pPr>
      <w:bookmarkStart w:id="2" w:name="_heading=h.1fob9te" w:colFirst="0" w:colLast="0"/>
      <w:bookmarkEnd w:id="2"/>
      <w:r w:rsidRPr="00720A41">
        <w:rPr>
          <w:rFonts w:ascii="Palatino Linotype" w:eastAsia="Palatino Linotype" w:hAnsi="Palatino Linotype" w:cs="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14272F" w:rsidRPr="00720A41" w:rsidRDefault="002032B6">
      <w:pPr>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rsidR="0014272F" w:rsidRPr="00720A41" w:rsidRDefault="0014272F">
      <w:pPr>
        <w:ind w:left="851" w:right="902"/>
        <w:jc w:val="both"/>
        <w:rPr>
          <w:rFonts w:ascii="Palatino Linotype" w:eastAsia="Palatino Linotype" w:hAnsi="Palatino Linotype" w:cs="Palatino Linotype"/>
          <w:i/>
        </w:rPr>
      </w:pPr>
    </w:p>
    <w:p w:rsidR="0014272F" w:rsidRPr="00720A41" w:rsidRDefault="002032B6">
      <w:pPr>
        <w:spacing w:after="0" w:line="360" w:lineRule="auto"/>
        <w:ind w:right="-28"/>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 lo anterior se advierte que se debe contar con certificación de competencia laboral del Titular de La Unidad de Transparencia y el Titular de la Unidad de Información, Planeación, Programación y Evaluación (UIPPE), sin embargo, la misma tiene un plazo de seis meses siguientes a la fecha en que inicien sus funciones.</w:t>
      </w:r>
    </w:p>
    <w:p w:rsidR="0014272F" w:rsidRPr="00720A41" w:rsidRDefault="0014272F">
      <w:pPr>
        <w:spacing w:after="0" w:line="360" w:lineRule="auto"/>
        <w:ind w:right="-28"/>
        <w:jc w:val="both"/>
        <w:rPr>
          <w:rFonts w:ascii="Palatino Linotype" w:eastAsia="Palatino Linotype" w:hAnsi="Palatino Linotype" w:cs="Palatino Linotype"/>
          <w:sz w:val="24"/>
          <w:szCs w:val="24"/>
        </w:rPr>
      </w:pPr>
    </w:p>
    <w:p w:rsidR="0014272F" w:rsidRPr="00720A41" w:rsidRDefault="002032B6">
      <w:pPr>
        <w:spacing w:after="0" w:line="360" w:lineRule="auto"/>
        <w:ind w:right="-28"/>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 igual forma conviene mencionar el artículo 36 y 57 de la Ley de Transparencia y Acceso a la Información Pública del Estado de México y Municipios:</w:t>
      </w:r>
    </w:p>
    <w:p w:rsidR="0014272F" w:rsidRPr="00720A41" w:rsidRDefault="0014272F">
      <w:pPr>
        <w:tabs>
          <w:tab w:val="left" w:pos="7938"/>
        </w:tabs>
        <w:ind w:right="900"/>
        <w:jc w:val="both"/>
        <w:rPr>
          <w:rFonts w:ascii="Palatino Linotype" w:eastAsia="Palatino Linotype" w:hAnsi="Palatino Linotype" w:cs="Palatino Linotype"/>
          <w:b/>
          <w:i/>
        </w:rPr>
      </w:pPr>
      <w:bookmarkStart w:id="3" w:name="_heading=h.17dp8vu" w:colFirst="0" w:colLast="0"/>
      <w:bookmarkEnd w:id="3"/>
    </w:p>
    <w:p w:rsidR="0014272F" w:rsidRPr="00720A41" w:rsidRDefault="002032B6">
      <w:pPr>
        <w:tabs>
          <w:tab w:val="left" w:pos="7938"/>
        </w:tabs>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36</w:t>
      </w:r>
      <w:r w:rsidRPr="00720A41">
        <w:rPr>
          <w:rFonts w:ascii="Palatino Linotype" w:eastAsia="Palatino Linotype" w:hAnsi="Palatino Linotype" w:cs="Palatino Linotype"/>
          <w:i/>
        </w:rPr>
        <w:t>. El Instituto tendrá, en el ámbito de su competencia, las atribuciones siguientes:</w:t>
      </w:r>
    </w:p>
    <w:p w:rsidR="0014272F" w:rsidRPr="00720A41" w:rsidRDefault="002032B6">
      <w:pPr>
        <w:tabs>
          <w:tab w:val="left" w:pos="7938"/>
        </w:tabs>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tabs>
          <w:tab w:val="left" w:pos="7938"/>
        </w:tabs>
        <w:ind w:left="851" w:right="900"/>
        <w:jc w:val="both"/>
        <w:rPr>
          <w:rFonts w:ascii="Palatino Linotype" w:eastAsia="Palatino Linotype" w:hAnsi="Palatino Linotype" w:cs="Palatino Linotype"/>
          <w:i/>
        </w:rPr>
      </w:pPr>
      <w:bookmarkStart w:id="4" w:name="_heading=h.3znysh7" w:colFirst="0" w:colLast="0"/>
      <w:bookmarkEnd w:id="4"/>
      <w:r w:rsidRPr="00720A41">
        <w:rPr>
          <w:rFonts w:ascii="Palatino Linotype" w:eastAsia="Palatino Linotype" w:hAnsi="Palatino Linotype" w:cs="Palatino Linotype"/>
          <w:i/>
        </w:rPr>
        <w:t>XI. Certificar las competencias de los titulares de las unidades de transparencia;</w:t>
      </w:r>
    </w:p>
    <w:p w:rsidR="0014272F" w:rsidRPr="00720A41" w:rsidRDefault="002032B6">
      <w:pPr>
        <w:tabs>
          <w:tab w:val="left" w:pos="7938"/>
        </w:tabs>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57.</w:t>
      </w:r>
      <w:r w:rsidRPr="00720A41">
        <w:rPr>
          <w:rFonts w:ascii="Palatino Linotype" w:eastAsia="Palatino Linotype" w:hAnsi="Palatino Linotype" w:cs="Palatino Linotype"/>
          <w:i/>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14272F" w:rsidRPr="00720A41" w:rsidRDefault="0014272F">
      <w:pPr>
        <w:tabs>
          <w:tab w:val="left" w:pos="7938"/>
        </w:tabs>
        <w:ind w:left="851" w:right="900"/>
        <w:jc w:val="both"/>
        <w:rPr>
          <w:rFonts w:ascii="Palatino Linotype" w:eastAsia="Palatino Linotype" w:hAnsi="Palatino Linotype" w:cs="Palatino Linotype"/>
          <w:i/>
        </w:rPr>
      </w:pPr>
    </w:p>
    <w:p w:rsidR="0014272F" w:rsidRPr="00720A41" w:rsidRDefault="002032B6">
      <w:pPr>
        <w:tabs>
          <w:tab w:val="left" w:pos="7938"/>
        </w:tabs>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 Contar con conocimiento o, tratándose de las entidades gubernamentales estatales y los municipios </w:t>
      </w:r>
      <w:r w:rsidRPr="00720A41">
        <w:rPr>
          <w:rFonts w:ascii="Palatino Linotype" w:eastAsia="Palatino Linotype" w:hAnsi="Palatino Linotype" w:cs="Palatino Linotype"/>
          <w:b/>
          <w:i/>
        </w:rPr>
        <w:t>certificación en materia de acceso a la información, transparencia y protección de datos personales</w:t>
      </w:r>
      <w:r w:rsidRPr="00720A41">
        <w:rPr>
          <w:rFonts w:ascii="Palatino Linotype" w:eastAsia="Palatino Linotype" w:hAnsi="Palatino Linotype" w:cs="Palatino Linotype"/>
          <w:i/>
        </w:rPr>
        <w:t>, que para tal efecto emita el Instituto;</w:t>
      </w:r>
    </w:p>
    <w:p w:rsidR="0014272F" w:rsidRPr="00720A41" w:rsidRDefault="002032B6">
      <w:pPr>
        <w:tabs>
          <w:tab w:val="left" w:pos="7938"/>
        </w:tabs>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II. Experiencia en materia de acceso a la información y protección de datos personales; y</w:t>
      </w:r>
    </w:p>
    <w:p w:rsidR="0014272F" w:rsidRPr="00720A41" w:rsidRDefault="0014272F">
      <w:pPr>
        <w:tabs>
          <w:tab w:val="left" w:pos="7938"/>
        </w:tabs>
        <w:ind w:left="851" w:right="900"/>
        <w:jc w:val="both"/>
        <w:rPr>
          <w:rFonts w:ascii="Palatino Linotype" w:eastAsia="Palatino Linotype" w:hAnsi="Palatino Linotype" w:cs="Palatino Linotype"/>
          <w:i/>
        </w:rPr>
      </w:pPr>
    </w:p>
    <w:p w:rsidR="0014272F" w:rsidRPr="00720A41" w:rsidRDefault="002032B6">
      <w:pPr>
        <w:tabs>
          <w:tab w:val="left" w:pos="7938"/>
        </w:tabs>
        <w:spacing w:after="0" w:line="360" w:lineRule="auto"/>
        <w:ind w:left="851" w:right="900"/>
        <w:jc w:val="both"/>
        <w:rPr>
          <w:rFonts w:ascii="Palatino Linotype" w:eastAsia="Palatino Linotype" w:hAnsi="Palatino Linotype" w:cs="Palatino Linotype"/>
          <w:sz w:val="28"/>
          <w:szCs w:val="28"/>
        </w:rPr>
      </w:pPr>
      <w:r w:rsidRPr="00720A41">
        <w:rPr>
          <w:rFonts w:ascii="Palatino Linotype" w:eastAsia="Palatino Linotype" w:hAnsi="Palatino Linotype" w:cs="Palatino Linotype"/>
          <w:i/>
        </w:rPr>
        <w:t>III. Habilidades de organización y comunicación, así como visión y liderazgo.” (Sic)</w:t>
      </w:r>
    </w:p>
    <w:p w:rsidR="0014272F" w:rsidRPr="00720A41" w:rsidRDefault="0014272F">
      <w:pPr>
        <w:tabs>
          <w:tab w:val="left" w:pos="7938"/>
        </w:tabs>
        <w:spacing w:after="0" w:line="360" w:lineRule="auto"/>
        <w:ind w:left="851" w:right="900"/>
        <w:jc w:val="both"/>
        <w:rPr>
          <w:rFonts w:ascii="Palatino Linotype" w:eastAsia="Palatino Linotype" w:hAnsi="Palatino Linotype" w:cs="Palatino Linotype"/>
          <w:sz w:val="28"/>
          <w:szCs w:val="28"/>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lo que se observa que este Instituto tiene dentro de sus atribuciones tiene la de certificar las competencias de los titulares de las unidades de transparencia.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Ante tal circunstancia se destaca que la entrega de los certificados a los servidores públicos inscritos en la convocatoria de fecha catorce de febrero del año 2022, además de la segunda convocatoria emitida el nueve al doce de mayo de dos mil veintidós emitida por el Instituto de Transparencia, Acceso a La Información Pública y Protección de Datos Personales del Estado de México y Municipios.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Así mismo, para el caso del certificado de competencia laboral del Titular de la Unidad de Información, Planeación, Programación y Evaluación (UIPPE)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 </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 </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Para al fin, la COCERTEM desarrolla planes de evaluación con los candidatos para establecer la fecha y hora en que se llevará a cabo el proceso de evaluación, indicándole los derechos y obligaciones correspondientes; además la evaluación se </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Norma Institucional de Competencia Laboral, con la finalidad de obtener un certificado o documento emitido por la Comisión en el cual se manifiesta la competencia de una persona para desempeñar una función productiva, por cumplir </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los requisitos de una o algunas Normas de Competencia Laboral.</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Para tales efectos, la COCERTEM ha desarrollado un calendario de evaluaciones aplicable para los meses de enero a diciembre de dos mil veintidós, para que los nuevos servidores públicos obtengan la certificación correspondiente, por ello a manera de referencia, circunstancia que imposibilita al Titular de la Unidad de Información, Planeación, Programación y Evaluación (UIPPE).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Máxime, que no se debe perder de vista que la actual administración del Ayuntamiento de Ayuntamiento de Almoloya del Río 2022-2024, entró en funciones el pasado primero de enero del año 2022, relegando la administración 2019-2021, lo anterior en términos de lo señalado por los artículos 16 primer párrafo y 19 de la Ley Orgánica Municipal del Estado de México, que señalan lo conducente: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24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“Artículo 16.- </w:t>
      </w:r>
      <w:r w:rsidRPr="00720A41">
        <w:rPr>
          <w:rFonts w:ascii="Palatino Linotype" w:eastAsia="Palatino Linotype" w:hAnsi="Palatino Linotype" w:cs="Palatino Linotype"/>
          <w:b/>
          <w:i/>
        </w:rPr>
        <w:t>Los Ayuntamientos se renovarán cada tres años, iniciarán su periodo el 1 de enero del año inmediato siguiente al de las elecciones municipales ordinarias y concluirán el 31 de diciembre del año de las elecciones para su renovación</w:t>
      </w:r>
      <w:r w:rsidRPr="00720A41">
        <w:rPr>
          <w:rFonts w:ascii="Palatino Linotype" w:eastAsia="Palatino Linotype" w:hAnsi="Palatino Linotype" w:cs="Palatino Linotype"/>
          <w:i/>
        </w:rPr>
        <w:t>; y se integrarán por:</w:t>
      </w:r>
    </w:p>
    <w:p w:rsidR="0014272F" w:rsidRPr="00720A41" w:rsidRDefault="002032B6">
      <w:pPr>
        <w:spacing w:before="240" w:after="24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before="240" w:after="24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Artículo 19.- </w:t>
      </w:r>
      <w:r w:rsidRPr="00720A41">
        <w:rPr>
          <w:rFonts w:ascii="Palatino Linotype" w:eastAsia="Palatino Linotype" w:hAnsi="Palatino Linotype" w:cs="Palatino Linotype"/>
          <w:b/>
          <w:i/>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720A41">
        <w:rPr>
          <w:rFonts w:ascii="Palatino Linotype" w:eastAsia="Palatino Linotype" w:hAnsi="Palatino Linotype" w:cs="Palatino Linotype"/>
          <w:i/>
        </w:rPr>
        <w:t xml:space="preserve">, cuyo presidente municipal hará la siguiente declaratoria formal y solemne: “Queda legítimamente instalado el ayuntamiento del municipio de…, que deberá funcionar durante los años de…”. </w:t>
      </w:r>
    </w:p>
    <w:p w:rsidR="0014272F" w:rsidRPr="00720A41" w:rsidRDefault="002032B6">
      <w:pPr>
        <w:spacing w:before="240" w:after="240" w:line="276" w:lineRule="auto"/>
        <w:ind w:left="851" w:right="900"/>
        <w:jc w:val="both"/>
        <w:rPr>
          <w:rFonts w:ascii="Palatino Linotype" w:eastAsia="Palatino Linotype" w:hAnsi="Palatino Linotype" w:cs="Palatino Linotype"/>
          <w:b/>
          <w:i/>
          <w:u w:val="single"/>
        </w:rPr>
      </w:pPr>
      <w:r w:rsidRPr="00720A41">
        <w:rPr>
          <w:rFonts w:ascii="Palatino Linotype" w:eastAsia="Palatino Linotype" w:hAnsi="Palatino Linotype" w:cs="Palatino Linotype"/>
          <w:i/>
        </w:rPr>
        <w:t xml:space="preserve">La inasistencia de los integrantes del ayuntamiento saliente no será obstáculo para que se dé por instalado el entrante, sin perjuicio de las sanciones que establezcan las disposiciones jurídicas aplicables. </w:t>
      </w:r>
      <w:r w:rsidRPr="00720A41">
        <w:rPr>
          <w:rFonts w:ascii="Palatino Linotype" w:eastAsia="Palatino Linotype" w:hAnsi="Palatino Linotype" w:cs="Palatino Linotype"/>
          <w:b/>
          <w:i/>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14272F" w:rsidRPr="00720A41" w:rsidRDefault="002032B6">
      <w:pPr>
        <w:spacing w:before="240"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municipal.”(Sic)</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Además de lo antes mencionado, de acuerdo a la gaceta de gobierno número en la primera sesión ordinaria de cabildo de fecha primero de enero del año dos mil veintidós tomo posesión la Titular de la Unidad de Transparencia y en fecha once de enero de dos mil veintidós el Titular de la Unidad de Información, Planeación, Programación y Evaluación, tal como se aprecia a continuación:</w:t>
      </w:r>
    </w:p>
    <w:p w:rsidR="0014272F" w:rsidRPr="00720A41" w:rsidRDefault="0014272F">
      <w:pPr>
        <w:spacing w:after="0" w:line="360" w:lineRule="auto"/>
        <w:jc w:val="both"/>
      </w:pPr>
    </w:p>
    <w:p w:rsidR="0014272F" w:rsidRPr="00720A41" w:rsidRDefault="002032B6">
      <w:pPr>
        <w:spacing w:after="0" w:line="360" w:lineRule="auto"/>
        <w:jc w:val="center"/>
        <w:rPr>
          <w:rFonts w:ascii="Palatino Linotype" w:eastAsia="Palatino Linotype" w:hAnsi="Palatino Linotype" w:cs="Palatino Linotype"/>
          <w:sz w:val="24"/>
          <w:szCs w:val="24"/>
        </w:rPr>
      </w:pPr>
      <w:r w:rsidRPr="00720A41">
        <w:rPr>
          <w:noProof/>
        </w:rPr>
        <w:drawing>
          <wp:inline distT="0" distB="0" distL="0" distR="0">
            <wp:extent cx="2967088" cy="3950745"/>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33436" t="14786" r="35336" b="11285"/>
                    <a:stretch>
                      <a:fillRect/>
                    </a:stretch>
                  </pic:blipFill>
                  <pic:spPr>
                    <a:xfrm>
                      <a:off x="0" y="0"/>
                      <a:ext cx="2967088" cy="3950745"/>
                    </a:xfrm>
                    <a:prstGeom prst="rect">
                      <a:avLst/>
                    </a:prstGeom>
                    <a:ln/>
                  </pic:spPr>
                </pic:pic>
              </a:graphicData>
            </a:graphic>
          </wp:inline>
        </w:drawing>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center"/>
        <w:rPr>
          <w:rFonts w:ascii="Palatino Linotype" w:eastAsia="Palatino Linotype" w:hAnsi="Palatino Linotype" w:cs="Palatino Linotype"/>
          <w:sz w:val="24"/>
          <w:szCs w:val="24"/>
        </w:rPr>
      </w:pPr>
      <w:r w:rsidRPr="00720A41">
        <w:rPr>
          <w:noProof/>
        </w:rPr>
        <w:drawing>
          <wp:inline distT="0" distB="0" distL="0" distR="0">
            <wp:extent cx="5057775" cy="6743700"/>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33605" t="21122" r="34827" b="4043"/>
                    <a:stretch>
                      <a:fillRect/>
                    </a:stretch>
                  </pic:blipFill>
                  <pic:spPr>
                    <a:xfrm>
                      <a:off x="0" y="0"/>
                      <a:ext cx="5057775" cy="6743700"/>
                    </a:xfrm>
                    <a:prstGeom prst="rect">
                      <a:avLst/>
                    </a:prstGeom>
                    <a:ln/>
                  </pic:spPr>
                </pic:pic>
              </a:graphicData>
            </a:graphic>
          </wp:inline>
        </w:drawing>
      </w:r>
      <w:r w:rsidRPr="00720A41">
        <w:rPr>
          <w:noProof/>
        </w:rPr>
        <mc:AlternateContent>
          <mc:Choice Requires="wpg">
            <w:drawing>
              <wp:anchor distT="0" distB="0" distL="114300" distR="114300" simplePos="0" relativeHeight="251660288" behindDoc="0" locked="0" layoutInCell="1" hidden="0" allowOverlap="1">
                <wp:simplePos x="0" y="0"/>
                <wp:positionH relativeFrom="column">
                  <wp:posOffset>495300</wp:posOffset>
                </wp:positionH>
                <wp:positionV relativeFrom="paragraph">
                  <wp:posOffset>2197100</wp:posOffset>
                </wp:positionV>
                <wp:extent cx="4714875" cy="409575"/>
                <wp:effectExtent l="0" t="0" r="0" b="0"/>
                <wp:wrapNone/>
                <wp:docPr id="27" name="Rectángulo 27"/>
                <wp:cNvGraphicFramePr/>
                <a:graphic xmlns:a="http://schemas.openxmlformats.org/drawingml/2006/main">
                  <a:graphicData uri="http://schemas.microsoft.com/office/word/2010/wordprocessingShape">
                    <wps:wsp>
                      <wps:cNvSpPr/>
                      <wps:spPr>
                        <a:xfrm>
                          <a:off x="3007613" y="3594263"/>
                          <a:ext cx="4676775" cy="371475"/>
                        </a:xfrm>
                        <a:prstGeom prst="rect">
                          <a:avLst/>
                        </a:prstGeom>
                        <a:noFill/>
                        <a:ln w="38100" cap="flat" cmpd="sng">
                          <a:solidFill>
                            <a:srgbClr val="FF0000"/>
                          </a:solidFill>
                          <a:prstDash val="solid"/>
                          <a:miter lim="800000"/>
                          <a:headEnd type="none" w="sm" len="sm"/>
                          <a:tailEnd type="none" w="sm" len="sm"/>
                        </a:ln>
                      </wps:spPr>
                      <wps:txbx>
                        <w:txbxContent>
                          <w:p w:rsidR="0014272F" w:rsidRDefault="001427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2197100</wp:posOffset>
                </wp:positionV>
                <wp:extent cx="4714875" cy="409575"/>
                <wp:effectExtent b="0" l="0" r="0" t="0"/>
                <wp:wrapNone/>
                <wp:docPr id="27"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4714875" cy="409575"/>
                        </a:xfrm>
                        <a:prstGeom prst="rect"/>
                        <a:ln/>
                      </pic:spPr>
                    </pic:pic>
                  </a:graphicData>
                </a:graphic>
              </wp:anchor>
            </w:drawing>
          </mc:Fallback>
        </mc:AlternateConten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noProof/>
        </w:rPr>
        <w:drawing>
          <wp:inline distT="0" distB="0" distL="0" distR="0">
            <wp:extent cx="5227985" cy="5543241"/>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31398" t="21725" r="34826" b="14605"/>
                    <a:stretch>
                      <a:fillRect/>
                    </a:stretch>
                  </pic:blipFill>
                  <pic:spPr>
                    <a:xfrm>
                      <a:off x="0" y="0"/>
                      <a:ext cx="5227985" cy="5543241"/>
                    </a:xfrm>
                    <a:prstGeom prst="rect">
                      <a:avLst/>
                    </a:prstGeom>
                    <a:ln/>
                  </pic:spPr>
                </pic:pic>
              </a:graphicData>
            </a:graphic>
          </wp:inline>
        </w:drawing>
      </w:r>
      <w:r w:rsidRPr="00720A41">
        <w:rPr>
          <w:noProof/>
        </w:rPr>
        <mc:AlternateContent>
          <mc:Choice Requires="wpg">
            <w:drawing>
              <wp:anchor distT="0" distB="0" distL="114300" distR="114300" simplePos="0" relativeHeight="251661312" behindDoc="0" locked="0" layoutInCell="1" hidden="0" allowOverlap="1">
                <wp:simplePos x="0" y="0"/>
                <wp:positionH relativeFrom="column">
                  <wp:posOffset>508000</wp:posOffset>
                </wp:positionH>
                <wp:positionV relativeFrom="paragraph">
                  <wp:posOffset>3975100</wp:posOffset>
                </wp:positionV>
                <wp:extent cx="4714875" cy="1028700"/>
                <wp:effectExtent l="0" t="0" r="0" b="0"/>
                <wp:wrapNone/>
                <wp:docPr id="26" name="Rectángulo 26"/>
                <wp:cNvGraphicFramePr/>
                <a:graphic xmlns:a="http://schemas.openxmlformats.org/drawingml/2006/main">
                  <a:graphicData uri="http://schemas.microsoft.com/office/word/2010/wordprocessingShape">
                    <wps:wsp>
                      <wps:cNvSpPr/>
                      <wps:spPr>
                        <a:xfrm>
                          <a:off x="3007613" y="3284700"/>
                          <a:ext cx="4676775" cy="990600"/>
                        </a:xfrm>
                        <a:prstGeom prst="rect">
                          <a:avLst/>
                        </a:prstGeom>
                        <a:noFill/>
                        <a:ln w="38100" cap="flat" cmpd="sng">
                          <a:solidFill>
                            <a:srgbClr val="FF0000"/>
                          </a:solidFill>
                          <a:prstDash val="solid"/>
                          <a:miter lim="800000"/>
                          <a:headEnd type="none" w="sm" len="sm"/>
                          <a:tailEnd type="none" w="sm" len="sm"/>
                        </a:ln>
                      </wps:spPr>
                      <wps:txbx>
                        <w:txbxContent>
                          <w:p w:rsidR="0014272F" w:rsidRDefault="001427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3975100</wp:posOffset>
                </wp:positionV>
                <wp:extent cx="4714875" cy="1028700"/>
                <wp:effectExtent b="0" l="0" r="0" t="0"/>
                <wp:wrapNone/>
                <wp:docPr id="26"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4714875" cy="1028700"/>
                        </a:xfrm>
                        <a:prstGeom prst="rect"/>
                        <a:ln/>
                      </pic:spPr>
                    </pic:pic>
                  </a:graphicData>
                </a:graphic>
              </wp:anchor>
            </w:drawing>
          </mc:Fallback>
        </mc:AlternateContent>
      </w:r>
    </w:p>
    <w:p w:rsidR="0014272F" w:rsidRPr="00720A41" w:rsidRDefault="002032B6">
      <w:pPr>
        <w:tabs>
          <w:tab w:val="left" w:pos="709"/>
        </w:tabs>
        <w:spacing w:after="0" w:line="360" w:lineRule="auto"/>
        <w:ind w:right="40"/>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Sin embargo, como se mencionó con anterioridad, la Unidad de Transparencia no realizo realizar una búsqueda exhaustiva y razonable de la información solicitada ya que omitió turnar a todas las áreas competentes que cuenten con la información o deban tenerla de acuerdo a sus facultades, competencias y funciones, que en este caso sería de Coordinación de Recursos Humanos de manera enunciativa mas no limitativa el área competente en la que obre en sus archivos los certificados de competencia laboral del Titular de la Unidad de Transparencia y del Titular de la Unidad de Información, Planeación, Programación y Evaluación, esto de acuerdo al Bando Municipal 2022 de Almoloya del Río, tal como se aprecia a continuación:</w:t>
      </w:r>
    </w:p>
    <w:p w:rsidR="0014272F" w:rsidRPr="00720A41" w:rsidRDefault="0014272F">
      <w:pPr>
        <w:tabs>
          <w:tab w:val="left" w:pos="709"/>
        </w:tabs>
        <w:spacing w:after="0" w:line="360" w:lineRule="auto"/>
        <w:ind w:right="40"/>
        <w:jc w:val="both"/>
        <w:rPr>
          <w:rFonts w:ascii="Palatino Linotype" w:eastAsia="Palatino Linotype" w:hAnsi="Palatino Linotype" w:cs="Palatino Linotype"/>
          <w:sz w:val="24"/>
          <w:szCs w:val="24"/>
        </w:rPr>
      </w:pPr>
    </w:p>
    <w:p w:rsidR="0014272F" w:rsidRPr="00720A41" w:rsidRDefault="002032B6">
      <w:pPr>
        <w:tabs>
          <w:tab w:val="left" w:pos="709"/>
        </w:tabs>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Artículo 77.- La Coordinación de Recursos Humanos, es un área centralizada perteneciente a la Dirección de Administración, y de acuerdo a las atribuciones de esta Coordinación, son las conferidas en la Ley Federal del Trabajo, así como la Ley del Trabajo de los Servidores Públicos del Estado y Municipios</w:t>
      </w:r>
    </w:p>
    <w:p w:rsidR="0014272F" w:rsidRPr="00720A41" w:rsidRDefault="0014272F">
      <w:pPr>
        <w:tabs>
          <w:tab w:val="left" w:pos="709"/>
        </w:tabs>
        <w:spacing w:after="0" w:line="360" w:lineRule="auto"/>
        <w:ind w:left="851" w:right="900"/>
        <w:jc w:val="both"/>
        <w:rPr>
          <w:rFonts w:ascii="Palatino Linotype" w:eastAsia="Palatino Linotype" w:hAnsi="Palatino Linotype" w:cs="Palatino Linotype"/>
          <w:i/>
        </w:rPr>
      </w:pPr>
    </w:p>
    <w:p w:rsidR="0014272F" w:rsidRPr="00720A41" w:rsidRDefault="002032B6">
      <w:pPr>
        <w:tabs>
          <w:tab w:val="left" w:pos="709"/>
        </w:tabs>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Artículo 79.- Atribuciones de la Coordinación de Recursos Humanos:</w:t>
      </w:r>
    </w:p>
    <w:p w:rsidR="0014272F" w:rsidRPr="00720A41" w:rsidRDefault="002032B6">
      <w:pPr>
        <w:tabs>
          <w:tab w:val="left" w:pos="709"/>
        </w:tabs>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tabs>
          <w:tab w:val="left" w:pos="709"/>
        </w:tabs>
        <w:spacing w:after="0" w:line="360"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VI. Elaborar expediente de cada servidor Público Municipal.</w:t>
      </w:r>
    </w:p>
    <w:p w:rsidR="0014272F" w:rsidRPr="00720A41" w:rsidRDefault="0014272F">
      <w:pPr>
        <w:tabs>
          <w:tab w:val="left" w:pos="709"/>
        </w:tabs>
        <w:spacing w:after="0" w:line="360" w:lineRule="auto"/>
        <w:ind w:right="900"/>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lo que se determina que la Coordinación de Recursos Humanos, elabora el expediente personal de cada servidor público municipal, además de lo establecido por el artículo 47 de la Ley del Trabajo de los Servidores Públicos del Estado y Municipios, el cual refiere que para ingresar al servicio público, se requiere, entre otras cosas, cumplir con diversos requisitos, por lo que es conducente hacer referencia sobre aquellas exigencias a cumplir que señala el artículo en comento:</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276" w:lineRule="auto"/>
        <w:ind w:left="567" w:right="539"/>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47.</w:t>
      </w:r>
      <w:r w:rsidRPr="00720A41">
        <w:rPr>
          <w:rFonts w:ascii="Palatino Linotype" w:eastAsia="Palatino Linotype" w:hAnsi="Palatino Linotype" w:cs="Palatino Linotype"/>
          <w:i/>
        </w:rPr>
        <w:t xml:space="preserve"> Para ingresar al servicio público se requiere:</w:t>
      </w:r>
    </w:p>
    <w:p w:rsidR="0014272F" w:rsidRPr="00720A41" w:rsidRDefault="002032B6">
      <w:pPr>
        <w:spacing w:after="0" w:line="276" w:lineRule="auto"/>
        <w:ind w:left="567" w:right="539"/>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after="0" w:line="276" w:lineRule="auto"/>
        <w:ind w:left="567" w:right="539"/>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IX. Acreditar por medio de los exámenes correspondientes los conocimientos y aptitudes necesarios para el desempeño del puesto; y </w:t>
      </w:r>
    </w:p>
    <w:p w:rsidR="0014272F" w:rsidRPr="00720A41" w:rsidRDefault="0014272F">
      <w:pPr>
        <w:spacing w:after="0" w:line="360" w:lineRule="auto"/>
        <w:ind w:right="539"/>
        <w:jc w:val="both"/>
        <w:rPr>
          <w:rFonts w:ascii="Palatino Linotype" w:eastAsia="Palatino Linotype" w:hAnsi="Palatino Linotype" w:cs="Palatino Linotype"/>
          <w:i/>
          <w:strike/>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Conforme a lo anterior, se logra advertir que toda persona que ingrese al servicio público debe acreditar los conocimientos y aptitudes necesarios para el desempeño del puesto, siendo el certificado de competencia laboral el documento idóneo, mismo que formara parte de su expediente personal, mismo que será integrado por la Coordinación de Recursos Humanos, motivo por el que se ordena la entrega del certificado de competencia laboral del Titular de la Unidad de Transparencia y del Titular de la Unidad de Información, Planeación, Programación y Evaluación en términos del considerando quinto, de esta resolución, sin embargo, para el caso de que no se haya generado a la fecha de la solicitud, bastará que así se lo haga saber a la parte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de manera fundada y motivada.</w:t>
      </w:r>
    </w:p>
    <w:p w:rsidR="0014272F" w:rsidRPr="00720A41" w:rsidRDefault="0014272F">
      <w:pPr>
        <w:spacing w:after="0" w:line="360" w:lineRule="auto"/>
        <w:jc w:val="both"/>
        <w:rPr>
          <w:rFonts w:ascii="Palatino Linotype" w:eastAsia="Palatino Linotype" w:hAnsi="Palatino Linotype" w:cs="Palatino Linotype"/>
          <w:b/>
          <w:sz w:val="24"/>
          <w:szCs w:val="24"/>
        </w:rPr>
      </w:pPr>
    </w:p>
    <w:p w:rsidR="0014272F" w:rsidRPr="00720A41" w:rsidRDefault="002032B6">
      <w:pPr>
        <w:spacing w:after="24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 xml:space="preserve">07375/INFOEM/IP/RR/2022: </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720A41" w:rsidRPr="00720A41">
        <w:tc>
          <w:tcPr>
            <w:tcW w:w="2291"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Información requerida.</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Respuesta</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Motivos de inconformidad</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Informe justificado</w:t>
            </w:r>
          </w:p>
        </w:tc>
      </w:tr>
      <w:tr w:rsidR="0014272F" w:rsidRPr="00720A41">
        <w:tc>
          <w:tcPr>
            <w:tcW w:w="2291" w:type="dxa"/>
          </w:tcPr>
          <w:p w:rsidR="0014272F" w:rsidRPr="00720A41" w:rsidRDefault="002032B6">
            <w:pPr>
              <w:spacing w:before="240" w:after="240"/>
              <w:jc w:val="both"/>
              <w:rPr>
                <w:rFonts w:ascii="Palatino Linotype" w:eastAsia="Palatino Linotype" w:hAnsi="Palatino Linotype" w:cs="Palatino Linotype"/>
                <w:b/>
                <w:sz w:val="18"/>
                <w:szCs w:val="18"/>
              </w:rPr>
            </w:pPr>
            <w:r w:rsidRPr="00720A41">
              <w:rPr>
                <w:rFonts w:ascii="Palatino Linotype" w:eastAsia="Palatino Linotype" w:hAnsi="Palatino Linotype" w:cs="Palatino Linotype"/>
                <w:b/>
                <w:sz w:val="18"/>
                <w:szCs w:val="18"/>
              </w:rPr>
              <w:t>00076/ALMORI/IP/2022=07375/INFOEM/IP/RR/2022</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De la actual administración 2022 -2024: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 a) Nombre completo del titular o encargado de la UIPPE o equivalente.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b) Nombre completo del titular o encargado de la Unida de Transparencia o Equivalente</w:t>
            </w:r>
          </w:p>
        </w:tc>
        <w:tc>
          <w:tcPr>
            <w:tcW w:w="2179" w:type="dxa"/>
            <w:vAlign w:val="center"/>
          </w:tcPr>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1.- Nombre Completo del Titular de la UIPPE de Almoloya del Río, Mario Alberto Gutiérrez Torres.</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2.- Nombre Completo del Titular de la Unidad de Transparencia de Almoloya del Río René Bolaños Armas</w:t>
            </w:r>
          </w:p>
        </w:tc>
        <w:tc>
          <w:tcPr>
            <w:tcW w:w="2179" w:type="dxa"/>
          </w:tcPr>
          <w:p w:rsidR="0014272F" w:rsidRPr="00720A41" w:rsidRDefault="002032B6">
            <w:pPr>
              <w:spacing w:before="240" w:after="240"/>
              <w:jc w:val="both"/>
              <w:rPr>
                <w:rFonts w:ascii="Palatino Linotype" w:eastAsia="Palatino Linotype" w:hAnsi="Palatino Linotype" w:cs="Palatino Linotype"/>
                <w:i/>
                <w:sz w:val="20"/>
                <w:szCs w:val="20"/>
              </w:rPr>
            </w:pPr>
            <w:r w:rsidRPr="00720A41">
              <w:rPr>
                <w:rFonts w:ascii="Palatino Linotype" w:eastAsia="Palatino Linotype" w:hAnsi="Palatino Linotype" w:cs="Palatino Linotype"/>
                <w:i/>
                <w:sz w:val="20"/>
                <w:szCs w:val="20"/>
              </w:rPr>
              <w:t>“Falsedad de la información (Sic)”.</w:t>
            </w:r>
          </w:p>
          <w:p w:rsidR="0014272F" w:rsidRPr="00720A41" w:rsidRDefault="002032B6">
            <w:pPr>
              <w:spacing w:before="240" w:after="240"/>
              <w:jc w:val="both"/>
              <w:rPr>
                <w:rFonts w:ascii="Palatino Linotype" w:eastAsia="Palatino Linotype" w:hAnsi="Palatino Linotype" w:cs="Palatino Linotype"/>
                <w:i/>
                <w:sz w:val="20"/>
                <w:szCs w:val="20"/>
              </w:rPr>
            </w:pPr>
            <w:r w:rsidRPr="00720A41">
              <w:rPr>
                <w:rFonts w:ascii="Palatino Linotype" w:eastAsia="Palatino Linotype" w:hAnsi="Palatino Linotype" w:cs="Palatino Linotype"/>
                <w:i/>
                <w:sz w:val="20"/>
                <w:szCs w:val="20"/>
              </w:rPr>
              <w:t>“Se solicita al INFOEM, revisar las respuestas dadas en la solicitud 00075/ALMORI/IP/2022, donde se manifiesta respuesta distinta a la dada en la respuesta esta solicitud, donde se observa no solo la negativa a la entrega de la información, sino ala falsedad en las respuestas dadas al ser contradictorias, solicito también, las solicitudes sean respondidas en documento que integre la firma quien está brindando la respuesta. (Sic)”.</w:t>
            </w:r>
          </w:p>
        </w:tc>
        <w:tc>
          <w:tcPr>
            <w:tcW w:w="2179" w:type="dxa"/>
          </w:tcPr>
          <w:p w:rsidR="0014272F" w:rsidRPr="00720A41" w:rsidRDefault="002032B6">
            <w:pPr>
              <w:spacing w:before="240" w:after="240"/>
              <w:jc w:val="center"/>
              <w:rPr>
                <w:rFonts w:ascii="Palatino Linotype" w:eastAsia="Palatino Linotype" w:hAnsi="Palatino Linotype" w:cs="Palatino Linotype"/>
                <w:sz w:val="20"/>
                <w:szCs w:val="20"/>
              </w:rPr>
            </w:pPr>
            <w:r w:rsidRPr="00720A41">
              <w:rPr>
                <w:rFonts w:ascii="Palatino Linotype" w:eastAsia="Palatino Linotype" w:hAnsi="Palatino Linotype" w:cs="Palatino Linotype"/>
                <w:sz w:val="20"/>
                <w:szCs w:val="20"/>
              </w:rPr>
              <w:t>N/A</w:t>
            </w:r>
          </w:p>
        </w:tc>
      </w:tr>
    </w:tbl>
    <w:p w:rsidR="0014272F" w:rsidRPr="00720A41" w:rsidRDefault="0014272F">
      <w:pPr>
        <w:spacing w:before="240" w:after="0" w:line="360" w:lineRule="auto"/>
        <w:jc w:val="both"/>
        <w:rPr>
          <w:rFonts w:ascii="Palatino Linotype" w:eastAsia="Palatino Linotype" w:hAnsi="Palatino Linotype" w:cs="Palatino Linotype"/>
          <w:b/>
          <w:sz w:val="24"/>
          <w:szCs w:val="24"/>
        </w:rPr>
      </w:pPr>
    </w:p>
    <w:p w:rsidR="0014272F" w:rsidRPr="00720A41" w:rsidRDefault="002032B6">
      <w:pPr>
        <w:spacing w:after="24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Ahora bien, atentos a la inconformidad planteada resulta necesario traer a colación el contenido del artículo 179 de la Ley de Transparencia y Acceso a la Información Pública del Estado de México y Municipios, a saber:</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179</w:t>
      </w:r>
      <w:r w:rsidRPr="00720A41">
        <w:rPr>
          <w:rFonts w:ascii="Palatino Linotype" w:eastAsia="Palatino Linotype" w:hAnsi="Palatino Linotype" w:cs="Palatino Linotype"/>
          <w:i/>
        </w:rPr>
        <w:t>. El recurso de revisión es un medio de protección que la Ley otorga a los particulares, para hacer valer su derecho de acceso a la información pública, y procederá en contra de las siguientes causas:</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I.</w:t>
      </w:r>
      <w:r w:rsidRPr="00720A41">
        <w:rPr>
          <w:rFonts w:ascii="Palatino Linotype" w:eastAsia="Palatino Linotype" w:hAnsi="Palatino Linotype" w:cs="Palatino Linotype"/>
          <w:i/>
        </w:rPr>
        <w:t xml:space="preserve"> La negativa a la información solicitada;</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II</w:t>
      </w:r>
      <w:r w:rsidRPr="00720A41">
        <w:rPr>
          <w:rFonts w:ascii="Palatino Linotype" w:eastAsia="Palatino Linotype" w:hAnsi="Palatino Linotype" w:cs="Palatino Linotype"/>
          <w:i/>
        </w:rPr>
        <w:t>. La clasificación de la información;</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III</w:t>
      </w:r>
      <w:r w:rsidRPr="00720A41">
        <w:rPr>
          <w:rFonts w:ascii="Palatino Linotype" w:eastAsia="Palatino Linotype" w:hAnsi="Palatino Linotype" w:cs="Palatino Linotype"/>
          <w:i/>
        </w:rPr>
        <w:t>. La declaración de inexistencia de la información;</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IV</w:t>
      </w:r>
      <w:r w:rsidRPr="00720A41">
        <w:rPr>
          <w:rFonts w:ascii="Palatino Linotype" w:eastAsia="Palatino Linotype" w:hAnsi="Palatino Linotype" w:cs="Palatino Linotype"/>
          <w:i/>
        </w:rPr>
        <w:t>. La declaración de incompetencia por el sujeto obligado;</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V</w:t>
      </w:r>
      <w:r w:rsidRPr="00720A41">
        <w:rPr>
          <w:rFonts w:ascii="Palatino Linotype" w:eastAsia="Palatino Linotype" w:hAnsi="Palatino Linotype" w:cs="Palatino Linotype"/>
          <w:i/>
        </w:rPr>
        <w:t>. La entrega de información incompleta;</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VI.</w:t>
      </w:r>
      <w:r w:rsidRPr="00720A41">
        <w:rPr>
          <w:rFonts w:ascii="Palatino Linotype" w:eastAsia="Palatino Linotype" w:hAnsi="Palatino Linotype" w:cs="Palatino Linotype"/>
          <w:i/>
        </w:rPr>
        <w:t xml:space="preserve"> La entrega de información que no corresponda con lo solicitado;</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VII</w:t>
      </w:r>
      <w:r w:rsidRPr="00720A41">
        <w:rPr>
          <w:rFonts w:ascii="Palatino Linotype" w:eastAsia="Palatino Linotype" w:hAnsi="Palatino Linotype" w:cs="Palatino Linotype"/>
          <w:i/>
        </w:rPr>
        <w:t>. La falta de respuesta a una solicitud de acceso a la información;</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VIII</w:t>
      </w:r>
      <w:r w:rsidRPr="00720A41">
        <w:rPr>
          <w:rFonts w:ascii="Palatino Linotype" w:eastAsia="Palatino Linotype" w:hAnsi="Palatino Linotype" w:cs="Palatino Linotype"/>
          <w:i/>
        </w:rPr>
        <w:t>. La notificación, entrega o puesta a disposición de información en una modalidad o formato distinto al solicitado;</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IX.</w:t>
      </w:r>
      <w:r w:rsidRPr="00720A41">
        <w:rPr>
          <w:rFonts w:ascii="Palatino Linotype" w:eastAsia="Palatino Linotype" w:hAnsi="Palatino Linotype" w:cs="Palatino Linotype"/>
          <w:i/>
        </w:rPr>
        <w:t xml:space="preserve"> La entrega o puesta a disposición de información en un formato incomprensible y/o no accesible para el solicitante;</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X.</w:t>
      </w:r>
      <w:r w:rsidRPr="00720A41">
        <w:rPr>
          <w:rFonts w:ascii="Palatino Linotype" w:eastAsia="Palatino Linotype" w:hAnsi="Palatino Linotype" w:cs="Palatino Linotype"/>
          <w:i/>
        </w:rPr>
        <w:t xml:space="preserve"> Los costos o tiempos de entrega de la información;</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XI.</w:t>
      </w:r>
      <w:r w:rsidRPr="00720A41">
        <w:rPr>
          <w:rFonts w:ascii="Palatino Linotype" w:eastAsia="Palatino Linotype" w:hAnsi="Palatino Linotype" w:cs="Palatino Linotype"/>
          <w:i/>
        </w:rPr>
        <w:t xml:space="preserve"> La falta de trámite a una solicitud;</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XII.</w:t>
      </w:r>
      <w:r w:rsidRPr="00720A41">
        <w:rPr>
          <w:rFonts w:ascii="Palatino Linotype" w:eastAsia="Palatino Linotype" w:hAnsi="Palatino Linotype" w:cs="Palatino Linotype"/>
          <w:i/>
        </w:rPr>
        <w:t xml:space="preserve"> La negativa a permitir la consulta directa de la información;</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XIII.</w:t>
      </w:r>
      <w:r w:rsidRPr="00720A41">
        <w:rPr>
          <w:rFonts w:ascii="Palatino Linotype" w:eastAsia="Palatino Linotype" w:hAnsi="Palatino Linotype" w:cs="Palatino Linotype"/>
          <w:i/>
        </w:rPr>
        <w:t xml:space="preserve"> La falta, deficiencia o insuficiencia de la fundamentación y/o motivación en la respuesta; y</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XIV</w:t>
      </w:r>
      <w:r w:rsidRPr="00720A41">
        <w:rPr>
          <w:rFonts w:ascii="Palatino Linotype" w:eastAsia="Palatino Linotype" w:hAnsi="Palatino Linotype" w:cs="Palatino Linotype"/>
          <w:i/>
        </w:rPr>
        <w:t>. La orientación a un trámite específico.</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14272F" w:rsidRPr="00720A41" w:rsidRDefault="002032B6">
      <w:pPr>
        <w:spacing w:before="240" w:after="24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sz w:val="24"/>
          <w:szCs w:val="24"/>
        </w:rPr>
        <w:t xml:space="preserve">De la interpretación sistemática del precepto legal citado, no se advierte que la causa invocada por la parte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actualice alguno de los supuestos que la norma jurídica contempla para la procedencia del recurso de revisión, toda vez que la persona solicitante de combate la autenticidad o veracidad de la información proporcionada por el </w:t>
      </w:r>
      <w:r w:rsidRPr="00720A41">
        <w:rPr>
          <w:rFonts w:ascii="Palatino Linotype" w:eastAsia="Palatino Linotype" w:hAnsi="Palatino Linotype" w:cs="Palatino Linotype"/>
          <w:b/>
          <w:sz w:val="24"/>
          <w:szCs w:val="24"/>
        </w:rPr>
        <w:t>SUJETO OBLIGADO.</w:t>
      </w:r>
    </w:p>
    <w:p w:rsidR="0014272F" w:rsidRPr="00720A41" w:rsidRDefault="002032B6">
      <w:pPr>
        <w:spacing w:before="240" w:after="24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lo tanto, resulta aplicable al caso concreto el contenido de los artículos 186, 191, y 192, de la de la Ley de Transparencia y Acceso a la Información Pública del Estado de México y Municipios, que disponen lo siguiente:</w:t>
      </w:r>
    </w:p>
    <w:p w:rsidR="0014272F" w:rsidRPr="00720A41" w:rsidRDefault="002032B6">
      <w:pPr>
        <w:spacing w:before="120" w:after="120"/>
        <w:ind w:left="851" w:right="902"/>
        <w:jc w:val="both"/>
        <w:rPr>
          <w:rFonts w:ascii="Palatino Linotype" w:eastAsia="Palatino Linotype" w:hAnsi="Palatino Linotype" w:cs="Palatino Linotype"/>
          <w:i/>
        </w:rPr>
      </w:pPr>
      <w:bookmarkStart w:id="5" w:name="_heading=h.2et92p0" w:colFirst="0" w:colLast="0"/>
      <w:bookmarkEnd w:id="5"/>
      <w:r w:rsidRPr="00720A41">
        <w:rPr>
          <w:rFonts w:ascii="Palatino Linotype" w:eastAsia="Palatino Linotype" w:hAnsi="Palatino Linotype" w:cs="Palatino Linotype"/>
          <w:b/>
          <w:i/>
        </w:rPr>
        <w:t xml:space="preserve">“Artículo 186. </w:t>
      </w:r>
      <w:r w:rsidRPr="00720A41">
        <w:rPr>
          <w:rFonts w:ascii="Palatino Linotype" w:eastAsia="Palatino Linotype" w:hAnsi="Palatino Linotype" w:cs="Palatino Linotype"/>
          <w:i/>
        </w:rPr>
        <w:t>Las resoluciones del Instituto podrán:</w:t>
      </w:r>
    </w:p>
    <w:p w:rsidR="0014272F" w:rsidRPr="00720A41" w:rsidRDefault="002032B6">
      <w:pPr>
        <w:spacing w:before="120" w:after="120"/>
        <w:ind w:left="1134" w:right="902"/>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I. Desechar o sobreseer el recurso;</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II. </w:t>
      </w:r>
      <w:r w:rsidRPr="00720A41">
        <w:rPr>
          <w:rFonts w:ascii="Palatino Linotype" w:eastAsia="Palatino Linotype" w:hAnsi="Palatino Linotype" w:cs="Palatino Linotype"/>
          <w:i/>
        </w:rPr>
        <w:t>Confirmar la respuesta del sujeto obligado;</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III. </w:t>
      </w:r>
      <w:r w:rsidRPr="00720A41">
        <w:rPr>
          <w:rFonts w:ascii="Palatino Linotype" w:eastAsia="Palatino Linotype" w:hAnsi="Palatino Linotype" w:cs="Palatino Linotype"/>
          <w:i/>
        </w:rPr>
        <w:t>Revocar o modificar la respuesta del sujeto obligado; y</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IV. </w:t>
      </w:r>
      <w:r w:rsidRPr="00720A41">
        <w:rPr>
          <w:rFonts w:ascii="Palatino Linotype" w:eastAsia="Palatino Linotype" w:hAnsi="Palatino Linotype" w:cs="Palatino Linotype"/>
          <w:i/>
        </w:rPr>
        <w:t>Ordenar la entrega de la información…”</w:t>
      </w:r>
    </w:p>
    <w:p w:rsidR="0014272F" w:rsidRPr="00720A41" w:rsidRDefault="002032B6">
      <w:pPr>
        <w:spacing w:before="120" w:after="120"/>
        <w:ind w:left="851" w:right="902"/>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Artículo 191. </w:t>
      </w:r>
      <w:r w:rsidRPr="00720A41">
        <w:rPr>
          <w:rFonts w:ascii="Palatino Linotype" w:eastAsia="Palatino Linotype" w:hAnsi="Palatino Linotype" w:cs="Palatino Linotype"/>
          <w:i/>
        </w:rPr>
        <w:t>El recurso será desechado por improcedente cuando:</w:t>
      </w:r>
    </w:p>
    <w:p w:rsidR="0014272F" w:rsidRPr="00720A41" w:rsidRDefault="002032B6">
      <w:pPr>
        <w:tabs>
          <w:tab w:val="left" w:pos="1276"/>
        </w:tabs>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 </w:t>
      </w:r>
      <w:r w:rsidRPr="00720A41">
        <w:rPr>
          <w:rFonts w:ascii="Palatino Linotype" w:eastAsia="Palatino Linotype" w:hAnsi="Palatino Linotype" w:cs="Palatino Linotype"/>
          <w:i/>
        </w:rPr>
        <w:t>Sea extemporáneo por haber transcurrido el plazo establecido en la presente Ley, a partir de la respuesta;</w:t>
      </w:r>
    </w:p>
    <w:p w:rsidR="0014272F" w:rsidRPr="00720A41" w:rsidRDefault="002032B6">
      <w:pPr>
        <w:tabs>
          <w:tab w:val="left" w:pos="1276"/>
        </w:tabs>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II. </w:t>
      </w:r>
      <w:r w:rsidRPr="00720A41">
        <w:rPr>
          <w:rFonts w:ascii="Palatino Linotype" w:eastAsia="Palatino Linotype" w:hAnsi="Palatino Linotype" w:cs="Palatino Linotype"/>
          <w:i/>
        </w:rPr>
        <w:t>Se esté tramitando ante el Poder Judicial de la Federación algún recurso o medio de defensa interpuesto por el recurrente;</w:t>
      </w:r>
    </w:p>
    <w:p w:rsidR="0014272F" w:rsidRPr="00720A41" w:rsidRDefault="002032B6">
      <w:pPr>
        <w:tabs>
          <w:tab w:val="left" w:pos="1276"/>
        </w:tabs>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III. </w:t>
      </w:r>
      <w:r w:rsidRPr="00720A41">
        <w:rPr>
          <w:rFonts w:ascii="Palatino Linotype" w:eastAsia="Palatino Linotype" w:hAnsi="Palatino Linotype" w:cs="Palatino Linotype"/>
          <w:i/>
        </w:rPr>
        <w:t>No actualice alguno de los supuestos previstos en la presente Ley;</w:t>
      </w:r>
    </w:p>
    <w:p w:rsidR="0014272F" w:rsidRPr="00720A41" w:rsidRDefault="002032B6">
      <w:pPr>
        <w:tabs>
          <w:tab w:val="left" w:pos="1276"/>
        </w:tabs>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IV. </w:t>
      </w:r>
      <w:r w:rsidRPr="00720A41">
        <w:rPr>
          <w:rFonts w:ascii="Palatino Linotype" w:eastAsia="Palatino Linotype" w:hAnsi="Palatino Linotype" w:cs="Palatino Linotype"/>
          <w:i/>
        </w:rPr>
        <w:t>No se haya desahogado la prevención en los términos establecidos en la presente Ley;</w:t>
      </w:r>
    </w:p>
    <w:p w:rsidR="0014272F" w:rsidRPr="00720A41" w:rsidRDefault="002032B6">
      <w:pPr>
        <w:tabs>
          <w:tab w:val="left" w:pos="1276"/>
        </w:tabs>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V. Se impugne la veracidad de la información proporcionada;</w:t>
      </w:r>
    </w:p>
    <w:p w:rsidR="0014272F" w:rsidRPr="00720A41" w:rsidRDefault="002032B6">
      <w:pPr>
        <w:tabs>
          <w:tab w:val="left" w:pos="1276"/>
        </w:tabs>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VI. </w:t>
      </w:r>
      <w:r w:rsidRPr="00720A41">
        <w:rPr>
          <w:rFonts w:ascii="Palatino Linotype" w:eastAsia="Palatino Linotype" w:hAnsi="Palatino Linotype" w:cs="Palatino Linotype"/>
          <w:i/>
        </w:rPr>
        <w:t>Se trate de una consulta, o trámite en específico; y</w:t>
      </w:r>
    </w:p>
    <w:p w:rsidR="0014272F" w:rsidRPr="00720A41" w:rsidRDefault="002032B6">
      <w:pPr>
        <w:tabs>
          <w:tab w:val="left" w:pos="1276"/>
        </w:tabs>
        <w:spacing w:before="120" w:after="120"/>
        <w:ind w:left="1134" w:right="902"/>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 xml:space="preserve">VII. </w:t>
      </w:r>
      <w:r w:rsidRPr="00720A41">
        <w:rPr>
          <w:rFonts w:ascii="Palatino Linotype" w:eastAsia="Palatino Linotype" w:hAnsi="Palatino Linotype" w:cs="Palatino Linotype"/>
          <w:i/>
        </w:rPr>
        <w:t>El recurrente amplíe su solicitud en el recurso de revisión, únicamente respecto de los nuevos contenidos.”</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Artículo 192. </w:t>
      </w:r>
      <w:r w:rsidRPr="00720A41">
        <w:rPr>
          <w:rFonts w:ascii="Palatino Linotype" w:eastAsia="Palatino Linotype" w:hAnsi="Palatino Linotype" w:cs="Palatino Linotype"/>
          <w:i/>
        </w:rPr>
        <w:t>El recurso será sobreseído, en todo o en parte, cuando una vez admitido, se actualicen alguno de los siguientes supuestos:</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 </w:t>
      </w:r>
      <w:r w:rsidRPr="00720A41">
        <w:rPr>
          <w:rFonts w:ascii="Palatino Linotype" w:eastAsia="Palatino Linotype" w:hAnsi="Palatino Linotype" w:cs="Palatino Linotype"/>
          <w:i/>
        </w:rPr>
        <w:t>El recurrente se desista expresamente del recurso;</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II. </w:t>
      </w:r>
      <w:r w:rsidRPr="00720A41">
        <w:rPr>
          <w:rFonts w:ascii="Palatino Linotype" w:eastAsia="Palatino Linotype" w:hAnsi="Palatino Linotype" w:cs="Palatino Linotype"/>
          <w:i/>
        </w:rPr>
        <w:t>El recurrente fallezca o, tratándose de personas jurídicas colectivas, se disuelva;</w:t>
      </w:r>
    </w:p>
    <w:p w:rsidR="0014272F" w:rsidRPr="00720A41" w:rsidRDefault="002032B6">
      <w:pPr>
        <w:spacing w:before="120" w:after="120"/>
        <w:ind w:left="1134" w:right="902"/>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III. </w:t>
      </w:r>
      <w:r w:rsidRPr="00720A41">
        <w:rPr>
          <w:rFonts w:ascii="Palatino Linotype" w:eastAsia="Palatino Linotype" w:hAnsi="Palatino Linotype" w:cs="Palatino Linotype"/>
          <w:i/>
        </w:rPr>
        <w:t>El sujeto obligado responsable del acto lo modifique o revoque de tal manera que el recurso de revisión quede sin materia;</w:t>
      </w:r>
    </w:p>
    <w:p w:rsidR="0014272F" w:rsidRPr="00720A41" w:rsidRDefault="002032B6">
      <w:pPr>
        <w:spacing w:before="120" w:after="120"/>
        <w:ind w:left="1134" w:right="902"/>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IV. Admitido el recurso de revisión, aparezca alguna causal de improcedencia en los términos de la presente Ley; y</w:t>
      </w:r>
    </w:p>
    <w:p w:rsidR="0014272F" w:rsidRPr="00720A41" w:rsidRDefault="002032B6">
      <w:pPr>
        <w:spacing w:before="120" w:after="120"/>
        <w:ind w:left="1134" w:right="902"/>
        <w:jc w:val="both"/>
        <w:rPr>
          <w:rFonts w:ascii="Palatino Linotype" w:eastAsia="Palatino Linotype" w:hAnsi="Palatino Linotype" w:cs="Palatino Linotype"/>
        </w:rPr>
      </w:pPr>
      <w:r w:rsidRPr="00720A41">
        <w:rPr>
          <w:rFonts w:ascii="Palatino Linotype" w:eastAsia="Palatino Linotype" w:hAnsi="Palatino Linotype" w:cs="Palatino Linotype"/>
          <w:b/>
          <w:i/>
        </w:rPr>
        <w:t xml:space="preserve">V. </w:t>
      </w:r>
      <w:r w:rsidRPr="00720A41">
        <w:rPr>
          <w:rFonts w:ascii="Palatino Linotype" w:eastAsia="Palatino Linotype" w:hAnsi="Palatino Linotype" w:cs="Palatino Linotype"/>
          <w:i/>
        </w:rPr>
        <w:t>Cuando por cualquier motivo quede sin materia el recurso</w:t>
      </w:r>
      <w:r w:rsidRPr="00720A41">
        <w:rPr>
          <w:rFonts w:ascii="Palatino Linotype" w:eastAsia="Palatino Linotype" w:hAnsi="Palatino Linotype" w:cs="Palatino Linotype"/>
        </w:rPr>
        <w:t>.”</w:t>
      </w:r>
    </w:p>
    <w:p w:rsidR="0014272F" w:rsidRPr="00720A41" w:rsidRDefault="002032B6">
      <w:pPr>
        <w:spacing w:before="240" w:after="24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rsidR="0014272F" w:rsidRPr="00720A41" w:rsidRDefault="002032B6">
      <w:pPr>
        <w:spacing w:before="240" w:after="24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Dentro de este orden de ideas, es evidente que no se puede invocar el precepto legal 191 de la Ley en cita ulteriormente a que ha sido admitido, determinando la actualización de un desechamiento</w:t>
      </w:r>
      <w:r w:rsidRPr="00720A41">
        <w:rPr>
          <w:rFonts w:ascii="Palatino Linotype" w:eastAsia="Palatino Linotype" w:hAnsi="Palatino Linotype" w:cs="Palatino Linotype"/>
          <w:sz w:val="24"/>
          <w:szCs w:val="24"/>
          <w:vertAlign w:val="superscript"/>
        </w:rPr>
        <w:footnoteReference w:id="2"/>
      </w:r>
      <w:r w:rsidRPr="00720A41">
        <w:rPr>
          <w:rFonts w:ascii="Palatino Linotype" w:eastAsia="Palatino Linotype" w:hAnsi="Palatino Linotype" w:cs="Palatino Linotype"/>
          <w:sz w:val="24"/>
          <w:szCs w:val="24"/>
        </w:rPr>
        <w:t>, porque está ya sería posterior a la etapa procedimental en la que debió desecharse.</w:t>
      </w:r>
    </w:p>
    <w:p w:rsidR="0014272F" w:rsidRPr="00720A41" w:rsidRDefault="002032B6">
      <w:pPr>
        <w:spacing w:before="240"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Cobrando aplicación lo previsto en la fracción IV del artículo 192, en razón a que al haber sido el recurso y al actualizarse una causal de improcedencia, debe ser sobreseído. </w:t>
      </w:r>
    </w:p>
    <w:p w:rsidR="0014272F" w:rsidRPr="00720A41" w:rsidRDefault="0014272F">
      <w:pPr>
        <w:spacing w:before="240"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Así, de las constancias que obran en el expediente de mérito, se advierte que se actualiza la causal de sobreseimiento enunciada en la fracción IV del artículo 192 de la Ley de Transparencia Local, en relación directa con la fracción V del artículo 191 de la misma Ley, toda vez que la parte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pone en tela de juicio la veracidad de la información proporcionada.</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Siendo necesario precisar que este Organismo Garante no está facultado para manifestarse sobre la veracidad de lo manifestado por parte de este, pues no existe precepto legal alguno en la Ley de la materia que lo faculte para ello.</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ind w:right="18"/>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 siguiente: </w:t>
      </w:r>
    </w:p>
    <w:p w:rsidR="0014272F" w:rsidRPr="00720A41" w:rsidRDefault="0014272F">
      <w:pPr>
        <w:spacing w:after="0" w:line="360" w:lineRule="auto"/>
        <w:ind w:right="18"/>
        <w:jc w:val="both"/>
        <w:rPr>
          <w:rFonts w:ascii="Palatino Linotype" w:eastAsia="Palatino Linotype" w:hAnsi="Palatino Linotype" w:cs="Palatino Linotype"/>
          <w:sz w:val="24"/>
          <w:szCs w:val="24"/>
        </w:rPr>
      </w:pP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720A41">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4272F" w:rsidRPr="00720A41" w:rsidRDefault="0014272F">
      <w:pPr>
        <w:spacing w:after="0" w:line="360" w:lineRule="auto"/>
        <w:ind w:left="993" w:right="1041"/>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Máxime, que de acuerdo a los nombramientos entregados en la respuesta del recurso </w:t>
      </w:r>
      <w:r w:rsidRPr="00720A41">
        <w:rPr>
          <w:rFonts w:ascii="Palatino Linotype" w:eastAsia="Palatino Linotype" w:hAnsi="Palatino Linotype" w:cs="Palatino Linotype"/>
          <w:b/>
          <w:sz w:val="24"/>
          <w:szCs w:val="24"/>
        </w:rPr>
        <w:t xml:space="preserve">07380/INFOEM/IP/RR/2022 </w:t>
      </w:r>
      <w:r w:rsidRPr="00720A41">
        <w:rPr>
          <w:rFonts w:ascii="Palatino Linotype" w:eastAsia="Palatino Linotype" w:hAnsi="Palatino Linotype" w:cs="Palatino Linotype"/>
          <w:sz w:val="24"/>
          <w:szCs w:val="24"/>
        </w:rPr>
        <w:t>se observa que los nombres proporcionados en respuesta corresponden al Titular de la UIPPE y del Titular de la Unidad de Transparencia, tal como se observa a continuación:</w:t>
      </w:r>
    </w:p>
    <w:p w:rsidR="0014272F" w:rsidRPr="00720A41" w:rsidRDefault="002032B6">
      <w:pPr>
        <w:jc w:val="center"/>
        <w:rPr>
          <w:rFonts w:ascii="Palatino Linotype" w:eastAsia="Palatino Linotype" w:hAnsi="Palatino Linotype" w:cs="Palatino Linotype"/>
          <w:i/>
          <w:sz w:val="24"/>
          <w:szCs w:val="24"/>
        </w:rPr>
      </w:pPr>
      <w:r w:rsidRPr="00720A41">
        <w:rPr>
          <w:noProof/>
        </w:rPr>
        <w:drawing>
          <wp:inline distT="0" distB="0" distL="0" distR="0">
            <wp:extent cx="3650148" cy="92687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33798" t="49985" r="36306" b="36518"/>
                    <a:stretch>
                      <a:fillRect/>
                    </a:stretch>
                  </pic:blipFill>
                  <pic:spPr>
                    <a:xfrm>
                      <a:off x="0" y="0"/>
                      <a:ext cx="3650148" cy="926870"/>
                    </a:xfrm>
                    <a:prstGeom prst="rect">
                      <a:avLst/>
                    </a:prstGeom>
                    <a:ln/>
                  </pic:spPr>
                </pic:pic>
              </a:graphicData>
            </a:graphic>
          </wp:inline>
        </w:drawing>
      </w:r>
    </w:p>
    <w:p w:rsidR="0014272F" w:rsidRPr="00720A41" w:rsidRDefault="002032B6">
      <w:pPr>
        <w:spacing w:line="360" w:lineRule="auto"/>
        <w:jc w:val="center"/>
        <w:rPr>
          <w:rFonts w:ascii="Palatino Linotype" w:eastAsia="Palatino Linotype" w:hAnsi="Palatino Linotype" w:cs="Palatino Linotype"/>
          <w:sz w:val="24"/>
          <w:szCs w:val="24"/>
        </w:rPr>
      </w:pPr>
      <w:r w:rsidRPr="00720A41">
        <w:rPr>
          <w:noProof/>
        </w:rPr>
        <w:drawing>
          <wp:inline distT="0" distB="0" distL="0" distR="0">
            <wp:extent cx="4044610" cy="1116083"/>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33609" t="46745" r="33497" b="37117"/>
                    <a:stretch>
                      <a:fillRect/>
                    </a:stretch>
                  </pic:blipFill>
                  <pic:spPr>
                    <a:xfrm>
                      <a:off x="0" y="0"/>
                      <a:ext cx="4044610" cy="1116083"/>
                    </a:xfrm>
                    <a:prstGeom prst="rect">
                      <a:avLst/>
                    </a:prstGeom>
                    <a:ln/>
                  </pic:spPr>
                </pic:pic>
              </a:graphicData>
            </a:graphic>
          </wp:inline>
        </w:drawing>
      </w:r>
    </w:p>
    <w:p w:rsidR="0014272F" w:rsidRPr="00720A41" w:rsidRDefault="002032B6">
      <w:pPr>
        <w:spacing w:before="160"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En consecuencia, resulta procedente </w:t>
      </w:r>
      <w:r w:rsidRPr="00720A41">
        <w:rPr>
          <w:rFonts w:ascii="Palatino Linotype" w:eastAsia="Palatino Linotype" w:hAnsi="Palatino Linotype" w:cs="Palatino Linotype"/>
          <w:i/>
          <w:sz w:val="24"/>
          <w:szCs w:val="24"/>
        </w:rPr>
        <w:t>sobreseer</w:t>
      </w:r>
      <w:r w:rsidRPr="00720A41">
        <w:rPr>
          <w:rFonts w:ascii="Palatino Linotype" w:eastAsia="Palatino Linotype" w:hAnsi="Palatino Linotype" w:cs="Palatino Linotype"/>
          <w:sz w:val="24"/>
          <w:szCs w:val="24"/>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V y 192, fracción IV de mismo ordenamiento legal.</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Atento a los razonamientos lógico jurídicos que han quedado precisados y toda vez que el  </w:t>
      </w:r>
      <w:r w:rsidRPr="00720A41">
        <w:rPr>
          <w:rFonts w:ascii="Palatino Linotype" w:eastAsia="Palatino Linotype" w:hAnsi="Palatino Linotype" w:cs="Palatino Linotype"/>
          <w:i/>
          <w:sz w:val="24"/>
          <w:szCs w:val="24"/>
        </w:rPr>
        <w:t xml:space="preserve">sobreseimiento </w:t>
      </w:r>
      <w:r w:rsidRPr="00720A41">
        <w:rPr>
          <w:rFonts w:ascii="Palatino Linotype" w:eastAsia="Palatino Linotype" w:hAnsi="Palatino Linotype" w:cs="Palatino Linotype"/>
          <w:sz w:val="24"/>
          <w:szCs w:val="24"/>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720A41">
        <w:rPr>
          <w:rFonts w:ascii="Palatino Linotype" w:eastAsia="Palatino Linotype" w:hAnsi="Palatino Linotype" w:cs="Palatino Linotype"/>
          <w:b/>
          <w:sz w:val="24"/>
          <w:szCs w:val="24"/>
        </w:rPr>
        <w:t>SOBRESEIMIENTO, NO PERMITE ENTRAR AL ESTUDIO DE LAS CUESTIONES DE FONDO</w:t>
      </w:r>
      <w:r w:rsidRPr="00720A41">
        <w:rPr>
          <w:rFonts w:ascii="Palatino Linotype" w:eastAsia="Palatino Linotype" w:hAnsi="Palatino Linotype" w:cs="Palatino Linotype"/>
          <w:sz w:val="24"/>
          <w:szCs w:val="24"/>
          <w:vertAlign w:val="superscript"/>
        </w:rPr>
        <w:footnoteReference w:id="3"/>
      </w:r>
      <w:r w:rsidRPr="00720A41">
        <w:rPr>
          <w:rFonts w:ascii="Palatino Linotype" w:eastAsia="Palatino Linotype" w:hAnsi="Palatino Linotype" w:cs="Palatino Linotype"/>
          <w:b/>
          <w:sz w:val="24"/>
          <w:szCs w:val="24"/>
        </w:rPr>
        <w:t>.</w:t>
      </w:r>
    </w:p>
    <w:p w:rsidR="0014272F" w:rsidRPr="00720A41" w:rsidRDefault="0014272F">
      <w:pPr>
        <w:spacing w:after="0" w:line="360" w:lineRule="auto"/>
        <w:jc w:val="both"/>
        <w:rPr>
          <w:rFonts w:ascii="Palatino Linotype" w:eastAsia="Palatino Linotype" w:hAnsi="Palatino Linotype" w:cs="Palatino Linotype"/>
          <w:b/>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otro lado, otro de sus motivos de inconformidad, expresa que se </w:t>
      </w:r>
      <w:r w:rsidRPr="00720A41">
        <w:rPr>
          <w:rFonts w:ascii="Palatino Linotype" w:eastAsia="Palatino Linotype" w:hAnsi="Palatino Linotype" w:cs="Palatino Linotype"/>
          <w:i/>
          <w:sz w:val="24"/>
          <w:szCs w:val="24"/>
        </w:rPr>
        <w:t xml:space="preserve">(…) solicito también, las solicitudes sean respondidas en documento que integre la firma quien está brindando la respuesta. (…) </w:t>
      </w:r>
      <w:r w:rsidRPr="00720A41">
        <w:rPr>
          <w:rFonts w:ascii="Palatino Linotype" w:eastAsia="Palatino Linotype" w:hAnsi="Palatino Linotype" w:cs="Palatino Linotype"/>
          <w:sz w:val="24"/>
          <w:szCs w:val="24"/>
        </w:rPr>
        <w:t xml:space="preserve">por lo que se advierte que este constituye nuevos requerimientos de información, configurándose así lo que se conoce como </w:t>
      </w:r>
      <w:r w:rsidRPr="00720A41">
        <w:rPr>
          <w:rFonts w:ascii="Palatino Linotype" w:eastAsia="Palatino Linotype" w:hAnsi="Palatino Linotype" w:cs="Palatino Linotype"/>
          <w:i/>
          <w:sz w:val="24"/>
          <w:szCs w:val="24"/>
        </w:rPr>
        <w:t>Plus Petitio</w:t>
      </w:r>
      <w:r w:rsidRPr="00720A41">
        <w:rPr>
          <w:rFonts w:ascii="Palatino Linotype" w:eastAsia="Palatino Linotype" w:hAnsi="Palatino Linotype" w:cs="Palatino Linotype"/>
          <w:sz w:val="24"/>
          <w:szCs w:val="24"/>
        </w:rPr>
        <w:t>, que consiste en una ampliación a su requerimiento informativo, bajo las consideraciones vertidas con anterioridad.</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hd w:val="clear" w:color="auto" w:fill="FFFFFF"/>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rsidR="0014272F" w:rsidRPr="00720A41" w:rsidRDefault="0014272F">
      <w:pPr>
        <w:shd w:val="clear" w:color="auto" w:fill="FFFFFF"/>
        <w:spacing w:after="0" w:line="360" w:lineRule="auto"/>
        <w:jc w:val="both"/>
        <w:rPr>
          <w:rFonts w:ascii="Palatino Linotype" w:eastAsia="Palatino Linotype" w:hAnsi="Palatino Linotype" w:cs="Palatino Linotype"/>
          <w:sz w:val="24"/>
          <w:szCs w:val="24"/>
        </w:rPr>
      </w:pPr>
    </w:p>
    <w:p w:rsidR="0014272F" w:rsidRPr="00720A41" w:rsidRDefault="002032B6">
      <w:pPr>
        <w:shd w:val="clear" w:color="auto" w:fill="FFFFFF"/>
        <w:spacing w:after="240" w:line="276" w:lineRule="auto"/>
        <w:ind w:left="860" w:right="900"/>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Es improcedente ampliar las solicitudes de acceso a información pública o datos personales</w:t>
      </w:r>
      <w:r w:rsidRPr="00720A41">
        <w:rPr>
          <w:rFonts w:ascii="Palatino Linotype" w:eastAsia="Palatino Linotype" w:hAnsi="Palatino Linotype" w:cs="Palatino Linotype"/>
          <w:i/>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14272F" w:rsidRPr="00720A41" w:rsidRDefault="002032B6">
      <w:pPr>
        <w:shd w:val="clear" w:color="auto" w:fill="FFFFFF"/>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No obstante, dejándose a salvo sus derechos, del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para que en una solicitud diversa si es su deseo los haga valer.</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 xml:space="preserve">07380/INFOEM/IP/RR/2022: </w:t>
      </w:r>
    </w:p>
    <w:p w:rsidR="0014272F" w:rsidRPr="00720A41" w:rsidRDefault="0014272F">
      <w:pPr>
        <w:spacing w:line="360" w:lineRule="auto"/>
        <w:rPr>
          <w:rFonts w:ascii="Palatino Linotype" w:eastAsia="Palatino Linotype" w:hAnsi="Palatino Linotype" w:cs="Palatino Linotype"/>
          <w:b/>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720A41" w:rsidRPr="00720A41">
        <w:tc>
          <w:tcPr>
            <w:tcW w:w="2291"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Información requerida.</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Respuesta</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Motivos de inconformidad</w:t>
            </w:r>
          </w:p>
        </w:tc>
        <w:tc>
          <w:tcPr>
            <w:tcW w:w="2179" w:type="dxa"/>
            <w:shd w:val="clear" w:color="auto" w:fill="BFBFBF"/>
          </w:tcPr>
          <w:p w:rsidR="0014272F" w:rsidRPr="00720A41" w:rsidRDefault="002032B6">
            <w:pPr>
              <w:spacing w:before="240" w:after="240"/>
              <w:ind w:firstLine="114"/>
              <w:jc w:val="center"/>
              <w:rPr>
                <w:rFonts w:ascii="Palatino Linotype" w:eastAsia="Palatino Linotype" w:hAnsi="Palatino Linotype" w:cs="Palatino Linotype"/>
                <w:b/>
                <w:i/>
                <w:sz w:val="18"/>
                <w:szCs w:val="18"/>
              </w:rPr>
            </w:pPr>
            <w:r w:rsidRPr="00720A41">
              <w:rPr>
                <w:rFonts w:ascii="Palatino Linotype" w:eastAsia="Palatino Linotype" w:hAnsi="Palatino Linotype" w:cs="Palatino Linotype"/>
                <w:b/>
                <w:i/>
                <w:sz w:val="18"/>
                <w:szCs w:val="18"/>
              </w:rPr>
              <w:t>Informe justificado</w:t>
            </w:r>
          </w:p>
        </w:tc>
      </w:tr>
      <w:tr w:rsidR="0014272F" w:rsidRPr="00720A41">
        <w:tc>
          <w:tcPr>
            <w:tcW w:w="2291" w:type="dxa"/>
          </w:tcPr>
          <w:p w:rsidR="0014272F" w:rsidRPr="00720A41" w:rsidRDefault="002032B6">
            <w:pPr>
              <w:spacing w:before="240" w:after="240"/>
              <w:jc w:val="both"/>
              <w:rPr>
                <w:rFonts w:ascii="Palatino Linotype" w:eastAsia="Palatino Linotype" w:hAnsi="Palatino Linotype" w:cs="Palatino Linotype"/>
                <w:b/>
                <w:sz w:val="18"/>
                <w:szCs w:val="18"/>
              </w:rPr>
            </w:pPr>
            <w:r w:rsidRPr="00720A41">
              <w:rPr>
                <w:rFonts w:ascii="Palatino Linotype" w:eastAsia="Palatino Linotype" w:hAnsi="Palatino Linotype" w:cs="Palatino Linotype"/>
                <w:b/>
                <w:sz w:val="18"/>
                <w:szCs w:val="18"/>
              </w:rPr>
              <w:t>00079/ALMORI/IP/2022=07380/INFOEM/IP/RR/2022</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De la actual administración 2022 -2024 a) Nombramiento del titular o encargado de la UIPPE o equivalente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b) Nombramiento del titular o encargado de la Unida de Transparencia o equivalente</w:t>
            </w:r>
          </w:p>
        </w:tc>
        <w:tc>
          <w:tcPr>
            <w:tcW w:w="2179" w:type="dxa"/>
            <w:vAlign w:val="center"/>
          </w:tcPr>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xml:space="preserve">- Nombramiento del Titular de la Unidad de Transparencia. </w:t>
            </w:r>
          </w:p>
          <w:p w:rsidR="0014272F" w:rsidRPr="00720A41" w:rsidRDefault="002032B6">
            <w:pPr>
              <w:spacing w:before="240" w:after="240"/>
              <w:jc w:val="both"/>
              <w:rPr>
                <w:rFonts w:ascii="Palatino Linotype" w:eastAsia="Palatino Linotype" w:hAnsi="Palatino Linotype" w:cs="Palatino Linotype"/>
                <w:sz w:val="18"/>
                <w:szCs w:val="18"/>
              </w:rPr>
            </w:pPr>
            <w:r w:rsidRPr="00720A41">
              <w:rPr>
                <w:rFonts w:ascii="Palatino Linotype" w:eastAsia="Palatino Linotype" w:hAnsi="Palatino Linotype" w:cs="Palatino Linotype"/>
                <w:sz w:val="18"/>
                <w:szCs w:val="18"/>
              </w:rPr>
              <w:t>- Nombramiento ilegible del Titular de la UIPPE.</w:t>
            </w:r>
          </w:p>
        </w:tc>
        <w:tc>
          <w:tcPr>
            <w:tcW w:w="2179" w:type="dxa"/>
          </w:tcPr>
          <w:p w:rsidR="0014272F" w:rsidRPr="00720A41" w:rsidRDefault="002032B6">
            <w:pPr>
              <w:spacing w:before="240" w:after="240"/>
              <w:jc w:val="both"/>
              <w:rPr>
                <w:rFonts w:ascii="Palatino Linotype" w:eastAsia="Palatino Linotype" w:hAnsi="Palatino Linotype" w:cs="Palatino Linotype"/>
                <w:i/>
                <w:sz w:val="20"/>
                <w:szCs w:val="20"/>
              </w:rPr>
            </w:pPr>
            <w:r w:rsidRPr="00720A41">
              <w:rPr>
                <w:rFonts w:ascii="Palatino Linotype" w:eastAsia="Palatino Linotype" w:hAnsi="Palatino Linotype" w:cs="Palatino Linotype"/>
                <w:i/>
                <w:sz w:val="20"/>
                <w:szCs w:val="20"/>
              </w:rPr>
              <w:t>“no son legibles los docvumentos adjuntos (Sic)”.</w:t>
            </w:r>
          </w:p>
        </w:tc>
        <w:tc>
          <w:tcPr>
            <w:tcW w:w="2179" w:type="dxa"/>
          </w:tcPr>
          <w:p w:rsidR="0014272F" w:rsidRPr="00720A41" w:rsidRDefault="002032B6">
            <w:pPr>
              <w:spacing w:before="240" w:after="240"/>
              <w:jc w:val="center"/>
              <w:rPr>
                <w:rFonts w:ascii="Palatino Linotype" w:eastAsia="Palatino Linotype" w:hAnsi="Palatino Linotype" w:cs="Palatino Linotype"/>
                <w:sz w:val="20"/>
                <w:szCs w:val="20"/>
              </w:rPr>
            </w:pPr>
            <w:r w:rsidRPr="00720A41">
              <w:rPr>
                <w:rFonts w:ascii="Palatino Linotype" w:eastAsia="Palatino Linotype" w:hAnsi="Palatino Linotype" w:cs="Palatino Linotype"/>
                <w:sz w:val="20"/>
                <w:szCs w:val="20"/>
              </w:rPr>
              <w:t>N/A</w:t>
            </w:r>
          </w:p>
        </w:tc>
      </w:tr>
    </w:tbl>
    <w:p w:rsidR="0014272F" w:rsidRPr="00720A41" w:rsidRDefault="0014272F">
      <w:pPr>
        <w:spacing w:after="0" w:line="360" w:lineRule="auto"/>
        <w:rPr>
          <w:rFonts w:ascii="Palatino Linotype" w:eastAsia="Palatino Linotype" w:hAnsi="Palatino Linotype" w:cs="Palatino Linotype"/>
          <w:b/>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Respecto a los motivos de inconformidad, y después de revisar las constancias que integran el expediente que se analiza, se advierte que únicamente el nombramiento del Titular de la Unidad de Información, Planeación, Programación y Evaluación es ilegible, tal como se advierte a continuación: </w:t>
      </w:r>
    </w:p>
    <w:p w:rsidR="0014272F" w:rsidRPr="00720A41" w:rsidRDefault="002032B6">
      <w:pPr>
        <w:spacing w:after="0" w:line="360" w:lineRule="auto"/>
        <w:jc w:val="center"/>
        <w:rPr>
          <w:rFonts w:ascii="Palatino Linotype" w:eastAsia="Palatino Linotype" w:hAnsi="Palatino Linotype" w:cs="Palatino Linotype"/>
          <w:sz w:val="24"/>
          <w:szCs w:val="24"/>
        </w:rPr>
      </w:pPr>
      <w:r w:rsidRPr="00720A41">
        <w:rPr>
          <w:noProof/>
        </w:rPr>
        <w:drawing>
          <wp:inline distT="0" distB="0" distL="0" distR="0">
            <wp:extent cx="3636293" cy="4584214"/>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l="30380" t="6940" r="29905" b="4043"/>
                    <a:stretch>
                      <a:fillRect/>
                    </a:stretch>
                  </pic:blipFill>
                  <pic:spPr>
                    <a:xfrm>
                      <a:off x="0" y="0"/>
                      <a:ext cx="3636293" cy="4584214"/>
                    </a:xfrm>
                    <a:prstGeom prst="rect">
                      <a:avLst/>
                    </a:prstGeom>
                    <a:ln/>
                  </pic:spPr>
                </pic:pic>
              </a:graphicData>
            </a:graphic>
          </wp:inline>
        </w:drawing>
      </w:r>
    </w:p>
    <w:p w:rsidR="0014272F" w:rsidRPr="00720A41" w:rsidRDefault="002032B6">
      <w:pPr>
        <w:spacing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lo que en efecto su inconformidad es fundada en cuanto al nombramiento del Titular de la Unidad de Información, Planeación, Programación y Evaluación, ya que se aprecia borroso e ilegible; razones por las cuales, se </w:t>
      </w:r>
      <w:r w:rsidRPr="00720A41">
        <w:rPr>
          <w:rFonts w:ascii="Palatino Linotype" w:eastAsia="Palatino Linotype" w:hAnsi="Palatino Linotype" w:cs="Palatino Linotype"/>
          <w:b/>
          <w:sz w:val="24"/>
          <w:szCs w:val="24"/>
        </w:rPr>
        <w:t>MODIFICA</w:t>
      </w:r>
      <w:r w:rsidRPr="00720A41">
        <w:rPr>
          <w:rFonts w:ascii="Palatino Linotype" w:eastAsia="Palatino Linotype" w:hAnsi="Palatino Linotype" w:cs="Palatino Linotype"/>
          <w:sz w:val="24"/>
          <w:szCs w:val="24"/>
        </w:rPr>
        <w:t xml:space="preserve"> la respuesta del </w:t>
      </w:r>
      <w:r w:rsidRPr="00720A41">
        <w:rPr>
          <w:rFonts w:ascii="Palatino Linotype" w:eastAsia="Palatino Linotype" w:hAnsi="Palatino Linotype" w:cs="Palatino Linotype"/>
          <w:b/>
          <w:sz w:val="24"/>
          <w:szCs w:val="24"/>
        </w:rPr>
        <w:t xml:space="preserve">SUJETO OBLIGADO </w:t>
      </w:r>
      <w:r w:rsidRPr="00720A41">
        <w:rPr>
          <w:rFonts w:ascii="Palatino Linotype" w:eastAsia="Palatino Linotype" w:hAnsi="Palatino Linotype" w:cs="Palatino Linotype"/>
          <w:sz w:val="24"/>
          <w:szCs w:val="24"/>
        </w:rPr>
        <w:t xml:space="preserve">y es procedente ordenar el nombramiento del Titular de la Unidad de Información, Planeación, Programación y Evaluación, de manera clara, legible y accesible, lo anterior en términos del principio de máxima publicidad, señalado en el artículo 9 </w:t>
      </w:r>
      <w:bookmarkStart w:id="6" w:name="_GoBack"/>
      <w:bookmarkEnd w:id="6"/>
      <w:r w:rsidRPr="00720A41">
        <w:rPr>
          <w:rFonts w:ascii="Palatino Linotype" w:eastAsia="Palatino Linotype" w:hAnsi="Palatino Linotype" w:cs="Palatino Linotype"/>
          <w:sz w:val="24"/>
          <w:szCs w:val="24"/>
        </w:rPr>
        <w:t>fracción VII  y artículo 11, ambos de la Ley de Transparencia y Acceso a la Información Pública del Estado de México y Municipios, que señalan:</w:t>
      </w:r>
    </w:p>
    <w:p w:rsidR="0014272F" w:rsidRPr="00720A41" w:rsidRDefault="002032B6">
      <w:pPr>
        <w:spacing w:before="120" w:after="120"/>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“Artículo 9. El Instituto deberá regir su funcionamiento de acuerdo a los siguientes principios:</w:t>
      </w:r>
    </w:p>
    <w:p w:rsidR="0014272F" w:rsidRPr="00720A41" w:rsidRDefault="002032B6">
      <w:pPr>
        <w:spacing w:before="120" w:after="120"/>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before="120" w:after="120"/>
        <w:ind w:left="851" w:right="851"/>
        <w:jc w:val="both"/>
        <w:rPr>
          <w:rFonts w:ascii="Palatino Linotype" w:eastAsia="Palatino Linotype" w:hAnsi="Palatino Linotype" w:cs="Palatino Linotype"/>
          <w:b/>
          <w:i/>
          <w:u w:val="single"/>
        </w:rPr>
      </w:pPr>
      <w:r w:rsidRPr="00720A41">
        <w:rPr>
          <w:rFonts w:ascii="Palatino Linotype" w:eastAsia="Palatino Linotype" w:hAnsi="Palatino Linotype" w:cs="Palatino Linotype"/>
          <w:b/>
          <w:i/>
          <w:u w:val="single"/>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rsidR="0014272F" w:rsidRPr="00720A41" w:rsidRDefault="002032B6">
      <w:pPr>
        <w:spacing w:before="120" w:after="120"/>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before="120" w:after="120"/>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11</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En la generación, publicación y entrega de información se deberá garantizar que ésta sea accesible</w:t>
      </w:r>
      <w:r w:rsidRPr="00720A41">
        <w:rPr>
          <w:rFonts w:ascii="Palatino Linotype" w:eastAsia="Palatino Linotype" w:hAnsi="Palatino Linotype" w:cs="Palatino Linotype"/>
          <w:i/>
        </w:rPr>
        <w:t xml:space="preserv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14272F" w:rsidRPr="00720A41" w:rsidRDefault="002032B6">
      <w:pPr>
        <w:spacing w:before="120" w:after="120"/>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rsidR="0014272F" w:rsidRPr="00720A41" w:rsidRDefault="0014272F">
      <w:pPr>
        <w:spacing w:before="120" w:after="120"/>
        <w:ind w:left="851" w:right="851"/>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No pasa depapercibido mencionar que 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xml:space="preserve"> en el desahogo de los procedimientos de acceso a la información pública, debe observar los criterios de publicidad, suficiencia, precisión, veracidad y oportunidad en beneficio del solicitante en términos del artículo 3 de la Ley de la materia.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lo que en esta tesitura cabe mencionar que este Instituto hace notar que en principio podría considerarse que se pretende satisfacer la entrega en la forma y términos requeridos de la información, sin embargo, el documento enviado resulta ilegible en algunos de sus campos y no se comprende adecuadamente la lectura de su contenido, por lo que no puede constatar si se trata de la información solicitada y completa  por el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ya que no se permite su lectura de manera clara y oportuna de los datos ahí consignados por su ilegibilidad, por lo que el responsable de la Unidad de Transparencia al estar constreñido a verificar que los archivos electrónicos que contengan la información se encuentre agregada, lo cierto es que  al verificar dicha  situación  debió percatarse de su ilegibilidad, motivo por el que se debe actuar con mayor diligencia a efecto de no dilatar el acceso a la información pública.</w:t>
      </w:r>
    </w:p>
    <w:p w:rsidR="0014272F" w:rsidRPr="00720A41" w:rsidRDefault="0014272F">
      <w:pPr>
        <w:spacing w:after="0" w:line="360" w:lineRule="auto"/>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Quinto. Versión Pública. C</w:t>
      </w:r>
      <w:r w:rsidRPr="00720A41">
        <w:rPr>
          <w:rFonts w:ascii="Palatino Linotype" w:eastAsia="Palatino Linotype" w:hAnsi="Palatino Linotype" w:cs="Palatino Linotype"/>
          <w:sz w:val="24"/>
          <w:szCs w:val="24"/>
        </w:rPr>
        <w:t>omo fue debidamente apuntado, el</w:t>
      </w:r>
      <w:r w:rsidRPr="00720A41">
        <w:rPr>
          <w:rFonts w:ascii="Palatino Linotype" w:eastAsia="Palatino Linotype" w:hAnsi="Palatino Linotype" w:cs="Palatino Linotype"/>
          <w:b/>
          <w:sz w:val="24"/>
          <w:szCs w:val="24"/>
        </w:rPr>
        <w:t> SUJETO OBLIGADO</w:t>
      </w:r>
      <w:r w:rsidRPr="00720A41">
        <w:rPr>
          <w:rFonts w:ascii="Palatino Linotype" w:eastAsia="Palatino Linotype" w:hAnsi="Palatino Linotype" w:cs="Palatino Linotype"/>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14272F" w:rsidRPr="00720A41" w:rsidRDefault="002032B6">
      <w:pPr>
        <w:shd w:val="clear" w:color="auto" w:fill="FFFFFF"/>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14272F" w:rsidRPr="00720A41" w:rsidRDefault="0014272F">
      <w:pPr>
        <w:shd w:val="clear" w:color="auto" w:fill="FFFFFF"/>
        <w:spacing w:after="0" w:line="360" w:lineRule="auto"/>
        <w:ind w:right="51"/>
        <w:jc w:val="both"/>
        <w:rPr>
          <w:rFonts w:ascii="Palatino Linotype" w:eastAsia="Palatino Linotype" w:hAnsi="Palatino Linotype" w:cs="Palatino Linotype"/>
          <w:sz w:val="24"/>
          <w:szCs w:val="24"/>
        </w:rPr>
      </w:pPr>
    </w:p>
    <w:p w:rsidR="0014272F" w:rsidRPr="00720A41" w:rsidRDefault="002032B6">
      <w:pPr>
        <w:shd w:val="clear" w:color="auto" w:fill="FFFFFF"/>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4272F" w:rsidRPr="00720A41" w:rsidRDefault="0014272F">
      <w:pPr>
        <w:shd w:val="clear" w:color="auto" w:fill="FFFFFF"/>
        <w:spacing w:after="0" w:line="360" w:lineRule="auto"/>
        <w:ind w:right="51"/>
        <w:jc w:val="both"/>
        <w:rPr>
          <w:rFonts w:ascii="Palatino Linotype" w:eastAsia="Palatino Linotype" w:hAnsi="Palatino Linotype" w:cs="Palatino Linotype"/>
          <w:sz w:val="24"/>
          <w:szCs w:val="24"/>
        </w:rPr>
      </w:pPr>
    </w:p>
    <w:p w:rsidR="0014272F" w:rsidRPr="00720A41" w:rsidRDefault="002032B6">
      <w:pPr>
        <w:shd w:val="clear" w:color="auto" w:fill="FFFFFF"/>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14272F" w:rsidRPr="00720A41" w:rsidRDefault="0014272F">
      <w:pPr>
        <w:shd w:val="clear" w:color="auto" w:fill="FFFFFF"/>
        <w:spacing w:after="0" w:line="360" w:lineRule="auto"/>
        <w:ind w:right="51"/>
        <w:jc w:val="both"/>
        <w:rPr>
          <w:rFonts w:ascii="Palatino Linotype" w:eastAsia="Palatino Linotype" w:hAnsi="Palatino Linotype" w:cs="Palatino Linotype"/>
          <w:sz w:val="24"/>
          <w:szCs w:val="24"/>
        </w:rPr>
      </w:pPr>
    </w:p>
    <w:p w:rsidR="0014272F" w:rsidRPr="00720A41" w:rsidRDefault="002032B6">
      <w:pPr>
        <w:spacing w:after="0" w:line="276" w:lineRule="auto"/>
        <w:ind w:left="993" w:right="1041"/>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 xml:space="preserve"> “Artículo 3. Para los efectos de la presente Ley se entenderá por:</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IX. Datos personales:</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La información concerniente a una persona, identificada o identificable</w:t>
      </w:r>
      <w:r w:rsidRPr="00720A41">
        <w:rPr>
          <w:rFonts w:ascii="Palatino Linotype" w:eastAsia="Palatino Linotype" w:hAnsi="Palatino Linotype" w:cs="Palatino Linotype"/>
          <w:i/>
        </w:rPr>
        <w:t xml:space="preserve"> según lo dispuesto por la Ley de Protección de Datos Personales del Estado de México;</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XX. Información clasificada:</w:t>
      </w:r>
      <w:r w:rsidRPr="00720A41">
        <w:rPr>
          <w:rFonts w:ascii="Palatino Linotype" w:eastAsia="Palatino Linotype" w:hAnsi="Palatino Linotype" w:cs="Palatino Linotype"/>
          <w:i/>
        </w:rPr>
        <w:t xml:space="preserve"> Aquella considerada por la presente Ley como reservada o confidencial;</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XXXII. Protección de Datos Personales:</w:t>
      </w:r>
      <w:r w:rsidRPr="00720A41">
        <w:rPr>
          <w:rFonts w:ascii="Palatino Linotype" w:eastAsia="Palatino Linotype" w:hAnsi="Palatino Linotype" w:cs="Palatino Linotype"/>
          <w:i/>
        </w:rPr>
        <w:t xml:space="preserve"> Derecho humano que tutela la privacidad de datos personales en poder de los sujetos obligados y sujetos particulares;</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XLV. Versión pública</w:t>
      </w:r>
      <w:r w:rsidRPr="00720A41">
        <w:rPr>
          <w:rFonts w:ascii="Palatino Linotype" w:eastAsia="Palatino Linotype" w:hAnsi="Palatino Linotype" w:cs="Palatino Linotype"/>
          <w:i/>
        </w:rPr>
        <w:t>: Documento en el que se elimine, suprime o borra la información clasificada como reservada o confidencial para permitir su acceso.”</w:t>
      </w:r>
    </w:p>
    <w:p w:rsidR="0014272F" w:rsidRPr="00720A41" w:rsidRDefault="0014272F">
      <w:pPr>
        <w:spacing w:after="0" w:line="276" w:lineRule="auto"/>
        <w:ind w:left="993" w:right="1041"/>
        <w:jc w:val="both"/>
        <w:rPr>
          <w:rFonts w:ascii="Palatino Linotype" w:eastAsia="Palatino Linotype" w:hAnsi="Palatino Linotype" w:cs="Palatino Linotype"/>
          <w:i/>
        </w:rPr>
      </w:pP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6.</w:t>
      </w:r>
      <w:r w:rsidRPr="00720A41">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4272F" w:rsidRPr="00720A41" w:rsidRDefault="0014272F">
      <w:pPr>
        <w:spacing w:after="0" w:line="276" w:lineRule="auto"/>
        <w:ind w:left="993" w:right="1041"/>
        <w:jc w:val="both"/>
        <w:rPr>
          <w:rFonts w:ascii="Palatino Linotype" w:eastAsia="Palatino Linotype" w:hAnsi="Palatino Linotype" w:cs="Palatino Linotype"/>
          <w:i/>
        </w:rPr>
      </w:pP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 </w:t>
      </w:r>
      <w:r w:rsidRPr="00720A41">
        <w:rPr>
          <w:rFonts w:ascii="Palatino Linotype" w:eastAsia="Palatino Linotype" w:hAnsi="Palatino Linotype" w:cs="Palatino Linotype"/>
          <w:b/>
          <w:i/>
        </w:rPr>
        <w:t>Artículo 49.</w:t>
      </w:r>
      <w:r w:rsidRPr="00720A41">
        <w:rPr>
          <w:rFonts w:ascii="Palatino Linotype" w:eastAsia="Palatino Linotype" w:hAnsi="Palatino Linotype" w:cs="Palatino Linotype"/>
          <w:i/>
        </w:rPr>
        <w:t> Los Comités de Transparencia tendrán las siguientes atribuciones:</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VIII</w:t>
      </w:r>
      <w:r w:rsidRPr="00720A41">
        <w:rPr>
          <w:rFonts w:ascii="Palatino Linotype" w:eastAsia="Palatino Linotype" w:hAnsi="Palatino Linotype" w:cs="Palatino Linotype"/>
          <w:i/>
        </w:rPr>
        <w:t>. Aprobar, modificar o revocar la clasificación de la información;</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Artículo 91. </w:t>
      </w:r>
      <w:r w:rsidRPr="00720A41">
        <w:rPr>
          <w:rFonts w:ascii="Palatino Linotype" w:eastAsia="Palatino Linotype" w:hAnsi="Palatino Linotype" w:cs="Palatino Linotype"/>
          <w:i/>
        </w:rPr>
        <w:t>El acceso a la información pública será restringido excepcionalmente, cuando ésta sea clasificada como reservada o confidencial.</w:t>
      </w:r>
    </w:p>
    <w:p w:rsidR="0014272F" w:rsidRPr="00720A41" w:rsidRDefault="0014272F">
      <w:pPr>
        <w:spacing w:after="0" w:line="276" w:lineRule="auto"/>
        <w:ind w:left="993" w:right="1041"/>
        <w:jc w:val="both"/>
        <w:rPr>
          <w:rFonts w:ascii="Palatino Linotype" w:eastAsia="Palatino Linotype" w:hAnsi="Palatino Linotype" w:cs="Palatino Linotype"/>
          <w:i/>
        </w:rPr>
      </w:pPr>
    </w:p>
    <w:p w:rsidR="0014272F" w:rsidRPr="00720A41" w:rsidRDefault="002032B6">
      <w:pPr>
        <w:spacing w:after="0" w:line="276" w:lineRule="auto"/>
        <w:ind w:left="993" w:right="1041"/>
        <w:jc w:val="both"/>
        <w:rPr>
          <w:rFonts w:ascii="Palatino Linotype" w:eastAsia="Palatino Linotype" w:hAnsi="Palatino Linotype" w:cs="Palatino Linotype"/>
          <w:b/>
          <w:i/>
        </w:rPr>
      </w:pPr>
      <w:r w:rsidRPr="00720A41">
        <w:rPr>
          <w:rFonts w:ascii="Palatino Linotype" w:eastAsia="Palatino Linotype" w:hAnsi="Palatino Linotype" w:cs="Palatino Linotype"/>
          <w:b/>
          <w:i/>
        </w:rPr>
        <w:t>“Artículo 137.</w:t>
      </w:r>
      <w:r w:rsidRPr="00720A41">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4272F" w:rsidRPr="00720A41" w:rsidRDefault="0014272F">
      <w:pPr>
        <w:spacing w:after="0" w:line="276" w:lineRule="auto"/>
        <w:ind w:left="993" w:right="1041"/>
        <w:jc w:val="both"/>
        <w:rPr>
          <w:rFonts w:ascii="Palatino Linotype" w:eastAsia="Palatino Linotype" w:hAnsi="Palatino Linotype" w:cs="Palatino Linotype"/>
          <w:b/>
          <w:i/>
        </w:rPr>
      </w:pP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143</w:t>
      </w:r>
      <w:r w:rsidRPr="00720A41">
        <w:rPr>
          <w:rFonts w:ascii="Palatino Linotype" w:eastAsia="Palatino Linotype" w:hAnsi="Palatino Linotype" w:cs="Palatino Linotype"/>
          <w:i/>
        </w:rPr>
        <w:t>. Para los efectos de esta Ley se considera información confidencial, la clasificada como tal, de manera permanente, por su naturaleza, cuando:</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b/>
          <w:i/>
        </w:rPr>
        <w:t>I.</w:t>
      </w:r>
      <w:r w:rsidRPr="00720A41">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14272F" w:rsidRPr="00720A41" w:rsidRDefault="0014272F">
      <w:pPr>
        <w:spacing w:after="0" w:line="276" w:lineRule="auto"/>
        <w:ind w:left="993" w:right="1041"/>
        <w:jc w:val="both"/>
        <w:rPr>
          <w:rFonts w:ascii="Palatino Linotype" w:eastAsia="Palatino Linotype" w:hAnsi="Palatino Linotype" w:cs="Palatino Linotype"/>
          <w:i/>
        </w:rPr>
      </w:pPr>
    </w:p>
    <w:p w:rsidR="0014272F" w:rsidRPr="00720A41" w:rsidRDefault="002032B6">
      <w:pPr>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4272F" w:rsidRPr="00720A41" w:rsidRDefault="0014272F">
      <w:pPr>
        <w:spacing w:after="0" w:line="360" w:lineRule="auto"/>
        <w:ind w:right="51"/>
        <w:jc w:val="both"/>
        <w:rPr>
          <w:rFonts w:ascii="Palatino Linotype" w:eastAsia="Palatino Linotype" w:hAnsi="Palatino Linotype" w:cs="Palatino Linotype"/>
          <w:sz w:val="24"/>
          <w:szCs w:val="24"/>
        </w:rPr>
      </w:pPr>
    </w:p>
    <w:p w:rsidR="0014272F" w:rsidRPr="00720A41" w:rsidRDefault="002032B6">
      <w:pPr>
        <w:spacing w:after="0" w:line="360" w:lineRule="auto"/>
        <w:ind w:right="50"/>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4272F" w:rsidRPr="00720A41" w:rsidRDefault="002032B6">
      <w:pPr>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4272F" w:rsidRPr="00720A41" w:rsidRDefault="0014272F">
      <w:pPr>
        <w:spacing w:after="0" w:line="360" w:lineRule="auto"/>
        <w:ind w:right="51"/>
        <w:jc w:val="both"/>
        <w:rPr>
          <w:rFonts w:ascii="Palatino Linotype" w:eastAsia="Palatino Linotype" w:hAnsi="Palatino Linotype" w:cs="Palatino Linotype"/>
          <w:sz w:val="24"/>
          <w:szCs w:val="24"/>
        </w:rPr>
      </w:pPr>
    </w:p>
    <w:p w:rsidR="0014272F" w:rsidRPr="00720A41" w:rsidRDefault="002032B6">
      <w:pP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49.</w:t>
      </w:r>
      <w:r w:rsidRPr="00720A41">
        <w:rPr>
          <w:rFonts w:ascii="Palatino Linotype" w:eastAsia="Palatino Linotype" w:hAnsi="Palatino Linotype" w:cs="Palatino Linotype"/>
          <w:i/>
        </w:rPr>
        <w:t xml:space="preserve"> </w:t>
      </w:r>
      <w:r w:rsidRPr="00720A41">
        <w:rPr>
          <w:rFonts w:ascii="Palatino Linotype" w:eastAsia="Palatino Linotype" w:hAnsi="Palatino Linotype" w:cs="Palatino Linotype"/>
          <w:b/>
          <w:i/>
        </w:rPr>
        <w:t>Los Comités de Transparencia</w:t>
      </w:r>
      <w:r w:rsidRPr="00720A41">
        <w:rPr>
          <w:rFonts w:ascii="Palatino Linotype" w:eastAsia="Palatino Linotype" w:hAnsi="Palatino Linotype" w:cs="Palatino Linotype"/>
          <w:i/>
        </w:rPr>
        <w:t xml:space="preserve"> tendrán las siguientes atribuciones:</w:t>
      </w:r>
    </w:p>
    <w:p w:rsidR="0014272F" w:rsidRPr="00720A41" w:rsidRDefault="002032B6">
      <w:pP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b/>
          <w:i/>
        </w:rPr>
        <w:t>VIII. Aprobar, modificar o revocar la clasificación de la información</w:t>
      </w:r>
      <w:r w:rsidRPr="00720A41">
        <w:rPr>
          <w:rFonts w:ascii="Palatino Linotype" w:eastAsia="Palatino Linotype" w:hAnsi="Palatino Linotype" w:cs="Palatino Linotype"/>
          <w:i/>
        </w:rPr>
        <w:t>…”</w:t>
      </w:r>
    </w:p>
    <w:p w:rsidR="0014272F" w:rsidRPr="00720A41" w:rsidRDefault="002032B6">
      <w:pP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Artículo 53.</w:t>
      </w:r>
      <w:r w:rsidRPr="00720A41">
        <w:rPr>
          <w:rFonts w:ascii="Palatino Linotype" w:eastAsia="Palatino Linotype" w:hAnsi="Palatino Linotype" w:cs="Palatino Linotype"/>
          <w:i/>
        </w:rPr>
        <w:t xml:space="preserve"> Las </w:t>
      </w:r>
      <w:r w:rsidRPr="00720A41">
        <w:rPr>
          <w:rFonts w:ascii="Palatino Linotype" w:eastAsia="Palatino Linotype" w:hAnsi="Palatino Linotype" w:cs="Palatino Linotype"/>
          <w:b/>
          <w:i/>
        </w:rPr>
        <w:t>Unidades de Transparencia</w:t>
      </w:r>
      <w:r w:rsidRPr="00720A41">
        <w:rPr>
          <w:rFonts w:ascii="Palatino Linotype" w:eastAsia="Palatino Linotype" w:hAnsi="Palatino Linotype" w:cs="Palatino Linotype"/>
          <w:i/>
        </w:rPr>
        <w:t xml:space="preserve"> tendrán las siguientes </w:t>
      </w:r>
      <w:r w:rsidRPr="00720A41">
        <w:rPr>
          <w:rFonts w:ascii="Palatino Linotype" w:eastAsia="Palatino Linotype" w:hAnsi="Palatino Linotype" w:cs="Palatino Linotype"/>
          <w:b/>
          <w:i/>
        </w:rPr>
        <w:t>funciones</w:t>
      </w:r>
      <w:r w:rsidRPr="00720A41">
        <w:rPr>
          <w:rFonts w:ascii="Palatino Linotype" w:eastAsia="Palatino Linotype" w:hAnsi="Palatino Linotype" w:cs="Palatino Linotype"/>
          <w:i/>
        </w:rPr>
        <w:t>:</w:t>
      </w:r>
    </w:p>
    <w:p w:rsidR="0014272F" w:rsidRPr="00720A41" w:rsidRDefault="002032B6">
      <w:pP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b/>
          <w:i/>
        </w:rPr>
        <w:t>X. Presentar ante el Comité, el proyecto de clasificación de información</w:t>
      </w:r>
      <w:r w:rsidRPr="00720A41">
        <w:rPr>
          <w:rFonts w:ascii="Palatino Linotype" w:eastAsia="Palatino Linotype" w:hAnsi="Palatino Linotype" w:cs="Palatino Linotype"/>
          <w:i/>
        </w:rPr>
        <w:t xml:space="preserve">…” </w:t>
      </w:r>
    </w:p>
    <w:p w:rsidR="0014272F" w:rsidRPr="00720A41" w:rsidRDefault="002032B6">
      <w:pP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b/>
          <w:i/>
        </w:rPr>
        <w:t>“Artículo 59.</w:t>
      </w:r>
      <w:r w:rsidRPr="00720A41">
        <w:rPr>
          <w:rFonts w:ascii="Palatino Linotype" w:eastAsia="Palatino Linotype" w:hAnsi="Palatino Linotype" w:cs="Palatino Linotype"/>
          <w:i/>
        </w:rPr>
        <w:t xml:space="preserve"> Los </w:t>
      </w:r>
      <w:r w:rsidRPr="00720A41">
        <w:rPr>
          <w:rFonts w:ascii="Palatino Linotype" w:eastAsia="Palatino Linotype" w:hAnsi="Palatino Linotype" w:cs="Palatino Linotype"/>
          <w:b/>
          <w:i/>
        </w:rPr>
        <w:t>servidores públicos habilitados</w:t>
      </w:r>
      <w:r w:rsidRPr="00720A41">
        <w:rPr>
          <w:rFonts w:ascii="Palatino Linotype" w:eastAsia="Palatino Linotype" w:hAnsi="Palatino Linotype" w:cs="Palatino Linotype"/>
          <w:i/>
        </w:rPr>
        <w:t xml:space="preserve"> tendrán las </w:t>
      </w:r>
      <w:r w:rsidRPr="00720A41">
        <w:rPr>
          <w:rFonts w:ascii="Palatino Linotype" w:eastAsia="Palatino Linotype" w:hAnsi="Palatino Linotype" w:cs="Palatino Linotype"/>
          <w:b/>
          <w:i/>
        </w:rPr>
        <w:t>funciones</w:t>
      </w:r>
      <w:r w:rsidRPr="00720A41">
        <w:rPr>
          <w:rFonts w:ascii="Palatino Linotype" w:eastAsia="Palatino Linotype" w:hAnsi="Palatino Linotype" w:cs="Palatino Linotype"/>
          <w:i/>
        </w:rPr>
        <w:t xml:space="preserve"> siguientes:</w:t>
      </w:r>
    </w:p>
    <w:p w:rsidR="0014272F" w:rsidRPr="00720A41" w:rsidRDefault="002032B6">
      <w:pPr>
        <w:spacing w:after="0" w:line="276" w:lineRule="auto"/>
        <w:ind w:left="992" w:right="1043"/>
        <w:jc w:val="both"/>
        <w:rPr>
          <w:rFonts w:ascii="Palatino Linotype" w:eastAsia="Palatino Linotype" w:hAnsi="Palatino Linotype" w:cs="Palatino Linotype"/>
          <w:i/>
        </w:rPr>
      </w:pPr>
      <w:r w:rsidRPr="00720A41">
        <w:rPr>
          <w:rFonts w:ascii="Palatino Linotype" w:eastAsia="Palatino Linotype" w:hAnsi="Palatino Linotype" w:cs="Palatino Linotype"/>
          <w:b/>
          <w:i/>
        </w:rPr>
        <w:t>V. Integrar y presentar al responsable de la Unidad de Transparencia la propuesta de clasificación de información</w:t>
      </w:r>
      <w:r w:rsidRPr="00720A41">
        <w:rPr>
          <w:rFonts w:ascii="Palatino Linotype" w:eastAsia="Palatino Linotype" w:hAnsi="Palatino Linotype" w:cs="Palatino Linotype"/>
          <w:i/>
        </w:rPr>
        <w:t>, la cual tendrá los fundamentos y argumentos en que se basa dicha propuesta…”</w:t>
      </w:r>
    </w:p>
    <w:p w:rsidR="0014272F" w:rsidRPr="00720A41" w:rsidRDefault="0014272F">
      <w:pPr>
        <w:spacing w:after="0" w:line="360" w:lineRule="auto"/>
        <w:ind w:left="992" w:right="1043"/>
        <w:jc w:val="both"/>
        <w:rPr>
          <w:rFonts w:ascii="Palatino Linotype" w:eastAsia="Palatino Linotype" w:hAnsi="Palatino Linotype" w:cs="Palatino Linotype"/>
          <w:i/>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14272F" w:rsidRPr="00720A41" w:rsidRDefault="0014272F">
      <w:pPr>
        <w:spacing w:after="0" w:line="360" w:lineRule="auto"/>
        <w:jc w:val="both"/>
        <w:rPr>
          <w:rFonts w:ascii="Palatino Linotype" w:eastAsia="Palatino Linotype" w:hAnsi="Palatino Linotype" w:cs="Palatino Linotype"/>
        </w:rPr>
      </w:pPr>
    </w:p>
    <w:p w:rsidR="0014272F" w:rsidRPr="00720A41" w:rsidRDefault="002032B6">
      <w:pPr>
        <w:spacing w:after="0" w:line="276" w:lineRule="auto"/>
        <w:ind w:left="993"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Artículo 149.</w:t>
      </w:r>
      <w:r w:rsidRPr="00720A41">
        <w:rPr>
          <w:rFonts w:ascii="Palatino Linotype" w:eastAsia="Palatino Linotype" w:hAnsi="Palatino Linotype" w:cs="Palatino Linotype"/>
          <w:i/>
        </w:rPr>
        <w:t xml:space="preserve"> El </w:t>
      </w:r>
      <w:r w:rsidRPr="00720A41">
        <w:rPr>
          <w:rFonts w:ascii="Palatino Linotype" w:eastAsia="Palatino Linotype" w:hAnsi="Palatino Linotype" w:cs="Palatino Linotype"/>
          <w:b/>
          <w:i/>
        </w:rPr>
        <w:t>acuerdo que clasifique la información como confidencial</w:t>
      </w:r>
      <w:r w:rsidRPr="00720A41">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14272F" w:rsidRPr="00720A41" w:rsidRDefault="0014272F">
      <w:pPr>
        <w:spacing w:after="0" w:line="360" w:lineRule="auto"/>
        <w:ind w:left="993" w:right="1041"/>
        <w:jc w:val="both"/>
        <w:rPr>
          <w:rFonts w:ascii="Palatino Linotype" w:eastAsia="Palatino Linotype" w:hAnsi="Palatino Linotype" w:cs="Palatino Linotype"/>
          <w:i/>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20A41">
        <w:rPr>
          <w:rFonts w:ascii="Palatino Linotype" w:eastAsia="Palatino Linotype" w:hAnsi="Palatino Linotype" w:cs="Palatino Linotype"/>
          <w:b/>
          <w:sz w:val="24"/>
          <w:szCs w:val="24"/>
        </w:rPr>
        <w:t>Registro Federal de Contribuyentes</w:t>
      </w:r>
      <w:r w:rsidRPr="00720A41">
        <w:rPr>
          <w:rFonts w:ascii="Palatino Linotype" w:eastAsia="Palatino Linotype" w:hAnsi="Palatino Linotype" w:cs="Palatino Linotype"/>
          <w:sz w:val="24"/>
          <w:szCs w:val="24"/>
        </w:rPr>
        <w:t xml:space="preserve"> (RFC), la </w:t>
      </w:r>
      <w:r w:rsidRPr="00720A41">
        <w:rPr>
          <w:rFonts w:ascii="Palatino Linotype" w:eastAsia="Palatino Linotype" w:hAnsi="Palatino Linotype" w:cs="Palatino Linotype"/>
          <w:b/>
          <w:sz w:val="24"/>
          <w:szCs w:val="24"/>
        </w:rPr>
        <w:t>Clave Única de Registro de Población</w:t>
      </w:r>
      <w:r w:rsidRPr="00720A41">
        <w:rPr>
          <w:rFonts w:ascii="Palatino Linotype" w:eastAsia="Palatino Linotype" w:hAnsi="Palatino Linotype" w:cs="Palatino Linotype"/>
          <w:sz w:val="24"/>
          <w:szCs w:val="24"/>
        </w:rPr>
        <w:t xml:space="preserve"> (CURP), la </w:t>
      </w:r>
      <w:r w:rsidRPr="00720A41">
        <w:rPr>
          <w:rFonts w:ascii="Palatino Linotype" w:eastAsia="Palatino Linotype" w:hAnsi="Palatino Linotype" w:cs="Palatino Linotype"/>
          <w:b/>
          <w:sz w:val="24"/>
          <w:szCs w:val="24"/>
        </w:rPr>
        <w:t>Clave de cualquier tipo de seguridad social</w:t>
      </w:r>
      <w:r w:rsidRPr="00720A41">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cuanto hace al </w:t>
      </w:r>
      <w:r w:rsidRPr="00720A41">
        <w:rPr>
          <w:rFonts w:ascii="Palatino Linotype" w:eastAsia="Palatino Linotype" w:hAnsi="Palatino Linotype" w:cs="Palatino Linotype"/>
          <w:b/>
          <w:sz w:val="24"/>
          <w:szCs w:val="24"/>
        </w:rPr>
        <w:t>Registro Federal de Contribuyentes (RFC),</w:t>
      </w:r>
      <w:r w:rsidRPr="00720A41">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rsidR="0014272F" w:rsidRPr="00720A41" w:rsidRDefault="0014272F">
      <w:pPr>
        <w:spacing w:after="0" w:line="360" w:lineRule="auto"/>
        <w:ind w:left="851" w:right="900"/>
        <w:jc w:val="both"/>
        <w:rPr>
          <w:rFonts w:ascii="Palatino Linotype" w:eastAsia="Palatino Linotype" w:hAnsi="Palatino Linotype" w:cs="Palatino Linotype"/>
          <w:b/>
          <w:i/>
        </w:rPr>
      </w:pPr>
    </w:p>
    <w:p w:rsidR="0014272F" w:rsidRPr="00720A41" w:rsidRDefault="002032B6">
      <w:pPr>
        <w:spacing w:after="0" w:line="276" w:lineRule="auto"/>
        <w:ind w:left="851" w:right="900"/>
        <w:jc w:val="both"/>
        <w:rPr>
          <w:rFonts w:ascii="Palatino Linotype" w:eastAsia="Palatino Linotype" w:hAnsi="Palatino Linotype" w:cs="Palatino Linotype"/>
          <w:i/>
        </w:rPr>
      </w:pPr>
      <w:r w:rsidRPr="00720A41">
        <w:rPr>
          <w:rFonts w:ascii="Palatino Linotype" w:eastAsia="Palatino Linotype" w:hAnsi="Palatino Linotype" w:cs="Palatino Linotype"/>
          <w:b/>
          <w:i/>
        </w:rPr>
        <w:t>“Registro Federal de Contribuyentes (RFC) de personas físicas</w:t>
      </w:r>
      <w:r w:rsidRPr="00720A41">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14272F" w:rsidRPr="00720A41" w:rsidRDefault="0014272F">
      <w:pPr>
        <w:spacing w:after="0" w:line="360" w:lineRule="auto"/>
        <w:jc w:val="both"/>
        <w:rPr>
          <w:rFonts w:ascii="Palatino Linotype" w:eastAsia="Palatino Linotype" w:hAnsi="Palatino Linotype" w:cs="Palatino Linotype"/>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De igual manera la </w:t>
      </w:r>
      <w:r w:rsidRPr="00720A41">
        <w:rPr>
          <w:rFonts w:ascii="Palatino Linotype" w:eastAsia="Palatino Linotype" w:hAnsi="Palatino Linotype" w:cs="Palatino Linotype"/>
          <w:b/>
          <w:sz w:val="24"/>
          <w:szCs w:val="24"/>
        </w:rPr>
        <w:t>Clave Única de Registro de Población (CURP)</w:t>
      </w:r>
      <w:r w:rsidRPr="00720A41">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720A41">
        <w:rPr>
          <w:rFonts w:ascii="Palatino Linotype" w:eastAsia="Palatino Linotype" w:hAnsi="Palatino Linotype" w:cs="Palatino Linotype"/>
          <w:b/>
          <w:sz w:val="24"/>
          <w:szCs w:val="24"/>
        </w:rPr>
        <w:t xml:space="preserve">, conforme al </w:t>
      </w:r>
      <w:r w:rsidRPr="00720A41">
        <w:rPr>
          <w:rFonts w:ascii="Palatino Linotype" w:eastAsia="Palatino Linotype" w:hAnsi="Palatino Linotype" w:cs="Palatino Linotype"/>
          <w:sz w:val="24"/>
          <w:szCs w:val="24"/>
        </w:rPr>
        <w:t xml:space="preserve">criterio 18/17, el cual refiere: </w:t>
      </w:r>
    </w:p>
    <w:p w:rsidR="0014272F" w:rsidRPr="00720A41" w:rsidRDefault="0014272F">
      <w:pPr>
        <w:spacing w:after="0" w:line="360" w:lineRule="auto"/>
        <w:ind w:left="851" w:right="851"/>
        <w:jc w:val="both"/>
        <w:rPr>
          <w:rFonts w:ascii="Palatino Linotype" w:eastAsia="Palatino Linotype" w:hAnsi="Palatino Linotype" w:cs="Palatino Linotype"/>
          <w:b/>
          <w:i/>
        </w:rPr>
      </w:pPr>
    </w:p>
    <w:p w:rsidR="0014272F" w:rsidRPr="00720A41" w:rsidRDefault="002032B6">
      <w:pPr>
        <w:spacing w:after="0" w:line="276" w:lineRule="auto"/>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“Clave Única de Registro de Población (CURP). </w:t>
      </w:r>
      <w:r w:rsidRPr="00720A41">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4272F" w:rsidRPr="00720A41" w:rsidRDefault="0014272F">
      <w:pPr>
        <w:spacing w:after="0" w:line="360" w:lineRule="auto"/>
        <w:jc w:val="both"/>
        <w:rPr>
          <w:rFonts w:ascii="Palatino Linotype" w:eastAsia="Palatino Linotype" w:hAnsi="Palatino Linotype" w:cs="Palatino Linotype"/>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cuanto hace a la </w:t>
      </w:r>
      <w:r w:rsidRPr="00720A41">
        <w:rPr>
          <w:rFonts w:ascii="Palatino Linotype" w:eastAsia="Palatino Linotype" w:hAnsi="Palatino Linotype" w:cs="Palatino Linotype"/>
          <w:b/>
          <w:sz w:val="24"/>
          <w:szCs w:val="24"/>
        </w:rPr>
        <w:t xml:space="preserve">Clave de cualquier tipo de seguridad social (ISSEMyM, u otros), </w:t>
      </w:r>
      <w:r w:rsidRPr="00720A41">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u w:val="single"/>
        </w:rPr>
      </w:pPr>
      <w:r w:rsidRPr="00720A41">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20A41">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sz w:val="24"/>
          <w:szCs w:val="24"/>
        </w:rPr>
      </w:pPr>
      <w:r w:rsidRPr="00720A41">
        <w:rPr>
          <w:rFonts w:ascii="Palatino Linotype" w:eastAsia="Palatino Linotype" w:hAnsi="Palatino Linotype" w:cs="Palatino Linotype"/>
          <w:sz w:val="24"/>
          <w:szCs w:val="24"/>
        </w:rPr>
        <w:t xml:space="preserve">Respecto de los </w:t>
      </w:r>
      <w:r w:rsidRPr="00720A41">
        <w:rPr>
          <w:rFonts w:ascii="Palatino Linotype" w:eastAsia="Palatino Linotype" w:hAnsi="Palatino Linotype" w:cs="Palatino Linotype"/>
          <w:b/>
          <w:sz w:val="24"/>
          <w:szCs w:val="24"/>
        </w:rPr>
        <w:t>préstamos o descuentos</w:t>
      </w:r>
      <w:r w:rsidRPr="00720A41">
        <w:rPr>
          <w:rFonts w:ascii="Palatino Linotype" w:eastAsia="Palatino Linotype" w:hAnsi="Palatino Linotype" w:cs="Palatino Linotype"/>
          <w:sz w:val="24"/>
          <w:szCs w:val="24"/>
        </w:rPr>
        <w:t xml:space="preserve"> </w:t>
      </w:r>
      <w:r w:rsidRPr="00720A41">
        <w:rPr>
          <w:rFonts w:ascii="Palatino Linotype" w:eastAsia="Palatino Linotype" w:hAnsi="Palatino Linotype" w:cs="Palatino Linotype"/>
          <w:b/>
          <w:sz w:val="24"/>
          <w:szCs w:val="24"/>
        </w:rPr>
        <w:t>de carácter personal</w:t>
      </w:r>
      <w:r w:rsidRPr="00720A41">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su parte, el artículo 84 de la Ley del Trabajo de los Servidores Públicos del Estado y Municipios, señala:</w:t>
      </w:r>
    </w:p>
    <w:p w:rsidR="0014272F" w:rsidRPr="00720A41" w:rsidRDefault="0014272F">
      <w:pPr>
        <w:spacing w:after="0" w:line="360" w:lineRule="auto"/>
        <w:jc w:val="both"/>
        <w:rPr>
          <w:sz w:val="24"/>
          <w:szCs w:val="24"/>
        </w:rPr>
      </w:pPr>
    </w:p>
    <w:p w:rsidR="0014272F" w:rsidRPr="00720A41" w:rsidRDefault="002032B6">
      <w:pPr>
        <w:spacing w:after="0" w:line="276" w:lineRule="auto"/>
        <w:ind w:left="851" w:right="902"/>
        <w:jc w:val="both"/>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ARTICULO 84. Sólo podrán hacerse retenciones, descuentos o deducciones al sueldo de los servidores públicos por concepto de:</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i/>
        </w:rPr>
        <w:t>I. Gravámenes fiscales relacionados con el sueldo;</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b/>
          <w:i/>
        </w:rPr>
        <w:t>II. Deudas contraídas con las instituciones públicas o dependencias</w:t>
      </w:r>
      <w:r w:rsidRPr="00720A41">
        <w:rPr>
          <w:rFonts w:ascii="Palatino Linotype" w:eastAsia="Palatino Linotype" w:hAnsi="Palatino Linotype" w:cs="Palatino Linotype"/>
          <w:i/>
        </w:rPr>
        <w:t xml:space="preserve"> por concepto de anticipos de sueldo, pagos hechos con exceso, errores o pérdidas debidamente comprobados;</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b/>
          <w:i/>
        </w:rPr>
        <w:t>III. Cuotas sindicales</w:t>
      </w:r>
      <w:r w:rsidRPr="00720A41">
        <w:rPr>
          <w:rFonts w:ascii="Palatino Linotype" w:eastAsia="Palatino Linotype" w:hAnsi="Palatino Linotype" w:cs="Palatino Linotype"/>
          <w:i/>
        </w:rPr>
        <w:t>;</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b/>
          <w:i/>
        </w:rPr>
        <w:t>VI. Obligaciones a cargo del servidor público con las que haya consentido</w:t>
      </w:r>
      <w:r w:rsidRPr="00720A41">
        <w:rPr>
          <w:rFonts w:ascii="Palatino Linotype" w:eastAsia="Palatino Linotype" w:hAnsi="Palatino Linotype" w:cs="Palatino Linotype"/>
          <w:i/>
        </w:rPr>
        <w:t>, derivadas de la adquisición o del uso de habitaciones consideradas como de interés social;</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i/>
        </w:rPr>
        <w:t>VII. Faltas de puntualidad o de asistencia injustificadas;</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b/>
          <w:i/>
        </w:rPr>
        <w:t>VIII. Pensiones alimenticias ordenadas por la autoridad judicial;</w:t>
      </w:r>
      <w:r w:rsidRPr="00720A41">
        <w:rPr>
          <w:rFonts w:ascii="Palatino Linotype" w:eastAsia="Palatino Linotype" w:hAnsi="Palatino Linotype" w:cs="Palatino Linotype"/>
          <w:i/>
        </w:rPr>
        <w:t xml:space="preserve"> o</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b/>
          <w:i/>
        </w:rPr>
        <w:t>IX. Cualquier otro convenido con instituciones de servicios y aceptado por el servidor público.</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14272F" w:rsidRPr="00720A41" w:rsidRDefault="002032B6">
      <w:pPr>
        <w:spacing w:after="0" w:line="276" w:lineRule="auto"/>
        <w:ind w:left="851" w:right="902"/>
        <w:jc w:val="both"/>
      </w:pPr>
      <w:r w:rsidRPr="00720A41">
        <w:rPr>
          <w:rFonts w:ascii="Palatino Linotype" w:eastAsia="Palatino Linotype" w:hAnsi="Palatino Linotype" w:cs="Palatino Linotype"/>
        </w:rPr>
        <w:t>(Énfasis añadido)</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Derivado de lo anterior, la ley establece claramente cuáles son esos descuentos o gravámenes que directamente se relacionan con las obligaciones adquiridas como servidores públicos y aquéllos que </w:t>
      </w:r>
      <w:r w:rsidRPr="00720A41">
        <w:rPr>
          <w:rFonts w:ascii="Palatino Linotype" w:eastAsia="Palatino Linotype" w:hAnsi="Palatino Linotype" w:cs="Palatino Linotype"/>
          <w:b/>
          <w:sz w:val="24"/>
          <w:szCs w:val="24"/>
        </w:rPr>
        <w:t>únicamente inciden en su vida privada</w:t>
      </w:r>
      <w:r w:rsidRPr="00720A41">
        <w:rPr>
          <w:rFonts w:ascii="Palatino Linotype" w:eastAsia="Palatino Linotype" w:hAnsi="Palatino Linotype" w:cs="Palatino Linotype"/>
          <w:sz w:val="24"/>
          <w:szCs w:val="24"/>
        </w:rPr>
        <w:t>. De este modo, descuentos por pensiones alimenticias o créditos adquiridos con instituciones privadas o públicas pero que fueron contraídas en forma individual, son información que debe clasificarse como confidencial.</w:t>
      </w:r>
    </w:p>
    <w:p w:rsidR="0014272F" w:rsidRPr="00720A41" w:rsidRDefault="0014272F">
      <w:pPr>
        <w:spacing w:after="0" w:line="360" w:lineRule="auto"/>
        <w:jc w:val="both"/>
        <w:rPr>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Sirven de sustento a lo anterior, las tesis jurisprudenciales </w:t>
      </w:r>
      <w:r w:rsidRPr="00720A41">
        <w:rPr>
          <w:rFonts w:ascii="Palatino Linotype" w:eastAsia="Palatino Linotype" w:hAnsi="Palatino Linotype" w:cs="Palatino Linotype"/>
          <w:i/>
          <w:sz w:val="24"/>
          <w:szCs w:val="24"/>
        </w:rPr>
        <w:t xml:space="preserve">P. LX/2000 </w:t>
      </w:r>
      <w:r w:rsidRPr="00720A41">
        <w:rPr>
          <w:rFonts w:ascii="Palatino Linotype" w:eastAsia="Palatino Linotype" w:hAnsi="Palatino Linotype" w:cs="Palatino Linotype"/>
          <w:sz w:val="24"/>
          <w:szCs w:val="24"/>
        </w:rPr>
        <w:t xml:space="preserve">y </w:t>
      </w:r>
      <w:r w:rsidRPr="00720A41">
        <w:rPr>
          <w:rFonts w:ascii="Palatino Linotype" w:eastAsia="Palatino Linotype" w:hAnsi="Palatino Linotype" w:cs="Palatino Linotype"/>
          <w:i/>
          <w:sz w:val="24"/>
          <w:szCs w:val="24"/>
        </w:rPr>
        <w:t>2a. XLIII/2008</w:t>
      </w:r>
      <w:r w:rsidRPr="00720A41">
        <w:rPr>
          <w:rFonts w:ascii="Tahoma" w:eastAsia="Tahoma" w:hAnsi="Tahoma" w:cs="Tahoma"/>
          <w:b/>
          <w:sz w:val="20"/>
          <w:szCs w:val="20"/>
        </w:rPr>
        <w:t xml:space="preserve"> </w:t>
      </w:r>
      <w:r w:rsidRPr="00720A41">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276" w:lineRule="auto"/>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720A41">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20A41">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720A41">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720A41">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720A41">
        <w:rPr>
          <w:rFonts w:ascii="Palatino Linotype" w:eastAsia="Palatino Linotype" w:hAnsi="Palatino Linotype" w:cs="Palatino Linotype"/>
          <w:i/>
        </w:rPr>
        <w:t>.”</w:t>
      </w:r>
    </w:p>
    <w:p w:rsidR="0014272F" w:rsidRPr="00720A41" w:rsidRDefault="0014272F">
      <w:pPr>
        <w:spacing w:after="0" w:line="360" w:lineRule="auto"/>
        <w:ind w:left="851" w:right="851"/>
        <w:jc w:val="both"/>
        <w:rPr>
          <w:rFonts w:ascii="Palatino Linotype" w:eastAsia="Palatino Linotype" w:hAnsi="Palatino Linotype" w:cs="Palatino Linotype"/>
          <w:i/>
        </w:rPr>
      </w:pPr>
    </w:p>
    <w:p w:rsidR="0014272F" w:rsidRPr="00720A41" w:rsidRDefault="002032B6">
      <w:pPr>
        <w:spacing w:after="0" w:line="276" w:lineRule="auto"/>
        <w:ind w:left="851" w:right="851"/>
        <w:jc w:val="both"/>
        <w:rPr>
          <w:rFonts w:ascii="Palatino Linotype" w:eastAsia="Palatino Linotype" w:hAnsi="Palatino Linotype" w:cs="Palatino Linotype"/>
          <w:i/>
        </w:rPr>
      </w:pPr>
      <w:r w:rsidRPr="00720A41">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720A41">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20A41">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20A41">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14272F" w:rsidRPr="00720A41" w:rsidRDefault="0014272F">
      <w:pPr>
        <w:spacing w:after="0" w:line="360" w:lineRule="auto"/>
        <w:ind w:left="851" w:right="851"/>
        <w:jc w:val="both"/>
        <w:rPr>
          <w:rFonts w:ascii="Palatino Linotype" w:eastAsia="Palatino Linotype" w:hAnsi="Palatino Linotype" w:cs="Palatino Linotype"/>
          <w:i/>
        </w:rPr>
      </w:pPr>
    </w:p>
    <w:p w:rsidR="0014272F" w:rsidRPr="00720A41" w:rsidRDefault="002032B6">
      <w:pPr>
        <w:spacing w:after="0" w:line="360" w:lineRule="auto"/>
        <w:ind w:right="-93"/>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sz w:val="24"/>
          <w:szCs w:val="24"/>
        </w:rPr>
        <w:t>También,</w:t>
      </w:r>
      <w:r w:rsidRPr="00720A41">
        <w:rPr>
          <w:rFonts w:ascii="Palatino Linotype" w:eastAsia="Palatino Linotype" w:hAnsi="Palatino Linotype" w:cs="Palatino Linotype"/>
          <w:b/>
          <w:sz w:val="24"/>
          <w:szCs w:val="24"/>
        </w:rPr>
        <w:t xml:space="preserve"> el número de cuenta bancario</w:t>
      </w:r>
      <w:r w:rsidRPr="00720A41">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rsidR="0014272F" w:rsidRPr="00720A41" w:rsidRDefault="0014272F">
      <w:pPr>
        <w:shd w:val="clear" w:color="auto" w:fill="FFFFFF"/>
        <w:spacing w:after="0" w:line="360" w:lineRule="auto"/>
        <w:ind w:left="567" w:right="567"/>
        <w:jc w:val="both"/>
        <w:rPr>
          <w:rFonts w:ascii="Palatino Linotype" w:eastAsia="Palatino Linotype" w:hAnsi="Palatino Linotype" w:cs="Palatino Linotype"/>
        </w:rPr>
      </w:pPr>
    </w:p>
    <w:p w:rsidR="0014272F" w:rsidRPr="00720A41" w:rsidRDefault="002032B6">
      <w:pPr>
        <w:shd w:val="clear" w:color="auto" w:fill="FFFFFF"/>
        <w:spacing w:after="0" w:line="276" w:lineRule="auto"/>
        <w:ind w:left="567" w:right="567"/>
        <w:jc w:val="both"/>
        <w:rPr>
          <w:rFonts w:ascii="Palatino Linotype" w:eastAsia="Palatino Linotype" w:hAnsi="Palatino Linotype" w:cs="Palatino Linotype"/>
        </w:rPr>
      </w:pPr>
      <w:r w:rsidRPr="00720A41">
        <w:rPr>
          <w:rFonts w:ascii="Palatino Linotype" w:eastAsia="Palatino Linotype" w:hAnsi="Palatino Linotype" w:cs="Palatino Linotype"/>
        </w:rPr>
        <w:t>“</w:t>
      </w:r>
      <w:r w:rsidRPr="00720A41">
        <w:rPr>
          <w:rFonts w:ascii="Palatino Linotype" w:eastAsia="Palatino Linotype" w:hAnsi="Palatino Linotype" w:cs="Palatino Linotype"/>
          <w:b/>
          <w:i/>
        </w:rPr>
        <w:t>Cuentas bancarias y/o CLABE interbancaria de personas físicas y morales privadas.</w:t>
      </w:r>
      <w:r w:rsidRPr="00720A41">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720A41">
        <w:rPr>
          <w:rFonts w:ascii="Palatino Linotype" w:eastAsia="Palatino Linotype" w:hAnsi="Palatino Linotype" w:cs="Palatino Linotype"/>
        </w:rPr>
        <w:t>.”</w:t>
      </w:r>
    </w:p>
    <w:p w:rsidR="0014272F" w:rsidRPr="00720A41" w:rsidRDefault="0014272F">
      <w:pPr>
        <w:spacing w:line="360" w:lineRule="auto"/>
        <w:jc w:val="both"/>
        <w:rPr>
          <w:rFonts w:ascii="Palatino Linotype" w:eastAsia="Palatino Linotype" w:hAnsi="Palatino Linotype" w:cs="Palatino Linotype"/>
        </w:rPr>
      </w:pPr>
    </w:p>
    <w:p w:rsidR="0014272F" w:rsidRPr="00720A41" w:rsidRDefault="002032B6">
      <w:pPr>
        <w:spacing w:after="0" w:line="360" w:lineRule="auto"/>
        <w:ind w:right="-9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14272F" w:rsidRPr="00720A41" w:rsidRDefault="0014272F">
      <w:pPr>
        <w:spacing w:after="0" w:line="360" w:lineRule="auto"/>
        <w:ind w:right="-91"/>
        <w:jc w:val="both"/>
        <w:rPr>
          <w:rFonts w:ascii="Palatino Linotype" w:eastAsia="Palatino Linotype" w:hAnsi="Palatino Linotype" w:cs="Palatino Linotype"/>
          <w:sz w:val="24"/>
          <w:szCs w:val="24"/>
        </w:rPr>
      </w:pPr>
    </w:p>
    <w:p w:rsidR="0014272F" w:rsidRPr="00720A41" w:rsidRDefault="002032B6">
      <w:pPr>
        <w:spacing w:after="0" w:line="360" w:lineRule="auto"/>
        <w:ind w:right="-91"/>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sz w:val="24"/>
          <w:szCs w:val="24"/>
        </w:rPr>
        <w:t xml:space="preserve">El </w:t>
      </w:r>
      <w:r w:rsidRPr="00720A41">
        <w:rPr>
          <w:rFonts w:ascii="Palatino Linotype" w:eastAsia="Palatino Linotype" w:hAnsi="Palatino Linotype" w:cs="Palatino Linotype"/>
          <w:b/>
          <w:sz w:val="24"/>
          <w:szCs w:val="24"/>
        </w:rPr>
        <w:t>Código de barras bidimensional (QR)</w:t>
      </w:r>
      <w:r w:rsidRPr="00720A41">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sidRPr="00720A41">
        <w:rPr>
          <w:rFonts w:ascii="Palatino Linotype" w:eastAsia="Palatino Linotype" w:hAnsi="Palatino Linotype" w:cs="Palatino Linotype"/>
          <w:i/>
          <w:sz w:val="24"/>
          <w:szCs w:val="24"/>
        </w:rPr>
        <w:t>QR Code (Quick Response Code)</w:t>
      </w:r>
      <w:r w:rsidRPr="00720A41">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8">
        <w:r w:rsidRPr="00720A41">
          <w:rPr>
            <w:rFonts w:ascii="Palatino Linotype" w:eastAsia="Palatino Linotype" w:hAnsi="Palatino Linotype" w:cs="Palatino Linotype"/>
            <w:sz w:val="24"/>
            <w:szCs w:val="24"/>
            <w:u w:val="single"/>
          </w:rPr>
          <w:t>http://dof.gob.mx/nota_detalle.php?codigo=5492254&amp;fecha=28/07/2017</w:t>
        </w:r>
      </w:hyperlink>
      <w:r w:rsidRPr="00720A41">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como de la persona física o moral correspondiente.</w:t>
      </w:r>
    </w:p>
    <w:p w:rsidR="0014272F" w:rsidRPr="00720A41" w:rsidRDefault="0014272F">
      <w:pPr>
        <w:spacing w:after="0" w:line="360" w:lineRule="auto"/>
        <w:ind w:right="-91"/>
        <w:jc w:val="both"/>
        <w:rPr>
          <w:rFonts w:ascii="Palatino Linotype" w:eastAsia="Palatino Linotype" w:hAnsi="Palatino Linotype" w:cs="Palatino Linotype"/>
          <w:sz w:val="24"/>
          <w:szCs w:val="24"/>
        </w:rPr>
      </w:pPr>
    </w:p>
    <w:p w:rsidR="0014272F" w:rsidRPr="00720A41" w:rsidRDefault="002032B6">
      <w:pPr>
        <w:spacing w:after="0" w:line="360" w:lineRule="auto"/>
        <w:ind w:right="-9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14272F" w:rsidRPr="00720A41" w:rsidRDefault="0014272F">
      <w:pPr>
        <w:spacing w:after="80" w:line="360" w:lineRule="auto"/>
        <w:ind w:right="-91"/>
        <w:jc w:val="both"/>
        <w:rPr>
          <w:rFonts w:ascii="Palatino Linotype" w:eastAsia="Palatino Linotype" w:hAnsi="Palatino Linotype" w:cs="Palatino Linotype"/>
          <w:sz w:val="24"/>
          <w:szCs w:val="24"/>
        </w:rPr>
      </w:pPr>
    </w:p>
    <w:p w:rsidR="0014272F" w:rsidRPr="00720A41" w:rsidRDefault="002032B6">
      <w:pPr>
        <w:shd w:val="clear" w:color="auto" w:fill="FFFFFF"/>
        <w:spacing w:before="80" w:after="240" w:line="360" w:lineRule="auto"/>
        <w:jc w:val="both"/>
        <w:rPr>
          <w:sz w:val="24"/>
          <w:szCs w:val="24"/>
        </w:rPr>
      </w:pPr>
      <w:r w:rsidRPr="00720A41">
        <w:rPr>
          <w:rFonts w:ascii="Palatino Linotype" w:eastAsia="Palatino Linotype" w:hAnsi="Palatino Linotype" w:cs="Palatino Linotype"/>
          <w:sz w:val="24"/>
          <w:szCs w:val="24"/>
        </w:rPr>
        <w:t>Por otra parte y respecto a</w:t>
      </w:r>
      <w:r w:rsidRPr="00720A41">
        <w:rPr>
          <w:rFonts w:ascii="Palatino Linotype" w:eastAsia="Palatino Linotype" w:hAnsi="Palatino Linotype" w:cs="Palatino Linotype"/>
          <w:b/>
          <w:sz w:val="24"/>
          <w:szCs w:val="24"/>
        </w:rPr>
        <w:t xml:space="preserve"> la clave de seguridad social y en su caso clave o número del servidor público –trabajador-,</w:t>
      </w:r>
      <w:r w:rsidRPr="00720A41">
        <w:rPr>
          <w:rFonts w:ascii="Palatino Linotype" w:eastAsia="Palatino Linotype" w:hAnsi="Palatino Linotype" w:cs="Palatino Linotype"/>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14272F" w:rsidRPr="00720A41" w:rsidRDefault="002032B6">
      <w:pPr>
        <w:shd w:val="clear" w:color="auto" w:fill="FFFFFF"/>
        <w:spacing w:before="240" w:after="0" w:line="276" w:lineRule="auto"/>
        <w:ind w:left="567" w:right="900"/>
        <w:jc w:val="both"/>
        <w:rPr>
          <w:sz w:val="24"/>
          <w:szCs w:val="24"/>
        </w:rPr>
      </w:pPr>
      <w:r w:rsidRPr="00720A41">
        <w:rPr>
          <w:rFonts w:ascii="Palatino Linotype" w:eastAsia="Palatino Linotype" w:hAnsi="Palatino Linotype" w:cs="Palatino Linotype"/>
          <w:b/>
          <w:i/>
        </w:rPr>
        <w:t>“El número de ficha de identificación única de los trabajadores es información de carácter confidencial.</w:t>
      </w:r>
      <w:r w:rsidRPr="00720A41">
        <w:rPr>
          <w:rFonts w:ascii="Palatino Linotype" w:eastAsia="Palatino Linotype" w:hAnsi="Palatino Linotype" w:cs="Palatino Linotype"/>
          <w:i/>
        </w:rPr>
        <w:t> </w:t>
      </w:r>
      <w:r w:rsidRPr="00720A41">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720A41">
        <w:rPr>
          <w:rFonts w:ascii="Palatino Linotype" w:eastAsia="Palatino Linotype" w:hAnsi="Palatino Linotype" w:cs="Palatino Linotype"/>
          <w:i/>
        </w:rPr>
        <w:t>, </w:t>
      </w:r>
      <w:r w:rsidRPr="00720A41">
        <w:rPr>
          <w:rFonts w:ascii="Palatino Linotype" w:eastAsia="Palatino Linotype" w:hAnsi="Palatino Linotype" w:cs="Palatino Linotype"/>
          <w:i/>
          <w:u w:val="single"/>
        </w:rPr>
        <w:t>dicha información es susceptible de clasificarse con el carácter de confidencial</w:t>
      </w:r>
      <w:r w:rsidRPr="00720A41">
        <w:rPr>
          <w:rFonts w:ascii="Palatino Linotype" w:eastAsia="Palatino Linotype" w:hAnsi="Palatino Linotype" w:cs="Palatino Linotype"/>
          <w:i/>
        </w:rPr>
        <w:t xml:space="preserve">, en términos de lo establecido en el artículo 18, fracción II de la Ley Federal de Transparencia y Acceso a la Información Pública Gubernamental, en virtud de que a través de la misma es </w:t>
      </w:r>
      <w:r w:rsidRPr="00720A41">
        <w:rPr>
          <w:rFonts w:ascii="Palatino Linotype" w:eastAsia="Palatino Linotype" w:hAnsi="Palatino Linotype" w:cs="Palatino Linotype"/>
          <w:i/>
          <w:sz w:val="24"/>
          <w:szCs w:val="24"/>
        </w:rPr>
        <w:t>posible conocer información personal de su titular.” (Sic)</w:t>
      </w:r>
    </w:p>
    <w:p w:rsidR="0014272F" w:rsidRPr="00720A41" w:rsidRDefault="002032B6">
      <w:pPr>
        <w:spacing w:after="0" w:line="360" w:lineRule="auto"/>
        <w:ind w:right="-93"/>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Al respecto, es de señalar que </w:t>
      </w:r>
      <w:r w:rsidRPr="00720A41">
        <w:rPr>
          <w:rFonts w:ascii="Palatino Linotype" w:eastAsia="Palatino Linotype" w:hAnsi="Palatino Linotype" w:cs="Palatino Linotype"/>
          <w:b/>
          <w:sz w:val="24"/>
          <w:szCs w:val="24"/>
        </w:rPr>
        <w:t xml:space="preserve">la firma </w:t>
      </w:r>
      <w:r w:rsidRPr="00720A41">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14272F" w:rsidRPr="00720A41" w:rsidRDefault="0014272F">
      <w:pPr>
        <w:spacing w:after="0" w:line="360" w:lineRule="auto"/>
        <w:ind w:right="-93"/>
        <w:jc w:val="both"/>
        <w:rPr>
          <w:rFonts w:ascii="Palatino Linotype" w:eastAsia="Palatino Linotype" w:hAnsi="Palatino Linotype" w:cs="Palatino Linotype"/>
          <w:sz w:val="24"/>
          <w:szCs w:val="24"/>
        </w:rPr>
      </w:pPr>
    </w:p>
    <w:p w:rsidR="0014272F" w:rsidRPr="00720A41" w:rsidRDefault="002032B6">
      <w:pPr>
        <w:spacing w:after="0" w:line="360" w:lineRule="auto"/>
        <w:ind w:right="-93"/>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14272F" w:rsidRPr="00720A41" w:rsidRDefault="0014272F">
      <w:pPr>
        <w:spacing w:after="0" w:line="360" w:lineRule="auto"/>
        <w:ind w:right="-93"/>
        <w:jc w:val="both"/>
        <w:rPr>
          <w:rFonts w:ascii="Palatino Linotype" w:eastAsia="Palatino Linotype" w:hAnsi="Palatino Linotype" w:cs="Palatino Linotype"/>
          <w:sz w:val="24"/>
          <w:szCs w:val="24"/>
        </w:rPr>
      </w:pPr>
    </w:p>
    <w:p w:rsidR="0014272F" w:rsidRPr="00720A41" w:rsidRDefault="002032B6">
      <w:pPr>
        <w:spacing w:after="0" w:line="360" w:lineRule="auto"/>
        <w:ind w:right="-93"/>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14272F" w:rsidRPr="00720A41" w:rsidRDefault="0014272F">
      <w:pPr>
        <w:spacing w:after="0" w:line="360" w:lineRule="auto"/>
        <w:ind w:right="-93"/>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14272F" w:rsidRPr="00720A41" w:rsidRDefault="0014272F">
      <w:pPr>
        <w:spacing w:line="276" w:lineRule="auto"/>
        <w:ind w:right="-93"/>
        <w:jc w:val="both"/>
        <w:rPr>
          <w:rFonts w:ascii="Palatino Linotype" w:eastAsia="Palatino Linotype" w:hAnsi="Palatino Linotype" w:cs="Palatino Linotype"/>
        </w:rPr>
      </w:pPr>
    </w:p>
    <w:p w:rsidR="0014272F" w:rsidRPr="00720A41" w:rsidRDefault="002032B6">
      <w:pPr>
        <w:spacing w:after="0" w:line="276" w:lineRule="auto"/>
        <w:ind w:left="1134" w:right="1041"/>
        <w:jc w:val="both"/>
        <w:rPr>
          <w:rFonts w:ascii="Palatino Linotype" w:eastAsia="Palatino Linotype" w:hAnsi="Palatino Linotype" w:cs="Palatino Linotype"/>
          <w:i/>
        </w:rPr>
      </w:pPr>
      <w:r w:rsidRPr="00720A41">
        <w:rPr>
          <w:rFonts w:ascii="Palatino Linotype" w:eastAsia="Palatino Linotype" w:hAnsi="Palatino Linotype" w:cs="Palatino Linotype"/>
          <w:i/>
        </w:rPr>
        <w:t>“</w:t>
      </w:r>
      <w:r w:rsidRPr="00720A41">
        <w:rPr>
          <w:rFonts w:ascii="Palatino Linotype" w:eastAsia="Palatino Linotype" w:hAnsi="Palatino Linotype" w:cs="Palatino Linotype"/>
          <w:b/>
          <w:i/>
        </w:rPr>
        <w:t>FIRMA Y RÚBRICA DE SERVIDORES PÚBLICOS.</w:t>
      </w:r>
      <w:r w:rsidRPr="00720A41">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Al respecto, se destaca que la versión pública que elabore el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14272F" w:rsidRPr="00720A41" w:rsidRDefault="0014272F">
      <w:pPr>
        <w:shd w:val="clear" w:color="auto" w:fill="FFFFFF"/>
        <w:spacing w:after="0" w:line="360" w:lineRule="auto"/>
        <w:ind w:right="51"/>
        <w:jc w:val="both"/>
        <w:rPr>
          <w:rFonts w:ascii="Palatino Linotype" w:eastAsia="Palatino Linotype" w:hAnsi="Palatino Linotype" w:cs="Palatino Linotype"/>
          <w:sz w:val="24"/>
          <w:szCs w:val="24"/>
        </w:rPr>
      </w:pPr>
    </w:p>
    <w:p w:rsidR="0014272F" w:rsidRPr="00720A41" w:rsidRDefault="002032B6">
      <w:pPr>
        <w:shd w:val="clear" w:color="auto" w:fill="FFFFFF"/>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720A41">
        <w:rPr>
          <w:rFonts w:ascii="Palatino Linotype" w:eastAsia="Palatino Linotype" w:hAnsi="Palatino Linotype" w:cs="Palatino Linotype"/>
          <w:b/>
          <w:sz w:val="24"/>
          <w:szCs w:val="24"/>
        </w:rPr>
        <w:t>RECURRENTE.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“Quincuagésimo sexto</w:t>
      </w:r>
      <w:r w:rsidRPr="00720A41">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14272F" w:rsidRPr="00720A41" w:rsidRDefault="002032B6">
      <w:pPr>
        <w:spacing w:before="120" w:after="120"/>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14272F" w:rsidRPr="00720A41" w:rsidRDefault="002032B6">
      <w:pPr>
        <w:spacing w:before="120" w:after="0" w:line="360" w:lineRule="auto"/>
        <w:ind w:left="851" w:right="902"/>
        <w:jc w:val="both"/>
        <w:rPr>
          <w:rFonts w:ascii="Palatino Linotype" w:eastAsia="Palatino Linotype" w:hAnsi="Palatino Linotype" w:cs="Palatino Linotype"/>
          <w:i/>
        </w:rPr>
      </w:pPr>
      <w:r w:rsidRPr="00720A41">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Por lo tanto, </w:t>
      </w:r>
      <w:r w:rsidRPr="00720A41">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720A41">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24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2"/>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720A41" w:rsidRPr="00720A41">
        <w:tc>
          <w:tcPr>
            <w:tcW w:w="4414" w:type="dxa"/>
            <w:gridSpan w:val="2"/>
          </w:tcPr>
          <w:p w:rsidR="0014272F" w:rsidRPr="00720A41" w:rsidRDefault="002032B6">
            <w:pPr>
              <w:jc w:val="center"/>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Parcial</w:t>
            </w:r>
          </w:p>
        </w:tc>
        <w:tc>
          <w:tcPr>
            <w:tcW w:w="4414" w:type="dxa"/>
            <w:gridSpan w:val="2"/>
          </w:tcPr>
          <w:p w:rsidR="0014272F" w:rsidRPr="00720A41" w:rsidRDefault="002032B6">
            <w:pPr>
              <w:jc w:val="center"/>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Total</w:t>
            </w:r>
          </w:p>
        </w:tc>
      </w:tr>
      <w:tr w:rsidR="00720A41" w:rsidRPr="00720A41">
        <w:tc>
          <w:tcPr>
            <w:tcW w:w="846" w:type="dxa"/>
          </w:tcPr>
          <w:p w:rsidR="0014272F" w:rsidRPr="00720A41" w:rsidRDefault="002032B6">
            <w:pPr>
              <w:jc w:val="center"/>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Concepto</w:t>
            </w:r>
          </w:p>
        </w:tc>
        <w:tc>
          <w:tcPr>
            <w:tcW w:w="3568" w:type="dxa"/>
          </w:tcPr>
          <w:p w:rsidR="0014272F" w:rsidRPr="00720A41" w:rsidRDefault="002032B6">
            <w:pPr>
              <w:jc w:val="center"/>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Dónde</w:t>
            </w:r>
          </w:p>
        </w:tc>
        <w:tc>
          <w:tcPr>
            <w:tcW w:w="968" w:type="dxa"/>
          </w:tcPr>
          <w:p w:rsidR="0014272F" w:rsidRPr="00720A41" w:rsidRDefault="002032B6">
            <w:pPr>
              <w:jc w:val="center"/>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Concepto</w:t>
            </w:r>
          </w:p>
        </w:tc>
        <w:tc>
          <w:tcPr>
            <w:tcW w:w="3446" w:type="dxa"/>
          </w:tcPr>
          <w:p w:rsidR="0014272F" w:rsidRPr="00720A41" w:rsidRDefault="002032B6">
            <w:pPr>
              <w:jc w:val="center"/>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Dónde</w:t>
            </w:r>
          </w:p>
        </w:tc>
      </w:tr>
      <w:tr w:rsidR="00720A41" w:rsidRPr="00720A41">
        <w:tc>
          <w:tcPr>
            <w:tcW w:w="8828" w:type="dxa"/>
            <w:gridSpan w:val="4"/>
          </w:tcPr>
          <w:p w:rsidR="0014272F" w:rsidRPr="00720A41" w:rsidRDefault="002032B6">
            <w:pPr>
              <w:jc w:val="center"/>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Sello oficial o logotipo del sujeto obligado</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Fecha de clasificación</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Fecha de clasificación</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Área</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señalará el nombre del área del cual es titular quien clasifica.</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Área</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señalará el nombre del área de la cual es el titular quien clasifica.</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Información reservada</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Reservado</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Leyenda de información RESERVADA.</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Fundamento legal</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Periodo de reserva</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Ampliación del periodo de reserva</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Fundamento legal</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Confidencial</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Ampliación del periodo de reserva</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Fundamento legal</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Confidencial</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Leyenda de información CONFIDENCIAL.</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Rúbrica del titular del área</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Rúbrica autógrafa de quien clasifica.</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Fundamento legal</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Fecha de desclasificación</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anotará la fecha en que se desclasifica el documento.</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Rúbrica del titular del área</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Rúbrica autógrafa de quien clasifica.</w:t>
            </w:r>
          </w:p>
        </w:tc>
      </w:tr>
      <w:tr w:rsidR="00720A41" w:rsidRPr="00720A41">
        <w:tc>
          <w:tcPr>
            <w:tcW w:w="8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Rúbrica y cargo del servidor público</w:t>
            </w:r>
          </w:p>
        </w:tc>
        <w:tc>
          <w:tcPr>
            <w:tcW w:w="3568"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Rúbrica autógrafa de quien desclasifica.</w:t>
            </w: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Fecha de desclasificación</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Se anotará la fecha en que se desclasifica.</w:t>
            </w:r>
          </w:p>
        </w:tc>
      </w:tr>
      <w:tr w:rsidR="00720A41" w:rsidRPr="00720A41">
        <w:tc>
          <w:tcPr>
            <w:tcW w:w="846" w:type="dxa"/>
          </w:tcPr>
          <w:p w:rsidR="0014272F" w:rsidRPr="00720A41" w:rsidRDefault="0014272F">
            <w:pPr>
              <w:jc w:val="both"/>
              <w:rPr>
                <w:rFonts w:ascii="Palatino Linotype" w:eastAsia="Palatino Linotype" w:hAnsi="Palatino Linotype" w:cs="Palatino Linotype"/>
                <w:sz w:val="12"/>
                <w:szCs w:val="12"/>
              </w:rPr>
            </w:pPr>
          </w:p>
        </w:tc>
        <w:tc>
          <w:tcPr>
            <w:tcW w:w="3568" w:type="dxa"/>
          </w:tcPr>
          <w:p w:rsidR="0014272F" w:rsidRPr="00720A41" w:rsidRDefault="0014272F">
            <w:pPr>
              <w:jc w:val="both"/>
              <w:rPr>
                <w:rFonts w:ascii="Palatino Linotype" w:eastAsia="Palatino Linotype" w:hAnsi="Palatino Linotype" w:cs="Palatino Linotype"/>
                <w:sz w:val="12"/>
                <w:szCs w:val="12"/>
              </w:rPr>
            </w:pP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Partes o secciones reservadas o confidenciales</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14272F" w:rsidRPr="00720A41">
        <w:tc>
          <w:tcPr>
            <w:tcW w:w="846" w:type="dxa"/>
          </w:tcPr>
          <w:p w:rsidR="0014272F" w:rsidRPr="00720A41" w:rsidRDefault="0014272F">
            <w:pPr>
              <w:jc w:val="both"/>
              <w:rPr>
                <w:rFonts w:ascii="Palatino Linotype" w:eastAsia="Palatino Linotype" w:hAnsi="Palatino Linotype" w:cs="Palatino Linotype"/>
                <w:sz w:val="12"/>
                <w:szCs w:val="12"/>
              </w:rPr>
            </w:pPr>
          </w:p>
        </w:tc>
        <w:tc>
          <w:tcPr>
            <w:tcW w:w="3568" w:type="dxa"/>
          </w:tcPr>
          <w:p w:rsidR="0014272F" w:rsidRPr="00720A41" w:rsidRDefault="0014272F">
            <w:pPr>
              <w:jc w:val="both"/>
              <w:rPr>
                <w:rFonts w:ascii="Palatino Linotype" w:eastAsia="Palatino Linotype" w:hAnsi="Palatino Linotype" w:cs="Palatino Linotype"/>
                <w:sz w:val="12"/>
                <w:szCs w:val="12"/>
              </w:rPr>
            </w:pPr>
          </w:p>
        </w:tc>
        <w:tc>
          <w:tcPr>
            <w:tcW w:w="968" w:type="dxa"/>
          </w:tcPr>
          <w:p w:rsidR="0014272F" w:rsidRPr="00720A41" w:rsidRDefault="002032B6">
            <w:pPr>
              <w:jc w:val="both"/>
              <w:rPr>
                <w:rFonts w:ascii="Palatino Linotype" w:eastAsia="Palatino Linotype" w:hAnsi="Palatino Linotype" w:cs="Palatino Linotype"/>
                <w:b/>
                <w:sz w:val="12"/>
                <w:szCs w:val="12"/>
              </w:rPr>
            </w:pPr>
            <w:r w:rsidRPr="00720A41">
              <w:rPr>
                <w:rFonts w:ascii="Palatino Linotype" w:eastAsia="Palatino Linotype" w:hAnsi="Palatino Linotype" w:cs="Palatino Linotype"/>
                <w:b/>
                <w:sz w:val="12"/>
                <w:szCs w:val="12"/>
              </w:rPr>
              <w:t>Rúbrica y cargo del servidor público</w:t>
            </w:r>
          </w:p>
        </w:tc>
        <w:tc>
          <w:tcPr>
            <w:tcW w:w="3446" w:type="dxa"/>
          </w:tcPr>
          <w:p w:rsidR="0014272F" w:rsidRPr="00720A41" w:rsidRDefault="002032B6">
            <w:pPr>
              <w:jc w:val="both"/>
              <w:rPr>
                <w:rFonts w:ascii="Palatino Linotype" w:eastAsia="Palatino Linotype" w:hAnsi="Palatino Linotype" w:cs="Palatino Linotype"/>
                <w:sz w:val="12"/>
                <w:szCs w:val="12"/>
              </w:rPr>
            </w:pPr>
            <w:r w:rsidRPr="00720A41">
              <w:rPr>
                <w:rFonts w:ascii="Palatino Linotype" w:eastAsia="Palatino Linotype" w:hAnsi="Palatino Linotype" w:cs="Palatino Linotype"/>
                <w:sz w:val="12"/>
                <w:szCs w:val="12"/>
              </w:rPr>
              <w:t>Rúbrica autógrafa de quien desclasifica.</w:t>
            </w:r>
          </w:p>
        </w:tc>
      </w:tr>
    </w:tbl>
    <w:p w:rsidR="0014272F" w:rsidRPr="00720A41" w:rsidRDefault="0014272F">
      <w:pPr>
        <w:spacing w:before="240" w:after="240" w:line="360" w:lineRule="auto"/>
        <w:jc w:val="both"/>
        <w:rPr>
          <w:rFonts w:ascii="Palatino Linotype" w:eastAsia="Palatino Linotype" w:hAnsi="Palatino Linotype" w:cs="Palatino Linotype"/>
        </w:rPr>
      </w:pPr>
    </w:p>
    <w:p w:rsidR="0014272F" w:rsidRPr="00720A41" w:rsidRDefault="002032B6">
      <w:pPr>
        <w:spacing w:before="240" w:after="240" w:line="360" w:lineRule="auto"/>
        <w:jc w:val="both"/>
        <w:rPr>
          <w:rFonts w:ascii="Times New Roman" w:eastAsia="Times New Roman" w:hAnsi="Times New Roman" w:cs="Times New Roman"/>
          <w:sz w:val="24"/>
          <w:szCs w:val="24"/>
        </w:rPr>
      </w:pPr>
      <w:r w:rsidRPr="00720A41">
        <w:rPr>
          <w:rFonts w:ascii="Palatino Linotype" w:eastAsia="Palatino Linotype" w:hAnsi="Palatino Linotype" w:cs="Palatino Linotype"/>
          <w:sz w:val="24"/>
          <w:szCs w:val="24"/>
        </w:rPr>
        <w:t>Así, con fundamento en lo prescrito en los</w:t>
      </w:r>
      <w:r w:rsidRPr="00720A41">
        <w:rPr>
          <w:rFonts w:ascii="Times New Roman" w:eastAsia="Times New Roman" w:hAnsi="Times New Roman" w:cs="Times New Roman"/>
          <w:sz w:val="24"/>
          <w:szCs w:val="24"/>
        </w:rPr>
        <w:t xml:space="preserve"> </w:t>
      </w:r>
      <w:r w:rsidRPr="00720A41">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14272F" w:rsidRPr="00720A41" w:rsidRDefault="002032B6">
      <w:pPr>
        <w:spacing w:after="0" w:line="360" w:lineRule="auto"/>
        <w:jc w:val="center"/>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RESUELVE:</w:t>
      </w:r>
    </w:p>
    <w:p w:rsidR="0014272F" w:rsidRPr="00720A41" w:rsidRDefault="0014272F">
      <w:pPr>
        <w:spacing w:after="0" w:line="360" w:lineRule="auto"/>
        <w:jc w:val="center"/>
        <w:rPr>
          <w:rFonts w:ascii="Palatino Linotype" w:eastAsia="Palatino Linotype" w:hAnsi="Palatino Linotype" w:cs="Palatino Linotype"/>
          <w:b/>
          <w:sz w:val="24"/>
          <w:szCs w:val="24"/>
        </w:rPr>
      </w:pPr>
    </w:p>
    <w:p w:rsidR="0014272F" w:rsidRPr="00720A41" w:rsidRDefault="002032B6">
      <w:pPr>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b/>
          <w:sz w:val="24"/>
          <w:szCs w:val="24"/>
        </w:rPr>
        <w:t>PRIMERO.</w:t>
      </w:r>
      <w:r w:rsidRPr="00720A41">
        <w:rPr>
          <w:rFonts w:ascii="Palatino Linotype" w:eastAsia="Palatino Linotype" w:hAnsi="Palatino Linotype" w:cs="Palatino Linotype"/>
          <w:sz w:val="24"/>
          <w:szCs w:val="24"/>
        </w:rPr>
        <w:t xml:space="preserve"> Resultan fundados los motivos de inconformidad hechos valer por la parte Recurrente en el Recurso de Revisión </w:t>
      </w:r>
      <w:r w:rsidRPr="00720A41">
        <w:rPr>
          <w:rFonts w:ascii="Palatino Linotype" w:eastAsia="Palatino Linotype" w:hAnsi="Palatino Linotype" w:cs="Palatino Linotype"/>
          <w:b/>
          <w:sz w:val="24"/>
          <w:szCs w:val="24"/>
        </w:rPr>
        <w:t>07374/INFOEM/IP/RR/2022</w:t>
      </w:r>
      <w:r w:rsidRPr="00720A41">
        <w:rPr>
          <w:rFonts w:ascii="Palatino Linotype" w:eastAsia="Palatino Linotype" w:hAnsi="Palatino Linotype" w:cs="Palatino Linotype"/>
          <w:sz w:val="24"/>
          <w:szCs w:val="24"/>
        </w:rPr>
        <w:t xml:space="preserve"> por lo que, en términos del Considerando Cuarto de la presente resolución, se </w:t>
      </w:r>
      <w:r w:rsidRPr="00720A41">
        <w:rPr>
          <w:rFonts w:ascii="Palatino Linotype" w:eastAsia="Palatino Linotype" w:hAnsi="Palatino Linotype" w:cs="Palatino Linotype"/>
          <w:b/>
          <w:sz w:val="24"/>
          <w:szCs w:val="24"/>
        </w:rPr>
        <w:t xml:space="preserve">REVOCA </w:t>
      </w:r>
      <w:r w:rsidRPr="00720A41">
        <w:rPr>
          <w:rFonts w:ascii="Palatino Linotype" w:eastAsia="Palatino Linotype" w:hAnsi="Palatino Linotype" w:cs="Palatino Linotype"/>
          <w:sz w:val="24"/>
          <w:szCs w:val="24"/>
        </w:rPr>
        <w:t>la respuesta del Sujeto Obligado.</w:t>
      </w:r>
    </w:p>
    <w:p w:rsidR="0014272F" w:rsidRPr="00720A41" w:rsidRDefault="0014272F">
      <w:pPr>
        <w:spacing w:after="0" w:line="360" w:lineRule="auto"/>
        <w:ind w:right="51"/>
        <w:jc w:val="both"/>
        <w:rPr>
          <w:rFonts w:ascii="Palatino Linotype" w:eastAsia="Palatino Linotype" w:hAnsi="Palatino Linotype" w:cs="Palatino Linotype"/>
          <w:sz w:val="24"/>
          <w:szCs w:val="24"/>
        </w:rPr>
      </w:pPr>
    </w:p>
    <w:p w:rsidR="0014272F" w:rsidRPr="00720A41" w:rsidRDefault="002032B6" w:rsidP="00505397">
      <w:pPr>
        <w:pBdr>
          <w:top w:val="nil"/>
          <w:left w:val="nil"/>
          <w:bottom w:val="nil"/>
          <w:right w:val="nil"/>
          <w:between w:val="nil"/>
        </w:pBdr>
        <w:tabs>
          <w:tab w:val="left" w:pos="7936"/>
        </w:tabs>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SEGUNDO. </w:t>
      </w:r>
      <w:r w:rsidRPr="00720A41">
        <w:rPr>
          <w:rFonts w:ascii="Palatino Linotype" w:eastAsia="Palatino Linotype" w:hAnsi="Palatino Linotype" w:cs="Palatino Linotype"/>
          <w:sz w:val="24"/>
          <w:szCs w:val="24"/>
        </w:rPr>
        <w:t>Se</w:t>
      </w:r>
      <w:r w:rsidRPr="00720A41">
        <w:rPr>
          <w:rFonts w:ascii="Palatino Linotype" w:eastAsia="Palatino Linotype" w:hAnsi="Palatino Linotype" w:cs="Palatino Linotype"/>
          <w:b/>
          <w:sz w:val="24"/>
          <w:szCs w:val="24"/>
        </w:rPr>
        <w:t xml:space="preserve"> Sobresee </w:t>
      </w:r>
      <w:r w:rsidRPr="00720A41">
        <w:rPr>
          <w:rFonts w:ascii="Palatino Linotype" w:eastAsia="Palatino Linotype" w:hAnsi="Palatino Linotype" w:cs="Palatino Linotype"/>
          <w:sz w:val="24"/>
          <w:szCs w:val="24"/>
        </w:rPr>
        <w:t xml:space="preserve">el recurso de revisión número </w:t>
      </w:r>
      <w:r w:rsidRPr="00720A41">
        <w:rPr>
          <w:rFonts w:ascii="Palatino Linotype" w:eastAsia="Palatino Linotype" w:hAnsi="Palatino Linotype" w:cs="Palatino Linotype"/>
          <w:b/>
          <w:sz w:val="24"/>
          <w:szCs w:val="24"/>
        </w:rPr>
        <w:t xml:space="preserve">07375/INFOEM/IP/RR/2022, </w:t>
      </w:r>
      <w:r w:rsidRPr="00720A41">
        <w:rPr>
          <w:rFonts w:ascii="Palatino Linotype" w:eastAsia="Palatino Linotype" w:hAnsi="Palatino Linotype" w:cs="Palatino Linotype"/>
          <w:sz w:val="24"/>
          <w:szCs w:val="24"/>
        </w:rPr>
        <w:t>en términos del Considerando</w:t>
      </w:r>
      <w:r w:rsidRPr="00720A41">
        <w:rPr>
          <w:rFonts w:ascii="Palatino Linotype" w:eastAsia="Palatino Linotype" w:hAnsi="Palatino Linotype" w:cs="Palatino Linotype"/>
          <w:b/>
          <w:sz w:val="24"/>
          <w:szCs w:val="24"/>
        </w:rPr>
        <w:t xml:space="preserve"> Cuarto </w:t>
      </w:r>
      <w:r w:rsidRPr="00720A41">
        <w:rPr>
          <w:rFonts w:ascii="Palatino Linotype" w:eastAsia="Palatino Linotype" w:hAnsi="Palatino Linotype" w:cs="Palatino Linotype"/>
          <w:sz w:val="24"/>
          <w:szCs w:val="24"/>
        </w:rPr>
        <w:t xml:space="preserve">de la presente resolución, por improcedente de conformidad con el artículo 192, fracción IV, en relación con la causal prevista en el artículo 191, fracción V, de la </w:t>
      </w:r>
      <w:r w:rsidR="00505397" w:rsidRPr="00720A41">
        <w:rPr>
          <w:rFonts w:ascii="Palatino Linotype" w:eastAsia="Palatino Linotype" w:hAnsi="Palatino Linotype" w:cs="Palatino Linotype"/>
          <w:sz w:val="24"/>
          <w:szCs w:val="24"/>
        </w:rPr>
        <w:t>Ley de Transparencia y Acceso a la Información Pública del Estado de México y Municipios</w:t>
      </w:r>
      <w:r w:rsidRPr="00720A41">
        <w:rPr>
          <w:rFonts w:ascii="Palatino Linotype" w:eastAsia="Palatino Linotype" w:hAnsi="Palatino Linotype" w:cs="Palatino Linotype"/>
          <w:sz w:val="24"/>
          <w:szCs w:val="24"/>
        </w:rPr>
        <w:t xml:space="preserve">. </w:t>
      </w:r>
    </w:p>
    <w:p w:rsidR="0014272F" w:rsidRPr="00720A41" w:rsidRDefault="002032B6">
      <w:pPr>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TERCERO. </w:t>
      </w:r>
      <w:r w:rsidRPr="00720A41">
        <w:rPr>
          <w:rFonts w:ascii="Palatino Linotype" w:eastAsia="Palatino Linotype" w:hAnsi="Palatino Linotype" w:cs="Palatino Linotype"/>
          <w:sz w:val="24"/>
          <w:szCs w:val="24"/>
        </w:rPr>
        <w:t xml:space="preserve">Resultan parcialmente fundados los motivos de inconformidad hechos valer por la parte Recurrente en el Recurso de Revisión </w:t>
      </w:r>
      <w:r w:rsidRPr="00720A41">
        <w:rPr>
          <w:rFonts w:ascii="Palatino Linotype" w:eastAsia="Palatino Linotype" w:hAnsi="Palatino Linotype" w:cs="Palatino Linotype"/>
          <w:b/>
          <w:sz w:val="24"/>
          <w:szCs w:val="24"/>
        </w:rPr>
        <w:t>07380/INFOEM/IP/RR/2022</w:t>
      </w:r>
      <w:r w:rsidRPr="00720A41">
        <w:rPr>
          <w:rFonts w:ascii="Palatino Linotype" w:eastAsia="Palatino Linotype" w:hAnsi="Palatino Linotype" w:cs="Palatino Linotype"/>
          <w:sz w:val="24"/>
          <w:szCs w:val="24"/>
        </w:rPr>
        <w:t xml:space="preserve"> por lo que, en términos del Considerando Cuarto de la presente resolución, se </w:t>
      </w:r>
      <w:r w:rsidRPr="00720A41">
        <w:rPr>
          <w:rFonts w:ascii="Palatino Linotype" w:eastAsia="Palatino Linotype" w:hAnsi="Palatino Linotype" w:cs="Palatino Linotype"/>
          <w:b/>
          <w:sz w:val="24"/>
          <w:szCs w:val="24"/>
        </w:rPr>
        <w:t>MODIFICA</w:t>
      </w:r>
      <w:r w:rsidRPr="00720A41">
        <w:rPr>
          <w:rFonts w:ascii="Palatino Linotype" w:eastAsia="Palatino Linotype" w:hAnsi="Palatino Linotype" w:cs="Palatino Linotype"/>
          <w:sz w:val="24"/>
          <w:szCs w:val="24"/>
        </w:rPr>
        <w:t xml:space="preserve"> la respuesta del Sujeto Obligado.</w:t>
      </w:r>
    </w:p>
    <w:p w:rsidR="0014272F" w:rsidRPr="00720A41" w:rsidRDefault="0014272F">
      <w:pPr>
        <w:spacing w:after="0" w:line="360" w:lineRule="auto"/>
        <w:ind w:right="51"/>
        <w:jc w:val="both"/>
        <w:rPr>
          <w:rFonts w:ascii="Palatino Linotype" w:eastAsia="Palatino Linotype" w:hAnsi="Palatino Linotype" w:cs="Palatino Linotype"/>
          <w:sz w:val="24"/>
          <w:szCs w:val="24"/>
        </w:rPr>
      </w:pPr>
    </w:p>
    <w:p w:rsidR="0014272F" w:rsidRPr="00720A41" w:rsidRDefault="002032B6">
      <w:pPr>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 xml:space="preserve">CUARTO. </w:t>
      </w:r>
      <w:r w:rsidRPr="00720A41">
        <w:rPr>
          <w:rFonts w:ascii="Palatino Linotype" w:eastAsia="Palatino Linotype" w:hAnsi="Palatino Linotype" w:cs="Palatino Linotype"/>
          <w:sz w:val="24"/>
          <w:szCs w:val="24"/>
        </w:rPr>
        <w:t xml:space="preserve">Se Ordena al </w:t>
      </w:r>
      <w:r w:rsidRPr="00720A41">
        <w:rPr>
          <w:rFonts w:ascii="Palatino Linotype" w:eastAsia="Palatino Linotype" w:hAnsi="Palatino Linotype" w:cs="Palatino Linotype"/>
          <w:b/>
          <w:sz w:val="24"/>
          <w:szCs w:val="24"/>
        </w:rPr>
        <w:t>SUJETO OBLIGADO</w:t>
      </w:r>
      <w:r w:rsidRPr="00720A41">
        <w:rPr>
          <w:rFonts w:ascii="Palatino Linotype" w:eastAsia="Palatino Linotype" w:hAnsi="Palatino Linotype" w:cs="Palatino Linotype"/>
          <w:sz w:val="24"/>
          <w:szCs w:val="24"/>
        </w:rPr>
        <w:t xml:space="preserve"> que en términos de los Considerandos Cuarto y Quinto de esta resolución haga entrega en versión pública, al Recurrente a través del SAIMEX, de lo siguiente: </w:t>
      </w:r>
    </w:p>
    <w:p w:rsidR="0014272F" w:rsidRPr="00720A41" w:rsidRDefault="0014272F">
      <w:pPr>
        <w:spacing w:after="120" w:line="360" w:lineRule="auto"/>
        <w:ind w:right="51"/>
        <w:jc w:val="both"/>
        <w:rPr>
          <w:rFonts w:ascii="Palatino Linotype" w:eastAsia="Palatino Linotype" w:hAnsi="Palatino Linotype" w:cs="Palatino Linotype"/>
          <w:sz w:val="24"/>
          <w:szCs w:val="24"/>
        </w:rPr>
      </w:pPr>
    </w:p>
    <w:p w:rsidR="0014272F" w:rsidRPr="00720A41" w:rsidRDefault="002032B6">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720A41">
        <w:rPr>
          <w:rFonts w:ascii="Palatino Linotype" w:eastAsia="Palatino Linotype" w:hAnsi="Palatino Linotype" w:cs="Palatino Linotype"/>
          <w:sz w:val="24"/>
          <w:szCs w:val="24"/>
        </w:rPr>
        <w:t xml:space="preserve">Recibos de nómina de la primera y segunda quincena del mes de marzo de dos mil veintidós de los Servidores Públicos adscritos a la UIPPE,  Unidad de Transparencia y  Secretaría Técnica; </w:t>
      </w:r>
    </w:p>
    <w:p w:rsidR="0014272F" w:rsidRPr="00720A41" w:rsidRDefault="002032B6">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Certificado de competencia laboral del Titular de la Unidad de Transparencia y del Titular de la Unidad de Información, Planeación, Programación, en funciones a la fecha de la solicitud;</w:t>
      </w:r>
    </w:p>
    <w:p w:rsidR="0014272F" w:rsidRPr="00720A41" w:rsidRDefault="002032B6">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El nombramiento entregado en respuesta del Titular de la Unidad de Información, Planeación, Programación y Evaluación de manera legible.</w:t>
      </w:r>
    </w:p>
    <w:p w:rsidR="0014272F" w:rsidRPr="00720A41" w:rsidRDefault="0014272F">
      <w:pPr>
        <w:pBdr>
          <w:top w:val="nil"/>
          <w:left w:val="nil"/>
          <w:bottom w:val="nil"/>
          <w:right w:val="nil"/>
          <w:between w:val="nil"/>
        </w:pBdr>
        <w:spacing w:before="240" w:after="240" w:line="360" w:lineRule="auto"/>
        <w:ind w:left="720" w:right="49"/>
        <w:jc w:val="both"/>
        <w:rPr>
          <w:rFonts w:ascii="Palatino Linotype" w:eastAsia="Palatino Linotype" w:hAnsi="Palatino Linotype" w:cs="Palatino Linotype"/>
          <w:sz w:val="24"/>
          <w:szCs w:val="24"/>
        </w:rPr>
      </w:pPr>
    </w:p>
    <w:p w:rsidR="0014272F" w:rsidRPr="00720A41" w:rsidRDefault="002032B6">
      <w:pPr>
        <w:spacing w:before="240" w:after="240" w:line="360" w:lineRule="auto"/>
        <w:ind w:right="49"/>
        <w:jc w:val="both"/>
        <w:rPr>
          <w:rFonts w:ascii="Palatino Linotype" w:eastAsia="Palatino Linotype" w:hAnsi="Palatino Linotype" w:cs="Palatino Linotype"/>
          <w:i/>
          <w:sz w:val="20"/>
          <w:szCs w:val="20"/>
        </w:rPr>
      </w:pPr>
      <w:r w:rsidRPr="00720A41">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14272F" w:rsidRPr="00720A41" w:rsidRDefault="002032B6">
      <w:pPr>
        <w:spacing w:before="240" w:after="0" w:line="360" w:lineRule="auto"/>
        <w:ind w:right="51"/>
        <w:jc w:val="both"/>
        <w:rPr>
          <w:rFonts w:ascii="Palatino Linotype" w:eastAsia="Palatino Linotype" w:hAnsi="Palatino Linotype" w:cs="Palatino Linotype"/>
          <w:i/>
        </w:rPr>
      </w:pPr>
      <w:r w:rsidRPr="00720A41">
        <w:rPr>
          <w:rFonts w:ascii="Palatino Linotype" w:eastAsia="Palatino Linotype" w:hAnsi="Palatino Linotype" w:cs="Palatino Linotype"/>
          <w:sz w:val="24"/>
          <w:szCs w:val="24"/>
        </w:rPr>
        <w:t xml:space="preserve">Para el caso, de que no se haya generado la información que se ordena en el inciso “b”, bastará que así se lo haga saber a la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xml:space="preserve"> de manera fundada y motivada, </w:t>
      </w:r>
      <w:r w:rsidRPr="00720A41">
        <w:rPr>
          <w:rFonts w:ascii="Palatino Linotype" w:eastAsia="Palatino Linotype" w:hAnsi="Palatino Linotype" w:cs="Palatino Linotype"/>
          <w:b/>
          <w:i/>
        </w:rPr>
        <w:t>en términos del segundo párrafo del artículo 19 de la Ley en la materia</w:t>
      </w:r>
      <w:r w:rsidRPr="00720A41">
        <w:rPr>
          <w:rFonts w:ascii="Palatino Linotype" w:eastAsia="Palatino Linotype" w:hAnsi="Palatino Linotype" w:cs="Palatino Linotype"/>
          <w:i/>
        </w:rPr>
        <w:t>, para tener por colmado el requerimiento de información.</w:t>
      </w:r>
    </w:p>
    <w:p w:rsidR="0014272F" w:rsidRPr="00720A41" w:rsidRDefault="0014272F">
      <w:pPr>
        <w:spacing w:after="0" w:line="360" w:lineRule="auto"/>
        <w:ind w:right="51"/>
        <w:jc w:val="both"/>
        <w:rPr>
          <w:rFonts w:ascii="Palatino Linotype" w:eastAsia="Palatino Linotype" w:hAnsi="Palatino Linotype" w:cs="Palatino Linotype"/>
          <w:i/>
          <w:sz w:val="20"/>
          <w:szCs w:val="20"/>
        </w:rPr>
      </w:pPr>
    </w:p>
    <w:p w:rsidR="0014272F" w:rsidRPr="00720A41" w:rsidRDefault="002032B6">
      <w:pPr>
        <w:spacing w:after="0" w:line="360" w:lineRule="auto"/>
        <w:ind w:right="51"/>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QUINTO.</w:t>
      </w:r>
      <w:r w:rsidRPr="00720A41">
        <w:rPr>
          <w:rFonts w:ascii="Palatino Linotype" w:eastAsia="Palatino Linotype" w:hAnsi="Palatino Linotype" w:cs="Palatino Linotype"/>
          <w:sz w:val="24"/>
          <w:szCs w:val="24"/>
        </w:rPr>
        <w:t> </w:t>
      </w:r>
      <w:r w:rsidRPr="00720A41">
        <w:rPr>
          <w:rFonts w:ascii="Palatino Linotype" w:eastAsia="Palatino Linotype" w:hAnsi="Palatino Linotype" w:cs="Palatino Linotype"/>
          <w:b/>
          <w:sz w:val="24"/>
          <w:szCs w:val="24"/>
        </w:rPr>
        <w:t xml:space="preserve">NOTIFÍQUESE vía SAIMEX </w:t>
      </w:r>
      <w:r w:rsidRPr="00720A41">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SEXTO.</w:t>
      </w:r>
      <w:r w:rsidRPr="00720A41">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4272F" w:rsidRPr="00720A41" w:rsidRDefault="0014272F">
      <w:pPr>
        <w:spacing w:after="0" w:line="360" w:lineRule="auto"/>
        <w:ind w:right="49"/>
        <w:jc w:val="both"/>
        <w:rPr>
          <w:rFonts w:ascii="Palatino Linotype" w:eastAsia="Palatino Linotype" w:hAnsi="Palatino Linotype" w:cs="Palatino Linotype"/>
          <w:sz w:val="24"/>
          <w:szCs w:val="24"/>
        </w:rPr>
      </w:pPr>
    </w:p>
    <w:p w:rsidR="0014272F" w:rsidRPr="00720A41" w:rsidRDefault="002032B6">
      <w:pPr>
        <w:spacing w:after="0" w:line="360" w:lineRule="auto"/>
        <w:ind w:right="49"/>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b/>
          <w:sz w:val="24"/>
          <w:szCs w:val="24"/>
        </w:rPr>
        <w:t>SÉPTIMO. NOTIFÍQUESE vía SAIMEX</w:t>
      </w:r>
      <w:r w:rsidRPr="00720A41">
        <w:rPr>
          <w:rFonts w:ascii="Palatino Linotype" w:eastAsia="Palatino Linotype" w:hAnsi="Palatino Linotype" w:cs="Palatino Linotype"/>
          <w:sz w:val="24"/>
          <w:szCs w:val="24"/>
        </w:rPr>
        <w:t xml:space="preserve"> al </w:t>
      </w:r>
      <w:r w:rsidRPr="00720A41">
        <w:rPr>
          <w:rFonts w:ascii="Palatino Linotype" w:eastAsia="Palatino Linotype" w:hAnsi="Palatino Linotype" w:cs="Palatino Linotype"/>
          <w:b/>
          <w:sz w:val="24"/>
          <w:szCs w:val="24"/>
        </w:rPr>
        <w:t>RECURRENTE</w:t>
      </w:r>
      <w:r w:rsidRPr="00720A41">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14272F" w:rsidRPr="00720A41" w:rsidRDefault="0014272F">
      <w:pPr>
        <w:spacing w:after="0" w:line="360" w:lineRule="auto"/>
        <w:jc w:val="both"/>
        <w:rPr>
          <w:rFonts w:ascii="Palatino Linotype" w:eastAsia="Palatino Linotype" w:hAnsi="Palatino Linotype" w:cs="Palatino Linotype"/>
          <w:sz w:val="24"/>
          <w:szCs w:val="24"/>
        </w:rPr>
      </w:pPr>
    </w:p>
    <w:p w:rsidR="0014272F" w:rsidRPr="00720A41" w:rsidRDefault="002032B6">
      <w:pPr>
        <w:spacing w:after="0" w:line="360" w:lineRule="auto"/>
        <w:jc w:val="both"/>
        <w:rPr>
          <w:rFonts w:ascii="Palatino Linotype" w:eastAsia="Palatino Linotype" w:hAnsi="Palatino Linotype" w:cs="Palatino Linotype"/>
          <w:sz w:val="24"/>
          <w:szCs w:val="24"/>
        </w:rPr>
      </w:pPr>
      <w:r w:rsidRPr="00720A41">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VEINTIOCHO DE SEPTIEMBRE DE DOS MIL VEINTIDÓS, ANTE EL SECRETARIO TÉCNICO DEL PLENO ALEXIS TAPIA RAMÍREZ. </w:t>
      </w:r>
    </w:p>
    <w:p w:rsidR="0014272F" w:rsidRPr="00720A41" w:rsidRDefault="0014272F">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p w:rsidR="001225B8" w:rsidRPr="00720A41" w:rsidRDefault="001225B8">
      <w:pPr>
        <w:spacing w:line="360" w:lineRule="auto"/>
        <w:rPr>
          <w:rFonts w:ascii="Palatino Linotype" w:eastAsia="Palatino Linotype" w:hAnsi="Palatino Linotype" w:cs="Palatino Linotype"/>
          <w:sz w:val="24"/>
          <w:szCs w:val="24"/>
        </w:rPr>
      </w:pPr>
    </w:p>
    <w:sectPr w:rsidR="001225B8" w:rsidRPr="00720A41">
      <w:headerReference w:type="default" r:id="rId29"/>
      <w:footerReference w:type="default" r:id="rId3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E9B" w:rsidRDefault="00B61E9B">
      <w:pPr>
        <w:spacing w:after="0" w:line="240" w:lineRule="auto"/>
      </w:pPr>
      <w:r>
        <w:separator/>
      </w:r>
    </w:p>
  </w:endnote>
  <w:endnote w:type="continuationSeparator" w:id="0">
    <w:p w:rsidR="00B61E9B" w:rsidRDefault="00B6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72F" w:rsidRDefault="002032B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4429B">
      <w:rPr>
        <w:rFonts w:ascii="Arial" w:eastAsia="Arial" w:hAnsi="Arial" w:cs="Arial"/>
        <w:b/>
        <w:noProof/>
        <w:color w:val="000000"/>
        <w:sz w:val="20"/>
        <w:szCs w:val="20"/>
      </w:rPr>
      <w:t>63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4429B">
      <w:rPr>
        <w:rFonts w:ascii="Arial" w:eastAsia="Arial" w:hAnsi="Arial" w:cs="Arial"/>
        <w:b/>
        <w:noProof/>
        <w:color w:val="000000"/>
        <w:sz w:val="20"/>
        <w:szCs w:val="20"/>
      </w:rPr>
      <w:t>90</w:t>
    </w:r>
    <w:r>
      <w:rPr>
        <w:rFonts w:ascii="Arial" w:eastAsia="Arial" w:hAnsi="Arial" w:cs="Arial"/>
        <w:b/>
        <w:color w:val="000000"/>
        <w:sz w:val="20"/>
        <w:szCs w:val="20"/>
      </w:rPr>
      <w:fldChar w:fldCharType="end"/>
    </w:r>
  </w:p>
  <w:p w:rsidR="0014272F" w:rsidRDefault="0014272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E9B" w:rsidRDefault="00B61E9B">
      <w:pPr>
        <w:spacing w:after="0" w:line="240" w:lineRule="auto"/>
      </w:pPr>
      <w:r>
        <w:separator/>
      </w:r>
    </w:p>
  </w:footnote>
  <w:footnote w:type="continuationSeparator" w:id="0">
    <w:p w:rsidR="00B61E9B" w:rsidRDefault="00B61E9B">
      <w:pPr>
        <w:spacing w:after="0" w:line="240" w:lineRule="auto"/>
      </w:pPr>
      <w:r>
        <w:continuationSeparator/>
      </w:r>
    </w:p>
  </w:footnote>
  <w:footnote w:id="1">
    <w:p w:rsidR="0014272F" w:rsidRDefault="002032B6">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14272F" w:rsidRDefault="002032B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14272F" w:rsidRDefault="002032B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14272F" w:rsidRDefault="002032B6">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rsidR="0014272F" w:rsidRDefault="0014272F">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p>
  </w:footnote>
  <w:footnote w:id="3">
    <w:p w:rsidR="0014272F" w:rsidRDefault="002032B6">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14272F" w:rsidRDefault="002032B6">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72F" w:rsidRDefault="0014272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3"/>
      <w:tblW w:w="10346" w:type="dxa"/>
      <w:tblInd w:w="-1303" w:type="dxa"/>
      <w:tblLayout w:type="fixed"/>
      <w:tblLook w:val="0400" w:firstRow="0" w:lastRow="0" w:firstColumn="0" w:lastColumn="0" w:noHBand="0" w:noVBand="1"/>
    </w:tblPr>
    <w:tblGrid>
      <w:gridCol w:w="5684"/>
      <w:gridCol w:w="4662"/>
    </w:tblGrid>
    <w:tr w:rsidR="0014272F">
      <w:trPr>
        <w:trHeight w:val="244"/>
      </w:trPr>
      <w:tc>
        <w:tcPr>
          <w:tcW w:w="5684" w:type="dxa"/>
        </w:tcPr>
        <w:p w:rsidR="0014272F" w:rsidRDefault="002032B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58240" behindDoc="1" locked="0" layoutInCell="1" hidden="0" allowOverlap="1">
                <wp:simplePos x="0" y="0"/>
                <wp:positionH relativeFrom="column">
                  <wp:posOffset>27305</wp:posOffset>
                </wp:positionH>
                <wp:positionV relativeFrom="paragraph">
                  <wp:posOffset>-340994</wp:posOffset>
                </wp:positionV>
                <wp:extent cx="7753350" cy="9942731"/>
                <wp:effectExtent l="0" t="0" r="0" b="0"/>
                <wp:wrapNone/>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662" w:type="dxa"/>
        </w:tcPr>
        <w:p w:rsidR="0014272F" w:rsidRDefault="002032B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07374/INFOEM/IP/RR/2022 y</w:t>
          </w:r>
        </w:p>
        <w:p w:rsidR="0014272F" w:rsidRDefault="002032B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acumulados. </w:t>
          </w:r>
        </w:p>
      </w:tc>
    </w:tr>
    <w:tr w:rsidR="0014272F">
      <w:trPr>
        <w:trHeight w:val="210"/>
      </w:trPr>
      <w:tc>
        <w:tcPr>
          <w:tcW w:w="5684" w:type="dxa"/>
        </w:tcPr>
        <w:p w:rsidR="0014272F" w:rsidRDefault="002032B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14272F" w:rsidRDefault="0014272F">
          <w:pPr>
            <w:spacing w:after="120"/>
            <w:ind w:left="-486" w:right="214" w:firstLine="567"/>
            <w:jc w:val="right"/>
            <w:rPr>
              <w:rFonts w:ascii="Palatino Linotype" w:eastAsia="Palatino Linotype" w:hAnsi="Palatino Linotype" w:cs="Palatino Linotype"/>
              <w:sz w:val="24"/>
              <w:szCs w:val="24"/>
            </w:rPr>
          </w:pPr>
        </w:p>
      </w:tc>
    </w:tr>
    <w:tr w:rsidR="0014272F">
      <w:trPr>
        <w:trHeight w:val="261"/>
      </w:trPr>
      <w:tc>
        <w:tcPr>
          <w:tcW w:w="5684" w:type="dxa"/>
        </w:tcPr>
        <w:p w:rsidR="0014272F" w:rsidRDefault="002032B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14272F" w:rsidRDefault="002032B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Almoloya del Río</w:t>
          </w:r>
        </w:p>
      </w:tc>
    </w:tr>
    <w:tr w:rsidR="0014272F">
      <w:trPr>
        <w:trHeight w:val="368"/>
      </w:trPr>
      <w:tc>
        <w:tcPr>
          <w:tcW w:w="5684" w:type="dxa"/>
        </w:tcPr>
        <w:p w:rsidR="0014272F" w:rsidRDefault="002032B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14272F" w:rsidRDefault="002032B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14272F" w:rsidRDefault="0014272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1E8A"/>
    <w:multiLevelType w:val="multilevel"/>
    <w:tmpl w:val="99D611A2"/>
    <w:lvl w:ilvl="0">
      <w:start w:val="1"/>
      <w:numFmt w:val="lowerLetter"/>
      <w:lvlText w:val="%1)"/>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2997932"/>
    <w:multiLevelType w:val="multilevel"/>
    <w:tmpl w:val="A26C9F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1CB639F"/>
    <w:multiLevelType w:val="multilevel"/>
    <w:tmpl w:val="42F2C05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644742C1"/>
    <w:multiLevelType w:val="multilevel"/>
    <w:tmpl w:val="3A9CD9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2365AA0"/>
    <w:multiLevelType w:val="multilevel"/>
    <w:tmpl w:val="0094797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nsid w:val="768F2081"/>
    <w:multiLevelType w:val="multilevel"/>
    <w:tmpl w:val="470E48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72F"/>
    <w:rsid w:val="001225B8"/>
    <w:rsid w:val="0014272F"/>
    <w:rsid w:val="002032B6"/>
    <w:rsid w:val="00505397"/>
    <w:rsid w:val="005203AD"/>
    <w:rsid w:val="0054429B"/>
    <w:rsid w:val="00720A41"/>
    <w:rsid w:val="00B61E9B"/>
    <w:rsid w:val="00BC1E73"/>
    <w:rsid w:val="00D82F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8D7ED-A230-4E40-8C1A-5C1083E6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23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0D52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5233"/>
  </w:style>
  <w:style w:type="paragraph" w:styleId="Piedepgina">
    <w:name w:val="footer"/>
    <w:basedOn w:val="Normal"/>
    <w:link w:val="PiedepginaCar"/>
    <w:uiPriority w:val="99"/>
    <w:unhideWhenUsed/>
    <w:rsid w:val="000D5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5233"/>
  </w:style>
  <w:style w:type="character" w:styleId="Hipervnculo">
    <w:name w:val="Hyperlink"/>
    <w:basedOn w:val="Fuentedeprrafopredeter"/>
    <w:uiPriority w:val="99"/>
    <w:unhideWhenUsed/>
    <w:rsid w:val="000D5233"/>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B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07B25"/>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8433.page" TargetMode="External"/><Relationship Id="rId13" Type="http://schemas.openxmlformats.org/officeDocument/2006/relationships/image" Target="media/image4.png"/><Relationship Id="rId18" Type="http://schemas.openxmlformats.org/officeDocument/2006/relationships/image" Target="media/image16.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lmoloyadelrio.gob.mx/transparencia/almoloyadelrio/ayuntamiento_92_II-B_220815130227_organigrama-almoloya-del-rio-pdf-2022-1-12-111857.pdf" TargetMode="External"/><Relationship Id="rId23" Type="http://schemas.openxmlformats.org/officeDocument/2006/relationships/image" Target="media/image11.png"/><Relationship Id="rId28" Type="http://schemas.openxmlformats.org/officeDocument/2006/relationships/hyperlink" Target="http://dof.gob.mx/nota_detalle.php?codigo=5492254&amp;fecha=28/07/2017" TargetMode="External"/><Relationship Id="rId10" Type="http://schemas.openxmlformats.org/officeDocument/2006/relationships/hyperlink" Target="https://saimex.org.mx/saimex/solicitud/downloadAttach/1428434.page"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6VAv1DcIpJP8ZlCbf1sLLTEobQ==">AMUW2mUMgXg4eCxRJLClZAAl1uhNLLmEv+Vfian7Qbv8Z1ga5pQr2p8GNtkuwnMvgGcHK24VPp8D0CrLjkZ2oBSeRGxiM4ulVkezH9x6ZYh94kHyMBEz4X/2T9VQzI1NadoYV/2TNXWwPD0GULVSSZVE+VvBwdQyuse4ZHGqoKA23tU5RWgJnQgyGje9KPTOuUWlIit9VWbY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17824</Words>
  <Characters>98037</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dcterms:created xsi:type="dcterms:W3CDTF">2022-10-05T03:25:00Z</dcterms:created>
  <dcterms:modified xsi:type="dcterms:W3CDTF">2022-10-05T03:25:00Z</dcterms:modified>
</cp:coreProperties>
</file>