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491" w:rsidRDefault="00417491">
      <w:pPr>
        <w:widowControl w:val="0"/>
        <w:pBdr>
          <w:top w:val="nil"/>
          <w:left w:val="nil"/>
          <w:bottom w:val="nil"/>
          <w:right w:val="nil"/>
          <w:between w:val="nil"/>
        </w:pBdr>
        <w:spacing w:line="276" w:lineRule="auto"/>
      </w:pP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veintisiete de abril del dos mil veintidós.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00799/INFOEM/IP/RR/2022;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824C87">
        <w:rPr>
          <w:rFonts w:ascii="Palatino Linotype" w:eastAsia="Palatino Linotype" w:hAnsi="Palatino Linotype" w:cs="Palatino Linotype"/>
          <w:b/>
        </w:rPr>
        <w:t>XXXXX XXXXX XXXX</w:t>
      </w:r>
      <w:r>
        <w:rPr>
          <w:rFonts w:ascii="Palatino Linotype" w:eastAsia="Palatino Linotype" w:hAnsi="Palatino Linotype" w:cs="Palatino Linotype"/>
        </w:rPr>
        <w:t xml:space="preserve">, en lo sucesivo se le denominara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hyperlink r:id="rId8">
        <w:r>
          <w:rPr>
            <w:rFonts w:ascii="Palatino Linotype" w:eastAsia="Palatino Linotype" w:hAnsi="Palatino Linotype" w:cs="Palatino Linotype"/>
            <w:b/>
          </w:rPr>
          <w:t>00002/DIFALMOJU/IP/2022</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Sistema Municipal Para el Desarrollo Integral de la Familia de Almoloya de Juárez,</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417491" w:rsidRDefault="00C71941">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417491" w:rsidRDefault="00C7194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treinta y uno de enero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417491" w:rsidRDefault="00C71941">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solicita lo siguiente: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 Reportes del aplicativo “Visor de nómina del SAT” por los años 2018, 2019, 2020, y 2021 en sus tres presentaciones: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Vista anual acumulada.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Detalle mensual.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Detalle diferencias sueldos y salarios.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constancia de situación fiscal de no adeudo emitida por el INFONAVIT, generada desde el portal empresarial de esa Institución, a través de internet.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opinión de no adeudo en el cumplimiento de obligaciones fiscales en materia de seguridad social emitida x el IMSS, generada desde el portal de esa Institución, a través de internet.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 opinión de no adeudo en el cumplimiento de obligaciones fiscales estatales emitida por el SATEM, generada desde el portal de esa Institución, a través de internet.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En la columna A “Mes”.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En la columna B “Año”.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En la columna C “ISR salarios retenido”.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En la columna D “ISR salarios enterado”.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En la columna E “ISR asimilados retenido”.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 En la columna F “ISR asimilados enterado”.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 En la columna G “ISR honorarios y arrendamiento retenido”.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H) En la columna H “ISR honorarios y arrendamiento enterado”.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En la columna I “ISR participable recuperado a valor histórico”.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J) En la columna J “Subsidio para el empleo entregado en el mes al trabajador”.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K) En la columna K “Subsidio para el empleo acreditado en el mes contra las contribuciones que proceda”.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w:t>
      </w:r>
      <w:r>
        <w:rPr>
          <w:rFonts w:ascii="Palatino Linotype" w:eastAsia="Palatino Linotype" w:hAnsi="Palatino Linotype" w:cs="Palatino Linotype"/>
          <w:i/>
          <w:sz w:val="22"/>
          <w:szCs w:val="22"/>
        </w:rPr>
        <w:lastRenderedPageBreak/>
        <w:t xml:space="preserve">descentralizadas, les calcularán el impuesto anual por los años 2017, 2018, 2019, y 2020, con base en los datos precargados en el expediente fiscal del trabajador. Para guardar la confidencialidad, a mi solo me entregarán un papel de trabajo con los siguientes encabezados: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En la columna A “Nombre del trabajador”, pudiendo identificarlos como: trabajador 1, trabajador 2, trabajador 3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En la columna B “Año”.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En la columna C “Saldo a favor de ISR”.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En la columna D “Saldo a cargo en el ISR”.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En la columna E “Diferencia 0 en el ISR”. </w:t>
      </w: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w:t>
      </w:r>
    </w:p>
    <w:p w:rsidR="00417491" w:rsidRDefault="00417491">
      <w:pPr>
        <w:spacing w:after="240" w:line="276" w:lineRule="auto"/>
        <w:ind w:left="851" w:right="900"/>
        <w:jc w:val="both"/>
        <w:rPr>
          <w:rFonts w:ascii="Palatino Linotype" w:eastAsia="Palatino Linotype" w:hAnsi="Palatino Linotype" w:cs="Palatino Linotype"/>
          <w:i/>
          <w:sz w:val="22"/>
          <w:szCs w:val="22"/>
        </w:rPr>
      </w:pPr>
    </w:p>
    <w:p w:rsidR="00417491" w:rsidRDefault="00C71941">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 correo electrónico, Cualquier otro medio incluido los electrónicos (USB, SD, Disco)</w:t>
      </w:r>
    </w:p>
    <w:p w:rsidR="00417491" w:rsidRDefault="00417491">
      <w:pPr>
        <w:spacing w:line="360" w:lineRule="auto"/>
        <w:ind w:right="49"/>
        <w:jc w:val="both"/>
        <w:rPr>
          <w:rFonts w:ascii="Palatino Linotype" w:eastAsia="Palatino Linotype" w:hAnsi="Palatino Linotype" w:cs="Palatino Linotype"/>
        </w:rPr>
      </w:pPr>
    </w:p>
    <w:p w:rsidR="00417491" w:rsidRDefault="00C7194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No pasa desapercibido que el ahora Recurrente en el apartado de “Cualquier detalle que facilite la búsqueda de la información”, preciso lo siguiente:</w:t>
      </w:r>
    </w:p>
    <w:p w:rsidR="00417491" w:rsidRDefault="00417491">
      <w:pPr>
        <w:spacing w:line="360" w:lineRule="auto"/>
        <w:ind w:right="49"/>
        <w:jc w:val="both"/>
        <w:rPr>
          <w:rFonts w:ascii="Palatino Linotype" w:eastAsia="Palatino Linotype" w:hAnsi="Palatino Linotype" w:cs="Palatino Linotype"/>
        </w:rPr>
      </w:pPr>
    </w:p>
    <w:p w:rsidR="00417491" w:rsidRDefault="00C7194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su tesorero(a) del ayuntamiento, con sus asesores financieros, con sus contadores de las descentralizadas del ayuntamiento, con su titular de recursos humanos y con su nominista del ayuntamiento y/o descentralizadas” (Sic)</w:t>
      </w:r>
    </w:p>
    <w:p w:rsidR="00417491" w:rsidRDefault="00417491">
      <w:pPr>
        <w:spacing w:line="360" w:lineRule="auto"/>
        <w:ind w:right="49"/>
        <w:jc w:val="both"/>
        <w:rPr>
          <w:rFonts w:ascii="Palatino Linotype" w:eastAsia="Palatino Linotype" w:hAnsi="Palatino Linotype" w:cs="Palatino Linotype"/>
        </w:rPr>
      </w:pPr>
    </w:p>
    <w:p w:rsidR="00417491" w:rsidRDefault="00C7194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once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417491" w:rsidRDefault="00C71941">
      <w:pPr>
        <w:spacing w:before="240"/>
        <w:ind w:left="709" w:right="616"/>
        <w:jc w:val="both"/>
        <w:rPr>
          <w:rFonts w:ascii="Verdana" w:eastAsia="Verdana" w:hAnsi="Verdana" w:cs="Verdana"/>
          <w:color w:val="000000"/>
          <w:sz w:val="18"/>
          <w:szCs w:val="18"/>
        </w:rPr>
      </w:pPr>
      <w:r>
        <w:rPr>
          <w:rFonts w:ascii="Palatino Linotype" w:eastAsia="Palatino Linotype" w:hAnsi="Palatino Linotype" w:cs="Palatino Linotype"/>
          <w:i/>
          <w:sz w:val="22"/>
          <w:szCs w:val="22"/>
        </w:rPr>
        <w:t xml:space="preserve">“Estimado solicitante: En atención a su solicitud marcada con el número de folio 00002/DIFALMOJU/IP/2022, y con fundamento en lo establecido en el Artículo 12 </w:t>
      </w:r>
      <w:r>
        <w:rPr>
          <w:rFonts w:ascii="Palatino Linotype" w:eastAsia="Palatino Linotype" w:hAnsi="Palatino Linotype" w:cs="Palatino Linotype"/>
          <w:i/>
          <w:sz w:val="22"/>
          <w:szCs w:val="22"/>
        </w:rPr>
        <w:lastRenderedPageBreak/>
        <w:t>de la Ley de Transparencia y Acceso a la Información Pública del Estado de México y Municipios, adjunto al presente, se proporciona la información pública que obra en los archivos de este Organismo y en el estado en que ésta se encuentra, misma que se describe a continuación: I.- Reportes del aplicativo “Visor de nómina de SAT “Años 2018, 2019, 2020, y 2021. a) Vista anual acumulada b) Detalle mensual C) Detalle diferencias sueldo y salarios II.- Constancia de Situación Fiscal de no adeudo emitida por el INFONAVIT (No aplica) III.- Opinión de no adeudo emitida por el IMSS (No aplica) IV.- Opinión de no adeudo emitida por el SATEM (No aplica) V.- Papel de trabajo de tres muestras de trabajadores por los años 2017, 2018, 2019 y 2020</w:t>
      </w:r>
      <w:r>
        <w:rPr>
          <w:rFonts w:ascii="Verdana" w:eastAsia="Verdana" w:hAnsi="Verdana" w:cs="Verdana"/>
          <w:color w:val="000000"/>
          <w:sz w:val="18"/>
          <w:szCs w:val="18"/>
        </w:rPr>
        <w:t>.</w:t>
      </w:r>
    </w:p>
    <w:p w:rsidR="00417491" w:rsidRDefault="00C71941">
      <w:pPr>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417491" w:rsidRDefault="00C71941">
      <w:pPr>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L.D GUADALUPE QUEZADA VIDAL” (Sic)</w:t>
      </w:r>
    </w:p>
    <w:p w:rsidR="00417491" w:rsidRDefault="00417491">
      <w:pPr>
        <w:ind w:left="851" w:right="900"/>
        <w:jc w:val="both"/>
        <w:rPr>
          <w:rFonts w:ascii="Palatino Linotype" w:eastAsia="Palatino Linotype" w:hAnsi="Palatino Linotype" w:cs="Palatino Linotype"/>
          <w:i/>
          <w:sz w:val="22"/>
          <w:szCs w:val="22"/>
        </w:rPr>
      </w:pPr>
    </w:p>
    <w:p w:rsidR="00417491" w:rsidRDefault="00C7194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Sujeto Obligado adjuntó a su respuesta el archivo electrónico siguiente:</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hyperlink r:id="rId9">
        <w:r>
          <w:rPr>
            <w:rFonts w:ascii="Palatino Linotype" w:eastAsia="Palatino Linotype" w:hAnsi="Palatino Linotype" w:cs="Palatino Linotype"/>
          </w:rPr>
          <w:t>RESPUESTA_SAIMEX_FOLIO_00002_DIF_ALMOJU.pdf</w:t>
        </w:r>
      </w:hyperlink>
      <w:r>
        <w:rPr>
          <w:rFonts w:ascii="Palatino Linotype" w:eastAsia="Palatino Linotype" w:hAnsi="Palatino Linotype" w:cs="Palatino Linotype"/>
        </w:rPr>
        <w:t>”,  el cual contiene 22 fojas que se integran con la siguiente información:</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tres primeras fojas, contienen lo relativo a la información de pagos y retenciones por sueldos y salarios realizados a los trabajadores del </w:t>
      </w:r>
      <w:r>
        <w:rPr>
          <w:rFonts w:ascii="Palatino Linotype" w:eastAsia="Palatino Linotype" w:hAnsi="Palatino Linotype" w:cs="Palatino Linotype"/>
          <w:b/>
        </w:rPr>
        <w:t>SUJETO OBLIGADO</w:t>
      </w:r>
      <w:r>
        <w:rPr>
          <w:rFonts w:ascii="Palatino Linotype" w:eastAsia="Palatino Linotype" w:hAnsi="Palatino Linotype" w:cs="Palatino Linotype"/>
        </w:rPr>
        <w:t>, vista anual acumulada de los ejercicios 2019, 2020 y 2021.</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 consulta del acumulado anual total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del ejercicio 2018. (foja 4)</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 listado de información de pagos y retenciones por sueldos y salarios realizados a tus trabajadores detalle mensual, de la Secretaría de Hacienda y Crédito Pública del Gobierno Federal y de Servicio de Atribución Tributaria al Sistema Municipal Para el Desarrollo Integral de la Familia de Almoloya de Juárez, del ejercicio 2021 y en donde se advierten diversos conceptos. (Tres fojas)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-Un listado de información de pagos y retenciones por sueldos y salarios realizados a tus trabajadores detalle mensual, de la Secretaría de Hacienda y Crédito Pública del Gobierno Federal y de Servicio de Atribución Tributaria al Sistema Municipal Para el Desarrollo Integral de la Familia de Almoloya de Juárez, del ejercicio 2020 y en donde se advierten diversos conceptos. (Cuatro fojas)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 listado de información de pagos y retenciones por sueldos y salarios realizados a tus trabajadores detalle mensual, de la Secretaría de Hacienda y Crédito Pública del Gobierno Federal y de Servicio de Atribución Tributaria al Sistema Municipal Para el Desarrollo Integral de la Familia de Almoloya de Juárez, del ejercicio 2019 y en donde se advierten diversos conceptos. (Tres fojas)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 listado de información de pagos y retenciones por sueldos y salarios realizados a tus trabajadores detalle mensual, de la Secretaría de Hacienda y Crédito Pública del Gobierno Federal y de Servicio de Atribución Tributaria al Sistema Municipal Para el Desarrollo Integral de la Familia de Almoloya de Juárez, del ejercicio 2018 y en donde se advierten diversos conceptos. (Tres fojas)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-Información de pagos y retenciones por sueldos y salarios realizados a tus trabajadores detalle anual, de la Secretaría de Hacienda y Crédito Pública del Gobierno Federal y de Servicio de Atribución Tributaria al Sistema Municipal Para el Desarrollo Integral de la Familia de Almoloya de Juárez, del ejercicio 2021 y en donde se advierten diversos conceptos. (Una foja)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-Información de pagos y retenciones por sueldos y salarios realizados a tus trabajadores detalle anual, de la Secretaría de Hacienda y Crédito Pública del </w:t>
      </w:r>
      <w:r>
        <w:rPr>
          <w:rFonts w:ascii="Palatino Linotype" w:eastAsia="Palatino Linotype" w:hAnsi="Palatino Linotype" w:cs="Palatino Linotype"/>
        </w:rPr>
        <w:lastRenderedPageBreak/>
        <w:t>Gobierno Federal y de Servicio de Atribución Tributaria al Sistema Municipal Para el Desarrollo Integral de la Familia de Almoloya de Juárez, del ejercicio 2020 y en donde se advierten diversos conceptos. (Una foja)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-Información de pagos y retenciones por sueldos y salarios realizados a tus trabajadores detalle anual, de la Secretaría de Hacienda y Crédito Pública del Gobierno Federal y de Servicio de Atribución Tributaria al Sistema Municipal Para el Desarrollo Integral de la Familia de Almoloya de Juárez, del ejercicio 2019 y en donde se advierten diversos conceptos. (Una foja)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-Información de pagos y retenciones por sueldos y salarios realizados a tus trabajadores detalle anual, de la Secretaría de Hacienda y Crédito Pública del Gobierno Federal y de Servicio de Atribución Tributaria al Sistema Municipal Para el Desarrollo Integral de la Familia de Almoloya de Juárez, del ejercicio 2018 y en donde se advierten diversos conceptos. (Una foja)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tabla del </w:t>
      </w:r>
      <w:r>
        <w:rPr>
          <w:rFonts w:ascii="Palatino Linotype" w:eastAsia="Palatino Linotype" w:hAnsi="Palatino Linotype" w:cs="Palatino Linotype"/>
          <w:b/>
        </w:rPr>
        <w:t>SUJETO OBLIGADO</w:t>
      </w:r>
      <w:r>
        <w:rPr>
          <w:rFonts w:ascii="Palatino Linotype" w:eastAsia="Palatino Linotype" w:hAnsi="Palatino Linotype" w:cs="Palatino Linotype"/>
        </w:rPr>
        <w:t>, en donde se informa de los trabajadores el saldo a cargo en el ISR, de los años 2017, 2018, 2019 y 2020.</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catorce de febrero del dos mil veintidós, a través del cual expresó lo siguiente:</w:t>
      </w:r>
    </w:p>
    <w:p w:rsidR="00417491" w:rsidRDefault="00C71941">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417491" w:rsidRDefault="00C71941">
      <w:pPr>
        <w:spacing w:before="240"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“Su respuesta oficio oficio:RESPUESTA_SAIMEX_FOLIO_00002_DIF_ALMOJU” (Sic)</w:t>
      </w:r>
    </w:p>
    <w:p w:rsidR="00417491" w:rsidRDefault="00C7194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417491" w:rsidRDefault="00C71941">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“Por medio de la presente hoy 12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Almoloya de Juárez, ya que su respuesta; oficio:RESPUESTA_SAIMEX_FOLIO_00002_DIF_ALMOJU a mi petición de información recae en los supuestos establecidos por las fracciones II y 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todo lo solicitado, porque pareciera no entendió del todo lo requerido, ya que los reportes visores de nómina solo puede generarlos el Ente Público Obligado desde su portal del SAT; se reitera es información fácil que ya tiene el Ente Obligado en su portal del SAT, repito directamente en su portal del SAT ya que son simples REPORTES reitero REPORTES que ya hizo y entregó el Sistema Municipal Para el Desarrollo Integral de la Familia de Almoloya de Juárez,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w:t>
      </w:r>
      <w:r>
        <w:rPr>
          <w:rFonts w:ascii="Palatino Linotype" w:eastAsia="Palatino Linotype" w:hAnsi="Palatino Linotype" w:cs="Palatino Linotype"/>
          <w:i/>
          <w:color w:val="000000"/>
        </w:rPr>
        <w:lastRenderedPageBreak/>
        <w:t>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que diga en una respuesta que no aplica si esto es así, sino de favor generar las contancias y opiniones de cumplimiento de los entes fiscalizadores hacia el Sistema Municipal Para el Desarrollo Integral de la Familia de Almoloya de Juárez que también se generan en dos minutos sin ningún problema pero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 eficientar y mejor su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w:t>
      </w:r>
      <w:bookmarkStart w:id="0" w:name="_GoBack"/>
      <w:bookmarkEnd w:id="0"/>
      <w:r>
        <w:rPr>
          <w:rFonts w:ascii="Palatino Linotype" w:eastAsia="Palatino Linotype" w:hAnsi="Palatino Linotype" w:cs="Palatino Linotype"/>
          <w:i/>
          <w:color w:val="000000"/>
        </w:rPr>
        <w:t xml:space="preserve">iales. Gracias. Atte. </w:t>
      </w:r>
      <w:r w:rsidR="00824C87">
        <w:rPr>
          <w:rFonts w:ascii="Palatino Linotype" w:eastAsia="Palatino Linotype" w:hAnsi="Palatino Linotype" w:cs="Palatino Linotype"/>
          <w:i/>
          <w:color w:val="000000"/>
        </w:rPr>
        <w:t>XXXXX XXXX</w:t>
      </w:r>
      <w:r>
        <w:rPr>
          <w:rFonts w:ascii="Palatino Linotype" w:eastAsia="Palatino Linotype" w:hAnsi="Palatino Linotype" w:cs="Palatino Linotype"/>
          <w:i/>
          <w:color w:val="000000"/>
        </w:rPr>
        <w:t>” (Sic)</w:t>
      </w:r>
    </w:p>
    <w:p w:rsidR="00417491" w:rsidRDefault="00417491">
      <w:pPr>
        <w:ind w:left="851" w:right="902"/>
        <w:jc w:val="both"/>
        <w:rPr>
          <w:rFonts w:ascii="Palatino Linotype" w:eastAsia="Palatino Linotype" w:hAnsi="Palatino Linotype" w:cs="Palatino Linotype"/>
          <w:i/>
          <w:color w:val="000000"/>
        </w:rPr>
      </w:pPr>
    </w:p>
    <w:p w:rsidR="00417491" w:rsidRDefault="00C7194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adjuntó los archivos: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lastRenderedPageBreak/>
        <w:t xml:space="preserve">- “G-13-03-01-2019-01 ejemplo vista anual acumulado o global.pdf”, </w:t>
      </w:r>
      <w:r>
        <w:rPr>
          <w:rFonts w:ascii="Palatino Linotype" w:eastAsia="Palatino Linotype" w:hAnsi="Palatino Linotype" w:cs="Palatino Linotype"/>
        </w:rPr>
        <w:t>que contiene lo siguiente:</w:t>
      </w:r>
    </w:p>
    <w:tbl>
      <w:tblPr>
        <w:tblStyle w:val="a2"/>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417491">
        <w:tc>
          <w:tcPr>
            <w:tcW w:w="4419" w:type="dxa"/>
          </w:tcPr>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noProof/>
                <w:lang w:val="es-MX" w:eastAsia="es-MX"/>
              </w:rPr>
              <w:drawing>
                <wp:inline distT="0" distB="0" distL="0" distR="0">
                  <wp:extent cx="2700000" cy="1235204"/>
                  <wp:effectExtent l="0" t="0" r="0"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700000" cy="1235204"/>
                          </a:xfrm>
                          <a:prstGeom prst="rect">
                            <a:avLst/>
                          </a:prstGeom>
                          <a:ln/>
                        </pic:spPr>
                      </pic:pic>
                    </a:graphicData>
                  </a:graphic>
                </wp:inline>
              </w:drawing>
            </w:r>
          </w:p>
        </w:tc>
        <w:tc>
          <w:tcPr>
            <w:tcW w:w="4419" w:type="dxa"/>
          </w:tcPr>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noProof/>
                <w:lang w:val="es-MX" w:eastAsia="es-MX"/>
              </w:rPr>
              <w:drawing>
                <wp:inline distT="0" distB="0" distL="0" distR="0">
                  <wp:extent cx="2700000" cy="1410021"/>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55869"/>
                          <a:stretch>
                            <a:fillRect/>
                          </a:stretch>
                        </pic:blipFill>
                        <pic:spPr>
                          <a:xfrm>
                            <a:off x="0" y="0"/>
                            <a:ext cx="2700000" cy="1410021"/>
                          </a:xfrm>
                          <a:prstGeom prst="rect">
                            <a:avLst/>
                          </a:prstGeom>
                          <a:ln/>
                        </pic:spPr>
                      </pic:pic>
                    </a:graphicData>
                  </a:graphic>
                </wp:inline>
              </w:drawing>
            </w:r>
          </w:p>
        </w:tc>
      </w:tr>
    </w:tbl>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 xml:space="preserve">- “G-13-01-02-2019-01 ejemplo detalle diferencias sueldos y salarios, diferencias mensuales.pdf”, </w:t>
      </w:r>
      <w:r>
        <w:rPr>
          <w:rFonts w:ascii="Palatino Linotype" w:eastAsia="Palatino Linotype" w:hAnsi="Palatino Linotype" w:cs="Palatino Linotype"/>
        </w:rPr>
        <w:t>que contiene lo siguiente:</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546870" cy="1658661"/>
            <wp:effectExtent l="0" t="0" r="0" b="0"/>
            <wp:docPr id="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546870" cy="1658661"/>
                    </a:xfrm>
                    <a:prstGeom prst="rect">
                      <a:avLst/>
                    </a:prstGeom>
                    <a:ln/>
                  </pic:spPr>
                </pic:pic>
              </a:graphicData>
            </a:graphic>
          </wp:inline>
        </w:drawing>
      </w:r>
    </w:p>
    <w:tbl>
      <w:tblPr>
        <w:tblStyle w:val="a3"/>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20"/>
        <w:gridCol w:w="4418"/>
      </w:tblGrid>
      <w:tr w:rsidR="00417491">
        <w:tc>
          <w:tcPr>
            <w:tcW w:w="4420" w:type="dxa"/>
          </w:tcPr>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2700003" cy="1543403"/>
                  <wp:effectExtent l="0" t="0" r="0" b="0"/>
                  <wp:docPr id="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2700003" cy="1543403"/>
                          </a:xfrm>
                          <a:prstGeom prst="rect">
                            <a:avLst/>
                          </a:prstGeom>
                          <a:ln/>
                        </pic:spPr>
                      </pic:pic>
                    </a:graphicData>
                  </a:graphic>
                </wp:inline>
              </w:drawing>
            </w:r>
          </w:p>
        </w:tc>
        <w:tc>
          <w:tcPr>
            <w:tcW w:w="4418" w:type="dxa"/>
          </w:tcPr>
          <w:p w:rsidR="00417491" w:rsidRDefault="00C71941">
            <w:pPr>
              <w:spacing w:before="240" w:after="240" w:line="360" w:lineRule="auto"/>
              <w:jc w:val="both"/>
              <w:rPr>
                <w:rFonts w:ascii="Palatino Linotype" w:eastAsia="Palatino Linotype" w:hAnsi="Palatino Linotype" w:cs="Palatino Linotype"/>
              </w:rPr>
            </w:pPr>
            <w:r>
              <w:object w:dxaOrig="4310" w:dyaOrig="2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20.75pt" o:ole="">
                  <v:imagedata r:id="rId14" o:title=""/>
                </v:shape>
                <o:OLEObject Type="Embed" ProgID="Paint.Picture" ShapeID="_x0000_i1025" DrawAspect="Content" ObjectID="_1713191573" r:id="rId15"/>
              </w:object>
            </w:r>
          </w:p>
        </w:tc>
      </w:tr>
    </w:tbl>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 “G-35-03-03-2018-01 ejemplo presentación detalle mensual.pdf”,</w:t>
      </w:r>
      <w:r>
        <w:rPr>
          <w:rFonts w:ascii="Palatino Linotype" w:eastAsia="Palatino Linotype" w:hAnsi="Palatino Linotype" w:cs="Palatino Linotype"/>
        </w:rPr>
        <w:t xml:space="preserve"> que contiene lo siguiente:</w:t>
      </w:r>
    </w:p>
    <w:tbl>
      <w:tblPr>
        <w:tblStyle w:val="a4"/>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417491">
        <w:tc>
          <w:tcPr>
            <w:tcW w:w="4419" w:type="dxa"/>
          </w:tcPr>
          <w:p w:rsidR="00417491" w:rsidRDefault="00C71941">
            <w:pPr>
              <w:spacing w:before="240" w:after="240" w:line="360" w:lineRule="auto"/>
              <w:jc w:val="both"/>
            </w:pPr>
            <w:r>
              <w:rPr>
                <w:noProof/>
                <w:lang w:val="es-MX" w:eastAsia="es-MX"/>
              </w:rPr>
              <w:drawing>
                <wp:inline distT="0" distB="0" distL="0" distR="0">
                  <wp:extent cx="2700000" cy="1714431"/>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700000" cy="1714431"/>
                          </a:xfrm>
                          <a:prstGeom prst="rect">
                            <a:avLst/>
                          </a:prstGeom>
                          <a:ln/>
                        </pic:spPr>
                      </pic:pic>
                    </a:graphicData>
                  </a:graphic>
                </wp:inline>
              </w:drawing>
            </w:r>
          </w:p>
        </w:tc>
        <w:tc>
          <w:tcPr>
            <w:tcW w:w="4419" w:type="dxa"/>
          </w:tcPr>
          <w:p w:rsidR="00417491" w:rsidRDefault="00C71941">
            <w:pPr>
              <w:spacing w:before="240" w:after="240" w:line="360" w:lineRule="auto"/>
              <w:jc w:val="both"/>
            </w:pPr>
            <w:r>
              <w:rPr>
                <w:noProof/>
                <w:lang w:val="es-MX" w:eastAsia="es-MX"/>
              </w:rPr>
              <w:drawing>
                <wp:inline distT="0" distB="0" distL="0" distR="0">
                  <wp:extent cx="2700000" cy="1714431"/>
                  <wp:effectExtent l="0" t="0" r="0" b="0"/>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700000" cy="1714431"/>
                          </a:xfrm>
                          <a:prstGeom prst="rect">
                            <a:avLst/>
                          </a:prstGeom>
                          <a:ln/>
                        </pic:spPr>
                      </pic:pic>
                    </a:graphicData>
                  </a:graphic>
                </wp:inline>
              </w:drawing>
            </w:r>
          </w:p>
        </w:tc>
      </w:tr>
    </w:tbl>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número </w:t>
      </w:r>
      <w:r>
        <w:rPr>
          <w:rFonts w:ascii="Palatino Linotype" w:eastAsia="Palatino Linotype" w:hAnsi="Palatino Linotype" w:cs="Palatino Linotype"/>
          <w:b/>
        </w:rPr>
        <w:t xml:space="preserve">00799/INFOEM/IP/RR/2022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rPr>
        <w:lastRenderedPageBreak/>
        <w:t xml:space="preserve">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417491" w:rsidRDefault="00C719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diecisiete de febrero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417491" w:rsidRDefault="00C71941">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De las constancias que integran el expediente en que se actúa se advierte que el recurrente fue omiso en ofrecer pruebas o expresar alegatos; en términos del artículo 185 fracciones II de la ley que nos ocupa. Por su parte, el Sujeto Obligado de igual forma, fue omiso en presentar el Informe Justificado correspondiente.</w:t>
      </w:r>
    </w:p>
    <w:p w:rsidR="00417491" w:rsidRDefault="00C71941">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noProof/>
          <w:color w:val="000000"/>
          <w:sz w:val="22"/>
          <w:szCs w:val="22"/>
          <w:lang w:val="es-MX" w:eastAsia="es-MX"/>
        </w:rPr>
        <w:drawing>
          <wp:inline distT="0" distB="0" distL="0" distR="0">
            <wp:extent cx="5457220" cy="1328589"/>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18945" t="36116" r="19786" b="31890"/>
                    <a:stretch>
                      <a:fillRect/>
                    </a:stretch>
                  </pic:blipFill>
                  <pic:spPr>
                    <a:xfrm>
                      <a:off x="0" y="0"/>
                      <a:ext cx="5457220" cy="1328589"/>
                    </a:xfrm>
                    <a:prstGeom prst="rect">
                      <a:avLst/>
                    </a:prstGeom>
                    <a:ln/>
                  </pic:spPr>
                </pic:pic>
              </a:graphicData>
            </a:graphic>
          </wp:inline>
        </w:drawing>
      </w:r>
    </w:p>
    <w:p w:rsidR="00417491" w:rsidRDefault="00C7194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En fecha siete de abril del año dos mil veintidós, la Comisionada ponente determinó el cierre de instrucción en términos de la fracción VI del artículo 185 de la Ley de Transparencia y Acceso a la Información Pública del Estado de México y Municipios.</w:t>
      </w:r>
    </w:p>
    <w:p w:rsidR="00417491" w:rsidRDefault="00C71941">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veinte de abril del año dos mil veintidós, con </w:t>
      </w:r>
      <w:r>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se acordó la ampliación del plazo para su resolución.</w:t>
      </w:r>
    </w:p>
    <w:p w:rsidR="00417491" w:rsidRDefault="00C71941">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417491" w:rsidRDefault="00C71941">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w:t>
      </w:r>
      <w:r>
        <w:rPr>
          <w:rFonts w:ascii="Palatino Linotype" w:eastAsia="Palatino Linotype" w:hAnsi="Palatino Linotype" w:cs="Palatino Linotype"/>
        </w:rPr>
        <w:lastRenderedPageBreak/>
        <w:t xml:space="preserve">solicitante en fecha once de febrero del año dos mil veintidós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el catorce de febrero del mismo año; esto es al primer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417491" w:rsidRDefault="00C7194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 los formatos de interposición del recurso, se concluye en la acreditación plena de todos y cada uno de los elementos formales exigidos por el artículo 180 de la Ley de Transparencia y Acceso a la Información Pública del Estado de México y Municipios, toda vez que fueron ingresados a través del SAIMEX.</w:t>
      </w:r>
    </w:p>
    <w:p w:rsidR="00417491" w:rsidRDefault="00C71941">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p>
    <w:p w:rsidR="00417491" w:rsidRDefault="00C7194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417491" w:rsidRDefault="00C7194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417491" w:rsidRDefault="00C7194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 (Sic)</w:t>
      </w:r>
    </w:p>
    <w:p w:rsidR="00417491" w:rsidRDefault="00C7194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w:t>
      </w:r>
      <w:r>
        <w:rPr>
          <w:rFonts w:ascii="Palatino Linotype" w:eastAsia="Palatino Linotype" w:hAnsi="Palatino Linotype" w:cs="Palatino Linotype"/>
          <w:b/>
        </w:rPr>
        <w:lastRenderedPageBreak/>
        <w:t xml:space="preserve">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417491" w:rsidRDefault="00C71941">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Cuarto. Estudio de fondo del asunto. </w:t>
      </w:r>
      <w:r>
        <w:rPr>
          <w:rFonts w:ascii="Palatino Linotype" w:eastAsia="Palatino Linotype" w:hAnsi="Palatino Linotype" w:cs="Palatino Linotype"/>
          <w:color w:val="000000"/>
        </w:rPr>
        <w:t>Del análisis de la solicitud de información pública que motivó el recurso de revisión que ahora se resuelve, se advierte que el particular requirió al Sistema Municipal Para el Desarrollo Integral de la Familia de Almoloya de Juárez; lo siguiente:</w:t>
      </w:r>
    </w:p>
    <w:p w:rsidR="00417491" w:rsidRDefault="00C71941">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Reportes del aplicativo “Visor de nómina del SAT” por los años 2018, 2019, 2020, y 2021 en sus tres presentaciones: </w:t>
      </w:r>
    </w:p>
    <w:p w:rsidR="00417491" w:rsidRDefault="00C71941">
      <w:pPr>
        <w:numPr>
          <w:ilvl w:val="1"/>
          <w:numId w:val="3"/>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Vista anual acumulada. </w:t>
      </w:r>
    </w:p>
    <w:p w:rsidR="00417491" w:rsidRDefault="00C71941">
      <w:pPr>
        <w:numPr>
          <w:ilvl w:val="1"/>
          <w:numId w:val="3"/>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Detalle mensual. </w:t>
      </w:r>
    </w:p>
    <w:p w:rsidR="00417491" w:rsidRDefault="00C71941">
      <w:pPr>
        <w:numPr>
          <w:ilvl w:val="1"/>
          <w:numId w:val="3"/>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Detalle diferencias sueldos y salarios. </w:t>
      </w:r>
    </w:p>
    <w:p w:rsidR="00417491" w:rsidRDefault="00417491">
      <w:pPr>
        <w:pBdr>
          <w:top w:val="nil"/>
          <w:left w:val="nil"/>
          <w:bottom w:val="nil"/>
          <w:right w:val="nil"/>
          <w:between w:val="nil"/>
        </w:pBdr>
        <w:spacing w:line="276" w:lineRule="auto"/>
        <w:ind w:left="1080"/>
        <w:jc w:val="both"/>
        <w:rPr>
          <w:rFonts w:ascii="Palatino Linotype" w:eastAsia="Palatino Linotype" w:hAnsi="Palatino Linotype" w:cs="Palatino Linotype"/>
          <w:color w:val="000000"/>
        </w:rPr>
      </w:pPr>
    </w:p>
    <w:p w:rsidR="00417491" w:rsidRDefault="00C71941">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constancia de situación fiscal de no adeudo emitida por el INFONAVIT, generada desde el portal empresarial de esa Institución, a través de internet. </w:t>
      </w:r>
    </w:p>
    <w:p w:rsidR="00417491" w:rsidRDefault="00417491">
      <w:pPr>
        <w:pBdr>
          <w:top w:val="nil"/>
          <w:left w:val="nil"/>
          <w:bottom w:val="nil"/>
          <w:right w:val="nil"/>
          <w:between w:val="nil"/>
        </w:pBdr>
        <w:spacing w:line="276" w:lineRule="auto"/>
        <w:ind w:left="360"/>
        <w:jc w:val="both"/>
        <w:rPr>
          <w:rFonts w:ascii="Palatino Linotype" w:eastAsia="Palatino Linotype" w:hAnsi="Palatino Linotype" w:cs="Palatino Linotype"/>
          <w:color w:val="000000"/>
        </w:rPr>
      </w:pPr>
    </w:p>
    <w:p w:rsidR="00417491" w:rsidRDefault="00C71941">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opinión de no adeudo en el cumplimiento de obligaciones fiscales en materia de seguridad social emitida por el IMSS, generada desde el portal de esa Institución, a través de internet. </w:t>
      </w:r>
    </w:p>
    <w:p w:rsidR="00417491" w:rsidRDefault="00417491">
      <w:pPr>
        <w:pBdr>
          <w:top w:val="nil"/>
          <w:left w:val="nil"/>
          <w:bottom w:val="nil"/>
          <w:right w:val="nil"/>
          <w:between w:val="nil"/>
        </w:pBdr>
        <w:ind w:left="708"/>
        <w:rPr>
          <w:rFonts w:ascii="Palatino Linotype" w:eastAsia="Palatino Linotype" w:hAnsi="Palatino Linotype" w:cs="Palatino Linotype"/>
          <w:color w:val="000000"/>
        </w:rPr>
      </w:pPr>
    </w:p>
    <w:p w:rsidR="00417491" w:rsidRDefault="00C71941">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opinión de no adeudo en el cumplimiento de obligaciones fiscales estatales emitida por el SATEM, generada desde el portal de esa Institución, a través de internet. </w:t>
      </w:r>
    </w:p>
    <w:p w:rsidR="00417491" w:rsidRDefault="00417491">
      <w:pPr>
        <w:pBdr>
          <w:top w:val="nil"/>
          <w:left w:val="nil"/>
          <w:bottom w:val="nil"/>
          <w:right w:val="nil"/>
          <w:between w:val="nil"/>
        </w:pBdr>
        <w:spacing w:line="276" w:lineRule="auto"/>
        <w:ind w:left="360"/>
        <w:jc w:val="both"/>
        <w:rPr>
          <w:rFonts w:ascii="Palatino Linotype" w:eastAsia="Palatino Linotype" w:hAnsi="Palatino Linotype" w:cs="Palatino Linotype"/>
          <w:color w:val="000000"/>
        </w:rPr>
      </w:pPr>
    </w:p>
    <w:p w:rsidR="00417491" w:rsidRDefault="00C71941">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 papel de trabajo por el municipio, y otro por cada una de las paramunicipales que contenga los datos para identificar el ISR participable recuperado por cada mes desde Enero de 2019 hasta Octubre de 2021. Propongo un papel de trabajo </w:t>
      </w:r>
      <w:r>
        <w:rPr>
          <w:rFonts w:ascii="Palatino Linotype" w:eastAsia="Palatino Linotype" w:hAnsi="Palatino Linotype" w:cs="Palatino Linotype"/>
          <w:color w:val="000000"/>
        </w:rPr>
        <w:lastRenderedPageBreak/>
        <w:t xml:space="preserve">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rsidR="00417491" w:rsidRDefault="00417491">
      <w:pPr>
        <w:pBdr>
          <w:top w:val="nil"/>
          <w:left w:val="nil"/>
          <w:bottom w:val="nil"/>
          <w:right w:val="nil"/>
          <w:between w:val="nil"/>
        </w:pBdr>
        <w:spacing w:line="276" w:lineRule="auto"/>
        <w:ind w:left="360"/>
        <w:jc w:val="both"/>
        <w:rPr>
          <w:rFonts w:ascii="Palatino Linotype" w:eastAsia="Palatino Linotype" w:hAnsi="Palatino Linotype" w:cs="Palatino Linotype"/>
          <w:color w:val="000000"/>
        </w:rPr>
      </w:pPr>
    </w:p>
    <w:p w:rsidR="00417491" w:rsidRDefault="00C71941">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u w:val="single"/>
        </w:rPr>
        <w:t>Para comprobar que los trabajadores no están siendo afectados por errores en el cálculo de sus impuestos</w:t>
      </w:r>
      <w:r>
        <w:rPr>
          <w:rFonts w:ascii="Palatino Linotype" w:eastAsia="Palatino Linotype" w:hAnsi="Palatino Linotype" w:cs="Palatino Linotype"/>
          <w:color w:val="000000"/>
        </w:rPr>
        <w:t xml:space="preserve"> (No tienen diferencias a cargo, ni diferencias a favor en su declaración anual precargada), propongo que </w:t>
      </w:r>
      <w:r>
        <w:rPr>
          <w:rFonts w:ascii="Palatino Linotype" w:eastAsia="Palatino Linotype" w:hAnsi="Palatino Linotype" w:cs="Palatino Linotype"/>
          <w:color w:val="000000"/>
          <w:u w:val="single"/>
        </w:rPr>
        <w:t>seleccionen al azar 5 muestras del ayuntamiento y tres muestras de cada paramunicipal</w:t>
      </w:r>
      <w:r>
        <w:rPr>
          <w:rFonts w:ascii="Palatino Linotype" w:eastAsia="Palatino Linotype" w:hAnsi="Palatino Linotype" w:cs="Palatino Linotype"/>
          <w:color w:val="000000"/>
        </w:rPr>
        <w:t xml:space="preserve">.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w:t>
      </w:r>
      <w:r>
        <w:rPr>
          <w:rFonts w:ascii="Palatino Linotype" w:eastAsia="Palatino Linotype" w:hAnsi="Palatino Linotype" w:cs="Palatino Linotype"/>
          <w:color w:val="000000"/>
          <w:u w:val="single"/>
        </w:rPr>
        <w:t>a mi solo me entregarán un papel de trabajo con los siguientes encabezados</w:t>
      </w:r>
      <w:r>
        <w:rPr>
          <w:rFonts w:ascii="Palatino Linotype" w:eastAsia="Palatino Linotype" w:hAnsi="Palatino Linotype" w:cs="Palatino Linotype"/>
          <w:color w:val="000000"/>
        </w:rPr>
        <w:t>: A)En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emitió su respuesta a través del archivo electrónico siguiente:</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9">
        <w:r>
          <w:rPr>
            <w:rFonts w:ascii="Palatino Linotype" w:eastAsia="Palatino Linotype" w:hAnsi="Palatino Linotype" w:cs="Palatino Linotype"/>
          </w:rPr>
          <w:t>RESPUESTA_SAIMEX_FOLIO_00002_DIF_ALMOJU.pdf</w:t>
        </w:r>
      </w:hyperlink>
      <w:r>
        <w:rPr>
          <w:rFonts w:ascii="Palatino Linotype" w:eastAsia="Palatino Linotype" w:hAnsi="Palatino Linotype" w:cs="Palatino Linotype"/>
        </w:rPr>
        <w:t>”,  el cual contiene 22 fojas que se integran con la siguiente información:</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tres primeras fojas, contienen lo relativo a la información de pagos y retenciones por sueldos y salarios realizados a los trabajadores del </w:t>
      </w:r>
      <w:r>
        <w:rPr>
          <w:rFonts w:ascii="Palatino Linotype" w:eastAsia="Palatino Linotype" w:hAnsi="Palatino Linotype" w:cs="Palatino Linotype"/>
          <w:b/>
        </w:rPr>
        <w:t>SUJETO OBLIGADO</w:t>
      </w:r>
      <w:r>
        <w:rPr>
          <w:rFonts w:ascii="Palatino Linotype" w:eastAsia="Palatino Linotype" w:hAnsi="Palatino Linotype" w:cs="Palatino Linotype"/>
        </w:rPr>
        <w:t>, vista anual acumulada de los ejercicios 2019, 2020 y 2021</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 consulta del acumulado anual total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del ejercicio 2018. (foja 4)</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 listado de información de pagos y retenciones por sueldos y salarios realizados a tus trabajadores detalle mensual, de la Secretaría de Hacienda y Crédito Pública del Gobierno Federal y de Servicio de Atribución Tributaria al Sistema Municipal Para el Desarrollo Integral de la Familia de Almoloya de Juárez, del ejercicio 2021 y en donde se advierten diversos conceptos. (Tres fojas)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 listado de información de pagos y retenciones por sueldos y salarios realizados a tus trabajadores detalle mensual, de la Secretaría de Hacienda y Crédito Pública del Gobierno Federal y de Servicio de Atribución Tributaria al Sistema Municipal Para el Desarrollo Integral de la Familia de Almoloya de Juárez, del ejercicio 2020 y en donde se advierten diversos conceptos. (Cuatro fojas)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 listado de información de pagos y retenciones por sueldos y salarios realizados a tus trabajadores detalle mensual, de la Secretaría de Hacienda y Crédito Pública </w:t>
      </w:r>
      <w:r>
        <w:rPr>
          <w:rFonts w:ascii="Palatino Linotype" w:eastAsia="Palatino Linotype" w:hAnsi="Palatino Linotype" w:cs="Palatino Linotype"/>
        </w:rPr>
        <w:lastRenderedPageBreak/>
        <w:t>del Gobierno Federal y de Servicio de Atribución Tributaria al Sistema Municipal Para el Desarrollo Integral de la Familia de Almoloya de Juárez, del ejercicio 2019 y en donde se advierten diversos conceptos. (Tres fojas)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 listado de información de pagos y retenciones por sueldos y salarios realizados a tus trabajadores detalle mensual, de la Secretaría de Hacienda y Crédito Pública del Gobierno Federal y de Servicio de Atribución Tributaria al Sistema Municipal Para el Desarrollo Integral de la Familia de Almoloya de Juárez, del ejercicio 2018 y en donde se advierten diversos conceptos. (Tres fojas)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-Información de pagos y retenciones por sueldos y salarios realizados a tus trabajadores detalle anual, de la Secretaría de Hacienda y Crédito Pública del Gobierno Federal y de Servicio de Atribución Tributaria al Sistema Municipal Para el Desarrollo Integral de la Familia de Almoloya de Juárez, del ejercicio 2021 y en donde se advierten diversos conceptos. (Una foja)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-Información de pagos y retenciones por sueldos y salarios realizados a tus trabajadores detalle anual, de la Secretaría de Hacienda y Crédito Pública del Gobierno Federal y de Servicio de Atribución Tributaria al Sistema Municipal Para el Desarrollo Integral de la Familia de Almoloya de Juárez, del ejercicio 2020 y en donde se advierten diversos conceptos. (Una foja)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-Información de pagos y retenciones por sueldos y salarios realizados a tus trabajadores detalle anual, de la Secretaría de Hacienda y Crédito Pública del Gobierno Federal y de Servicio de Atribución Tributaria al Sistema Municipal Para </w:t>
      </w:r>
      <w:r>
        <w:rPr>
          <w:rFonts w:ascii="Palatino Linotype" w:eastAsia="Palatino Linotype" w:hAnsi="Palatino Linotype" w:cs="Palatino Linotype"/>
        </w:rPr>
        <w:lastRenderedPageBreak/>
        <w:t>el Desarrollo Integral de la Familia de Almoloya de Juárez, del ejercicio 2019 y en donde se advierten diversos conceptos. (Una foja)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-Información de pagos y retenciones por sueldos y salarios realizados a tus trabajadores detalle anual, de la Secretaría de Hacienda y Crédito Pública del Gobierno Federal y de Servicio de Atribución Tributaria al Sistema Municipal Para el Desarrollo Integral de la Familia de Almoloya de Juárez, del ejercicio 2018 y en donde se advierten diversos conceptos. (Una foja)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tabla del </w:t>
      </w:r>
      <w:r>
        <w:rPr>
          <w:rFonts w:ascii="Palatino Linotype" w:eastAsia="Palatino Linotype" w:hAnsi="Palatino Linotype" w:cs="Palatino Linotype"/>
          <w:b/>
        </w:rPr>
        <w:t>SUJETO OBLIGADO</w:t>
      </w:r>
      <w:r>
        <w:rPr>
          <w:rFonts w:ascii="Palatino Linotype" w:eastAsia="Palatino Linotype" w:hAnsi="Palatino Linotype" w:cs="Palatino Linotype"/>
        </w:rPr>
        <w:t>, en donde se informa de los trabajadores el saldo a cargo en el ISR, de los años 2017, 2018, 2019 y 2020.</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dicha respuesta el solicitante se inconformó, en lo medular, por lo siguiente</w:t>
      </w:r>
      <w:r>
        <w:rPr>
          <w:rFonts w:ascii="Palatino Linotype" w:eastAsia="Palatino Linotype" w:hAnsi="Palatino Linotype" w:cs="Palatino Linotype"/>
          <w:b/>
        </w:rPr>
        <w:t>.</w:t>
      </w:r>
      <w:r>
        <w:rPr>
          <w:rFonts w:ascii="Palatino Linotype" w:eastAsia="Palatino Linotype" w:hAnsi="Palatino Linotype" w:cs="Palatino Linotype"/>
        </w:rPr>
        <w:t xml:space="preserve"> </w:t>
      </w:r>
    </w:p>
    <w:p w:rsidR="00417491" w:rsidRDefault="00C7194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ya que su respuesta; oficio: RESPUESTA_SAIMEX_FOLIO_00002_DIF_ALMOJU a mi petición de información recae en los supuestos establecidos por las fracciones III, V, X, XI y XII del artículo 179 de la misma Ley de Transparencia y Acceso a la Información Pública del Estado de México y Municipios por lo cual procede en contra…”</w:t>
      </w:r>
    </w:p>
    <w:p w:rsidR="00417491" w:rsidRDefault="00C7194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porque pareciera no entendió que si es de su competencia, ya que </w:t>
      </w:r>
      <w:r>
        <w:rPr>
          <w:rFonts w:ascii="Palatino Linotype" w:eastAsia="Palatino Linotype" w:hAnsi="Palatino Linotype" w:cs="Palatino Linotype"/>
          <w:color w:val="000000"/>
          <w:sz w:val="22"/>
          <w:szCs w:val="22"/>
          <w:u w:val="single"/>
        </w:rPr>
        <w:t>los reportes visores de nómina solo puede generarlos el Ente Público Obligado desde su portal del SAT;</w:t>
      </w:r>
      <w:r>
        <w:rPr>
          <w:rFonts w:ascii="Palatino Linotype" w:eastAsia="Palatino Linotype" w:hAnsi="Palatino Linotype" w:cs="Palatino Linotype"/>
          <w:color w:val="000000"/>
          <w:sz w:val="22"/>
          <w:szCs w:val="22"/>
        </w:rPr>
        <w:t xml:space="preserve"> se reitera es información fácil que ya tiene el Ente Obligado, directamente de su portal del SAT ya que s</w:t>
      </w:r>
      <w:r>
        <w:rPr>
          <w:rFonts w:ascii="Palatino Linotype" w:eastAsia="Palatino Linotype" w:hAnsi="Palatino Linotype" w:cs="Palatino Linotype"/>
          <w:color w:val="000000"/>
          <w:sz w:val="22"/>
          <w:szCs w:val="22"/>
          <w:u w:val="single"/>
        </w:rPr>
        <w:t>on simples REPORTES reitero REPORTES que ya hizo y entregó el</w:t>
      </w:r>
      <w:r>
        <w:rPr>
          <w:rFonts w:ascii="Verdana" w:eastAsia="Verdana" w:hAnsi="Verdana" w:cs="Verdana"/>
          <w:color w:val="000000"/>
          <w:sz w:val="14"/>
          <w:szCs w:val="14"/>
        </w:rPr>
        <w:t xml:space="preserve"> </w:t>
      </w:r>
      <w:r>
        <w:rPr>
          <w:rFonts w:ascii="Palatino Linotype" w:eastAsia="Palatino Linotype" w:hAnsi="Palatino Linotype" w:cs="Palatino Linotype"/>
          <w:color w:val="000000"/>
          <w:sz w:val="22"/>
          <w:szCs w:val="22"/>
          <w:u w:val="single"/>
        </w:rPr>
        <w:t>Sistema Municipal Para el Desarrollo Integral de la Familia de Almoloya de Juárez al ente fiscalizador SAT,</w:t>
      </w:r>
      <w:r>
        <w:rPr>
          <w:rFonts w:ascii="Palatino Linotype" w:eastAsia="Palatino Linotype" w:hAnsi="Palatino Linotype" w:cs="Palatino Linotype"/>
          <w:color w:val="000000"/>
          <w:sz w:val="22"/>
          <w:szCs w:val="22"/>
        </w:rPr>
        <w:t xml:space="preserve"> y en ningún momento distraen de sus actividades </w:t>
      </w:r>
      <w:r>
        <w:rPr>
          <w:rFonts w:ascii="Palatino Linotype" w:eastAsia="Palatino Linotype" w:hAnsi="Palatino Linotype" w:cs="Palatino Linotype"/>
          <w:color w:val="000000"/>
          <w:sz w:val="22"/>
          <w:szCs w:val="22"/>
        </w:rPr>
        <w:lastRenderedPageBreak/>
        <w:t>al Ente Público Obligado y mucho menos son SECRETO DE ESTADO, ya que se tienen en máximo 10 minutos…”</w:t>
      </w:r>
    </w:p>
    <w:p w:rsidR="00417491" w:rsidRDefault="00C7194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y detalle mensual) solo tiene que descargar los pdf. de su portal del SAT. Dando solo dos clicks y descargando los archivos…”</w:t>
      </w:r>
    </w:p>
    <w:p w:rsidR="00417491" w:rsidRDefault="00C7194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w:t>
      </w:r>
    </w:p>
    <w:p w:rsidR="00417491" w:rsidRDefault="00C7194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a los puntos solicitados II, III y IV si no se tiene convenios de colaboración con esos entes fiscalizadores está bien la respuesta sea que no aplica, pero respecto al punto I espero ahora si lo haya entendido que es una herramienta de ayuda del SAT para ellos y son reportes ya entregados…”</w:t>
      </w:r>
    </w:p>
    <w:p w:rsidR="00417491" w:rsidRDefault="00C7194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“…Ocupo los visores de nómina en sus tres presentaciones; a) vista anual acumulada, detalle mensual y detalle diferencias sueldos y salarios por los años 2018, 2019, 2020 y 2021…”</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w:t>
      </w:r>
      <w:r>
        <w:rPr>
          <w:rFonts w:ascii="Palatino Linotype" w:eastAsia="Palatino Linotype" w:hAnsi="Palatino Linotype" w:cs="Palatino Linotype"/>
        </w:rPr>
        <w:lastRenderedPageBreak/>
        <w:t xml:space="preserve">información pública, se advierte que los motivos de inconformidad acontecen parcialmente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en razón de las consideraciones de derecho que a continuación se exponen:</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rsidR="00417491" w:rsidRDefault="00C7194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17491" w:rsidRDefault="00C7194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17491" w:rsidRDefault="00C7194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17491" w:rsidRDefault="00C7194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417491" w:rsidRDefault="00C7194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417491" w:rsidRDefault="00C71941">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Pr>
          <w:rFonts w:ascii="Palatino Linotype" w:eastAsia="Palatino Linotype" w:hAnsi="Palatino Linotype" w:cs="Palatino Linotype"/>
          <w:color w:val="000000"/>
        </w:rPr>
        <w:lastRenderedPageBreak/>
        <w:t xml:space="preserve">que tengan en su poder en el estado que se encuentran, sin necesidad de concretarse al interés o términos específicos del solicitante. </w:t>
      </w:r>
    </w:p>
    <w:p w:rsidR="00417491" w:rsidRDefault="00C71941">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417491" w:rsidRDefault="00C71941">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17491" w:rsidRDefault="00C71941">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417491" w:rsidRDefault="00C71941">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417491" w:rsidRDefault="00C71941">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417491" w:rsidRDefault="00C71941">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rsidR="00417491" w:rsidRDefault="00C7194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417491" w:rsidRDefault="00C719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17491" w:rsidRDefault="00C71941">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417491" w:rsidRDefault="00C71941">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17491" w:rsidRDefault="00C71941">
      <w:pPr>
        <w:spacing w:before="240" w:after="240"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17491" w:rsidRDefault="00C71941">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417491" w:rsidRDefault="00C71941">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17491" w:rsidRDefault="00C71941">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417491" w:rsidRDefault="00C71941">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417491" w:rsidRDefault="00C71941">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417491" w:rsidRDefault="00C71941">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417491" w:rsidRDefault="00C71941">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conforme a lo siguiente:</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Tocante a los puntos I y IV, mediante los cuales se requieren los </w:t>
      </w:r>
      <w:r>
        <w:rPr>
          <w:rFonts w:ascii="Palatino Linotype" w:eastAsia="Palatino Linotype" w:hAnsi="Palatino Linotype" w:cs="Palatino Linotype"/>
          <w:i/>
        </w:rPr>
        <w:t xml:space="preserve">reportes del aplicativo “Visor de nómina del SAT” de los años 2018, 2019, 2020, y 2021 en sus tres presentaciones: </w:t>
      </w:r>
      <w:r>
        <w:rPr>
          <w:rFonts w:ascii="Palatino Linotype" w:eastAsia="Palatino Linotype" w:hAnsi="Palatino Linotype" w:cs="Palatino Linotype"/>
          <w:b/>
          <w:i/>
        </w:rPr>
        <w:t>a.</w:t>
      </w:r>
      <w:r>
        <w:rPr>
          <w:rFonts w:ascii="Palatino Linotype" w:eastAsia="Palatino Linotype" w:hAnsi="Palatino Linotype" w:cs="Palatino Linotype"/>
          <w:i/>
        </w:rPr>
        <w:t xml:space="preserve"> Vista anual acumulada, </w:t>
      </w:r>
      <w:r>
        <w:rPr>
          <w:rFonts w:ascii="Palatino Linotype" w:eastAsia="Palatino Linotype" w:hAnsi="Palatino Linotype" w:cs="Palatino Linotype"/>
          <w:b/>
          <w:i/>
        </w:rPr>
        <w:t>b.</w:t>
      </w:r>
      <w:r>
        <w:rPr>
          <w:rFonts w:ascii="Palatino Linotype" w:eastAsia="Palatino Linotype" w:hAnsi="Palatino Linotype" w:cs="Palatino Linotype"/>
          <w:i/>
        </w:rPr>
        <w:t xml:space="preserve"> Detalle mensual y </w:t>
      </w:r>
      <w:r>
        <w:rPr>
          <w:rFonts w:ascii="Palatino Linotype" w:eastAsia="Palatino Linotype" w:hAnsi="Palatino Linotype" w:cs="Palatino Linotype"/>
          <w:b/>
          <w:i/>
        </w:rPr>
        <w:t>c.</w:t>
      </w:r>
      <w:r>
        <w:rPr>
          <w:rFonts w:ascii="Palatino Linotype" w:eastAsia="Palatino Linotype" w:hAnsi="Palatino Linotype" w:cs="Palatino Linotype"/>
          <w:i/>
        </w:rPr>
        <w:t xml:space="preserve"> Detalle diferencias sueldos y salarios,</w:t>
      </w:r>
      <w:r>
        <w:rPr>
          <w:rFonts w:ascii="Palatino Linotype" w:eastAsia="Palatino Linotype" w:hAnsi="Palatino Linotype" w:cs="Palatino Linotype"/>
        </w:rPr>
        <w:t xml:space="preserve"> y la </w:t>
      </w:r>
      <w:r>
        <w:rPr>
          <w:rFonts w:ascii="Palatino Linotype" w:eastAsia="Palatino Linotype" w:hAnsi="Palatino Linotype" w:cs="Palatino Linotype"/>
          <w:i/>
        </w:rPr>
        <w:t>opinión de no adeudo en el cumplimiento de obligaciones fiscales</w:t>
      </w:r>
      <w:r>
        <w:rPr>
          <w:rFonts w:ascii="Palatino Linotype" w:eastAsia="Palatino Linotype" w:hAnsi="Palatino Linotype" w:cs="Palatino Linotype"/>
        </w:rPr>
        <w:t xml:space="preserve"> </w:t>
      </w:r>
      <w:r>
        <w:rPr>
          <w:rFonts w:ascii="Palatino Linotype" w:eastAsia="Palatino Linotype" w:hAnsi="Palatino Linotype" w:cs="Palatino Linotype"/>
          <w:i/>
        </w:rPr>
        <w:t>estatales</w:t>
      </w:r>
      <w:r>
        <w:rPr>
          <w:rFonts w:ascii="Palatino Linotype" w:eastAsia="Palatino Linotype" w:hAnsi="Palatino Linotype" w:cs="Palatino Linotype"/>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w:t>
      </w:r>
      <w:r>
        <w:rPr>
          <w:rFonts w:ascii="Palatino Linotype" w:eastAsia="Palatino Linotype" w:hAnsi="Palatino Linotype" w:cs="Palatino Linotype"/>
        </w:rPr>
        <w:lastRenderedPageBreak/>
        <w:t>comprobantes fiscales respectivos, de conformidad con los artículos 94 fracción I,  96 párrafo primero y 99 fracciones I y II de la Ley del Impuesto Sobre la Renta, a saber:</w:t>
      </w:r>
    </w:p>
    <w:p w:rsidR="00417491" w:rsidRDefault="00C71941">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94. </w:t>
      </w:r>
      <w:r>
        <w:rPr>
          <w:rFonts w:ascii="Palatino Linotype" w:eastAsia="Palatino Linotype" w:hAnsi="Palatino Linotype" w:cs="Palatino Linotype"/>
          <w:b/>
          <w:i/>
          <w:sz w:val="22"/>
          <w:szCs w:val="22"/>
          <w:u w:val="single"/>
        </w:rPr>
        <w:t>Se consideran ingresos por la prestación de un servicio personal subordinado</w:t>
      </w:r>
      <w:r>
        <w:rPr>
          <w:rFonts w:ascii="Palatino Linotype" w:eastAsia="Palatino Linotype" w:hAnsi="Palatino Linotype" w:cs="Palatino Linotype"/>
          <w:i/>
          <w:sz w:val="22"/>
          <w:szCs w:val="22"/>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Pr>
          <w:rFonts w:ascii="Palatino Linotype" w:eastAsia="Palatino Linotype" w:hAnsi="Palatino Linotype" w:cs="Palatino Linotype"/>
          <w:b/>
          <w:i/>
          <w:sz w:val="22"/>
          <w:szCs w:val="22"/>
        </w:rPr>
        <w:t xml:space="preserve">se asimilan a estos ingresos </w:t>
      </w:r>
      <w:r>
        <w:rPr>
          <w:rFonts w:ascii="Palatino Linotype" w:eastAsia="Palatino Linotype" w:hAnsi="Palatino Linotype" w:cs="Palatino Linotype"/>
          <w:i/>
          <w:sz w:val="22"/>
          <w:szCs w:val="22"/>
        </w:rPr>
        <w:t>los siguientes:</w:t>
      </w:r>
    </w:p>
    <w:p w:rsidR="00417491" w:rsidRDefault="00C71941">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Las remuneraciones y demás prestaciones, obtenidas por los funcionarios y trabajadores de</w:t>
      </w:r>
      <w:r>
        <w:rPr>
          <w:rFonts w:ascii="Palatino Linotype" w:eastAsia="Palatino Linotype" w:hAnsi="Palatino Linotype" w:cs="Palatino Linotype"/>
          <w:i/>
          <w:sz w:val="22"/>
          <w:szCs w:val="22"/>
        </w:rPr>
        <w:t xml:space="preserve"> la Federación, de las entidades federativas y de </w:t>
      </w:r>
      <w:r>
        <w:rPr>
          <w:rFonts w:ascii="Palatino Linotype" w:eastAsia="Palatino Linotype" w:hAnsi="Palatino Linotype" w:cs="Palatino Linotype"/>
          <w:b/>
          <w:i/>
          <w:sz w:val="22"/>
          <w:szCs w:val="22"/>
        </w:rPr>
        <w:t>los municipios</w:t>
      </w:r>
      <w:r>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rsidR="00417491" w:rsidRDefault="00C71941">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17491" w:rsidRDefault="00C71941">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96. </w:t>
      </w:r>
      <w:r>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rsidR="00417491" w:rsidRDefault="00C71941">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417491" w:rsidRDefault="00C71941">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99.</w:t>
      </w:r>
      <w:r>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rsidR="00417491" w:rsidRDefault="00C71941">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Efectuar las retenciones </w:t>
      </w:r>
      <w:r>
        <w:rPr>
          <w:rFonts w:ascii="Palatino Linotype" w:eastAsia="Palatino Linotype" w:hAnsi="Palatino Linotype" w:cs="Palatino Linotype"/>
          <w:i/>
          <w:sz w:val="22"/>
          <w:szCs w:val="22"/>
        </w:rPr>
        <w:t>señaladas en el artículo 96 de esta Ley.</w:t>
      </w:r>
    </w:p>
    <w:p w:rsidR="00417491" w:rsidRDefault="00C71941">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17491" w:rsidRDefault="00C71941">
      <w:pPr>
        <w:tabs>
          <w:tab w:val="left" w:pos="7938"/>
        </w:tabs>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Expedir y entregar comprobantes fiscales</w:t>
      </w:r>
      <w:r>
        <w:rPr>
          <w:rFonts w:ascii="Palatino Linotype" w:eastAsia="Palatino Linotype" w:hAnsi="Palatino Linotype" w:cs="Palatino Linotype"/>
          <w:i/>
          <w:sz w:val="22"/>
          <w:szCs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se advierte que los municipios, al estar obligados a realizar el pago a los servidores públicos por los servicios prestados, de conformidad con el </w:t>
      </w:r>
      <w:r>
        <w:rPr>
          <w:rFonts w:ascii="Palatino Linotype" w:eastAsia="Palatino Linotype" w:hAnsi="Palatino Linotype" w:cs="Palatino Linotype"/>
        </w:rPr>
        <w:lastRenderedPageBreak/>
        <w:t>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tales efectos, la entidad retenedora, debe entregar un comprobante fiscal que ampare las respectivas retenciones conforme a lo establecido en los artículos 29 párrafo primero y 32-G fracción I del Código Financiero de la Federación:</w:t>
      </w:r>
    </w:p>
    <w:p w:rsidR="00417491" w:rsidRDefault="00C71941">
      <w:pPr>
        <w:spacing w:before="120" w:after="120"/>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las leyes fiscales </w:t>
      </w:r>
      <w:r>
        <w:rPr>
          <w:rFonts w:ascii="Palatino Linotype" w:eastAsia="Palatino Linotype" w:hAnsi="Palatino Linotype" w:cs="Palatino Linotype"/>
          <w:b/>
          <w:i/>
          <w:sz w:val="22"/>
          <w:szCs w:val="22"/>
          <w:u w:val="single"/>
        </w:rPr>
        <w:t>establezcan la obligación de expedir comprobantes fiscales</w:t>
      </w:r>
      <w:r>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w:t>
      </w:r>
      <w:r>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rsidR="00417491" w:rsidRDefault="00C71941">
      <w:pPr>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417491" w:rsidRDefault="00C71941">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32-G.</w:t>
      </w:r>
      <w:r>
        <w:rPr>
          <w:rFonts w:ascii="Palatino Linotype" w:eastAsia="Palatino Linotype" w:hAnsi="Palatino Linotype" w:cs="Palatino Linotype"/>
          <w:i/>
          <w:sz w:val="22"/>
          <w:szCs w:val="22"/>
        </w:rPr>
        <w:t xml:space="preserve"> La Federación, las Entidades Federativas, el Distrito Federal, y sus Organismos Descentralizados, así como los </w:t>
      </w:r>
      <w:r>
        <w:rPr>
          <w:rFonts w:ascii="Palatino Linotype" w:eastAsia="Palatino Linotype" w:hAnsi="Palatino Linotype" w:cs="Palatino Linotype"/>
          <w:b/>
          <w:i/>
          <w:sz w:val="22"/>
          <w:szCs w:val="22"/>
        </w:rPr>
        <w:t>Municipios,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tendrán la </w:t>
      </w:r>
      <w:r>
        <w:rPr>
          <w:rFonts w:ascii="Palatino Linotype" w:eastAsia="Palatino Linotype" w:hAnsi="Palatino Linotype" w:cs="Palatino Linotype"/>
          <w:b/>
          <w:i/>
          <w:sz w:val="22"/>
          <w:szCs w:val="22"/>
          <w:u w:val="single"/>
        </w:rPr>
        <w:t xml:space="preserve">obligación de presentar ante las autoridades fiscales, </w:t>
      </w:r>
      <w:r>
        <w:rPr>
          <w:rFonts w:ascii="Palatino Linotype" w:eastAsia="Palatino Linotype" w:hAnsi="Palatino Linotype" w:cs="Palatino Linotype"/>
          <w:b/>
          <w:i/>
          <w:sz w:val="22"/>
          <w:szCs w:val="22"/>
        </w:rPr>
        <w:t>a través de los medios y formatos electrónicos que señale el Servicio de Administración, la información relativa a:</w:t>
      </w:r>
    </w:p>
    <w:p w:rsidR="00417491" w:rsidRDefault="00C7194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personas a las que en el mes inmediato anterior l</w:t>
      </w:r>
      <w:r>
        <w:rPr>
          <w:rFonts w:ascii="Palatino Linotype" w:eastAsia="Palatino Linotype" w:hAnsi="Palatino Linotype" w:cs="Palatino Linotype"/>
          <w:b/>
          <w:i/>
          <w:sz w:val="22"/>
          <w:szCs w:val="22"/>
          <w:u w:val="single"/>
        </w:rPr>
        <w:t>es hubieren efectuado retenciones de impuesto sobre la renta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así como de los </w:t>
      </w:r>
      <w:r>
        <w:rPr>
          <w:rFonts w:ascii="Palatino Linotype" w:eastAsia="Palatino Linotype" w:hAnsi="Palatino Linotype" w:cs="Palatino Linotype"/>
          <w:i/>
          <w:sz w:val="22"/>
          <w:szCs w:val="22"/>
        </w:rPr>
        <w:lastRenderedPageBreak/>
        <w:t>residentes en el extranjero a los que les hayan efectuado pagos de acuerdo con lo previsto en el Título V de la Ley del Impuesto sobre la Renta.”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del “visor de comprobantes nómina” del Servicio de Administración Tributaria, cabe señalar que es una herramienta o aplicación en línea que permite a los </w:t>
      </w:r>
      <w:r>
        <w:rPr>
          <w:rFonts w:ascii="Palatino Linotype" w:eastAsia="Palatino Linotype" w:hAnsi="Palatino Linotype" w:cs="Palatino Linotype"/>
          <w:i/>
        </w:rPr>
        <w:t>trabajadores</w:t>
      </w:r>
      <w:r>
        <w:rPr>
          <w:rFonts w:ascii="Palatino Linotype" w:eastAsia="Palatino Linotype" w:hAnsi="Palatino Linotype" w:cs="Palatino Linotype"/>
        </w:rPr>
        <w:t xml:space="preserve"> consultar de manera anticipada el acumulado de ingresos y retenciones provenientes de comprobantes de nómina, y a los </w:t>
      </w:r>
      <w:r>
        <w:rPr>
          <w:rFonts w:ascii="Palatino Linotype" w:eastAsia="Palatino Linotype" w:hAnsi="Palatino Linotype" w:cs="Palatino Linotype"/>
          <w:i/>
        </w:rPr>
        <w:t>patrones</w:t>
      </w:r>
      <w:r>
        <w:rPr>
          <w:rFonts w:ascii="Palatino Linotype" w:eastAsia="Palatino Linotype" w:hAnsi="Palatino Linotype" w:cs="Palatino Linotype"/>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es identificar de manera oportuna errores en la información timbrada, y en su caso corregirla.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concreto, el requerimiento señalado con el romano I, se enfoca en el </w:t>
      </w:r>
      <w:r>
        <w:rPr>
          <w:rFonts w:ascii="Palatino Linotype" w:eastAsia="Palatino Linotype" w:hAnsi="Palatino Linotype" w:cs="Palatino Linotype"/>
          <w:i/>
        </w:rPr>
        <w:t>visor de comprobantes de nómina para patrones</w:t>
      </w:r>
      <w:r>
        <w:rPr>
          <w:rFonts w:ascii="Palatino Linotype" w:eastAsia="Palatino Linotype" w:hAnsi="Palatino Linotype" w:cs="Palatino Linotype"/>
        </w:rPr>
        <w:t>, que tiene por objetivo consultar la información correspondiente a los pagos realizados por concepto de sueldos y salarios a los trabajadores, así como el prellenado y entero de pagos provisionales del impuesto sobre la renta, retenidos por salarios y asimilados a salarios.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dicha herramienta, es un servicio que se localiza en el portal de internet del SAT, concretamente en el apartado de declaraciones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para acceder a la misma, es necesario autenticarse con el RFC y la contraseña o e.firma, asimismo, </w:t>
      </w:r>
      <w:r>
        <w:rPr>
          <w:rFonts w:ascii="Palatino Linotype" w:eastAsia="Palatino Linotype" w:hAnsi="Palatino Linotype" w:cs="Palatino Linotype"/>
        </w:rPr>
        <w:lastRenderedPageBreak/>
        <w:t>de conformidad con la Guía de Usuario del visor de comprobantes de nómina del patrón, las modalidades de consulta son las siguientes: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608955" cy="972185"/>
            <wp:effectExtent l="0" t="0" r="0" b="0"/>
            <wp:docPr id="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08955" cy="972185"/>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355600</wp:posOffset>
                </wp:positionH>
                <wp:positionV relativeFrom="paragraph">
                  <wp:posOffset>254000</wp:posOffset>
                </wp:positionV>
                <wp:extent cx="172955" cy="590800"/>
                <wp:effectExtent l="0" t="0" r="0" b="0"/>
                <wp:wrapNone/>
                <wp:docPr id="69" name=""/>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417491" w:rsidRDefault="0041749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355600</wp:posOffset>
                </wp:positionH>
                <wp:positionV relativeFrom="paragraph">
                  <wp:posOffset>254000</wp:posOffset>
                </wp:positionV>
                <wp:extent cx="172955" cy="590800"/>
                <wp:effectExtent b="0" l="0" r="0" t="0"/>
                <wp:wrapNone/>
                <wp:docPr id="69"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172955" cy="590800"/>
                        </a:xfrm>
                        <a:prstGeom prst="rect"/>
                        <a:ln/>
                      </pic:spPr>
                    </pic:pic>
                  </a:graphicData>
                </a:graphic>
              </wp:anchor>
            </w:drawing>
          </mc:Fallback>
        </mc:AlternateConten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descargarse en archivo pdf, corresponde con los incisos a y b del requerimiento de información.</w:t>
      </w:r>
    </w:p>
    <w:p w:rsidR="00417491" w:rsidRDefault="00C71941">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Precisado lo anterior, de una revisión a la documentación que adjuntó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respuesta se advierte que contiene la siguiente información de los reportes del aplicativo “Visor de nómina de SAT “de los años 2018, 2019, 2020 y 2021, en sus tres tipos de presentaciones: a) Vista anual acumulada b) Detalle mensual C) Detalle diferencias sueldo y salarios tal como se advierte a continuación de manera de ejemplo:</w:t>
      </w:r>
      <w:r>
        <w:rPr>
          <w:rFonts w:ascii="Palatino Linotype" w:eastAsia="Palatino Linotype" w:hAnsi="Palatino Linotype" w:cs="Palatino Linotype"/>
          <w:color w:val="FF0000"/>
        </w:rPr>
        <w:t xml:space="preserve"> </w:t>
      </w:r>
    </w:p>
    <w:p w:rsidR="00417491" w:rsidRDefault="00417491">
      <w:pPr>
        <w:spacing w:line="360" w:lineRule="auto"/>
        <w:jc w:val="both"/>
      </w:pPr>
    </w:p>
    <w:p w:rsidR="00417491" w:rsidRDefault="00C71941">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83226" cy="1718910"/>
            <wp:effectExtent l="0" t="0" r="0"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23917" t="14673" r="23389" b="40539"/>
                    <a:stretch>
                      <a:fillRect/>
                    </a:stretch>
                  </pic:blipFill>
                  <pic:spPr>
                    <a:xfrm>
                      <a:off x="0" y="0"/>
                      <a:ext cx="5683226" cy="1718910"/>
                    </a:xfrm>
                    <a:prstGeom prst="rect">
                      <a:avLst/>
                    </a:prstGeom>
                    <a:ln/>
                  </pic:spPr>
                </pic:pic>
              </a:graphicData>
            </a:graphic>
          </wp:inline>
        </w:drawing>
      </w:r>
    </w:p>
    <w:p w:rsidR="00417491" w:rsidRDefault="00C71941">
      <w:pPr>
        <w:spacing w:line="360" w:lineRule="auto"/>
        <w:jc w:val="both"/>
        <w:rPr>
          <w:rFonts w:ascii="Palatino Linotype" w:eastAsia="Palatino Linotype" w:hAnsi="Palatino Linotype" w:cs="Palatino Linotype"/>
        </w:rPr>
      </w:pPr>
      <w:r>
        <w:rPr>
          <w:noProof/>
          <w:lang w:val="es-MX" w:eastAsia="es-MX"/>
        </w:rPr>
        <w:drawing>
          <wp:inline distT="0" distB="0" distL="0" distR="0">
            <wp:extent cx="5678695" cy="2556974"/>
            <wp:effectExtent l="0" t="0" r="0" b="0"/>
            <wp:docPr id="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l="26137" t="18433" r="11536" b="14197"/>
                    <a:stretch>
                      <a:fillRect/>
                    </a:stretch>
                  </pic:blipFill>
                  <pic:spPr>
                    <a:xfrm>
                      <a:off x="0" y="0"/>
                      <a:ext cx="5678695" cy="2556974"/>
                    </a:xfrm>
                    <a:prstGeom prst="rect">
                      <a:avLst/>
                    </a:prstGeom>
                    <a:ln/>
                  </pic:spPr>
                </pic:pic>
              </a:graphicData>
            </a:graphic>
          </wp:inline>
        </w:drawing>
      </w: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se tiene por colmando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en cuanto el presente punto; 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417491" w:rsidRDefault="00C71941">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17491" w:rsidRDefault="00417491">
      <w:pPr>
        <w:spacing w:line="360" w:lineRule="auto"/>
        <w:jc w:val="both"/>
        <w:rPr>
          <w:rFonts w:ascii="Palatino Linotype" w:eastAsia="Palatino Linotype" w:hAnsi="Palatino Linotype" w:cs="Palatino Linotype"/>
          <w:color w:val="000000"/>
        </w:rPr>
      </w:pPr>
    </w:p>
    <w:p w:rsidR="00417491" w:rsidRDefault="00C7194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417491" w:rsidRDefault="00417491">
      <w:pPr>
        <w:spacing w:line="360" w:lineRule="auto"/>
        <w:jc w:val="both"/>
        <w:rPr>
          <w:rFonts w:ascii="Palatino Linotype" w:eastAsia="Palatino Linotype" w:hAnsi="Palatino Linotype" w:cs="Palatino Linotype"/>
          <w:color w:val="000000"/>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romano IV mediante el cual se solicita la </w:t>
      </w:r>
      <w:r>
        <w:rPr>
          <w:rFonts w:ascii="Palatino Linotype" w:eastAsia="Palatino Linotype" w:hAnsi="Palatino Linotype" w:cs="Palatino Linotype"/>
          <w:i/>
        </w:rPr>
        <w:t>opinión de no adeudo en el cumplimiento de obligaciones fiscales, se menciona que es un trámite que se realiza en línea, a través del portal de internet del SAT</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que consiste en un reporte emitido por el SAT que te permite consultar de manera instantánea la situación del cumplimiento de las obligaciones fiscales al momento de la fecha de la consulta, por lo que,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entre otras obligaciones fiscales, se encuentra constreñido a retener el </w:t>
      </w:r>
      <w:r>
        <w:rPr>
          <w:rFonts w:ascii="Palatino Linotype" w:eastAsia="Palatino Linotype" w:hAnsi="Palatino Linotype" w:cs="Palatino Linotype"/>
        </w:rPr>
        <w:lastRenderedPageBreak/>
        <w:t>impuesto sobre la renta, así como enterarlo al Servicio de Administración Tributaria, a través de sus declaraciones provisionales y anual, resulta de interés para la sociedad el conocer si se encuentra al corriente en sus obligaciones fiscales, consecuentemente es procedente ordenar la entrega del referido reporte, para tener por atendido el requerimiento de información, para lo cual no está demás señalar que en el portal del SAT, se contemplan las siguientes opciones para su obtención:</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4140000" cy="2969706"/>
            <wp:effectExtent l="0" t="0" r="0" 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140000" cy="2969706"/>
                    </a:xfrm>
                    <a:prstGeom prst="rect">
                      <a:avLst/>
                    </a:prstGeom>
                    <a:ln/>
                  </pic:spPr>
                </pic:pic>
              </a:graphicData>
            </a:graphic>
          </wp:inline>
        </w:drawing>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la Resolución Miscelánea Fiscal para 2022 establece, en la regla 2.1.37 el procedimiento que debe observarse para la obtención de la opinión de cumplimiento de obligaciones fiscales, a saber:</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09590" cy="1934210"/>
            <wp:effectExtent l="0" t="0" r="0" b="0"/>
            <wp:docPr id="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609590" cy="1934210"/>
                    </a:xfrm>
                    <a:prstGeom prst="rect">
                      <a:avLst/>
                    </a:prstGeom>
                    <a:ln/>
                  </pic:spPr>
                </pic:pic>
              </a:graphicData>
            </a:graphic>
          </wp:inline>
        </w:drawing>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multicitada opinión se generará atendiendo a la situación fiscal del contribuyente en los siguientes sentidos:</w:t>
      </w:r>
    </w:p>
    <w:p w:rsidR="00417491" w:rsidRDefault="00C71941">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b/>
        </w:rPr>
        <w:t>- Positiva.</w:t>
      </w:r>
      <w:r>
        <w:rPr>
          <w:rFonts w:ascii="Palatino Linotype" w:eastAsia="Palatino Linotype" w:hAnsi="Palatino Linotype" w:cs="Palatino Linotype"/>
        </w:rPr>
        <w:t>- Cuando el contribuyente esté inscrito y al corriente en el cumplimiento de las obligaciones que se consideran en los numerales 1 a 12 de esta regla.</w:t>
      </w:r>
    </w:p>
    <w:p w:rsidR="00417491" w:rsidRDefault="00C71941">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b/>
        </w:rPr>
        <w:t>- Negativa.-</w:t>
      </w:r>
      <w:r>
        <w:rPr>
          <w:rFonts w:ascii="Palatino Linotype" w:eastAsia="Palatino Linotype" w:hAnsi="Palatino Linotype" w:cs="Palatino Linotype"/>
        </w:rPr>
        <w:t xml:space="preserve"> Cuando el contribuyente no esté al corriente en el cumplimiento de las obligaciones que se consideran en los numerales 1 a 12 de esta regla.</w:t>
      </w:r>
    </w:p>
    <w:p w:rsidR="00417491" w:rsidRDefault="00C71941">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b/>
        </w:rPr>
        <w:t>- Inscrito sin obligaciones.</w:t>
      </w:r>
      <w:r>
        <w:rPr>
          <w:rFonts w:ascii="Palatino Linotype" w:eastAsia="Palatino Linotype" w:hAnsi="Palatino Linotype" w:cs="Palatino Linotype"/>
        </w:rPr>
        <w:t>- Cuando el contribuyente está inscrito en el RFC pero no tiene obligaciones fiscales.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autoridad, a fin de generar la opinión del cumplimiento de obligaciones fiscales, revisará que el contribuyente solicitante:</w:t>
      </w:r>
    </w:p>
    <w:p w:rsidR="00417491" w:rsidRDefault="00C71941">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lastRenderedPageBreak/>
        <w:drawing>
          <wp:inline distT="0" distB="0" distL="0" distR="0">
            <wp:extent cx="5040000" cy="3657604"/>
            <wp:effectExtent l="0" t="0" r="0" b="0"/>
            <wp:docPr id="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b="27427"/>
                    <a:stretch>
                      <a:fillRect/>
                    </a:stretch>
                  </pic:blipFill>
                  <pic:spPr>
                    <a:xfrm>
                      <a:off x="0" y="0"/>
                      <a:ext cx="5040000" cy="3657604"/>
                    </a:xfrm>
                    <a:prstGeom prst="rect">
                      <a:avLst/>
                    </a:prstGeom>
                    <a:ln/>
                  </pic:spPr>
                </pic:pic>
              </a:graphicData>
            </a:graphic>
          </wp:inline>
        </w:drawing>
      </w:r>
    </w:p>
    <w:p w:rsidR="00417491" w:rsidRDefault="00C71941">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b/>
          <w:noProof/>
          <w:lang w:val="es-MX" w:eastAsia="es-MX"/>
        </w:rPr>
        <w:drawing>
          <wp:inline distT="0" distB="0" distL="0" distR="0">
            <wp:extent cx="5040000" cy="1391921"/>
            <wp:effectExtent l="0" t="0" r="0" b="0"/>
            <wp:docPr id="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t="72383"/>
                    <a:stretch>
                      <a:fillRect/>
                    </a:stretch>
                  </pic:blipFill>
                  <pic:spPr>
                    <a:xfrm>
                      <a:off x="0" y="0"/>
                      <a:ext cx="5040000" cy="1391921"/>
                    </a:xfrm>
                    <a:prstGeom prst="rect">
                      <a:avLst/>
                    </a:prstGeom>
                    <a:ln/>
                  </pic:spPr>
                </pic:pic>
              </a:graphicData>
            </a:graphic>
          </wp:inline>
        </w:drawing>
      </w: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podemos concluir que resulta dable ordenar la entrega de la opinión de cumplimiento emitida por el Servicio de Administración Tributaria (SAT), a favor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rsidR="00417491" w:rsidRDefault="00C71941">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Tocante a los romanos II y III, mediante los cuales se requiere la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i/>
        </w:rPr>
        <w:t xml:space="preserve">constancia de situación fiscal de no adeudo emitida por el INFONAVIT, generada desde el portal empresarial de esa </w:t>
      </w:r>
      <w:r>
        <w:rPr>
          <w:rFonts w:ascii="Palatino Linotype" w:eastAsia="Palatino Linotype" w:hAnsi="Palatino Linotype" w:cs="Palatino Linotype"/>
          <w:i/>
        </w:rPr>
        <w:lastRenderedPageBreak/>
        <w:t>Institución, a través de internet</w:t>
      </w:r>
      <w:r>
        <w:rPr>
          <w:rFonts w:ascii="Palatino Linotype" w:eastAsia="Palatino Linotype" w:hAnsi="Palatino Linotype" w:cs="Palatino Linotype"/>
        </w:rPr>
        <w:t xml:space="preserve"> y </w:t>
      </w:r>
      <w:r>
        <w:rPr>
          <w:rFonts w:ascii="Palatino Linotype" w:eastAsia="Palatino Linotype" w:hAnsi="Palatino Linotype" w:cs="Palatino Linotype"/>
          <w:i/>
        </w:rPr>
        <w:t>la opinión de no adeudo en el cumplimiento de obligaciones fiscales en materia de seguridad social emitida por el IMSS, generada desde el portal de esa Institución, a través de internet,</w:t>
      </w:r>
      <w:r>
        <w:rPr>
          <w:rFonts w:ascii="Palatino Linotype" w:eastAsia="Palatino Linotype" w:hAnsi="Palatino Linotype" w:cs="Palatino Linotype"/>
        </w:rPr>
        <w:t xml:space="preserve"> es de recordar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mediante su respuesta expresó que no le era aplicable lo del IMSS y del INFONAVIT.</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sentido, con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rsidR="00417491" w:rsidRDefault="00C71941">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123. </w:t>
      </w:r>
      <w:r>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rsidR="00417491" w:rsidRDefault="00C71941">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Congreso de la Unión, sin contravenir a las bases siguientes deberá expedir leyes sobre el trabajo, las cuales regirán:</w:t>
      </w:r>
    </w:p>
    <w:p w:rsidR="00417491" w:rsidRDefault="00C7194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Entre los obreros, jornaleros, empleados domésticos, artesanos y de una manera general, todo contrato de trabajo:</w:t>
      </w:r>
    </w:p>
    <w:p w:rsidR="00417491" w:rsidRDefault="00C71941">
      <w:pPr>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17491" w:rsidRDefault="00C71941">
      <w:pPr>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i/>
          <w:sz w:val="22"/>
          <w:szCs w:val="22"/>
        </w:rPr>
        <w:t xml:space="preserve">. Toda empresa agrícola, industrial, minera o de cualquier otra clase de trabajo, estará obligada, según lo determinen las leyes reglamentarias a proporcionar a los trabajadores habitaciones cómodas e higiénicas. </w:t>
      </w:r>
      <w:r>
        <w:rPr>
          <w:rFonts w:ascii="Palatino Linotype" w:eastAsia="Palatino Linotype" w:hAnsi="Palatino Linotype" w:cs="Palatino Linotype"/>
          <w:b/>
          <w:i/>
          <w:sz w:val="22"/>
          <w:szCs w:val="22"/>
        </w:rPr>
        <w:t>Esta obligación se cumplirá mediante las aportaciones que las empresas hagan a un fondo nacional de la vivienda a fin de constituir depósitos en favor de sus trabajadores</w:t>
      </w:r>
      <w:r>
        <w:rPr>
          <w:rFonts w:ascii="Palatino Linotype" w:eastAsia="Palatino Linotype" w:hAnsi="Palatino Linotype" w:cs="Palatino Linotype"/>
          <w:i/>
          <w:sz w:val="22"/>
          <w:szCs w:val="22"/>
        </w:rPr>
        <w:t xml:space="preserve"> y establecer un sistema de financiamiento que permita otorgar a éstos crédito barato y suficiente para que adquieran en propiedad tales habitaciones.</w:t>
      </w:r>
    </w:p>
    <w:p w:rsidR="00417491" w:rsidRDefault="00C71941">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Se considera de utilidad social la expedición de una ley para la creación de un organismo integrado por representantes del Gobierno Federal, de los trabajadores y de los patrones, que administre los recursos del fondo nacional de la vivienda. </w:t>
      </w:r>
      <w:r>
        <w:rPr>
          <w:rFonts w:ascii="Palatino Linotype" w:eastAsia="Palatino Linotype" w:hAnsi="Palatino Linotype" w:cs="Palatino Linotype"/>
          <w:i/>
          <w:sz w:val="22"/>
          <w:szCs w:val="22"/>
        </w:rPr>
        <w:t xml:space="preserve">Dicha ley regulará las formas y procedimientos </w:t>
      </w:r>
      <w:r>
        <w:rPr>
          <w:rFonts w:ascii="Palatino Linotype" w:eastAsia="Palatino Linotype" w:hAnsi="Palatino Linotype" w:cs="Palatino Linotype"/>
          <w:i/>
          <w:sz w:val="22"/>
          <w:szCs w:val="22"/>
        </w:rPr>
        <w:lastRenderedPageBreak/>
        <w:t>conforme a los cuales los trabajadores podrán adquirir en propiedad las habitaciones antes mencionadas.”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rsidR="00417491" w:rsidRDefault="00C71941">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3o.-</w:t>
      </w:r>
      <w:r>
        <w:rPr>
          <w:rFonts w:ascii="Palatino Linotype" w:eastAsia="Palatino Linotype" w:hAnsi="Palatino Linotype" w:cs="Palatino Linotype"/>
          <w:i/>
          <w:sz w:val="22"/>
          <w:szCs w:val="22"/>
        </w:rPr>
        <w:t xml:space="preserve"> El Instituto tiene por objeto:</w:t>
      </w:r>
    </w:p>
    <w:p w:rsidR="00417491" w:rsidRDefault="00C7194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Administrar los recursos del Fondo Nacional de la Vivienda;</w:t>
      </w:r>
    </w:p>
    <w:p w:rsidR="00417491" w:rsidRDefault="00C7194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Establecer y operar un sistema de financiamiento que permita a los trabajadores obtener crédito barato y suficiente para:</w:t>
      </w:r>
    </w:p>
    <w:p w:rsidR="00417491" w:rsidRDefault="00C71941">
      <w:pPr>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La adquisición en propiedad de habitaciones cómodas e higiénicas,</w:t>
      </w:r>
    </w:p>
    <w:p w:rsidR="00417491" w:rsidRDefault="00C71941">
      <w:pPr>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La construcción, reparación, ampliación o mejoramiento de sus habitaciones, y</w:t>
      </w:r>
    </w:p>
    <w:p w:rsidR="00417491" w:rsidRDefault="00C71941">
      <w:pPr>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El pago de pasivos contraídos por los conceptos anteriores;</w:t>
      </w:r>
    </w:p>
    <w:p w:rsidR="00417491" w:rsidRDefault="00C71941">
      <w:pPr>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La adquisición en propiedad de suelo destinado para la construcción de sus habitaciones;</w:t>
      </w:r>
    </w:p>
    <w:p w:rsidR="00417491" w:rsidRDefault="00C7194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Coordinar y financiar programas de construcción de habitaciones destinadas a ser adquiridas en propiedad por los trabajadores; y</w:t>
      </w:r>
    </w:p>
    <w:p w:rsidR="00417491" w:rsidRDefault="00C7194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Lo demás a que se refiere la fracción XII del Apartado A del Artículo 123 Constitucional y el</w:t>
      </w:r>
    </w:p>
    <w:p w:rsidR="00417491" w:rsidRDefault="00C7194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Título Cuarto, Capítulo III de la Ley Federal del Trabajo, así como lo que esta ley establece.”</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la entrega de la misma, por parte de entidades </w:t>
      </w:r>
      <w:r>
        <w:rPr>
          <w:rFonts w:ascii="Palatino Linotype" w:eastAsia="Palatino Linotype" w:hAnsi="Palatino Linotype" w:cs="Palatino Linotype"/>
        </w:rPr>
        <w:lastRenderedPageBreak/>
        <w:t xml:space="preserve">gubernamentales no resulta procedente, derivado de no encuadrar en los supuestos de los ordenamientos citados, teniéndose por acreditada la notoria incompetencia, a cargo del </w:t>
      </w:r>
      <w:r>
        <w:rPr>
          <w:rFonts w:ascii="Palatino Linotype" w:eastAsia="Palatino Linotype" w:hAnsi="Palatino Linotype" w:cs="Palatino Linotype"/>
          <w:b/>
        </w:rPr>
        <w:t>SUJETO OBLIGADO</w:t>
      </w:r>
      <w:r>
        <w:rPr>
          <w:rFonts w:ascii="Palatino Linotype" w:eastAsia="Palatino Linotype" w:hAnsi="Palatino Linotype" w:cs="Palatino Linotype"/>
        </w:rPr>
        <w:t>, en términos del artículo 167 de la Ley de Transparencia local, que señala:</w:t>
      </w:r>
    </w:p>
    <w:p w:rsidR="00417491" w:rsidRDefault="00417491">
      <w:pPr>
        <w:spacing w:line="360" w:lineRule="auto"/>
        <w:jc w:val="both"/>
        <w:rPr>
          <w:rFonts w:ascii="Palatino Linotype" w:eastAsia="Palatino Linotype" w:hAnsi="Palatino Linotype" w:cs="Palatino Linotype"/>
        </w:rPr>
      </w:pP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167.</w:t>
      </w:r>
      <w:r>
        <w:rPr>
          <w:rFonts w:ascii="Palatino Linotype" w:eastAsia="Palatino Linotype" w:hAnsi="Palatino Linotype" w:cs="Palatino Linotype"/>
          <w:i/>
          <w:sz w:val="22"/>
          <w:szCs w:val="22"/>
        </w:rPr>
        <w:t xml:space="preserve"> Cuando las unidades de transparencia determinen la </w:t>
      </w:r>
      <w:r>
        <w:rPr>
          <w:rFonts w:ascii="Palatino Linotype" w:eastAsia="Palatino Linotype" w:hAnsi="Palatino Linotype" w:cs="Palatino Linotype"/>
          <w:i/>
          <w:sz w:val="22"/>
          <w:szCs w:val="22"/>
          <w:u w:val="single"/>
        </w:rPr>
        <w:t xml:space="preserve">notoria incompetencia </w:t>
      </w:r>
      <w:r>
        <w:rPr>
          <w:rFonts w:ascii="Palatino Linotype" w:eastAsia="Palatino Linotype" w:hAnsi="Palatino Linotype" w:cs="Palatino Linotype"/>
          <w:i/>
          <w:sz w:val="22"/>
          <w:szCs w:val="22"/>
        </w:rPr>
        <w:t xml:space="preserve">por parte de los sujetos obligados, dentro del ámbito de aplicación, para atender la solicitud de acceso a la información, </w:t>
      </w:r>
      <w:r>
        <w:rPr>
          <w:rFonts w:ascii="Palatino Linotype" w:eastAsia="Palatino Linotype" w:hAnsi="Palatino Linotype" w:cs="Palatino Linotype"/>
          <w:i/>
          <w:sz w:val="22"/>
          <w:szCs w:val="22"/>
          <w:u w:val="single"/>
        </w:rPr>
        <w:t>deberán comunicarlo al solicitante, dentro de los tres días hábiles posteriores a la recepción de la solicitud</w:t>
      </w:r>
      <w:r>
        <w:rPr>
          <w:rFonts w:ascii="Palatino Linotype" w:eastAsia="Palatino Linotype" w:hAnsi="Palatino Linotype" w:cs="Palatino Linotype"/>
          <w:i/>
          <w:sz w:val="22"/>
          <w:szCs w:val="22"/>
        </w:rPr>
        <w:t xml:space="preserve"> y, en su caso orientar al solicitante, el o los sujetos obligados competentes.</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los sujetos obligados son </w:t>
      </w:r>
      <w:r>
        <w:rPr>
          <w:rFonts w:ascii="Palatino Linotype" w:eastAsia="Palatino Linotype" w:hAnsi="Palatino Linotype" w:cs="Palatino Linotype"/>
          <w:i/>
          <w:sz w:val="22"/>
          <w:szCs w:val="22"/>
          <w:u w:val="single"/>
        </w:rPr>
        <w:t>competentes</w:t>
      </w:r>
      <w:r>
        <w:rPr>
          <w:rFonts w:ascii="Palatino Linotype" w:eastAsia="Palatino Linotype" w:hAnsi="Palatino Linotype" w:cs="Palatino Linotype"/>
          <w:i/>
          <w:sz w:val="22"/>
          <w:szCs w:val="22"/>
        </w:rPr>
        <w:t xml:space="preserve"> para atender </w:t>
      </w:r>
      <w:r>
        <w:rPr>
          <w:rFonts w:ascii="Palatino Linotype" w:eastAsia="Palatino Linotype" w:hAnsi="Palatino Linotype" w:cs="Palatino Linotype"/>
          <w:i/>
          <w:sz w:val="22"/>
          <w:szCs w:val="22"/>
          <w:u w:val="single"/>
        </w:rPr>
        <w:t>parcialmente</w:t>
      </w:r>
      <w:r>
        <w:rPr>
          <w:rFonts w:ascii="Palatino Linotype" w:eastAsia="Palatino Linotype" w:hAnsi="Palatino Linotype" w:cs="Palatino Linotype"/>
          <w:i/>
          <w:sz w:val="22"/>
          <w:szCs w:val="22"/>
        </w:rPr>
        <w:t xml:space="preserve"> la solicitud de acceso a la información, deberá dar respuesta respecto de dicha parte. </w:t>
      </w:r>
      <w:r>
        <w:rPr>
          <w:rFonts w:ascii="Palatino Linotype" w:eastAsia="Palatino Linotype" w:hAnsi="Palatino Linotype" w:cs="Palatino Linotype"/>
          <w:i/>
          <w:sz w:val="22"/>
          <w:szCs w:val="22"/>
          <w:u w:val="single"/>
        </w:rPr>
        <w:t>Respecto de la información sobre la cual es incompetente se procederá conforme lo señala el párrafo anterior.</w:t>
      </w:r>
    </w:p>
    <w:p w:rsidR="00417491" w:rsidRDefault="00C71941">
      <w:pPr>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Si transcurrido el plazo señalado en el primer párrafo de este artículo, el sujeto obligado no declina la competencia en los términos establecidos, podrá canalizar la solicitud ante el sujeto obligado competente.”(Sic)</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se robustece con la siguiente imagen del Padrón de Sujetos Obligados del Ámbito Federal, en términos de la Ley General de Transparencia y Acceso a la Información Pública, de veintiséis de mayo de dos mil veinte, en la liga </w:t>
      </w:r>
      <w:hyperlink r:id="rId27">
        <w:r>
          <w:rPr>
            <w:rFonts w:ascii="Palatino Linotype" w:eastAsia="Palatino Linotype" w:hAnsi="Palatino Linotype" w:cs="Palatino Linotype"/>
            <w:color w:val="0000FF"/>
            <w:u w:val="single"/>
          </w:rPr>
          <w:t>https://www.fonacot.gob.mx/TransparenciaRendicionCuentas/Documents/Normatividad%20en%20Transparencia/Padron_Sujetos_Obligados%20INAI.pdf</w:t>
        </w:r>
      </w:hyperlink>
      <w:r>
        <w:rPr>
          <w:rFonts w:ascii="Palatino Linotype" w:eastAsia="Palatino Linotype" w:hAnsi="Palatino Linotype" w:cs="Palatino Linotype"/>
        </w:rPr>
        <w:t>), que se insertan a continuación de manera ilustrativa:</w:t>
      </w:r>
    </w:p>
    <w:p w:rsidR="00417491" w:rsidRDefault="00417491">
      <w:pPr>
        <w:spacing w:line="360" w:lineRule="auto"/>
        <w:ind w:right="49"/>
        <w:jc w:val="both"/>
      </w:pPr>
    </w:p>
    <w:p w:rsidR="00417491" w:rsidRDefault="00C71941">
      <w:pPr>
        <w:spacing w:line="360" w:lineRule="auto"/>
        <w:ind w:right="49"/>
        <w:jc w:val="both"/>
        <w:rPr>
          <w:rFonts w:ascii="Palatino Linotype" w:eastAsia="Palatino Linotype" w:hAnsi="Palatino Linotype" w:cs="Palatino Linotype"/>
        </w:rPr>
      </w:pPr>
      <w:r>
        <w:rPr>
          <w:noProof/>
          <w:lang w:val="es-MX" w:eastAsia="es-MX"/>
        </w:rPr>
        <w:drawing>
          <wp:inline distT="0" distB="0" distL="0" distR="0">
            <wp:extent cx="5539480" cy="1232609"/>
            <wp:effectExtent l="0" t="0" r="0" b="0"/>
            <wp:docPr id="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l="23809" t="47590" r="24448" b="23614"/>
                    <a:stretch>
                      <a:fillRect/>
                    </a:stretch>
                  </pic:blipFill>
                  <pic:spPr>
                    <a:xfrm>
                      <a:off x="0" y="0"/>
                      <a:ext cx="5539480" cy="1232609"/>
                    </a:xfrm>
                    <a:prstGeom prst="rect">
                      <a:avLst/>
                    </a:prstGeom>
                    <a:ln/>
                  </pic:spPr>
                </pic:pic>
              </a:graphicData>
            </a:graphic>
          </wp:inline>
        </w:drawing>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otro lado, respecto de </w:t>
      </w:r>
      <w:r>
        <w:rPr>
          <w:rFonts w:ascii="Palatino Linotype" w:eastAsia="Palatino Linotype" w:hAnsi="Palatino Linotype" w:cs="Palatino Linotype"/>
          <w:i/>
        </w:rPr>
        <w:t xml:space="preserve">la opinión de no adeudo en el cumplimiento de obligaciones fiscales en materia de seguridad social emitida por el IMSS, generada desde el portal de esa Institución, a través de internet, </w:t>
      </w:r>
      <w:r>
        <w:rPr>
          <w:rFonts w:ascii="Palatino Linotype" w:eastAsia="Palatino Linotype" w:hAnsi="Palatino Linotype" w:cs="Palatino Linotype"/>
        </w:rPr>
        <w:t>se señala que de conformidad con el artículo 5 de la Ley del Seguro Social</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rsidR="00417491" w:rsidRDefault="00C7194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ARTICULO 1.- </w:t>
      </w:r>
      <w:r>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rsidR="00417491" w:rsidRDefault="00C7194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ARTICULO 2.- </w:t>
      </w:r>
      <w:r>
        <w:rPr>
          <w:rFonts w:ascii="Palatino Linotype" w:eastAsia="Palatino Linotype" w:hAnsi="Palatino Linotype" w:cs="Palatino Linotype"/>
          <w:i/>
          <w:sz w:val="22"/>
          <w:szCs w:val="22"/>
        </w:rPr>
        <w:t>La aplicación y cumplimiento del régimen de seguridad social que regula esta ley, le corresponde al Instituto de Seguridad Social del Estado de México y Municipios, organismo público descentralizado con personalidad jurídica y patrimonio propios.</w:t>
      </w: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Son sujetos de esta ley:</w:t>
      </w:r>
    </w:p>
    <w:p w:rsidR="00417491" w:rsidRDefault="00C7194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rsidR="00417491" w:rsidRDefault="00C7194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Los servidores públicos de las instituciones públicas mencionadas en la fracción anterior;</w:t>
      </w:r>
    </w:p>
    <w:p w:rsidR="00417491" w:rsidRDefault="00C7194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Los pensionados y pensionistas;</w:t>
      </w:r>
    </w:p>
    <w:p w:rsidR="00417491" w:rsidRDefault="00C7194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Los familiares y dependientes económicos de los servidores públicos y de los pensionados.</w:t>
      </w:r>
    </w:p>
    <w:p w:rsidR="00417491" w:rsidRDefault="00C7194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ARTICULO 5</w:t>
      </w:r>
      <w:r>
        <w:rPr>
          <w:rFonts w:ascii="Palatino Linotype" w:eastAsia="Palatino Linotype" w:hAnsi="Palatino Linotype" w:cs="Palatino Linotype"/>
          <w:i/>
          <w:sz w:val="22"/>
          <w:szCs w:val="22"/>
        </w:rPr>
        <w:t>.- Para los efectos de esta ley se entiende por:</w:t>
      </w:r>
    </w:p>
    <w:p w:rsidR="00417491" w:rsidRDefault="00C7194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17491" w:rsidRDefault="00C7194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Institución pública,</w:t>
      </w:r>
      <w:r>
        <w:rPr>
          <w:rFonts w:ascii="Palatino Linotype" w:eastAsia="Palatino Linotype" w:hAnsi="Palatino Linotype" w:cs="Palatino Linotype"/>
          <w:i/>
          <w:sz w:val="22"/>
          <w:szCs w:val="22"/>
        </w:rPr>
        <w:t xml:space="preserve"> a los poderes públicos del estado, los ayuntamientos de los municipios y los tribunales administrativos, así como los organismos auxiliares y fideicomisos públicos de carácter estatal y municipal;</w:t>
      </w:r>
    </w:p>
    <w:p w:rsidR="00417491" w:rsidRDefault="00C71941">
      <w:pPr>
        <w:spacing w:before="120" w:after="120"/>
        <w:ind w:left="1134"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III. Servidor público</w:t>
      </w:r>
      <w:r>
        <w:rPr>
          <w:rFonts w:ascii="Palatino Linotype" w:eastAsia="Palatino Linotype" w:hAnsi="Palatino Linotype" w:cs="Palatino Linotype"/>
          <w:i/>
          <w:sz w:val="22"/>
          <w:szCs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rsidR="00417491" w:rsidRDefault="00417491">
      <w:pPr>
        <w:spacing w:line="360" w:lineRule="auto"/>
        <w:jc w:val="both"/>
        <w:rPr>
          <w:rFonts w:ascii="Palatino Linotype" w:eastAsia="Palatino Linotype" w:hAnsi="Palatino Linotype" w:cs="Palatino Linotype"/>
        </w:rPr>
      </w:pPr>
    </w:p>
    <w:p w:rsidR="00417491" w:rsidRDefault="00C71941">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De conformidad con los preceptos legales, se acredita que compete Instituto de Seguridad Social del Estado de México y Municipios, ISSEMyM, re</w:t>
      </w:r>
      <w:r>
        <w:rPr>
          <w:rFonts w:ascii="Palatino Linotype" w:eastAsia="Palatino Linotype" w:hAnsi="Palatino Linotype" w:cs="Palatino Linotype"/>
          <w:b/>
        </w:rPr>
        <w:t>g</w:t>
      </w:r>
      <w:r>
        <w:rPr>
          <w:rFonts w:ascii="Palatino Linotype" w:eastAsia="Palatino Linotype" w:hAnsi="Palatino Linotype" w:cs="Palatino Linotype"/>
        </w:rPr>
        <w:t xml:space="preserve">ular el régimen de seguridad social en favor de los servidores públicos del estado y municipios, consecuentemente,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resulta incompetente para tener en sus </w:t>
      </w:r>
      <w:r>
        <w:rPr>
          <w:rFonts w:ascii="Palatino Linotype" w:eastAsia="Palatino Linotype" w:hAnsi="Palatino Linotype" w:cs="Palatino Linotype"/>
        </w:rPr>
        <w:lastRenderedPageBreak/>
        <w:t>archivos la información relativa a la opinión de cumplimiento de sus obligaciones fiscales en materia de Seguridad Social” emitida por el Instituto Mexicano del Seguro Social, IMSS.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expuesto, se advierte una notoria incompetencia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dar respuesta a los requerimientos marcados con los números romanos II y III, y si bien ante dicha circunstancia, no se observó lo previsto en el párrafo primero del artículo 167 de la Ley de la Materia, que es del tenor literal siguiente:</w:t>
      </w:r>
    </w:p>
    <w:p w:rsidR="00417491" w:rsidRDefault="00C7194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167</w:t>
      </w:r>
      <w:r>
        <w:rPr>
          <w:rFonts w:ascii="Palatino Linotype" w:eastAsia="Palatino Linotype" w:hAnsi="Palatino Linotype" w:cs="Palatino Linotype"/>
          <w:i/>
          <w:sz w:val="22"/>
          <w:szCs w:val="22"/>
        </w:rPr>
        <w:t>. C</w:t>
      </w:r>
      <w:r>
        <w:rPr>
          <w:rFonts w:ascii="Palatino Linotype" w:eastAsia="Palatino Linotype" w:hAnsi="Palatino Linotype" w:cs="Palatino Linotype"/>
          <w:b/>
          <w:i/>
          <w:sz w:val="22"/>
          <w:szCs w:val="22"/>
        </w:rPr>
        <w:t>uando las unidades de transparencia determinen la notoria incompetencia por parte de los sujetos obligados,</w:t>
      </w:r>
      <w:r>
        <w:rPr>
          <w:rFonts w:ascii="Palatino Linotype" w:eastAsia="Palatino Linotype" w:hAnsi="Palatino Linotype" w:cs="Palatino Linotype"/>
          <w:i/>
          <w:sz w:val="22"/>
          <w:szCs w:val="22"/>
        </w:rPr>
        <w:t xml:space="preserve"> dentro del ámbito de aplicación, para atender la solicitud de acceso a la información, </w:t>
      </w:r>
      <w:r>
        <w:rPr>
          <w:rFonts w:ascii="Palatino Linotype" w:eastAsia="Palatino Linotype" w:hAnsi="Palatino Linotype" w:cs="Palatino Linotype"/>
          <w:b/>
          <w:i/>
          <w:sz w:val="22"/>
          <w:szCs w:val="22"/>
        </w:rPr>
        <w:t xml:space="preserve">deberán comunicarlo al solicitante, dentro de los </w:t>
      </w:r>
      <w:r>
        <w:rPr>
          <w:rFonts w:ascii="Palatino Linotype" w:eastAsia="Palatino Linotype" w:hAnsi="Palatino Linotype" w:cs="Palatino Linotype"/>
          <w:b/>
          <w:i/>
          <w:sz w:val="22"/>
          <w:szCs w:val="22"/>
          <w:u w:val="single"/>
        </w:rPr>
        <w:t>tres días hábiles posteriores</w:t>
      </w:r>
      <w:r>
        <w:rPr>
          <w:rFonts w:ascii="Palatino Linotype" w:eastAsia="Palatino Linotype" w:hAnsi="Palatino Linotype" w:cs="Palatino Linotype"/>
          <w:b/>
          <w:i/>
          <w:sz w:val="22"/>
          <w:szCs w:val="22"/>
        </w:rPr>
        <w:t xml:space="preserve"> a la recepción de la solicitud</w:t>
      </w:r>
      <w:r>
        <w:rPr>
          <w:rFonts w:ascii="Palatino Linotype" w:eastAsia="Palatino Linotype" w:hAnsi="Palatino Linotype" w:cs="Palatino Linotype"/>
          <w:i/>
          <w:sz w:val="22"/>
          <w:szCs w:val="22"/>
        </w:rPr>
        <w:t xml:space="preserve"> y, en su caso orientar al solicitante, el o los sujetos obligados competentes.”(Sic)</w:t>
      </w:r>
    </w:p>
    <w:p w:rsidR="00417491" w:rsidRDefault="00C71941">
      <w:pPr>
        <w:spacing w:before="240" w:after="240" w:line="360" w:lineRule="auto"/>
        <w:jc w:val="both"/>
      </w:pPr>
      <w:r>
        <w:rPr>
          <w:rFonts w:ascii="Palatino Linotype" w:eastAsia="Palatino Linotype" w:hAnsi="Palatino Linotype" w:cs="Palatino Linotype"/>
        </w:rPr>
        <w:t>En el caso concreto resulta ocioso y a nada práctico llevaría ordenar la declaratoria formal de incompetencia a través del acuerdo que para tales efectos emita el Comité de Transparencia en términos de lo previsto en el artículo 49 fracción II</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de la Ley de Transparencia y Acceso a la Información Pública del Estado de México y Municipios, al acreditarse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 esta supeditado al cumplimiento de obligaciones fiscales ante el Instituto del Fondo Nacional de la Vivienda para los Trabajadores, INFONAVIT, así como el Instituto Mexicano del Seguro Social, IMSS.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obstante de lo anterior, se insta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en próximas ocasiones observe las formalidades que prevén las leyes de la materia a efecto de no vulnerar el derecho de acceso a la información de los particulares.</w:t>
      </w: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hace de su conocimiento que mismo articulo 167 de la Ley de la Materia, en su párrafo segundo concede a los Sujetos Obligados la posibilidad de atender de manera parcial las solicitudes de acceso a la información, dando respuesta únicamente respecto de aquellos requerimientos sobre los cuales se tiene competencia, y, respecto de la información sobre la cual se es incompetente, declarar la incompetencia en el término de tres días hábiles posteriores a la recepción de la solicitud.</w:t>
      </w:r>
    </w:p>
    <w:p w:rsidR="00417491" w:rsidRDefault="00417491">
      <w:pPr>
        <w:pBdr>
          <w:top w:val="nil"/>
          <w:left w:val="nil"/>
          <w:bottom w:val="nil"/>
          <w:right w:val="nil"/>
          <w:between w:val="nil"/>
        </w:pBdr>
        <w:spacing w:line="360" w:lineRule="auto"/>
        <w:ind w:right="-147"/>
        <w:jc w:val="both"/>
        <w:rPr>
          <w:rFonts w:ascii="Palatino Linotype" w:eastAsia="Palatino Linotype" w:hAnsi="Palatino Linotype" w:cs="Palatino Linotype"/>
        </w:rPr>
      </w:pPr>
    </w:p>
    <w:p w:rsidR="00417491" w:rsidRDefault="00C71941">
      <w:pPr>
        <w:pBdr>
          <w:top w:val="nil"/>
          <w:left w:val="nil"/>
          <w:bottom w:val="nil"/>
          <w:right w:val="nil"/>
          <w:between w:val="nil"/>
        </w:pBdr>
        <w:spacing w:line="360" w:lineRule="auto"/>
        <w:ind w:right="-147"/>
        <w:jc w:val="both"/>
        <w:rPr>
          <w:rFonts w:ascii="Palatino Linotype" w:eastAsia="Palatino Linotype" w:hAnsi="Palatino Linotype" w:cs="Palatino Linotype"/>
          <w:shd w:val="clear" w:color="auto" w:fill="FF9900"/>
        </w:rPr>
      </w:pPr>
      <w:r>
        <w:rPr>
          <w:rFonts w:ascii="Palatino Linotype" w:eastAsia="Palatino Linotype" w:hAnsi="Palatino Linotype" w:cs="Palatino Linotype"/>
        </w:rPr>
        <w:t xml:space="preserve">Lo que se robustece con el padrón de Sujetos Obligados del Ámbito Federal, en términos de la Ley General de Transparencia y Acceso a la Información Pública, de veintiséis de mayo de dos mil veinte, en la liga </w:t>
      </w:r>
      <w:hyperlink r:id="rId29">
        <w:r>
          <w:rPr>
            <w:rFonts w:ascii="Palatino Linotype" w:eastAsia="Palatino Linotype" w:hAnsi="Palatino Linotype" w:cs="Palatino Linotype"/>
            <w:color w:val="0000FF"/>
            <w:u w:val="single"/>
          </w:rPr>
          <w:t>https://www.fonacot.gob.mx/TransparenciaRendicionCuentas/Documents/Normatividad%20en%20Transparencia/Padron_Sujetos_Obligados%20INAI.pdf</w:t>
        </w:r>
      </w:hyperlink>
      <w:r>
        <w:rPr>
          <w:rFonts w:ascii="Palatino Linotype" w:eastAsia="Palatino Linotype" w:hAnsi="Palatino Linotype" w:cs="Palatino Linotype"/>
        </w:rPr>
        <w:t>), en el que se advierte que el Instituto Mexicano del Seguro Social, es un Sujeto Obligado diverso, como se acredita con la siguiente imagen de dicho padrón que se inserta a continuación de manera ilustrativa:</w:t>
      </w:r>
    </w:p>
    <w:p w:rsidR="00417491" w:rsidRDefault="00C71941">
      <w:pPr>
        <w:spacing w:line="360" w:lineRule="auto"/>
        <w:jc w:val="both"/>
        <w:rPr>
          <w:rFonts w:ascii="Palatino Linotype" w:eastAsia="Palatino Linotype" w:hAnsi="Palatino Linotype" w:cs="Palatino Linotype"/>
        </w:rPr>
      </w:pPr>
      <w:bookmarkStart w:id="1" w:name="_heading=h.1fob9te" w:colFirst="0" w:colLast="0"/>
      <w:bookmarkEnd w:id="1"/>
      <w:r>
        <w:rPr>
          <w:noProof/>
          <w:lang w:val="es-MX" w:eastAsia="es-MX"/>
        </w:rPr>
        <w:lastRenderedPageBreak/>
        <w:drawing>
          <wp:inline distT="0" distB="0" distL="0" distR="0">
            <wp:extent cx="5644422" cy="1951927"/>
            <wp:effectExtent l="0" t="0" r="0" b="0"/>
            <wp:docPr id="9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l="24979" t="38184" r="24861" b="16079"/>
                    <a:stretch>
                      <a:fillRect/>
                    </a:stretch>
                  </pic:blipFill>
                  <pic:spPr>
                    <a:xfrm>
                      <a:off x="0" y="0"/>
                      <a:ext cx="5644422" cy="1951927"/>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2819400</wp:posOffset>
                </wp:positionH>
                <wp:positionV relativeFrom="paragraph">
                  <wp:posOffset>533400</wp:posOffset>
                </wp:positionV>
                <wp:extent cx="648030" cy="428336"/>
                <wp:effectExtent l="0" t="0" r="0" b="0"/>
                <wp:wrapNone/>
                <wp:docPr id="72" name=""/>
                <wp:cNvGraphicFramePr/>
                <a:graphic xmlns:a="http://schemas.openxmlformats.org/drawingml/2006/main">
                  <a:graphicData uri="http://schemas.microsoft.com/office/word/2010/wordprocessingShape">
                    <wps:wsp>
                      <wps:cNvSpPr/>
                      <wps:spPr>
                        <a:xfrm>
                          <a:off x="5028335" y="3572182"/>
                          <a:ext cx="635330" cy="415636"/>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417491" w:rsidRDefault="0041749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2819400</wp:posOffset>
                </wp:positionH>
                <wp:positionV relativeFrom="paragraph">
                  <wp:posOffset>533400</wp:posOffset>
                </wp:positionV>
                <wp:extent cx="648030" cy="428336"/>
                <wp:effectExtent b="0" l="0" r="0" t="0"/>
                <wp:wrapNone/>
                <wp:docPr id="72" name="image27.png"/>
                <a:graphic>
                  <a:graphicData uri="http://schemas.openxmlformats.org/drawingml/2006/picture">
                    <pic:pic>
                      <pic:nvPicPr>
                        <pic:cNvPr id="0" name="image27.png"/>
                        <pic:cNvPicPr preferRelativeResize="0"/>
                      </pic:nvPicPr>
                      <pic:blipFill>
                        <a:blip r:embed="rId31"/>
                        <a:srcRect/>
                        <a:stretch>
                          <a:fillRect/>
                        </a:stretch>
                      </pic:blipFill>
                      <pic:spPr>
                        <a:xfrm>
                          <a:off x="0" y="0"/>
                          <a:ext cx="648030" cy="428336"/>
                        </a:xfrm>
                        <a:prstGeom prst="rect"/>
                        <a:ln/>
                      </pic:spPr>
                    </pic:pic>
                  </a:graphicData>
                </a:graphic>
              </wp:anchor>
            </w:drawing>
          </mc:Fallback>
        </mc:AlternateConten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al numeral </w:t>
      </w:r>
      <w:r>
        <w:rPr>
          <w:rFonts w:ascii="Palatino Linotype" w:eastAsia="Palatino Linotype" w:hAnsi="Palatino Linotype" w:cs="Palatino Linotype"/>
          <w:b/>
          <w:sz w:val="26"/>
          <w:szCs w:val="26"/>
        </w:rPr>
        <w:t>V</w:t>
      </w:r>
      <w:r>
        <w:rPr>
          <w:rFonts w:ascii="Palatino Linotype" w:eastAsia="Palatino Linotype" w:hAnsi="Palatino Linotype" w:cs="Palatino Linotype"/>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peticiona un documento de tipo específico que contenga desagregada la información en 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del contenido del requerimiento, podemos sintetizar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peticiona el soporte documental en el que sea observable el Impuesto Sobre la Renta ISR, participable y recuperado, en esa virtud, resulta </w:t>
      </w:r>
      <w:r>
        <w:rPr>
          <w:rFonts w:ascii="Palatino Linotype" w:eastAsia="Palatino Linotype" w:hAnsi="Palatino Linotype" w:cs="Palatino Linotype"/>
        </w:rPr>
        <w:lastRenderedPageBreak/>
        <w:t>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rsidR="00417491" w:rsidRDefault="00417491">
      <w:pPr>
        <w:spacing w:line="360" w:lineRule="auto"/>
        <w:jc w:val="both"/>
        <w:rPr>
          <w:rFonts w:ascii="Palatino Linotype" w:eastAsia="Palatino Linotype" w:hAnsi="Palatino Linotype" w:cs="Palatino Linotype"/>
        </w:rPr>
      </w:pPr>
    </w:p>
    <w:p w:rsidR="00417491" w:rsidRDefault="00C71941">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48. Retenciones del Impuesto Sobre la Renta por Salarios, Honorarios y Arrendamiento</w:t>
      </w:r>
    </w:p>
    <w:p w:rsidR="00417491" w:rsidRDefault="00C71941">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Formato: el archivo se presentará en .pdf y .xls</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Objetivo</w:t>
      </w:r>
      <w:r>
        <w:rPr>
          <w:rFonts w:ascii="Palatino Linotype" w:eastAsia="Palatino Linotype" w:hAnsi="Palatino Linotype" w:cs="Palatino Linotype"/>
          <w:i/>
          <w:sz w:val="22"/>
          <w:szCs w:val="22"/>
        </w:rPr>
        <w:t>: Concentrar toda la información de las Retenciones del Impuesto Sobre la Renta por Salarios, Honorarios y Arrendamiento.</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Instructivo:</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 Entidad Municipal:</w:t>
      </w:r>
      <w:r>
        <w:rPr>
          <w:rFonts w:ascii="Palatino Linotype" w:eastAsia="Palatino Linotype" w:hAnsi="Palatino Linotype" w:cs="Palatino Linotype"/>
          <w:i/>
          <w:sz w:val="22"/>
          <w:szCs w:val="22"/>
        </w:rPr>
        <w:t xml:space="preserve"> Anotar el nombre de la entidad, seguido del número que le corresponde, por ejemplo: Toluca, 101.</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 Periodo de Presentación; </w:t>
      </w:r>
      <w:r>
        <w:rPr>
          <w:rFonts w:ascii="Palatino Linotype" w:eastAsia="Palatino Linotype" w:hAnsi="Palatino Linotype" w:cs="Palatino Linotype"/>
          <w:i/>
          <w:sz w:val="22"/>
          <w:szCs w:val="22"/>
        </w:rPr>
        <w:t xml:space="preserve">Indicar a que fecha se presenta la información requisitada.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3. ISR Retenido por Salarios:</w:t>
      </w:r>
      <w:r>
        <w:rPr>
          <w:rFonts w:ascii="Palatino Linotype" w:eastAsia="Palatino Linotype" w:hAnsi="Palatino Linotype" w:cs="Palatino Linotype"/>
          <w:i/>
          <w:sz w:val="22"/>
          <w:szCs w:val="22"/>
        </w:rPr>
        <w:t xml:space="preserve"> Anotar en pesos el importe mensual registrado por este concepto durante el ejercicio 2019.</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4. ISR Retenido por Honorarios: </w:t>
      </w:r>
      <w:r>
        <w:rPr>
          <w:rFonts w:ascii="Palatino Linotype" w:eastAsia="Palatino Linotype" w:hAnsi="Palatino Linotype" w:cs="Palatino Linotype"/>
          <w:i/>
          <w:sz w:val="22"/>
          <w:szCs w:val="22"/>
        </w:rPr>
        <w:t>Colocar en pesos el importe mensual registrado por este concepto durante el ejercicio 2019.</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5. ISR por pago a cuenta de Terceros o Retenciones por Arrendamiento de Inmuebles:</w:t>
      </w:r>
      <w:r>
        <w:rPr>
          <w:rFonts w:ascii="Palatino Linotype" w:eastAsia="Palatino Linotype" w:hAnsi="Palatino Linotype" w:cs="Palatino Linotype"/>
          <w:i/>
          <w:sz w:val="22"/>
          <w:szCs w:val="22"/>
        </w:rPr>
        <w:t xml:space="preserve"> En caso de que la entidad presente retenciones por estos conceptos deberá anotar en pesos el importe mensual registrado por este concepto durante el ejercicio 2019.</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6.- ISR Retenido por algún otro concepto:</w:t>
      </w:r>
      <w:r>
        <w:rPr>
          <w:rFonts w:ascii="Palatino Linotype" w:eastAsia="Palatino Linotype" w:hAnsi="Palatino Linotype" w:cs="Palatino Linotype"/>
          <w:i/>
          <w:sz w:val="22"/>
          <w:szCs w:val="22"/>
        </w:rPr>
        <w:t xml:space="preserve"> En caso de que la entidad presente retenciones por algún otro concepto no detallado entre los principales, estos deberá anotarse en pesos el importe mensual registrado por este concepto durante el ejercicio 2019.</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7.- Actualizaciones y Recargos:</w:t>
      </w:r>
      <w:r>
        <w:rPr>
          <w:rFonts w:ascii="Palatino Linotype" w:eastAsia="Palatino Linotype" w:hAnsi="Palatino Linotype" w:cs="Palatino Linotype"/>
          <w:i/>
          <w:sz w:val="22"/>
          <w:szCs w:val="22"/>
        </w:rPr>
        <w:t xml:space="preserve"> En casos de cumplimiento extemporáneo de obligaciones deberán anotar la suma en pesos de las actualizaciones y los recargos que fueron originados al momento de cumplir con la obligación.</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8.- Subsidio al empleo: </w:t>
      </w:r>
      <w:r>
        <w:rPr>
          <w:rFonts w:ascii="Palatino Linotype" w:eastAsia="Palatino Linotype" w:hAnsi="Palatino Linotype" w:cs="Palatino Linotype"/>
          <w:i/>
          <w:sz w:val="22"/>
          <w:szCs w:val="22"/>
        </w:rPr>
        <w:t>Anotar en pesos el importe mensual registrado por este concepto de ayuda o apoyo que por ley debe pagarle el patrón al trabajador cuando éste último percibe el salario mínimo durante el ejercicio y que se acredito contra el ISR a cargo.</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9.- ISR por pagar; </w:t>
      </w:r>
      <w:r>
        <w:rPr>
          <w:rFonts w:ascii="Palatino Linotype" w:eastAsia="Palatino Linotype" w:hAnsi="Palatino Linotype" w:cs="Palatino Linotype"/>
          <w:i/>
          <w:sz w:val="22"/>
          <w:szCs w:val="22"/>
        </w:rPr>
        <w:t>Operación aritmética que consiste en sumar los conceptos de retención de ISR con las actualizaciones y recargos que en su caso se originaron descontando el subsidio.</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Refleja el saldo mensual que se debió pagar de las Retenciones del Impuesto Sobre la Renta por Salarios, Honorarios y Arrendamiento del ejercicio 2019.</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10.- Pagos realizados de acuerdo a expediente;</w:t>
      </w:r>
      <w:r>
        <w:rPr>
          <w:rFonts w:ascii="Palatino Linotype" w:eastAsia="Palatino Linotype" w:hAnsi="Palatino Linotype" w:cs="Palatino Linotype"/>
          <w:i/>
          <w:sz w:val="22"/>
          <w:szCs w:val="22"/>
        </w:rPr>
        <w:t xml:space="preserve"> Anotar en pesos el importe correspondiente a cada mes de los pagos efectuados por las Retenciones del Impuesto Sobre la Renta por Salarios, Honorarios y Arrendamiento del ejercicio 2019.</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11.- Fecha de pago: </w:t>
      </w:r>
      <w:r>
        <w:rPr>
          <w:rFonts w:ascii="Palatino Linotype" w:eastAsia="Palatino Linotype" w:hAnsi="Palatino Linotype" w:cs="Palatino Linotype"/>
          <w:i/>
          <w:sz w:val="22"/>
          <w:szCs w:val="22"/>
        </w:rPr>
        <w:t>Especificar la fecha en que se realizó el pago de dicha obligación.</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12.- Remanente por pagar:</w:t>
      </w:r>
      <w:r>
        <w:rPr>
          <w:rFonts w:ascii="Palatino Linotype" w:eastAsia="Palatino Linotype" w:hAnsi="Palatino Linotype" w:cs="Palatino Linotype"/>
          <w:i/>
          <w:sz w:val="22"/>
          <w:szCs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13.- Cuenta Contable:</w:t>
      </w:r>
      <w:r>
        <w:rPr>
          <w:rFonts w:ascii="Palatino Linotype" w:eastAsia="Palatino Linotype" w:hAnsi="Palatino Linotype" w:cs="Palatino Linotype"/>
          <w:i/>
          <w:sz w:val="22"/>
          <w:szCs w:val="22"/>
        </w:rPr>
        <w:t xml:space="preserve"> Anotar las subcuentas a nivel registro de la cuenta contable donde se registró la provisión del pasivo para el pago de las Retenciones del Impuesto Sobre la Renta por Salarios, Honorarios y Arrendamiento del ejercicio 2019.</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14.- Saldo de la Cuenta de pasivo:</w:t>
      </w:r>
      <w:r>
        <w:rPr>
          <w:rFonts w:ascii="Palatino Linotype" w:eastAsia="Palatino Linotype" w:hAnsi="Palatino Linotype" w:cs="Palatino Linotype"/>
          <w:i/>
          <w:sz w:val="22"/>
          <w:szCs w:val="22"/>
        </w:rPr>
        <w:t xml:space="preserve"> Colocar en pesos el saldo de la cuenta de pasivo que reflejan los reportes contables para cada cuenta que le corresponda.</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15. Apartado de Firmas:</w:t>
      </w:r>
      <w:r>
        <w:rPr>
          <w:rFonts w:ascii="Palatino Linotype" w:eastAsia="Palatino Linotype" w:hAnsi="Palatino Linotype" w:cs="Palatino Linotype"/>
          <w:i/>
          <w:sz w:val="22"/>
          <w:szCs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363350" cy="3029300"/>
            <wp:effectExtent l="0" t="0" r="0" b="0"/>
            <wp:docPr id="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363350" cy="3029300"/>
                    </a:xfrm>
                    <a:prstGeom prst="rect">
                      <a:avLst/>
                    </a:prstGeom>
                    <a:ln/>
                  </pic:spPr>
                </pic:pic>
              </a:graphicData>
            </a:graphic>
          </wp:inline>
        </w:drawing>
      </w: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podemos observar, el documento denominado “Retenciones del Impuesto Sobre la Renta por Salarios, Honorarios y Arrendamiento”, satisface el requerimiento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apreciarse en los apartados del documento, que contiene la información peticionada, 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ser ente fiscalizable por el Órgano Superior de Fiscalización del Estado de México OSFEM, que lo constriñe a remitir la información referida, se encuentra obligado a tenerla en sus archivos, consecuentemente es dable ordenar su entrega.</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Verdana" w:eastAsia="Verdana" w:hAnsi="Verdana" w:cs="Verdana"/>
          <w:color w:val="000000"/>
          <w:sz w:val="14"/>
          <w:szCs w:val="14"/>
        </w:rPr>
      </w:pPr>
      <w:r>
        <w:rPr>
          <w:rFonts w:ascii="Palatino Linotype" w:eastAsia="Palatino Linotype" w:hAnsi="Palatino Linotype" w:cs="Palatino Linotype"/>
        </w:rPr>
        <w:t xml:space="preserve">En lo concerniente al punto VI.- Papel de trabajo de tres muestras de trabajadores por los años 2017, 2018, 2019 y 2020, sobre este punto, es necesario precisar que  de la lectura del mismo, se acredita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peticiona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w:t>
      </w:r>
      <w:r>
        <w:rPr>
          <w:rFonts w:ascii="Palatino Linotype" w:eastAsia="Palatino Linotype" w:hAnsi="Palatino Linotype" w:cs="Palatino Linotype"/>
        </w:rPr>
        <w:lastRenderedPageBreak/>
        <w:t xml:space="preserve">cálculo de impuestos, por lo que a manera de muestra </w:t>
      </w:r>
      <w:r>
        <w:rPr>
          <w:rFonts w:ascii="Palatino Linotype" w:eastAsia="Palatino Linotype" w:hAnsi="Palatino Linotype" w:cs="Palatino Linotype"/>
          <w:u w:val="single"/>
        </w:rPr>
        <w:t>calculen los impuestos anuales</w:t>
      </w:r>
      <w:r>
        <w:rPr>
          <w:rFonts w:ascii="Palatino Linotype" w:eastAsia="Palatino Linotype" w:hAnsi="Palatino Linotype" w:cs="Palatino Linotype"/>
        </w:rPr>
        <w:t xml:space="preserve"> de los años 2017, 2018, 2019 y 2020, una vez hecho el procesamiento de la información, deberá realizar un documento de tipo específico que la contenga desagregada conforme a los apartados señalados.</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Pr>
          <w:rFonts w:ascii="Palatino Linotype" w:eastAsia="Palatino Linotype" w:hAnsi="Palatino Linotype" w:cs="Palatino Linotype"/>
          <w:u w:val="single"/>
        </w:rPr>
        <w:t>en el estado que se encuentra y no hacer un procesamiento de la misma, ni presentarla conforme al interés del solicitante</w:t>
      </w:r>
      <w:r>
        <w:rPr>
          <w:rFonts w:ascii="Palatino Linotype" w:eastAsia="Palatino Linotype" w:hAnsi="Palatino Linotype" w:cs="Palatino Linotype"/>
        </w:rPr>
        <w:t>; como así lo establece el artículo 12 de la Ley de Transparencia y Acceso a la Información Pública del Estado de México y Municipios, que a la letra dice:</w:t>
      </w:r>
    </w:p>
    <w:p w:rsidR="00417491" w:rsidRDefault="00417491">
      <w:pPr>
        <w:spacing w:line="276" w:lineRule="auto"/>
        <w:jc w:val="both"/>
        <w:rPr>
          <w:rFonts w:ascii="Palatino Linotype" w:eastAsia="Palatino Linotype" w:hAnsi="Palatino Linotype" w:cs="Palatino Linotype"/>
        </w:rPr>
      </w:pP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417491" w:rsidRDefault="00417491">
      <w:pPr>
        <w:ind w:left="567" w:right="567"/>
        <w:jc w:val="both"/>
        <w:rPr>
          <w:rFonts w:ascii="Palatino Linotype" w:eastAsia="Palatino Linotype" w:hAnsi="Palatino Linotype" w:cs="Palatino Linotype"/>
          <w:i/>
          <w:sz w:val="22"/>
          <w:szCs w:val="22"/>
        </w:rPr>
      </w:pP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417491" w:rsidRDefault="00417491">
      <w:pPr>
        <w:spacing w:line="276" w:lineRule="auto"/>
        <w:ind w:right="-93"/>
        <w:jc w:val="both"/>
        <w:rPr>
          <w:rFonts w:ascii="Palatino Linotype" w:eastAsia="Palatino Linotype" w:hAnsi="Palatino Linotype" w:cs="Palatino Linotype"/>
          <w:color w:val="000000"/>
        </w:rPr>
      </w:pPr>
    </w:p>
    <w:p w:rsidR="00417491" w:rsidRDefault="00C71941">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Pr>
          <w:rFonts w:ascii="Palatino Linotype" w:eastAsia="Palatino Linotype" w:hAnsi="Palatino Linotype" w:cs="Palatino Linotype"/>
          <w:color w:val="000000"/>
        </w:rPr>
        <w:lastRenderedPageBreak/>
        <w:t>que los Sujetos Obligados sólo se concretaran a proporcionar la información solicitada que tengan en su poder en el estado que se encuentran, sin necesidad de concretarse al interés o términos específicos del solicitante.</w:t>
      </w:r>
    </w:p>
    <w:p w:rsidR="00417491" w:rsidRDefault="00417491">
      <w:pPr>
        <w:spacing w:line="360" w:lineRule="auto"/>
        <w:ind w:right="-93"/>
        <w:jc w:val="both"/>
        <w:rPr>
          <w:rFonts w:ascii="Palatino Linotype" w:eastAsia="Palatino Linotype" w:hAnsi="Palatino Linotype" w:cs="Palatino Linotype"/>
          <w:color w:val="000000"/>
        </w:rPr>
      </w:pPr>
    </w:p>
    <w:p w:rsidR="00417491" w:rsidRDefault="00C71941">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417491" w:rsidRDefault="00417491">
      <w:pPr>
        <w:spacing w:line="360" w:lineRule="auto"/>
        <w:ind w:left="851" w:right="901"/>
        <w:jc w:val="both"/>
        <w:rPr>
          <w:rFonts w:ascii="Palatino Linotype" w:eastAsia="Palatino Linotype" w:hAnsi="Palatino Linotype" w:cs="Palatino Linotype"/>
          <w:i/>
          <w:color w:val="000000"/>
        </w:rPr>
      </w:pPr>
    </w:p>
    <w:p w:rsidR="00417491" w:rsidRDefault="00C71941">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17491" w:rsidRDefault="00C71941">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417491" w:rsidRDefault="00C71941">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RRA 0050/16. Instituto Nacional para la Evaluación de la Educación. 13 julio de 2016. Por unanimidad. Comisionado Ponente: Francisco Javier Acuña Llamas.</w:t>
      </w:r>
    </w:p>
    <w:p w:rsidR="00417491" w:rsidRDefault="00C71941">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417491" w:rsidRDefault="00C71941">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RRA 1889/16. Secretaría de Hacienda y Crédito Público. 05 de octubre de 2016. Por unanimidad. Comisionada Ponente. Ximena Puente de la Mora.”(Sic)</w:t>
      </w:r>
    </w:p>
    <w:p w:rsidR="00417491" w:rsidRDefault="00417491">
      <w:pPr>
        <w:spacing w:line="360" w:lineRule="auto"/>
        <w:jc w:val="both"/>
        <w:rPr>
          <w:rFonts w:ascii="Palatino Linotype" w:eastAsia="Palatino Linotype" w:hAnsi="Palatino Linotype" w:cs="Palatino Linotype"/>
        </w:rPr>
      </w:pP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al apreciarse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desea acceder a un soporte documental, sino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realice un procesamiento y cálculo de la información, una vez realizados, genere un documento que contenga </w:t>
      </w:r>
      <w:r>
        <w:rPr>
          <w:rFonts w:ascii="Palatino Linotype" w:eastAsia="Palatino Linotype" w:hAnsi="Palatino Linotype" w:cs="Palatino Linotype"/>
        </w:rPr>
        <w:lastRenderedPageBreak/>
        <w:t xml:space="preserve">desagregada la información, en apartados específicos lo cual no resulta exigible, consecuentemente, no resulta dable ordenar su entrega; sin embargo, el </w:t>
      </w:r>
      <w:r>
        <w:rPr>
          <w:rFonts w:ascii="Palatino Linotype" w:eastAsia="Palatino Linotype" w:hAnsi="Palatino Linotype" w:cs="Palatino Linotype"/>
          <w:b/>
        </w:rPr>
        <w:t>SUJETO OBLIGADO</w:t>
      </w:r>
      <w:r>
        <w:rPr>
          <w:rFonts w:ascii="Palatino Linotype" w:eastAsia="Palatino Linotype" w:hAnsi="Palatino Linotype" w:cs="Palatino Linotype"/>
        </w:rPr>
        <w:t>, en aras de garantizar el derecho de acceso a la información del solicitante entregó lo siguiente:</w:t>
      </w:r>
      <w:r>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-38099</wp:posOffset>
                </wp:positionH>
                <wp:positionV relativeFrom="paragraph">
                  <wp:posOffset>2324100</wp:posOffset>
                </wp:positionV>
                <wp:extent cx="5608740" cy="1963016"/>
                <wp:effectExtent l="0" t="0" r="0" b="0"/>
                <wp:wrapNone/>
                <wp:docPr id="68" name=""/>
                <wp:cNvGraphicFramePr/>
                <a:graphic xmlns:a="http://schemas.openxmlformats.org/drawingml/2006/main">
                  <a:graphicData uri="http://schemas.microsoft.com/office/word/2010/wordprocessingShape">
                    <wps:wsp>
                      <wps:cNvCnPr/>
                      <wps:spPr>
                        <a:xfrm>
                          <a:off x="2546393" y="2803255"/>
                          <a:ext cx="5599215" cy="1953491"/>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2324100</wp:posOffset>
                </wp:positionV>
                <wp:extent cx="5608740" cy="1963016"/>
                <wp:effectExtent b="0" l="0" r="0" t="0"/>
                <wp:wrapNone/>
                <wp:docPr id="68" name="image13.png"/>
                <a:graphic>
                  <a:graphicData uri="http://schemas.openxmlformats.org/drawingml/2006/picture">
                    <pic:pic>
                      <pic:nvPicPr>
                        <pic:cNvPr id="0" name="image13.png"/>
                        <pic:cNvPicPr preferRelativeResize="0"/>
                      </pic:nvPicPr>
                      <pic:blipFill>
                        <a:blip r:embed="rId33"/>
                        <a:srcRect/>
                        <a:stretch>
                          <a:fillRect/>
                        </a:stretch>
                      </pic:blipFill>
                      <pic:spPr>
                        <a:xfrm>
                          <a:off x="0" y="0"/>
                          <a:ext cx="5608740" cy="1963016"/>
                        </a:xfrm>
                        <a:prstGeom prst="rect"/>
                        <a:ln/>
                      </pic:spPr>
                    </pic:pic>
                  </a:graphicData>
                </a:graphic>
              </wp:anchor>
            </w:drawing>
          </mc:Fallback>
        </mc:AlternateConten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73590" cy="2658265"/>
            <wp:effectExtent l="0" t="0" r="0" b="0"/>
            <wp:docPr id="9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l="37394" t="20260" r="25212" b="38843"/>
                    <a:stretch>
                      <a:fillRect/>
                    </a:stretch>
                  </pic:blipFill>
                  <pic:spPr>
                    <a:xfrm>
                      <a:off x="0" y="0"/>
                      <a:ext cx="5473590" cy="2658265"/>
                    </a:xfrm>
                    <a:prstGeom prst="rect">
                      <a:avLst/>
                    </a:prstGeom>
                    <a:ln/>
                  </pic:spPr>
                </pic:pic>
              </a:graphicData>
            </a:graphic>
          </wp:inline>
        </w:drawing>
      </w: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no pasa desapercibido que, de un análisis a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no se advierte alguna inconformidad del documento anterior, ya que sólo se concretó a señalar “Y el V y VI es una sugerencia par eficientar y mejor sus actividades”, el cual no actualiza alguna de las hipótesis de procedencia del Recurso de Revisión, previstas en el artículo 179 de la Ley de Transparencia y Acceso a la Información Pública del Estado de México y Municipios, que señala:</w:t>
      </w:r>
    </w:p>
    <w:p w:rsidR="00417491" w:rsidRDefault="00417491">
      <w:pPr>
        <w:spacing w:line="360" w:lineRule="auto"/>
        <w:jc w:val="both"/>
        <w:rPr>
          <w:rFonts w:ascii="Palatino Linotype" w:eastAsia="Palatino Linotype" w:hAnsi="Palatino Linotype" w:cs="Palatino Linotype"/>
        </w:rPr>
      </w:pP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 La negativa a la información solicitada;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clasificación de la información;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declaración de inexistencia de la información;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 declaración de incompetencia por el sujeto obligado;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 entrega de información incompleta;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 entrega de información que no corresponda con lo solicitado;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La falta de respuesta a una solicitud de acceso a la información;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Los costos o tiempos de entrega de la información;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La falta de trámite a una solicitud;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La negativa a permitir la consulta directa de la información;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La falta, deficiencia o insuficiencia de la fundamentación y/o motivación en la respuesta; y X</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 orientación a un trámite específico. </w:t>
      </w:r>
    </w:p>
    <w:p w:rsidR="00417491" w:rsidRDefault="00C7194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rsidR="00417491" w:rsidRDefault="00417491">
      <w:pPr>
        <w:spacing w:line="360" w:lineRule="auto"/>
        <w:jc w:val="both"/>
        <w:rPr>
          <w:rFonts w:ascii="Palatino Linotype" w:eastAsia="Palatino Linotype" w:hAnsi="Palatino Linotype" w:cs="Palatino Linotype"/>
        </w:rPr>
      </w:pP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417491" w:rsidRDefault="00C7194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w:t>
      </w:r>
      <w:r>
        <w:rPr>
          <w:rFonts w:ascii="Palatino Linotype" w:eastAsia="Palatino Linotype" w:hAnsi="Palatino Linotype" w:cs="Palatino Linotype"/>
          <w:i/>
          <w:sz w:val="22"/>
          <w:szCs w:val="22"/>
        </w:rPr>
        <w:lastRenderedPageBreak/>
        <w:t>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w:t>
      </w:r>
      <w:r>
        <w:rPr>
          <w:rFonts w:ascii="Palatino Linotype" w:eastAsia="Palatino Linotype" w:hAnsi="Palatino Linotype" w:cs="Palatino Linotype"/>
          <w:b/>
        </w:rPr>
        <w:t>RECURRENTE</w:t>
      </w:r>
      <w:r>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417491" w:rsidRDefault="00C7194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rsidR="00417491" w:rsidRDefault="00C71941">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Colmando con ello el derecho de acceso a la información del particular en cuanto al presente punto.</w:t>
      </w:r>
    </w:p>
    <w:p w:rsidR="00417491" w:rsidRDefault="00C71941">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no pasa desapercibido para este Órgano Garante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peticiona la información de todas las Dependencias que integran el Ayuntamiento, así como de sus Organismos Descentralizados (Sistema de agua, Instituto de la mujer, casa de la cultura, etc.), en esa virtud, de conformidad con el Padrón de Sujetos </w:t>
      </w:r>
      <w:r>
        <w:rPr>
          <w:rFonts w:ascii="Palatino Linotype" w:eastAsia="Palatino Linotype" w:hAnsi="Palatino Linotype" w:cs="Palatino Linotype"/>
        </w:rPr>
        <w:lastRenderedPageBreak/>
        <w:t>Obligados del Estado de México, en materia de Transparencia, se advierte que tanto el Ayuntamiento de Almoloya de Juárez y el Organismo Público Descentralizado Municipal para la Prestación de los Servicios de Agua Potable, Drenaje y Tratamiento de Aguas Residuales de Almoloya De Juárez, son Sujetos Obligados diversos, lo que se acredita su notoria incompetencia, en atención a las siguientes imágenes del padrón de Sujetos Obligados en materia de Transparencia y Acceso a la Información Pública del Estado de México y Municipios, que se inserta a continuación de manera ilustrativa:</w:t>
      </w:r>
    </w:p>
    <w:p w:rsidR="00417491" w:rsidRDefault="00C71941">
      <w:pPr>
        <w:spacing w:line="360" w:lineRule="auto"/>
        <w:jc w:val="both"/>
        <w:rPr>
          <w:rFonts w:ascii="Palatino Linotype" w:eastAsia="Palatino Linotype" w:hAnsi="Palatino Linotype" w:cs="Palatino Linotype"/>
        </w:rPr>
      </w:pPr>
      <w:r>
        <w:rPr>
          <w:noProof/>
          <w:lang w:val="es-MX" w:eastAsia="es-MX"/>
        </w:rPr>
        <w:drawing>
          <wp:inline distT="0" distB="0" distL="0" distR="0">
            <wp:extent cx="5883567" cy="4486237"/>
            <wp:effectExtent l="0" t="0" r="0" b="0"/>
            <wp:docPr id="9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l="34816" t="20128" r="20426" b="14388"/>
                    <a:stretch>
                      <a:fillRect/>
                    </a:stretch>
                  </pic:blipFill>
                  <pic:spPr>
                    <a:xfrm>
                      <a:off x="0" y="0"/>
                      <a:ext cx="5883567" cy="4486237"/>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1312" behindDoc="0" locked="0" layoutInCell="1" hidden="0" allowOverlap="1">
                <wp:simplePos x="0" y="0"/>
                <wp:positionH relativeFrom="column">
                  <wp:posOffset>2641600</wp:posOffset>
                </wp:positionH>
                <wp:positionV relativeFrom="paragraph">
                  <wp:posOffset>4000500</wp:posOffset>
                </wp:positionV>
                <wp:extent cx="951675" cy="340096"/>
                <wp:effectExtent l="0" t="0" r="0" b="0"/>
                <wp:wrapNone/>
                <wp:docPr id="70" name=""/>
                <wp:cNvGraphicFramePr/>
                <a:graphic xmlns:a="http://schemas.openxmlformats.org/drawingml/2006/main">
                  <a:graphicData uri="http://schemas.microsoft.com/office/word/2010/wordprocessingShape">
                    <wps:wsp>
                      <wps:cNvSpPr/>
                      <wps:spPr>
                        <a:xfrm>
                          <a:off x="4876513" y="3616302"/>
                          <a:ext cx="938975" cy="327396"/>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417491" w:rsidRDefault="0041749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2641600</wp:posOffset>
                </wp:positionH>
                <wp:positionV relativeFrom="paragraph">
                  <wp:posOffset>4000500</wp:posOffset>
                </wp:positionV>
                <wp:extent cx="951675" cy="340096"/>
                <wp:effectExtent b="0" l="0" r="0" t="0"/>
                <wp:wrapNone/>
                <wp:docPr id="70" name="image16.png"/>
                <a:graphic>
                  <a:graphicData uri="http://schemas.openxmlformats.org/drawingml/2006/picture">
                    <pic:pic>
                      <pic:nvPicPr>
                        <pic:cNvPr id="0" name="image16.png"/>
                        <pic:cNvPicPr preferRelativeResize="0"/>
                      </pic:nvPicPr>
                      <pic:blipFill>
                        <a:blip r:embed="rId36"/>
                        <a:srcRect/>
                        <a:stretch>
                          <a:fillRect/>
                        </a:stretch>
                      </pic:blipFill>
                      <pic:spPr>
                        <a:xfrm>
                          <a:off x="0" y="0"/>
                          <a:ext cx="951675" cy="340096"/>
                        </a:xfrm>
                        <a:prstGeom prst="rect"/>
                        <a:ln/>
                      </pic:spPr>
                    </pic:pic>
                  </a:graphicData>
                </a:graphic>
              </wp:anchor>
            </w:drawing>
          </mc:Fallback>
        </mc:AlternateContent>
      </w:r>
    </w:p>
    <w:p w:rsidR="00417491" w:rsidRDefault="00C71941">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621249" cy="1778337"/>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l="34918" t="30932" r="19800" b="45066"/>
                    <a:stretch>
                      <a:fillRect/>
                    </a:stretch>
                  </pic:blipFill>
                  <pic:spPr>
                    <a:xfrm>
                      <a:off x="0" y="0"/>
                      <a:ext cx="5621249" cy="1778337"/>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2336" behindDoc="0" locked="0" layoutInCell="1" hidden="0" allowOverlap="1">
                <wp:simplePos x="0" y="0"/>
                <wp:positionH relativeFrom="column">
                  <wp:posOffset>4038600</wp:posOffset>
                </wp:positionH>
                <wp:positionV relativeFrom="paragraph">
                  <wp:posOffset>1473200</wp:posOffset>
                </wp:positionV>
                <wp:extent cx="951675" cy="340096"/>
                <wp:effectExtent l="0" t="0" r="0" b="0"/>
                <wp:wrapNone/>
                <wp:docPr id="67" name=""/>
                <wp:cNvGraphicFramePr/>
                <a:graphic xmlns:a="http://schemas.openxmlformats.org/drawingml/2006/main">
                  <a:graphicData uri="http://schemas.microsoft.com/office/word/2010/wordprocessingShape">
                    <wps:wsp>
                      <wps:cNvSpPr/>
                      <wps:spPr>
                        <a:xfrm>
                          <a:off x="4882863" y="3622652"/>
                          <a:ext cx="926275" cy="314696"/>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417491" w:rsidRDefault="0041749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4038600</wp:posOffset>
                </wp:positionH>
                <wp:positionV relativeFrom="paragraph">
                  <wp:posOffset>1473200</wp:posOffset>
                </wp:positionV>
                <wp:extent cx="951675" cy="340096"/>
                <wp:effectExtent b="0" l="0" r="0" t="0"/>
                <wp:wrapNone/>
                <wp:docPr id="67" name="image8.png"/>
                <a:graphic>
                  <a:graphicData uri="http://schemas.openxmlformats.org/drawingml/2006/picture">
                    <pic:pic>
                      <pic:nvPicPr>
                        <pic:cNvPr id="0" name="image8.png"/>
                        <pic:cNvPicPr preferRelativeResize="0"/>
                      </pic:nvPicPr>
                      <pic:blipFill>
                        <a:blip r:embed="rId38"/>
                        <a:srcRect/>
                        <a:stretch>
                          <a:fillRect/>
                        </a:stretch>
                      </pic:blipFill>
                      <pic:spPr>
                        <a:xfrm>
                          <a:off x="0" y="0"/>
                          <a:ext cx="951675" cy="340096"/>
                        </a:xfrm>
                        <a:prstGeom prst="rect"/>
                        <a:ln/>
                      </pic:spPr>
                    </pic:pic>
                  </a:graphicData>
                </a:graphic>
              </wp:anchor>
            </w:drawing>
          </mc:Fallback>
        </mc:AlternateConten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si bien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sobre las incompetencias que se observan en el presente considerando, en algunos sólo se concretó a decir que no le es aplicable y en otros no se pronunció al respecto, en ese sentido es pertinente señalar que nada práctico no conduciría ordenar el acuerdo de incompetencia respectivo, sí este Organismo Garante advierte que es una notoria incompetencia, por ello no es procedente ordenar el acuerdo de incompetencia respectivo. </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es pertinente señalar que respecto del punto IV. “La opinión de no adeudo en el cumplimiento de obligaciones fiscales estatales emitida por el SATEM, generada desde el portal de esa Institución, a través de internet”, de una revisión a la Ley</w:t>
      </w:r>
      <w:r>
        <w:t xml:space="preserve"> </w:t>
      </w:r>
      <w:r>
        <w:rPr>
          <w:rFonts w:ascii="Palatino Linotype" w:eastAsia="Palatino Linotype" w:hAnsi="Palatino Linotype" w:cs="Palatino Linotype"/>
        </w:rPr>
        <w:t xml:space="preserve">Orgánica de la Administración Pública del Estado de México, Bando Municipal del Ayuntamiento de Almoloya de Juárez y Ley del Servicio de Administración Tributaria, no se advierte la existencia del SATEM, por lo que se concluye que el mismo no existe; de ahí que no es procedente ordena su entrega. </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Finalmente, con relación a las modalidad de entrega de la información </w:t>
      </w:r>
      <w:r>
        <w:rPr>
          <w:rFonts w:ascii="Palatino Linotype" w:eastAsia="Palatino Linotype" w:hAnsi="Palatino Linotype" w:cs="Palatino Linotype"/>
          <w:i/>
          <w:color w:val="000000"/>
        </w:rPr>
        <w:t>“…</w:t>
      </w:r>
      <w:r>
        <w:rPr>
          <w:rFonts w:ascii="Palatino Linotype" w:eastAsia="Palatino Linotype" w:hAnsi="Palatino Linotype" w:cs="Palatino Linotype"/>
          <w:i/>
        </w:rPr>
        <w:t xml:space="preserve">usb, sd y cd-rom.” </w:t>
      </w:r>
      <w:r>
        <w:rPr>
          <w:rFonts w:ascii="Palatino Linotype" w:eastAsia="Palatino Linotype" w:hAnsi="Palatino Linotype" w:cs="Palatino Linotype"/>
        </w:rPr>
        <w:t xml:space="preserve">es menester señalar que se encuentran reguladas por el Código Financiero del Estado de México y Municipios en su artículo 148, fracciones III y IV, aplicable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rsidR="00417491" w:rsidRDefault="00417491">
      <w:pPr>
        <w:spacing w:line="360" w:lineRule="auto"/>
        <w:jc w:val="both"/>
        <w:rPr>
          <w:rFonts w:ascii="Palatino Linotype" w:eastAsia="Palatino Linotype" w:hAnsi="Palatino Linotype" w:cs="Palatino Linotype"/>
        </w:rPr>
      </w:pPr>
    </w:p>
    <w:p w:rsidR="00417491" w:rsidRDefault="00C71941">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148.- </w:t>
      </w:r>
      <w:r>
        <w:rPr>
          <w:rFonts w:ascii="Palatino Linotype" w:eastAsia="Palatino Linotype" w:hAnsi="Palatino Linotype" w:cs="Palatino Linotype"/>
          <w:i/>
          <w:sz w:val="22"/>
          <w:szCs w:val="22"/>
        </w:rPr>
        <w:t xml:space="preserve">Por la expedición de documentos solicitados en el ejercicio del derecho de acceso a la información pública, se pagarán los derechos conforme a lo siguiente: </w:t>
      </w:r>
    </w:p>
    <w:p w:rsidR="00417491" w:rsidRDefault="00417491">
      <w:pPr>
        <w:ind w:left="567" w:right="851"/>
        <w:jc w:val="center"/>
        <w:rPr>
          <w:rFonts w:ascii="Palatino Linotype" w:eastAsia="Palatino Linotype" w:hAnsi="Palatino Linotype" w:cs="Palatino Linotype"/>
          <w:b/>
          <w:i/>
          <w:sz w:val="22"/>
          <w:szCs w:val="22"/>
        </w:rPr>
      </w:pPr>
    </w:p>
    <w:p w:rsidR="00417491" w:rsidRDefault="00C71941">
      <w:pPr>
        <w:ind w:left="567" w:right="85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TARIFA</w:t>
      </w:r>
    </w:p>
    <w:p w:rsidR="00417491" w:rsidRDefault="00C71941">
      <w:pPr>
        <w:ind w:left="567" w:right="851"/>
        <w:jc w:val="both"/>
        <w:rPr>
          <w:rFonts w:ascii="Palatino Linotype" w:eastAsia="Palatino Linotype" w:hAnsi="Palatino Linotype" w:cs="Palatino Linotype"/>
          <w:b/>
          <w:i/>
          <w:sz w:val="22"/>
          <w:szCs w:val="22"/>
        </w:rPr>
      </w:pPr>
      <w:r>
        <w:rPr>
          <w:noProof/>
          <w:lang w:val="es-MX" w:eastAsia="es-MX"/>
        </w:rPr>
        <mc:AlternateContent>
          <mc:Choice Requires="wpg">
            <w:drawing>
              <wp:anchor distT="0" distB="0" distL="114300" distR="114300" simplePos="0" relativeHeight="251663360" behindDoc="0" locked="0" layoutInCell="1" hidden="0" allowOverlap="1">
                <wp:simplePos x="0" y="0"/>
                <wp:positionH relativeFrom="column">
                  <wp:posOffset>3251200</wp:posOffset>
                </wp:positionH>
                <wp:positionV relativeFrom="paragraph">
                  <wp:posOffset>254000</wp:posOffset>
                </wp:positionV>
                <wp:extent cx="2476500" cy="946150"/>
                <wp:effectExtent l="0" t="0" r="0" b="0"/>
                <wp:wrapNone/>
                <wp:docPr id="71" name=""/>
                <wp:cNvGraphicFramePr/>
                <a:graphic xmlns:a="http://schemas.openxmlformats.org/drawingml/2006/main">
                  <a:graphicData uri="http://schemas.microsoft.com/office/word/2010/wordprocessingShape">
                    <wps:wsp>
                      <wps:cNvSpPr/>
                      <wps:spPr>
                        <a:xfrm>
                          <a:off x="4117275" y="3316450"/>
                          <a:ext cx="2457450" cy="927100"/>
                        </a:xfrm>
                        <a:prstGeom prst="rect">
                          <a:avLst/>
                        </a:prstGeom>
                        <a:noFill/>
                        <a:ln>
                          <a:noFill/>
                        </a:ln>
                      </wps:spPr>
                      <wps:txbx>
                        <w:txbxContent>
                          <w:p w:rsidR="00417491" w:rsidRDefault="00C71941">
                            <w:pPr>
                              <w:jc w:val="both"/>
                              <w:textDirection w:val="btLr"/>
                            </w:pPr>
                            <w:r>
                              <w:rPr>
                                <w:rFonts w:ascii="Palatino Linotype" w:eastAsia="Palatino Linotype" w:hAnsi="Palatino Linotype" w:cs="Palatino Linotype"/>
                                <w:b/>
                                <w:i/>
                                <w:color w:val="000000"/>
                              </w:rPr>
                              <w:t>NÚMERO DE VECES EL VALOR DIARIO DE LA UNIDAD DE MEDIDA Y ACTUALIZACIÓN VIGENTE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3251200</wp:posOffset>
                </wp:positionH>
                <wp:positionV relativeFrom="paragraph">
                  <wp:posOffset>254000</wp:posOffset>
                </wp:positionV>
                <wp:extent cx="2476500" cy="946150"/>
                <wp:effectExtent b="0" l="0" r="0" t="0"/>
                <wp:wrapNone/>
                <wp:docPr id="71" name="image26.png"/>
                <a:graphic>
                  <a:graphicData uri="http://schemas.openxmlformats.org/drawingml/2006/picture">
                    <pic:pic>
                      <pic:nvPicPr>
                        <pic:cNvPr id="0" name="image26.png"/>
                        <pic:cNvPicPr preferRelativeResize="0"/>
                      </pic:nvPicPr>
                      <pic:blipFill>
                        <a:blip r:embed="rId39"/>
                        <a:srcRect/>
                        <a:stretch>
                          <a:fillRect/>
                        </a:stretch>
                      </pic:blipFill>
                      <pic:spPr>
                        <a:xfrm>
                          <a:off x="0" y="0"/>
                          <a:ext cx="2476500" cy="946150"/>
                        </a:xfrm>
                        <a:prstGeom prst="rect"/>
                        <a:ln/>
                      </pic:spPr>
                    </pic:pic>
                  </a:graphicData>
                </a:graphic>
              </wp:anchor>
            </w:drawing>
          </mc:Fallback>
        </mc:AlternateContent>
      </w:r>
    </w:p>
    <w:p w:rsidR="00417491" w:rsidRDefault="00417491">
      <w:pPr>
        <w:ind w:left="567" w:right="851"/>
        <w:jc w:val="both"/>
        <w:rPr>
          <w:rFonts w:ascii="Palatino Linotype" w:eastAsia="Palatino Linotype" w:hAnsi="Palatino Linotype" w:cs="Palatino Linotype"/>
          <w:b/>
          <w:i/>
          <w:sz w:val="22"/>
          <w:szCs w:val="22"/>
        </w:rPr>
      </w:pPr>
    </w:p>
    <w:p w:rsidR="00417491" w:rsidRDefault="00C71941">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Concepto           </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rPr>
        <w:tab/>
        <w:t xml:space="preserve"> </w:t>
      </w:r>
    </w:p>
    <w:p w:rsidR="00417491" w:rsidRDefault="00417491">
      <w:pPr>
        <w:ind w:left="567" w:right="851"/>
        <w:jc w:val="both"/>
        <w:rPr>
          <w:rFonts w:ascii="Palatino Linotype" w:eastAsia="Palatino Linotype" w:hAnsi="Palatino Linotype" w:cs="Palatino Linotype"/>
          <w:i/>
          <w:sz w:val="22"/>
          <w:szCs w:val="22"/>
        </w:rPr>
      </w:pPr>
    </w:p>
    <w:p w:rsidR="00417491" w:rsidRDefault="00417491">
      <w:pPr>
        <w:ind w:left="567" w:right="851"/>
        <w:jc w:val="both"/>
        <w:rPr>
          <w:rFonts w:ascii="Palatino Linotype" w:eastAsia="Palatino Linotype" w:hAnsi="Palatino Linotype" w:cs="Palatino Linotype"/>
          <w:i/>
          <w:sz w:val="22"/>
          <w:szCs w:val="22"/>
        </w:rPr>
      </w:pPr>
    </w:p>
    <w:p w:rsidR="00417491" w:rsidRDefault="00417491">
      <w:pPr>
        <w:ind w:left="567" w:right="851"/>
        <w:jc w:val="both"/>
        <w:rPr>
          <w:rFonts w:ascii="Palatino Linotype" w:eastAsia="Palatino Linotype" w:hAnsi="Palatino Linotype" w:cs="Palatino Linotype"/>
          <w:i/>
          <w:sz w:val="22"/>
          <w:szCs w:val="22"/>
        </w:rPr>
      </w:pPr>
    </w:p>
    <w:p w:rsidR="00417491" w:rsidRDefault="00C71941">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                                          </w:t>
      </w:r>
    </w:p>
    <w:p w:rsidR="00417491" w:rsidRDefault="00C71941">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Por la expedición de la información  en medios magnéticos </w:t>
      </w:r>
      <w:r>
        <w:rPr>
          <w:rFonts w:ascii="Palatino Linotype" w:eastAsia="Palatino Linotype" w:hAnsi="Palatino Linotype" w:cs="Palatino Linotype"/>
          <w:i/>
          <w:sz w:val="22"/>
          <w:szCs w:val="22"/>
        </w:rPr>
        <w:tab/>
        <w:t>0.224</w:t>
      </w:r>
    </w:p>
    <w:p w:rsidR="00417491" w:rsidRDefault="00C71941">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Para la expedición de información en disco compacto</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ab/>
        <w:t>0.336</w:t>
      </w:r>
    </w:p>
    <w:p w:rsidR="00417491" w:rsidRDefault="00C71941">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por cada disco</w:t>
      </w:r>
    </w:p>
    <w:p w:rsidR="00417491" w:rsidRDefault="00C71941">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417491" w:rsidRDefault="00C71941">
      <w:pPr>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Para los supuestos establecidos en las fracciones III y IV, el solicitante podrá proporcionar a la autoridad municipal, el medio en el que requiera le sea entregada la información pública, en cuyo caso no habrá costo que cubrir.” </w:t>
      </w:r>
      <w:r>
        <w:rPr>
          <w:rFonts w:ascii="Palatino Linotype" w:eastAsia="Palatino Linotype" w:hAnsi="Palatino Linotype" w:cs="Palatino Linotype"/>
          <w:b/>
          <w:i/>
          <w:sz w:val="22"/>
          <w:szCs w:val="22"/>
        </w:rPr>
        <w:t xml:space="preserve">[Sic] </w:t>
      </w:r>
    </w:p>
    <w:p w:rsidR="00417491" w:rsidRDefault="00417491">
      <w:pPr>
        <w:spacing w:line="360" w:lineRule="auto"/>
        <w:jc w:val="both"/>
        <w:rPr>
          <w:rFonts w:ascii="Palatino Linotype" w:eastAsia="Palatino Linotype" w:hAnsi="Palatino Linotype" w:cs="Palatino Linotype"/>
          <w:color w:val="000000"/>
          <w:sz w:val="22"/>
          <w:szCs w:val="22"/>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tiene que en el derecho de acceso a la información el cobro por su entrega en medios magnéticos o disco compacto es un derecho que cobra el Estado y sus organismos y su destino es cubrir el gasto público y demás obligaciones a su cargo. </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lo anterior en el caso en particular su cobro no resultará procedente para el caso de que el solicitante proporcione el medio en el que requiera le sea entregada la información pública.</w:t>
      </w:r>
    </w:p>
    <w:p w:rsidR="00417491" w:rsidRDefault="00417491">
      <w:pPr>
        <w:spacing w:line="360" w:lineRule="auto"/>
        <w:jc w:val="both"/>
        <w:rPr>
          <w:rFonts w:ascii="Palatino Linotype" w:eastAsia="Palatino Linotype" w:hAnsi="Palatino Linotype" w:cs="Palatino Linotype"/>
        </w:rPr>
      </w:pPr>
    </w:p>
    <w:p w:rsidR="00417491" w:rsidRDefault="00C7194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417491" w:rsidRDefault="00417491">
      <w:pPr>
        <w:spacing w:line="360" w:lineRule="auto"/>
        <w:jc w:val="both"/>
        <w:rPr>
          <w:rFonts w:ascii="Palatino Linotype" w:eastAsia="Palatino Linotype" w:hAnsi="Palatino Linotype" w:cs="Palatino Linotype"/>
        </w:rPr>
      </w:pPr>
    </w:p>
    <w:p w:rsidR="00417491" w:rsidRDefault="00C71941">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417491" w:rsidRDefault="00C71941">
      <w:pPr>
        <w:spacing w:before="240" w:after="240"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417491" w:rsidRDefault="00C71941">
      <w:pPr>
        <w:spacing w:before="240" w:after="240"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La que presenten los particulares a los sujetos obligados, de conformidad con lo dispuesto por las leyes o los tratados internacionales.” (Sic)</w:t>
      </w:r>
    </w:p>
    <w:p w:rsidR="00417491" w:rsidRDefault="00C7194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417491" w:rsidRDefault="00C7194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417491" w:rsidRDefault="00C7194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w:t>
      </w:r>
      <w:r>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rsidR="00417491" w:rsidRDefault="00C71941">
      <w:pPr>
        <w:spacing w:before="240"/>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417491" w:rsidRDefault="00C719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417491" w:rsidRDefault="00C719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417491" w:rsidRDefault="00C719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417491" w:rsidRDefault="00C719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417491" w:rsidRDefault="00C7194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417491" w:rsidRDefault="00417491">
      <w:pPr>
        <w:ind w:left="992" w:right="1043"/>
        <w:jc w:val="both"/>
        <w:rPr>
          <w:rFonts w:ascii="Palatino Linotype" w:eastAsia="Palatino Linotype" w:hAnsi="Palatino Linotype" w:cs="Palatino Linotype"/>
          <w:i/>
          <w:sz w:val="22"/>
          <w:szCs w:val="22"/>
        </w:rPr>
      </w:pPr>
    </w:p>
    <w:p w:rsidR="00417491" w:rsidRDefault="00C7194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417491" w:rsidRDefault="00C71941">
      <w:pPr>
        <w:spacing w:before="240" w:after="240"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417491" w:rsidRDefault="00C719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xml:space="preserve">, publicados en el Diario Oficial de la Federación en fecha quince de abril del año dos mil dieciséis, mediante Acuerdo </w:t>
      </w:r>
      <w:r>
        <w:rPr>
          <w:rFonts w:ascii="Palatino Linotype" w:eastAsia="Palatino Linotype" w:hAnsi="Palatino Linotype" w:cs="Palatino Linotype"/>
        </w:rPr>
        <w:lastRenderedPageBreak/>
        <w:t>del Consejo Nacional del Sistema Nacional de Transparencia, Acceso a la Información Pública y Protección de Datos Personales, que literalmente expresan:</w:t>
      </w:r>
    </w:p>
    <w:p w:rsidR="00417491" w:rsidRDefault="00C71941">
      <w:pPr>
        <w:spacing w:before="240" w:after="240" w:line="276" w:lineRule="auto"/>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Pr>
          <w:rFonts w:ascii="Palatino Linotype" w:eastAsia="Palatino Linotype" w:hAnsi="Palatino Linotype" w:cs="Palatino Linotype"/>
          <w:i/>
          <w:sz w:val="22"/>
          <w:szCs w:val="22"/>
        </w:rPr>
        <w:lastRenderedPageBreak/>
        <w:t>documentos antes de que se genere la información o cuando éstos no obren en sus archivos.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17491" w:rsidRDefault="00C71941">
      <w:pPr>
        <w:spacing w:before="240" w:after="240" w:line="276" w:lineRule="auto"/>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417491" w:rsidRDefault="00C71941">
      <w:pPr>
        <w:spacing w:before="240" w:after="240" w:line="276" w:lineRule="auto"/>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417491" w:rsidRDefault="00C71941">
      <w:pPr>
        <w:spacing w:before="240" w:after="24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5"/>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417491">
        <w:trPr>
          <w:jc w:val="center"/>
        </w:trPr>
        <w:tc>
          <w:tcPr>
            <w:tcW w:w="1129" w:type="dxa"/>
            <w:tcBorders>
              <w:top w:val="nil"/>
              <w:left w:val="nil"/>
              <w:bottom w:val="single" w:sz="4" w:space="0" w:color="000000"/>
              <w:right w:val="single" w:sz="4" w:space="0" w:color="000000"/>
            </w:tcBorders>
          </w:tcPr>
          <w:p w:rsidR="00417491" w:rsidRDefault="00417491">
            <w:pPr>
              <w:spacing w:before="240" w:after="240" w:line="276" w:lineRule="auto"/>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417491">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417491" w:rsidRDefault="00C71941">
            <w:pPr>
              <w:spacing w:before="240" w:after="240"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417491">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17491" w:rsidRDefault="00417491">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17491" w:rsidRDefault="00C71941">
            <w:pPr>
              <w:spacing w:before="240" w:after="240" w:line="276"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417491" w:rsidRDefault="00C71941">
            <w:pPr>
              <w:spacing w:before="240" w:after="240" w:line="276" w:lineRule="auto"/>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417491" w:rsidRDefault="00C71941">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417491" w:rsidRDefault="00C71941">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R E S U E L V E:</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00799/INFOEM/IP/RR/2022,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417491" w:rsidRDefault="00C719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esta resolución, haga entrega, vía SAIMEX, correo electrónico, medios magnéticos (con costo) y CD-ROM (con costo), en versión pública de ser procedente, del soporte documental en el que obre al mayor grado de desagregación lo siguiente:</w:t>
      </w:r>
    </w:p>
    <w:p w:rsidR="00417491" w:rsidRDefault="00C71941">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La opinión de no adeudo en el cumplimiento de obligaciones fiscales emitida por el Servicio de Administración Tributaria (SAT), vigente al treinta y uno de enero del año dos mil veintidós</w:t>
      </w:r>
      <w:r>
        <w:rPr>
          <w:rFonts w:ascii="Palatino Linotype" w:eastAsia="Palatino Linotype" w:hAnsi="Palatino Linotype" w:cs="Palatino Linotype"/>
          <w:color w:val="000000"/>
        </w:rPr>
        <w:t xml:space="preserve">. </w:t>
      </w:r>
    </w:p>
    <w:p w:rsidR="00417491" w:rsidRDefault="00C7194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Retenciones del Impuesto Sobre la Renta por Salarios, Honorarios y Arrendamiento del periodo del 01 de enero de 2019, hasta el 31 de octubre de 2021. </w:t>
      </w:r>
    </w:p>
    <w:p w:rsidR="00417491" w:rsidRDefault="00C71941">
      <w:pPr>
        <w:spacing w:before="240" w:after="240"/>
        <w:ind w:left="72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Para la expedición de la información en medios magnéticos (con costo) y CD-ROM (con costo), el </w:t>
      </w:r>
      <w:r>
        <w:rPr>
          <w:rFonts w:ascii="Palatino Linotype" w:eastAsia="Palatino Linotype" w:hAnsi="Palatino Linotype" w:cs="Palatino Linotype"/>
          <w:b/>
          <w:i/>
          <w:sz w:val="20"/>
          <w:szCs w:val="20"/>
        </w:rPr>
        <w:t>Sujeto Obligado</w:t>
      </w:r>
      <w:r>
        <w:rPr>
          <w:rFonts w:ascii="Palatino Linotype" w:eastAsia="Palatino Linotype" w:hAnsi="Palatino Linotype" w:cs="Palatino Linotype"/>
          <w:i/>
          <w:sz w:val="20"/>
          <w:szCs w:val="20"/>
        </w:rPr>
        <w:t xml:space="preserve"> deberá informar a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 xml:space="preserv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rsidR="00417491" w:rsidRDefault="00C71941">
      <w:pPr>
        <w:spacing w:before="240" w:after="240"/>
        <w:ind w:left="720"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417491" w:rsidRDefault="00417491">
      <w:pPr>
        <w:spacing w:line="360" w:lineRule="auto"/>
        <w:ind w:right="51"/>
        <w:jc w:val="both"/>
        <w:rPr>
          <w:rFonts w:ascii="Palatino Linotype" w:eastAsia="Palatino Linotype" w:hAnsi="Palatino Linotype" w:cs="Palatino Linotype"/>
        </w:rPr>
      </w:pPr>
    </w:p>
    <w:p w:rsidR="00417491" w:rsidRDefault="00417491">
      <w:pPr>
        <w:spacing w:line="360" w:lineRule="auto"/>
        <w:ind w:right="51"/>
        <w:jc w:val="both"/>
        <w:rPr>
          <w:rFonts w:ascii="Palatino Linotype" w:eastAsia="Palatino Linotype" w:hAnsi="Palatino Linotype" w:cs="Palatino Linotype"/>
        </w:rPr>
      </w:pPr>
    </w:p>
    <w:p w:rsidR="00417491" w:rsidRDefault="00C71941">
      <w:pPr>
        <w:spacing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417491" w:rsidRDefault="00C7194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 y por correo electrónico</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417491" w:rsidRDefault="00C7194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417491" w:rsidRDefault="00C71941">
      <w:pPr>
        <w:spacing w:before="240" w:after="240" w:line="360" w:lineRule="auto"/>
        <w:jc w:val="both"/>
        <w:rPr>
          <w:rFonts w:ascii="Palatino Linotype" w:eastAsia="Palatino Linotype" w:hAnsi="Palatino Linotype" w:cs="Palatino Linotype"/>
        </w:rPr>
        <w:sectPr w:rsidR="00417491">
          <w:headerReference w:type="default" r:id="rId40"/>
          <w:footerReference w:type="default" r:id="rId41"/>
          <w:headerReference w:type="first" r:id="rId42"/>
          <w:footerReference w:type="first" r:id="rId43"/>
          <w:pgSz w:w="12240" w:h="15840"/>
          <w:pgMar w:top="1417" w:right="1701" w:bottom="1276" w:left="1701" w:header="709" w:footer="709" w:gutter="0"/>
          <w:pgNumType w:start="1"/>
          <w:cols w:space="720"/>
          <w:titlePg/>
        </w:sectPr>
      </w:pPr>
      <w:bookmarkStart w:id="2" w:name="_heading=h.gjdgxs" w:colFirst="0" w:colLast="0"/>
      <w:bookmarkEnd w:id="2"/>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Pr>
          <w:rFonts w:ascii="Palatino Linotype" w:eastAsia="Palatino Linotype" w:hAnsi="Palatino Linotype" w:cs="Palatino Linotype"/>
          <w:color w:val="222222"/>
          <w:highlight w:val="white"/>
        </w:rPr>
        <w:lastRenderedPageBreak/>
        <w:t>MORALES MARTÍNEZ, LUIS GUSTAVO PARRA NORIEGA Y GUADALUPE RAMÍREZ PEÑA; EN LA DÉCIMA QUINTA SESIÓN ORDINARIA CELEBRADA EL VEINTISIETE</w:t>
      </w:r>
      <w:r>
        <w:rPr>
          <w:rFonts w:ascii="Palatino Linotype" w:eastAsia="Palatino Linotype" w:hAnsi="Palatino Linotype" w:cs="Palatino Linotype"/>
        </w:rPr>
        <w:t xml:space="preserve"> DE ABRIL DEL DOS MIL VEINTIDÓS, ANTE EL SECRETARIO </w:t>
      </w: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104927</wp:posOffset>
                </wp:positionH>
                <wp:positionV relativeFrom="paragraph">
                  <wp:posOffset>1228496</wp:posOffset>
                </wp:positionV>
                <wp:extent cx="5420564" cy="6042356"/>
                <wp:effectExtent l="0" t="0" r="27940" b="34925"/>
                <wp:wrapNone/>
                <wp:docPr id="1" name="Conector recto 1"/>
                <wp:cNvGraphicFramePr/>
                <a:graphic xmlns:a="http://schemas.openxmlformats.org/drawingml/2006/main">
                  <a:graphicData uri="http://schemas.microsoft.com/office/word/2010/wordprocessingShape">
                    <wps:wsp>
                      <wps:cNvCnPr/>
                      <wps:spPr>
                        <a:xfrm>
                          <a:off x="0" y="0"/>
                          <a:ext cx="5420564" cy="60423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68757"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25pt,96.75pt" to="435.05pt,5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" strokecolor="black [3200]" strokeweight=".5pt">
                <v:stroke joinstyle="miter"/>
              </v:line>
            </w:pict>
          </mc:Fallback>
        </mc:AlternateContent>
      </w:r>
      <w:r>
        <w:rPr>
          <w:rFonts w:ascii="Palatino Linotype" w:eastAsia="Palatino Linotype" w:hAnsi="Palatino Linotype" w:cs="Palatino Linotype"/>
        </w:rPr>
        <w:t xml:space="preserve">TÉCNICO DEL PLENO ALEXIS TAPIA RAMÍREZ.    </w:t>
      </w:r>
    </w:p>
    <w:p w:rsidR="00417491" w:rsidRDefault="00417491">
      <w:pPr>
        <w:spacing w:before="240" w:after="240" w:line="360" w:lineRule="auto"/>
        <w:jc w:val="both"/>
        <w:rPr>
          <w:rFonts w:ascii="Palatino Linotype" w:eastAsia="Palatino Linotype" w:hAnsi="Palatino Linotype" w:cs="Palatino Linotype"/>
        </w:rPr>
      </w:pPr>
    </w:p>
    <w:sectPr w:rsidR="00417491">
      <w:headerReference w:type="first" r:id="rId44"/>
      <w:pgSz w:w="12240" w:h="15840"/>
      <w:pgMar w:top="1417" w:right="1701" w:bottom="1276"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A44" w:rsidRDefault="00C71941">
      <w:r>
        <w:separator/>
      </w:r>
    </w:p>
  </w:endnote>
  <w:endnote w:type="continuationSeparator" w:id="0">
    <w:p w:rsidR="008F5A44" w:rsidRDefault="00C71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491" w:rsidRDefault="00C7194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4C87">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4C87">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rsidR="00417491" w:rsidRDefault="0041749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491" w:rsidRDefault="00C7194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4C8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4C87">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rsidR="00417491" w:rsidRDefault="0041749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A44" w:rsidRDefault="00C71941">
      <w:r>
        <w:separator/>
      </w:r>
    </w:p>
  </w:footnote>
  <w:footnote w:type="continuationSeparator" w:id="0">
    <w:p w:rsidR="008F5A44" w:rsidRDefault="00C71941">
      <w:r>
        <w:continuationSeparator/>
      </w:r>
    </w:p>
  </w:footnote>
  <w:footnote w:id="1">
    <w:p w:rsidR="00417491" w:rsidRDefault="00C7194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 w:id="2">
    <w:p w:rsidR="00417491" w:rsidRDefault="00C7194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3">
    <w:p w:rsidR="00417491" w:rsidRDefault="00C7194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3">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las 12:33 horas</w:t>
      </w:r>
    </w:p>
  </w:footnote>
  <w:footnote w:id="4">
    <w:p w:rsidR="00417491" w:rsidRDefault="00C7194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417491" w:rsidRDefault="00C7194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491" w:rsidRDefault="00C71941">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-680311</wp:posOffset>
          </wp:positionH>
          <wp:positionV relativeFrom="paragraph">
            <wp:posOffset>-454175</wp:posOffset>
          </wp:positionV>
          <wp:extent cx="7635600" cy="9943200"/>
          <wp:effectExtent l="0" t="0" r="0" b="0"/>
          <wp:wrapNone/>
          <wp:docPr id="8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5670" w:type="dxa"/>
      <w:tblInd w:w="3119" w:type="dxa"/>
      <w:tblLayout w:type="fixed"/>
      <w:tblLook w:val="0400" w:firstRow="0" w:lastRow="0" w:firstColumn="0" w:lastColumn="0" w:noHBand="0" w:noVBand="1"/>
    </w:tblPr>
    <w:tblGrid>
      <w:gridCol w:w="2551"/>
      <w:gridCol w:w="3119"/>
    </w:tblGrid>
    <w:tr w:rsidR="00417491">
      <w:tc>
        <w:tcPr>
          <w:tcW w:w="2551" w:type="dxa"/>
          <w:vAlign w:val="center"/>
        </w:tcPr>
        <w:p w:rsidR="00417491" w:rsidRDefault="00C719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417491" w:rsidRDefault="00C7194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00799/INFOEM/IP/RR/2022.</w:t>
          </w:r>
        </w:p>
      </w:tc>
    </w:tr>
    <w:tr w:rsidR="00417491">
      <w:trPr>
        <w:trHeight w:val="228"/>
      </w:trPr>
      <w:tc>
        <w:tcPr>
          <w:tcW w:w="2551" w:type="dxa"/>
          <w:vAlign w:val="center"/>
        </w:tcPr>
        <w:p w:rsidR="00417491" w:rsidRDefault="00C719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417491" w:rsidRDefault="00C7194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Almoloya de Juárez.</w:t>
          </w:r>
        </w:p>
      </w:tc>
    </w:tr>
    <w:tr w:rsidR="00417491">
      <w:tc>
        <w:tcPr>
          <w:tcW w:w="2551" w:type="dxa"/>
          <w:vAlign w:val="center"/>
        </w:tcPr>
        <w:p w:rsidR="00417491" w:rsidRDefault="00C719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417491" w:rsidRDefault="00C7194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17491" w:rsidRDefault="00417491">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491" w:rsidRDefault="00C71941">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-651051</wp:posOffset>
          </wp:positionH>
          <wp:positionV relativeFrom="paragraph">
            <wp:posOffset>-322502</wp:posOffset>
          </wp:positionV>
          <wp:extent cx="7635600" cy="9943200"/>
          <wp:effectExtent l="0" t="0" r="0" b="0"/>
          <wp:wrapNone/>
          <wp:docPr id="7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5670" w:type="dxa"/>
      <w:tblInd w:w="3119" w:type="dxa"/>
      <w:tblLayout w:type="fixed"/>
      <w:tblLook w:val="0400" w:firstRow="0" w:lastRow="0" w:firstColumn="0" w:lastColumn="0" w:noHBand="0" w:noVBand="1"/>
    </w:tblPr>
    <w:tblGrid>
      <w:gridCol w:w="2551"/>
      <w:gridCol w:w="3119"/>
    </w:tblGrid>
    <w:tr w:rsidR="00417491">
      <w:tc>
        <w:tcPr>
          <w:tcW w:w="2551" w:type="dxa"/>
          <w:vAlign w:val="center"/>
        </w:tcPr>
        <w:p w:rsidR="00417491" w:rsidRDefault="00C719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417491" w:rsidRDefault="00C7194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00799/INFOEM/IP/RR/2022 </w:t>
          </w:r>
        </w:p>
      </w:tc>
    </w:tr>
    <w:tr w:rsidR="00417491">
      <w:tc>
        <w:tcPr>
          <w:tcW w:w="2551" w:type="dxa"/>
          <w:vAlign w:val="center"/>
        </w:tcPr>
        <w:p w:rsidR="00417491" w:rsidRDefault="00C7194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417491" w:rsidRDefault="00824C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r w:rsidR="00C71941">
            <w:rPr>
              <w:rFonts w:ascii="Palatino Linotype" w:eastAsia="Palatino Linotype" w:hAnsi="Palatino Linotype" w:cs="Palatino Linotype"/>
              <w:b/>
              <w:sz w:val="22"/>
              <w:szCs w:val="22"/>
            </w:rPr>
            <w:t>.</w:t>
          </w:r>
        </w:p>
      </w:tc>
    </w:tr>
    <w:tr w:rsidR="00417491">
      <w:trPr>
        <w:trHeight w:val="228"/>
      </w:trPr>
      <w:tc>
        <w:tcPr>
          <w:tcW w:w="2551" w:type="dxa"/>
          <w:vAlign w:val="center"/>
        </w:tcPr>
        <w:p w:rsidR="00417491" w:rsidRDefault="00C719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417491" w:rsidRDefault="00C7194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Almoloya de Juárez.</w:t>
          </w:r>
        </w:p>
      </w:tc>
    </w:tr>
    <w:tr w:rsidR="00417491">
      <w:tc>
        <w:tcPr>
          <w:tcW w:w="2551" w:type="dxa"/>
          <w:vAlign w:val="center"/>
        </w:tcPr>
        <w:p w:rsidR="00417491" w:rsidRDefault="00C7194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417491" w:rsidRDefault="00C7194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17491" w:rsidRDefault="00417491">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491" w:rsidRDefault="00417491">
    <w:pPr>
      <w:pBdr>
        <w:top w:val="nil"/>
        <w:left w:val="nil"/>
        <w:bottom w:val="nil"/>
        <w:right w:val="nil"/>
        <w:between w:val="nil"/>
      </w:pBdr>
      <w:tabs>
        <w:tab w:val="center" w:pos="4419"/>
        <w:tab w:val="right" w:pos="8838"/>
      </w:tabs>
      <w:jc w:val="both"/>
      <w:rPr>
        <w:color w:val="000000"/>
      </w:rPr>
    </w:pPr>
  </w:p>
  <w:p w:rsidR="00417491" w:rsidRDefault="00417491">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31463"/>
    <w:multiLevelType w:val="multilevel"/>
    <w:tmpl w:val="B352B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124C66"/>
    <w:multiLevelType w:val="multilevel"/>
    <w:tmpl w:val="6D12D76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8322B5"/>
    <w:multiLevelType w:val="multilevel"/>
    <w:tmpl w:val="8182D2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AE2F7D"/>
    <w:multiLevelType w:val="multilevel"/>
    <w:tmpl w:val="062AF7E8"/>
    <w:lvl w:ilvl="0">
      <w:start w:val="1"/>
      <w:numFmt w:val="decimal"/>
      <w:lvlText w:val="%1."/>
      <w:lvlJc w:val="left"/>
      <w:pPr>
        <w:ind w:left="375" w:hanging="37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75B629AE"/>
    <w:multiLevelType w:val="multilevel"/>
    <w:tmpl w:val="60AE89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491"/>
    <w:rsid w:val="00417491"/>
    <w:rsid w:val="00824C87"/>
    <w:rsid w:val="008F5A44"/>
    <w:rsid w:val="00C719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1A04BDD-0A3E-48A6-85D8-0DB4BFD0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image" Target="media/image19.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fonacot.gob.mx/TransparenciaRendicionCuentas/Documents/Normatividad%20en%20Transparencia/Padron_Sujetos_Obligados%20INA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60.png"/><Relationship Id="rId10" Type="http://schemas.openxmlformats.org/officeDocument/2006/relationships/image" Target="media/image1.png"/><Relationship Id="rId19" Type="http://schemas.openxmlformats.org/officeDocument/2006/relationships/hyperlink" Target="https://www.saimex.org.mx/saimex/solicitud/downloadAttach/1330910.page" TargetMode="External"/><Relationship Id="rId31" Type="http://schemas.openxmlformats.org/officeDocument/2006/relationships/image" Target="media/image27.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330910.page"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fonacot.gob.mx/TransparenciaRendicionCuentas/Documents/Normatividad%20en%20Transparencia/Padron_Sujetos_Obligados%20INAI.pdf"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30.png"/><Relationship Id="rId38" Type="http://schemas.openxmlformats.org/officeDocument/2006/relationships/image" Target="media/image80.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2dQPlMQWK3hNR3KP3p0dY4/5GQ==">AMUW2mUqqJNrZSW+425VH42ktg2lMHqW8HD2/+FtD/4iR0N4w5g64H8I1WZjljQLp+03jztG6AFqBmiSZepFYrU4BAe3ZPL5UGWtA0+jx8MKHWKvWwVW+hCaofqbx2sGkelYr8EwtFd3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15848</Words>
  <Characters>87165</Characters>
  <Application>Microsoft Office Word</Application>
  <DocSecurity>0</DocSecurity>
  <Lines>726</Lines>
  <Paragraphs>205</Paragraphs>
  <ScaleCrop>false</ScaleCrop>
  <Company>HP Inc.</Company>
  <LinksUpToDate>false</LinksUpToDate>
  <CharactersWithSpaces>102808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3</cp:revision>
  <dcterms:created xsi:type="dcterms:W3CDTF">2022-04-07T16:15:00Z</dcterms:created>
  <dcterms:modified xsi:type="dcterms:W3CDTF">2022-05-04T22:46:00Z</dcterms:modified>
</cp:coreProperties>
</file>