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w:t>
      </w:r>
      <w:r w:rsidDel="00000000" w:rsidR="00000000" w:rsidRPr="00000000">
        <w:rPr>
          <w:rFonts w:ascii="Palatino Linotype" w:cs="Palatino Linotype" w:eastAsia="Palatino Linotype" w:hAnsi="Palatino Linotype"/>
          <w:b w:val="1"/>
          <w:rtl w:val="0"/>
        </w:rPr>
        <w:t xml:space="preserve">treinta de noviembre del dos mil veintidós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16264/INFOEM/IP/RR/2022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 XXXX XXXXXXX</w:t>
      </w:r>
      <w:r w:rsidDel="00000000" w:rsidR="00000000" w:rsidRPr="00000000">
        <w:rPr>
          <w:rFonts w:ascii="Palatino Linotype" w:cs="Palatino Linotype" w:eastAsia="Palatino Linotype" w:hAnsi="Palatino Linotype"/>
          <w:rtl w:val="0"/>
        </w:rPr>
        <w:t xml:space="preserve">, en contra de la falta de respuesta a la solicitud de información con número de folio </w:t>
      </w:r>
      <w:r w:rsidDel="00000000" w:rsidR="00000000" w:rsidRPr="00000000">
        <w:rPr>
          <w:rFonts w:ascii="Palatino Linotype" w:cs="Palatino Linotype" w:eastAsia="Palatino Linotype" w:hAnsi="Palatino Linotype"/>
          <w:b w:val="1"/>
          <w:rtl w:val="0"/>
        </w:rPr>
        <w:t xml:space="preserve">  00574/CHIMALHU/IP/2022,</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Chimalhuacán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numPr>
          <w:ilvl w:val="0"/>
          <w:numId w:val="3"/>
        </w:numPr>
        <w:pBdr>
          <w:top w:space="0" w:sz="0" w:val="nil"/>
          <w:left w:space="0" w:sz="0" w:val="nil"/>
          <w:bottom w:space="0" w:sz="0" w:val="nil"/>
          <w:right w:space="0" w:sz="0" w:val="nil"/>
          <w:between w:space="0" w:sz="0" w:val="nil"/>
        </w:pBdr>
        <w:spacing w:after="240" w:before="240" w:line="360" w:lineRule="auto"/>
        <w:ind w:left="567" w:hanging="283"/>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catorce de octubre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formuló su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p>
    <w:p w:rsidR="00000000" w:rsidDel="00000000" w:rsidP="00000000" w:rsidRDefault="00000000" w:rsidRPr="00000000" w14:paraId="00000005">
      <w:pPr>
        <w:ind w:left="567" w:right="900" w:firstLine="0"/>
        <w:jc w:val="both"/>
        <w:rPr>
          <w:rFonts w:ascii="Palatino Linotype" w:cs="Palatino Linotype" w:eastAsia="Palatino Linotype" w:hAnsi="Palatino Linotype"/>
          <w:i w:val="1"/>
          <w:sz w:val="22"/>
          <w:szCs w:val="22"/>
        </w:rPr>
      </w:pPr>
      <w:bookmarkStart w:colFirst="0" w:colLast="0" w:name="_heading=h.1t3h5sf" w:id="2"/>
      <w:bookmarkEnd w:id="2"/>
      <w:r w:rsidDel="00000000" w:rsidR="00000000" w:rsidRPr="00000000">
        <w:rPr>
          <w:rFonts w:ascii="Palatino Linotype" w:cs="Palatino Linotype" w:eastAsia="Palatino Linotype" w:hAnsi="Palatino Linotype"/>
          <w:i w:val="1"/>
          <w:sz w:val="22"/>
          <w:szCs w:val="22"/>
          <w:rtl w:val="0"/>
        </w:rPr>
        <w:t xml:space="preserve">“Solicito de la manera más atenta la información archivística municipal pública, la cual se detalla en el documento adjunto, de igual forma solicito se me responda vía SAIMEX al correo electrónico XXXXXXXXXXXXXXXXXXXXXXXX con los anexos en PDF requeridos.” (Sic)</w:t>
      </w:r>
    </w:p>
    <w:p w:rsidR="00000000" w:rsidDel="00000000" w:rsidP="00000000" w:rsidRDefault="00000000" w:rsidRPr="00000000" w14:paraId="00000006">
      <w:pPr>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360"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p>
    <w:p w:rsidR="00000000" w:rsidDel="00000000" w:rsidP="00000000" w:rsidRDefault="00000000" w:rsidRPr="00000000" w14:paraId="00000008">
      <w:pPr>
        <w:spacing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ESTADO11.pdf”: </w:t>
      </w:r>
      <w:r w:rsidDel="00000000" w:rsidR="00000000" w:rsidRPr="00000000">
        <w:rPr>
          <w:rFonts w:ascii="Palatino Linotype" w:cs="Palatino Linotype" w:eastAsia="Palatino Linotype" w:hAnsi="Palatino Linotype"/>
          <w:rtl w:val="0"/>
        </w:rPr>
        <w:t xml:space="preserve">Documento de cincuenta y tres fojas en el que se aprecia un cuestionario elaborado por la solicitante, se inserta la primera foja para mayor referencia. </w:t>
      </w:r>
    </w:p>
    <w:p w:rsidR="00000000" w:rsidDel="00000000" w:rsidP="00000000" w:rsidRDefault="00000000" w:rsidRPr="00000000" w14:paraId="00000009">
      <w:pPr>
        <w:spacing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26254" cy="6830477"/>
            <wp:effectExtent b="0" l="0" r="0" t="0"/>
            <wp:docPr id="3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26254" cy="683047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de información formulada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tl w:val="0"/>
        </w:rPr>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la parte solicitante con la falta de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 SAIMEX, el </w:t>
      </w:r>
      <w:r w:rsidDel="00000000" w:rsidR="00000000" w:rsidRPr="00000000">
        <w:rPr>
          <w:rFonts w:ascii="Palatino Linotype" w:cs="Palatino Linotype" w:eastAsia="Palatino Linotype" w:hAnsi="Palatino Linotype"/>
          <w:b w:val="1"/>
          <w:rtl w:val="0"/>
        </w:rPr>
        <w:t xml:space="preserve">ocho de noviembre de dos mil veintidós</w:t>
      </w:r>
      <w:r w:rsidDel="00000000" w:rsidR="00000000" w:rsidRPr="00000000">
        <w:rPr>
          <w:rFonts w:ascii="Palatino Linotype" w:cs="Palatino Linotype" w:eastAsia="Palatino Linotype" w:hAnsi="Palatino Linotype"/>
          <w:rtl w:val="0"/>
        </w:rPr>
        <w:t xml:space="preserve">, expresando lo siguiente:</w:t>
      </w:r>
      <w:r w:rsidDel="00000000" w:rsidR="00000000" w:rsidRPr="00000000">
        <w:rPr>
          <w:rtl w:val="0"/>
        </w:rPr>
      </w:r>
    </w:p>
    <w:p w:rsidR="00000000" w:rsidDel="00000000" w:rsidP="00000000" w:rsidRDefault="00000000" w:rsidRPr="00000000" w14:paraId="0000000D">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“RECURSO DE REVISIÓN” (Sic)</w:t>
      </w:r>
    </w:p>
    <w:p w:rsidR="00000000" w:rsidDel="00000000" w:rsidP="00000000" w:rsidRDefault="00000000" w:rsidRPr="00000000" w14:paraId="0000000F">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LA FALTA DE RESPUESTA A UNA SOLICITUD DE ACCESO A LA INFORMACIÓN DENTRO DE LOS PLAZOS ESTABLECIDOS EN LA LEY.” (Sic)</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p>
    <w:p w:rsidR="00000000" w:rsidDel="00000000" w:rsidP="00000000" w:rsidRDefault="00000000" w:rsidRPr="00000000" w14:paraId="00000012">
      <w:pPr>
        <w:spacing w:after="240" w:before="240" w:line="360" w:lineRule="auto"/>
        <w:ind w:left="567" w:right="758"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“CHIMALHUACÁN_RR_20221108_2S.pdf”: </w:t>
      </w:r>
      <w:r w:rsidDel="00000000" w:rsidR="00000000" w:rsidRPr="00000000">
        <w:rPr>
          <w:rFonts w:ascii="Palatino Linotype" w:cs="Palatino Linotype" w:eastAsia="Palatino Linotype" w:hAnsi="Palatino Linotype"/>
          <w:sz w:val="22"/>
          <w:szCs w:val="22"/>
          <w:rtl w:val="0"/>
        </w:rPr>
        <w:t xml:space="preserve">Documento de tres fojas en el que medularmente se expresan los motivos de inconformidad de manera detallada. </w:t>
      </w:r>
    </w:p>
    <w:p w:rsidR="00000000" w:rsidDel="00000000" w:rsidP="00000000" w:rsidRDefault="00000000" w:rsidRPr="00000000" w14:paraId="00000013">
      <w:pPr>
        <w:spacing w:after="240" w:before="240" w:line="360" w:lineRule="auto"/>
        <w:ind w:left="567" w:right="758"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544939" cy="3566756"/>
            <wp:effectExtent b="0" l="0" r="0" t="0"/>
            <wp:docPr id="3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44939" cy="356675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ind w:left="567" w:right="758"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950700" cy="4796656"/>
            <wp:effectExtent b="0" l="0" r="0" t="0"/>
            <wp:docPr id="3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950700" cy="479665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el recurso de revisión número </w:t>
      </w:r>
      <w:r w:rsidDel="00000000" w:rsidR="00000000" w:rsidRPr="00000000">
        <w:rPr>
          <w:rFonts w:ascii="Palatino Linotype" w:cs="Palatino Linotype" w:eastAsia="Palatino Linotype" w:hAnsi="Palatino Linotype"/>
          <w:b w:val="1"/>
          <w:rtl w:val="0"/>
        </w:rPr>
        <w:t xml:space="preserve">16264/INFOEM/IP/RR/2022 </w:t>
      </w:r>
      <w:r w:rsidDel="00000000" w:rsidR="00000000" w:rsidRPr="00000000">
        <w:rPr>
          <w:rFonts w:ascii="Palatino Linotype" w:cs="Palatino Linotype" w:eastAsia="Palatino Linotype" w:hAnsi="Palatino Linotype"/>
          <w:rtl w:val="0"/>
        </w:rPr>
        <w:t xml:space="preserve">fue turnado a la </w:t>
      </w:r>
      <w:r w:rsidDel="00000000" w:rsidR="00000000" w:rsidRPr="00000000">
        <w:rPr>
          <w:rFonts w:ascii="Palatino Linotype" w:cs="Palatino Linotype" w:eastAsia="Palatino Linotype" w:hAnsi="Palatino Linotype"/>
          <w:b w:val="1"/>
          <w:rtl w:val="0"/>
        </w:rPr>
        <w:t xml:space="preserve">Comisionada Ponente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once de noviembre de dos mil veintidós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notificó la admisión a trámite el recurso de revisión al rubro indicado.</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468120"/>
            <wp:effectExtent b="0" l="0" r="0" t="0"/>
            <wp:docPr id="3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612130" cy="146812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veinticuatro de noviembre de dos mil veintidós</w:t>
      </w:r>
      <w:r w:rsidDel="00000000" w:rsidR="00000000" w:rsidRPr="00000000">
        <w:rPr>
          <w:rFonts w:ascii="Palatino Linotype" w:cs="Palatino Linotype" w:eastAsia="Palatino Linotype" w:hAnsi="Palatino Linotype"/>
          <w:rtl w:val="0"/>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r w:rsidDel="00000000" w:rsidR="00000000" w:rsidRPr="00000000">
        <w:rPr>
          <w:rtl w:val="0"/>
        </w:rPr>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after="240" w:before="240" w:line="360" w:lineRule="auto"/>
        <w:ind w:left="1080" w:hanging="720"/>
        <w:jc w:val="center"/>
        <w:rPr>
          <w:rFonts w:ascii="Palatino Linotype" w:cs="Palatino Linotype" w:eastAsia="Palatino Linotype" w:hAnsi="Palatino Linotype"/>
          <w:b w:val="1"/>
        </w:rPr>
      </w:pPr>
      <w:bookmarkStart w:colFirst="0" w:colLast="0" w:name="_heading=h.3dy6vkm" w:id="3"/>
      <w:bookmarkEnd w:id="3"/>
      <w:r w:rsidDel="00000000" w:rsidR="00000000" w:rsidRPr="00000000">
        <w:rPr>
          <w:rFonts w:ascii="Palatino Linotype" w:cs="Palatino Linotype" w:eastAsia="Palatino Linotype" w:hAnsi="Palatino Linotype"/>
          <w:b w:val="1"/>
          <w:rtl w:val="0"/>
        </w:rPr>
        <w:t xml:space="preserve">C O N S I D E R A N D O 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w:t>
      </w:r>
      <w:r w:rsidDel="00000000" w:rsidR="00000000" w:rsidRPr="00000000">
        <w:rPr>
          <w:rFonts w:ascii="Palatino Linotype" w:cs="Palatino Linotype" w:eastAsia="Palatino Linotype" w:hAnsi="Palatino Linotype"/>
          <w:b w:val="1"/>
          <w:rtl w:val="0"/>
        </w:rPr>
        <w:t xml:space="preserve">la 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Es de precisar que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describe el mecanismo de procedencia de los recursos de revisión, como se dispone en los artículos 163 y 166, del tenor literal siguiente: </w:t>
      </w:r>
    </w:p>
    <w:p w:rsidR="00000000" w:rsidDel="00000000" w:rsidP="00000000" w:rsidRDefault="00000000" w:rsidRPr="00000000" w14:paraId="0000001F">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w:t>
      </w:r>
      <w:r w:rsidDel="00000000" w:rsidR="00000000" w:rsidRPr="00000000">
        <w:rPr>
          <w:rFonts w:ascii="Palatino Linotype" w:cs="Palatino Linotype" w:eastAsia="Palatino Linotype" w:hAnsi="Palatino Linotype"/>
          <w:i w:val="1"/>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02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21">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22">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w:t>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026">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27">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8">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Del="00000000" w:rsidR="00000000" w:rsidRPr="00000000">
        <w:rPr>
          <w:rtl w:val="0"/>
        </w:rPr>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02D">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rsidR="00000000" w:rsidDel="00000000" w:rsidP="00000000" w:rsidRDefault="00000000" w:rsidRPr="00000000" w14:paraId="00000030">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r w:rsidDel="00000000" w:rsidR="00000000" w:rsidRPr="00000000">
        <w:rPr>
          <w:rtl w:val="0"/>
        </w:rPr>
      </w:r>
    </w:p>
    <w:p w:rsidR="00000000" w:rsidDel="00000000" w:rsidP="00000000" w:rsidRDefault="00000000" w:rsidRPr="00000000" w14:paraId="00000031">
      <w:pPr>
        <w:ind w:right="851"/>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3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33">
      <w:pPr>
        <w:ind w:right="851"/>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precepto legal citado, establece como supuesto de procedencia del recurso de revisión, en aquellos casos en que el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estime negado el acceso a la información por la falta de respuesta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este asunto se actualiza la hipótesis jurídica citada, en atención a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combate falta de respuesta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expresa motivos de inconformidad en contra de dicha circunstancia.</w:t>
      </w:r>
    </w:p>
    <w:p w:rsidR="00000000" w:rsidDel="00000000" w:rsidP="00000000" w:rsidRDefault="00000000" w:rsidRPr="00000000" w14:paraId="00000035">
      <w:pPr>
        <w:tabs>
          <w:tab w:val="left" w:pos="8647"/>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verificar si son procedentes los agravios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este, el derecho de acceso a la información previsto en la Constitución Política de los Estados Unidos Mexicanos y en la Constitución Política del Estado Libre y Soberano de México.</w:t>
      </w:r>
    </w:p>
    <w:p w:rsidR="00000000" w:rsidDel="00000000" w:rsidP="00000000" w:rsidRDefault="00000000" w:rsidRPr="00000000" w14:paraId="00000036">
      <w:pPr>
        <w:tabs>
          <w:tab w:val="left" w:pos="8647"/>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que se traduce como la configuración de la </w:t>
      </w:r>
      <w:r w:rsidDel="00000000" w:rsidR="00000000" w:rsidRPr="00000000">
        <w:rPr>
          <w:rFonts w:ascii="Palatino Linotype" w:cs="Palatino Linotype" w:eastAsia="Palatino Linotype" w:hAnsi="Palatino Linotype"/>
          <w:b w:val="1"/>
          <w:rtl w:val="0"/>
        </w:rPr>
        <w:t xml:space="preserve">Negativa Ficta</w:t>
      </w:r>
      <w:r w:rsidDel="00000000" w:rsidR="00000000" w:rsidRPr="00000000">
        <w:rPr>
          <w:rFonts w:ascii="Palatino Linotype" w:cs="Palatino Linotype" w:eastAsia="Palatino Linotype" w:hAnsi="Palatino Linotype"/>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w:t>
      </w:r>
      <w:r w:rsidDel="00000000" w:rsidR="00000000" w:rsidRPr="00000000">
        <w:rPr>
          <w:rFonts w:ascii="Palatino Linotype" w:cs="Palatino Linotype" w:eastAsia="Palatino Linotype" w:hAnsi="Palatino Linotype"/>
          <w:b w:val="1"/>
          <w:rtl w:val="0"/>
        </w:rPr>
        <w:t xml:space="preserve"> 00574/CHIMALHU/IP/2022,</w:t>
      </w:r>
      <w:r w:rsidDel="00000000" w:rsidR="00000000" w:rsidRPr="00000000">
        <w:rPr>
          <w:rFonts w:ascii="Palatino Linotype" w:cs="Palatino Linotype" w:eastAsia="Palatino Linotype" w:hAnsi="Palatino Linotype"/>
          <w:rtl w:val="0"/>
        </w:rPr>
        <w:t xml:space="preserve"> dentro del plazo legal previsto para ello.</w:t>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advierte que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38">
      <w:pPr>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de la manera más atenta la información archivística municipal pública, la cual se detalla en el documento adjunto, de igual forma solicito se me responda vía SAIMEX al correo electrónico estadodemex.11@gmail.com con los anexos en PDF requeridos.” (Sic)</w:t>
      </w:r>
    </w:p>
    <w:p w:rsidR="00000000" w:rsidDel="00000000" w:rsidP="00000000" w:rsidRDefault="00000000" w:rsidRPr="00000000" w14:paraId="00000039">
      <w:pPr>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A">
      <w:pPr>
        <w:spacing w:line="36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2"/>
          <w:szCs w:val="22"/>
          <w:rtl w:val="0"/>
        </w:rPr>
        <w:t xml:space="preserve"> La particular adjuntó a su solicitud el archivo “</w:t>
      </w:r>
      <w:r w:rsidDel="00000000" w:rsidR="00000000" w:rsidRPr="00000000">
        <w:rPr>
          <w:rFonts w:ascii="Palatino Linotype" w:cs="Palatino Linotype" w:eastAsia="Palatino Linotype" w:hAnsi="Palatino Linotype"/>
          <w:b w:val="1"/>
          <w:i w:val="1"/>
          <w:sz w:val="22"/>
          <w:szCs w:val="22"/>
          <w:rtl w:val="0"/>
        </w:rPr>
        <w:t xml:space="preserve">ESTADO11.pdf” </w:t>
      </w:r>
      <w:r w:rsidDel="00000000" w:rsidR="00000000" w:rsidRPr="00000000">
        <w:rPr>
          <w:rFonts w:ascii="Palatino Linotype" w:cs="Palatino Linotype" w:eastAsia="Palatino Linotype" w:hAnsi="Palatino Linotype"/>
          <w:sz w:val="22"/>
          <w:szCs w:val="22"/>
          <w:rtl w:val="0"/>
        </w:rPr>
        <w:t xml:space="preserve">que contiene un d</w:t>
      </w:r>
      <w:r w:rsidDel="00000000" w:rsidR="00000000" w:rsidRPr="00000000">
        <w:rPr>
          <w:rFonts w:ascii="Palatino Linotype" w:cs="Palatino Linotype" w:eastAsia="Palatino Linotype" w:hAnsi="Palatino Linotype"/>
          <w:rtl w:val="0"/>
        </w:rPr>
        <w:t xml:space="preserve">ocumento de cincuenta y tres fojas en el que se aprecia un cuestionario elaborado por la solicitante. </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se procede al análisis del presente recurso, así como al contenido íntegro de las actuaciones que obran en el expediente electrónico, para así estar en posibilidad este Organismo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3C">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D">
      <w:pPr>
        <w:tabs>
          <w:tab w:val="left" w:pos="709"/>
        </w:tabs>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tabs>
          <w:tab w:val="left" w:pos="709"/>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F">
      <w:pPr>
        <w:tabs>
          <w:tab w:val="left" w:pos="709"/>
        </w:tabs>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40">
      <w:pPr>
        <w:tabs>
          <w:tab w:val="left" w:pos="709"/>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1">
      <w:pPr>
        <w:tabs>
          <w:tab w:val="left" w:pos="709"/>
        </w:tabs>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2">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3">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4">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6">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7">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8">
      <w:pPr>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9">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A">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B">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C">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D">
      <w:pPr>
        <w:ind w:left="567"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E">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F">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0">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1">
      <w:pPr>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52">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3">
      <w:pPr>
        <w:spacing w:after="280" w:before="28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En ese orden de ideas, la Ley de Transparencia y Acceso a la Información Pública del Estado de México y Municipios, prevé en su artículo 23, lo siguiente:</w:t>
      </w:r>
      <w:r w:rsidDel="00000000" w:rsidR="00000000" w:rsidRPr="00000000">
        <w:rPr>
          <w:rtl w:val="0"/>
        </w:rPr>
      </w:r>
    </w:p>
    <w:p w:rsidR="00000000" w:rsidDel="00000000" w:rsidP="00000000" w:rsidRDefault="00000000" w:rsidRPr="00000000" w14:paraId="0000005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23.</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sujetos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obligados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permitir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proteger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personales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obren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Ejecutivo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México,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Procuraduría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General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Justicia;</w:t>
      </w:r>
      <w:r w:rsidDel="00000000" w:rsidR="00000000" w:rsidRPr="00000000">
        <w:rPr>
          <w:rtl w:val="0"/>
        </w:rPr>
      </w:r>
    </w:p>
    <w:p w:rsidR="00000000" w:rsidDel="00000000" w:rsidP="00000000" w:rsidRDefault="00000000" w:rsidRPr="00000000" w14:paraId="00000056">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p>
    <w:p w:rsidR="00000000" w:rsidDel="00000000" w:rsidP="00000000" w:rsidRDefault="00000000" w:rsidRPr="00000000" w14:paraId="00000057">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Consejo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p>
    <w:p w:rsidR="00000000" w:rsidDel="00000000" w:rsidP="00000000" w:rsidRDefault="00000000" w:rsidRPr="00000000" w14:paraId="00000058">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ayuntamientos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dependencias,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organismos,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órganos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entidades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administración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municipal;</w:t>
      </w:r>
    </w:p>
    <w:p w:rsidR="00000000" w:rsidDel="00000000" w:rsidP="00000000" w:rsidRDefault="00000000" w:rsidRPr="00000000" w14:paraId="00000059">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autónomos;</w:t>
      </w:r>
    </w:p>
    <w:p w:rsidR="00000000" w:rsidDel="00000000" w:rsidP="00000000" w:rsidRDefault="00000000" w:rsidRPr="00000000" w14:paraId="0000005A">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tribunales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administrativos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jurisdiccionales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materia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laboral;</w:t>
      </w:r>
    </w:p>
    <w:p w:rsidR="00000000" w:rsidDel="00000000" w:rsidP="00000000" w:rsidRDefault="00000000" w:rsidRPr="00000000" w14:paraId="0000005B">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agrupaciones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términos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disposiciones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aplicables;</w:t>
      </w:r>
    </w:p>
    <w:p w:rsidR="00000000" w:rsidDel="00000000" w:rsidP="00000000" w:rsidRDefault="00000000" w:rsidRPr="00000000" w14:paraId="0000005C">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cuenten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financiamiento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participación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gobierno;</w:t>
      </w:r>
    </w:p>
    <w:p w:rsidR="00000000" w:rsidDel="00000000" w:rsidP="00000000" w:rsidRDefault="00000000" w:rsidRPr="00000000" w14:paraId="0000005D">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sindicatos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p>
    <w:p w:rsidR="00000000" w:rsidDel="00000000" w:rsidP="00000000" w:rsidRDefault="00000000" w:rsidRPr="00000000" w14:paraId="0000005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física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jurídico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colectiva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p>
    <w:p w:rsidR="00000000" w:rsidDel="00000000" w:rsidP="00000000" w:rsidRDefault="00000000" w:rsidRPr="00000000" w14:paraId="0000005F">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otra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p>
    <w:p w:rsidR="00000000" w:rsidDel="00000000" w:rsidP="00000000" w:rsidRDefault="00000000" w:rsidRPr="00000000" w14:paraId="00000060">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sujetos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obligados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deberán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hacer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aquella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relativa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montos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quienes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sobre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destino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p>
    <w:p w:rsidR="00000000" w:rsidDel="00000000" w:rsidP="00000000" w:rsidRDefault="00000000" w:rsidRPr="00000000" w14:paraId="00000061">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servidores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deberán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acciones,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como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garantizar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respetar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4">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65">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66">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67">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6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000000" w:rsidDel="00000000" w:rsidP="00000000" w:rsidRDefault="00000000" w:rsidRPr="00000000" w14:paraId="0000006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6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6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 claro que en este caso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incumplió la normativa en la materia, puesto que no dio trámite ni respuesta a la solicitud de acceso a la información, limitando el derecho de acceso a la información, accionado por el particular.</w:t>
      </w:r>
    </w:p>
    <w:p w:rsidR="00000000" w:rsidDel="00000000" w:rsidP="00000000" w:rsidRDefault="00000000" w:rsidRPr="00000000" w14:paraId="0000006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Organismo Garante del derecho de acceso a la información estima que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trámite y respuesta a la solicitud del particular.</w:t>
      </w:r>
    </w:p>
    <w:p w:rsidR="00000000" w:rsidDel="00000000" w:rsidP="00000000" w:rsidRDefault="00000000" w:rsidRPr="00000000" w14:paraId="0000006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por lo que, en caso de no atender de manera positiva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el requerimiento de información deberá manifestarse al respecto.</w:t>
      </w:r>
    </w:p>
    <w:p w:rsidR="00000000" w:rsidDel="00000000" w:rsidP="00000000" w:rsidRDefault="00000000" w:rsidRPr="00000000" w14:paraId="0000006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6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72">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73">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74">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75">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76">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77">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78">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79">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7A">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7B">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7C">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7D">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7E">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7F">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80">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81">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83">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jurídica colectiva identificada o identificable;</w:t>
      </w:r>
    </w:p>
    <w:p w:rsidR="00000000" w:rsidDel="00000000" w:rsidP="00000000" w:rsidRDefault="00000000" w:rsidRPr="00000000" w14:paraId="00000084">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85">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86">
      <w:pPr>
        <w:spacing w:after="120" w:before="12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87">
      <w:pPr>
        <w:spacing w:after="120" w:before="120" w:lineRule="auto"/>
        <w:ind w:left="567"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08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89">
      <w:pPr>
        <w:numPr>
          <w:ilvl w:val="0"/>
          <w:numId w:val="1"/>
        </w:numPr>
        <w:tabs>
          <w:tab w:val="left" w:pos="851"/>
        </w:tabs>
        <w:spacing w:before="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08A">
      <w:pPr>
        <w:numPr>
          <w:ilvl w:val="0"/>
          <w:numId w:val="1"/>
        </w:numPr>
        <w:tabs>
          <w:tab w:val="left" w:pos="851"/>
        </w:tabs>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08B">
      <w:pPr>
        <w:numPr>
          <w:ilvl w:val="0"/>
          <w:numId w:val="1"/>
        </w:numPr>
        <w:tabs>
          <w:tab w:val="left" w:pos="851"/>
        </w:tabs>
        <w:spacing w:after="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08C">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53 fracción X</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49 fracciones II y VIII</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p>
    <w:p w:rsidR="00000000" w:rsidDel="00000000" w:rsidP="00000000" w:rsidRDefault="00000000" w:rsidRPr="00000000" w14:paraId="0000008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advierte que la información solicitada contienen </w:t>
      </w:r>
      <w:r w:rsidDel="00000000" w:rsidR="00000000" w:rsidRPr="00000000">
        <w:rPr>
          <w:rFonts w:ascii="Palatino Linotype" w:cs="Palatino Linotype" w:eastAsia="Palatino Linotype" w:hAnsi="Palatino Linotype"/>
          <w:b w:val="1"/>
          <w:rtl w:val="0"/>
        </w:rPr>
        <w:t xml:space="preserve">datos personales</w:t>
      </w:r>
      <w:r w:rsidDel="00000000" w:rsidR="00000000" w:rsidRPr="00000000">
        <w:rPr>
          <w:rFonts w:ascii="Palatino Linotype" w:cs="Palatino Linotype" w:eastAsia="Palatino Linotype" w:hAnsi="Palatino Linotype"/>
          <w:rtl w:val="0"/>
        </w:rPr>
        <w:t xml:space="preserve"> que sean susceptibles de ser </w:t>
      </w:r>
      <w:r w:rsidDel="00000000" w:rsidR="00000000" w:rsidRPr="00000000">
        <w:rPr>
          <w:rFonts w:ascii="Palatino Linotype" w:cs="Palatino Linotype" w:eastAsia="Palatino Linotype" w:hAnsi="Palatino Linotype"/>
          <w:b w:val="1"/>
          <w:rtl w:val="0"/>
        </w:rPr>
        <w:t xml:space="preserve">clasificados como confidenciales, </w:t>
      </w:r>
      <w:r w:rsidDel="00000000" w:rsidR="00000000" w:rsidRPr="00000000">
        <w:rPr>
          <w:rFonts w:ascii="Palatino Linotype" w:cs="Palatino Linotype" w:eastAsia="Palatino Linotype" w:hAnsi="Palatino Linotype"/>
          <w:rtl w:val="0"/>
        </w:rPr>
        <w:t xml:space="preserve">o, si por otro lado</w:t>
      </w:r>
      <w:r w:rsidDel="00000000" w:rsidR="00000000" w:rsidRPr="00000000">
        <w:rPr>
          <w:rFonts w:ascii="Palatino Linotype" w:cs="Palatino Linotype" w:eastAsia="Palatino Linotype" w:hAnsi="Palatino Linotype"/>
          <w:b w:val="1"/>
          <w:rtl w:val="0"/>
        </w:rPr>
        <w:t xml:space="preserve">, por su propia y especial naturaleza,</w:t>
      </w:r>
      <w:r w:rsidDel="00000000" w:rsidR="00000000" w:rsidRPr="00000000">
        <w:rPr>
          <w:rFonts w:ascii="Palatino Linotype" w:cs="Palatino Linotype" w:eastAsia="Palatino Linotype" w:hAnsi="Palatino Linotype"/>
          <w:rtl w:val="0"/>
        </w:rPr>
        <w:t xml:space="preserve"> encuadra en alguno de los </w:t>
      </w:r>
      <w:r w:rsidDel="00000000" w:rsidR="00000000" w:rsidRPr="00000000">
        <w:rPr>
          <w:rFonts w:ascii="Palatino Linotype" w:cs="Palatino Linotype" w:eastAsia="Palatino Linotype" w:hAnsi="Palatino Linotype"/>
          <w:b w:val="1"/>
          <w:rtl w:val="0"/>
        </w:rPr>
        <w:t xml:space="preserve">supuestos de reserva o de confidencialidad en su totalidad</w:t>
      </w:r>
      <w:r w:rsidDel="00000000" w:rsidR="00000000" w:rsidRPr="00000000">
        <w:rPr>
          <w:rFonts w:ascii="Palatino Linotype" w:cs="Palatino Linotype" w:eastAsia="Palatino Linotype" w:hAnsi="Palatino Linotype"/>
          <w:rtl w:val="0"/>
        </w:rPr>
        <w:t xml:space="preserve">, deberá emitir, un</w:t>
      </w:r>
      <w:r w:rsidDel="00000000" w:rsidR="00000000" w:rsidRPr="00000000">
        <w:rPr>
          <w:rFonts w:ascii="Palatino Linotype" w:cs="Palatino Linotype" w:eastAsia="Palatino Linotype" w:hAnsi="Palatino Linotype"/>
          <w:b w:val="1"/>
          <w:rtl w:val="0"/>
        </w:rPr>
        <w:t xml:space="preserve"> Acuerdo de Clasificación </w:t>
      </w:r>
      <w:r w:rsidDel="00000000" w:rsidR="00000000" w:rsidRPr="00000000">
        <w:rPr>
          <w:rFonts w:ascii="Palatino Linotype" w:cs="Palatino Linotype" w:eastAsia="Palatino Linotype" w:hAnsi="Palatino Linotype"/>
          <w:rtl w:val="0"/>
        </w:rPr>
        <w:t xml:space="preserve">debidamente fundado y motivado que</w:t>
      </w:r>
      <w:r w:rsidDel="00000000" w:rsidR="00000000" w:rsidRPr="00000000">
        <w:rPr>
          <w:rFonts w:ascii="Palatino Linotype" w:cs="Palatino Linotype" w:eastAsia="Palatino Linotype" w:hAnsi="Palatino Linotype"/>
          <w:b w:val="1"/>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rtl w:val="0"/>
        </w:rPr>
        <w:t xml:space="preserve"> o bien, la restricción total del derecho de acceso a la información.  </w:t>
      </w:r>
    </w:p>
    <w:p w:rsidR="00000000" w:rsidDel="00000000" w:rsidP="00000000" w:rsidRDefault="00000000" w:rsidRPr="00000000" w14:paraId="0000008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8F">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siendo que, además, en todo momento, se debe aplicar una prueba de daño, entendida ésta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9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000000" w:rsidDel="00000000" w:rsidP="00000000" w:rsidRDefault="00000000" w:rsidRPr="00000000" w14:paraId="00000091">
      <w:pPr>
        <w:numPr>
          <w:ilvl w:val="0"/>
          <w:numId w:val="2"/>
        </w:numPr>
        <w:tabs>
          <w:tab w:val="left" w:pos="851"/>
        </w:tabs>
        <w:spacing w:before="280" w:line="360" w:lineRule="auto"/>
        <w:ind w:left="567" w:right="900"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2">
      <w:pPr>
        <w:numPr>
          <w:ilvl w:val="0"/>
          <w:numId w:val="2"/>
        </w:numPr>
        <w:tabs>
          <w:tab w:val="left" w:pos="851"/>
        </w:tabs>
        <w:spacing w:line="360" w:lineRule="auto"/>
        <w:ind w:left="567" w:right="900"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093">
      <w:pPr>
        <w:numPr>
          <w:ilvl w:val="0"/>
          <w:numId w:val="2"/>
        </w:numPr>
        <w:tabs>
          <w:tab w:val="left" w:pos="851"/>
        </w:tabs>
        <w:spacing w:after="280" w:line="360" w:lineRule="auto"/>
        <w:ind w:left="567" w:right="900"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tabs>
          <w:tab w:val="left" w:pos="1276"/>
          <w:tab w:val="left" w:pos="1701"/>
          <w:tab w:val="left" w:pos="1843"/>
        </w:tabs>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000000" w:rsidDel="00000000" w:rsidP="00000000" w:rsidRDefault="00000000" w:rsidRPr="00000000" w14:paraId="0000009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96">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09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w:t>
      </w:r>
    </w:p>
    <w:p w:rsidR="00000000" w:rsidDel="00000000" w:rsidP="00000000" w:rsidRDefault="00000000" w:rsidRPr="00000000" w14:paraId="00000098">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99">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9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estima prudente señalar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9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9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9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9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9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todo lo expuesto, ante lo </w:t>
      </w:r>
      <w:r w:rsidDel="00000000" w:rsidR="00000000" w:rsidRPr="00000000">
        <w:rPr>
          <w:rFonts w:ascii="Palatino Linotype" w:cs="Palatino Linotype" w:eastAsia="Palatino Linotype" w:hAnsi="Palatino Linotype"/>
          <w:b w:val="1"/>
          <w:rtl w:val="0"/>
        </w:rPr>
        <w:t xml:space="preserve">fundado</w:t>
      </w:r>
      <w:r w:rsidDel="00000000" w:rsidR="00000000" w:rsidRPr="00000000">
        <w:rPr>
          <w:rFonts w:ascii="Palatino Linotype" w:cs="Palatino Linotype" w:eastAsia="Palatino Linotype" w:hAnsi="Palatino Linotype"/>
          <w:rtl w:val="0"/>
        </w:rPr>
        <w:t xml:space="preserve"> de las razones o motivos de inconformidad hechos valer por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este Instituto estima que lo dable es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respuesta a la solicitud de acceso a la información, atendiendo lo señalado en el presente Considerando.</w:t>
      </w:r>
    </w:p>
    <w:p w:rsidR="00000000" w:rsidDel="00000000" w:rsidP="00000000" w:rsidRDefault="00000000" w:rsidRPr="00000000" w14:paraId="000000A0">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como ya se mencionó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proporcionar la respuesta a su solicitud de acceso a la información pública, en el término contemplado en el ya citado artículo 163 de la Ley de la materia, razón por la que </w:t>
      </w:r>
      <w:r w:rsidDel="00000000" w:rsidR="00000000" w:rsidRPr="00000000">
        <w:rPr>
          <w:rFonts w:ascii="Palatino Linotype" w:cs="Palatino Linotype" w:eastAsia="Palatino Linotype" w:hAnsi="Palatino Linotype"/>
          <w:b w:val="1"/>
          <w:rtl w:val="0"/>
        </w:rPr>
        <w:t xml:space="preserve">se ordena dar vista al Titular de la Contraloría Interna y Órgano de Control y Vigilancia de este Instituto</w:t>
      </w:r>
      <w:r w:rsidDel="00000000" w:rsidR="00000000" w:rsidRPr="00000000">
        <w:rPr>
          <w:rFonts w:ascii="Palatino Linotype" w:cs="Palatino Linotype" w:eastAsia="Palatino Linotype" w:hAnsi="Palatino Linotype"/>
          <w:rtl w:val="0"/>
        </w:rPr>
        <w:t xml:space="preserve">,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bookmarkStart w:colFirst="0" w:colLast="0" w:name="_heading=h.1fob9te" w:id="4"/>
      <w:bookmarkEnd w:id="4"/>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pacing w:after="280" w:before="280" w:line="360" w:lineRule="auto"/>
        <w:ind w:left="1080" w:hanging="72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 E S U E L V E:</w:t>
      </w:r>
    </w:p>
    <w:p w:rsidR="00000000" w:rsidDel="00000000" w:rsidP="00000000" w:rsidRDefault="00000000" w:rsidRPr="00000000" w14:paraId="000000A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fundados los motivos de inconformidad 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16264/INFOEM/IP/RR/2022,</w:t>
      </w:r>
      <w:r w:rsidDel="00000000" w:rsidR="00000000" w:rsidRPr="00000000">
        <w:rPr>
          <w:rFonts w:ascii="Palatino Linotype" w:cs="Palatino Linotype" w:eastAsia="Palatino Linotype" w:hAnsi="Palatino Linotype"/>
          <w:rtl w:val="0"/>
        </w:rPr>
        <w:t xml:space="preserv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dé trámite, vía </w:t>
      </w:r>
      <w:r w:rsidDel="00000000" w:rsidR="00000000" w:rsidRPr="00000000">
        <w:rPr>
          <w:rFonts w:ascii="Palatino Linotype" w:cs="Palatino Linotype" w:eastAsia="Palatino Linotype" w:hAnsi="Palatino Linotype"/>
          <w:b w:val="1"/>
          <w:rtl w:val="0"/>
        </w:rPr>
        <w:t xml:space="preserve">Sistema de Acceso a la Información Mexiquense (SAIMEX), </w:t>
      </w:r>
      <w:r w:rsidDel="00000000" w:rsidR="00000000" w:rsidRPr="00000000">
        <w:rPr>
          <w:rFonts w:ascii="Palatino Linotype" w:cs="Palatino Linotype" w:eastAsia="Palatino Linotype" w:hAnsi="Palatino Linotype"/>
          <w:rtl w:val="0"/>
        </w:rPr>
        <w:t xml:space="preserve">a la solicitud de acceso a la información pública </w:t>
      </w:r>
      <w:r w:rsidDel="00000000" w:rsidR="00000000" w:rsidRPr="00000000">
        <w:rPr>
          <w:rFonts w:ascii="Palatino Linotype" w:cs="Palatino Linotype" w:eastAsia="Palatino Linotype" w:hAnsi="Palatino Linotype"/>
          <w:b w:val="1"/>
          <w:rtl w:val="0"/>
        </w:rPr>
        <w:t xml:space="preserve">00574/CHIMALHU/IP/2022, </w:t>
      </w:r>
      <w:r w:rsidDel="00000000" w:rsidR="00000000" w:rsidRPr="00000000">
        <w:rPr>
          <w:rFonts w:ascii="Palatino Linotype" w:cs="Palatino Linotype" w:eastAsia="Palatino Linotype" w:hAnsi="Palatino Linotype"/>
          <w:rtl w:val="0"/>
        </w:rPr>
        <w:t xml:space="preserve">que dio origen al recurso de revisión </w:t>
      </w:r>
      <w:r w:rsidDel="00000000" w:rsidR="00000000" w:rsidRPr="00000000">
        <w:rPr>
          <w:rFonts w:ascii="Palatino Linotype" w:cs="Palatino Linotype" w:eastAsia="Palatino Linotype" w:hAnsi="Palatino Linotype"/>
          <w:b w:val="1"/>
          <w:rtl w:val="0"/>
        </w:rPr>
        <w:t xml:space="preserve">16264/INFOEM/IP/RR/2022</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bookmarkStart w:colFirst="0" w:colLast="0" w:name="_heading=h.3znysh7" w:id="5"/>
      <w:bookmarkEnd w:id="5"/>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A7">
      <w:pPr>
        <w:spacing w:after="240" w:before="240" w:line="360" w:lineRule="auto"/>
        <w:jc w:val="both"/>
        <w:rPr>
          <w:rFonts w:ascii="Palatino Linotype" w:cs="Palatino Linotype" w:eastAsia="Palatino Linotype" w:hAnsi="Palatino Linotype"/>
          <w:b w:val="1"/>
        </w:rPr>
      </w:pPr>
      <w:bookmarkStart w:colFirst="0" w:colLast="0" w:name="_heading=h.tyjcwt" w:id="6"/>
      <w:bookmarkEnd w:id="6"/>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a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la respuesta que dé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Sexto. Gírese </w:t>
      </w:r>
      <w:r w:rsidDel="00000000" w:rsidR="00000000" w:rsidRPr="00000000">
        <w:rPr>
          <w:rFonts w:ascii="Palatino Linotype" w:cs="Palatino Linotype" w:eastAsia="Palatino Linotype" w:hAnsi="Palatino Linotype"/>
          <w:rtl w:val="0"/>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w:t>
      </w:r>
      <w:r w:rsidDel="00000000" w:rsidR="00000000" w:rsidRPr="00000000">
        <w:rPr>
          <w:rFonts w:ascii="Palatino Linotype" w:cs="Palatino Linotype" w:eastAsia="Palatino Linotype" w:hAnsi="Palatino Linotype"/>
          <w:b w:val="1"/>
          <w:rtl w:val="0"/>
        </w:rPr>
        <w:t xml:space="preserve">Considerando Cuarto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Séptimo. </w:t>
      </w:r>
      <w:r w:rsidDel="00000000" w:rsidR="00000000" w:rsidRPr="00000000">
        <w:rPr>
          <w:rFonts w:ascii="Palatino Linotype" w:cs="Palatino Linotype" w:eastAsia="Palatino Linotype" w:hAnsi="Palatino Linotype"/>
          <w:rtl w:val="0"/>
        </w:rPr>
        <w:t xml:space="preserve">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AA">
      <w:pPr>
        <w:spacing w:line="360" w:lineRule="auto"/>
        <w:ind w:right="49"/>
        <w:jc w:val="both"/>
        <w:rPr>
          <w:rFonts w:ascii="Palatino Linotype" w:cs="Palatino Linotype" w:eastAsia="Palatino Linotype" w:hAnsi="Palatino Linotype"/>
        </w:rPr>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pPr>
      <w:bookmarkStart w:colFirst="0" w:colLast="0" w:name="_heading=h.2et92p0" w:id="7"/>
      <w:bookmarkEnd w:id="7"/>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DE NOVIEMBRE DE DOS MIL VEINTIDÓS, ANTE EL SECRETARIO TÉCNICO DEL PLENO ALEXIS TAPIA RAMÍREZ.</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800100</wp:posOffset>
                </wp:positionV>
                <wp:extent cx="5286375" cy="6677025"/>
                <wp:effectExtent b="0" l="0" r="0" t="0"/>
                <wp:wrapNone/>
                <wp:docPr id="29" name=""/>
                <a:graphic>
                  <a:graphicData uri="http://schemas.microsoft.com/office/word/2010/wordprocessingShape">
                    <wps:wsp>
                      <wps:cNvCnPr/>
                      <wps:spPr>
                        <a:xfrm>
                          <a:off x="2707575" y="446250"/>
                          <a:ext cx="5276850" cy="66675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800100</wp:posOffset>
                </wp:positionV>
                <wp:extent cx="5286375" cy="6677025"/>
                <wp:effectExtent b="0" l="0" r="0" t="0"/>
                <wp:wrapNone/>
                <wp:docPr id="29"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5286375" cy="6677025"/>
                        </a:xfrm>
                        <a:prstGeom prst="rect"/>
                        <a:ln/>
                      </pic:spPr>
                    </pic:pic>
                  </a:graphicData>
                </a:graphic>
              </wp:anchor>
            </w:drawing>
          </mc:Fallback>
        </mc:AlternateContent>
      </w:r>
    </w:p>
    <w:p w:rsidR="00000000" w:rsidDel="00000000" w:rsidP="00000000" w:rsidRDefault="00000000" w:rsidRPr="00000000" w14:paraId="000000AB">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sectPr>
      <w:headerReference r:id="rId17"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pos="4252"/>
        <w:tab w:val="right"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pos="4252"/>
        <w:tab w:val="right" w:pos="8504"/>
      </w:tabs>
      <w:ind w:firstLine="708"/>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Al encontrarse en algún supuesto restrictivo, previsto en la normatividad aplicable.</w:t>
      </w:r>
    </w:p>
  </w:footnote>
  <w:footnote w:id="1">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59. Los servidores públicos habilitados tendrán las funciones siguientes:</w:t>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 Integrar y presentar al responsable de la Unidad de Transparencia la propuesta de clasificación de información, la cual tendrá los fundamentos y argumentos en que se basa dicha propuesta;</w:t>
      </w:r>
    </w:p>
  </w:footnote>
  <w:footnote w:id="2">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53. Las Unidades de Transparencia tendrán las siguientes funciones:</w:t>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X. Presentar ante el Comité, el proyecto de clasificación de información;</w:t>
      </w:r>
    </w:p>
  </w:footnote>
  <w:footnote w:id="3">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Artículo 49. Los Comités de Transparencia tendrán las siguientes atribuciones:</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VIII. Aprobar, modificar o revocar la clasificación de la información;</w:t>
      </w:r>
    </w:p>
  </w:footnote>
  <w:footnote w:id="4">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-1013448</wp:posOffset>
          </wp:positionH>
          <wp:positionV relativeFrom="paragraph">
            <wp:posOffset>-372100</wp:posOffset>
          </wp:positionV>
          <wp:extent cx="7635600" cy="9943200"/>
          <wp:effectExtent b="0" l="0" r="0" t="0"/>
          <wp:wrapNone/>
          <wp:docPr id="3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1"/>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B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B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16264/INFOEM/IP/RR/2022</w:t>
          </w:r>
        </w:p>
      </w:tc>
    </w:tr>
    <w:tr>
      <w:trPr>
        <w:cantSplit w:val="0"/>
        <w:tblHeader w:val="0"/>
      </w:trPr>
      <w:tc>
        <w:tcPr>
          <w:vAlign w:val="center"/>
        </w:tcPr>
        <w:p w:rsidR="00000000" w:rsidDel="00000000" w:rsidP="00000000" w:rsidRDefault="00000000" w:rsidRPr="00000000" w14:paraId="000000BA">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BB">
          <w:pPr>
            <w:ind w:right="31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 XXXXXXX</w:t>
          </w:r>
        </w:p>
      </w:tc>
    </w:tr>
    <w:tr>
      <w:trPr>
        <w:cantSplit w:val="0"/>
        <w:trHeight w:val="228" w:hRule="atLeast"/>
        <w:tblHeader w:val="0"/>
      </w:trPr>
      <w:tc>
        <w:tcPr>
          <w:vAlign w:val="center"/>
        </w:tcPr>
        <w:p w:rsidR="00000000" w:rsidDel="00000000" w:rsidP="00000000" w:rsidRDefault="00000000" w:rsidRPr="00000000" w14:paraId="000000B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vAlign w:val="center"/>
        </w:tcPr>
        <w:p w:rsidR="00000000" w:rsidDel="00000000" w:rsidP="00000000" w:rsidRDefault="00000000" w:rsidRPr="00000000" w14:paraId="000000B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-1080126</wp:posOffset>
          </wp:positionH>
          <wp:positionV relativeFrom="paragraph">
            <wp:posOffset>-450839</wp:posOffset>
          </wp:positionV>
          <wp:extent cx="7635163" cy="9944100"/>
          <wp:effectExtent b="0" l="0" r="0" t="0"/>
          <wp:wrapNone/>
          <wp:docPr id="3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tbl>
    <w:tblPr>
      <w:tblStyle w:val="Table2"/>
      <w:tblW w:w="5810.999999999999" w:type="dxa"/>
      <w:jc w:val="left"/>
      <w:tblInd w:w="3261.0" w:type="dxa"/>
      <w:tblLayout w:type="fixed"/>
      <w:tblLook w:val="0400"/>
    </w:tblPr>
    <w:tblGrid>
      <w:gridCol w:w="2552"/>
      <w:gridCol w:w="3259"/>
      <w:tblGridChange w:id="0">
        <w:tblGrid>
          <w:gridCol w:w="2552"/>
          <w:gridCol w:w="3259"/>
        </w:tblGrid>
      </w:tblGridChange>
    </w:tblGrid>
    <w:tr>
      <w:trPr>
        <w:cantSplit w:val="0"/>
        <w:tblHeader w:val="0"/>
      </w:trPr>
      <w:tc>
        <w:tcPr>
          <w:vAlign w:val="center"/>
        </w:tcPr>
        <w:p w:rsidR="00000000" w:rsidDel="00000000" w:rsidP="00000000" w:rsidRDefault="00000000" w:rsidRPr="00000000" w14:paraId="000000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C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16264/INFOEM/IP/RR/2022 </w:t>
          </w:r>
        </w:p>
      </w:tc>
    </w:tr>
    <w:tr>
      <w:trPr>
        <w:cantSplit w:val="0"/>
        <w:trHeight w:val="228" w:hRule="atLeast"/>
        <w:tblHeader w:val="0"/>
      </w:trPr>
      <w:tc>
        <w:tcP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C5">
          <w:pPr>
            <w:ind w:right="73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Chimalhuacán</w:t>
          </w:r>
        </w:p>
      </w:tc>
    </w:tr>
    <w:tr>
      <w:trPr>
        <w:cantSplit w:val="0"/>
        <w:tblHeader w:val="0"/>
      </w:trPr>
      <w:tc>
        <w:tcP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C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252"/>
        <w:tab w:val="right" w:pos="8504"/>
        <w:tab w:val="left"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252"/>
        <w:tab w:val="right" w:pos="8504"/>
      </w:tabs>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252"/>
        <w:tab w:val="right"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73ED9"/>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rPr>
      <w:rFonts w:eastAsiaTheme="minorEastAsia"/>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7"/>
    <w:tblPr>
      <w:tblStyleRowBandSize w:val="1"/>
      <w:tblStyleColBandSize w:val="1"/>
      <w:tblCellMar>
        <w:top w:w="0.0" w:type="dxa"/>
        <w:left w:w="115.0" w:type="dxa"/>
        <w:bottom w:w="0.0" w:type="dxa"/>
        <w:right w:w="115.0" w:type="dxa"/>
      </w:tblCellMar>
    </w:tblPr>
  </w:style>
  <w:style w:type="table" w:styleId="a0" w:customStyle="1">
    <w:basedOn w:val="TableNormal7"/>
    <w:tblPr>
      <w:tblStyleRowBandSize w:val="1"/>
      <w:tblStyleColBandSize w:val="1"/>
      <w:tblCellMar>
        <w:top w:w="0.0" w:type="dxa"/>
        <w:left w:w="115.0" w:type="dxa"/>
        <w:bottom w:w="0.0" w:type="dxa"/>
        <w:right w:w="115.0" w:type="dxa"/>
      </w:tblCellMar>
    </w:tblPr>
  </w:style>
  <w:style w:type="table" w:styleId="a1" w:customStyle="1">
    <w:basedOn w:val="TableNormal7"/>
    <w:tblPr>
      <w:tblStyleRowBandSize w:val="1"/>
      <w:tblStyleColBandSize w:val="1"/>
      <w:tblCellMar>
        <w:top w:w="0.0" w:type="dxa"/>
        <w:left w:w="115.0" w:type="dxa"/>
        <w:bottom w:w="0.0" w:type="dxa"/>
        <w:right w:w="115.0" w:type="dxa"/>
      </w:tblCellMar>
    </w:tblPr>
  </w:style>
  <w:style w:type="table" w:styleId="a2" w:customStyle="1">
    <w:basedOn w:val="TableNormal7"/>
    <w:tblPr>
      <w:tblStyleRowBandSize w:val="1"/>
      <w:tblStyleColBandSize w:val="1"/>
      <w:tblCellMar>
        <w:top w:w="0.0" w:type="dxa"/>
        <w:left w:w="115.0" w:type="dxa"/>
        <w:bottom w:w="0.0" w:type="dxa"/>
        <w:right w:w="115.0" w:type="dxa"/>
      </w:tblCellMar>
    </w:tblPr>
  </w:style>
  <w:style w:type="table" w:styleId="a3" w:customStyle="1">
    <w:basedOn w:val="TableNormal6"/>
    <w:tblPr>
      <w:tblStyleRowBandSize w:val="1"/>
      <w:tblStyleColBandSize w:val="1"/>
      <w:tblCellMar>
        <w:top w:w="0.0" w:type="dxa"/>
        <w:left w:w="115.0" w:type="dxa"/>
        <w:bottom w:w="0.0" w:type="dxa"/>
        <w:right w:w="115.0" w:type="dxa"/>
      </w:tblCellMar>
    </w:tblPr>
  </w:style>
  <w:style w:type="table" w:styleId="a4" w:customStyle="1">
    <w:basedOn w:val="TableNormal6"/>
    <w:tblPr>
      <w:tblStyleRowBandSize w:val="1"/>
      <w:tblStyleColBandSize w:val="1"/>
      <w:tblCellMar>
        <w:top w:w="0.0" w:type="dxa"/>
        <w:left w:w="115.0" w:type="dxa"/>
        <w:bottom w:w="0.0" w:type="dxa"/>
        <w:right w:w="115.0" w:type="dxa"/>
      </w:tblCellMar>
    </w:tblPr>
  </w:style>
  <w:style w:type="table" w:styleId="a5" w:customStyle="1">
    <w:basedOn w:val="TableNormal5"/>
    <w:tblPr>
      <w:tblStyleRowBandSize w:val="1"/>
      <w:tblStyleColBandSize w:val="1"/>
      <w:tblCellMar>
        <w:top w:w="0.0" w:type="dxa"/>
        <w:left w:w="115.0" w:type="dxa"/>
        <w:bottom w:w="0.0" w:type="dxa"/>
        <w:right w:w="115.0" w:type="dxa"/>
      </w:tblCellMar>
    </w:tblPr>
  </w:style>
  <w:style w:type="table" w:styleId="a6" w:customStyle="1">
    <w:basedOn w:val="TableNormal5"/>
    <w:tblPr>
      <w:tblStyleRowBandSize w:val="1"/>
      <w:tblStyleColBandSize w:val="1"/>
      <w:tblCellMar>
        <w:top w:w="0.0" w:type="dxa"/>
        <w:left w:w="115.0" w:type="dxa"/>
        <w:bottom w:w="0.0" w:type="dxa"/>
        <w:right w:w="115.0" w:type="dxa"/>
      </w:tblCellMar>
    </w:tblPr>
  </w:style>
  <w:style w:type="table" w:styleId="a7" w:customStyle="1">
    <w:basedOn w:val="TableNormal4"/>
    <w:tblPr>
      <w:tblStyleRowBandSize w:val="1"/>
      <w:tblStyleColBandSize w:val="1"/>
      <w:tblCellMar>
        <w:top w:w="0.0" w:type="dxa"/>
        <w:left w:w="115.0" w:type="dxa"/>
        <w:bottom w:w="0.0" w:type="dxa"/>
        <w:right w:w="115.0" w:type="dxa"/>
      </w:tblCellMar>
    </w:tblPr>
  </w:style>
  <w:style w:type="table" w:styleId="a8" w:customStyle="1">
    <w:basedOn w:val="TableNormal4"/>
    <w:tblPr>
      <w:tblStyleRowBandSize w:val="1"/>
      <w:tblStyleColBandSize w:val="1"/>
      <w:tblCellMar>
        <w:top w:w="0.0" w:type="dxa"/>
        <w:left w:w="115.0" w:type="dxa"/>
        <w:bottom w:w="0.0" w:type="dxa"/>
        <w:right w:w="115.0" w:type="dxa"/>
      </w:tblCellMar>
    </w:tblPr>
  </w:style>
  <w:style w:type="table" w:styleId="a9" w:customStyle="1">
    <w:basedOn w:val="TableNormal3"/>
    <w:tblPr>
      <w:tblStyleRowBandSize w:val="1"/>
      <w:tblStyleColBandSize w:val="1"/>
      <w:tblCellMar>
        <w:top w:w="0.0" w:type="dxa"/>
        <w:left w:w="115.0" w:type="dxa"/>
        <w:bottom w:w="0.0" w:type="dxa"/>
        <w:right w:w="115.0" w:type="dxa"/>
      </w:tblCellMar>
    </w:tblPr>
  </w:style>
  <w:style w:type="table" w:styleId="aa" w:customStyle="1">
    <w:basedOn w:val="TableNormal3"/>
    <w:tblPr>
      <w:tblStyleRowBandSize w:val="1"/>
      <w:tblStyleColBandSize w:val="1"/>
      <w:tblCellMar>
        <w:top w:w="0.0" w:type="dxa"/>
        <w:left w:w="115.0" w:type="dxa"/>
        <w:bottom w:w="0.0" w:type="dxa"/>
        <w:right w:w="115.0" w:type="dxa"/>
      </w:tblCellMar>
    </w:tblPr>
  </w:style>
  <w:style w:type="table" w:styleId="ab" w:customStyle="1">
    <w:basedOn w:val="TableNormal2"/>
    <w:tblPr>
      <w:tblStyleRowBandSize w:val="1"/>
      <w:tblStyleColBandSize w:val="1"/>
      <w:tblCellMar>
        <w:top w:w="0.0" w:type="dxa"/>
        <w:left w:w="115.0" w:type="dxa"/>
        <w:bottom w:w="0.0" w:type="dxa"/>
        <w:right w:w="115.0" w:type="dxa"/>
      </w:tblCellMar>
    </w:tblPr>
  </w:style>
  <w:style w:type="table" w:styleId="ac" w:customStyle="1">
    <w:basedOn w:val="TableNormal2"/>
    <w:tblPr>
      <w:tblStyleRowBandSize w:val="1"/>
      <w:tblStyleColBandSize w:val="1"/>
      <w:tblCellMar>
        <w:top w:w="0.0" w:type="dxa"/>
        <w:left w:w="115.0" w:type="dxa"/>
        <w:bottom w:w="0.0" w:type="dxa"/>
        <w:right w:w="115.0" w:type="dxa"/>
      </w:tblCellMar>
    </w:tblPr>
  </w:style>
  <w:style w:type="table" w:styleId="ad" w:customStyle="1">
    <w:basedOn w:val="TableNormal1"/>
    <w:tblPr>
      <w:tblStyleRowBandSize w:val="1"/>
      <w:tblStyleColBandSize w:val="1"/>
      <w:tblCellMar>
        <w:top w:w="0.0" w:type="dxa"/>
        <w:left w:w="115.0" w:type="dxa"/>
        <w:bottom w:w="0.0" w:type="dxa"/>
        <w:right w:w="115.0" w:type="dxa"/>
      </w:tblCellMar>
    </w:tblPr>
  </w:style>
  <w:style w:type="table" w:styleId="ae" w:customStyle="1">
    <w:basedOn w:val="TableNormal1"/>
    <w:tblPr>
      <w:tblStyleRowBandSize w:val="1"/>
      <w:tblStyleColBandSize w:val="1"/>
      <w:tblCellMar>
        <w:top w:w="0.0" w:type="dxa"/>
        <w:left w:w="115.0" w:type="dxa"/>
        <w:bottom w:w="0.0" w:type="dxa"/>
        <w:right w:w="115.0" w:type="dxa"/>
      </w:tblCellMar>
    </w:tblPr>
  </w:style>
  <w:style w:type="table" w:styleId="af" w:customStyle="1">
    <w:basedOn w:val="TableNormal0"/>
    <w:tblPr>
      <w:tblStyleRowBandSize w:val="1"/>
      <w:tblStyleColBandSize w:val="1"/>
      <w:tblCellMar>
        <w:top w:w="0.0" w:type="dxa"/>
        <w:left w:w="115.0" w:type="dxa"/>
        <w:bottom w:w="0.0" w:type="dxa"/>
        <w:right w:w="115.0" w:type="dxa"/>
      </w:tblCellMar>
    </w:tblPr>
  </w:style>
  <w:style w:type="table" w:styleId="af0"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header" Target="header3.xml"/><Relationship Id="rId16"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Eu0YxhGR00t5ZXJTDdqFM7jiQ==">AMUW2mWgX1qL6OMgRNl574iVFuLQ6eaFoGkpnipxT9o2mNpGC5veDMivIQznG9ERG40idGcu8RYDKQWimeQawLwK27qC+AA9RpUxgL8pCv9y4z8qVAHUPK2XDJdWipYDX5VuXMj+nVmskHirNfQANTR8uDQ/+BcvXAtTUpxVUkn3LN5UGOlhsSS6mEj5IMex0nxT+R3ivv6N2LeSizjgEhtxzQwxa2nyrYba97j1daDxT3pAj2gqf9Q=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2022-12-07T23:51:00Z</dcterms:created>
  <dc:creator>Usuario de Windows</dc:creator>
</cp:coreProperties>
</file>