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F8E67" w14:textId="23EB137B" w:rsidR="00D34057" w:rsidRPr="00B21190" w:rsidRDefault="00D34057" w:rsidP="00E91EE4">
      <w:pPr>
        <w:shd w:val="clear" w:color="auto" w:fill="FFFFFF"/>
        <w:spacing w:before="240" w:line="360" w:lineRule="auto"/>
        <w:jc w:val="both"/>
        <w:rPr>
          <w:rFonts w:ascii="Palatino Linotype" w:hAnsi="Palatino Linotype" w:cs="Arial"/>
          <w:color w:val="000000"/>
          <w:lang w:eastAsia="es-MX"/>
        </w:rPr>
      </w:pPr>
      <w:r w:rsidRPr="00B21190">
        <w:rPr>
          <w:rFonts w:ascii="Palatino Linotype" w:hAnsi="Palatino Linotype" w:cs="Arial"/>
          <w:color w:val="000000"/>
          <w:lang w:eastAsia="es-MX"/>
        </w:rPr>
        <w:t xml:space="preserve">Resolución del Pleno del Instituto de Transparencia, Acceso a la Información Pública y Protección de Datos Personales del Estado de México y Municipios, con domicilio en Metepec, Estado de México, a </w:t>
      </w:r>
      <w:r w:rsidR="004941B6">
        <w:rPr>
          <w:rFonts w:ascii="Palatino Linotype" w:hAnsi="Palatino Linotype" w:cs="Arial"/>
          <w:color w:val="000000"/>
          <w:lang w:eastAsia="es-MX"/>
        </w:rPr>
        <w:t>primero de junio</w:t>
      </w:r>
      <w:r w:rsidR="003A47D8">
        <w:rPr>
          <w:rFonts w:ascii="Palatino Linotype" w:hAnsi="Palatino Linotype" w:cs="Arial"/>
          <w:color w:val="000000"/>
          <w:lang w:eastAsia="es-MX"/>
        </w:rPr>
        <w:t xml:space="preserve"> de dos mil veintidós</w:t>
      </w:r>
      <w:r w:rsidRPr="00B21190">
        <w:rPr>
          <w:rFonts w:ascii="Palatino Linotype" w:hAnsi="Palatino Linotype" w:cs="Arial"/>
          <w:color w:val="000000"/>
          <w:lang w:eastAsia="es-MX"/>
        </w:rPr>
        <w:t>.</w:t>
      </w:r>
    </w:p>
    <w:p w14:paraId="1816EBEC" w14:textId="77777777" w:rsidR="00D34057" w:rsidRPr="00B21190" w:rsidRDefault="00D34057" w:rsidP="00FF74F5">
      <w:pPr>
        <w:pStyle w:val="Sinespaciado"/>
        <w:rPr>
          <w:sz w:val="18"/>
        </w:rPr>
      </w:pPr>
    </w:p>
    <w:p w14:paraId="426582CB" w14:textId="558FAF1A" w:rsidR="00D34057" w:rsidRDefault="00D34057" w:rsidP="00E91EE4">
      <w:pPr>
        <w:tabs>
          <w:tab w:val="left" w:pos="1701"/>
        </w:tabs>
        <w:spacing w:before="240" w:line="360" w:lineRule="auto"/>
        <w:jc w:val="both"/>
        <w:rPr>
          <w:rFonts w:ascii="Palatino Linotype" w:hAnsi="Palatino Linotype" w:cs="Arial"/>
        </w:rPr>
      </w:pPr>
      <w:r w:rsidRPr="00B21190">
        <w:rPr>
          <w:rFonts w:ascii="Palatino Linotype" w:hAnsi="Palatino Linotype" w:cs="Arial"/>
          <w:b/>
        </w:rPr>
        <w:t>VISTO</w:t>
      </w:r>
      <w:r w:rsidRPr="00B21190">
        <w:rPr>
          <w:rFonts w:ascii="Palatino Linotype" w:hAnsi="Palatino Linotype" w:cs="Arial"/>
        </w:rPr>
        <w:t xml:space="preserve"> el expediente electrónico formado con motivo del recurso de revisión número </w:t>
      </w:r>
      <w:r w:rsidR="00904FFE" w:rsidRPr="00904FFE">
        <w:rPr>
          <w:rFonts w:ascii="Palatino Linotype" w:hAnsi="Palatino Linotype" w:cs="Arial"/>
          <w:b/>
          <w:bCs/>
          <w:lang w:eastAsia="es-MX"/>
        </w:rPr>
        <w:t>03590/INFOEM/IP/RR/2022</w:t>
      </w:r>
      <w:r w:rsidR="000D4CB2" w:rsidRPr="00B21190">
        <w:rPr>
          <w:rFonts w:ascii="Palatino Linotype" w:hAnsi="Palatino Linotype" w:cs="Arial"/>
        </w:rPr>
        <w:t xml:space="preserve">, </w:t>
      </w:r>
      <w:r w:rsidR="00165D3D" w:rsidRPr="00224181">
        <w:rPr>
          <w:rFonts w:ascii="Palatino Linotype" w:hAnsi="Palatino Linotype"/>
        </w:rPr>
        <w:t>interpuesto por</w:t>
      </w:r>
      <w:r w:rsidR="00165D3D">
        <w:rPr>
          <w:rFonts w:ascii="Palatino Linotype" w:hAnsi="Palatino Linotype"/>
        </w:rPr>
        <w:t xml:space="preserve"> </w:t>
      </w:r>
      <w:r w:rsidR="00732C4E">
        <w:rPr>
          <w:rFonts w:ascii="Palatino Linotype" w:hAnsi="Palatino Linotype"/>
          <w:b/>
          <w:bCs/>
        </w:rPr>
        <w:t>xxxxxxxxxxx xxxxxxxxxx xxxxx</w:t>
      </w:r>
      <w:r w:rsidR="00165D3D">
        <w:rPr>
          <w:rFonts w:ascii="Palatino Linotype" w:hAnsi="Palatino Linotype"/>
        </w:rPr>
        <w:t xml:space="preserve">, en lo sucesivo </w:t>
      </w:r>
      <w:r w:rsidR="00FE434F">
        <w:rPr>
          <w:rFonts w:ascii="Palatino Linotype" w:hAnsi="Palatino Linotype"/>
        </w:rPr>
        <w:t>el</w:t>
      </w:r>
      <w:r w:rsidR="00165D3D">
        <w:rPr>
          <w:rFonts w:ascii="Palatino Linotype" w:hAnsi="Palatino Linotype"/>
          <w:b/>
        </w:rPr>
        <w:t xml:space="preserve"> Recurrente</w:t>
      </w:r>
      <w:r w:rsidRPr="00B21190">
        <w:rPr>
          <w:rFonts w:ascii="Palatino Linotype" w:hAnsi="Palatino Linotype" w:cs="Arial"/>
        </w:rPr>
        <w:t xml:space="preserve">, en contra de la respuesta </w:t>
      </w:r>
      <w:r w:rsidR="000D4CB2" w:rsidRPr="00B21190">
        <w:rPr>
          <w:rFonts w:ascii="Palatino Linotype" w:hAnsi="Palatino Linotype" w:cs="Arial"/>
        </w:rPr>
        <w:t>de</w:t>
      </w:r>
      <w:r w:rsidR="00165D3D">
        <w:rPr>
          <w:rFonts w:ascii="Palatino Linotype" w:hAnsi="Palatino Linotype" w:cs="Arial"/>
        </w:rPr>
        <w:t>l</w:t>
      </w:r>
      <w:r w:rsidRPr="00B21190">
        <w:rPr>
          <w:rFonts w:ascii="Palatino Linotype" w:hAnsi="Palatino Linotype" w:cs="Arial"/>
        </w:rPr>
        <w:t xml:space="preserve"> </w:t>
      </w:r>
      <w:bookmarkStart w:id="0" w:name="_Hlk103967143"/>
      <w:r w:rsidR="00904FFE" w:rsidRPr="00904FFE">
        <w:rPr>
          <w:rFonts w:ascii="Palatino Linotype" w:hAnsi="Palatino Linotype" w:cs="Arial"/>
          <w:b/>
        </w:rPr>
        <w:t>Organismo Público Descentralizado para la Prestación de Los Servicios de Agua Potable Alcantarillado y Saneamiento del Municipio de Tlalnepantla de Baz</w:t>
      </w:r>
      <w:bookmarkEnd w:id="0"/>
      <w:r w:rsidRPr="00B21190">
        <w:rPr>
          <w:rFonts w:ascii="Palatino Linotype" w:hAnsi="Palatino Linotype" w:cs="Arial"/>
          <w:sz w:val="28"/>
        </w:rPr>
        <w:t xml:space="preserve">, </w:t>
      </w:r>
      <w:r w:rsidRPr="00B21190">
        <w:rPr>
          <w:rFonts w:ascii="Palatino Linotype" w:hAnsi="Palatino Linotype" w:cs="Arial"/>
        </w:rPr>
        <w:t>en lo subsecuente</w:t>
      </w:r>
      <w:r w:rsidRPr="00B21190">
        <w:rPr>
          <w:rFonts w:ascii="Palatino Linotype" w:hAnsi="Palatino Linotype" w:cs="Arial"/>
          <w:b/>
        </w:rPr>
        <w:t xml:space="preserve"> El Sujeto Obligado, </w:t>
      </w:r>
      <w:r w:rsidRPr="00B21190">
        <w:rPr>
          <w:rFonts w:ascii="Palatino Linotype" w:hAnsi="Palatino Linotype" w:cs="Arial"/>
        </w:rPr>
        <w:t>se procede a dictar la presente resolución.</w:t>
      </w:r>
    </w:p>
    <w:p w14:paraId="2051844B" w14:textId="77777777" w:rsidR="00CC6F3C" w:rsidRPr="00B21190" w:rsidRDefault="00CC6F3C" w:rsidP="00E91EE4">
      <w:pPr>
        <w:tabs>
          <w:tab w:val="left" w:pos="1701"/>
        </w:tabs>
        <w:spacing w:before="240" w:line="360" w:lineRule="auto"/>
        <w:jc w:val="both"/>
        <w:rPr>
          <w:rFonts w:ascii="Palatino Linotype" w:hAnsi="Palatino Linotype" w:cs="Arial"/>
        </w:rPr>
      </w:pPr>
    </w:p>
    <w:p w14:paraId="4B577937" w14:textId="77777777" w:rsidR="00D34057" w:rsidRPr="00B21190" w:rsidRDefault="00D34057" w:rsidP="00FF74F5">
      <w:pPr>
        <w:pStyle w:val="Sinespaciado"/>
        <w:rPr>
          <w:sz w:val="8"/>
        </w:rPr>
      </w:pPr>
    </w:p>
    <w:p w14:paraId="75D21A27" w14:textId="77777777" w:rsidR="00D34057" w:rsidRPr="00B21190" w:rsidRDefault="00D34057" w:rsidP="00E91EE4">
      <w:pPr>
        <w:spacing w:before="240" w:after="240" w:line="360" w:lineRule="auto"/>
        <w:jc w:val="center"/>
        <w:rPr>
          <w:rFonts w:ascii="Palatino Linotype" w:hAnsi="Palatino Linotype"/>
          <w:b/>
          <w:sz w:val="28"/>
        </w:rPr>
      </w:pPr>
      <w:r w:rsidRPr="00B21190">
        <w:rPr>
          <w:rFonts w:ascii="Palatino Linotype" w:hAnsi="Palatino Linotype"/>
          <w:b/>
          <w:sz w:val="28"/>
        </w:rPr>
        <w:t>A N T E C E D E N T E S   D E L   A S U N T O</w:t>
      </w:r>
    </w:p>
    <w:p w14:paraId="18424EF2" w14:textId="77777777" w:rsidR="00972636" w:rsidRPr="00B21190" w:rsidRDefault="00972636" w:rsidP="00FF74F5">
      <w:pPr>
        <w:pStyle w:val="Sinespaciado"/>
        <w:rPr>
          <w:sz w:val="14"/>
        </w:rPr>
      </w:pPr>
    </w:p>
    <w:p w14:paraId="42DB484B" w14:textId="77777777" w:rsidR="00D34057" w:rsidRPr="00B21190" w:rsidRDefault="00D34057" w:rsidP="00FF74F5">
      <w:pPr>
        <w:spacing w:line="360" w:lineRule="auto"/>
        <w:jc w:val="both"/>
        <w:rPr>
          <w:rFonts w:ascii="Palatino Linotype" w:hAnsi="Palatino Linotype"/>
        </w:rPr>
      </w:pPr>
      <w:r w:rsidRPr="00B21190">
        <w:rPr>
          <w:rFonts w:ascii="Palatino Linotype" w:hAnsi="Palatino Linotype" w:cs="Arial"/>
          <w:b/>
          <w:sz w:val="28"/>
        </w:rPr>
        <w:t>PRIMERO.</w:t>
      </w:r>
      <w:r w:rsidRPr="00B21190">
        <w:rPr>
          <w:rFonts w:ascii="Palatino Linotype" w:hAnsi="Palatino Linotype" w:cs="Arial"/>
        </w:rPr>
        <w:t xml:space="preserve"> </w:t>
      </w:r>
      <w:r w:rsidRPr="00B21190">
        <w:rPr>
          <w:rFonts w:ascii="Palatino Linotype" w:hAnsi="Palatino Linotype"/>
          <w:b/>
          <w:sz w:val="28"/>
          <w:szCs w:val="28"/>
        </w:rPr>
        <w:t>De la Solicitud de Información.</w:t>
      </w:r>
    </w:p>
    <w:p w14:paraId="73B12099" w14:textId="0E39F97B" w:rsidR="005219ED" w:rsidRPr="005219ED" w:rsidRDefault="005219ED" w:rsidP="005219ED">
      <w:pPr>
        <w:spacing w:line="360" w:lineRule="auto"/>
        <w:jc w:val="both"/>
        <w:rPr>
          <w:rFonts w:ascii="Palatino Linotype" w:hAnsi="Palatino Linotype"/>
        </w:rPr>
      </w:pPr>
      <w:r w:rsidRPr="005219ED">
        <w:rPr>
          <w:rFonts w:ascii="Palatino Linotype" w:hAnsi="Palatino Linotype"/>
        </w:rPr>
        <w:t xml:space="preserve">Con fecha </w:t>
      </w:r>
      <w:r w:rsidR="00904FFE">
        <w:rPr>
          <w:rFonts w:ascii="Palatino Linotype" w:hAnsi="Palatino Linotype"/>
        </w:rPr>
        <w:t>nueve de febrero de dos mil veintidós</w:t>
      </w:r>
      <w:r w:rsidRPr="005219ED">
        <w:rPr>
          <w:rFonts w:ascii="Palatino Linotype" w:hAnsi="Palatino Linotype"/>
        </w:rPr>
        <w:t xml:space="preserve">, </w:t>
      </w:r>
      <w:r w:rsidR="006A6499">
        <w:rPr>
          <w:rFonts w:ascii="Palatino Linotype" w:hAnsi="Palatino Linotype"/>
          <w:b/>
        </w:rPr>
        <w:t>el</w:t>
      </w:r>
      <w:r w:rsidR="00293D51">
        <w:rPr>
          <w:rFonts w:ascii="Palatino Linotype" w:hAnsi="Palatino Linotype"/>
          <w:b/>
        </w:rPr>
        <w:t xml:space="preserve"> Recurrente</w:t>
      </w:r>
      <w:r w:rsidRPr="005219ED">
        <w:rPr>
          <w:rFonts w:ascii="Palatino Linotype" w:hAnsi="Palatino Linotype"/>
        </w:rPr>
        <w:t>, presentó a través del Sistema de Acceso a la Información Mexiquense (</w:t>
      </w:r>
      <w:r w:rsidRPr="005219ED">
        <w:rPr>
          <w:rFonts w:ascii="Palatino Linotype" w:hAnsi="Palatino Linotype"/>
          <w:b/>
        </w:rPr>
        <w:t>SAIMEX)</w:t>
      </w:r>
      <w:r w:rsidRPr="005219ED">
        <w:rPr>
          <w:rFonts w:ascii="Palatino Linotype" w:hAnsi="Palatino Linotype"/>
        </w:rPr>
        <w:t xml:space="preserve"> ante </w:t>
      </w:r>
      <w:r w:rsidRPr="005219ED">
        <w:rPr>
          <w:rFonts w:ascii="Palatino Linotype" w:hAnsi="Palatino Linotype"/>
          <w:b/>
        </w:rPr>
        <w:t>el</w:t>
      </w:r>
      <w:r w:rsidRPr="005219ED">
        <w:rPr>
          <w:rFonts w:ascii="Palatino Linotype" w:hAnsi="Palatino Linotype"/>
        </w:rPr>
        <w:t xml:space="preserve"> </w:t>
      </w:r>
      <w:r w:rsidRPr="005219ED">
        <w:rPr>
          <w:rFonts w:ascii="Palatino Linotype" w:hAnsi="Palatino Linotype"/>
          <w:b/>
        </w:rPr>
        <w:t>Sujeto Obligado</w:t>
      </w:r>
      <w:r w:rsidRPr="005219ED">
        <w:rPr>
          <w:rFonts w:ascii="Palatino Linotype" w:hAnsi="Palatino Linotype"/>
        </w:rPr>
        <w:t>, solicitud de acceso a la información pública, registrada bajo el número de expediente</w:t>
      </w:r>
      <w:r w:rsidRPr="005219ED">
        <w:rPr>
          <w:rFonts w:ascii="Palatino Linotype" w:hAnsi="Palatino Linotype"/>
          <w:b/>
        </w:rPr>
        <w:t xml:space="preserve"> </w:t>
      </w:r>
      <w:r w:rsidR="00904FFE" w:rsidRPr="00904FFE">
        <w:rPr>
          <w:rFonts w:ascii="Palatino Linotype" w:hAnsi="Palatino Linotype"/>
          <w:b/>
        </w:rPr>
        <w:t>00065/OASTLALNE/IP/2022</w:t>
      </w:r>
      <w:r w:rsidRPr="005219ED">
        <w:rPr>
          <w:rFonts w:ascii="Palatino Linotype" w:hAnsi="Palatino Linotype"/>
          <w:b/>
          <w:lang w:eastAsia="es-MX"/>
        </w:rPr>
        <w:t xml:space="preserve">, </w:t>
      </w:r>
      <w:r w:rsidRPr="005219ED">
        <w:rPr>
          <w:rFonts w:ascii="Palatino Linotype" w:hAnsi="Palatino Linotype"/>
        </w:rPr>
        <w:t>mediante la cual solicitó información en el tenor siguiente:</w:t>
      </w:r>
    </w:p>
    <w:p w14:paraId="6D3C7D4C" w14:textId="77777777" w:rsidR="005219ED" w:rsidRPr="005219ED" w:rsidRDefault="005219ED" w:rsidP="005219ED">
      <w:pPr>
        <w:spacing w:line="360" w:lineRule="auto"/>
        <w:jc w:val="both"/>
        <w:rPr>
          <w:rFonts w:ascii="Palatino Linotype" w:hAnsi="Palatino Linotype"/>
        </w:rPr>
      </w:pPr>
    </w:p>
    <w:p w14:paraId="408424B1" w14:textId="0A301818" w:rsidR="005219ED" w:rsidRPr="00755085" w:rsidRDefault="0066233C" w:rsidP="00755085">
      <w:pPr>
        <w:ind w:left="567" w:right="567"/>
        <w:jc w:val="both"/>
        <w:rPr>
          <w:rFonts w:ascii="Palatino Linotype" w:hAnsi="Palatino Linotype"/>
          <w:i/>
          <w:lang w:val="es-ES_tradnl"/>
        </w:rPr>
      </w:pPr>
      <w:r>
        <w:rPr>
          <w:rFonts w:ascii="Palatino Linotype" w:hAnsi="Palatino Linotype"/>
          <w:i/>
          <w:lang w:val="es-ES_tradnl"/>
        </w:rPr>
        <w:t>“</w:t>
      </w:r>
      <w:r w:rsidR="00904FFE" w:rsidRPr="00904FFE">
        <w:rPr>
          <w:rFonts w:ascii="Palatino Linotype" w:hAnsi="Palatino Linotype"/>
          <w:i/>
          <w:lang w:val="es-ES_tradnl"/>
        </w:rPr>
        <w:t>Número de expediente, servidor público responsable, tipo de conducta, cargo, sanción Lo anterior de la contraloria Información clara y precisa</w:t>
      </w:r>
      <w:r w:rsidR="005219ED" w:rsidRPr="005219ED">
        <w:rPr>
          <w:rFonts w:ascii="Palatino Linotype" w:hAnsi="Palatino Linotype"/>
          <w:i/>
          <w:lang w:val="es-ES_tradnl"/>
        </w:rPr>
        <w:t>” [Sic]</w:t>
      </w:r>
    </w:p>
    <w:p w14:paraId="5873ADB0" w14:textId="77777777" w:rsidR="00165D3D" w:rsidRDefault="00165D3D" w:rsidP="00293D51">
      <w:pPr>
        <w:spacing w:line="360" w:lineRule="auto"/>
        <w:jc w:val="both"/>
        <w:rPr>
          <w:rFonts w:ascii="Palatino Linotype" w:hAnsi="Palatino Linotype"/>
          <w:lang w:val="es-ES_tradnl"/>
        </w:rPr>
      </w:pPr>
    </w:p>
    <w:p w14:paraId="679F57FD" w14:textId="41F3558E" w:rsidR="0087697C" w:rsidRPr="00293D51" w:rsidRDefault="005219ED" w:rsidP="00293D51">
      <w:pPr>
        <w:spacing w:line="360" w:lineRule="auto"/>
        <w:jc w:val="both"/>
        <w:rPr>
          <w:rFonts w:ascii="Palatino Linotype" w:hAnsi="Palatino Linotype"/>
          <w:lang w:val="es-ES_tradnl"/>
        </w:rPr>
      </w:pPr>
      <w:r w:rsidRPr="005219ED">
        <w:rPr>
          <w:rFonts w:ascii="Palatino Linotype" w:hAnsi="Palatino Linotype"/>
          <w:lang w:val="es-ES_tradnl"/>
        </w:rPr>
        <w:t xml:space="preserve">Modalidad de entrega: </w:t>
      </w:r>
      <w:r w:rsidR="00B30770">
        <w:rPr>
          <w:rFonts w:ascii="Palatino Linotype" w:hAnsi="Palatino Linotype"/>
          <w:b/>
          <w:lang w:val="es-ES_tradnl"/>
        </w:rPr>
        <w:t>A través del SAIMEX</w:t>
      </w:r>
      <w:r w:rsidRPr="005219ED">
        <w:rPr>
          <w:rFonts w:ascii="Palatino Linotype" w:hAnsi="Palatino Linotype"/>
          <w:b/>
          <w:lang w:val="es-ES_tradnl"/>
        </w:rPr>
        <w:t>.</w:t>
      </w:r>
    </w:p>
    <w:p w14:paraId="0E1BF3F4" w14:textId="77777777" w:rsidR="0066233C" w:rsidRDefault="0066233C" w:rsidP="00FF74F5">
      <w:pPr>
        <w:spacing w:line="360" w:lineRule="auto"/>
        <w:jc w:val="both"/>
        <w:rPr>
          <w:rFonts w:ascii="Palatino Linotype" w:hAnsi="Palatino Linotype" w:cs="Arial"/>
          <w:b/>
          <w:sz w:val="28"/>
        </w:rPr>
      </w:pPr>
    </w:p>
    <w:p w14:paraId="704F46F3" w14:textId="77777777" w:rsidR="00904FFE" w:rsidRPr="008C51F9" w:rsidRDefault="00904FFE" w:rsidP="00904FFE">
      <w:pPr>
        <w:spacing w:line="360" w:lineRule="auto"/>
        <w:jc w:val="both"/>
        <w:rPr>
          <w:rFonts w:ascii="Palatino Linotype" w:hAnsi="Palatino Linotype" w:cs="Arial"/>
          <w:b/>
          <w:sz w:val="28"/>
        </w:rPr>
      </w:pPr>
      <w:r>
        <w:rPr>
          <w:rFonts w:ascii="Palatino Linotype" w:hAnsi="Palatino Linotype" w:cs="Arial"/>
          <w:b/>
          <w:sz w:val="28"/>
        </w:rPr>
        <w:t>SEGUNDO. De</w:t>
      </w:r>
      <w:r w:rsidRPr="008C51F9">
        <w:rPr>
          <w:rFonts w:ascii="Palatino Linotype" w:hAnsi="Palatino Linotype" w:cs="Arial"/>
          <w:b/>
          <w:sz w:val="28"/>
        </w:rPr>
        <w:t>l</w:t>
      </w:r>
      <w:r>
        <w:rPr>
          <w:rFonts w:ascii="Palatino Linotype" w:hAnsi="Palatino Linotype" w:cs="Arial"/>
          <w:b/>
          <w:sz w:val="28"/>
        </w:rPr>
        <w:t xml:space="preserve"> </w:t>
      </w:r>
      <w:r w:rsidRPr="00552AB4">
        <w:rPr>
          <w:rFonts w:ascii="Palatino Linotype" w:hAnsi="Palatino Linotype" w:cs="Arial"/>
          <w:b/>
          <w:sz w:val="28"/>
        </w:rPr>
        <w:t>Requerimiento de Aclaración a la Solicitud</w:t>
      </w:r>
      <w:r w:rsidRPr="008C51F9">
        <w:rPr>
          <w:rFonts w:ascii="Palatino Linotype" w:hAnsi="Palatino Linotype" w:cs="Arial"/>
          <w:b/>
          <w:sz w:val="28"/>
        </w:rPr>
        <w:t xml:space="preserve"> </w:t>
      </w:r>
      <w:r>
        <w:rPr>
          <w:rFonts w:ascii="Palatino Linotype" w:hAnsi="Palatino Linotype" w:cs="Arial"/>
          <w:b/>
          <w:sz w:val="28"/>
        </w:rPr>
        <w:t>de Información por parte del Sujeto Obligado</w:t>
      </w:r>
      <w:r w:rsidRPr="008C51F9">
        <w:rPr>
          <w:rFonts w:ascii="Palatino Linotype" w:hAnsi="Palatino Linotype" w:cs="Arial"/>
          <w:b/>
          <w:sz w:val="28"/>
        </w:rPr>
        <w:t xml:space="preserve">. </w:t>
      </w:r>
    </w:p>
    <w:p w14:paraId="2C61D350" w14:textId="27092046" w:rsidR="00904FFE" w:rsidRPr="00F65B7D" w:rsidRDefault="00904FFE" w:rsidP="00904FFE">
      <w:pPr>
        <w:spacing w:line="360" w:lineRule="auto"/>
        <w:jc w:val="both"/>
        <w:rPr>
          <w:rFonts w:ascii="Palatino Linotype" w:hAnsi="Palatino Linotype" w:cs="Arial"/>
        </w:rPr>
      </w:pPr>
      <w:r w:rsidRPr="00F65B7D">
        <w:rPr>
          <w:rFonts w:ascii="Palatino Linotype" w:hAnsi="Palatino Linotype" w:cs="Arial"/>
        </w:rPr>
        <w:t xml:space="preserve">En fecha </w:t>
      </w:r>
      <w:r>
        <w:rPr>
          <w:rFonts w:ascii="Palatino Linotype" w:hAnsi="Palatino Linotype" w:cs="Arial"/>
        </w:rPr>
        <w:t>quince de febrero de dos mil veintidós</w:t>
      </w:r>
      <w:r w:rsidRPr="00F65B7D">
        <w:rPr>
          <w:rFonts w:ascii="Palatino Linotype" w:hAnsi="Palatino Linotype" w:cs="Arial"/>
        </w:rPr>
        <w:t xml:space="preserve">, </w:t>
      </w:r>
      <w:r w:rsidRPr="00F65B7D">
        <w:rPr>
          <w:rFonts w:ascii="Palatino Linotype" w:hAnsi="Palatino Linotype" w:cs="Arial"/>
          <w:b/>
        </w:rPr>
        <w:t>El Sujeto Obligado</w:t>
      </w:r>
      <w:r w:rsidRPr="00F65B7D">
        <w:rPr>
          <w:rFonts w:ascii="Palatino Linotype" w:hAnsi="Palatino Linotype" w:cs="Arial"/>
        </w:rPr>
        <w:t xml:space="preserve"> solicitó </w:t>
      </w:r>
      <w:r>
        <w:rPr>
          <w:rFonts w:ascii="Palatino Linotype" w:hAnsi="Palatino Linotype" w:cs="Arial"/>
        </w:rPr>
        <w:t xml:space="preserve">la aclaración a la solicitud de información </w:t>
      </w:r>
      <w:r w:rsidRPr="00904FFE">
        <w:rPr>
          <w:rFonts w:ascii="Palatino Linotype" w:hAnsi="Palatino Linotype" w:cs="Arial"/>
          <w:b/>
        </w:rPr>
        <w:t>00065/OASTLALNE/IP/2022</w:t>
      </w:r>
      <w:r w:rsidRPr="008F7598">
        <w:rPr>
          <w:rFonts w:ascii="Palatino Linotype" w:hAnsi="Palatino Linotype" w:cs="Arial"/>
        </w:rPr>
        <w:t>,</w:t>
      </w:r>
      <w:r>
        <w:rPr>
          <w:rFonts w:ascii="Palatino Linotype" w:hAnsi="Palatino Linotype" w:cs="Arial"/>
        </w:rPr>
        <w:t xml:space="preserve"> de conformidad con lo siguiente</w:t>
      </w:r>
      <w:r w:rsidRPr="00F65B7D">
        <w:rPr>
          <w:rFonts w:ascii="Palatino Linotype" w:hAnsi="Palatino Linotype" w:cs="Arial"/>
        </w:rPr>
        <w:t>:</w:t>
      </w:r>
    </w:p>
    <w:p w14:paraId="3FF4616E" w14:textId="77777777" w:rsidR="00904FFE" w:rsidRPr="008C51F9" w:rsidRDefault="00904FFE" w:rsidP="00904FFE">
      <w:pPr>
        <w:pStyle w:val="Sinespaciado"/>
      </w:pPr>
    </w:p>
    <w:p w14:paraId="351B1161" w14:textId="4C1B8854" w:rsidR="00904FFE" w:rsidRDefault="00904FFE" w:rsidP="00904FFE">
      <w:pPr>
        <w:ind w:left="567" w:right="567"/>
        <w:jc w:val="both"/>
        <w:rPr>
          <w:rFonts w:ascii="Palatino Linotype" w:hAnsi="Palatino Linotype"/>
          <w:i/>
          <w:lang w:eastAsia="es-MX"/>
        </w:rPr>
      </w:pPr>
      <w:r w:rsidRPr="008C51F9">
        <w:rPr>
          <w:rFonts w:ascii="Palatino Linotype" w:hAnsi="Palatino Linotype"/>
          <w:i/>
          <w:lang w:eastAsia="es-MX"/>
        </w:rPr>
        <w:t>“</w:t>
      </w:r>
      <w:r>
        <w:rPr>
          <w:rFonts w:ascii="Palatino Linotype" w:hAnsi="Palatino Linotype"/>
          <w:i/>
          <w:lang w:eastAsia="es-MX"/>
        </w:rPr>
        <w:t>C</w:t>
      </w:r>
      <w:r w:rsidRPr="00904FFE">
        <w:rPr>
          <w:rFonts w:ascii="Palatino Linotype" w:hAnsi="Palatino Linotype"/>
          <w:i/>
          <w:lang w:eastAsia="es-MX"/>
        </w:rPr>
        <w:t>on fundamento en el artículo 159 de la Ley de Transparencia y Acceso a la Información Pública del Estado de México y Municipios, se le requiere para que dentro del plazo de diez días hábiles realice lo siguiente:</w:t>
      </w:r>
    </w:p>
    <w:p w14:paraId="5749CE50" w14:textId="77777777" w:rsidR="00904FFE" w:rsidRPr="00904FFE" w:rsidRDefault="00904FFE" w:rsidP="00904FFE">
      <w:pPr>
        <w:ind w:left="567" w:right="567"/>
        <w:jc w:val="both"/>
        <w:rPr>
          <w:rFonts w:ascii="Palatino Linotype" w:hAnsi="Palatino Linotype"/>
          <w:i/>
          <w:lang w:eastAsia="es-MX"/>
        </w:rPr>
      </w:pPr>
    </w:p>
    <w:p w14:paraId="6A769279" w14:textId="457CBE0F" w:rsidR="00904FFE" w:rsidRDefault="00904FFE" w:rsidP="00904FFE">
      <w:pPr>
        <w:ind w:left="567" w:right="567"/>
        <w:jc w:val="both"/>
        <w:rPr>
          <w:rFonts w:ascii="Palatino Linotype" w:hAnsi="Palatino Linotype"/>
          <w:i/>
          <w:lang w:eastAsia="es-MX"/>
        </w:rPr>
      </w:pPr>
      <w:r w:rsidRPr="00904FFE">
        <w:rPr>
          <w:rFonts w:ascii="Palatino Linotype" w:hAnsi="Palatino Linotype"/>
          <w:b/>
          <w:bCs/>
          <w:i/>
          <w:lang w:eastAsia="es-MX"/>
        </w:rPr>
        <w:t>Solicito de la manera más atenta tenga a bien precisar la información que requiere y/o algún detalle que complete su requerimiento de información, con la finalidad de contar con más detalle y así, estar en posibilidad de darle trámite y seguimiento a su solicitud de información</w:t>
      </w:r>
      <w:r w:rsidRPr="00904FFE">
        <w:rPr>
          <w:rFonts w:ascii="Palatino Linotype" w:hAnsi="Palatino Linotype"/>
          <w:i/>
          <w:lang w:eastAsia="es-MX"/>
        </w:rPr>
        <w:t>.</w:t>
      </w:r>
    </w:p>
    <w:p w14:paraId="5D942DF9" w14:textId="77777777" w:rsidR="00904FFE" w:rsidRPr="00904FFE" w:rsidRDefault="00904FFE" w:rsidP="00904FFE">
      <w:pPr>
        <w:ind w:left="567" w:right="567"/>
        <w:jc w:val="both"/>
        <w:rPr>
          <w:rFonts w:ascii="Palatino Linotype" w:hAnsi="Palatino Linotype"/>
          <w:i/>
          <w:lang w:eastAsia="es-MX"/>
        </w:rPr>
      </w:pPr>
    </w:p>
    <w:p w14:paraId="61DE1CCC" w14:textId="77777777" w:rsidR="00904FFE" w:rsidRPr="00904FFE" w:rsidRDefault="00904FFE" w:rsidP="00904FFE">
      <w:pPr>
        <w:ind w:left="567" w:right="567"/>
        <w:jc w:val="both"/>
        <w:rPr>
          <w:rFonts w:ascii="Palatino Linotype" w:hAnsi="Palatino Linotype"/>
          <w:i/>
          <w:lang w:eastAsia="es-MX"/>
        </w:rPr>
      </w:pPr>
      <w:r w:rsidRPr="00904FFE">
        <w:rPr>
          <w:rFonts w:ascii="Palatino Linotype" w:hAnsi="Palatino Linotype"/>
          <w:i/>
          <w:lang w:eastAsia="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E0B54C0" w14:textId="77777777" w:rsidR="00904FFE" w:rsidRDefault="00904FFE" w:rsidP="00904FFE">
      <w:pPr>
        <w:ind w:left="567" w:right="567"/>
        <w:jc w:val="both"/>
        <w:rPr>
          <w:rFonts w:ascii="Palatino Linotype" w:hAnsi="Palatino Linotype"/>
          <w:i/>
          <w:lang w:eastAsia="es-MX"/>
        </w:rPr>
      </w:pPr>
    </w:p>
    <w:p w14:paraId="2103AD15" w14:textId="430E7E2D" w:rsidR="00904FFE" w:rsidRPr="00904FFE" w:rsidRDefault="00904FFE" w:rsidP="00904FFE">
      <w:pPr>
        <w:ind w:left="567" w:right="567"/>
        <w:jc w:val="both"/>
        <w:rPr>
          <w:rFonts w:ascii="Palatino Linotype" w:hAnsi="Palatino Linotype"/>
          <w:i/>
          <w:lang w:eastAsia="es-MX"/>
        </w:rPr>
      </w:pPr>
      <w:r w:rsidRPr="00904FFE">
        <w:rPr>
          <w:rFonts w:ascii="Palatino Linotype" w:hAnsi="Palatino Linotype"/>
          <w:i/>
          <w:lang w:eastAsia="es-MX"/>
        </w:rPr>
        <w:t>ATENTAMENTE</w:t>
      </w:r>
    </w:p>
    <w:p w14:paraId="0572BF88" w14:textId="2513B27B" w:rsidR="00904FFE" w:rsidRPr="008C51F9" w:rsidRDefault="00904FFE" w:rsidP="00904FFE">
      <w:pPr>
        <w:ind w:left="567" w:right="567"/>
        <w:jc w:val="both"/>
        <w:rPr>
          <w:rFonts w:ascii="Palatino Linotype" w:hAnsi="Palatino Linotype"/>
          <w:i/>
          <w:lang w:eastAsia="es-MX"/>
        </w:rPr>
      </w:pPr>
      <w:r w:rsidRPr="00904FFE">
        <w:rPr>
          <w:rFonts w:ascii="Palatino Linotype" w:hAnsi="Palatino Linotype"/>
          <w:i/>
          <w:lang w:eastAsia="es-MX"/>
        </w:rPr>
        <w:lastRenderedPageBreak/>
        <w:t>C. Lizetta Chavez Santiago</w:t>
      </w:r>
      <w:r w:rsidRPr="008C51F9">
        <w:rPr>
          <w:rFonts w:ascii="Palatino Linotype" w:hAnsi="Palatino Linotype"/>
          <w:i/>
          <w:lang w:eastAsia="es-MX"/>
        </w:rPr>
        <w:t>”</w:t>
      </w:r>
    </w:p>
    <w:p w14:paraId="1E2A71D1" w14:textId="77777777" w:rsidR="00904FFE" w:rsidRDefault="00904FFE" w:rsidP="00904FFE">
      <w:pPr>
        <w:pStyle w:val="Sinespaciado"/>
      </w:pPr>
    </w:p>
    <w:p w14:paraId="5D5D153F" w14:textId="77777777" w:rsidR="00904FFE" w:rsidRPr="008C51F9" w:rsidRDefault="00904FFE" w:rsidP="00904FFE">
      <w:pPr>
        <w:pStyle w:val="Sinespaciado"/>
      </w:pPr>
    </w:p>
    <w:p w14:paraId="5705062D" w14:textId="77777777" w:rsidR="00904FFE" w:rsidRDefault="00904FFE" w:rsidP="00904FFE">
      <w:pPr>
        <w:spacing w:line="360" w:lineRule="auto"/>
        <w:jc w:val="both"/>
        <w:rPr>
          <w:rFonts w:ascii="Palatino Linotype" w:hAnsi="Palatino Linotype" w:cs="Arial"/>
          <w:b/>
          <w:sz w:val="28"/>
        </w:rPr>
      </w:pPr>
      <w:r>
        <w:rPr>
          <w:rFonts w:ascii="Palatino Linotype" w:hAnsi="Palatino Linotype" w:cs="Arial"/>
          <w:b/>
          <w:sz w:val="28"/>
        </w:rPr>
        <w:t xml:space="preserve">TERCERO. De la respuesta al </w:t>
      </w:r>
      <w:r w:rsidRPr="00552AB4">
        <w:rPr>
          <w:rFonts w:ascii="Palatino Linotype" w:hAnsi="Palatino Linotype" w:cs="Arial"/>
          <w:b/>
          <w:sz w:val="28"/>
        </w:rPr>
        <w:t>Requerimiento de Aclaración a la Solicitud</w:t>
      </w:r>
      <w:r w:rsidRPr="008C51F9">
        <w:rPr>
          <w:rFonts w:ascii="Palatino Linotype" w:hAnsi="Palatino Linotype" w:cs="Arial"/>
          <w:b/>
          <w:sz w:val="28"/>
        </w:rPr>
        <w:t xml:space="preserve"> </w:t>
      </w:r>
      <w:r>
        <w:rPr>
          <w:rFonts w:ascii="Palatino Linotype" w:hAnsi="Palatino Linotype" w:cs="Arial"/>
          <w:b/>
          <w:sz w:val="28"/>
        </w:rPr>
        <w:t>de Información por parte del solicitante</w:t>
      </w:r>
      <w:r w:rsidRPr="008C51F9">
        <w:rPr>
          <w:rFonts w:ascii="Palatino Linotype" w:hAnsi="Palatino Linotype" w:cs="Arial"/>
          <w:b/>
          <w:sz w:val="28"/>
        </w:rPr>
        <w:t xml:space="preserve">. </w:t>
      </w:r>
    </w:p>
    <w:p w14:paraId="76CAC296" w14:textId="4AAD1762" w:rsidR="00904FFE" w:rsidRDefault="00904FFE" w:rsidP="00904FFE">
      <w:pPr>
        <w:spacing w:line="360" w:lineRule="auto"/>
        <w:jc w:val="both"/>
        <w:rPr>
          <w:rFonts w:ascii="Palatino Linotype" w:hAnsi="Palatino Linotype" w:cs="Arial"/>
        </w:rPr>
      </w:pPr>
      <w:r w:rsidRPr="000B61B4">
        <w:rPr>
          <w:rFonts w:ascii="Palatino Linotype" w:hAnsi="Palatino Linotype" w:cs="Arial"/>
        </w:rPr>
        <w:t xml:space="preserve">En el expediente electrónico </w:t>
      </w:r>
      <w:r w:rsidRPr="000B61B4">
        <w:rPr>
          <w:rFonts w:ascii="Palatino Linotype" w:hAnsi="Palatino Linotype" w:cs="Arial"/>
          <w:b/>
        </w:rPr>
        <w:t>SAIMEX</w:t>
      </w:r>
      <w:r w:rsidRPr="000B61B4">
        <w:rPr>
          <w:rFonts w:ascii="Palatino Linotype" w:hAnsi="Palatino Linotype" w:cs="Arial"/>
        </w:rPr>
        <w:t xml:space="preserve">, se aprecia que </w:t>
      </w:r>
      <w:r>
        <w:rPr>
          <w:rFonts w:ascii="Palatino Linotype" w:hAnsi="Palatino Linotype" w:cs="Arial"/>
        </w:rPr>
        <w:t>en fecha quince de febrero</w:t>
      </w:r>
      <w:r w:rsidRPr="000B61B4">
        <w:rPr>
          <w:rFonts w:ascii="Palatino Linotype" w:hAnsi="Palatino Linotype" w:cs="Arial"/>
        </w:rPr>
        <w:t xml:space="preserve"> de dos mil </w:t>
      </w:r>
      <w:r>
        <w:rPr>
          <w:rFonts w:ascii="Palatino Linotype" w:hAnsi="Palatino Linotype" w:cs="Arial"/>
        </w:rPr>
        <w:t>veintidós</w:t>
      </w:r>
      <w:r w:rsidRPr="000B61B4">
        <w:rPr>
          <w:rFonts w:ascii="Palatino Linotype" w:hAnsi="Palatino Linotype" w:cs="Arial"/>
        </w:rPr>
        <w:t xml:space="preserve">, </w:t>
      </w:r>
      <w:r w:rsidRPr="008F7598">
        <w:rPr>
          <w:rFonts w:ascii="Palatino Linotype" w:hAnsi="Palatino Linotype" w:cs="Arial"/>
        </w:rPr>
        <w:t>el solicitante</w:t>
      </w:r>
      <w:r>
        <w:rPr>
          <w:rFonts w:ascii="Palatino Linotype" w:hAnsi="Palatino Linotype" w:cs="Arial"/>
        </w:rPr>
        <w:t xml:space="preserve"> dio respuesta a la solicitud</w:t>
      </w:r>
      <w:r w:rsidRPr="000B61B4">
        <w:rPr>
          <w:rFonts w:ascii="Palatino Linotype" w:hAnsi="Palatino Linotype" w:cs="Arial"/>
        </w:rPr>
        <w:t xml:space="preserve"> </w:t>
      </w:r>
      <w:r>
        <w:rPr>
          <w:rFonts w:ascii="Palatino Linotype" w:hAnsi="Palatino Linotype" w:cs="Arial"/>
        </w:rPr>
        <w:t>de requerimiento de a</w:t>
      </w:r>
      <w:r w:rsidRPr="008F7598">
        <w:rPr>
          <w:rFonts w:ascii="Palatino Linotype" w:hAnsi="Palatino Linotype" w:cs="Arial"/>
        </w:rPr>
        <w:t>claración</w:t>
      </w:r>
      <w:r>
        <w:rPr>
          <w:rFonts w:ascii="Palatino Linotype" w:hAnsi="Palatino Linotype" w:cs="Arial"/>
        </w:rPr>
        <w:t>,</w:t>
      </w:r>
      <w:r w:rsidRPr="008F7598">
        <w:rPr>
          <w:rFonts w:ascii="Palatino Linotype" w:hAnsi="Palatino Linotype" w:cs="Arial"/>
        </w:rPr>
        <w:t xml:space="preserve"> </w:t>
      </w:r>
      <w:r w:rsidRPr="000B61B4">
        <w:rPr>
          <w:rFonts w:ascii="Palatino Linotype" w:hAnsi="Palatino Linotype" w:cs="Arial"/>
        </w:rPr>
        <w:t xml:space="preserve">señalando lo siguiente: </w:t>
      </w:r>
    </w:p>
    <w:p w14:paraId="6D66E99C" w14:textId="201CEBCD" w:rsidR="005804D0" w:rsidRDefault="005804D0" w:rsidP="00904FFE">
      <w:pPr>
        <w:spacing w:line="360" w:lineRule="auto"/>
        <w:jc w:val="both"/>
        <w:rPr>
          <w:rFonts w:ascii="Palatino Linotype" w:hAnsi="Palatino Linotype" w:cs="Arial"/>
        </w:rPr>
      </w:pPr>
    </w:p>
    <w:p w14:paraId="5B97F751" w14:textId="56505A21" w:rsidR="00904FFE" w:rsidRPr="005149D7" w:rsidRDefault="005804D0" w:rsidP="00904FFE">
      <w:pPr>
        <w:spacing w:line="360" w:lineRule="auto"/>
        <w:jc w:val="both"/>
        <w:rPr>
          <w:rFonts w:ascii="Palatino Linotype" w:hAnsi="Palatino Linotype" w:cs="Arial"/>
        </w:rPr>
      </w:pPr>
      <w:r w:rsidRPr="005804D0">
        <w:rPr>
          <w:rFonts w:ascii="Palatino Linotype" w:hAnsi="Palatino Linotype" w:cs="Arial"/>
          <w:noProof/>
          <w:lang w:val="es-MX" w:eastAsia="es-MX"/>
        </w:rPr>
        <w:drawing>
          <wp:inline distT="0" distB="0" distL="0" distR="0" wp14:anchorId="3A82FB45" wp14:editId="34CF2805">
            <wp:extent cx="5760720" cy="813435"/>
            <wp:effectExtent l="190500" t="190500" r="182880" b="1962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813435"/>
                    </a:xfrm>
                    <a:prstGeom prst="rect">
                      <a:avLst/>
                    </a:prstGeom>
                    <a:ln>
                      <a:noFill/>
                    </a:ln>
                    <a:effectLst>
                      <a:outerShdw blurRad="190500" algn="tl" rotWithShape="0">
                        <a:srgbClr val="000000">
                          <a:alpha val="70000"/>
                        </a:srgbClr>
                      </a:outerShdw>
                    </a:effectLst>
                  </pic:spPr>
                </pic:pic>
              </a:graphicData>
            </a:graphic>
          </wp:inline>
        </w:drawing>
      </w:r>
    </w:p>
    <w:p w14:paraId="460AB326" w14:textId="77777777" w:rsidR="00B30770" w:rsidRDefault="00B30770" w:rsidP="00FF74F5">
      <w:pPr>
        <w:spacing w:line="360" w:lineRule="auto"/>
        <w:jc w:val="both"/>
        <w:rPr>
          <w:rFonts w:ascii="Palatino Linotype" w:hAnsi="Palatino Linotype" w:cs="Arial"/>
          <w:b/>
          <w:sz w:val="28"/>
        </w:rPr>
      </w:pPr>
    </w:p>
    <w:p w14:paraId="4F492B14" w14:textId="1EC168F7" w:rsidR="00D34057" w:rsidRPr="00B21190" w:rsidRDefault="005804D0" w:rsidP="00FF74F5">
      <w:pPr>
        <w:spacing w:line="360" w:lineRule="auto"/>
        <w:jc w:val="both"/>
        <w:rPr>
          <w:rFonts w:ascii="Palatino Linotype" w:hAnsi="Palatino Linotype" w:cs="Arial"/>
          <w:b/>
          <w:sz w:val="28"/>
          <w:szCs w:val="20"/>
        </w:rPr>
      </w:pPr>
      <w:r>
        <w:rPr>
          <w:rFonts w:ascii="Palatino Linotype" w:hAnsi="Palatino Linotype" w:cs="Arial"/>
          <w:b/>
          <w:sz w:val="28"/>
        </w:rPr>
        <w:t>CUARTO</w:t>
      </w:r>
      <w:r w:rsidR="00D34057" w:rsidRPr="00B21190">
        <w:rPr>
          <w:rFonts w:ascii="Palatino Linotype" w:hAnsi="Palatino Linotype" w:cs="Arial"/>
          <w:b/>
          <w:sz w:val="28"/>
        </w:rPr>
        <w:t xml:space="preserve">. </w:t>
      </w:r>
      <w:r w:rsidR="00D34057" w:rsidRPr="00B21190">
        <w:rPr>
          <w:rFonts w:ascii="Palatino Linotype" w:hAnsi="Palatino Linotype" w:cs="Arial"/>
          <w:b/>
          <w:sz w:val="28"/>
          <w:szCs w:val="20"/>
        </w:rPr>
        <w:t xml:space="preserve">De </w:t>
      </w:r>
      <w:r w:rsidR="00480FEA" w:rsidRPr="00B21190">
        <w:rPr>
          <w:rFonts w:ascii="Palatino Linotype" w:hAnsi="Palatino Linotype" w:cs="Arial"/>
          <w:b/>
          <w:sz w:val="28"/>
          <w:szCs w:val="20"/>
        </w:rPr>
        <w:t>la respuesta del Sujeto O</w:t>
      </w:r>
      <w:r w:rsidR="00D34057" w:rsidRPr="00B21190">
        <w:rPr>
          <w:rFonts w:ascii="Palatino Linotype" w:hAnsi="Palatino Linotype" w:cs="Arial"/>
          <w:b/>
          <w:sz w:val="28"/>
          <w:szCs w:val="20"/>
        </w:rPr>
        <w:t>bligado</w:t>
      </w:r>
    </w:p>
    <w:p w14:paraId="4506813A" w14:textId="6F7803D2" w:rsidR="00972636" w:rsidRPr="00B21190" w:rsidRDefault="0050427F" w:rsidP="003D0754">
      <w:pPr>
        <w:spacing w:line="360" w:lineRule="auto"/>
        <w:jc w:val="both"/>
        <w:rPr>
          <w:rFonts w:ascii="Palatino Linotype" w:hAnsi="Palatino Linotype" w:cs="Arial"/>
        </w:rPr>
      </w:pPr>
      <w:r w:rsidRPr="00B21190">
        <w:rPr>
          <w:rFonts w:ascii="Palatino Linotype" w:hAnsi="Palatino Linotype" w:cs="Arial"/>
        </w:rPr>
        <w:t>En el expediente electrónico</w:t>
      </w:r>
      <w:r w:rsidR="006A6499">
        <w:rPr>
          <w:rFonts w:ascii="Palatino Linotype" w:hAnsi="Palatino Linotype" w:cs="Arial"/>
        </w:rPr>
        <w:t xml:space="preserve"> del Sistema de Acceso a la Información Mexiquense</w:t>
      </w:r>
      <w:r w:rsidRPr="00B21190">
        <w:rPr>
          <w:rFonts w:ascii="Palatino Linotype" w:hAnsi="Palatino Linotype" w:cs="Arial"/>
        </w:rPr>
        <w:t xml:space="preserve"> </w:t>
      </w:r>
      <w:r w:rsidRPr="00B21190">
        <w:rPr>
          <w:rFonts w:ascii="Palatino Linotype" w:hAnsi="Palatino Linotype" w:cs="Arial"/>
          <w:b/>
        </w:rPr>
        <w:t>SAIMEX</w:t>
      </w:r>
      <w:r w:rsidRPr="00B21190">
        <w:rPr>
          <w:rFonts w:ascii="Palatino Linotype" w:hAnsi="Palatino Linotype" w:cs="Arial"/>
        </w:rPr>
        <w:t xml:space="preserve">, se aprecia que el día </w:t>
      </w:r>
      <w:r w:rsidR="005804D0">
        <w:rPr>
          <w:rFonts w:ascii="Palatino Linotype" w:hAnsi="Palatino Linotype" w:cs="Arial"/>
        </w:rPr>
        <w:t>ocho de marzo de dos mil veintiuno</w:t>
      </w:r>
      <w:r w:rsidRPr="00B21190">
        <w:rPr>
          <w:rFonts w:ascii="Palatino Linotype" w:hAnsi="Palatino Linotype" w:cs="Arial"/>
        </w:rPr>
        <w:t xml:space="preserve">, </w:t>
      </w:r>
      <w:r w:rsidRPr="00B21190">
        <w:rPr>
          <w:rFonts w:ascii="Palatino Linotype" w:hAnsi="Palatino Linotype" w:cs="Arial"/>
          <w:b/>
        </w:rPr>
        <w:t>El Sujeto Obligado</w:t>
      </w:r>
      <w:r w:rsidRPr="00B21190">
        <w:rPr>
          <w:rFonts w:ascii="Palatino Linotype" w:hAnsi="Palatino Linotype" w:cs="Arial"/>
        </w:rPr>
        <w:t xml:space="preserve"> dio respuesta a la solicitud de información</w:t>
      </w:r>
      <w:r w:rsidR="000C7DA1" w:rsidRPr="000C7DA1">
        <w:t xml:space="preserve"> </w:t>
      </w:r>
      <w:r w:rsidR="000C7DA1" w:rsidRPr="000C7DA1">
        <w:rPr>
          <w:rFonts w:ascii="Palatino Linotype" w:hAnsi="Palatino Linotype" w:cs="Arial"/>
        </w:rPr>
        <w:t>en los siguientes términos:</w:t>
      </w:r>
    </w:p>
    <w:p w14:paraId="25986DC1" w14:textId="77777777" w:rsidR="003F3CC8" w:rsidRPr="00B21190" w:rsidRDefault="003F3CC8" w:rsidP="00FF74F5">
      <w:pPr>
        <w:pStyle w:val="Sinespaciado"/>
      </w:pPr>
    </w:p>
    <w:p w14:paraId="1D3EF354" w14:textId="77777777" w:rsidR="005804D0" w:rsidRPr="005804D0" w:rsidRDefault="003F3CC8" w:rsidP="005804D0">
      <w:pPr>
        <w:ind w:left="567" w:right="567"/>
        <w:jc w:val="right"/>
        <w:rPr>
          <w:rFonts w:ascii="Palatino Linotype" w:hAnsi="Palatino Linotype" w:cs="Arial"/>
          <w:i/>
        </w:rPr>
      </w:pPr>
      <w:r w:rsidRPr="00B21190">
        <w:rPr>
          <w:rFonts w:ascii="Palatino Linotype" w:hAnsi="Palatino Linotype" w:cs="Arial"/>
          <w:i/>
        </w:rPr>
        <w:t>“</w:t>
      </w:r>
      <w:r w:rsidR="005804D0" w:rsidRPr="005804D0">
        <w:rPr>
          <w:rFonts w:ascii="Palatino Linotype" w:hAnsi="Palatino Linotype" w:cs="Arial"/>
          <w:i/>
        </w:rPr>
        <w:t xml:space="preserve">Folio de la solicitud: </w:t>
      </w:r>
      <w:r w:rsidR="005804D0" w:rsidRPr="005804D0">
        <w:rPr>
          <w:rFonts w:ascii="Palatino Linotype" w:hAnsi="Palatino Linotype" w:cs="Arial"/>
          <w:b/>
          <w:bCs/>
          <w:i/>
          <w:u w:val="single"/>
        </w:rPr>
        <w:t>00065/OASTLALNE/IP/2022</w:t>
      </w:r>
    </w:p>
    <w:p w14:paraId="246FDE2E" w14:textId="77777777" w:rsidR="005804D0" w:rsidRDefault="005804D0" w:rsidP="005804D0">
      <w:pPr>
        <w:ind w:left="567" w:right="567"/>
        <w:jc w:val="both"/>
        <w:rPr>
          <w:rFonts w:ascii="Palatino Linotype" w:hAnsi="Palatino Linotype" w:cs="Arial"/>
          <w:i/>
        </w:rPr>
      </w:pPr>
    </w:p>
    <w:p w14:paraId="1309AA78" w14:textId="72AB5F87" w:rsidR="005804D0" w:rsidRDefault="005804D0" w:rsidP="005804D0">
      <w:pPr>
        <w:ind w:left="567" w:right="567"/>
        <w:jc w:val="both"/>
        <w:rPr>
          <w:rFonts w:ascii="Palatino Linotype" w:hAnsi="Palatino Linotype" w:cs="Arial"/>
          <w:i/>
        </w:rPr>
      </w:pPr>
      <w:r w:rsidRPr="005804D0">
        <w:rPr>
          <w:rFonts w:ascii="Palatino Linotype" w:hAnsi="Palatino Linotype" w:cs="Arial"/>
          <w:i/>
        </w:rPr>
        <w:t xml:space="preserve">En respuesta a la solicitud recibida, nos permitimos hacer de su conocimiento que con fundamento en el artículo 53, Fracciones: II, V y VI de la Ley de Transparencia </w:t>
      </w:r>
      <w:r w:rsidRPr="005804D0">
        <w:rPr>
          <w:rFonts w:ascii="Palatino Linotype" w:hAnsi="Palatino Linotype" w:cs="Arial"/>
          <w:i/>
        </w:rPr>
        <w:lastRenderedPageBreak/>
        <w:t>y Acceso a la Información Pública del Estado de México y Municipios, le contestamos que:</w:t>
      </w:r>
    </w:p>
    <w:p w14:paraId="337CAF8F" w14:textId="77777777" w:rsidR="005804D0" w:rsidRPr="005804D0" w:rsidRDefault="005804D0" w:rsidP="005804D0">
      <w:pPr>
        <w:ind w:left="567" w:right="567"/>
        <w:jc w:val="both"/>
        <w:rPr>
          <w:rFonts w:ascii="Palatino Linotype" w:hAnsi="Palatino Linotype" w:cs="Arial"/>
          <w:i/>
        </w:rPr>
      </w:pPr>
    </w:p>
    <w:p w14:paraId="74DD85F9" w14:textId="77777777" w:rsidR="005804D0" w:rsidRPr="005804D0" w:rsidRDefault="005804D0" w:rsidP="005804D0">
      <w:pPr>
        <w:ind w:left="567" w:right="567"/>
        <w:jc w:val="both"/>
        <w:rPr>
          <w:rFonts w:ascii="Palatino Linotype" w:hAnsi="Palatino Linotype" w:cs="Arial"/>
          <w:i/>
        </w:rPr>
      </w:pPr>
      <w:r w:rsidRPr="005804D0">
        <w:rPr>
          <w:rFonts w:ascii="Palatino Linotype" w:hAnsi="Palatino Linotype" w:cs="Arial"/>
          <w:i/>
        </w:rPr>
        <w:t>Se envía archivos electrónicos en respuesta a su solicitud de información con número de folio SAIMEX 00065/OASTLALNE/IP/2022.</w:t>
      </w:r>
    </w:p>
    <w:p w14:paraId="19553CA4" w14:textId="77777777" w:rsidR="005804D0" w:rsidRDefault="005804D0" w:rsidP="005804D0">
      <w:pPr>
        <w:ind w:left="567" w:right="567"/>
        <w:jc w:val="both"/>
        <w:rPr>
          <w:rFonts w:ascii="Palatino Linotype" w:hAnsi="Palatino Linotype" w:cs="Arial"/>
          <w:i/>
        </w:rPr>
      </w:pPr>
    </w:p>
    <w:p w14:paraId="71698D20" w14:textId="5167E1FB" w:rsidR="005804D0" w:rsidRPr="005804D0" w:rsidRDefault="005804D0" w:rsidP="005804D0">
      <w:pPr>
        <w:ind w:left="567" w:right="567"/>
        <w:jc w:val="both"/>
        <w:rPr>
          <w:rFonts w:ascii="Palatino Linotype" w:hAnsi="Palatino Linotype" w:cs="Arial"/>
          <w:i/>
        </w:rPr>
      </w:pPr>
      <w:r w:rsidRPr="005804D0">
        <w:rPr>
          <w:rFonts w:ascii="Palatino Linotype" w:hAnsi="Palatino Linotype" w:cs="Arial"/>
          <w:i/>
        </w:rPr>
        <w:t>ATENTAMENTE</w:t>
      </w:r>
    </w:p>
    <w:p w14:paraId="54820A0C" w14:textId="79580593" w:rsidR="003F3CC8" w:rsidRPr="00B21190" w:rsidRDefault="005804D0" w:rsidP="005804D0">
      <w:pPr>
        <w:ind w:left="567" w:right="567"/>
        <w:jc w:val="both"/>
        <w:rPr>
          <w:rFonts w:ascii="Palatino Linotype" w:hAnsi="Palatino Linotype" w:cs="Arial"/>
          <w:i/>
        </w:rPr>
      </w:pPr>
      <w:r w:rsidRPr="005804D0">
        <w:rPr>
          <w:rFonts w:ascii="Palatino Linotype" w:hAnsi="Palatino Linotype" w:cs="Arial"/>
          <w:i/>
        </w:rPr>
        <w:t>C. Lizetta Chavez Santiago</w:t>
      </w:r>
      <w:r w:rsidR="003F3CC8" w:rsidRPr="00B21190">
        <w:rPr>
          <w:rFonts w:ascii="Palatino Linotype" w:hAnsi="Palatino Linotype" w:cs="Arial"/>
          <w:i/>
        </w:rPr>
        <w:t>”</w:t>
      </w:r>
      <w:r w:rsidR="00755085">
        <w:rPr>
          <w:rFonts w:ascii="Palatino Linotype" w:hAnsi="Palatino Linotype" w:cs="Arial"/>
          <w:i/>
        </w:rPr>
        <w:t xml:space="preserve"> </w:t>
      </w:r>
      <w:r w:rsidR="006A6499">
        <w:rPr>
          <w:rFonts w:ascii="Palatino Linotype" w:hAnsi="Palatino Linotype" w:cs="Arial"/>
          <w:i/>
        </w:rPr>
        <w:t>(Sic)</w:t>
      </w:r>
    </w:p>
    <w:p w14:paraId="1BC84A99" w14:textId="77777777" w:rsidR="00F3632E" w:rsidRPr="00B21190" w:rsidRDefault="00F3632E" w:rsidP="00F3632E">
      <w:pPr>
        <w:pStyle w:val="Sinespaciado"/>
      </w:pPr>
    </w:p>
    <w:p w14:paraId="1D09219D" w14:textId="33B5260B" w:rsidR="00FD1200" w:rsidRPr="00755085" w:rsidRDefault="00165D3D" w:rsidP="00755085">
      <w:pPr>
        <w:pStyle w:val="Sinespaciado"/>
        <w:spacing w:line="360" w:lineRule="auto"/>
        <w:jc w:val="both"/>
        <w:rPr>
          <w:rFonts w:ascii="Palatino Linotype" w:eastAsiaTheme="minorHAnsi" w:hAnsi="Palatino Linotype" w:cs="Arial"/>
          <w:lang w:eastAsia="en-US"/>
        </w:rPr>
      </w:pPr>
      <w:bookmarkStart w:id="1" w:name="_Hlk90488978"/>
      <w:r>
        <w:rPr>
          <w:rFonts w:ascii="Palatino Linotype" w:eastAsiaTheme="minorHAnsi" w:hAnsi="Palatino Linotype" w:cs="Arial"/>
          <w:lang w:eastAsia="en-US"/>
        </w:rPr>
        <w:t xml:space="preserve">Adjuntando para tal efecto, </w:t>
      </w:r>
      <w:r w:rsidR="005804D0">
        <w:rPr>
          <w:rFonts w:ascii="Palatino Linotype" w:eastAsiaTheme="minorHAnsi" w:hAnsi="Palatino Linotype" w:cs="Arial"/>
          <w:lang w:eastAsia="en-US"/>
        </w:rPr>
        <w:t>el</w:t>
      </w:r>
      <w:r w:rsidR="00F46230" w:rsidRPr="00F46230">
        <w:rPr>
          <w:rFonts w:ascii="Palatino Linotype" w:eastAsiaTheme="minorHAnsi" w:hAnsi="Palatino Linotype" w:cs="Arial"/>
          <w:lang w:eastAsia="en-US"/>
        </w:rPr>
        <w:t xml:space="preserve"> </w:t>
      </w:r>
      <w:r w:rsidR="0066233C">
        <w:rPr>
          <w:rFonts w:ascii="Palatino Linotype" w:eastAsiaTheme="minorHAnsi" w:hAnsi="Palatino Linotype" w:cs="Arial"/>
          <w:lang w:eastAsia="en-US"/>
        </w:rPr>
        <w:t>archivo electrónico</w:t>
      </w:r>
      <w:bookmarkEnd w:id="1"/>
      <w:r w:rsidR="0066233C">
        <w:rPr>
          <w:rFonts w:ascii="Palatino Linotype" w:eastAsiaTheme="minorHAnsi" w:hAnsi="Palatino Linotype" w:cs="Arial"/>
          <w:lang w:eastAsia="en-US"/>
        </w:rPr>
        <w:t xml:space="preserve"> denominado</w:t>
      </w:r>
      <w:r w:rsidR="00F46230" w:rsidRPr="00F46230">
        <w:rPr>
          <w:rFonts w:ascii="Palatino Linotype" w:eastAsiaTheme="minorHAnsi" w:hAnsi="Palatino Linotype" w:cs="Arial"/>
          <w:lang w:eastAsia="en-US"/>
        </w:rPr>
        <w:t xml:space="preserve"> “</w:t>
      </w:r>
      <w:r w:rsidR="005804D0" w:rsidRPr="005804D0">
        <w:rPr>
          <w:rFonts w:ascii="Palatino Linotype" w:eastAsiaTheme="minorHAnsi" w:hAnsi="Palatino Linotype" w:cs="Arial"/>
          <w:b/>
          <w:bCs/>
          <w:lang w:eastAsia="en-US"/>
        </w:rPr>
        <w:t>CONTESTACION CONTRA SAIMEX 65.pdf</w:t>
      </w:r>
      <w:r>
        <w:rPr>
          <w:rFonts w:ascii="Palatino Linotype" w:eastAsiaTheme="minorHAnsi" w:hAnsi="Palatino Linotype" w:cs="Arial"/>
          <w:lang w:eastAsia="en-US"/>
        </w:rPr>
        <w:t>”</w:t>
      </w:r>
      <w:r w:rsidR="00F46230">
        <w:rPr>
          <w:rFonts w:ascii="Palatino Linotype" w:eastAsiaTheme="minorHAnsi" w:hAnsi="Palatino Linotype" w:cs="Arial"/>
          <w:lang w:eastAsia="en-US"/>
        </w:rPr>
        <w:t xml:space="preserve">, </w:t>
      </w:r>
      <w:r w:rsidR="005804D0">
        <w:rPr>
          <w:rFonts w:ascii="Palatino Linotype" w:eastAsiaTheme="minorHAnsi" w:hAnsi="Palatino Linotype" w:cs="Arial"/>
          <w:lang w:eastAsia="en-US"/>
        </w:rPr>
        <w:t>el</w:t>
      </w:r>
      <w:r w:rsidR="0066233C">
        <w:rPr>
          <w:rFonts w:ascii="Palatino Linotype" w:eastAsiaTheme="minorHAnsi" w:hAnsi="Palatino Linotype" w:cs="Arial"/>
          <w:lang w:eastAsia="en-US"/>
        </w:rPr>
        <w:t xml:space="preserve"> cual no se reproduce</w:t>
      </w:r>
      <w:r>
        <w:rPr>
          <w:rFonts w:ascii="Palatino Linotype" w:eastAsiaTheme="minorHAnsi" w:hAnsi="Palatino Linotype" w:cs="Arial"/>
          <w:lang w:eastAsia="en-US"/>
        </w:rPr>
        <w:t>n</w:t>
      </w:r>
      <w:r w:rsidR="00F46230" w:rsidRPr="00F46230">
        <w:rPr>
          <w:rFonts w:ascii="Palatino Linotype" w:eastAsiaTheme="minorHAnsi" w:hAnsi="Palatino Linotype" w:cs="Arial"/>
          <w:lang w:eastAsia="en-US"/>
        </w:rPr>
        <w:t xml:space="preserve"> toda vez que su contenido es del conocimiento de las partes; no obstante, se hará mérito de su contenido más adelante.</w:t>
      </w:r>
    </w:p>
    <w:p w14:paraId="30630136" w14:textId="77777777" w:rsidR="00F46230" w:rsidRPr="00B21190" w:rsidRDefault="00F46230" w:rsidP="00D81C1B">
      <w:pPr>
        <w:spacing w:line="360" w:lineRule="auto"/>
        <w:jc w:val="both"/>
      </w:pPr>
    </w:p>
    <w:p w14:paraId="2B85071E" w14:textId="788CBBCF" w:rsidR="00D34057" w:rsidRPr="00B21190" w:rsidRDefault="005804D0" w:rsidP="003D0754">
      <w:pPr>
        <w:spacing w:line="360" w:lineRule="auto"/>
        <w:jc w:val="both"/>
        <w:rPr>
          <w:rFonts w:ascii="Palatino Linotype" w:hAnsi="Palatino Linotype" w:cs="Arial"/>
          <w:b/>
          <w:sz w:val="28"/>
        </w:rPr>
      </w:pPr>
      <w:r>
        <w:rPr>
          <w:rFonts w:ascii="Palatino Linotype" w:hAnsi="Palatino Linotype" w:cs="Arial"/>
          <w:b/>
          <w:sz w:val="28"/>
        </w:rPr>
        <w:t>QUINTO</w:t>
      </w:r>
      <w:r w:rsidR="00D34057" w:rsidRPr="00B21190">
        <w:rPr>
          <w:rFonts w:ascii="Palatino Linotype" w:hAnsi="Palatino Linotype" w:cs="Arial"/>
          <w:b/>
          <w:sz w:val="28"/>
        </w:rPr>
        <w:t xml:space="preserve">. </w:t>
      </w:r>
      <w:r w:rsidR="00D34057" w:rsidRPr="00B21190">
        <w:rPr>
          <w:rFonts w:ascii="Palatino Linotype" w:hAnsi="Palatino Linotype"/>
          <w:b/>
          <w:sz w:val="28"/>
        </w:rPr>
        <w:t>Del recurso de revisión.</w:t>
      </w:r>
    </w:p>
    <w:p w14:paraId="296EDA60" w14:textId="4E9D5044" w:rsidR="00BD28E3" w:rsidRPr="00B21190" w:rsidRDefault="00D34057" w:rsidP="003D0754">
      <w:pPr>
        <w:spacing w:line="360" w:lineRule="auto"/>
        <w:jc w:val="both"/>
        <w:rPr>
          <w:rFonts w:ascii="Palatino Linotype" w:hAnsi="Palatino Linotype" w:cs="Arial"/>
        </w:rPr>
      </w:pPr>
      <w:r w:rsidRPr="00B21190">
        <w:rPr>
          <w:rFonts w:ascii="Palatino Linotype" w:hAnsi="Palatino Linotype" w:cs="Arial"/>
        </w:rPr>
        <w:t xml:space="preserve">Inconforme con la respuesta del </w:t>
      </w:r>
      <w:r w:rsidR="003D002D" w:rsidRPr="00B21190">
        <w:rPr>
          <w:rFonts w:ascii="Palatino Linotype" w:hAnsi="Palatino Linotype" w:cs="Arial"/>
          <w:b/>
        </w:rPr>
        <w:t>Sujeto Obligado</w:t>
      </w:r>
      <w:r w:rsidRPr="00B21190">
        <w:rPr>
          <w:rFonts w:ascii="Palatino Linotype" w:hAnsi="Palatino Linotype" w:cs="Arial"/>
        </w:rPr>
        <w:t xml:space="preserve">, </w:t>
      </w:r>
      <w:r w:rsidR="006A6499">
        <w:rPr>
          <w:rFonts w:ascii="Palatino Linotype" w:hAnsi="Palatino Linotype" w:cs="Arial"/>
          <w:b/>
        </w:rPr>
        <w:t>el</w:t>
      </w:r>
      <w:r w:rsidR="00293D51">
        <w:rPr>
          <w:rFonts w:ascii="Palatino Linotype" w:hAnsi="Palatino Linotype" w:cs="Arial"/>
          <w:b/>
        </w:rPr>
        <w:t xml:space="preserve"> Recurrente</w:t>
      </w:r>
      <w:r w:rsidRPr="00B21190">
        <w:rPr>
          <w:rFonts w:ascii="Palatino Linotype" w:hAnsi="Palatino Linotype" w:cs="Arial"/>
          <w:b/>
        </w:rPr>
        <w:t xml:space="preserve"> </w:t>
      </w:r>
      <w:r w:rsidRPr="00B21190">
        <w:rPr>
          <w:rFonts w:ascii="Palatino Linotype" w:hAnsi="Palatino Linotype" w:cs="Arial"/>
        </w:rPr>
        <w:t xml:space="preserve">interpuso el recurso de revisión, en fecha </w:t>
      </w:r>
      <w:r w:rsidR="005804D0">
        <w:rPr>
          <w:rFonts w:ascii="Palatino Linotype" w:hAnsi="Palatino Linotype" w:cs="Arial"/>
        </w:rPr>
        <w:t>ocho de marzo</w:t>
      </w:r>
      <w:r w:rsidR="00BA55C8">
        <w:rPr>
          <w:rFonts w:ascii="Palatino Linotype" w:hAnsi="Palatino Linotype" w:cs="Arial"/>
        </w:rPr>
        <w:t xml:space="preserve"> de dos mil veintiuno</w:t>
      </w:r>
      <w:r w:rsidRPr="00B21190">
        <w:rPr>
          <w:rFonts w:ascii="Palatino Linotype" w:hAnsi="Palatino Linotype" w:cs="Arial"/>
        </w:rPr>
        <w:t>, el cual fue registrado</w:t>
      </w:r>
      <w:r w:rsidRPr="00B21190">
        <w:rPr>
          <w:rFonts w:ascii="Palatino Linotype" w:hAnsi="Palatino Linotype" w:cs="Arial"/>
          <w:b/>
        </w:rPr>
        <w:t xml:space="preserve"> </w:t>
      </w:r>
      <w:r w:rsidRPr="00B21190">
        <w:rPr>
          <w:rFonts w:ascii="Palatino Linotype" w:hAnsi="Palatino Linotype" w:cs="Arial"/>
        </w:rPr>
        <w:t xml:space="preserve">en el sistema electrónico con el expediente número </w:t>
      </w:r>
      <w:r w:rsidR="005804D0" w:rsidRPr="005804D0">
        <w:rPr>
          <w:rFonts w:ascii="Palatino Linotype" w:hAnsi="Palatino Linotype" w:cs="Arial"/>
          <w:b/>
          <w:bCs/>
          <w:lang w:eastAsia="es-MX"/>
        </w:rPr>
        <w:t>03590/INFOEM/IP/RR/2022</w:t>
      </w:r>
      <w:r w:rsidRPr="00B21190">
        <w:rPr>
          <w:rFonts w:ascii="Palatino Linotype" w:hAnsi="Palatino Linotype" w:cs="Arial"/>
        </w:rPr>
        <w:t>, en el cual arguye, las siguientes manifestaciones:</w:t>
      </w:r>
    </w:p>
    <w:p w14:paraId="1CBC4B80" w14:textId="77777777" w:rsidR="003708E1" w:rsidRPr="00B21190" w:rsidRDefault="003708E1" w:rsidP="003D0754">
      <w:pPr>
        <w:pStyle w:val="Sinespaciado"/>
      </w:pPr>
    </w:p>
    <w:p w14:paraId="7EA930EF" w14:textId="77777777" w:rsidR="00BD28E3" w:rsidRPr="00B21190" w:rsidRDefault="00D34057" w:rsidP="00E91EE4">
      <w:pPr>
        <w:pStyle w:val="Prrafodelista"/>
        <w:numPr>
          <w:ilvl w:val="0"/>
          <w:numId w:val="3"/>
        </w:numPr>
        <w:spacing w:before="240" w:line="360" w:lineRule="auto"/>
        <w:jc w:val="both"/>
        <w:rPr>
          <w:rFonts w:ascii="Palatino Linotype" w:hAnsi="Palatino Linotype" w:cs="Arial"/>
          <w:b/>
        </w:rPr>
      </w:pPr>
      <w:r w:rsidRPr="00B21190">
        <w:rPr>
          <w:rFonts w:ascii="Palatino Linotype" w:hAnsi="Palatino Linotype" w:cs="Arial"/>
          <w:b/>
        </w:rPr>
        <w:t>Acto Impugnado:</w:t>
      </w:r>
    </w:p>
    <w:p w14:paraId="3BC72CF2" w14:textId="3E17270D" w:rsidR="00D34057" w:rsidRPr="00B21190" w:rsidRDefault="00D34057" w:rsidP="007D7483">
      <w:pPr>
        <w:ind w:left="851" w:right="850"/>
        <w:jc w:val="both"/>
        <w:rPr>
          <w:rFonts w:ascii="Palatino Linotype" w:hAnsi="Palatino Linotype" w:cs="Arial"/>
          <w:i/>
        </w:rPr>
      </w:pPr>
      <w:r w:rsidRPr="00B21190">
        <w:rPr>
          <w:rFonts w:ascii="Palatino Linotype" w:hAnsi="Palatino Linotype" w:cs="Arial"/>
          <w:i/>
        </w:rPr>
        <w:t>“</w:t>
      </w:r>
      <w:r w:rsidR="005804D0" w:rsidRPr="005804D0">
        <w:rPr>
          <w:rFonts w:ascii="Palatino Linotype" w:hAnsi="Palatino Linotype"/>
          <w:i/>
          <w:color w:val="000000"/>
        </w:rPr>
        <w:t>no estan entregando la informacion solicitada</w:t>
      </w:r>
      <w:r w:rsidRPr="00B21190">
        <w:rPr>
          <w:rFonts w:ascii="Palatino Linotype" w:hAnsi="Palatino Linotype" w:cs="Arial"/>
          <w:i/>
        </w:rPr>
        <w:t>”</w:t>
      </w:r>
      <w:r w:rsidR="00CF70A0">
        <w:rPr>
          <w:rFonts w:ascii="Palatino Linotype" w:hAnsi="Palatino Linotype" w:cs="Arial"/>
          <w:i/>
        </w:rPr>
        <w:t xml:space="preserve"> </w:t>
      </w:r>
      <w:r w:rsidRPr="00B21190">
        <w:rPr>
          <w:rFonts w:ascii="Palatino Linotype" w:hAnsi="Palatino Linotype" w:cs="Arial"/>
          <w:i/>
        </w:rPr>
        <w:t>[sic]</w:t>
      </w:r>
    </w:p>
    <w:p w14:paraId="63141DF2" w14:textId="77777777" w:rsidR="00BD28E3" w:rsidRPr="00B21190" w:rsidRDefault="00BD28E3" w:rsidP="003D0754">
      <w:pPr>
        <w:pStyle w:val="Sinespaciado"/>
        <w:rPr>
          <w:sz w:val="2"/>
        </w:rPr>
      </w:pPr>
    </w:p>
    <w:p w14:paraId="15CDCB8C" w14:textId="77777777" w:rsidR="00D34057" w:rsidRPr="00B21190" w:rsidRDefault="00D34057" w:rsidP="00E91EE4">
      <w:pPr>
        <w:pStyle w:val="Prrafodelista"/>
        <w:numPr>
          <w:ilvl w:val="0"/>
          <w:numId w:val="3"/>
        </w:numPr>
        <w:spacing w:before="240" w:line="360" w:lineRule="auto"/>
        <w:jc w:val="both"/>
        <w:rPr>
          <w:rFonts w:ascii="Palatino Linotype" w:hAnsi="Palatino Linotype" w:cs="Arial"/>
        </w:rPr>
      </w:pPr>
      <w:r w:rsidRPr="00B21190">
        <w:rPr>
          <w:rFonts w:ascii="Palatino Linotype" w:hAnsi="Palatino Linotype" w:cs="Arial"/>
          <w:b/>
        </w:rPr>
        <w:t>Razones o Motivos de Inconformidad</w:t>
      </w:r>
      <w:r w:rsidRPr="00B21190">
        <w:rPr>
          <w:rFonts w:ascii="Palatino Linotype" w:hAnsi="Palatino Linotype" w:cs="Arial"/>
        </w:rPr>
        <w:t xml:space="preserve">: </w:t>
      </w:r>
    </w:p>
    <w:p w14:paraId="78377472" w14:textId="43C3AF2F" w:rsidR="0088792E" w:rsidRDefault="00D34057" w:rsidP="0088792E">
      <w:pPr>
        <w:ind w:left="851" w:right="850"/>
        <w:jc w:val="both"/>
        <w:rPr>
          <w:rFonts w:ascii="Palatino Linotype" w:hAnsi="Palatino Linotype" w:cs="Arial"/>
          <w:i/>
        </w:rPr>
      </w:pPr>
      <w:r w:rsidRPr="00B21190">
        <w:rPr>
          <w:rFonts w:ascii="Palatino Linotype" w:hAnsi="Palatino Linotype" w:cs="Arial"/>
          <w:i/>
        </w:rPr>
        <w:t>“</w:t>
      </w:r>
      <w:r w:rsidR="005804D0" w:rsidRPr="005804D0">
        <w:rPr>
          <w:rFonts w:ascii="Palatino Linotype" w:hAnsi="Palatino Linotype"/>
          <w:b/>
          <w:bCs/>
          <w:i/>
          <w:color w:val="000000"/>
        </w:rPr>
        <w:t>1</w:t>
      </w:r>
      <w:r w:rsidR="005804D0" w:rsidRPr="005804D0">
        <w:rPr>
          <w:rFonts w:ascii="Palatino Linotype" w:hAnsi="Palatino Linotype"/>
          <w:i/>
          <w:color w:val="000000"/>
        </w:rPr>
        <w:t xml:space="preserve">. ese instituto podra ver que estan omitiendo en entregar informacion, ya que solo y unicamente mandan creo solo año 2021 y 2022 2. ya que se pidio de TODOS, debieron mandar tambien en dado caso años 2015, 2016, 2017, 2018, 2019 y 2020 por los años pienso que ya hasta concluidos se encuentran </w:t>
      </w:r>
      <w:r w:rsidR="005804D0" w:rsidRPr="005804D0">
        <w:rPr>
          <w:rFonts w:ascii="Palatino Linotype" w:hAnsi="Palatino Linotype"/>
          <w:i/>
          <w:color w:val="000000"/>
        </w:rPr>
        <w:lastRenderedPageBreak/>
        <w:t>que me manden toda esa informacion. relacionado con lo evidente solicitado ais como un listado de todos los servidores publicos sancionados desde 2015 al 2022</w:t>
      </w:r>
      <w:r w:rsidRPr="00B21190">
        <w:rPr>
          <w:rFonts w:ascii="Palatino Linotype" w:hAnsi="Palatino Linotype" w:cs="Arial"/>
          <w:i/>
        </w:rPr>
        <w:t>” [sic]</w:t>
      </w:r>
    </w:p>
    <w:p w14:paraId="1BAB5DFF" w14:textId="77777777" w:rsidR="0088792E" w:rsidRPr="0088792E" w:rsidRDefault="0088792E" w:rsidP="0088792E">
      <w:pPr>
        <w:ind w:left="851" w:right="850"/>
        <w:jc w:val="both"/>
        <w:rPr>
          <w:rFonts w:ascii="Palatino Linotype" w:hAnsi="Palatino Linotype" w:cs="Arial"/>
          <w:i/>
        </w:rPr>
      </w:pPr>
    </w:p>
    <w:p w14:paraId="5AE43361" w14:textId="77777777" w:rsidR="0088792E" w:rsidRDefault="0088792E" w:rsidP="003D0754">
      <w:pPr>
        <w:spacing w:line="360" w:lineRule="auto"/>
        <w:jc w:val="both"/>
        <w:rPr>
          <w:rFonts w:ascii="Palatino Linotype" w:hAnsi="Palatino Linotype" w:cs="Arial"/>
          <w:b/>
          <w:sz w:val="28"/>
        </w:rPr>
      </w:pPr>
    </w:p>
    <w:p w14:paraId="3DE918EE" w14:textId="595CDF02" w:rsidR="00D34057" w:rsidRPr="00B21190" w:rsidRDefault="00D34057" w:rsidP="003D0754">
      <w:pPr>
        <w:spacing w:line="360" w:lineRule="auto"/>
        <w:jc w:val="both"/>
        <w:rPr>
          <w:rFonts w:ascii="Palatino Linotype" w:hAnsi="Palatino Linotype" w:cs="Arial"/>
          <w:b/>
        </w:rPr>
      </w:pPr>
      <w:r w:rsidRPr="00B21190">
        <w:rPr>
          <w:rFonts w:ascii="Palatino Linotype" w:hAnsi="Palatino Linotype" w:cs="Arial"/>
          <w:b/>
          <w:sz w:val="28"/>
        </w:rPr>
        <w:t>CUARTO</w:t>
      </w:r>
      <w:r w:rsidRPr="00B21190">
        <w:rPr>
          <w:rFonts w:ascii="Palatino Linotype" w:hAnsi="Palatino Linotype" w:cs="Arial"/>
          <w:b/>
        </w:rPr>
        <w:t xml:space="preserve">. </w:t>
      </w:r>
      <w:r w:rsidRPr="00B21190">
        <w:rPr>
          <w:rFonts w:ascii="Palatino Linotype" w:hAnsi="Palatino Linotype" w:cs="Arial"/>
          <w:b/>
          <w:sz w:val="28"/>
          <w:szCs w:val="28"/>
        </w:rPr>
        <w:t>Del turno del recurso de revisión.</w:t>
      </w:r>
    </w:p>
    <w:p w14:paraId="326E2B84" w14:textId="29844CDE" w:rsidR="00BD28E3" w:rsidRPr="00B21190" w:rsidRDefault="00D34057" w:rsidP="003D0754">
      <w:pPr>
        <w:spacing w:line="360" w:lineRule="auto"/>
        <w:jc w:val="both"/>
        <w:rPr>
          <w:rFonts w:ascii="Palatino Linotype" w:hAnsi="Palatino Linotype" w:cs="Arial"/>
        </w:rPr>
      </w:pPr>
      <w:r w:rsidRPr="00B21190">
        <w:rPr>
          <w:rFonts w:ascii="Palatino Linotype" w:hAnsi="Palatino Linotype" w:cs="Arial"/>
        </w:rPr>
        <w:t>Medio de impugnación que le fue turnado a</w:t>
      </w:r>
      <w:r w:rsidR="006A6499">
        <w:rPr>
          <w:rFonts w:ascii="Palatino Linotype" w:hAnsi="Palatino Linotype" w:cs="Arial"/>
        </w:rPr>
        <w:t>l</w:t>
      </w:r>
      <w:r w:rsidRPr="00B21190">
        <w:rPr>
          <w:rFonts w:ascii="Palatino Linotype" w:hAnsi="Palatino Linotype" w:cs="Arial"/>
        </w:rPr>
        <w:t xml:space="preserve"> Comisionad</w:t>
      </w:r>
      <w:r w:rsidR="006A6499">
        <w:rPr>
          <w:rFonts w:ascii="Palatino Linotype" w:hAnsi="Palatino Linotype" w:cs="Arial"/>
        </w:rPr>
        <w:t>o</w:t>
      </w:r>
      <w:r w:rsidRPr="00B21190">
        <w:rPr>
          <w:rFonts w:ascii="Palatino Linotype" w:hAnsi="Palatino Linotype" w:cs="Arial"/>
        </w:rPr>
        <w:t xml:space="preserve"> </w:t>
      </w:r>
      <w:r w:rsidR="006A6499">
        <w:rPr>
          <w:rFonts w:ascii="Palatino Linotype" w:hAnsi="Palatino Linotype" w:cs="Arial"/>
          <w:b/>
        </w:rPr>
        <w:t>José Martínez Vilchis</w:t>
      </w:r>
      <w:r w:rsidRPr="00B21190">
        <w:rPr>
          <w:rFonts w:ascii="Palatino Linotype" w:hAnsi="Palatino Linotype" w:cs="Arial"/>
        </w:rPr>
        <w:t>, por medio del sistema electrónico en términos del arábigo 185</w:t>
      </w:r>
      <w:r w:rsidR="003D0754" w:rsidRPr="00B21190">
        <w:rPr>
          <w:rFonts w:ascii="Palatino Linotype" w:hAnsi="Palatino Linotype" w:cs="Arial"/>
        </w:rPr>
        <w:t>,</w:t>
      </w:r>
      <w:r w:rsidRPr="00B21190">
        <w:rPr>
          <w:rFonts w:ascii="Palatino Linotype" w:hAnsi="Palatino Linotype" w:cs="Arial"/>
        </w:rPr>
        <w:t xml:space="preserve"> fracción I</w:t>
      </w:r>
      <w:r w:rsidR="003D0754" w:rsidRPr="00B21190">
        <w:rPr>
          <w:rFonts w:ascii="Palatino Linotype" w:hAnsi="Palatino Linotype" w:cs="Arial"/>
        </w:rPr>
        <w:t>,</w:t>
      </w:r>
      <w:r w:rsidRPr="00B21190">
        <w:rPr>
          <w:rFonts w:ascii="Palatino Linotype" w:hAnsi="Palatino Linotype" w:cs="Arial"/>
        </w:rPr>
        <w:t xml:space="preserve"> de la Ley de Transparencia y Acceso a la información Pública del Estado de México y Municipios, del cual recayó acuerdo de admisión en fecha</w:t>
      </w:r>
      <w:r w:rsidR="00D27E5B">
        <w:rPr>
          <w:rFonts w:ascii="Palatino Linotype" w:hAnsi="Palatino Linotype" w:cs="Arial"/>
        </w:rPr>
        <w:t xml:space="preserve"> </w:t>
      </w:r>
      <w:r w:rsidR="00066CFD">
        <w:rPr>
          <w:rFonts w:ascii="Palatino Linotype" w:hAnsi="Palatino Linotype" w:cs="Arial"/>
        </w:rPr>
        <w:t>catorce de marzo</w:t>
      </w:r>
      <w:r w:rsidRPr="00B21190">
        <w:rPr>
          <w:rFonts w:ascii="Palatino Linotype" w:hAnsi="Palatino Linotype" w:cs="Arial"/>
        </w:rPr>
        <w:t xml:space="preserve"> de</w:t>
      </w:r>
      <w:r w:rsidR="00BD28E3" w:rsidRPr="00B21190">
        <w:rPr>
          <w:rFonts w:ascii="Palatino Linotype" w:hAnsi="Palatino Linotype" w:cs="Arial"/>
        </w:rPr>
        <w:t>l</w:t>
      </w:r>
      <w:r w:rsidRPr="00B21190">
        <w:rPr>
          <w:rFonts w:ascii="Palatino Linotype" w:hAnsi="Palatino Linotype" w:cs="Arial"/>
        </w:rPr>
        <w:t xml:space="preserve"> </w:t>
      </w:r>
      <w:r w:rsidR="00BD28E3" w:rsidRPr="00B21190">
        <w:rPr>
          <w:rFonts w:ascii="Palatino Linotype" w:hAnsi="Palatino Linotype" w:cs="Arial"/>
        </w:rPr>
        <w:t>año en curso</w:t>
      </w:r>
      <w:r w:rsidRPr="00B21190">
        <w:rPr>
          <w:rFonts w:ascii="Palatino Linotype" w:hAnsi="Palatino Linotype" w:cs="Arial"/>
        </w:rPr>
        <w:t>, determinándose en él, un plazo de siete días para que las partes manifestaran lo que a su derecho corresponda en términos del numeral ya citado.</w:t>
      </w:r>
    </w:p>
    <w:p w14:paraId="4788449D" w14:textId="77777777" w:rsidR="00C07D77" w:rsidRPr="00B21190" w:rsidRDefault="00C07D77" w:rsidP="00E91EE4">
      <w:pPr>
        <w:spacing w:before="240" w:line="360" w:lineRule="auto"/>
        <w:jc w:val="both"/>
        <w:rPr>
          <w:rFonts w:ascii="Palatino Linotype" w:hAnsi="Palatino Linotype" w:cs="Arial"/>
          <w:sz w:val="6"/>
        </w:rPr>
      </w:pPr>
    </w:p>
    <w:p w14:paraId="51BD16D2" w14:textId="77777777" w:rsidR="00D34057" w:rsidRPr="00B21190" w:rsidRDefault="00D34057" w:rsidP="003D0754">
      <w:pPr>
        <w:spacing w:line="360" w:lineRule="auto"/>
        <w:jc w:val="both"/>
        <w:rPr>
          <w:rFonts w:ascii="Palatino Linotype" w:hAnsi="Palatino Linotype" w:cs="Arial"/>
          <w:b/>
        </w:rPr>
      </w:pPr>
      <w:r w:rsidRPr="00B21190">
        <w:rPr>
          <w:rFonts w:ascii="Palatino Linotype" w:hAnsi="Palatino Linotype" w:cs="Arial"/>
          <w:b/>
          <w:sz w:val="28"/>
        </w:rPr>
        <w:t>QUINTO</w:t>
      </w:r>
      <w:r w:rsidRPr="00B21190">
        <w:rPr>
          <w:rFonts w:ascii="Palatino Linotype" w:hAnsi="Palatino Linotype" w:cs="Arial"/>
          <w:b/>
        </w:rPr>
        <w:t xml:space="preserve">. </w:t>
      </w:r>
      <w:r w:rsidRPr="00B21190">
        <w:rPr>
          <w:rFonts w:ascii="Palatino Linotype" w:hAnsi="Palatino Linotype" w:cs="Arial"/>
          <w:b/>
          <w:sz w:val="28"/>
          <w:szCs w:val="28"/>
        </w:rPr>
        <w:t>De la etapa de instrucción.</w:t>
      </w:r>
    </w:p>
    <w:p w14:paraId="5DEF163C" w14:textId="7EF64572" w:rsidR="00073779" w:rsidRPr="00073779" w:rsidRDefault="00073779" w:rsidP="00073779">
      <w:pPr>
        <w:spacing w:line="360" w:lineRule="auto"/>
        <w:jc w:val="both"/>
        <w:rPr>
          <w:rFonts w:ascii="Palatino Linotype" w:hAnsi="Palatino Linotype"/>
          <w:lang w:val="es-MX"/>
        </w:rPr>
      </w:pPr>
      <w:r w:rsidRPr="00073779">
        <w:rPr>
          <w:rFonts w:ascii="Palatino Linotype" w:hAnsi="Palatino Linotype"/>
          <w:lang w:val="es-MX"/>
        </w:rPr>
        <w:t xml:space="preserve">Así, una vez abierta la etapa de instrucción, en el sumario se observa que </w:t>
      </w:r>
      <w:r w:rsidRPr="00073779">
        <w:rPr>
          <w:rFonts w:ascii="Palatino Linotype" w:hAnsi="Palatino Linotype"/>
          <w:b/>
          <w:bCs/>
          <w:lang w:val="es-MX"/>
        </w:rPr>
        <w:t>el Sujeto Obligado</w:t>
      </w:r>
      <w:r w:rsidRPr="00073779">
        <w:rPr>
          <w:rFonts w:ascii="Palatino Linotype" w:hAnsi="Palatino Linotype"/>
          <w:lang w:val="es-MX"/>
        </w:rPr>
        <w:t xml:space="preserve"> en fecha </w:t>
      </w:r>
      <w:r w:rsidR="00066CFD">
        <w:rPr>
          <w:rFonts w:ascii="Palatino Linotype" w:hAnsi="Palatino Linotype"/>
          <w:lang w:val="es-MX"/>
        </w:rPr>
        <w:t>veintitrés de marzo</w:t>
      </w:r>
      <w:r w:rsidRPr="00073779">
        <w:rPr>
          <w:rFonts w:ascii="Palatino Linotype" w:hAnsi="Palatino Linotype"/>
          <w:lang w:val="es-MX"/>
        </w:rPr>
        <w:t xml:space="preserve">, presentó su informe justificado, dicho Informe </w:t>
      </w:r>
      <w:r w:rsidR="00066CFD">
        <w:rPr>
          <w:rFonts w:ascii="Palatino Linotype" w:hAnsi="Palatino Linotype"/>
          <w:lang w:val="es-MX"/>
        </w:rPr>
        <w:t>se puso</w:t>
      </w:r>
      <w:r w:rsidRPr="00073779">
        <w:rPr>
          <w:rFonts w:ascii="Palatino Linotype" w:hAnsi="Palatino Linotype"/>
          <w:lang w:val="es-MX"/>
        </w:rPr>
        <w:t xml:space="preserve"> a la vista del </w:t>
      </w:r>
      <w:r w:rsidRPr="00073779">
        <w:rPr>
          <w:rFonts w:ascii="Palatino Linotype" w:hAnsi="Palatino Linotype"/>
          <w:b/>
          <w:bCs/>
          <w:lang w:val="es-MX"/>
        </w:rPr>
        <w:t>Recurrente</w:t>
      </w:r>
      <w:r w:rsidRPr="00073779">
        <w:rPr>
          <w:rFonts w:ascii="Palatino Linotype" w:hAnsi="Palatino Linotype"/>
          <w:lang w:val="es-MX"/>
        </w:rPr>
        <w:t xml:space="preserve"> mediante acuerdo de fecha </w:t>
      </w:r>
      <w:r w:rsidR="00E21FD0">
        <w:rPr>
          <w:rFonts w:ascii="Palatino Linotype" w:hAnsi="Palatino Linotype"/>
          <w:lang w:val="es-MX"/>
        </w:rPr>
        <w:t>v</w:t>
      </w:r>
      <w:r w:rsidR="00066CFD">
        <w:rPr>
          <w:rFonts w:ascii="Palatino Linotype" w:hAnsi="Palatino Linotype"/>
          <w:lang w:val="es-MX"/>
        </w:rPr>
        <w:t>eintitrés de marzo de dos mil veintidós</w:t>
      </w:r>
      <w:r w:rsidRPr="00073779">
        <w:rPr>
          <w:rFonts w:ascii="Palatino Linotype" w:hAnsi="Palatino Linotype"/>
          <w:lang w:val="es-MX"/>
        </w:rPr>
        <w:t xml:space="preserve">, para que en un término de tres días el </w:t>
      </w:r>
      <w:r w:rsidRPr="00073779">
        <w:rPr>
          <w:rFonts w:ascii="Palatino Linotype" w:hAnsi="Palatino Linotype"/>
          <w:b/>
          <w:bCs/>
          <w:lang w:val="es-MX"/>
        </w:rPr>
        <w:t>Recurrente</w:t>
      </w:r>
      <w:r w:rsidRPr="00073779">
        <w:rPr>
          <w:rFonts w:ascii="Palatino Linotype" w:hAnsi="Palatino Linotype"/>
          <w:lang w:val="es-MX"/>
        </w:rPr>
        <w:t xml:space="preserve"> adujera manifestaciones; asimismo, se hace constar que el </w:t>
      </w:r>
      <w:r w:rsidRPr="00073779">
        <w:rPr>
          <w:rFonts w:ascii="Palatino Linotype" w:hAnsi="Palatino Linotype"/>
          <w:b/>
          <w:bCs/>
          <w:lang w:val="es-MX"/>
        </w:rPr>
        <w:t>Recurrente</w:t>
      </w:r>
      <w:r w:rsidRPr="00073779">
        <w:rPr>
          <w:rFonts w:ascii="Palatino Linotype" w:hAnsi="Palatino Linotype"/>
          <w:lang w:val="es-MX"/>
        </w:rPr>
        <w:t xml:space="preserve"> fue omiso en presentar sus manifestaciones respecto al informe justificado remitido por </w:t>
      </w:r>
      <w:r w:rsidRPr="00073779">
        <w:rPr>
          <w:rFonts w:ascii="Palatino Linotype" w:hAnsi="Palatino Linotype"/>
          <w:b/>
          <w:bCs/>
          <w:lang w:val="es-MX"/>
        </w:rPr>
        <w:t>el Sujeto Obligado</w:t>
      </w:r>
      <w:r w:rsidRPr="00073779">
        <w:rPr>
          <w:rFonts w:ascii="Palatino Linotype" w:hAnsi="Palatino Linotype"/>
          <w:lang w:val="es-MX"/>
        </w:rPr>
        <w:t>, finalmente se advierte de las constancias que integran el presente expediente, que no existe prueba alguna que deba desahogarse.</w:t>
      </w:r>
    </w:p>
    <w:p w14:paraId="2FFA296B" w14:textId="77777777" w:rsidR="00220EE7" w:rsidRDefault="00220EE7" w:rsidP="00D27E5B">
      <w:pPr>
        <w:spacing w:line="360" w:lineRule="auto"/>
        <w:jc w:val="both"/>
        <w:rPr>
          <w:rFonts w:ascii="Palatino Linotype" w:hAnsi="Palatino Linotype"/>
          <w:b/>
          <w:sz w:val="28"/>
          <w:szCs w:val="28"/>
        </w:rPr>
      </w:pPr>
    </w:p>
    <w:p w14:paraId="6878CCBD" w14:textId="2EB9FBB5" w:rsidR="00D27E5B" w:rsidRPr="00D27E5B" w:rsidRDefault="00D27E5B" w:rsidP="00D27E5B">
      <w:pPr>
        <w:spacing w:line="360" w:lineRule="auto"/>
        <w:jc w:val="both"/>
        <w:rPr>
          <w:rFonts w:ascii="Palatino Linotype" w:hAnsi="Palatino Linotype"/>
          <w:b/>
          <w:sz w:val="28"/>
          <w:szCs w:val="28"/>
        </w:rPr>
      </w:pPr>
      <w:r w:rsidRPr="00D27E5B">
        <w:rPr>
          <w:rFonts w:ascii="Palatino Linotype" w:hAnsi="Palatino Linotype"/>
          <w:b/>
          <w:sz w:val="28"/>
          <w:szCs w:val="28"/>
        </w:rPr>
        <w:lastRenderedPageBreak/>
        <w:t>SEXTO. Del cierre de instrucción.</w:t>
      </w:r>
      <w:r w:rsidRPr="00D27E5B">
        <w:rPr>
          <w:rFonts w:ascii="Palatino Linotype" w:hAnsi="Palatino Linotype"/>
          <w:b/>
          <w:sz w:val="28"/>
          <w:szCs w:val="28"/>
        </w:rPr>
        <w:tab/>
      </w:r>
    </w:p>
    <w:p w14:paraId="7D5351C9" w14:textId="009AF0E2" w:rsidR="00D27E5B" w:rsidRPr="00D27E5B" w:rsidRDefault="00D27E5B" w:rsidP="00D27E5B">
      <w:pPr>
        <w:spacing w:line="360" w:lineRule="auto"/>
        <w:jc w:val="both"/>
        <w:rPr>
          <w:rFonts w:ascii="Palatino Linotype" w:hAnsi="Palatino Linotype"/>
        </w:rPr>
      </w:pPr>
      <w:r w:rsidRPr="00D27E5B">
        <w:rPr>
          <w:rFonts w:ascii="Palatino Linotype" w:hAnsi="Palatino Linotype"/>
        </w:rPr>
        <w:t xml:space="preserve">Así, una vez transcurrido el término legal, se decretó el cierre de instrucción en fecha </w:t>
      </w:r>
      <w:r w:rsidR="00066CFD">
        <w:rPr>
          <w:rFonts w:ascii="Palatino Linotype" w:hAnsi="Palatino Linotype"/>
        </w:rPr>
        <w:t>doce de mayo</w:t>
      </w:r>
      <w:r w:rsidR="00E21FD0">
        <w:rPr>
          <w:rFonts w:ascii="Palatino Linotype" w:hAnsi="Palatino Linotype"/>
        </w:rPr>
        <w:t xml:space="preserve"> de dos mil veintidós</w:t>
      </w:r>
      <w:r w:rsidRPr="00D27E5B">
        <w:rPr>
          <w:rFonts w:ascii="Palatino Linotype" w:hAnsi="Palatino Linotype"/>
        </w:rPr>
        <w:t>, en términos del artículo 185 Fracción VI de la Ley de Transparencia y Acceso a la Información Pública del Estado de México y Municipios, iniciando el término legal para dictar resolución definitiva del asunto.</w:t>
      </w:r>
    </w:p>
    <w:p w14:paraId="437645E0" w14:textId="77777777" w:rsidR="00220EE7" w:rsidRPr="00220EE7" w:rsidRDefault="00220EE7" w:rsidP="00220EE7">
      <w:pPr>
        <w:spacing w:line="360" w:lineRule="auto"/>
        <w:jc w:val="both"/>
        <w:rPr>
          <w:rFonts w:ascii="Palatino Linotype" w:hAnsi="Palatino Linotype"/>
          <w:b/>
          <w:sz w:val="28"/>
          <w:szCs w:val="28"/>
        </w:rPr>
      </w:pPr>
    </w:p>
    <w:p w14:paraId="6690F465" w14:textId="381973A5" w:rsidR="00220EE7" w:rsidRPr="00220EE7" w:rsidRDefault="00220EE7" w:rsidP="00220EE7">
      <w:pPr>
        <w:spacing w:line="360" w:lineRule="auto"/>
        <w:jc w:val="both"/>
        <w:rPr>
          <w:rFonts w:ascii="Palatino Linotype" w:hAnsi="Palatino Linotype" w:cs="Arial"/>
          <w:b/>
        </w:rPr>
      </w:pPr>
      <w:r w:rsidRPr="00220EE7">
        <w:rPr>
          <w:rFonts w:ascii="Palatino Linotype" w:hAnsi="Palatino Linotype"/>
          <w:b/>
          <w:sz w:val="28"/>
          <w:szCs w:val="28"/>
        </w:rPr>
        <w:t>SÉPTIMO</w:t>
      </w:r>
      <w:r w:rsidRPr="00220EE7">
        <w:rPr>
          <w:rFonts w:ascii="Palatino Linotype" w:hAnsi="Palatino Linotype" w:cs="Arial"/>
          <w:b/>
        </w:rPr>
        <w:t>. De la ampliación del término para resolver.</w:t>
      </w:r>
    </w:p>
    <w:p w14:paraId="318DC940" w14:textId="2797D9A5" w:rsidR="00BD28E3" w:rsidRPr="00220EE7" w:rsidRDefault="00220EE7" w:rsidP="00E21FD0">
      <w:pPr>
        <w:spacing w:before="120" w:line="360" w:lineRule="auto"/>
        <w:jc w:val="both"/>
        <w:rPr>
          <w:rFonts w:ascii="Palatino Linotype" w:hAnsi="Palatino Linotype" w:cs="Arial"/>
        </w:rPr>
      </w:pPr>
      <w:r w:rsidRPr="00220EE7">
        <w:rPr>
          <w:rFonts w:ascii="Palatino Linotype" w:hAnsi="Palatino Linotype" w:cs="Arial"/>
        </w:rPr>
        <w:t xml:space="preserve">En fecha </w:t>
      </w:r>
      <w:r w:rsidR="00563A4D">
        <w:rPr>
          <w:rFonts w:ascii="Palatino Linotype" w:hAnsi="Palatino Linotype" w:cs="Arial"/>
        </w:rPr>
        <w:t>tres de ma</w:t>
      </w:r>
      <w:r w:rsidR="00066CFD">
        <w:rPr>
          <w:rFonts w:ascii="Palatino Linotype" w:hAnsi="Palatino Linotype" w:cs="Arial"/>
        </w:rPr>
        <w:t>yo</w:t>
      </w:r>
      <w:r w:rsidR="00E21FD0">
        <w:rPr>
          <w:rFonts w:ascii="Palatino Linotype" w:hAnsi="Palatino Linotype" w:cs="Arial"/>
        </w:rPr>
        <w:t xml:space="preserve"> de dos mil veintidós</w:t>
      </w:r>
      <w:r w:rsidRPr="00220EE7">
        <w:rPr>
          <w:rFonts w:ascii="Palatino Linotype" w:hAnsi="Palatino Linotype" w:cs="Arial"/>
        </w:rPr>
        <w:t>, se amplió el término para resolver el recurso de revisión en términos del artículo 181 párrafo tercero de la Ley de Transparencia y Acceso a la Información Pública del Estado de México y Municipios por un plazo de quince días hábiles.</w:t>
      </w:r>
    </w:p>
    <w:p w14:paraId="276E592B" w14:textId="77777777" w:rsidR="003708E1" w:rsidRPr="00B21190" w:rsidRDefault="003708E1" w:rsidP="007B1512">
      <w:pPr>
        <w:pStyle w:val="Sinespaciado"/>
        <w:rPr>
          <w:sz w:val="2"/>
        </w:rPr>
      </w:pPr>
    </w:p>
    <w:p w14:paraId="4F5F93F2" w14:textId="77777777" w:rsidR="00D34057" w:rsidRPr="00B21190" w:rsidRDefault="00D34057" w:rsidP="00E91EE4">
      <w:pPr>
        <w:spacing w:before="240" w:line="360" w:lineRule="auto"/>
        <w:jc w:val="both"/>
        <w:rPr>
          <w:rFonts w:ascii="Palatino Linotype" w:hAnsi="Palatino Linotype" w:cs="Arial"/>
          <w:sz w:val="2"/>
        </w:rPr>
      </w:pPr>
    </w:p>
    <w:p w14:paraId="20BB9624" w14:textId="77777777" w:rsidR="00D34057" w:rsidRPr="00B21190" w:rsidRDefault="00D34057" w:rsidP="00E91EE4">
      <w:pPr>
        <w:spacing w:before="240" w:line="360" w:lineRule="auto"/>
        <w:jc w:val="center"/>
        <w:rPr>
          <w:rFonts w:ascii="Palatino Linotype" w:hAnsi="Palatino Linotype" w:cs="Arial"/>
          <w:b/>
          <w:sz w:val="28"/>
        </w:rPr>
      </w:pPr>
      <w:r w:rsidRPr="00B21190">
        <w:rPr>
          <w:rFonts w:ascii="Palatino Linotype" w:hAnsi="Palatino Linotype" w:cs="Arial"/>
          <w:b/>
          <w:sz w:val="28"/>
        </w:rPr>
        <w:t xml:space="preserve">C O N S I D E R A N D O </w:t>
      </w:r>
    </w:p>
    <w:p w14:paraId="43DC994D" w14:textId="77777777" w:rsidR="00BA55C8" w:rsidRPr="00B81A2B" w:rsidRDefault="00BA55C8" w:rsidP="00BA55C8">
      <w:pPr>
        <w:spacing w:line="360" w:lineRule="auto"/>
        <w:jc w:val="both"/>
        <w:rPr>
          <w:rFonts w:ascii="Palatino Linotype" w:hAnsi="Palatino Linotype" w:cs="Arial"/>
        </w:rPr>
      </w:pPr>
      <w:r w:rsidRPr="00B81A2B">
        <w:rPr>
          <w:rFonts w:ascii="Palatino Linotype" w:hAnsi="Palatino Linotype" w:cs="Arial"/>
          <w:b/>
          <w:sz w:val="28"/>
        </w:rPr>
        <w:t>PRIMERO.</w:t>
      </w:r>
      <w:r w:rsidRPr="00B81A2B">
        <w:rPr>
          <w:rFonts w:ascii="Palatino Linotype" w:hAnsi="Palatino Linotype" w:cs="Arial"/>
          <w:b/>
        </w:rPr>
        <w:t xml:space="preserve"> </w:t>
      </w:r>
      <w:r w:rsidRPr="00B81A2B">
        <w:rPr>
          <w:rFonts w:ascii="Palatino Linotype" w:hAnsi="Palatino Linotype" w:cs="Arial"/>
          <w:b/>
          <w:sz w:val="28"/>
          <w:szCs w:val="28"/>
        </w:rPr>
        <w:t>De la competencia</w:t>
      </w:r>
      <w:r w:rsidRPr="00B81A2B">
        <w:rPr>
          <w:rFonts w:ascii="Palatino Linotype" w:hAnsi="Palatino Linotype" w:cs="Arial"/>
          <w:sz w:val="28"/>
          <w:szCs w:val="28"/>
        </w:rPr>
        <w:t>.</w:t>
      </w:r>
    </w:p>
    <w:p w14:paraId="4B21AE6B" w14:textId="77777777" w:rsidR="004D6277" w:rsidRDefault="004D6277" w:rsidP="004D6277">
      <w:pPr>
        <w:spacing w:before="240" w:line="360" w:lineRule="auto"/>
        <w:jc w:val="both"/>
        <w:rPr>
          <w:rFonts w:ascii="Palatino Linotype" w:hAnsi="Palatino Linotype"/>
          <w:b/>
          <w:color w:val="000000" w:themeColor="text1"/>
        </w:rPr>
      </w:pPr>
      <w:r>
        <w:rPr>
          <w:rFonts w:ascii="Palatino Linotype" w:hAnsi="Palatino Linotype" w:cs="Arial"/>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rPr>
        <w:t xml:space="preserve">la parte recurrente </w:t>
      </w:r>
      <w:r>
        <w:rPr>
          <w:rFonts w:ascii="Palatino Linotype" w:hAnsi="Palatino Linotype" w:cs="Arial"/>
        </w:rPr>
        <w:t xml:space="preserve">conforme a lo dispuesto en los artículos 1, párrafos segundo y tercero, </w:t>
      </w:r>
      <w:r>
        <w:rPr>
          <w:rFonts w:ascii="Palatino Linotype" w:hAnsi="Palatino Linotype"/>
          <w:color w:val="000000" w:themeColor="text1"/>
        </w:rPr>
        <w:t xml:space="preserve">6, apartado A, fracción IV de la </w:t>
      </w:r>
      <w:r>
        <w:rPr>
          <w:rFonts w:ascii="Palatino Linotype" w:hAnsi="Palatino Linotype"/>
          <w:b/>
          <w:color w:val="000000" w:themeColor="text1"/>
        </w:rPr>
        <w:t>Constitución Política de los Estados Unidos Mexicanos</w:t>
      </w:r>
      <w:r>
        <w:rPr>
          <w:rFonts w:ascii="Palatino Linotype" w:hAnsi="Palatino Linotype"/>
          <w:color w:val="000000" w:themeColor="text1"/>
        </w:rPr>
        <w:t xml:space="preserve">; 5, párrafos trigésimo, trigésimo primero y trigésimo segundo, fracciones IV y V, de la </w:t>
      </w:r>
      <w:r>
        <w:rPr>
          <w:rFonts w:ascii="Palatino Linotype" w:hAnsi="Palatino Linotype"/>
          <w:b/>
          <w:color w:val="000000" w:themeColor="text1"/>
        </w:rPr>
        <w:t>Constitución Política del Estado Libre y Soberano de México</w:t>
      </w:r>
      <w:r>
        <w:rPr>
          <w:rFonts w:ascii="Palatino Linotype" w:hAnsi="Palatino Linotype"/>
          <w:color w:val="000000" w:themeColor="text1"/>
        </w:rPr>
        <w:t xml:space="preserve">; artículos 1, 2 fracción II, 13, 29, 36 fracciones I y II, 176, 178, 179, 181 párrafo tercero y 185 </w:t>
      </w:r>
      <w:r>
        <w:rPr>
          <w:rFonts w:ascii="Palatino Linotype" w:hAnsi="Palatino Linotype" w:cs="Arial"/>
          <w:color w:val="000000" w:themeColor="text1"/>
        </w:rPr>
        <w:t xml:space="preserve">de la </w:t>
      </w:r>
      <w:r>
        <w:rPr>
          <w:rFonts w:ascii="Palatino Linotype" w:hAnsi="Palatino Linotype" w:cs="Arial"/>
          <w:b/>
          <w:color w:val="000000" w:themeColor="text1"/>
        </w:rPr>
        <w:t>Ley de Transparencia y Acceso a la Información Pública del Estado de México y Municipios</w:t>
      </w:r>
      <w:r>
        <w:rPr>
          <w:rFonts w:ascii="Palatino Linotype" w:hAnsi="Palatino Linotype" w:cs="Arial"/>
          <w:color w:val="000000" w:themeColor="text1"/>
        </w:rPr>
        <w:t xml:space="preserve">; y 10, 7, 9 fracciones I y XXIV, y 11 del </w:t>
      </w:r>
      <w:r>
        <w:rPr>
          <w:rFonts w:ascii="Palatino Linotype" w:hAnsi="Palatino Linotype" w:cs="Arial"/>
          <w:b/>
          <w:color w:val="000000" w:themeColor="text1"/>
        </w:rPr>
        <w:t>Reglamento Interior del Instituto de Transparencia, Acceso a la Información Pública y Protección de Datos Personales del Estado de México y Municipios.</w:t>
      </w:r>
    </w:p>
    <w:p w14:paraId="6DC94A69" w14:textId="77777777" w:rsidR="003708E1" w:rsidRPr="00B21190" w:rsidRDefault="003708E1" w:rsidP="00E91EE4">
      <w:pPr>
        <w:spacing w:before="240" w:line="360" w:lineRule="auto"/>
        <w:jc w:val="both"/>
        <w:rPr>
          <w:rFonts w:ascii="Palatino Linotype" w:hAnsi="Palatino Linotype" w:cs="Arial"/>
        </w:rPr>
      </w:pPr>
    </w:p>
    <w:p w14:paraId="5E3884DF" w14:textId="77777777" w:rsidR="00D34057" w:rsidRPr="00B21190" w:rsidRDefault="00D34057" w:rsidP="007B1512">
      <w:pPr>
        <w:pStyle w:val="Prrafodelista"/>
        <w:autoSpaceDE w:val="0"/>
        <w:autoSpaceDN w:val="0"/>
        <w:adjustRightInd w:val="0"/>
        <w:spacing w:line="360" w:lineRule="auto"/>
        <w:ind w:left="0"/>
        <w:jc w:val="both"/>
        <w:rPr>
          <w:rFonts w:ascii="Palatino Linotype" w:hAnsi="Palatino Linotype" w:cs="Arial"/>
          <w:b/>
        </w:rPr>
      </w:pPr>
      <w:r w:rsidRPr="00B21190">
        <w:rPr>
          <w:rFonts w:ascii="Palatino Linotype" w:hAnsi="Palatino Linotype" w:cs="Arial"/>
          <w:b/>
          <w:sz w:val="28"/>
        </w:rPr>
        <w:t>SEGUNDO</w:t>
      </w:r>
      <w:r w:rsidRPr="00B21190">
        <w:rPr>
          <w:rFonts w:ascii="Palatino Linotype" w:hAnsi="Palatino Linotype" w:cs="Arial"/>
          <w:b/>
        </w:rPr>
        <w:t xml:space="preserve">. </w:t>
      </w:r>
      <w:r w:rsidRPr="00B21190">
        <w:rPr>
          <w:rFonts w:ascii="Palatino Linotype" w:hAnsi="Palatino Linotype" w:cs="Arial"/>
          <w:b/>
          <w:sz w:val="28"/>
          <w:szCs w:val="28"/>
        </w:rPr>
        <w:t>Sobre los alcances del recurso de revisión.</w:t>
      </w:r>
      <w:r w:rsidRPr="00B21190">
        <w:rPr>
          <w:rFonts w:ascii="Palatino Linotype" w:hAnsi="Palatino Linotype" w:cs="Arial"/>
          <w:b/>
        </w:rPr>
        <w:t xml:space="preserve"> </w:t>
      </w:r>
    </w:p>
    <w:p w14:paraId="394E3A0D" w14:textId="04FC6202" w:rsidR="00A47E40" w:rsidRDefault="00D34057" w:rsidP="007B1512">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148A9EF" w14:textId="3BAC3368" w:rsidR="00A746AA" w:rsidRDefault="00A746AA" w:rsidP="007B1512">
      <w:pPr>
        <w:pStyle w:val="Prrafodelista"/>
        <w:autoSpaceDE w:val="0"/>
        <w:autoSpaceDN w:val="0"/>
        <w:adjustRightInd w:val="0"/>
        <w:spacing w:line="360" w:lineRule="auto"/>
        <w:ind w:left="0"/>
        <w:jc w:val="both"/>
        <w:rPr>
          <w:rFonts w:ascii="Palatino Linotype" w:hAnsi="Palatino Linotype" w:cs="Arial"/>
        </w:rPr>
      </w:pPr>
    </w:p>
    <w:p w14:paraId="3286A933" w14:textId="77777777" w:rsidR="00A746AA" w:rsidRPr="00161CEB" w:rsidRDefault="00A746AA" w:rsidP="00A746AA">
      <w:pPr>
        <w:autoSpaceDE w:val="0"/>
        <w:autoSpaceDN w:val="0"/>
        <w:adjustRightInd w:val="0"/>
        <w:spacing w:line="360" w:lineRule="auto"/>
        <w:jc w:val="both"/>
        <w:rPr>
          <w:rFonts w:ascii="Palatino Linotype" w:hAnsi="Palatino Linotype" w:cs="Arial"/>
          <w:b/>
        </w:rPr>
      </w:pPr>
      <w:r w:rsidRPr="00161CEB">
        <w:rPr>
          <w:rFonts w:ascii="Palatino Linotype" w:hAnsi="Palatino Linotype" w:cs="Arial"/>
          <w:b/>
          <w:sz w:val="28"/>
        </w:rPr>
        <w:t>TERCERO. Cuestiones de previo y especial pronunciamiento</w:t>
      </w:r>
      <w:r w:rsidRPr="00161CEB">
        <w:rPr>
          <w:rFonts w:ascii="Palatino Linotype" w:hAnsi="Palatino Linotype" w:cs="Arial"/>
          <w:b/>
        </w:rPr>
        <w:t>.</w:t>
      </w:r>
    </w:p>
    <w:p w14:paraId="7315CAA3" w14:textId="77777777" w:rsidR="00A746AA" w:rsidRPr="00161CEB" w:rsidRDefault="00A746AA" w:rsidP="00A746AA">
      <w:pPr>
        <w:autoSpaceDE w:val="0"/>
        <w:autoSpaceDN w:val="0"/>
        <w:adjustRightInd w:val="0"/>
        <w:spacing w:line="360" w:lineRule="auto"/>
        <w:jc w:val="both"/>
        <w:rPr>
          <w:rFonts w:ascii="Palatino Linotype" w:hAnsi="Palatino Linotype" w:cs="Arial"/>
          <w:sz w:val="28"/>
        </w:rPr>
      </w:pPr>
      <w:r w:rsidRPr="00161CEB">
        <w:rPr>
          <w:rFonts w:ascii="Palatino Linotype" w:hAnsi="Palatino Linotype" w:cs="Arial"/>
        </w:rPr>
        <w:t xml:space="preserve">El Recurso de Revisión en estudio contiene los elementos normativos de validez exigidos en </w:t>
      </w:r>
      <w:r w:rsidRPr="00161CEB">
        <w:rPr>
          <w:rFonts w:ascii="Palatino Linotype" w:hAnsi="Palatino Linotype"/>
        </w:rPr>
        <w:t xml:space="preserve">la Ley de Transparencia y </w:t>
      </w:r>
      <w:r w:rsidRPr="00161CEB">
        <w:rPr>
          <w:rFonts w:ascii="Palatino Linotype" w:hAnsi="Palatino Linotype" w:cs="Arial"/>
          <w:lang w:val="es-ES_tradnl"/>
        </w:rPr>
        <w:t>Acceso a la Información Pública del Estado de México y Municipios</w:t>
      </w:r>
      <w:r w:rsidRPr="00161CEB">
        <w:rPr>
          <w:rFonts w:ascii="Palatino Linotype" w:hAnsi="Palatino Linotype"/>
        </w:rPr>
        <w:t>, establecidos en el artículo 180, que enuncia:</w:t>
      </w:r>
    </w:p>
    <w:p w14:paraId="260BC980" w14:textId="77777777" w:rsidR="00A746AA" w:rsidRPr="00161CEB" w:rsidRDefault="00A746AA" w:rsidP="00A746AA">
      <w:pPr>
        <w:pStyle w:val="Sinespaciado"/>
      </w:pPr>
    </w:p>
    <w:p w14:paraId="2D3DF7C3" w14:textId="77777777" w:rsidR="00A746AA" w:rsidRPr="00161CEB" w:rsidRDefault="00A746AA" w:rsidP="00A746AA">
      <w:pPr>
        <w:pStyle w:val="Prrafodelista"/>
        <w:ind w:left="851" w:right="1275"/>
        <w:jc w:val="both"/>
        <w:rPr>
          <w:rFonts w:ascii="Palatino Linotype" w:hAnsi="Palatino Linotype" w:cs="Arial"/>
          <w:i/>
          <w:sz w:val="22"/>
        </w:rPr>
      </w:pPr>
      <w:r w:rsidRPr="00161CEB">
        <w:rPr>
          <w:rFonts w:ascii="Palatino Linotype" w:hAnsi="Palatino Linotype" w:cs="Arial"/>
          <w:b/>
          <w:i/>
          <w:sz w:val="22"/>
        </w:rPr>
        <w:t xml:space="preserve">“Artículo 180. </w:t>
      </w:r>
      <w:r w:rsidRPr="00161CEB">
        <w:rPr>
          <w:rFonts w:ascii="Palatino Linotype" w:hAnsi="Palatino Linotype" w:cs="Arial"/>
          <w:i/>
          <w:sz w:val="22"/>
        </w:rPr>
        <w:t>El recurso de revisión contendrá:</w:t>
      </w:r>
    </w:p>
    <w:p w14:paraId="3D56B986" w14:textId="77777777" w:rsidR="00A746AA" w:rsidRPr="00161CEB" w:rsidRDefault="00A746AA" w:rsidP="00A746AA">
      <w:pPr>
        <w:pStyle w:val="Prrafodelista"/>
        <w:ind w:left="851" w:right="1275"/>
        <w:jc w:val="both"/>
        <w:rPr>
          <w:rFonts w:ascii="Palatino Linotype" w:hAnsi="Palatino Linotype" w:cs="Arial"/>
          <w:i/>
          <w:sz w:val="22"/>
        </w:rPr>
      </w:pPr>
      <w:r w:rsidRPr="00161CEB">
        <w:rPr>
          <w:rFonts w:ascii="Palatino Linotype" w:hAnsi="Palatino Linotype" w:cs="Arial"/>
          <w:i/>
          <w:sz w:val="22"/>
        </w:rPr>
        <w:t>I. El sujeto obligado ante la cual se presentó la solicitud;</w:t>
      </w:r>
    </w:p>
    <w:p w14:paraId="431820AC" w14:textId="77777777" w:rsidR="00A746AA" w:rsidRPr="00161CEB" w:rsidRDefault="00A746AA" w:rsidP="00A746AA">
      <w:pPr>
        <w:pStyle w:val="Prrafodelista"/>
        <w:ind w:left="851" w:right="1275"/>
        <w:jc w:val="both"/>
        <w:rPr>
          <w:rFonts w:ascii="Palatino Linotype" w:hAnsi="Palatino Linotype" w:cs="Arial"/>
          <w:i/>
          <w:sz w:val="22"/>
        </w:rPr>
      </w:pPr>
      <w:r w:rsidRPr="00161CEB">
        <w:rPr>
          <w:rFonts w:ascii="Palatino Linotype" w:hAnsi="Palatino Linotype" w:cs="Arial"/>
          <w:b/>
          <w:i/>
          <w:sz w:val="22"/>
        </w:rPr>
        <w:t>II. El nombre del solicitante que recurre</w:t>
      </w:r>
      <w:r w:rsidRPr="00161CEB">
        <w:rPr>
          <w:rFonts w:ascii="Palatino Linotype" w:hAnsi="Palatino Linotype" w:cs="Arial"/>
          <w:i/>
          <w:sz w:val="22"/>
        </w:rPr>
        <w:t xml:space="preserve"> o de su representante y, en su caso, del tercero interesado, así como la dirección o medio que señale para recibir notificaciones;</w:t>
      </w:r>
    </w:p>
    <w:p w14:paraId="0FAA3BE8" w14:textId="77777777" w:rsidR="00A746AA" w:rsidRPr="00161CEB" w:rsidRDefault="00A746AA" w:rsidP="00A746AA">
      <w:pPr>
        <w:pStyle w:val="Prrafodelista"/>
        <w:ind w:left="851" w:right="1275"/>
        <w:jc w:val="both"/>
        <w:rPr>
          <w:rFonts w:ascii="Palatino Linotype" w:hAnsi="Palatino Linotype" w:cs="Arial"/>
          <w:i/>
          <w:sz w:val="22"/>
        </w:rPr>
      </w:pPr>
      <w:r w:rsidRPr="00161CEB">
        <w:rPr>
          <w:rFonts w:ascii="Palatino Linotype" w:hAnsi="Palatino Linotype" w:cs="Arial"/>
          <w:i/>
          <w:sz w:val="22"/>
        </w:rPr>
        <w:t>III. El número de folio de respuesta de la solicitud de acceso;</w:t>
      </w:r>
    </w:p>
    <w:p w14:paraId="10C8E975" w14:textId="77777777" w:rsidR="00A746AA" w:rsidRPr="00161CEB" w:rsidRDefault="00A746AA" w:rsidP="00A746AA">
      <w:pPr>
        <w:pStyle w:val="Prrafodelista"/>
        <w:ind w:left="851" w:right="1275"/>
        <w:jc w:val="both"/>
        <w:rPr>
          <w:rFonts w:ascii="Palatino Linotype" w:hAnsi="Palatino Linotype" w:cs="Arial"/>
          <w:i/>
          <w:sz w:val="22"/>
        </w:rPr>
      </w:pPr>
      <w:r w:rsidRPr="00161CEB">
        <w:rPr>
          <w:rFonts w:ascii="Palatino Linotype" w:hAnsi="Palatino Linotype" w:cs="Arial"/>
          <w:i/>
          <w:sz w:val="22"/>
        </w:rPr>
        <w:t>IV. La fecha en que fue notificada la respuesta al solicitante o tuvo conocimiento del acto reclamado, o de presentación de la solicitud, en caso de falta de respuesta;</w:t>
      </w:r>
    </w:p>
    <w:p w14:paraId="06B0ED7F" w14:textId="77777777" w:rsidR="00A746AA" w:rsidRPr="00161CEB" w:rsidRDefault="00A746AA" w:rsidP="00A746AA">
      <w:pPr>
        <w:pStyle w:val="Prrafodelista"/>
        <w:ind w:left="851" w:right="1275"/>
        <w:jc w:val="both"/>
        <w:rPr>
          <w:rFonts w:ascii="Palatino Linotype" w:hAnsi="Palatino Linotype" w:cs="Arial"/>
          <w:i/>
          <w:sz w:val="22"/>
        </w:rPr>
      </w:pPr>
      <w:r w:rsidRPr="00161CEB">
        <w:rPr>
          <w:rFonts w:ascii="Palatino Linotype" w:hAnsi="Palatino Linotype" w:cs="Arial"/>
          <w:i/>
          <w:sz w:val="22"/>
        </w:rPr>
        <w:t>V. El acto que se recurre;</w:t>
      </w:r>
    </w:p>
    <w:p w14:paraId="4C93D942" w14:textId="77777777" w:rsidR="00A746AA" w:rsidRPr="00161CEB" w:rsidRDefault="00A746AA" w:rsidP="00A746AA">
      <w:pPr>
        <w:pStyle w:val="Prrafodelista"/>
        <w:ind w:left="851" w:right="1275"/>
        <w:jc w:val="both"/>
        <w:rPr>
          <w:rFonts w:ascii="Palatino Linotype" w:hAnsi="Palatino Linotype" w:cs="Arial"/>
          <w:i/>
          <w:sz w:val="22"/>
        </w:rPr>
      </w:pPr>
      <w:r w:rsidRPr="00161CEB">
        <w:rPr>
          <w:rFonts w:ascii="Palatino Linotype" w:hAnsi="Palatino Linotype" w:cs="Arial"/>
          <w:i/>
          <w:sz w:val="22"/>
        </w:rPr>
        <w:t>VI. Las razones o motivos de inconformidad;</w:t>
      </w:r>
    </w:p>
    <w:p w14:paraId="5F0294B0" w14:textId="77777777" w:rsidR="00A746AA" w:rsidRPr="00161CEB" w:rsidRDefault="00A746AA" w:rsidP="00A746AA">
      <w:pPr>
        <w:pStyle w:val="Prrafodelista"/>
        <w:ind w:left="851" w:right="1275"/>
        <w:jc w:val="both"/>
        <w:rPr>
          <w:rFonts w:ascii="Palatino Linotype" w:hAnsi="Palatino Linotype" w:cs="Arial"/>
          <w:i/>
          <w:sz w:val="22"/>
        </w:rPr>
      </w:pPr>
      <w:r w:rsidRPr="00161CEB">
        <w:rPr>
          <w:rFonts w:ascii="Palatino Linotype" w:hAnsi="Palatino Linotype" w:cs="Arial"/>
          <w:i/>
          <w:sz w:val="22"/>
        </w:rPr>
        <w:t>VII. La copia de la respuesta que se impugna y, en su caso, de la notificación correspondiente, en el caso de respuesta de la solicitud; y</w:t>
      </w:r>
    </w:p>
    <w:p w14:paraId="010F0A5E" w14:textId="77777777" w:rsidR="00A746AA" w:rsidRPr="00161CEB" w:rsidRDefault="00A746AA" w:rsidP="00A746AA">
      <w:pPr>
        <w:pStyle w:val="Prrafodelista"/>
        <w:ind w:left="851" w:right="1275"/>
        <w:jc w:val="both"/>
        <w:rPr>
          <w:rFonts w:ascii="Palatino Linotype" w:hAnsi="Palatino Linotype" w:cs="Arial"/>
          <w:i/>
          <w:sz w:val="22"/>
        </w:rPr>
      </w:pPr>
      <w:r w:rsidRPr="00161CEB">
        <w:rPr>
          <w:rFonts w:ascii="Palatino Linotype" w:hAnsi="Palatino Linotype" w:cs="Arial"/>
          <w:i/>
          <w:sz w:val="22"/>
        </w:rPr>
        <w:t>VIII. Firma del recurrente, en su caso, cuando se presente por escrito, requisito sin el cual se dará trámite al recurso.</w:t>
      </w:r>
    </w:p>
    <w:p w14:paraId="390D773D" w14:textId="77777777" w:rsidR="00A746AA" w:rsidRPr="00161CEB" w:rsidRDefault="00A746AA" w:rsidP="00A746AA">
      <w:pPr>
        <w:pStyle w:val="Prrafodelista"/>
        <w:ind w:left="851" w:right="1275"/>
        <w:jc w:val="both"/>
        <w:rPr>
          <w:rFonts w:ascii="Palatino Linotype" w:hAnsi="Palatino Linotype" w:cs="Arial"/>
          <w:i/>
          <w:sz w:val="22"/>
        </w:rPr>
      </w:pPr>
    </w:p>
    <w:p w14:paraId="54A436C0" w14:textId="77777777" w:rsidR="00A746AA" w:rsidRPr="00161CEB" w:rsidRDefault="00A746AA" w:rsidP="00A746AA">
      <w:pPr>
        <w:pStyle w:val="Prrafodelista"/>
        <w:ind w:left="851" w:right="1275"/>
        <w:jc w:val="both"/>
        <w:rPr>
          <w:rFonts w:ascii="Palatino Linotype" w:hAnsi="Palatino Linotype" w:cs="Arial"/>
          <w:i/>
          <w:sz w:val="22"/>
        </w:rPr>
      </w:pPr>
      <w:r w:rsidRPr="00161CEB">
        <w:rPr>
          <w:rFonts w:ascii="Palatino Linotype" w:hAnsi="Palatino Linotype" w:cs="Arial"/>
          <w:i/>
          <w:sz w:val="22"/>
        </w:rPr>
        <w:t>Adicionalmente, se podrán anexar las pruebas y demás elementos que considere procedentes someter a juicio del Instituto.</w:t>
      </w:r>
    </w:p>
    <w:p w14:paraId="3AD55604" w14:textId="77777777" w:rsidR="00A746AA" w:rsidRPr="00161CEB" w:rsidRDefault="00A746AA" w:rsidP="00A746AA">
      <w:pPr>
        <w:pStyle w:val="Prrafodelista"/>
        <w:ind w:left="851" w:right="1275"/>
        <w:jc w:val="both"/>
        <w:rPr>
          <w:rFonts w:ascii="Palatino Linotype" w:hAnsi="Palatino Linotype" w:cs="Arial"/>
          <w:i/>
          <w:sz w:val="22"/>
        </w:rPr>
      </w:pPr>
    </w:p>
    <w:p w14:paraId="2551B15E" w14:textId="77777777" w:rsidR="00A746AA" w:rsidRPr="00161CEB" w:rsidRDefault="00A746AA" w:rsidP="00A746AA">
      <w:pPr>
        <w:pStyle w:val="Prrafodelista"/>
        <w:ind w:left="851" w:right="1275"/>
        <w:jc w:val="both"/>
        <w:rPr>
          <w:rFonts w:ascii="Palatino Linotype" w:hAnsi="Palatino Linotype" w:cs="Arial"/>
          <w:i/>
          <w:sz w:val="22"/>
        </w:rPr>
      </w:pPr>
      <w:r w:rsidRPr="00161CEB">
        <w:rPr>
          <w:rFonts w:ascii="Palatino Linotype" w:hAnsi="Palatino Linotype" w:cs="Arial"/>
          <w:i/>
          <w:sz w:val="22"/>
        </w:rPr>
        <w:t>En ningún caso será necesario que el particular ratifique el recurso de revisión interpuesto.</w:t>
      </w:r>
    </w:p>
    <w:p w14:paraId="4A0E3BCA" w14:textId="77777777" w:rsidR="00A746AA" w:rsidRPr="00161CEB" w:rsidRDefault="00A746AA" w:rsidP="00A746AA">
      <w:pPr>
        <w:pStyle w:val="Prrafodelista"/>
        <w:ind w:left="851" w:right="1275"/>
        <w:jc w:val="both"/>
        <w:rPr>
          <w:rFonts w:ascii="Palatino Linotype" w:hAnsi="Palatino Linotype" w:cs="Arial"/>
          <w:i/>
          <w:sz w:val="22"/>
        </w:rPr>
      </w:pPr>
    </w:p>
    <w:p w14:paraId="1F1889A7" w14:textId="77777777" w:rsidR="00A746AA" w:rsidRPr="00161CEB" w:rsidRDefault="00A746AA" w:rsidP="00A746AA">
      <w:pPr>
        <w:pStyle w:val="Prrafodelista"/>
        <w:ind w:left="851" w:right="1275"/>
        <w:jc w:val="both"/>
        <w:rPr>
          <w:rFonts w:ascii="Palatino Linotype" w:hAnsi="Palatino Linotype" w:cs="Arial"/>
          <w:i/>
          <w:sz w:val="22"/>
        </w:rPr>
      </w:pPr>
      <w:r w:rsidRPr="00161CEB">
        <w:rPr>
          <w:rFonts w:ascii="Palatino Linotype" w:hAnsi="Palatino Linotype" w:cs="Arial"/>
          <w:b/>
          <w:i/>
          <w:sz w:val="22"/>
        </w:rPr>
        <w:t>En caso de que el recurso se interponga de manera electrónica no será indispensable que contengan los requisitos establecidos en las fracciones II</w:t>
      </w:r>
      <w:r w:rsidRPr="00161CEB">
        <w:rPr>
          <w:rFonts w:ascii="Palatino Linotype" w:hAnsi="Palatino Linotype" w:cs="Arial"/>
          <w:i/>
          <w:sz w:val="22"/>
        </w:rPr>
        <w:t>, IV, VII y VIII.”</w:t>
      </w:r>
    </w:p>
    <w:p w14:paraId="0B659A45" w14:textId="77777777" w:rsidR="00A746AA" w:rsidRPr="004008E2" w:rsidRDefault="00A746AA" w:rsidP="00A746AA">
      <w:pPr>
        <w:pStyle w:val="Prrafodelista"/>
        <w:ind w:left="851"/>
        <w:jc w:val="right"/>
        <w:rPr>
          <w:rFonts w:ascii="Palatino Linotype" w:hAnsi="Palatino Linotype" w:cs="Arial"/>
          <w:b/>
          <w:i/>
          <w:sz w:val="20"/>
        </w:rPr>
      </w:pPr>
      <w:r w:rsidRPr="00161CEB">
        <w:rPr>
          <w:rFonts w:ascii="Palatino Linotype" w:hAnsi="Palatino Linotype" w:cs="Arial"/>
          <w:b/>
          <w:i/>
          <w:sz w:val="20"/>
        </w:rPr>
        <w:t>[Énfasis añadido]</w:t>
      </w:r>
    </w:p>
    <w:p w14:paraId="53DC114C" w14:textId="77777777" w:rsidR="00A746AA" w:rsidRDefault="00A746AA" w:rsidP="00A746AA">
      <w:pPr>
        <w:spacing w:line="360" w:lineRule="auto"/>
        <w:jc w:val="both"/>
        <w:rPr>
          <w:rFonts w:ascii="Palatino Linotype" w:eastAsia="Calibri" w:hAnsi="Palatino Linotype" w:cs="Segoe UI"/>
        </w:rPr>
      </w:pPr>
    </w:p>
    <w:p w14:paraId="3C906E58" w14:textId="7E6951B5" w:rsidR="00A746AA" w:rsidRDefault="00A746AA" w:rsidP="00A746AA">
      <w:pPr>
        <w:spacing w:line="360" w:lineRule="auto"/>
        <w:jc w:val="both"/>
        <w:rPr>
          <w:rFonts w:ascii="Palatino Linotype" w:eastAsia="Calibri" w:hAnsi="Palatino Linotype" w:cs="Arial"/>
        </w:rPr>
      </w:pPr>
      <w:r w:rsidRPr="00161CEB">
        <w:rPr>
          <w:rFonts w:ascii="Palatino Linotype" w:eastAsia="Calibri" w:hAnsi="Palatino Linotype" w:cs="Segoe UI"/>
        </w:rPr>
        <w:t xml:space="preserve">Cabe señalar que </w:t>
      </w:r>
      <w:r w:rsidRPr="00161CEB">
        <w:rPr>
          <w:rFonts w:ascii="Palatino Linotype" w:eastAsia="Calibri" w:hAnsi="Palatino Linotype" w:cs="Segoe UI"/>
          <w:b/>
        </w:rPr>
        <w:t xml:space="preserve">El Recurrente </w:t>
      </w:r>
      <w:r w:rsidRPr="00161CEB">
        <w:rPr>
          <w:rFonts w:ascii="Palatino Linotype" w:eastAsia="Calibri" w:hAnsi="Palatino Linotype" w:cs="Segoe UI"/>
        </w:rPr>
        <w:t>se identifica</w:t>
      </w:r>
      <w:r>
        <w:rPr>
          <w:rFonts w:ascii="Palatino Linotype" w:eastAsia="Calibri" w:hAnsi="Palatino Linotype" w:cs="Segoe UI"/>
        </w:rPr>
        <w:t xml:space="preserve"> como “</w:t>
      </w:r>
      <w:r w:rsidR="00E137B7" w:rsidRPr="00E137B7">
        <w:rPr>
          <w:rFonts w:ascii="Palatino Linotype" w:eastAsia="Calibri" w:hAnsi="Palatino Linotype" w:cs="Segoe UI"/>
          <w:b/>
          <w:bCs/>
        </w:rPr>
        <w:t>opdm cuestiona al gobierno</w:t>
      </w:r>
      <w:r w:rsidR="00E137B7">
        <w:rPr>
          <w:rFonts w:ascii="Palatino Linotype" w:eastAsia="Calibri" w:hAnsi="Palatino Linotype" w:cs="Segoe UI"/>
          <w:b/>
          <w:bCs/>
        </w:rPr>
        <w:t>”</w:t>
      </w:r>
      <w:r w:rsidR="00E137B7">
        <w:rPr>
          <w:rFonts w:ascii="Palatino Linotype" w:eastAsia="Calibri" w:hAnsi="Palatino Linotype" w:cs="Segoe UI"/>
        </w:rPr>
        <w:t xml:space="preserve"> </w:t>
      </w:r>
      <w:r w:rsidR="00E137B7" w:rsidRPr="00161CEB">
        <w:rPr>
          <w:rFonts w:ascii="Palatino Linotype" w:eastAsia="Calibri" w:hAnsi="Palatino Linotype" w:cs="Segoe UI"/>
        </w:rPr>
        <w:t>en</w:t>
      </w:r>
      <w:r w:rsidRPr="00161CEB">
        <w:rPr>
          <w:rFonts w:ascii="Palatino Linotype" w:eastAsia="Calibri" w:hAnsi="Palatino Linotype" w:cs="Segoe UI"/>
        </w:rPr>
        <w:t xml:space="preserve"> la solicitud de información</w:t>
      </w:r>
      <w:r w:rsidRPr="00161CEB">
        <w:rPr>
          <w:rFonts w:ascii="Palatino Linotype" w:eastAsiaTheme="minorEastAsia" w:hAnsi="Palatino Linotype" w:cs="Arial"/>
        </w:rPr>
        <w:t xml:space="preserve">. </w:t>
      </w:r>
      <w:r w:rsidRPr="00161CEB">
        <w:rPr>
          <w:rFonts w:ascii="Palatino Linotype" w:eastAsia="Calibri" w:hAnsi="Palatino Linotype"/>
        </w:rPr>
        <w:t xml:space="preserve">No obstante lo anterior, proporcionar </w:t>
      </w:r>
      <w:r>
        <w:rPr>
          <w:rFonts w:ascii="Palatino Linotype" w:eastAsia="Calibri" w:hAnsi="Palatino Linotype"/>
        </w:rPr>
        <w:t xml:space="preserve">un </w:t>
      </w:r>
      <w:r w:rsidR="00E137B7">
        <w:rPr>
          <w:rFonts w:ascii="Palatino Linotype" w:eastAsia="Calibri" w:hAnsi="Palatino Linotype"/>
        </w:rPr>
        <w:t xml:space="preserve">seudónimo, </w:t>
      </w:r>
      <w:r w:rsidR="00E137B7" w:rsidRPr="00161CEB">
        <w:rPr>
          <w:rFonts w:ascii="Palatino Linotype" w:eastAsia="Calibri" w:hAnsi="Palatino Linotype"/>
        </w:rPr>
        <w:t>no</w:t>
      </w:r>
      <w:r w:rsidRPr="00161CEB">
        <w:rPr>
          <w:rFonts w:ascii="Palatino Linotype" w:eastAsia="Calibri" w:hAnsi="Palatino Linotype"/>
        </w:rPr>
        <w:t xml:space="preserve"> es motivo para desechar las </w:t>
      </w:r>
      <w:r w:rsidRPr="00161CEB">
        <w:rPr>
          <w:rFonts w:ascii="Palatino Linotype" w:eastAsia="Calibri" w:hAnsi="Palatino Linotype" w:cs="Arial"/>
        </w:rPr>
        <w:t>solicitudes de acceso a la información pública conforme a lo previsto en el artículo 155, penúltimo párrafo de la Ley de Transparencia y Acceso a la Información Pública del Estado de México y Municipios que señala lo siguiente:</w:t>
      </w:r>
    </w:p>
    <w:p w14:paraId="0BE608BA" w14:textId="77777777" w:rsidR="00A746AA" w:rsidRPr="002813C0" w:rsidRDefault="00A746AA" w:rsidP="00A746AA">
      <w:pPr>
        <w:pStyle w:val="Sinespaciado"/>
        <w:rPr>
          <w:rFonts w:eastAsia="Calibri"/>
          <w:sz w:val="16"/>
          <w:lang w:val="es-ES"/>
        </w:rPr>
      </w:pPr>
    </w:p>
    <w:p w14:paraId="12E98A7C" w14:textId="77777777" w:rsidR="00A746AA" w:rsidRPr="00161CEB" w:rsidRDefault="00A746AA" w:rsidP="00A746AA">
      <w:pPr>
        <w:pStyle w:val="Sinespaciado"/>
        <w:rPr>
          <w:rFonts w:eastAsia="Calibri"/>
          <w:sz w:val="2"/>
          <w:lang w:val="es-ES"/>
        </w:rPr>
      </w:pPr>
    </w:p>
    <w:p w14:paraId="24727264" w14:textId="77777777" w:rsidR="00A746AA" w:rsidRDefault="00A746AA" w:rsidP="00A746AA">
      <w:pPr>
        <w:ind w:left="851" w:right="900"/>
        <w:jc w:val="both"/>
        <w:rPr>
          <w:rFonts w:ascii="Palatino Linotype" w:eastAsia="Calibri" w:hAnsi="Palatino Linotype" w:cs="Arial"/>
          <w:i/>
        </w:rPr>
      </w:pPr>
      <w:r w:rsidRPr="00161CEB">
        <w:rPr>
          <w:rFonts w:ascii="Palatino Linotype" w:eastAsia="Calibri" w:hAnsi="Palatino Linotype" w:cs="Arial"/>
          <w:i/>
        </w:rPr>
        <w:t>“Las solicitudes anónimas, con nombre incompleto o seudónimo serán procedentes para su trámite por parte del sujeto obligado ante quien se presente. No podrá requerirse información adicional con motivo del nombre proporcionado por el solicitante.”</w:t>
      </w:r>
    </w:p>
    <w:p w14:paraId="559B3AC5" w14:textId="77777777" w:rsidR="00A746AA" w:rsidRPr="002813C0" w:rsidRDefault="00A746AA" w:rsidP="00A746AA">
      <w:pPr>
        <w:ind w:left="851" w:right="900"/>
        <w:jc w:val="both"/>
        <w:rPr>
          <w:rFonts w:ascii="Palatino Linotype" w:eastAsia="Calibri" w:hAnsi="Palatino Linotype" w:cs="Arial"/>
          <w:i/>
          <w:sz w:val="12"/>
        </w:rPr>
      </w:pPr>
    </w:p>
    <w:p w14:paraId="3F2A8C9B" w14:textId="77777777" w:rsidR="00A746AA" w:rsidRPr="00161CEB" w:rsidRDefault="00A746AA" w:rsidP="00A746AA">
      <w:pPr>
        <w:spacing w:before="240" w:after="240" w:line="360" w:lineRule="auto"/>
        <w:jc w:val="both"/>
        <w:rPr>
          <w:rFonts w:ascii="Palatino Linotype" w:eastAsia="Calibri" w:hAnsi="Palatino Linotype"/>
        </w:rPr>
      </w:pPr>
      <w:r w:rsidRPr="00161CEB">
        <w:rPr>
          <w:rFonts w:ascii="Palatino Linotype" w:eastAsia="Calibri" w:hAnsi="Palatino Linotype"/>
        </w:rPr>
        <w:t>Robusteciendo lo anterior se encuentra lo dispuesto en los artículos 6, Apartado A, fracciones III y IV</w:t>
      </w:r>
      <w:r>
        <w:rPr>
          <w:rFonts w:ascii="Palatino Linotype" w:eastAsia="Calibri" w:hAnsi="Palatino Linotype"/>
        </w:rPr>
        <w:t>,</w:t>
      </w:r>
      <w:r w:rsidRPr="00161CEB">
        <w:rPr>
          <w:rFonts w:ascii="Palatino Linotype" w:eastAsia="Calibri" w:hAnsi="Palatino Linotype"/>
        </w:rPr>
        <w:t xml:space="preserve"> de la Constitución Política de los Estados Unidos Mexicanos y 5 párrafos </w:t>
      </w:r>
      <w:r w:rsidRPr="00161CEB">
        <w:rPr>
          <w:rFonts w:ascii="Palatino Linotype" w:eastAsia="Calibri" w:hAnsi="Palatino Linotype" w:cs="Arial"/>
        </w:rPr>
        <w:t>vigésimo, vigésimo primero</w:t>
      </w:r>
      <w:r w:rsidRPr="00161CEB">
        <w:rPr>
          <w:rFonts w:ascii="Palatino Linotype" w:hAnsi="Palatino Linotype" w:cs="Arial"/>
        </w:rPr>
        <w:t xml:space="preserve"> y vigésimo segundo</w:t>
      </w:r>
      <w:r w:rsidRPr="00161CEB">
        <w:rPr>
          <w:rFonts w:ascii="Palatino Linotype" w:eastAsia="Calibri" w:hAnsi="Palatino Linotype"/>
        </w:rPr>
        <w:t>, de la Constitución Política del Estado Libre y Soberano de México, se establece lo siguiente:</w:t>
      </w:r>
    </w:p>
    <w:p w14:paraId="5E60E582" w14:textId="77777777" w:rsidR="00A746AA" w:rsidRPr="00161CEB" w:rsidRDefault="00A746AA" w:rsidP="00A746AA">
      <w:pPr>
        <w:spacing w:before="240" w:after="240"/>
        <w:ind w:left="851" w:right="900"/>
        <w:jc w:val="center"/>
        <w:rPr>
          <w:rFonts w:ascii="Palatino Linotype" w:eastAsia="Calibri" w:hAnsi="Palatino Linotype"/>
          <w:b/>
          <w:i/>
        </w:rPr>
      </w:pPr>
      <w:r w:rsidRPr="00161CEB">
        <w:rPr>
          <w:rFonts w:ascii="Palatino Linotype" w:eastAsia="Calibri" w:hAnsi="Palatino Linotype"/>
          <w:b/>
          <w:i/>
        </w:rPr>
        <w:t>Constitución Política de los Estados Unidos Mexicanos</w:t>
      </w:r>
    </w:p>
    <w:p w14:paraId="465185D7"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w:t>
      </w:r>
      <w:r w:rsidRPr="00161CEB">
        <w:rPr>
          <w:rFonts w:ascii="Palatino Linotype" w:eastAsia="Calibri" w:hAnsi="Palatino Linotype"/>
          <w:b/>
          <w:i/>
        </w:rPr>
        <w:t>Artículo 6</w:t>
      </w:r>
      <w:r w:rsidRPr="00161CEB">
        <w:rPr>
          <w:rFonts w:ascii="Palatino Linotype" w:eastAsia="Calibri" w:hAnsi="Palatino Linotype"/>
          <w:i/>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0886C3C"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w:t>
      </w:r>
    </w:p>
    <w:p w14:paraId="4CAD1F8D"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 xml:space="preserve">Para efectos de lo dispuesto en el presente artículo se observará lo siguiente: </w:t>
      </w:r>
    </w:p>
    <w:p w14:paraId="28A03153"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A. Para el ejercicio del derecho de acceso a la información, la Federación, los Estados y el Distrito Federal, en el ámbito de sus respectivas competencias, se regirán por los siguientes principios y bases:</w:t>
      </w:r>
    </w:p>
    <w:p w14:paraId="24911379"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w:t>
      </w:r>
    </w:p>
    <w:p w14:paraId="6CA4C605"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 xml:space="preserve">III. Toda persona, sin necesidad de acreditar interés alguno o justificar su utilización, tendrá acceso gratuito a la información pública, a sus datos personales o a la rectificación de éstos. </w:t>
      </w:r>
    </w:p>
    <w:p w14:paraId="084DAF72" w14:textId="77777777" w:rsidR="00A746AA" w:rsidRPr="002813C0"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 xml:space="preserve">IV. Se establecerán mecanismos de acceso a la información y procedimientos de revisión expeditos que se sustanciarán ante los organismos autónomos especializados e imparciales que establece esta Constitución.” </w:t>
      </w:r>
    </w:p>
    <w:p w14:paraId="2750652F" w14:textId="77777777" w:rsidR="00A746AA" w:rsidRPr="00161CEB" w:rsidRDefault="00A746AA" w:rsidP="00A746AA">
      <w:pPr>
        <w:spacing w:before="240" w:after="240"/>
        <w:ind w:left="851" w:right="900"/>
        <w:jc w:val="center"/>
        <w:rPr>
          <w:rFonts w:ascii="Palatino Linotype" w:eastAsia="Calibri" w:hAnsi="Palatino Linotype"/>
          <w:b/>
          <w:i/>
        </w:rPr>
      </w:pPr>
      <w:r w:rsidRPr="00161CEB">
        <w:rPr>
          <w:rFonts w:ascii="Palatino Linotype" w:eastAsia="Calibri" w:hAnsi="Palatino Linotype"/>
          <w:b/>
          <w:i/>
        </w:rPr>
        <w:t>Constitución Política del Estado Libre y Soberano de México</w:t>
      </w:r>
    </w:p>
    <w:p w14:paraId="52467B76"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w:t>
      </w:r>
      <w:r w:rsidRPr="00161CEB">
        <w:rPr>
          <w:rFonts w:ascii="Palatino Linotype" w:eastAsia="Calibri" w:hAnsi="Palatino Linotype"/>
          <w:b/>
          <w:i/>
        </w:rPr>
        <w:t>Artículo 5</w:t>
      </w:r>
      <w:r w:rsidRPr="00161CEB">
        <w:rPr>
          <w:rFonts w:ascii="Palatino Linotype" w:eastAsia="Calibri" w:hAnsi="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74FB5154"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w:t>
      </w:r>
    </w:p>
    <w:p w14:paraId="686C0032"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Toda persona en el Estado de México, tiene derecho al libre acceso a la información plural y oportuna, así como a buscar recibir y difundir información e ideas de toda índole por cualquier medio de expresión.</w:t>
      </w:r>
    </w:p>
    <w:p w14:paraId="12506199"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 xml:space="preserve"> (…)</w:t>
      </w:r>
    </w:p>
    <w:p w14:paraId="30BCDF7C"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 xml:space="preserve">El derecho a la información será garantizado por el Estado. La ley establecerá las previsiones que permitan asegurar la protección, el respeto y la difusión de este derecho. </w:t>
      </w:r>
    </w:p>
    <w:p w14:paraId="58D654AA"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17AD593"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III. Toda persona, sin necesidad de acreditar interés alguno o justificar su utilización, tendrá acceso gratuito a la información pública, a sus datos personales o a la rectificación de éstos;</w:t>
      </w:r>
    </w:p>
    <w:p w14:paraId="50603DBF"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IV. Se establecerán mecanismos de acceso a la información y procedimientos de revisión expeditos que se sustanciarán ante el organismo autónomo especializado e imparcial que establece esta Constitución.</w:t>
      </w:r>
    </w:p>
    <w:p w14:paraId="172D9DF5"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w:t>
      </w:r>
    </w:p>
    <w:p w14:paraId="4C11841D"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57062AA5" w14:textId="77777777" w:rsidR="00A746AA" w:rsidRPr="00161CEB" w:rsidRDefault="00A746AA" w:rsidP="00A746AA">
      <w:pPr>
        <w:spacing w:before="240" w:after="240"/>
        <w:ind w:left="851" w:right="900"/>
        <w:jc w:val="both"/>
        <w:rPr>
          <w:rFonts w:ascii="Palatino Linotype" w:eastAsia="Calibri" w:hAnsi="Palatino Linotype"/>
          <w:i/>
        </w:rPr>
      </w:pPr>
    </w:p>
    <w:p w14:paraId="229EDB2D" w14:textId="77777777" w:rsidR="00A746AA" w:rsidRPr="00161CEB" w:rsidRDefault="00A746AA" w:rsidP="00A746AA">
      <w:pPr>
        <w:spacing w:before="240" w:after="240" w:line="360" w:lineRule="auto"/>
        <w:jc w:val="both"/>
        <w:rPr>
          <w:rFonts w:ascii="Palatino Linotype" w:eastAsia="Calibri" w:hAnsi="Palatino Linotype"/>
        </w:rPr>
      </w:pPr>
      <w:r w:rsidRPr="00161CEB">
        <w:rPr>
          <w:rFonts w:ascii="Palatino Linotype" w:eastAsia="Calibri" w:hAnsi="Palatino Linotype"/>
        </w:rPr>
        <w:t>Por otra parte, del contenido del artículo 1, de la Constitución Política de los Estados Unidos Mexicanos, se destaca lo siguiente:</w:t>
      </w:r>
    </w:p>
    <w:p w14:paraId="434B2204"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w:t>
      </w:r>
      <w:r w:rsidRPr="00161CEB">
        <w:rPr>
          <w:rFonts w:ascii="Palatino Linotype" w:eastAsia="Calibri" w:hAnsi="Palatino Linotype"/>
          <w:b/>
          <w:i/>
        </w:rPr>
        <w:t>Artículo 1o</w:t>
      </w:r>
      <w:r w:rsidRPr="00161CEB">
        <w:rPr>
          <w:rFonts w:ascii="Palatino Linotype" w:eastAsia="Calibri" w:hAnsi="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464D709"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Las normas relativas a los derechos humanos se interpretarán de conformidad con esta Constitución y con los tratados internacionales de la materia favoreciendo en todo tiempo a las personas la protección más amplia.</w:t>
      </w:r>
    </w:p>
    <w:p w14:paraId="1B9A371C" w14:textId="77777777" w:rsidR="00A746AA"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640E18D" w14:textId="77777777" w:rsidR="00A746AA" w:rsidRPr="004008E2" w:rsidRDefault="00A746AA" w:rsidP="00A746AA">
      <w:pPr>
        <w:pStyle w:val="Sinespaciado"/>
        <w:rPr>
          <w:rFonts w:eastAsia="Calibri"/>
          <w:sz w:val="8"/>
          <w:lang w:val="es-ES"/>
        </w:rPr>
      </w:pPr>
    </w:p>
    <w:p w14:paraId="0219906E" w14:textId="77777777" w:rsidR="00A746AA" w:rsidRPr="00161CEB" w:rsidRDefault="00A746AA" w:rsidP="00A746AA">
      <w:pPr>
        <w:spacing w:before="240" w:after="240" w:line="360" w:lineRule="auto"/>
        <w:jc w:val="both"/>
        <w:rPr>
          <w:rFonts w:ascii="Palatino Linotype" w:eastAsia="Calibri" w:hAnsi="Palatino Linotype"/>
        </w:rPr>
      </w:pPr>
      <w:r w:rsidRPr="00161CEB">
        <w:rPr>
          <w:rFonts w:ascii="Palatino Linotype" w:eastAsia="Calibri" w:hAnsi="Palatino Linotype"/>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29C673E6" w14:textId="77777777" w:rsidR="00A746AA" w:rsidRPr="00161CEB" w:rsidRDefault="00A746AA" w:rsidP="00A746AA">
      <w:pPr>
        <w:pStyle w:val="Sinespaciado"/>
        <w:rPr>
          <w:rFonts w:eastAsia="Calibri"/>
          <w:sz w:val="10"/>
          <w:lang w:val="es-ES"/>
        </w:rPr>
      </w:pPr>
    </w:p>
    <w:p w14:paraId="3D591147" w14:textId="77777777" w:rsidR="00A746AA" w:rsidRPr="002813C0" w:rsidRDefault="00A746AA" w:rsidP="00A746AA">
      <w:pPr>
        <w:spacing w:line="360" w:lineRule="auto"/>
        <w:jc w:val="both"/>
        <w:rPr>
          <w:rFonts w:ascii="Palatino Linotype" w:eastAsia="Calibri" w:hAnsi="Palatino Linotype" w:cs="Arial"/>
        </w:rPr>
      </w:pPr>
      <w:r w:rsidRPr="00161CEB">
        <w:rPr>
          <w:rFonts w:ascii="Palatino Linotype" w:eastAsia="Calibri" w:hAnsi="Palatino Linotype" w:cs="Arial"/>
        </w:rPr>
        <w:t>En conclusión, se cubrieron los requisitos de procedencia y procedibilidad y conforme a las constancias que obran en el expediente.</w:t>
      </w:r>
    </w:p>
    <w:p w14:paraId="0915D2CD" w14:textId="77777777" w:rsidR="003708E1" w:rsidRPr="00B21190" w:rsidRDefault="003708E1" w:rsidP="00E91EE4">
      <w:pPr>
        <w:pStyle w:val="Prrafodelista"/>
        <w:autoSpaceDE w:val="0"/>
        <w:autoSpaceDN w:val="0"/>
        <w:adjustRightInd w:val="0"/>
        <w:spacing w:before="240" w:after="160" w:line="360" w:lineRule="auto"/>
        <w:ind w:left="0"/>
        <w:jc w:val="both"/>
        <w:rPr>
          <w:rFonts w:ascii="Palatino Linotype" w:hAnsi="Palatino Linotype" w:cs="Arial"/>
          <w:sz w:val="10"/>
        </w:rPr>
      </w:pPr>
    </w:p>
    <w:p w14:paraId="361C0705" w14:textId="297EEF63" w:rsidR="00912A21" w:rsidRPr="0006149A" w:rsidRDefault="00A746AA" w:rsidP="00912A21">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CUARTO</w:t>
      </w:r>
      <w:r w:rsidR="00912A21" w:rsidRPr="0006149A">
        <w:rPr>
          <w:rFonts w:ascii="Palatino Linotype" w:hAnsi="Palatino Linotype" w:cs="Arial"/>
          <w:b/>
        </w:rPr>
        <w:t xml:space="preserve">. </w:t>
      </w:r>
      <w:r w:rsidR="00912A21" w:rsidRPr="0006149A">
        <w:rPr>
          <w:rFonts w:ascii="Palatino Linotype" w:hAnsi="Palatino Linotype" w:cs="Arial"/>
          <w:b/>
          <w:sz w:val="28"/>
          <w:szCs w:val="28"/>
        </w:rPr>
        <w:t>De las causas de improcedencia.</w:t>
      </w:r>
    </w:p>
    <w:p w14:paraId="6C462DB8" w14:textId="77777777" w:rsidR="00912A21" w:rsidRPr="0006149A" w:rsidRDefault="00912A21" w:rsidP="00912A21">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B54E30E" w14:textId="77777777" w:rsidR="00912A21" w:rsidRPr="0006149A" w:rsidRDefault="00912A21" w:rsidP="00912A21">
      <w:pPr>
        <w:pStyle w:val="Prrafodelista"/>
        <w:autoSpaceDE w:val="0"/>
        <w:autoSpaceDN w:val="0"/>
        <w:adjustRightInd w:val="0"/>
        <w:spacing w:line="360" w:lineRule="auto"/>
        <w:ind w:left="0"/>
        <w:jc w:val="both"/>
        <w:rPr>
          <w:rFonts w:ascii="Palatino Linotype" w:hAnsi="Palatino Linotype" w:cs="Arial"/>
        </w:rPr>
      </w:pPr>
    </w:p>
    <w:p w14:paraId="629769A0" w14:textId="77777777" w:rsidR="00912A21" w:rsidRDefault="00912A21" w:rsidP="00912A21">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06149A">
        <w:rPr>
          <w:rStyle w:val="Refdenotaalpie"/>
          <w:rFonts w:ascii="Palatino Linotype" w:hAnsi="Palatino Linotype" w:cs="Arial"/>
        </w:rPr>
        <w:footnoteReference w:id="1"/>
      </w:r>
      <w:r w:rsidRPr="0006149A">
        <w:rPr>
          <w:rFonts w:ascii="Palatino Linotype" w:hAnsi="Palatino Linotype" w:cs="Arial"/>
        </w:rPr>
        <w:t>.</w:t>
      </w:r>
    </w:p>
    <w:p w14:paraId="65BBFB49" w14:textId="77777777" w:rsidR="00912A21" w:rsidRPr="0006149A" w:rsidRDefault="00912A21" w:rsidP="00912A21">
      <w:pPr>
        <w:pStyle w:val="Prrafodelista"/>
        <w:autoSpaceDE w:val="0"/>
        <w:autoSpaceDN w:val="0"/>
        <w:adjustRightInd w:val="0"/>
        <w:spacing w:line="360" w:lineRule="auto"/>
        <w:ind w:left="0"/>
        <w:jc w:val="both"/>
        <w:rPr>
          <w:rFonts w:ascii="Palatino Linotype" w:hAnsi="Palatino Linotype" w:cs="Arial"/>
        </w:rPr>
      </w:pPr>
    </w:p>
    <w:p w14:paraId="77A40964" w14:textId="77777777" w:rsidR="00912A21" w:rsidRPr="0006149A" w:rsidRDefault="00912A21" w:rsidP="00912A21">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Así las cosas, al no existir causas de improcedencia invocadas por las partes ni advertidas de oficio por este Resolutor, se procede al análisis del asunto en los siguientes términos.</w:t>
      </w:r>
    </w:p>
    <w:p w14:paraId="6B09346A" w14:textId="77777777" w:rsidR="00912A21" w:rsidRPr="0006149A" w:rsidRDefault="00912A21" w:rsidP="00912A21">
      <w:pPr>
        <w:tabs>
          <w:tab w:val="left" w:pos="709"/>
        </w:tabs>
        <w:spacing w:before="240" w:line="360" w:lineRule="auto"/>
        <w:ind w:right="51"/>
        <w:jc w:val="both"/>
        <w:rPr>
          <w:rFonts w:ascii="Palatino Linotype" w:hAnsi="Palatino Linotype"/>
        </w:rPr>
      </w:pPr>
    </w:p>
    <w:p w14:paraId="5B2CC6B5" w14:textId="0D2DB8E7" w:rsidR="00912A21" w:rsidRPr="0006149A" w:rsidRDefault="00A746AA" w:rsidP="00912A21">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QUINTO</w:t>
      </w:r>
      <w:r w:rsidR="00912A21" w:rsidRPr="0006149A">
        <w:rPr>
          <w:rFonts w:ascii="Palatino Linotype" w:hAnsi="Palatino Linotype" w:cs="Arial"/>
          <w:b/>
          <w:sz w:val="28"/>
          <w:szCs w:val="28"/>
        </w:rPr>
        <w:t>.</w:t>
      </w:r>
      <w:r w:rsidR="00912A21" w:rsidRPr="0006149A">
        <w:rPr>
          <w:rFonts w:ascii="Palatino Linotype" w:hAnsi="Palatino Linotype" w:cs="Arial"/>
          <w:sz w:val="28"/>
          <w:szCs w:val="28"/>
        </w:rPr>
        <w:t xml:space="preserve"> </w:t>
      </w:r>
      <w:r w:rsidR="00912A21" w:rsidRPr="0006149A">
        <w:rPr>
          <w:rFonts w:ascii="Palatino Linotype" w:hAnsi="Palatino Linotype" w:cs="Arial"/>
          <w:b/>
          <w:sz w:val="28"/>
        </w:rPr>
        <w:t>Estudio y resolución del asunto</w:t>
      </w:r>
      <w:r w:rsidR="00912A21" w:rsidRPr="0006149A">
        <w:rPr>
          <w:rFonts w:ascii="Palatino Linotype" w:hAnsi="Palatino Linotype" w:cs="Arial"/>
          <w:b/>
        </w:rPr>
        <w:t>.</w:t>
      </w:r>
    </w:p>
    <w:p w14:paraId="5FD005DD" w14:textId="77777777" w:rsidR="00912A21" w:rsidRPr="0006149A" w:rsidRDefault="00912A21" w:rsidP="00912A21">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Ahora bien, se procede al análisis de</w:t>
      </w:r>
      <w:r>
        <w:rPr>
          <w:rFonts w:ascii="Palatino Linotype" w:hAnsi="Palatino Linotype" w:cs="Arial"/>
        </w:rPr>
        <w:t>l</w:t>
      </w:r>
      <w:r w:rsidRPr="0006149A">
        <w:rPr>
          <w:rFonts w:ascii="Palatino Linotype" w:hAnsi="Palatino Linotype" w:cs="Arial"/>
        </w:rPr>
        <w:t xml:space="preserve">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8E0EC0F" w14:textId="77777777" w:rsidR="007B1512" w:rsidRPr="00B21190" w:rsidRDefault="007B1512" w:rsidP="009D7D7B">
      <w:pPr>
        <w:autoSpaceDE w:val="0"/>
        <w:autoSpaceDN w:val="0"/>
        <w:adjustRightInd w:val="0"/>
        <w:spacing w:line="360" w:lineRule="auto"/>
        <w:jc w:val="both"/>
        <w:rPr>
          <w:rFonts w:ascii="Palatino Linotype" w:hAnsi="Palatino Linotype" w:cs="Arial"/>
        </w:rPr>
      </w:pPr>
    </w:p>
    <w:p w14:paraId="27CCD24B" w14:textId="77777777" w:rsidR="009D7D7B" w:rsidRPr="00B21190" w:rsidRDefault="009D7D7B" w:rsidP="009D7D7B">
      <w:pPr>
        <w:autoSpaceDE w:val="0"/>
        <w:autoSpaceDN w:val="0"/>
        <w:adjustRightInd w:val="0"/>
        <w:spacing w:line="360" w:lineRule="auto"/>
        <w:jc w:val="both"/>
        <w:rPr>
          <w:rFonts w:ascii="Palatino Linotype" w:hAnsi="Palatino Linotype" w:cs="Arial"/>
        </w:rPr>
      </w:pPr>
      <w:r w:rsidRPr="00B21190">
        <w:rPr>
          <w:rFonts w:ascii="Palatino Linotype" w:hAnsi="Palatino Linotype" w:cs="Arial"/>
        </w:rPr>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77AC4EBA" w14:textId="77777777" w:rsidR="009D7D7B" w:rsidRPr="00B21190" w:rsidRDefault="009D7D7B" w:rsidP="009D7D7B">
      <w:pPr>
        <w:autoSpaceDE w:val="0"/>
        <w:autoSpaceDN w:val="0"/>
        <w:adjustRightInd w:val="0"/>
        <w:spacing w:line="360" w:lineRule="auto"/>
        <w:jc w:val="both"/>
        <w:rPr>
          <w:rFonts w:ascii="Palatino Linotype" w:hAnsi="Palatino Linotype" w:cs="Arial"/>
        </w:rPr>
      </w:pPr>
    </w:p>
    <w:p w14:paraId="28551A5A" w14:textId="7F4B524D" w:rsidR="009D7D7B" w:rsidRDefault="009D7D7B" w:rsidP="00AA0796">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t xml:space="preserve">Ya que el planteamiento del problema es de toral importancia, a efecto de determinar la intención o voluntad </w:t>
      </w:r>
      <w:r w:rsidR="009C2A92">
        <w:rPr>
          <w:rFonts w:ascii="Palatino Linotype" w:hAnsi="Palatino Linotype" w:cs="Arial"/>
        </w:rPr>
        <w:t>el</w:t>
      </w:r>
      <w:r w:rsidR="00293D51">
        <w:rPr>
          <w:rFonts w:ascii="Palatino Linotype" w:hAnsi="Palatino Linotype" w:cs="Arial"/>
        </w:rPr>
        <w:t xml:space="preserve"> Recurrente</w:t>
      </w:r>
      <w:r w:rsidRPr="00B21190">
        <w:rPr>
          <w:rFonts w:ascii="Palatino Linotype" w:hAnsi="Palatino Linotype" w:cs="Arial"/>
        </w:rPr>
        <w:t xml:space="preserve"> a la luz de la interpretación de las solicitudes de información, y que puede generar de forma objetiva y material el sujeto obligado que se relacione con esa intención, respecto del presente asunto se realiza a continuación.</w:t>
      </w:r>
    </w:p>
    <w:p w14:paraId="41F72F69" w14:textId="77777777" w:rsidR="00AA0796" w:rsidRPr="00B21190" w:rsidRDefault="00AA0796" w:rsidP="00AA0796">
      <w:pPr>
        <w:pStyle w:val="Prrafodelista"/>
        <w:autoSpaceDE w:val="0"/>
        <w:autoSpaceDN w:val="0"/>
        <w:adjustRightInd w:val="0"/>
        <w:spacing w:line="360" w:lineRule="auto"/>
        <w:ind w:left="0"/>
        <w:jc w:val="both"/>
        <w:rPr>
          <w:rFonts w:ascii="Palatino Linotype" w:hAnsi="Palatino Linotype" w:cs="Arial"/>
        </w:rPr>
      </w:pPr>
    </w:p>
    <w:p w14:paraId="53638A77" w14:textId="4A85FD19" w:rsidR="00847043" w:rsidRDefault="00C57CB5" w:rsidP="00755085">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7B1512" w:rsidRPr="00B21190">
        <w:rPr>
          <w:rFonts w:ascii="Palatino Linotype" w:hAnsi="Palatino Linotype" w:cs="Arial"/>
        </w:rPr>
        <w:t>,</w:t>
      </w:r>
      <w:r w:rsidRPr="00B21190">
        <w:rPr>
          <w:rFonts w:ascii="Palatino Linotype" w:hAnsi="Palatino Linotype" w:cs="Arial"/>
        </w:rPr>
        <w:t xml:space="preserve"> de la Constitución Federal y el diverso 8</w:t>
      </w:r>
      <w:r w:rsidR="007B1512" w:rsidRPr="00B21190">
        <w:rPr>
          <w:rFonts w:ascii="Palatino Linotype" w:hAnsi="Palatino Linotype" w:cs="Arial"/>
        </w:rPr>
        <w:t>,</w:t>
      </w:r>
      <w:r w:rsidRPr="00B21190">
        <w:rPr>
          <w:rFonts w:ascii="Palatino Linotype" w:hAnsi="Palatino Linotype" w:cs="Arial"/>
        </w:rPr>
        <w:t xml:space="preserve"> de la Ley de Transparencia local.</w:t>
      </w:r>
    </w:p>
    <w:p w14:paraId="114B8200" w14:textId="77777777" w:rsidR="00755085" w:rsidRDefault="00755085" w:rsidP="00755085">
      <w:pPr>
        <w:pStyle w:val="Prrafodelista"/>
        <w:autoSpaceDE w:val="0"/>
        <w:autoSpaceDN w:val="0"/>
        <w:adjustRightInd w:val="0"/>
        <w:spacing w:line="360" w:lineRule="auto"/>
        <w:ind w:left="0"/>
        <w:jc w:val="both"/>
        <w:rPr>
          <w:rFonts w:ascii="Palatino Linotype" w:hAnsi="Palatino Linotype" w:cs="Arial"/>
        </w:rPr>
      </w:pPr>
    </w:p>
    <w:p w14:paraId="7D47C591" w14:textId="1552259B" w:rsidR="005F17DC" w:rsidRDefault="005F17DC" w:rsidP="005F17DC">
      <w:pPr>
        <w:spacing w:after="240" w:line="360" w:lineRule="auto"/>
        <w:jc w:val="both"/>
        <w:rPr>
          <w:rFonts w:ascii="Palatino Linotype" w:hAnsi="Palatino Linotype"/>
        </w:rPr>
      </w:pPr>
      <w:r>
        <w:rPr>
          <w:rFonts w:ascii="Palatino Linotype" w:hAnsi="Palatino Linotype"/>
        </w:rPr>
        <w:t>Una vez analizada la solicitud de información</w:t>
      </w:r>
      <w:r w:rsidRPr="00E152F9">
        <w:rPr>
          <w:rFonts w:ascii="Palatino Linotype" w:hAnsi="Palatino Linotype"/>
        </w:rPr>
        <w:t xml:space="preserve">, podemos determinar que objetivamente </w:t>
      </w:r>
      <w:r w:rsidR="004D6277">
        <w:rPr>
          <w:rFonts w:ascii="Palatino Linotype" w:hAnsi="Palatino Linotype"/>
        </w:rPr>
        <w:t>el</w:t>
      </w:r>
      <w:r w:rsidRPr="00E152F9">
        <w:rPr>
          <w:rFonts w:ascii="Palatino Linotype" w:hAnsi="Palatino Linotype"/>
        </w:rPr>
        <w:t xml:space="preserve"> </w:t>
      </w:r>
      <w:r>
        <w:rPr>
          <w:rFonts w:ascii="Palatino Linotype" w:hAnsi="Palatino Linotype"/>
        </w:rPr>
        <w:t>R</w:t>
      </w:r>
      <w:r w:rsidRPr="00E152F9">
        <w:rPr>
          <w:rFonts w:ascii="Palatino Linotype" w:hAnsi="Palatino Linotype"/>
        </w:rPr>
        <w:t>ecurrente, peticiona</w:t>
      </w:r>
      <w:r w:rsidR="002813F3">
        <w:rPr>
          <w:rFonts w:ascii="Palatino Linotype" w:hAnsi="Palatino Linotype"/>
        </w:rPr>
        <w:t xml:space="preserve"> lo siguiente</w:t>
      </w:r>
      <w:r w:rsidRPr="00E152F9">
        <w:rPr>
          <w:rFonts w:ascii="Palatino Linotype" w:hAnsi="Palatino Linotype"/>
        </w:rPr>
        <w:t>:</w:t>
      </w:r>
    </w:p>
    <w:p w14:paraId="49923E10" w14:textId="51E572C4" w:rsidR="00E137B7" w:rsidRDefault="00E137B7" w:rsidP="00E137B7">
      <w:pPr>
        <w:ind w:left="567" w:right="567"/>
        <w:jc w:val="both"/>
        <w:rPr>
          <w:rFonts w:ascii="Palatino Linotype" w:hAnsi="Palatino Linotype"/>
          <w:i/>
          <w:lang w:val="es-ES_tradnl"/>
        </w:rPr>
      </w:pPr>
      <w:r>
        <w:rPr>
          <w:rFonts w:ascii="Palatino Linotype" w:hAnsi="Palatino Linotype"/>
          <w:i/>
          <w:lang w:val="es-ES_tradnl"/>
        </w:rPr>
        <w:t>“</w:t>
      </w:r>
      <w:r w:rsidRPr="00904FFE">
        <w:rPr>
          <w:rFonts w:ascii="Palatino Linotype" w:hAnsi="Palatino Linotype"/>
          <w:i/>
          <w:lang w:val="es-ES_tradnl"/>
        </w:rPr>
        <w:t>Número de expediente, servidor público responsable, tipo de conducta, cargo, sanción Lo anterior de la contraloria Información clara y precisa</w:t>
      </w:r>
      <w:r w:rsidRPr="005219ED">
        <w:rPr>
          <w:rFonts w:ascii="Palatino Linotype" w:hAnsi="Palatino Linotype"/>
          <w:i/>
          <w:lang w:val="es-ES_tradnl"/>
        </w:rPr>
        <w:t>” [Sic]</w:t>
      </w:r>
    </w:p>
    <w:p w14:paraId="6A709E52" w14:textId="77777777" w:rsidR="00E137B7" w:rsidRPr="00755085" w:rsidRDefault="00E137B7" w:rsidP="00E137B7">
      <w:pPr>
        <w:ind w:left="567" w:right="567"/>
        <w:jc w:val="both"/>
        <w:rPr>
          <w:rFonts w:ascii="Palatino Linotype" w:hAnsi="Palatino Linotype"/>
          <w:i/>
          <w:lang w:val="es-ES_tradnl"/>
        </w:rPr>
      </w:pPr>
    </w:p>
    <w:p w14:paraId="0B795A84" w14:textId="77777777" w:rsidR="00E137B7" w:rsidRDefault="00E137B7" w:rsidP="005F17DC">
      <w:pPr>
        <w:spacing w:after="240" w:line="360" w:lineRule="auto"/>
        <w:jc w:val="both"/>
        <w:rPr>
          <w:rFonts w:ascii="Palatino Linotype" w:hAnsi="Palatino Linotype"/>
        </w:rPr>
      </w:pPr>
    </w:p>
    <w:p w14:paraId="4F461E40" w14:textId="47479A8C" w:rsidR="00E137B7" w:rsidRDefault="00E137B7" w:rsidP="00FF14FE">
      <w:pPr>
        <w:pStyle w:val="Prrafodelista"/>
        <w:spacing w:line="360" w:lineRule="auto"/>
        <w:ind w:left="0"/>
        <w:contextualSpacing/>
        <w:jc w:val="both"/>
        <w:rPr>
          <w:rFonts w:ascii="Palatino Linotype" w:hAnsi="Palatino Linotype"/>
          <w:color w:val="000000"/>
          <w:lang w:val="es-ES_tradnl"/>
        </w:rPr>
      </w:pPr>
      <w:r>
        <w:rPr>
          <w:rFonts w:ascii="Palatino Linotype" w:hAnsi="Palatino Linotype"/>
          <w:color w:val="000000"/>
          <w:lang w:val="es-ES_tradnl"/>
        </w:rPr>
        <w:t xml:space="preserve">Asimismo, mediante </w:t>
      </w:r>
      <w:r w:rsidRPr="00E137B7">
        <w:rPr>
          <w:rFonts w:ascii="Palatino Linotype" w:hAnsi="Palatino Linotype"/>
          <w:color w:val="000000"/>
          <w:lang w:val="es-ES_tradnl"/>
        </w:rPr>
        <w:t xml:space="preserve">respuesta al </w:t>
      </w:r>
      <w:r>
        <w:rPr>
          <w:rFonts w:ascii="Palatino Linotype" w:hAnsi="Palatino Linotype"/>
          <w:color w:val="000000"/>
          <w:lang w:val="es-ES_tradnl"/>
        </w:rPr>
        <w:t>r</w:t>
      </w:r>
      <w:r w:rsidRPr="00E137B7">
        <w:rPr>
          <w:rFonts w:ascii="Palatino Linotype" w:hAnsi="Palatino Linotype"/>
          <w:color w:val="000000"/>
          <w:lang w:val="es-ES_tradnl"/>
        </w:rPr>
        <w:t xml:space="preserve">equerimiento de </w:t>
      </w:r>
      <w:r>
        <w:rPr>
          <w:rFonts w:ascii="Palatino Linotype" w:hAnsi="Palatino Linotype"/>
          <w:color w:val="000000"/>
          <w:lang w:val="es-ES_tradnl"/>
        </w:rPr>
        <w:t>a</w:t>
      </w:r>
      <w:r w:rsidRPr="00E137B7">
        <w:rPr>
          <w:rFonts w:ascii="Palatino Linotype" w:hAnsi="Palatino Linotype"/>
          <w:color w:val="000000"/>
          <w:lang w:val="es-ES_tradnl"/>
        </w:rPr>
        <w:t xml:space="preserve">claración a la </w:t>
      </w:r>
      <w:r>
        <w:rPr>
          <w:rFonts w:ascii="Palatino Linotype" w:hAnsi="Palatino Linotype"/>
          <w:color w:val="000000"/>
          <w:lang w:val="es-ES_tradnl"/>
        </w:rPr>
        <w:t>s</w:t>
      </w:r>
      <w:r w:rsidRPr="00E137B7">
        <w:rPr>
          <w:rFonts w:ascii="Palatino Linotype" w:hAnsi="Palatino Linotype"/>
          <w:color w:val="000000"/>
          <w:lang w:val="es-ES_tradnl"/>
        </w:rPr>
        <w:t xml:space="preserve">olicitud de Información </w:t>
      </w:r>
      <w:r>
        <w:rPr>
          <w:rFonts w:ascii="Palatino Linotype" w:hAnsi="Palatino Linotype"/>
          <w:color w:val="000000"/>
          <w:lang w:val="es-ES_tradnl"/>
        </w:rPr>
        <w:t>indicó:</w:t>
      </w:r>
    </w:p>
    <w:p w14:paraId="2100CAAC" w14:textId="366BEBD9" w:rsidR="00E137B7" w:rsidRDefault="00E137B7" w:rsidP="00FF14FE">
      <w:pPr>
        <w:pStyle w:val="Prrafodelista"/>
        <w:spacing w:line="360" w:lineRule="auto"/>
        <w:ind w:left="0"/>
        <w:contextualSpacing/>
        <w:jc w:val="both"/>
        <w:rPr>
          <w:rFonts w:ascii="Palatino Linotype" w:hAnsi="Palatino Linotype"/>
          <w:color w:val="000000"/>
          <w:lang w:val="es-ES_tradnl"/>
        </w:rPr>
      </w:pPr>
    </w:p>
    <w:p w14:paraId="7AD536C2" w14:textId="1BB5419D" w:rsidR="00E137B7" w:rsidRDefault="00E137B7" w:rsidP="00E137B7">
      <w:pPr>
        <w:ind w:left="567" w:right="567"/>
        <w:jc w:val="both"/>
        <w:rPr>
          <w:rFonts w:ascii="Palatino Linotype" w:hAnsi="Palatino Linotype"/>
          <w:i/>
          <w:lang w:val="es-ES_tradnl"/>
        </w:rPr>
      </w:pPr>
      <w:r>
        <w:rPr>
          <w:rFonts w:ascii="Palatino Linotype" w:hAnsi="Palatino Linotype"/>
          <w:i/>
          <w:lang w:val="es-ES_tradnl"/>
        </w:rPr>
        <w:t>“</w:t>
      </w:r>
      <w:r w:rsidRPr="00E137B7">
        <w:rPr>
          <w:rFonts w:ascii="Palatino Linotype" w:hAnsi="Palatino Linotype"/>
          <w:i/>
          <w:lang w:val="es-ES_tradnl"/>
        </w:rPr>
        <w:t>De todos los expedientes que se encuentren en proceso investigación en esa contraloria señalando con precisión los datos solicitados De igual manera los que se encuentren en responsabilidad Asimismo las auditorías que se encuentren con alguna irregularidad y las que estén en proceso Lo anterior, información clara precisa entendible de todas las áreas que integran esa contraloria a su cargo ABOSLUTAMENTE TODO SIN OMITIR INFORMAICON ALGUNA</w:t>
      </w:r>
      <w:r w:rsidRPr="005219ED">
        <w:rPr>
          <w:rFonts w:ascii="Palatino Linotype" w:hAnsi="Palatino Linotype"/>
          <w:i/>
          <w:lang w:val="es-ES_tradnl"/>
        </w:rPr>
        <w:t>” [Sic]</w:t>
      </w:r>
    </w:p>
    <w:p w14:paraId="6543A29F" w14:textId="77777777" w:rsidR="00E137B7" w:rsidRDefault="00E137B7" w:rsidP="00FF14FE">
      <w:pPr>
        <w:pStyle w:val="Prrafodelista"/>
        <w:spacing w:line="360" w:lineRule="auto"/>
        <w:ind w:left="0"/>
        <w:contextualSpacing/>
        <w:jc w:val="both"/>
        <w:rPr>
          <w:rFonts w:ascii="Palatino Linotype" w:hAnsi="Palatino Linotype"/>
          <w:color w:val="000000"/>
          <w:lang w:val="es-ES_tradnl"/>
        </w:rPr>
      </w:pPr>
    </w:p>
    <w:p w14:paraId="0B94B847" w14:textId="77777777" w:rsidR="00E137B7" w:rsidRDefault="00E137B7" w:rsidP="00FF14FE">
      <w:pPr>
        <w:pStyle w:val="Prrafodelista"/>
        <w:spacing w:line="360" w:lineRule="auto"/>
        <w:ind w:left="0"/>
        <w:contextualSpacing/>
        <w:jc w:val="both"/>
        <w:rPr>
          <w:rFonts w:ascii="Palatino Linotype" w:hAnsi="Palatino Linotype"/>
          <w:color w:val="000000"/>
          <w:lang w:val="es-ES_tradnl"/>
        </w:rPr>
      </w:pPr>
    </w:p>
    <w:p w14:paraId="388D0269" w14:textId="7EC79153" w:rsidR="005E50F1" w:rsidRDefault="00755085" w:rsidP="00FF14FE">
      <w:pPr>
        <w:pStyle w:val="Prrafodelista"/>
        <w:spacing w:line="360" w:lineRule="auto"/>
        <w:ind w:left="0"/>
        <w:contextualSpacing/>
        <w:jc w:val="both"/>
        <w:rPr>
          <w:rFonts w:ascii="Palatino Linotype" w:hAnsi="Palatino Linotype"/>
          <w:color w:val="000000"/>
          <w:lang w:val="es-ES_tradnl"/>
        </w:rPr>
      </w:pPr>
      <w:r>
        <w:rPr>
          <w:rFonts w:ascii="Palatino Linotype" w:hAnsi="Palatino Linotype"/>
          <w:color w:val="000000"/>
          <w:lang w:val="es-ES_tradnl"/>
        </w:rPr>
        <w:t>Ahora bien, en respuesta a</w:t>
      </w:r>
      <w:r w:rsidR="000F5CBE" w:rsidRPr="000F5CBE">
        <w:rPr>
          <w:rFonts w:ascii="Palatino Linotype" w:hAnsi="Palatino Linotype"/>
          <w:color w:val="000000"/>
          <w:lang w:val="es-ES_tradnl"/>
        </w:rPr>
        <w:t xml:space="preserve"> los requerimientos formulados por el particular, </w:t>
      </w:r>
      <w:r w:rsidR="003A6491">
        <w:rPr>
          <w:rFonts w:ascii="Palatino Linotype" w:hAnsi="Palatino Linotype"/>
          <w:color w:val="000000"/>
          <w:lang w:val="es-ES_tradnl"/>
        </w:rPr>
        <w:t>E</w:t>
      </w:r>
      <w:r w:rsidR="000F5CBE" w:rsidRPr="000F5CBE">
        <w:rPr>
          <w:rFonts w:ascii="Palatino Linotype" w:hAnsi="Palatino Linotype"/>
          <w:color w:val="000000"/>
          <w:lang w:val="es-ES_tradnl"/>
        </w:rPr>
        <w:t xml:space="preserve">l </w:t>
      </w:r>
      <w:r w:rsidR="003A6491">
        <w:rPr>
          <w:rFonts w:ascii="Palatino Linotype" w:hAnsi="Palatino Linotype"/>
          <w:b/>
          <w:color w:val="000000"/>
          <w:lang w:val="es-ES_tradnl"/>
        </w:rPr>
        <w:t>S</w:t>
      </w:r>
      <w:r w:rsidR="000F5CBE" w:rsidRPr="000F5CBE">
        <w:rPr>
          <w:rFonts w:ascii="Palatino Linotype" w:hAnsi="Palatino Linotype"/>
          <w:b/>
          <w:color w:val="000000"/>
          <w:lang w:val="es-ES_tradnl"/>
        </w:rPr>
        <w:t xml:space="preserve">ujeto </w:t>
      </w:r>
      <w:r w:rsidR="003A6491">
        <w:rPr>
          <w:rFonts w:ascii="Palatino Linotype" w:hAnsi="Palatino Linotype"/>
          <w:b/>
          <w:color w:val="000000"/>
          <w:lang w:val="es-ES_tradnl"/>
        </w:rPr>
        <w:t>O</w:t>
      </w:r>
      <w:r w:rsidR="000F5CBE" w:rsidRPr="000F5CBE">
        <w:rPr>
          <w:rFonts w:ascii="Palatino Linotype" w:hAnsi="Palatino Linotype"/>
          <w:b/>
          <w:color w:val="000000"/>
          <w:lang w:val="es-ES_tradnl"/>
        </w:rPr>
        <w:t xml:space="preserve">bligado </w:t>
      </w:r>
      <w:r w:rsidR="00943E92">
        <w:rPr>
          <w:rFonts w:ascii="Palatino Linotype" w:hAnsi="Palatino Linotype"/>
          <w:color w:val="000000"/>
          <w:lang w:val="es-ES_tradnl"/>
        </w:rPr>
        <w:t xml:space="preserve">remitió </w:t>
      </w:r>
      <w:r w:rsidR="00E3734C">
        <w:rPr>
          <w:rFonts w:ascii="Palatino Linotype" w:hAnsi="Palatino Linotype"/>
          <w:color w:val="000000"/>
          <w:lang w:val="es-ES_tradnl"/>
        </w:rPr>
        <w:t>el archivo electrónico denominado “</w:t>
      </w:r>
      <w:r w:rsidR="00E3734C" w:rsidRPr="00E3734C">
        <w:rPr>
          <w:rFonts w:ascii="Palatino Linotype" w:hAnsi="Palatino Linotype"/>
          <w:b/>
          <w:bCs/>
          <w:i/>
          <w:iCs/>
          <w:color w:val="000000"/>
          <w:lang w:val="es-ES_tradnl"/>
        </w:rPr>
        <w:t>CONTESTACION CONTRA SAIMEX 65.pdf</w:t>
      </w:r>
      <w:r w:rsidR="00E3734C">
        <w:rPr>
          <w:rFonts w:ascii="Palatino Linotype" w:hAnsi="Palatino Linotype"/>
          <w:color w:val="000000"/>
          <w:lang w:val="es-ES_tradnl"/>
        </w:rPr>
        <w:t>”</w:t>
      </w:r>
      <w:r w:rsidR="005E50F1">
        <w:rPr>
          <w:rFonts w:ascii="Palatino Linotype" w:hAnsi="Palatino Linotype"/>
          <w:color w:val="000000"/>
          <w:lang w:val="es-ES_tradnl"/>
        </w:rPr>
        <w:t xml:space="preserve"> </w:t>
      </w:r>
      <w:r w:rsidR="00E3734C">
        <w:rPr>
          <w:rFonts w:ascii="Palatino Linotype" w:hAnsi="Palatino Linotype"/>
          <w:color w:val="000000"/>
          <w:lang w:val="es-ES_tradnl"/>
        </w:rPr>
        <w:t xml:space="preserve">del que se desprende el </w:t>
      </w:r>
      <w:r w:rsidR="005E50F1">
        <w:rPr>
          <w:rFonts w:ascii="Palatino Linotype" w:hAnsi="Palatino Linotype"/>
          <w:color w:val="000000"/>
          <w:lang w:val="es-ES_tradnl"/>
        </w:rPr>
        <w:t>contenido siguiente:</w:t>
      </w:r>
    </w:p>
    <w:p w14:paraId="793F0FE0" w14:textId="77777777" w:rsidR="003A6491" w:rsidRDefault="003A6491" w:rsidP="00FF14FE">
      <w:pPr>
        <w:pStyle w:val="Prrafodelista"/>
        <w:spacing w:line="360" w:lineRule="auto"/>
        <w:ind w:left="0"/>
        <w:contextualSpacing/>
        <w:jc w:val="both"/>
        <w:rPr>
          <w:rFonts w:ascii="Palatino Linotype" w:hAnsi="Palatino Linotype"/>
          <w:color w:val="000000"/>
          <w:lang w:val="es-ES_tradnl"/>
        </w:rPr>
      </w:pPr>
    </w:p>
    <w:p w14:paraId="1029A732" w14:textId="1B74165A" w:rsidR="005967F1" w:rsidRDefault="00E3734C" w:rsidP="00943E92">
      <w:pPr>
        <w:pStyle w:val="Prrafodelista"/>
        <w:numPr>
          <w:ilvl w:val="0"/>
          <w:numId w:val="14"/>
        </w:numPr>
        <w:spacing w:line="360" w:lineRule="auto"/>
        <w:contextualSpacing/>
        <w:jc w:val="both"/>
        <w:rPr>
          <w:rFonts w:ascii="Palatino Linotype" w:hAnsi="Palatino Linotype"/>
          <w:color w:val="000000"/>
          <w:lang w:val="es-ES_tradnl"/>
        </w:rPr>
      </w:pPr>
      <w:bookmarkStart w:id="2" w:name="_Hlk87023195"/>
      <w:r>
        <w:rPr>
          <w:rFonts w:ascii="Palatino Linotype" w:hAnsi="Palatino Linotype"/>
          <w:color w:val="000000"/>
          <w:lang w:val="es-ES_tradnl"/>
        </w:rPr>
        <w:t>O</w:t>
      </w:r>
      <w:r w:rsidR="005967F1" w:rsidRPr="005967F1">
        <w:rPr>
          <w:rFonts w:ascii="Palatino Linotype" w:hAnsi="Palatino Linotype"/>
          <w:color w:val="000000"/>
          <w:lang w:val="es-ES_tradnl"/>
        </w:rPr>
        <w:t xml:space="preserve">ficio No. </w:t>
      </w:r>
      <w:r>
        <w:rPr>
          <w:rFonts w:ascii="Palatino Linotype" w:hAnsi="Palatino Linotype"/>
          <w:color w:val="000000"/>
          <w:lang w:val="es-ES_tradnl"/>
        </w:rPr>
        <w:t>OPDM/CI/409/2022</w:t>
      </w:r>
      <w:r w:rsidR="005967F1">
        <w:rPr>
          <w:rFonts w:ascii="Palatino Linotype" w:hAnsi="Palatino Linotype"/>
          <w:color w:val="000000"/>
          <w:lang w:val="es-ES_tradnl"/>
        </w:rPr>
        <w:t xml:space="preserve">, </w:t>
      </w:r>
      <w:r w:rsidR="008E65AF">
        <w:rPr>
          <w:rFonts w:ascii="Palatino Linotype" w:hAnsi="Palatino Linotype"/>
          <w:color w:val="000000"/>
          <w:lang w:val="es-ES_tradnl"/>
        </w:rPr>
        <w:t>signado</w:t>
      </w:r>
      <w:r w:rsidR="005967F1">
        <w:rPr>
          <w:rFonts w:ascii="Palatino Linotype" w:hAnsi="Palatino Linotype"/>
          <w:color w:val="000000"/>
          <w:lang w:val="es-ES_tradnl"/>
        </w:rPr>
        <w:t xml:space="preserve"> por el </w:t>
      </w:r>
      <w:r>
        <w:rPr>
          <w:rFonts w:ascii="Palatino Linotype" w:hAnsi="Palatino Linotype"/>
          <w:color w:val="000000"/>
          <w:lang w:val="es-ES_tradnl"/>
        </w:rPr>
        <w:t>Contralor Interno, mismo que fue remitido al Titular de la Unidad de Transparencia, ambos del</w:t>
      </w:r>
      <w:r w:rsidR="005967F1">
        <w:rPr>
          <w:rFonts w:ascii="Palatino Linotype" w:hAnsi="Palatino Linotype"/>
          <w:color w:val="000000"/>
          <w:lang w:val="es-ES_tradnl"/>
        </w:rPr>
        <w:t xml:space="preserve"> Sujeto Obligado,</w:t>
      </w:r>
      <w:r>
        <w:rPr>
          <w:rFonts w:ascii="Palatino Linotype" w:hAnsi="Palatino Linotype"/>
          <w:color w:val="000000"/>
          <w:lang w:val="es-ES_tradnl"/>
        </w:rPr>
        <w:t xml:space="preserve"> </w:t>
      </w:r>
      <w:r w:rsidR="005967F1">
        <w:rPr>
          <w:rFonts w:ascii="Palatino Linotype" w:hAnsi="Palatino Linotype"/>
          <w:color w:val="000000"/>
          <w:lang w:val="es-ES_tradnl"/>
        </w:rPr>
        <w:t xml:space="preserve">mediante el cual, medularmente le informa que, </w:t>
      </w:r>
      <w:r>
        <w:rPr>
          <w:rFonts w:ascii="Palatino Linotype" w:hAnsi="Palatino Linotype"/>
          <w:color w:val="000000"/>
          <w:lang w:val="es-ES_tradnl"/>
        </w:rPr>
        <w:t>la información requerida se considera información reservada, misma que fue aprobada mediante el acuerdo número CT/08/04-SE/2022, a través de la Cuarta Sesión Extraordinaria del Comité de Transparencia, de fecha primero de marzo de dos mil veintidós, en relación a los expedientes que se encuentran en proceso de investigación en la Contraloría Interna</w:t>
      </w:r>
      <w:r w:rsidR="005967F1">
        <w:rPr>
          <w:rFonts w:ascii="Palatino Linotype" w:hAnsi="Palatino Linotype"/>
          <w:color w:val="000000"/>
          <w:lang w:val="es-ES_tradnl"/>
        </w:rPr>
        <w:t>,</w:t>
      </w:r>
      <w:r w:rsidR="001F7D91">
        <w:rPr>
          <w:rFonts w:ascii="Palatino Linotype" w:hAnsi="Palatino Linotype"/>
          <w:color w:val="000000"/>
          <w:lang w:val="es-ES_tradnl"/>
        </w:rPr>
        <w:t xml:space="preserve"> refiriendo los números de expedientes en comento,</w:t>
      </w:r>
      <w:r w:rsidR="005967F1">
        <w:rPr>
          <w:rFonts w:ascii="Palatino Linotype" w:hAnsi="Palatino Linotype"/>
          <w:color w:val="000000"/>
          <w:lang w:val="es-ES_tradnl"/>
        </w:rPr>
        <w:t xml:space="preserve"> como se puede advertir en la imagen que se inserta a continuación:  </w:t>
      </w:r>
    </w:p>
    <w:p w14:paraId="7BB5E3FA" w14:textId="6797A75A" w:rsidR="001F7D91" w:rsidRDefault="009C68F6" w:rsidP="001F7D91">
      <w:pPr>
        <w:pStyle w:val="Prrafodelista"/>
        <w:spacing w:line="360" w:lineRule="auto"/>
        <w:ind w:left="0"/>
        <w:contextualSpacing/>
        <w:jc w:val="center"/>
        <w:rPr>
          <w:rFonts w:ascii="Palatino Linotype" w:hAnsi="Palatino Linotype"/>
          <w:color w:val="000000"/>
          <w:lang w:val="es-ES_tradnl"/>
        </w:rPr>
      </w:pPr>
      <w:r>
        <w:rPr>
          <w:rFonts w:ascii="Palatino Linotype" w:hAnsi="Palatino Linotype"/>
          <w:noProof/>
          <w:color w:val="000000"/>
          <w:lang w:val="es-MX" w:eastAsia="es-MX"/>
        </w:rPr>
        <mc:AlternateContent>
          <mc:Choice Requires="wps">
            <w:drawing>
              <wp:anchor distT="0" distB="0" distL="114300" distR="114300" simplePos="0" relativeHeight="251659264" behindDoc="0" locked="0" layoutInCell="1" allowOverlap="1" wp14:anchorId="3FFC1637" wp14:editId="34B7E064">
                <wp:simplePos x="0" y="0"/>
                <wp:positionH relativeFrom="column">
                  <wp:posOffset>396239</wp:posOffset>
                </wp:positionH>
                <wp:positionV relativeFrom="paragraph">
                  <wp:posOffset>306069</wp:posOffset>
                </wp:positionV>
                <wp:extent cx="5191125" cy="3305175"/>
                <wp:effectExtent l="0" t="0" r="85725" b="47625"/>
                <wp:wrapNone/>
                <wp:docPr id="9" name="Conector recto de flecha 9"/>
                <wp:cNvGraphicFramePr/>
                <a:graphic xmlns:a="http://schemas.openxmlformats.org/drawingml/2006/main">
                  <a:graphicData uri="http://schemas.microsoft.com/office/word/2010/wordprocessingShape">
                    <wps:wsp>
                      <wps:cNvCnPr/>
                      <wps:spPr>
                        <a:xfrm>
                          <a:off x="0" y="0"/>
                          <a:ext cx="5191125" cy="3305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33A8123" id="_x0000_t32" coordsize="21600,21600" o:spt="32" o:oned="t" path="m,l21600,21600e" filled="f">
                <v:path arrowok="t" fillok="f" o:connecttype="none"/>
                <o:lock v:ext="edit" shapetype="t"/>
              </v:shapetype>
              <v:shape id="Conector recto de flecha 9" o:spid="_x0000_s1026" type="#_x0000_t32" style="position:absolute;margin-left:31.2pt;margin-top:24.1pt;width:408.75pt;height:260.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" strokecolor="#5b9bd5 [3204]" strokeweight=".5pt">
                <v:stroke endarrow="block" joinstyle="miter"/>
              </v:shape>
            </w:pict>
          </mc:Fallback>
        </mc:AlternateContent>
      </w:r>
    </w:p>
    <w:p w14:paraId="6C9D708F" w14:textId="3F3DBECA" w:rsidR="001F7D91" w:rsidRDefault="001F7D91" w:rsidP="001F7D91">
      <w:pPr>
        <w:pStyle w:val="Prrafodelista"/>
        <w:spacing w:line="360" w:lineRule="auto"/>
        <w:ind w:left="0"/>
        <w:contextualSpacing/>
        <w:jc w:val="center"/>
        <w:rPr>
          <w:rFonts w:ascii="Palatino Linotype" w:hAnsi="Palatino Linotype"/>
          <w:color w:val="000000"/>
          <w:lang w:val="es-ES_tradnl"/>
        </w:rPr>
      </w:pPr>
    </w:p>
    <w:p w14:paraId="3ECD2286" w14:textId="5EB25208" w:rsidR="001F7D91" w:rsidRDefault="001F7D91" w:rsidP="001F7D91">
      <w:pPr>
        <w:pStyle w:val="Prrafodelista"/>
        <w:spacing w:line="360" w:lineRule="auto"/>
        <w:ind w:left="0"/>
        <w:contextualSpacing/>
        <w:jc w:val="center"/>
        <w:rPr>
          <w:rFonts w:ascii="Palatino Linotype" w:hAnsi="Palatino Linotype"/>
          <w:color w:val="000000"/>
          <w:lang w:val="es-ES_tradnl"/>
        </w:rPr>
      </w:pPr>
    </w:p>
    <w:p w14:paraId="7A01F790" w14:textId="77777777" w:rsidR="001F7D91" w:rsidRDefault="001F7D91" w:rsidP="001F7D91">
      <w:pPr>
        <w:pStyle w:val="Prrafodelista"/>
        <w:spacing w:line="360" w:lineRule="auto"/>
        <w:ind w:left="0"/>
        <w:contextualSpacing/>
        <w:jc w:val="center"/>
        <w:rPr>
          <w:rFonts w:ascii="Palatino Linotype" w:hAnsi="Palatino Linotype"/>
          <w:color w:val="000000"/>
          <w:lang w:val="es-ES_tradnl"/>
        </w:rPr>
      </w:pPr>
    </w:p>
    <w:p w14:paraId="5E47E9FE" w14:textId="5F376EAB" w:rsidR="008E65AF" w:rsidRPr="005967F1" w:rsidRDefault="001F7D91" w:rsidP="001F7D91">
      <w:pPr>
        <w:pStyle w:val="Prrafodelista"/>
        <w:spacing w:line="360" w:lineRule="auto"/>
        <w:ind w:left="0"/>
        <w:contextualSpacing/>
        <w:jc w:val="center"/>
        <w:rPr>
          <w:rFonts w:ascii="Palatino Linotype" w:hAnsi="Palatino Linotype"/>
          <w:color w:val="000000"/>
          <w:lang w:val="es-ES_tradnl"/>
        </w:rPr>
      </w:pPr>
      <w:r w:rsidRPr="001F7D91">
        <w:rPr>
          <w:rFonts w:ascii="Palatino Linotype" w:hAnsi="Palatino Linotype"/>
          <w:noProof/>
          <w:color w:val="000000"/>
          <w:lang w:val="es-MX" w:eastAsia="es-MX"/>
        </w:rPr>
        <w:drawing>
          <wp:inline distT="0" distB="0" distL="0" distR="0" wp14:anchorId="4E85F0DC" wp14:editId="61F997B4">
            <wp:extent cx="5675279" cy="5916305"/>
            <wp:effectExtent l="0" t="0" r="190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477"/>
                    <a:stretch/>
                  </pic:blipFill>
                  <pic:spPr bwMode="auto">
                    <a:xfrm>
                      <a:off x="0" y="0"/>
                      <a:ext cx="5679432" cy="5920635"/>
                    </a:xfrm>
                    <a:prstGeom prst="rect">
                      <a:avLst/>
                    </a:prstGeom>
                    <a:ln>
                      <a:noFill/>
                    </a:ln>
                    <a:extLst>
                      <a:ext uri="{53640926-AAD7-44D8-BBD7-CCE9431645EC}">
                        <a14:shadowObscured xmlns:a14="http://schemas.microsoft.com/office/drawing/2010/main"/>
                      </a:ext>
                    </a:extLst>
                  </pic:spPr>
                </pic:pic>
              </a:graphicData>
            </a:graphic>
          </wp:inline>
        </w:drawing>
      </w:r>
    </w:p>
    <w:p w14:paraId="6821B1A7" w14:textId="480123F1" w:rsidR="00943E92" w:rsidRDefault="00943E92" w:rsidP="005967F1">
      <w:pPr>
        <w:spacing w:line="360" w:lineRule="auto"/>
        <w:contextualSpacing/>
        <w:jc w:val="both"/>
        <w:rPr>
          <w:rFonts w:ascii="Palatino Linotype" w:hAnsi="Palatino Linotype"/>
          <w:color w:val="000000"/>
          <w:lang w:val="es-ES_tradnl"/>
        </w:rPr>
      </w:pPr>
    </w:p>
    <w:p w14:paraId="6ECCA76B" w14:textId="7A354E13" w:rsidR="001F7D91" w:rsidRPr="005967F1" w:rsidRDefault="001F7D91" w:rsidP="005967F1">
      <w:pPr>
        <w:spacing w:line="360" w:lineRule="auto"/>
        <w:contextualSpacing/>
        <w:jc w:val="both"/>
        <w:rPr>
          <w:rFonts w:ascii="Palatino Linotype" w:hAnsi="Palatino Linotype"/>
          <w:color w:val="000000"/>
          <w:lang w:val="es-ES_tradnl"/>
        </w:rPr>
      </w:pPr>
      <w:r w:rsidRPr="001F7D91">
        <w:rPr>
          <w:rFonts w:ascii="Palatino Linotype" w:hAnsi="Palatino Linotype"/>
          <w:noProof/>
          <w:color w:val="000000"/>
          <w:lang w:val="es-MX" w:eastAsia="es-MX"/>
        </w:rPr>
        <w:drawing>
          <wp:inline distT="0" distB="0" distL="0" distR="0" wp14:anchorId="6A0135C5" wp14:editId="6C0A80A7">
            <wp:extent cx="5760720" cy="57029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5702935"/>
                    </a:xfrm>
                    <a:prstGeom prst="rect">
                      <a:avLst/>
                    </a:prstGeom>
                  </pic:spPr>
                </pic:pic>
              </a:graphicData>
            </a:graphic>
          </wp:inline>
        </w:drawing>
      </w:r>
    </w:p>
    <w:bookmarkEnd w:id="2"/>
    <w:p w14:paraId="54207F85" w14:textId="77777777" w:rsidR="00BF390A" w:rsidRDefault="00BF390A" w:rsidP="005B7C1F">
      <w:pPr>
        <w:tabs>
          <w:tab w:val="left" w:pos="8647"/>
        </w:tabs>
        <w:spacing w:line="360" w:lineRule="auto"/>
        <w:jc w:val="both"/>
        <w:rPr>
          <w:rFonts w:ascii="Palatino Linotype" w:hAnsi="Palatino Linotype" w:cs="Arial"/>
        </w:rPr>
      </w:pPr>
    </w:p>
    <w:p w14:paraId="618AECDA" w14:textId="74EC1BA2" w:rsidR="005D6129" w:rsidRDefault="005D6129" w:rsidP="00BF390A">
      <w:pPr>
        <w:tabs>
          <w:tab w:val="left" w:pos="709"/>
        </w:tabs>
        <w:spacing w:line="360" w:lineRule="auto"/>
        <w:ind w:right="51"/>
        <w:jc w:val="both"/>
        <w:rPr>
          <w:rFonts w:ascii="Palatino Linotype" w:hAnsi="Palatino Linotype" w:cs="Arial"/>
        </w:rPr>
      </w:pPr>
      <w:r w:rsidRPr="005D6129">
        <w:rPr>
          <w:rFonts w:ascii="Palatino Linotype" w:hAnsi="Palatino Linotype" w:cs="Arial"/>
        </w:rPr>
        <w:t>Señalado lo anterior, es conveniente precisar que, mediante informe justificado, el Sujeto Obligado</w:t>
      </w:r>
      <w:r>
        <w:rPr>
          <w:rFonts w:ascii="Palatino Linotype" w:hAnsi="Palatino Linotype" w:cs="Arial"/>
        </w:rPr>
        <w:t xml:space="preserve"> ratifico su respuesta primigenia, e informó</w:t>
      </w:r>
      <w:r w:rsidRPr="005D6129">
        <w:rPr>
          <w:rFonts w:ascii="Palatino Linotype" w:hAnsi="Palatino Linotype" w:cs="Arial"/>
        </w:rPr>
        <w:t xml:space="preserve"> a través del Contralor Interno Municipa</w:t>
      </w:r>
      <w:r>
        <w:rPr>
          <w:rFonts w:ascii="Palatino Linotype" w:hAnsi="Palatino Linotype" w:cs="Arial"/>
        </w:rPr>
        <w:t>l</w:t>
      </w:r>
      <w:r w:rsidRPr="005D6129">
        <w:rPr>
          <w:rFonts w:ascii="Palatino Linotype" w:hAnsi="Palatino Linotype" w:cs="Arial"/>
        </w:rPr>
        <w:t xml:space="preserve"> que</w:t>
      </w:r>
      <w:r>
        <w:rPr>
          <w:rFonts w:ascii="Palatino Linotype" w:hAnsi="Palatino Linotype" w:cs="Arial"/>
        </w:rPr>
        <w:t>,</w:t>
      </w:r>
      <w:r w:rsidRPr="005D6129">
        <w:rPr>
          <w:rFonts w:ascii="Palatino Linotype" w:hAnsi="Palatino Linotype" w:cs="Arial"/>
        </w:rPr>
        <w:t xml:space="preserve"> </w:t>
      </w:r>
      <w:r>
        <w:rPr>
          <w:rFonts w:ascii="Palatino Linotype" w:hAnsi="Palatino Linotype" w:cs="Arial"/>
        </w:rPr>
        <w:t>el Recurrente en sus motivos de inconformidad amplio su requerimiento por lo que lo procedente es desechar el medio de impugnación de mérito.</w:t>
      </w:r>
    </w:p>
    <w:p w14:paraId="7AF49647" w14:textId="77777777" w:rsidR="005D6129" w:rsidRDefault="005D6129" w:rsidP="00BF390A">
      <w:pPr>
        <w:tabs>
          <w:tab w:val="left" w:pos="709"/>
        </w:tabs>
        <w:spacing w:line="360" w:lineRule="auto"/>
        <w:ind w:right="51"/>
        <w:jc w:val="both"/>
        <w:rPr>
          <w:rFonts w:ascii="Palatino Linotype" w:hAnsi="Palatino Linotype" w:cs="Arial"/>
        </w:rPr>
      </w:pPr>
    </w:p>
    <w:p w14:paraId="2056CAAE" w14:textId="29AD5DCF" w:rsidR="00BF390A" w:rsidRDefault="00BF390A" w:rsidP="00BF390A">
      <w:pPr>
        <w:tabs>
          <w:tab w:val="left" w:pos="709"/>
        </w:tabs>
        <w:spacing w:line="360" w:lineRule="auto"/>
        <w:ind w:right="51"/>
        <w:jc w:val="both"/>
        <w:rPr>
          <w:rFonts w:ascii="Palatino Linotype" w:hAnsi="Palatino Linotype" w:cs="Arial"/>
        </w:rPr>
      </w:pPr>
      <w:r w:rsidRPr="007F45B9">
        <w:rPr>
          <w:rFonts w:ascii="Palatino Linotype" w:hAnsi="Palatino Linotype" w:cs="Arial"/>
        </w:rPr>
        <w:t xml:space="preserve">Bajo las premisas anteriores, se concluye que en la especie será motivo de análisis si </w:t>
      </w:r>
      <w:r>
        <w:rPr>
          <w:rFonts w:ascii="Palatino Linotype" w:hAnsi="Palatino Linotype" w:cs="Arial"/>
        </w:rPr>
        <w:t xml:space="preserve">efectivamente, </w:t>
      </w:r>
      <w:r w:rsidRPr="007F45B9">
        <w:rPr>
          <w:rFonts w:ascii="Palatino Linotype" w:hAnsi="Palatino Linotype" w:cs="Arial"/>
        </w:rPr>
        <w:t xml:space="preserve">la </w:t>
      </w:r>
      <w:r>
        <w:rPr>
          <w:rFonts w:ascii="Palatino Linotype" w:hAnsi="Palatino Linotype" w:cs="Arial"/>
        </w:rPr>
        <w:t xml:space="preserve">respuesta </w:t>
      </w:r>
      <w:r w:rsidRPr="007F45B9">
        <w:rPr>
          <w:rFonts w:ascii="Palatino Linotype" w:hAnsi="Palatino Linotype" w:cs="Arial"/>
        </w:rPr>
        <w:t xml:space="preserve">otorgada </w:t>
      </w:r>
      <w:r>
        <w:rPr>
          <w:rFonts w:ascii="Palatino Linotype" w:hAnsi="Palatino Linotype" w:cs="Arial"/>
        </w:rPr>
        <w:t xml:space="preserve">por parte del </w:t>
      </w:r>
      <w:r w:rsidRPr="00A4120B">
        <w:rPr>
          <w:rFonts w:ascii="Palatino Linotype" w:hAnsi="Palatino Linotype" w:cs="Arial"/>
          <w:b/>
        </w:rPr>
        <w:t>Sujeto Obligado</w:t>
      </w:r>
      <w:r w:rsidRPr="007F45B9">
        <w:rPr>
          <w:rFonts w:ascii="Palatino Linotype" w:hAnsi="Palatino Linotype" w:cs="Arial"/>
        </w:rPr>
        <w:t xml:space="preserve"> satisface los</w:t>
      </w:r>
      <w:r>
        <w:rPr>
          <w:rFonts w:ascii="Palatino Linotype" w:hAnsi="Palatino Linotype" w:cs="Arial"/>
        </w:rPr>
        <w:t xml:space="preserve"> requisitos establecidos por la Ley de la materia.</w:t>
      </w:r>
    </w:p>
    <w:p w14:paraId="3E4EB687" w14:textId="77777777" w:rsidR="00895C8A" w:rsidRDefault="00895C8A" w:rsidP="00BF390A">
      <w:pPr>
        <w:tabs>
          <w:tab w:val="left" w:pos="709"/>
        </w:tabs>
        <w:spacing w:line="360" w:lineRule="auto"/>
        <w:ind w:right="51"/>
        <w:jc w:val="both"/>
        <w:rPr>
          <w:rFonts w:ascii="Palatino Linotype" w:hAnsi="Palatino Linotype" w:cs="Arial"/>
        </w:rPr>
      </w:pPr>
    </w:p>
    <w:p w14:paraId="3CAA3187" w14:textId="77777777" w:rsidR="00BF390A" w:rsidRPr="009B3996" w:rsidRDefault="00BF390A" w:rsidP="00BF390A">
      <w:pPr>
        <w:autoSpaceDE w:val="0"/>
        <w:autoSpaceDN w:val="0"/>
        <w:adjustRightInd w:val="0"/>
        <w:spacing w:after="240" w:line="360" w:lineRule="auto"/>
        <w:ind w:right="-91"/>
        <w:jc w:val="both"/>
        <w:rPr>
          <w:rFonts w:ascii="Palatino Linotype" w:hAnsi="Palatino Linotype" w:cs="Arial"/>
          <w:color w:val="000000"/>
        </w:rPr>
      </w:pPr>
      <w:r>
        <w:rPr>
          <w:rFonts w:ascii="Palatino Linotype" w:hAnsi="Palatino Linotype" w:cs="Arial"/>
          <w:color w:val="000000"/>
        </w:rPr>
        <w:t>Primeramente, es de advertirse lo siguiente</w:t>
      </w:r>
      <w:r w:rsidRPr="009B3996">
        <w:rPr>
          <w:rFonts w:ascii="Palatino Linotype" w:hAnsi="Palatino Linotype" w:cs="Arial"/>
          <w:color w:val="000000"/>
        </w:rPr>
        <w:t>,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683AEA59" w14:textId="77777777" w:rsidR="00BF390A" w:rsidRPr="006F3207" w:rsidRDefault="00BF390A" w:rsidP="00BF390A">
      <w:pPr>
        <w:spacing w:after="240"/>
        <w:ind w:left="851" w:right="851"/>
        <w:jc w:val="both"/>
        <w:rPr>
          <w:rFonts w:ascii="Palatino Linotype" w:hAnsi="Palatino Linotype" w:cs="Arial"/>
          <w:bCs/>
          <w:i/>
        </w:rPr>
      </w:pPr>
      <w:r w:rsidRPr="006F3207">
        <w:rPr>
          <w:rFonts w:ascii="Palatino Linotype" w:hAnsi="Palatino Linotype" w:cs="Arial"/>
          <w:bCs/>
          <w:i/>
        </w:rPr>
        <w:t>“</w:t>
      </w:r>
      <w:r w:rsidRPr="006F3207">
        <w:rPr>
          <w:rFonts w:ascii="Palatino Linotype" w:hAnsi="Palatino Linotype" w:cs="Arial"/>
          <w:b/>
          <w:bCs/>
          <w:i/>
        </w:rPr>
        <w:t>Artículo 6</w:t>
      </w:r>
    </w:p>
    <w:p w14:paraId="373D3E29" w14:textId="77777777" w:rsidR="00BF390A" w:rsidRPr="006F3207" w:rsidRDefault="00BF390A" w:rsidP="00BF390A">
      <w:pPr>
        <w:ind w:left="851" w:right="851"/>
        <w:jc w:val="both"/>
        <w:rPr>
          <w:rFonts w:ascii="Palatino Linotype" w:hAnsi="Palatino Linotype" w:cs="Arial"/>
          <w:bCs/>
          <w:i/>
        </w:rPr>
      </w:pPr>
      <w:r w:rsidRPr="006F3207">
        <w:rPr>
          <w:rFonts w:ascii="Palatino Linotype" w:hAnsi="Palatino Linotype" w:cs="Arial"/>
          <w:bCs/>
          <w:i/>
        </w:rPr>
        <w:t>…</w:t>
      </w:r>
    </w:p>
    <w:p w14:paraId="43867EF7" w14:textId="77777777" w:rsidR="00BF390A" w:rsidRPr="006F3207" w:rsidRDefault="00BF390A" w:rsidP="00BF390A">
      <w:pPr>
        <w:ind w:left="851" w:right="851"/>
        <w:jc w:val="both"/>
        <w:rPr>
          <w:rFonts w:ascii="Palatino Linotype" w:hAnsi="Palatino Linotype" w:cs="Arial"/>
          <w:bCs/>
          <w:i/>
        </w:rPr>
      </w:pPr>
      <w:r w:rsidRPr="006F3207">
        <w:rPr>
          <w:rFonts w:ascii="Palatino Linotype" w:hAnsi="Palatino Linotype" w:cs="Arial"/>
          <w:bCs/>
          <w:i/>
        </w:rPr>
        <w:t>Para el ejercicio del derecho de acceso a la información, la Federación, los Estados y el Distrito Federal, en el ámbito de sus respectivas competencias, se regirán por los siguientes principios y bases:</w:t>
      </w:r>
    </w:p>
    <w:p w14:paraId="19C19BEE" w14:textId="77777777" w:rsidR="00BF390A" w:rsidRPr="006F3207" w:rsidRDefault="00BF390A" w:rsidP="00BF390A">
      <w:pPr>
        <w:ind w:left="851" w:right="851"/>
        <w:jc w:val="both"/>
        <w:rPr>
          <w:rFonts w:ascii="Palatino Linotype" w:hAnsi="Palatino Linotype" w:cs="Arial"/>
          <w:bCs/>
          <w:i/>
        </w:rPr>
      </w:pPr>
    </w:p>
    <w:p w14:paraId="3387B6E7" w14:textId="77777777" w:rsidR="00BF390A" w:rsidRPr="006F3207" w:rsidRDefault="00BF390A" w:rsidP="00BF390A">
      <w:pPr>
        <w:tabs>
          <w:tab w:val="left" w:pos="709"/>
        </w:tabs>
        <w:ind w:left="851" w:right="851"/>
        <w:jc w:val="both"/>
        <w:rPr>
          <w:rFonts w:ascii="Palatino Linotype" w:hAnsi="Palatino Linotype" w:cs="Arial"/>
          <w:bCs/>
          <w:i/>
        </w:rPr>
      </w:pPr>
      <w:r w:rsidRPr="006F3207">
        <w:rPr>
          <w:rFonts w:ascii="Palatino Linotype" w:hAnsi="Palatino Linotype" w:cs="Arial"/>
          <w:bCs/>
          <w:i/>
        </w:rPr>
        <w:t xml:space="preserve">I. </w:t>
      </w:r>
      <w:r w:rsidRPr="006F3207">
        <w:rPr>
          <w:rFonts w:ascii="Palatino Linotype" w:hAnsi="Palatino Linotype" w:cs="Arial"/>
          <w:bCs/>
          <w:i/>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88093A8" w14:textId="77777777" w:rsidR="00BF390A" w:rsidRPr="009B3996" w:rsidRDefault="00BF390A" w:rsidP="00BF390A">
      <w:pPr>
        <w:tabs>
          <w:tab w:val="left" w:pos="709"/>
        </w:tabs>
        <w:spacing w:line="480" w:lineRule="auto"/>
        <w:jc w:val="both"/>
        <w:rPr>
          <w:rFonts w:ascii="Palatino Linotype" w:hAnsi="Palatino Linotype" w:cs="Arial"/>
        </w:rPr>
      </w:pPr>
    </w:p>
    <w:p w14:paraId="77AD88C4" w14:textId="77777777" w:rsidR="00BF390A" w:rsidRDefault="00BF390A" w:rsidP="00BF390A">
      <w:pPr>
        <w:tabs>
          <w:tab w:val="left" w:pos="709"/>
        </w:tabs>
        <w:spacing w:line="360" w:lineRule="auto"/>
        <w:jc w:val="both"/>
        <w:rPr>
          <w:rFonts w:ascii="Palatino Linotype" w:hAnsi="Palatino Linotype" w:cs="Arial"/>
        </w:rPr>
      </w:pPr>
      <w:r w:rsidRPr="009B3996">
        <w:rPr>
          <w:rFonts w:ascii="Palatino Linotype" w:hAnsi="Palatino Linotype" w:cs="Arial"/>
        </w:rPr>
        <w:t xml:space="preserve">Ahora bien, en atención a lo dispuesto por los artículos 3, fracción XI y 12 </w:t>
      </w:r>
      <w:r w:rsidRPr="009B3996">
        <w:rPr>
          <w:rFonts w:ascii="Palatino Linotype" w:hAnsi="Palatino Linotype" w:cs="Arial"/>
          <w:bCs/>
        </w:rPr>
        <w:t>de la Ley de Transparencia y Acceso a la Información Pública del Estado de México y Municipios</w:t>
      </w:r>
      <w:r w:rsidRPr="009B3996">
        <w:rPr>
          <w:rFonts w:ascii="Palatino Linotype" w:hAnsi="Palatino Linotype" w:cs="Arial"/>
        </w:rPr>
        <w:t>, los cuales son del tenor literal siguiente:</w:t>
      </w:r>
    </w:p>
    <w:p w14:paraId="5764C768" w14:textId="77777777" w:rsidR="00BF390A" w:rsidRPr="009B3996" w:rsidRDefault="00BF390A" w:rsidP="00BF390A">
      <w:pPr>
        <w:tabs>
          <w:tab w:val="left" w:pos="709"/>
        </w:tabs>
        <w:spacing w:line="360" w:lineRule="auto"/>
        <w:jc w:val="both"/>
        <w:rPr>
          <w:rFonts w:ascii="Palatino Linotype" w:hAnsi="Palatino Linotype" w:cs="Arial"/>
        </w:rPr>
      </w:pPr>
    </w:p>
    <w:p w14:paraId="5042B287" w14:textId="77777777" w:rsidR="00BF390A" w:rsidRPr="006F3207" w:rsidRDefault="00BF390A" w:rsidP="00BF390A">
      <w:pPr>
        <w:ind w:left="851" w:right="851"/>
        <w:jc w:val="both"/>
        <w:rPr>
          <w:rFonts w:ascii="Palatino Linotype" w:hAnsi="Palatino Linotype" w:cs="Arial"/>
          <w:i/>
        </w:rPr>
      </w:pPr>
      <w:r w:rsidRPr="006F3207">
        <w:rPr>
          <w:rFonts w:ascii="Palatino Linotype" w:hAnsi="Palatino Linotype" w:cs="Arial"/>
          <w:b/>
          <w:bCs/>
          <w:i/>
        </w:rPr>
        <w:t xml:space="preserve">“Artículo 3.- </w:t>
      </w:r>
      <w:r w:rsidRPr="006F3207">
        <w:rPr>
          <w:rFonts w:ascii="Palatino Linotype" w:hAnsi="Palatino Linotype" w:cs="Arial"/>
          <w:i/>
        </w:rPr>
        <w:t>Para los efectos de la presente Ley se entenderá por:</w:t>
      </w:r>
    </w:p>
    <w:p w14:paraId="29C7C567" w14:textId="77777777" w:rsidR="00BF390A" w:rsidRPr="006F3207" w:rsidRDefault="00BF390A" w:rsidP="00BF390A">
      <w:pPr>
        <w:ind w:left="851" w:right="851"/>
        <w:jc w:val="both"/>
        <w:rPr>
          <w:rFonts w:ascii="Palatino Linotype" w:hAnsi="Palatino Linotype" w:cs="Arial"/>
          <w:i/>
        </w:rPr>
      </w:pPr>
      <w:r w:rsidRPr="006F3207">
        <w:rPr>
          <w:rFonts w:ascii="Palatino Linotype" w:hAnsi="Palatino Linotype" w:cs="Arial"/>
          <w:i/>
        </w:rPr>
        <w:t>…</w:t>
      </w:r>
    </w:p>
    <w:p w14:paraId="6FECCA85" w14:textId="77777777" w:rsidR="00BF390A" w:rsidRPr="006F3207" w:rsidRDefault="00BF390A" w:rsidP="00BF390A">
      <w:pPr>
        <w:ind w:left="851" w:right="851"/>
        <w:jc w:val="both"/>
        <w:rPr>
          <w:rFonts w:ascii="Palatino Linotype" w:hAnsi="Palatino Linotype" w:cs="Arial"/>
          <w:i/>
        </w:rPr>
      </w:pPr>
      <w:r w:rsidRPr="006F3207">
        <w:rPr>
          <w:rFonts w:ascii="Palatino Linotype" w:hAnsi="Palatino Linotype" w:cs="Arial"/>
          <w:b/>
          <w:i/>
        </w:rPr>
        <w:t>XI.</w:t>
      </w:r>
      <w:r w:rsidRPr="006F3207">
        <w:rPr>
          <w:rFonts w:ascii="Palatino Linotype" w:hAnsi="Palatino Linotype" w:cs="Arial"/>
          <w:i/>
        </w:rPr>
        <w:t xml:space="preserve"> </w:t>
      </w:r>
      <w:r w:rsidRPr="006F3207">
        <w:rPr>
          <w:rFonts w:ascii="Palatino Linotype" w:hAnsi="Palatino Linotype" w:cs="Arial"/>
          <w:b/>
          <w:i/>
        </w:rPr>
        <w:t>Documento:</w:t>
      </w:r>
      <w:r w:rsidRPr="006F3207">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w:t>
      </w:r>
      <w:r w:rsidRPr="006F3207">
        <w:rPr>
          <w:rFonts w:ascii="Palatino Linotype" w:hAnsi="Palatino Linotype" w:cs="Arial"/>
          <w:b/>
          <w:i/>
          <w:u w:val="single"/>
        </w:rPr>
        <w:t>cualquier otro registro que documente el ejercicio de las facultades, funciones y competencias de los sujetos obligados, sus servidores públicos e integrantes, sin importar su fuente o fecha de elaboración.</w:t>
      </w:r>
      <w:r w:rsidRPr="006F3207">
        <w:rPr>
          <w:rFonts w:ascii="Palatino Linotype" w:hAnsi="Palatino Linotype" w:cs="Arial"/>
          <w:i/>
        </w:rPr>
        <w:t xml:space="preserve"> Los documentos podrán estar en cualquier medio, sea escrito, impreso, sonoro, visual, electrónico, informático u holográfico;</w:t>
      </w:r>
    </w:p>
    <w:p w14:paraId="6A2242CE" w14:textId="77777777" w:rsidR="00BF390A" w:rsidRPr="006F3207" w:rsidRDefault="00BF390A" w:rsidP="00BF390A">
      <w:pPr>
        <w:ind w:left="851" w:right="851"/>
        <w:jc w:val="both"/>
        <w:rPr>
          <w:rFonts w:ascii="Palatino Linotype" w:hAnsi="Palatino Linotype" w:cs="Arial"/>
          <w:i/>
        </w:rPr>
      </w:pPr>
    </w:p>
    <w:p w14:paraId="3F69C7A8" w14:textId="77777777" w:rsidR="00BF390A" w:rsidRPr="006F3207" w:rsidRDefault="00BF390A" w:rsidP="00BF390A">
      <w:pPr>
        <w:autoSpaceDE w:val="0"/>
        <w:autoSpaceDN w:val="0"/>
        <w:adjustRightInd w:val="0"/>
        <w:ind w:left="851" w:right="851"/>
        <w:jc w:val="both"/>
        <w:rPr>
          <w:rFonts w:ascii="Palatino Linotype" w:hAnsi="Palatino Linotype" w:cs="Arial"/>
          <w:bCs/>
          <w:i/>
        </w:rPr>
      </w:pPr>
      <w:r w:rsidRPr="006F3207">
        <w:rPr>
          <w:rFonts w:ascii="Palatino Linotype" w:hAnsi="Palatino Linotype" w:cs="Arial"/>
          <w:b/>
          <w:bCs/>
          <w:i/>
        </w:rPr>
        <w:t>Artículo 4.</w:t>
      </w:r>
      <w:r w:rsidRPr="006F3207">
        <w:rPr>
          <w:rFonts w:ascii="Palatino Linotype" w:hAnsi="Palatino Linotype" w:cs="Arial"/>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81D444F" w14:textId="77777777" w:rsidR="00BF390A" w:rsidRPr="006F3207" w:rsidRDefault="00BF390A" w:rsidP="00BF390A">
      <w:pPr>
        <w:autoSpaceDE w:val="0"/>
        <w:autoSpaceDN w:val="0"/>
        <w:adjustRightInd w:val="0"/>
        <w:ind w:left="851" w:right="851"/>
        <w:jc w:val="both"/>
        <w:rPr>
          <w:rFonts w:ascii="Palatino Linotype" w:hAnsi="Palatino Linotype" w:cs="Arial"/>
          <w:bCs/>
          <w:i/>
        </w:rPr>
      </w:pPr>
      <w:r w:rsidRPr="006F3207">
        <w:rPr>
          <w:rFonts w:ascii="Palatino Linotype" w:hAnsi="Palatino Linotype" w:cs="Arial"/>
          <w:b/>
          <w:bCs/>
          <w:i/>
          <w:u w:val="single"/>
        </w:rPr>
        <w:t>Toda la información generada, obtenida, adquirida, transformada, administrada o en posesión de los sujetos obligados es pública y accesible de manera permanente a cualquier persona,</w:t>
      </w:r>
      <w:r w:rsidRPr="006F3207">
        <w:rPr>
          <w:rFonts w:ascii="Palatino Linotype" w:hAnsi="Palatino Linotype" w:cs="Arial"/>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5D26117" w14:textId="77777777" w:rsidR="00BF390A" w:rsidRPr="006F3207" w:rsidRDefault="00BF390A" w:rsidP="00BF390A">
      <w:pPr>
        <w:autoSpaceDE w:val="0"/>
        <w:autoSpaceDN w:val="0"/>
        <w:adjustRightInd w:val="0"/>
        <w:ind w:left="851" w:right="851"/>
        <w:jc w:val="both"/>
        <w:rPr>
          <w:rFonts w:ascii="Palatino Linotype" w:hAnsi="Palatino Linotype" w:cs="Arial"/>
          <w:bCs/>
          <w:i/>
        </w:rPr>
      </w:pPr>
      <w:r w:rsidRPr="006F3207">
        <w:rPr>
          <w:rFonts w:ascii="Palatino Linotype" w:hAnsi="Palatino Linotype" w:cs="Arial"/>
          <w:bCs/>
          <w:i/>
        </w:rPr>
        <w:t>Los sujetos obligados deben poner en práctica, políticas y programas de acceso a la información que se apeguen a criterios de publicidad, veracidad, oportunidad, precisión y suficiencia en beneficio de los solicitantes.</w:t>
      </w:r>
    </w:p>
    <w:p w14:paraId="22E399C1" w14:textId="77777777" w:rsidR="00BF390A" w:rsidRPr="006F3207" w:rsidRDefault="00BF390A" w:rsidP="00BF390A">
      <w:pPr>
        <w:ind w:left="851" w:right="851"/>
        <w:jc w:val="both"/>
        <w:rPr>
          <w:rFonts w:ascii="Palatino Linotype" w:hAnsi="Palatino Linotype" w:cs="Arial"/>
          <w:i/>
        </w:rPr>
      </w:pPr>
    </w:p>
    <w:p w14:paraId="108E5842" w14:textId="77777777" w:rsidR="00BF390A" w:rsidRPr="006F3207" w:rsidRDefault="00BF390A" w:rsidP="00BF390A">
      <w:pPr>
        <w:ind w:left="851" w:right="851"/>
        <w:jc w:val="both"/>
        <w:rPr>
          <w:rFonts w:ascii="Palatino Linotype" w:hAnsi="Palatino Linotype" w:cs="Arial"/>
          <w:i/>
        </w:rPr>
      </w:pPr>
      <w:r w:rsidRPr="006F3207">
        <w:rPr>
          <w:rFonts w:ascii="Palatino Linotype" w:hAnsi="Palatino Linotype" w:cs="Arial"/>
          <w:b/>
          <w:i/>
        </w:rPr>
        <w:t>Artículo 12.</w:t>
      </w:r>
      <w:r w:rsidRPr="006F3207">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3FDC98F8" w14:textId="77777777" w:rsidR="00BF390A" w:rsidRPr="006F3207" w:rsidRDefault="00BF390A" w:rsidP="00BF390A">
      <w:pPr>
        <w:ind w:left="851" w:right="851"/>
        <w:jc w:val="both"/>
        <w:rPr>
          <w:rFonts w:ascii="Palatino Linotype" w:hAnsi="Palatino Linotype" w:cs="Arial"/>
          <w:i/>
        </w:rPr>
      </w:pPr>
    </w:p>
    <w:p w14:paraId="0CE53664" w14:textId="77777777" w:rsidR="00BF390A" w:rsidRPr="006F3207" w:rsidRDefault="00BF390A" w:rsidP="00BF390A">
      <w:pPr>
        <w:ind w:left="851" w:right="851"/>
        <w:jc w:val="both"/>
        <w:rPr>
          <w:rFonts w:ascii="Palatino Linotype" w:hAnsi="Palatino Linotype" w:cs="Arial"/>
          <w:i/>
          <w:u w:val="single"/>
        </w:rPr>
      </w:pPr>
      <w:r w:rsidRPr="006F3207">
        <w:rPr>
          <w:rFonts w:ascii="Palatino Linotype" w:hAnsi="Palatino Linotype" w:cs="Arial"/>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F3207">
        <w:rPr>
          <w:rFonts w:ascii="Palatino Linotype" w:hAnsi="Palatino Linotype" w:cs="Arial"/>
          <w:i/>
        </w:rPr>
        <w:t>.”</w:t>
      </w:r>
    </w:p>
    <w:p w14:paraId="50645B11" w14:textId="77777777" w:rsidR="00BF390A" w:rsidRPr="006F3207" w:rsidRDefault="00BF390A" w:rsidP="00BF390A">
      <w:pPr>
        <w:ind w:left="851" w:right="851"/>
        <w:jc w:val="right"/>
        <w:rPr>
          <w:rFonts w:ascii="Palatino Linotype" w:hAnsi="Palatino Linotype" w:cs="Arial"/>
        </w:rPr>
      </w:pPr>
    </w:p>
    <w:p w14:paraId="3506729E" w14:textId="77777777" w:rsidR="00BF390A" w:rsidRDefault="00BF390A" w:rsidP="00BF390A">
      <w:pPr>
        <w:ind w:left="851" w:right="851"/>
        <w:jc w:val="right"/>
        <w:rPr>
          <w:rFonts w:ascii="Palatino Linotype" w:hAnsi="Palatino Linotype" w:cs="Arial"/>
        </w:rPr>
      </w:pPr>
      <w:r w:rsidRPr="006F3207">
        <w:rPr>
          <w:rFonts w:ascii="Palatino Linotype" w:hAnsi="Palatino Linotype" w:cs="Arial"/>
        </w:rPr>
        <w:t>[Énfasis añadido]</w:t>
      </w:r>
    </w:p>
    <w:p w14:paraId="5367F043" w14:textId="77777777" w:rsidR="00BF390A" w:rsidRPr="006F3207" w:rsidRDefault="00BF390A" w:rsidP="00BF390A">
      <w:pPr>
        <w:ind w:left="851" w:right="851"/>
        <w:jc w:val="right"/>
        <w:rPr>
          <w:rFonts w:ascii="Palatino Linotype" w:hAnsi="Palatino Linotype" w:cs="Arial"/>
        </w:rPr>
      </w:pPr>
    </w:p>
    <w:p w14:paraId="55792483" w14:textId="02598D7A" w:rsidR="00BF390A" w:rsidRDefault="00BF390A" w:rsidP="00BF390A">
      <w:pPr>
        <w:spacing w:line="360" w:lineRule="auto"/>
        <w:jc w:val="both"/>
        <w:rPr>
          <w:rFonts w:ascii="Palatino Linotype" w:hAnsi="Palatino Linotype" w:cs="Arial"/>
        </w:rPr>
      </w:pPr>
      <w:r w:rsidRPr="005355FA">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1EB9E551" w14:textId="62BF01E4" w:rsidR="0081409D" w:rsidRDefault="0081409D" w:rsidP="002D446D">
      <w:pPr>
        <w:autoSpaceDE w:val="0"/>
        <w:autoSpaceDN w:val="0"/>
        <w:adjustRightInd w:val="0"/>
        <w:spacing w:line="360" w:lineRule="auto"/>
        <w:jc w:val="both"/>
        <w:rPr>
          <w:rFonts w:ascii="Palatino Linotype" w:hAnsi="Palatino Linotype"/>
          <w:lang w:val="es-ES_tradnl"/>
        </w:rPr>
      </w:pPr>
    </w:p>
    <w:p w14:paraId="7F3B5EC4" w14:textId="7249783E" w:rsidR="001212E7" w:rsidRPr="006C064C" w:rsidRDefault="00D03BC9" w:rsidP="001212E7">
      <w:pPr>
        <w:spacing w:after="240" w:line="360" w:lineRule="auto"/>
        <w:jc w:val="both"/>
        <w:rPr>
          <w:rFonts w:ascii="Palatino Linotype" w:eastAsia="Calibri" w:hAnsi="Palatino Linotype" w:cs="Arial"/>
          <w:lang w:val="es-MX" w:eastAsia="en-US"/>
        </w:rPr>
      </w:pPr>
      <w:r w:rsidRPr="007475B4">
        <w:rPr>
          <w:rFonts w:ascii="Palatino Linotype" w:eastAsia="Calibri" w:hAnsi="Palatino Linotype"/>
          <w:lang w:val="es-MX" w:eastAsia="en-US"/>
        </w:rPr>
        <w:t>Por otro lado</w:t>
      </w:r>
      <w:r w:rsidR="003148B9" w:rsidRPr="007475B4">
        <w:rPr>
          <w:rFonts w:ascii="Palatino Linotype" w:eastAsia="Calibri" w:hAnsi="Palatino Linotype"/>
          <w:lang w:val="es-MX" w:eastAsia="en-US"/>
        </w:rPr>
        <w:t xml:space="preserve">, no debe soslayarse el hecho de que </w:t>
      </w:r>
      <w:r w:rsidR="003148B9" w:rsidRPr="007475B4">
        <w:rPr>
          <w:rFonts w:ascii="Palatino Linotype" w:eastAsia="Calibri" w:hAnsi="Palatino Linotype"/>
          <w:b/>
          <w:lang w:val="es-MX" w:eastAsia="en-US"/>
        </w:rPr>
        <w:t>el Recurrente</w:t>
      </w:r>
      <w:r w:rsidR="003148B9" w:rsidRPr="007475B4">
        <w:rPr>
          <w:rFonts w:ascii="Palatino Linotype" w:eastAsia="Calibri" w:hAnsi="Palatino Linotype"/>
          <w:lang w:val="es-MX" w:eastAsia="en-US"/>
        </w:rPr>
        <w:t xml:space="preserve"> </w:t>
      </w:r>
      <w:r w:rsidR="001212E7">
        <w:rPr>
          <w:rFonts w:ascii="Palatino Linotype" w:eastAsia="Calibri" w:hAnsi="Palatino Linotype" w:cs="Arial"/>
          <w:iCs/>
          <w:lang w:eastAsia="en-US"/>
        </w:rPr>
        <w:t>no especificó la temporalidad de la información a la cual pretende el acceso</w:t>
      </w:r>
      <w:r w:rsidR="001212E7" w:rsidRPr="006C064C">
        <w:rPr>
          <w:rFonts w:ascii="Palatino Linotype" w:eastAsia="Calibri" w:hAnsi="Palatino Linotype" w:cs="Arial"/>
          <w:lang w:val="es-MX" w:eastAsia="en-US"/>
        </w:rPr>
        <w:t xml:space="preserve">, </w:t>
      </w:r>
      <w:r w:rsidR="001212E7">
        <w:rPr>
          <w:rFonts w:ascii="Palatino Linotype" w:eastAsia="Calibri" w:hAnsi="Palatino Linotype" w:cs="Arial"/>
          <w:lang w:val="es-MX" w:eastAsia="en-US"/>
        </w:rPr>
        <w:t>por lo que se deberá contemplar para el presente estudio</w:t>
      </w:r>
      <w:r w:rsidR="001212E7" w:rsidRPr="006C064C">
        <w:rPr>
          <w:rFonts w:ascii="Palatino Linotype" w:eastAsia="Calibri" w:hAnsi="Palatino Linotype" w:cs="Arial"/>
          <w:lang w:val="es-MX" w:eastAsia="en-US"/>
        </w:rPr>
        <w:t xml:space="preserve"> </w:t>
      </w:r>
      <w:r w:rsidR="001212E7">
        <w:rPr>
          <w:rFonts w:ascii="Palatino Linotype" w:eastAsia="Calibri" w:hAnsi="Palatino Linotype" w:cs="Arial"/>
          <w:lang w:val="es-MX" w:eastAsia="en-US"/>
        </w:rPr>
        <w:t>de un</w:t>
      </w:r>
      <w:r w:rsidR="001212E7" w:rsidRPr="003A1AEA">
        <w:rPr>
          <w:rFonts w:ascii="Palatino Linotype" w:eastAsia="Calibri" w:hAnsi="Palatino Linotype" w:cs="Arial"/>
          <w:lang w:val="es-MX" w:eastAsia="en-US"/>
        </w:rPr>
        <w:t xml:space="preserve"> año inmediato anterior, contado a partir de la fecha en que se presentó la solicitud </w:t>
      </w:r>
      <w:r w:rsidR="001212E7" w:rsidRPr="006C064C">
        <w:rPr>
          <w:rFonts w:ascii="Palatino Linotype" w:eastAsia="Calibri" w:hAnsi="Palatino Linotype" w:cs="Arial"/>
          <w:lang w:val="es-MX" w:eastAsia="en-US"/>
        </w:rPr>
        <w:t xml:space="preserve">en virtud de lo señalado en </w:t>
      </w:r>
      <w:r w:rsidR="001212E7" w:rsidRPr="006C064C">
        <w:rPr>
          <w:rFonts w:ascii="Palatino Linotype" w:hAnsi="Palatino Linotype"/>
          <w:lang w:val="es-MX"/>
        </w:rPr>
        <w:t xml:space="preserve">el criterio </w:t>
      </w:r>
      <w:r w:rsidR="001212E7" w:rsidRPr="006C064C">
        <w:rPr>
          <w:rFonts w:ascii="Palatino Linotype" w:hAnsi="Palatino Linotype"/>
          <w:b/>
          <w:lang w:val="es-MX"/>
        </w:rPr>
        <w:t xml:space="preserve">03/19 </w:t>
      </w:r>
      <w:r w:rsidR="001212E7" w:rsidRPr="006C064C">
        <w:rPr>
          <w:rFonts w:ascii="Palatino Linotype" w:hAnsi="Palatino Linotype"/>
          <w:lang w:val="es-MX"/>
        </w:rPr>
        <w:t xml:space="preserve">emitido por el Instituto Nacional de Transparencia, Acceso a la Información y Protección de Datos Personales, cuyo contenido literal es el siguiente: </w:t>
      </w:r>
    </w:p>
    <w:p w14:paraId="23AF7C1E" w14:textId="77777777" w:rsidR="001212E7" w:rsidRPr="006C064C" w:rsidRDefault="001212E7" w:rsidP="001212E7">
      <w:pPr>
        <w:spacing w:before="240" w:after="160"/>
        <w:ind w:left="851" w:right="851"/>
        <w:jc w:val="center"/>
        <w:rPr>
          <w:rFonts w:ascii="Palatino Linotype" w:eastAsia="Arial" w:hAnsi="Palatino Linotype" w:cs="Arial"/>
          <w:b/>
          <w:i/>
          <w:sz w:val="22"/>
          <w:szCs w:val="22"/>
          <w:lang w:val="es-MX" w:eastAsia="en-US"/>
        </w:rPr>
      </w:pPr>
      <w:r w:rsidRPr="006C064C">
        <w:rPr>
          <w:rFonts w:ascii="Palatino Linotype" w:eastAsia="Arial" w:hAnsi="Palatino Linotype" w:cs="Arial"/>
          <w:b/>
          <w:i/>
          <w:sz w:val="22"/>
          <w:szCs w:val="22"/>
          <w:lang w:val="es-MX" w:eastAsia="en-US"/>
        </w:rPr>
        <w:t>“PERIODO DE BÚSQUEDA DE LA INFORMACIÓN.</w:t>
      </w:r>
    </w:p>
    <w:p w14:paraId="1E394891" w14:textId="77777777" w:rsidR="001212E7" w:rsidRPr="006C064C" w:rsidRDefault="001212E7" w:rsidP="001212E7">
      <w:pPr>
        <w:spacing w:before="240" w:after="160"/>
        <w:ind w:left="851" w:right="851"/>
        <w:jc w:val="both"/>
        <w:rPr>
          <w:rFonts w:ascii="Palatino Linotype" w:eastAsia="Arial" w:hAnsi="Palatino Linotype" w:cs="Arial"/>
          <w:i/>
          <w:sz w:val="22"/>
          <w:szCs w:val="22"/>
          <w:lang w:val="es-MX" w:eastAsia="en-US"/>
        </w:rPr>
      </w:pPr>
      <w:r w:rsidRPr="006C064C">
        <w:rPr>
          <w:rFonts w:ascii="Palatino Linotype" w:eastAsia="Arial" w:hAnsi="Palatino Linotype" w:cs="Arial"/>
          <w:i/>
          <w:sz w:val="22"/>
          <w:szCs w:val="22"/>
          <w:lang w:val="es-MX" w:eastAsia="en-US"/>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16A1A8F6" w14:textId="77777777" w:rsidR="001212E7" w:rsidRPr="006C064C" w:rsidRDefault="001212E7" w:rsidP="001212E7">
      <w:pPr>
        <w:spacing w:before="240" w:after="160"/>
        <w:ind w:left="851" w:right="851"/>
        <w:jc w:val="both"/>
        <w:rPr>
          <w:rFonts w:ascii="Palatino Linotype" w:eastAsia="Calibri" w:hAnsi="Palatino Linotype" w:cs="Arial"/>
          <w:i/>
          <w:sz w:val="22"/>
          <w:szCs w:val="22"/>
          <w:lang w:val="es-MX" w:eastAsia="en-US"/>
        </w:rPr>
      </w:pPr>
      <w:r w:rsidRPr="006C064C">
        <w:rPr>
          <w:rFonts w:ascii="Palatino Linotype" w:eastAsia="Arial" w:hAnsi="Palatino Linotype" w:cs="Arial"/>
          <w:b/>
          <w:i/>
          <w:spacing w:val="-1"/>
          <w:sz w:val="22"/>
          <w:szCs w:val="22"/>
          <w:lang w:val="es-MX" w:eastAsia="en-US"/>
        </w:rPr>
        <w:t>R</w:t>
      </w:r>
      <w:r w:rsidRPr="006C064C">
        <w:rPr>
          <w:rFonts w:ascii="Palatino Linotype" w:eastAsia="Arial" w:hAnsi="Palatino Linotype" w:cs="Arial"/>
          <w:b/>
          <w:i/>
          <w:sz w:val="22"/>
          <w:szCs w:val="22"/>
          <w:lang w:val="es-MX" w:eastAsia="en-US"/>
        </w:rPr>
        <w:t>e</w:t>
      </w:r>
      <w:r w:rsidRPr="006C064C">
        <w:rPr>
          <w:rFonts w:ascii="Palatino Linotype" w:eastAsia="Arial" w:hAnsi="Palatino Linotype" w:cs="Arial"/>
          <w:b/>
          <w:i/>
          <w:spacing w:val="-1"/>
          <w:sz w:val="22"/>
          <w:szCs w:val="22"/>
          <w:lang w:val="es-MX" w:eastAsia="en-US"/>
        </w:rPr>
        <w:t>s</w:t>
      </w:r>
      <w:r w:rsidRPr="006C064C">
        <w:rPr>
          <w:rFonts w:ascii="Palatino Linotype" w:eastAsia="Arial" w:hAnsi="Palatino Linotype" w:cs="Arial"/>
          <w:b/>
          <w:i/>
          <w:sz w:val="22"/>
          <w:szCs w:val="22"/>
          <w:lang w:val="es-MX" w:eastAsia="en-US"/>
        </w:rPr>
        <w:t>olucion</w:t>
      </w:r>
      <w:r w:rsidRPr="006C064C">
        <w:rPr>
          <w:rFonts w:ascii="Palatino Linotype" w:eastAsia="Arial" w:hAnsi="Palatino Linotype" w:cs="Arial"/>
          <w:b/>
          <w:i/>
          <w:spacing w:val="-1"/>
          <w:sz w:val="22"/>
          <w:szCs w:val="22"/>
          <w:lang w:val="es-MX" w:eastAsia="en-US"/>
        </w:rPr>
        <w:t>es</w:t>
      </w:r>
    </w:p>
    <w:p w14:paraId="52DBA761" w14:textId="77777777" w:rsidR="001212E7" w:rsidRPr="006C064C" w:rsidRDefault="001212E7" w:rsidP="001212E7">
      <w:pPr>
        <w:numPr>
          <w:ilvl w:val="0"/>
          <w:numId w:val="28"/>
        </w:numPr>
        <w:spacing w:before="240" w:after="160"/>
        <w:ind w:left="851" w:right="851"/>
        <w:contextualSpacing/>
        <w:jc w:val="both"/>
        <w:rPr>
          <w:rFonts w:ascii="Palatino Linotype" w:eastAsia="Symbol" w:hAnsi="Palatino Linotype" w:cs="Arial"/>
          <w:i/>
          <w:sz w:val="22"/>
          <w:szCs w:val="22"/>
        </w:rPr>
      </w:pPr>
      <w:r w:rsidRPr="006C064C">
        <w:rPr>
          <w:rFonts w:ascii="Palatino Linotype" w:eastAsia="Arial" w:hAnsi="Palatino Linotype" w:cs="Arial"/>
          <w:b/>
          <w:i/>
          <w:spacing w:val="-1"/>
          <w:sz w:val="22"/>
          <w:szCs w:val="22"/>
        </w:rPr>
        <w:t>R</w:t>
      </w:r>
      <w:r w:rsidRPr="006C064C">
        <w:rPr>
          <w:rFonts w:ascii="Palatino Linotype" w:eastAsia="Arial" w:hAnsi="Palatino Linotype" w:cs="Arial"/>
          <w:b/>
          <w:i/>
          <w:spacing w:val="3"/>
          <w:sz w:val="22"/>
          <w:szCs w:val="22"/>
        </w:rPr>
        <w:t>R</w:t>
      </w:r>
      <w:r w:rsidRPr="006C064C">
        <w:rPr>
          <w:rFonts w:ascii="Palatino Linotype" w:eastAsia="Arial" w:hAnsi="Palatino Linotype" w:cs="Arial"/>
          <w:b/>
          <w:i/>
          <w:sz w:val="22"/>
          <w:szCs w:val="22"/>
        </w:rPr>
        <w:t>A</w:t>
      </w:r>
      <w:r w:rsidRPr="006C064C">
        <w:rPr>
          <w:rFonts w:ascii="Palatino Linotype" w:eastAsia="Arial" w:hAnsi="Palatino Linotype" w:cs="Arial"/>
          <w:b/>
          <w:i/>
          <w:spacing w:val="5"/>
          <w:sz w:val="22"/>
          <w:szCs w:val="22"/>
        </w:rPr>
        <w:t xml:space="preserve"> 0022</w:t>
      </w:r>
      <w:r w:rsidRPr="006C064C">
        <w:rPr>
          <w:rFonts w:ascii="Palatino Linotype" w:eastAsia="Arial" w:hAnsi="Palatino Linotype" w:cs="Arial"/>
          <w:b/>
          <w:i/>
          <w:spacing w:val="-1"/>
          <w:sz w:val="22"/>
          <w:szCs w:val="22"/>
        </w:rPr>
        <w:t>/17</w:t>
      </w:r>
      <w:r w:rsidRPr="006C064C">
        <w:rPr>
          <w:rFonts w:ascii="Palatino Linotype" w:eastAsia="Arial" w:hAnsi="Palatino Linotype" w:cs="Arial"/>
          <w:b/>
          <w:i/>
          <w:sz w:val="22"/>
          <w:szCs w:val="22"/>
        </w:rPr>
        <w:t>.</w:t>
      </w:r>
      <w:r w:rsidRPr="006C064C">
        <w:rPr>
          <w:rFonts w:ascii="Palatino Linotype" w:eastAsia="Arial" w:hAnsi="Palatino Linotype" w:cs="Arial"/>
          <w:b/>
          <w:i/>
          <w:spacing w:val="15"/>
          <w:sz w:val="22"/>
          <w:szCs w:val="22"/>
        </w:rPr>
        <w:t xml:space="preserve"> </w:t>
      </w:r>
      <w:r w:rsidRPr="006C064C">
        <w:rPr>
          <w:rFonts w:ascii="Palatino Linotype" w:eastAsia="Arial" w:hAnsi="Palatino Linotype" w:cs="Arial"/>
          <w:i/>
          <w:spacing w:val="-1"/>
          <w:sz w:val="22"/>
          <w:szCs w:val="22"/>
        </w:rPr>
        <w:t>Instituto Mexicano de la Propiedad Industrial</w:t>
      </w:r>
      <w:r w:rsidRPr="006C064C">
        <w:rPr>
          <w:rFonts w:ascii="Palatino Linotype" w:eastAsia="Arial" w:hAnsi="Palatino Linotype" w:cs="Arial"/>
          <w:i/>
          <w:sz w:val="22"/>
          <w:szCs w:val="22"/>
        </w:rPr>
        <w:t>.</w:t>
      </w:r>
      <w:r w:rsidRPr="006C064C">
        <w:rPr>
          <w:rFonts w:ascii="Palatino Linotype" w:eastAsia="Arial" w:hAnsi="Palatino Linotype" w:cs="Arial"/>
          <w:i/>
          <w:spacing w:val="4"/>
          <w:sz w:val="22"/>
          <w:szCs w:val="22"/>
        </w:rPr>
        <w:t xml:space="preserve"> 16 de febrero de 2017. Por unanimidad. </w:t>
      </w:r>
      <w:r w:rsidRPr="006C064C">
        <w:rPr>
          <w:rFonts w:ascii="Palatino Linotype" w:eastAsia="Arial" w:hAnsi="Palatino Linotype" w:cs="Arial"/>
          <w:i/>
          <w:spacing w:val="-1"/>
          <w:sz w:val="22"/>
          <w:szCs w:val="22"/>
        </w:rPr>
        <w:t>C</w:t>
      </w:r>
      <w:r w:rsidRPr="006C064C">
        <w:rPr>
          <w:rFonts w:ascii="Palatino Linotype" w:eastAsia="Arial" w:hAnsi="Palatino Linotype" w:cs="Arial"/>
          <w:i/>
          <w:sz w:val="22"/>
          <w:szCs w:val="22"/>
        </w:rPr>
        <w:t>omis</w:t>
      </w:r>
      <w:r w:rsidRPr="006C064C">
        <w:rPr>
          <w:rFonts w:ascii="Palatino Linotype" w:eastAsia="Arial" w:hAnsi="Palatino Linotype" w:cs="Arial"/>
          <w:i/>
          <w:spacing w:val="-2"/>
          <w:sz w:val="22"/>
          <w:szCs w:val="22"/>
        </w:rPr>
        <w:t>i</w:t>
      </w:r>
      <w:r w:rsidRPr="006C064C">
        <w:rPr>
          <w:rFonts w:ascii="Palatino Linotype" w:eastAsia="Arial" w:hAnsi="Palatino Linotype" w:cs="Arial"/>
          <w:i/>
          <w:sz w:val="22"/>
          <w:szCs w:val="22"/>
        </w:rPr>
        <w:t>o</w:t>
      </w:r>
      <w:r w:rsidRPr="006C064C">
        <w:rPr>
          <w:rFonts w:ascii="Palatino Linotype" w:eastAsia="Arial" w:hAnsi="Palatino Linotype" w:cs="Arial"/>
          <w:i/>
          <w:spacing w:val="1"/>
          <w:sz w:val="22"/>
          <w:szCs w:val="22"/>
        </w:rPr>
        <w:t>n</w:t>
      </w:r>
      <w:r w:rsidRPr="006C064C">
        <w:rPr>
          <w:rFonts w:ascii="Palatino Linotype" w:eastAsia="Arial" w:hAnsi="Palatino Linotype" w:cs="Arial"/>
          <w:i/>
          <w:sz w:val="22"/>
          <w:szCs w:val="22"/>
        </w:rPr>
        <w:t>a</w:t>
      </w:r>
      <w:r w:rsidRPr="006C064C">
        <w:rPr>
          <w:rFonts w:ascii="Palatino Linotype" w:eastAsia="Arial" w:hAnsi="Palatino Linotype" w:cs="Arial"/>
          <w:i/>
          <w:spacing w:val="-1"/>
          <w:sz w:val="22"/>
          <w:szCs w:val="22"/>
        </w:rPr>
        <w:t>d</w:t>
      </w:r>
      <w:r w:rsidRPr="006C064C">
        <w:rPr>
          <w:rFonts w:ascii="Palatino Linotype" w:eastAsia="Arial" w:hAnsi="Palatino Linotype" w:cs="Arial"/>
          <w:i/>
          <w:sz w:val="22"/>
          <w:szCs w:val="22"/>
        </w:rPr>
        <w:t>o</w:t>
      </w:r>
      <w:r w:rsidRPr="006C064C">
        <w:rPr>
          <w:rFonts w:ascii="Palatino Linotype" w:eastAsia="Arial" w:hAnsi="Palatino Linotype" w:cs="Arial"/>
          <w:i/>
          <w:spacing w:val="3"/>
          <w:sz w:val="22"/>
          <w:szCs w:val="22"/>
        </w:rPr>
        <w:t xml:space="preserve"> </w:t>
      </w:r>
      <w:r w:rsidRPr="006C064C">
        <w:rPr>
          <w:rFonts w:ascii="Palatino Linotype" w:eastAsia="Arial" w:hAnsi="Palatino Linotype" w:cs="Arial"/>
          <w:i/>
          <w:spacing w:val="-1"/>
          <w:sz w:val="22"/>
          <w:szCs w:val="22"/>
        </w:rPr>
        <w:t>P</w:t>
      </w:r>
      <w:r w:rsidRPr="006C064C">
        <w:rPr>
          <w:rFonts w:ascii="Palatino Linotype" w:eastAsia="Arial" w:hAnsi="Palatino Linotype" w:cs="Arial"/>
          <w:i/>
          <w:sz w:val="22"/>
          <w:szCs w:val="22"/>
        </w:rPr>
        <w:t>o</w:t>
      </w:r>
      <w:r w:rsidRPr="006C064C">
        <w:rPr>
          <w:rFonts w:ascii="Palatino Linotype" w:eastAsia="Arial" w:hAnsi="Palatino Linotype" w:cs="Arial"/>
          <w:i/>
          <w:spacing w:val="-1"/>
          <w:sz w:val="22"/>
          <w:szCs w:val="22"/>
        </w:rPr>
        <w:t>n</w:t>
      </w:r>
      <w:r w:rsidRPr="006C064C">
        <w:rPr>
          <w:rFonts w:ascii="Palatino Linotype" w:eastAsia="Arial" w:hAnsi="Palatino Linotype" w:cs="Arial"/>
          <w:i/>
          <w:sz w:val="22"/>
          <w:szCs w:val="22"/>
        </w:rPr>
        <w:t>e</w:t>
      </w:r>
      <w:r w:rsidRPr="006C064C">
        <w:rPr>
          <w:rFonts w:ascii="Palatino Linotype" w:eastAsia="Arial" w:hAnsi="Palatino Linotype" w:cs="Arial"/>
          <w:i/>
          <w:spacing w:val="-1"/>
          <w:sz w:val="22"/>
          <w:szCs w:val="22"/>
        </w:rPr>
        <w:t>n</w:t>
      </w:r>
      <w:r w:rsidRPr="006C064C">
        <w:rPr>
          <w:rFonts w:ascii="Palatino Linotype" w:eastAsia="Arial" w:hAnsi="Palatino Linotype" w:cs="Arial"/>
          <w:i/>
          <w:spacing w:val="1"/>
          <w:sz w:val="22"/>
          <w:szCs w:val="22"/>
        </w:rPr>
        <w:t>t</w:t>
      </w:r>
      <w:r w:rsidRPr="006C064C">
        <w:rPr>
          <w:rFonts w:ascii="Palatino Linotype" w:eastAsia="Arial" w:hAnsi="Palatino Linotype" w:cs="Arial"/>
          <w:i/>
          <w:sz w:val="22"/>
          <w:szCs w:val="22"/>
        </w:rPr>
        <w:t>e Francisco Javier Acuña Llamas.</w:t>
      </w:r>
    </w:p>
    <w:p w14:paraId="4FB10F0D" w14:textId="77777777" w:rsidR="001212E7" w:rsidRPr="006C064C" w:rsidRDefault="009822B6" w:rsidP="001212E7">
      <w:pPr>
        <w:spacing w:before="240" w:after="160"/>
        <w:ind w:left="851" w:right="851"/>
        <w:contextualSpacing/>
        <w:jc w:val="both"/>
        <w:rPr>
          <w:rFonts w:ascii="Palatino Linotype" w:eastAsia="Symbol" w:hAnsi="Palatino Linotype" w:cs="Arial"/>
          <w:i/>
          <w:sz w:val="22"/>
          <w:szCs w:val="22"/>
        </w:rPr>
      </w:pPr>
      <w:hyperlink r:id="rId11" w:history="1">
        <w:r w:rsidR="001212E7" w:rsidRPr="006C064C">
          <w:rPr>
            <w:rFonts w:ascii="Palatino Linotype" w:eastAsia="Symbol" w:hAnsi="Palatino Linotype" w:cs="Arial"/>
            <w:i/>
            <w:color w:val="0563C1"/>
            <w:sz w:val="22"/>
            <w:szCs w:val="22"/>
            <w:u w:val="single"/>
          </w:rPr>
          <w:t>http://consultas.ifai.org.mx/descargar.php?r=./pdf/resoluciones/2017/&amp;a=RRA%2022.pdf</w:t>
        </w:r>
      </w:hyperlink>
      <w:r w:rsidR="001212E7" w:rsidRPr="006C064C">
        <w:rPr>
          <w:rFonts w:ascii="Palatino Linotype" w:eastAsia="Symbol" w:hAnsi="Palatino Linotype" w:cs="Arial"/>
          <w:i/>
          <w:sz w:val="22"/>
          <w:szCs w:val="22"/>
        </w:rPr>
        <w:t xml:space="preserve"> </w:t>
      </w:r>
    </w:p>
    <w:p w14:paraId="569B4541" w14:textId="77777777" w:rsidR="001212E7" w:rsidRPr="006C064C" w:rsidRDefault="001212E7" w:rsidP="001212E7">
      <w:pPr>
        <w:numPr>
          <w:ilvl w:val="0"/>
          <w:numId w:val="28"/>
        </w:numPr>
        <w:spacing w:before="240" w:after="160"/>
        <w:ind w:left="851" w:right="851"/>
        <w:contextualSpacing/>
        <w:jc w:val="both"/>
        <w:rPr>
          <w:rFonts w:ascii="Palatino Linotype" w:eastAsia="Arial" w:hAnsi="Palatino Linotype" w:cs="Arial"/>
          <w:b/>
          <w:i/>
          <w:spacing w:val="-1"/>
          <w:sz w:val="22"/>
          <w:szCs w:val="22"/>
        </w:rPr>
      </w:pPr>
      <w:r w:rsidRPr="006C064C">
        <w:rPr>
          <w:rFonts w:ascii="Palatino Linotype" w:eastAsia="Arial" w:hAnsi="Palatino Linotype" w:cs="Arial"/>
          <w:b/>
          <w:i/>
          <w:spacing w:val="-1"/>
          <w:sz w:val="22"/>
          <w:szCs w:val="22"/>
        </w:rPr>
        <w:t>R</w:t>
      </w:r>
      <w:r w:rsidRPr="006C064C">
        <w:rPr>
          <w:rFonts w:ascii="Palatino Linotype" w:eastAsia="Arial" w:hAnsi="Palatino Linotype" w:cs="Arial"/>
          <w:b/>
          <w:i/>
          <w:spacing w:val="3"/>
          <w:sz w:val="22"/>
          <w:szCs w:val="22"/>
        </w:rPr>
        <w:t>R</w:t>
      </w:r>
      <w:r w:rsidRPr="006C064C">
        <w:rPr>
          <w:rFonts w:ascii="Palatino Linotype" w:eastAsia="Arial" w:hAnsi="Palatino Linotype" w:cs="Arial"/>
          <w:b/>
          <w:i/>
          <w:sz w:val="22"/>
          <w:szCs w:val="22"/>
        </w:rPr>
        <w:t>A</w:t>
      </w:r>
      <w:r w:rsidRPr="006C064C">
        <w:rPr>
          <w:rFonts w:ascii="Palatino Linotype" w:eastAsia="Arial" w:hAnsi="Palatino Linotype" w:cs="Arial"/>
          <w:b/>
          <w:i/>
          <w:spacing w:val="43"/>
          <w:sz w:val="22"/>
          <w:szCs w:val="22"/>
        </w:rPr>
        <w:t xml:space="preserve"> </w:t>
      </w:r>
      <w:r w:rsidRPr="006C064C">
        <w:rPr>
          <w:rFonts w:ascii="Palatino Linotype" w:eastAsia="Arial" w:hAnsi="Palatino Linotype" w:cs="Arial"/>
          <w:b/>
          <w:i/>
          <w:spacing w:val="5"/>
          <w:sz w:val="22"/>
          <w:szCs w:val="22"/>
        </w:rPr>
        <w:t>2536</w:t>
      </w:r>
      <w:r w:rsidRPr="006C064C">
        <w:rPr>
          <w:rFonts w:ascii="Palatino Linotype" w:eastAsia="Arial" w:hAnsi="Palatino Linotype" w:cs="Arial"/>
          <w:b/>
          <w:i/>
          <w:spacing w:val="1"/>
          <w:sz w:val="22"/>
          <w:szCs w:val="22"/>
        </w:rPr>
        <w:t>/</w:t>
      </w:r>
      <w:r w:rsidRPr="006C064C">
        <w:rPr>
          <w:rFonts w:ascii="Palatino Linotype" w:eastAsia="Arial" w:hAnsi="Palatino Linotype" w:cs="Arial"/>
          <w:b/>
          <w:i/>
          <w:sz w:val="22"/>
          <w:szCs w:val="22"/>
        </w:rPr>
        <w:t xml:space="preserve">17. </w:t>
      </w:r>
      <w:r w:rsidRPr="006C064C">
        <w:rPr>
          <w:rFonts w:ascii="Palatino Linotype" w:eastAsia="Arial" w:hAnsi="Palatino Linotype" w:cs="Arial"/>
          <w:i/>
          <w:spacing w:val="-1"/>
          <w:sz w:val="22"/>
          <w:szCs w:val="22"/>
        </w:rPr>
        <w:t>Secretaría de Gobernación</w:t>
      </w:r>
      <w:r w:rsidRPr="006C064C">
        <w:rPr>
          <w:rFonts w:ascii="Palatino Linotype" w:eastAsia="Arial" w:hAnsi="Palatino Linotype" w:cs="Arial"/>
          <w:i/>
          <w:sz w:val="22"/>
          <w:szCs w:val="22"/>
        </w:rPr>
        <w:t>. 07 de junio de 2017. Por unanimidad. Comisionada Ponente Areli Cano Guadiana.</w:t>
      </w:r>
      <w:r w:rsidRPr="006C064C">
        <w:rPr>
          <w:rFonts w:ascii="Palatino Linotype" w:eastAsia="Arial" w:hAnsi="Palatino Linotype" w:cs="Arial"/>
          <w:i/>
          <w:spacing w:val="-1"/>
          <w:position w:val="5"/>
          <w:sz w:val="22"/>
          <w:szCs w:val="22"/>
        </w:rPr>
        <w:t xml:space="preserve"> </w:t>
      </w:r>
    </w:p>
    <w:p w14:paraId="1DBCBF28" w14:textId="77777777" w:rsidR="001212E7" w:rsidRPr="006C064C" w:rsidRDefault="009822B6" w:rsidP="001212E7">
      <w:pPr>
        <w:spacing w:before="240" w:after="160"/>
        <w:ind w:left="851" w:right="851"/>
        <w:contextualSpacing/>
        <w:jc w:val="both"/>
        <w:rPr>
          <w:rFonts w:ascii="Palatino Linotype" w:eastAsia="Arial" w:hAnsi="Palatino Linotype" w:cs="Arial"/>
          <w:i/>
          <w:spacing w:val="-1"/>
          <w:sz w:val="22"/>
          <w:szCs w:val="22"/>
        </w:rPr>
      </w:pPr>
      <w:hyperlink r:id="rId12" w:history="1">
        <w:r w:rsidR="001212E7" w:rsidRPr="006C064C">
          <w:rPr>
            <w:rFonts w:ascii="Palatino Linotype" w:eastAsia="Arial" w:hAnsi="Palatino Linotype" w:cs="Arial"/>
            <w:i/>
            <w:color w:val="0563C1"/>
            <w:spacing w:val="-1"/>
            <w:sz w:val="22"/>
            <w:szCs w:val="22"/>
            <w:u w:val="single"/>
          </w:rPr>
          <w:t>http://consultas.ifai.org.mx/descargar.php?r=./pdf/resoluciones/2017/&amp;a=RRA%202536.pdf</w:t>
        </w:r>
      </w:hyperlink>
      <w:r w:rsidR="001212E7" w:rsidRPr="006C064C">
        <w:rPr>
          <w:rFonts w:ascii="Palatino Linotype" w:eastAsia="Arial" w:hAnsi="Palatino Linotype" w:cs="Arial"/>
          <w:i/>
          <w:spacing w:val="-1"/>
          <w:sz w:val="22"/>
          <w:szCs w:val="22"/>
        </w:rPr>
        <w:t xml:space="preserve"> </w:t>
      </w:r>
    </w:p>
    <w:p w14:paraId="6CFE34A0" w14:textId="77777777" w:rsidR="001212E7" w:rsidRPr="006C064C" w:rsidRDefault="001212E7" w:rsidP="001212E7">
      <w:pPr>
        <w:numPr>
          <w:ilvl w:val="0"/>
          <w:numId w:val="28"/>
        </w:numPr>
        <w:spacing w:before="240" w:after="160"/>
        <w:ind w:left="851" w:right="851"/>
        <w:jc w:val="both"/>
        <w:rPr>
          <w:rFonts w:ascii="Palatino Linotype" w:hAnsi="Palatino Linotype" w:cs="Arial"/>
          <w:bCs/>
          <w:i/>
          <w:sz w:val="22"/>
          <w:szCs w:val="22"/>
        </w:rPr>
      </w:pPr>
      <w:r w:rsidRPr="006C064C">
        <w:rPr>
          <w:rFonts w:ascii="Palatino Linotype" w:eastAsia="Arial" w:hAnsi="Palatino Linotype" w:cs="Arial"/>
          <w:b/>
          <w:i/>
          <w:spacing w:val="-1"/>
          <w:position w:val="-1"/>
          <w:sz w:val="22"/>
          <w:szCs w:val="22"/>
        </w:rPr>
        <w:t>R</w:t>
      </w:r>
      <w:r w:rsidRPr="006C064C">
        <w:rPr>
          <w:rFonts w:ascii="Palatino Linotype" w:eastAsia="Arial" w:hAnsi="Palatino Linotype" w:cs="Arial"/>
          <w:b/>
          <w:i/>
          <w:spacing w:val="3"/>
          <w:position w:val="-1"/>
          <w:sz w:val="22"/>
          <w:szCs w:val="22"/>
        </w:rPr>
        <w:t>R</w:t>
      </w:r>
      <w:r w:rsidRPr="006C064C">
        <w:rPr>
          <w:rFonts w:ascii="Palatino Linotype" w:eastAsia="Arial" w:hAnsi="Palatino Linotype" w:cs="Arial"/>
          <w:b/>
          <w:i/>
          <w:position w:val="-1"/>
          <w:sz w:val="22"/>
          <w:szCs w:val="22"/>
        </w:rPr>
        <w:t xml:space="preserve">A </w:t>
      </w:r>
      <w:r w:rsidRPr="006C064C">
        <w:rPr>
          <w:rFonts w:ascii="Palatino Linotype" w:eastAsia="Arial" w:hAnsi="Palatino Linotype" w:cs="Arial"/>
          <w:b/>
          <w:i/>
          <w:spacing w:val="-1"/>
          <w:position w:val="-1"/>
          <w:sz w:val="22"/>
          <w:szCs w:val="22"/>
        </w:rPr>
        <w:t>3482/17</w:t>
      </w:r>
      <w:r w:rsidRPr="006C064C">
        <w:rPr>
          <w:rFonts w:ascii="Palatino Linotype" w:eastAsia="Arial" w:hAnsi="Palatino Linotype" w:cs="Arial"/>
          <w:b/>
          <w:i/>
          <w:position w:val="-1"/>
          <w:sz w:val="22"/>
          <w:szCs w:val="22"/>
        </w:rPr>
        <w:t xml:space="preserve">. </w:t>
      </w:r>
      <w:r w:rsidRPr="006C064C">
        <w:rPr>
          <w:rFonts w:ascii="Palatino Linotype" w:eastAsia="Arial" w:hAnsi="Palatino Linotype" w:cs="Arial"/>
          <w:i/>
          <w:spacing w:val="-1"/>
          <w:position w:val="-1"/>
          <w:sz w:val="22"/>
          <w:szCs w:val="22"/>
        </w:rPr>
        <w:t>Secretaría de Comunicaciones y Transportes</w:t>
      </w:r>
      <w:r w:rsidRPr="006C064C">
        <w:rPr>
          <w:rFonts w:ascii="Palatino Linotype" w:eastAsia="Arial" w:hAnsi="Palatino Linotype" w:cs="Arial"/>
          <w:i/>
          <w:position w:val="-1"/>
          <w:sz w:val="22"/>
          <w:szCs w:val="22"/>
        </w:rPr>
        <w:t>. 02 de agosto de 2017. Por unanimidad. Comisionado Ponente Oscar Mauricio Guerra Ford</w:t>
      </w:r>
      <w:r w:rsidRPr="006C064C">
        <w:rPr>
          <w:rFonts w:ascii="Palatino Linotype" w:hAnsi="Palatino Linotype" w:cs="Arial"/>
          <w:bCs/>
          <w:i/>
          <w:sz w:val="22"/>
          <w:szCs w:val="22"/>
        </w:rPr>
        <w:t>.</w:t>
      </w:r>
    </w:p>
    <w:p w14:paraId="6F35C8D2" w14:textId="77777777" w:rsidR="001212E7" w:rsidRPr="00732C4E" w:rsidRDefault="009822B6" w:rsidP="001212E7">
      <w:pPr>
        <w:tabs>
          <w:tab w:val="left" w:pos="7371"/>
        </w:tabs>
        <w:spacing w:before="240" w:after="160"/>
        <w:ind w:left="851" w:right="851"/>
        <w:jc w:val="both"/>
        <w:rPr>
          <w:rFonts w:ascii="Palatino Linotype" w:hAnsi="Palatino Linotype" w:cs="Arial"/>
          <w:bCs/>
          <w:i/>
          <w:sz w:val="22"/>
          <w:szCs w:val="22"/>
          <w:lang w:val="en-US"/>
        </w:rPr>
      </w:pPr>
      <w:hyperlink r:id="rId13" w:history="1">
        <w:r w:rsidR="001212E7" w:rsidRPr="00732C4E">
          <w:rPr>
            <w:rFonts w:ascii="Palatino Linotype" w:hAnsi="Palatino Linotype" w:cs="Arial"/>
            <w:bCs/>
            <w:i/>
            <w:color w:val="0563C1"/>
            <w:sz w:val="22"/>
            <w:szCs w:val="22"/>
            <w:u w:val="single"/>
            <w:lang w:val="en-US"/>
          </w:rPr>
          <w:t>http://consultas.ifai.org.mx/descargar.php?r=./pdf/resoluciones/2017/&amp;a=RRA%203482.pdf</w:t>
        </w:r>
      </w:hyperlink>
      <w:r w:rsidR="001212E7" w:rsidRPr="00732C4E">
        <w:rPr>
          <w:rFonts w:ascii="Palatino Linotype" w:hAnsi="Palatino Linotype" w:cs="Arial"/>
          <w:bCs/>
          <w:i/>
          <w:sz w:val="22"/>
          <w:szCs w:val="22"/>
          <w:lang w:val="en-US"/>
        </w:rPr>
        <w:t xml:space="preserve">” </w:t>
      </w:r>
      <w:r w:rsidR="001212E7" w:rsidRPr="00732C4E">
        <w:rPr>
          <w:rFonts w:ascii="Palatino Linotype" w:hAnsi="Palatino Linotype" w:cs="Arial"/>
          <w:b/>
          <w:bCs/>
          <w:i/>
          <w:sz w:val="22"/>
          <w:szCs w:val="22"/>
          <w:lang w:val="en-US"/>
        </w:rPr>
        <w:t>[Sic]</w:t>
      </w:r>
    </w:p>
    <w:p w14:paraId="7D66134D" w14:textId="77777777" w:rsidR="001212E7" w:rsidRPr="00732C4E" w:rsidRDefault="001212E7" w:rsidP="001212E7">
      <w:pPr>
        <w:spacing w:line="360" w:lineRule="auto"/>
        <w:jc w:val="both"/>
        <w:rPr>
          <w:rFonts w:ascii="Palatino Linotype" w:eastAsia="Calibri" w:hAnsi="Palatino Linotype"/>
          <w:lang w:val="en-US"/>
        </w:rPr>
      </w:pPr>
    </w:p>
    <w:p w14:paraId="3E435C42" w14:textId="1756F3E4" w:rsidR="001212E7" w:rsidRDefault="001212E7" w:rsidP="001212E7">
      <w:pPr>
        <w:spacing w:line="360" w:lineRule="auto"/>
        <w:jc w:val="both"/>
        <w:rPr>
          <w:rFonts w:ascii="Palatino Linotype" w:eastAsia="Calibri" w:hAnsi="Palatino Linotype"/>
        </w:rPr>
      </w:pPr>
      <w:r>
        <w:rPr>
          <w:rFonts w:ascii="Palatino Linotype" w:eastAsia="Calibri" w:hAnsi="Palatino Linotype"/>
        </w:rPr>
        <w:t>Por lo anterior se precisa que el particular requirió el acceso a información contenida en</w:t>
      </w:r>
      <w:r w:rsidRPr="001212E7">
        <w:rPr>
          <w:rFonts w:ascii="Palatino Linotype" w:eastAsia="Calibri" w:hAnsi="Palatino Linotype"/>
        </w:rPr>
        <w:t xml:space="preserve"> los expedientes</w:t>
      </w:r>
      <w:r>
        <w:rPr>
          <w:rFonts w:ascii="Palatino Linotype" w:eastAsia="Calibri" w:hAnsi="Palatino Linotype"/>
        </w:rPr>
        <w:t xml:space="preserve"> formados con motivo de responsabilidad administrativa</w:t>
      </w:r>
      <w:r w:rsidRPr="001212E7">
        <w:rPr>
          <w:rFonts w:ascii="Palatino Linotype" w:eastAsia="Calibri" w:hAnsi="Palatino Linotype"/>
        </w:rPr>
        <w:t xml:space="preserve"> que se encuentren en proceso investigación </w:t>
      </w:r>
      <w:r>
        <w:rPr>
          <w:rFonts w:ascii="Palatino Linotype" w:eastAsia="Calibri" w:hAnsi="Palatino Linotype"/>
        </w:rPr>
        <w:t>y</w:t>
      </w:r>
      <w:r w:rsidRPr="001212E7">
        <w:rPr>
          <w:rFonts w:ascii="Palatino Linotype" w:eastAsia="Calibri" w:hAnsi="Palatino Linotype"/>
        </w:rPr>
        <w:t xml:space="preserve"> se encuentren en responsabilidad</w:t>
      </w:r>
      <w:r>
        <w:rPr>
          <w:rFonts w:ascii="Palatino Linotype" w:eastAsia="Calibri" w:hAnsi="Palatino Linotype"/>
        </w:rPr>
        <w:t>,</w:t>
      </w:r>
      <w:r w:rsidRPr="001212E7">
        <w:rPr>
          <w:rFonts w:ascii="Palatino Linotype" w:eastAsia="Calibri" w:hAnsi="Palatino Linotype"/>
        </w:rPr>
        <w:t xml:space="preserve"> </w:t>
      </w:r>
      <w:r>
        <w:rPr>
          <w:rFonts w:ascii="Palatino Linotype" w:eastAsia="Calibri" w:hAnsi="Palatino Linotype"/>
        </w:rPr>
        <w:t>así como</w:t>
      </w:r>
      <w:r w:rsidRPr="001212E7">
        <w:rPr>
          <w:rFonts w:ascii="Palatino Linotype" w:eastAsia="Calibri" w:hAnsi="Palatino Linotype"/>
        </w:rPr>
        <w:t xml:space="preserve"> las auditorías que se encuentren con alguna irregularidad </w:t>
      </w:r>
      <w:r>
        <w:rPr>
          <w:rFonts w:ascii="Palatino Linotype" w:eastAsia="Calibri" w:hAnsi="Palatino Linotype"/>
        </w:rPr>
        <w:t>del periodo comprendido del 09 de febrero de 2021 al 09 de febrero de 2022.</w:t>
      </w:r>
    </w:p>
    <w:p w14:paraId="12943C63" w14:textId="77777777" w:rsidR="001212E7" w:rsidRDefault="001212E7" w:rsidP="001212E7">
      <w:pPr>
        <w:spacing w:line="360" w:lineRule="auto"/>
        <w:jc w:val="both"/>
        <w:rPr>
          <w:rFonts w:ascii="Palatino Linotype" w:eastAsia="Calibri" w:hAnsi="Palatino Linotype"/>
        </w:rPr>
      </w:pPr>
    </w:p>
    <w:p w14:paraId="71F5C115" w14:textId="3B4CC5CD" w:rsidR="00D14FBD" w:rsidRPr="00D14FBD" w:rsidRDefault="001212E7" w:rsidP="00D14FBD">
      <w:pPr>
        <w:spacing w:line="360" w:lineRule="auto"/>
        <w:contextualSpacing/>
        <w:jc w:val="both"/>
        <w:rPr>
          <w:rFonts w:ascii="Palatino Linotype" w:eastAsia="Palatino Linotype" w:hAnsi="Palatino Linotype" w:cs="Palatino Linotype"/>
          <w:lang w:val="es-MX" w:eastAsia="es-MX"/>
        </w:rPr>
      </w:pPr>
      <w:r>
        <w:rPr>
          <w:rFonts w:ascii="Palatino Linotype" w:eastAsia="Calibri" w:hAnsi="Palatino Linotype"/>
        </w:rPr>
        <w:t xml:space="preserve">Por otro lado, no pasa inadvertido para este Órgano Resolutor, </w:t>
      </w:r>
      <w:r w:rsidR="00D14FBD" w:rsidRPr="00D14FBD">
        <w:rPr>
          <w:rFonts w:ascii="Palatino Linotype" w:eastAsia="Palatino Linotype" w:hAnsi="Palatino Linotype" w:cs="Palatino Linotype"/>
          <w:lang w:val="es-MX" w:eastAsia="es-MX"/>
        </w:rPr>
        <w:t xml:space="preserve">que </w:t>
      </w:r>
      <w:r w:rsidR="00D14FBD">
        <w:rPr>
          <w:rFonts w:ascii="Palatino Linotype" w:eastAsia="Palatino Linotype" w:hAnsi="Palatino Linotype" w:cs="Palatino Linotype"/>
          <w:lang w:val="es-MX" w:eastAsia="es-MX"/>
        </w:rPr>
        <w:t>el</w:t>
      </w:r>
      <w:r w:rsidR="00D14FBD" w:rsidRPr="00D14FBD">
        <w:rPr>
          <w:rFonts w:ascii="Palatino Linotype" w:eastAsia="Palatino Linotype" w:hAnsi="Palatino Linotype" w:cs="Palatino Linotype"/>
          <w:lang w:val="es-MX" w:eastAsia="es-MX"/>
        </w:rPr>
        <w:t xml:space="preserve"> Recurrente, al momento de presentar su medio de impugnación en el procedimiento de resolución de este recurso de revisión, manifestó como razones o motivos de inconformidad lo siguiente: “</w:t>
      </w:r>
      <w:r w:rsidR="00D14FBD" w:rsidRPr="00D14FBD">
        <w:rPr>
          <w:rFonts w:ascii="Palatino Linotype" w:eastAsia="Palatino Linotype" w:hAnsi="Palatino Linotype" w:cs="Palatino Linotype"/>
          <w:i/>
          <w:iCs/>
          <w:lang w:val="es-MX" w:eastAsia="es-MX"/>
        </w:rPr>
        <w:t xml:space="preserve">1. ese instituto podra ver que estan omitiendo en entregar informacion, ya que solo y unicamente mandan creo solo año 2021 y 2022 2. ya que se pidio de TODOS, </w:t>
      </w:r>
      <w:r w:rsidR="00D14FBD" w:rsidRPr="00D14FBD">
        <w:rPr>
          <w:rFonts w:ascii="Palatino Linotype" w:eastAsia="Palatino Linotype" w:hAnsi="Palatino Linotype" w:cs="Palatino Linotype"/>
          <w:b/>
          <w:bCs/>
          <w:i/>
          <w:iCs/>
          <w:lang w:val="es-MX" w:eastAsia="es-MX"/>
        </w:rPr>
        <w:t>debieron mandar tambien en dado caso años 2015, 2016, 2017, 2018, 2019 y 2020 por los años pienso que ya hasta concluidos se encuentran que me manden toda esa informacion</w:t>
      </w:r>
      <w:r w:rsidR="00D14FBD" w:rsidRPr="00D14FBD">
        <w:rPr>
          <w:rFonts w:ascii="Palatino Linotype" w:eastAsia="Palatino Linotype" w:hAnsi="Palatino Linotype" w:cs="Palatino Linotype"/>
          <w:i/>
          <w:iCs/>
          <w:lang w:val="es-MX" w:eastAsia="es-MX"/>
        </w:rPr>
        <w:t xml:space="preserve">. relacionado con lo evidente solicitado ais como </w:t>
      </w:r>
      <w:r w:rsidR="00D14FBD" w:rsidRPr="00D14FBD">
        <w:rPr>
          <w:rFonts w:ascii="Palatino Linotype" w:eastAsia="Palatino Linotype" w:hAnsi="Palatino Linotype" w:cs="Palatino Linotype"/>
          <w:b/>
          <w:bCs/>
          <w:i/>
          <w:iCs/>
          <w:lang w:val="es-MX" w:eastAsia="es-MX"/>
        </w:rPr>
        <w:t>un listado de todos los servidores publicos sancionados desde 2015 al 202</w:t>
      </w:r>
      <w:r w:rsidR="00D14FBD" w:rsidRPr="00D14FBD">
        <w:rPr>
          <w:rFonts w:ascii="Palatino Linotype" w:eastAsia="Palatino Linotype" w:hAnsi="Palatino Linotype" w:cs="Palatino Linotype"/>
          <w:i/>
          <w:iCs/>
          <w:lang w:val="es-MX" w:eastAsia="es-MX"/>
        </w:rPr>
        <w:t>2”</w:t>
      </w:r>
      <w:r w:rsidR="00D14FBD" w:rsidRPr="00D14FBD">
        <w:rPr>
          <w:rFonts w:ascii="Palatino Linotype" w:eastAsia="Palatino Linotype" w:hAnsi="Palatino Linotype" w:cs="Palatino Linotype"/>
          <w:lang w:val="es-MX" w:eastAsia="es-MX"/>
        </w:rPr>
        <w:t>.</w:t>
      </w:r>
    </w:p>
    <w:p w14:paraId="7BFD4680" w14:textId="77777777" w:rsidR="00D14FBD" w:rsidRPr="00D14FBD" w:rsidRDefault="00D14FBD" w:rsidP="00D14FBD">
      <w:pPr>
        <w:spacing w:line="360" w:lineRule="auto"/>
        <w:contextualSpacing/>
        <w:jc w:val="both"/>
        <w:rPr>
          <w:rFonts w:ascii="Palatino Linotype" w:eastAsia="Palatino Linotype" w:hAnsi="Palatino Linotype" w:cs="Palatino Linotype"/>
          <w:lang w:val="es-MX" w:eastAsia="es-MX"/>
        </w:rPr>
      </w:pPr>
    </w:p>
    <w:p w14:paraId="3E8690B7" w14:textId="77777777" w:rsidR="00D14FBD" w:rsidRPr="00D14FBD" w:rsidRDefault="00D14FBD" w:rsidP="00D14FBD">
      <w:pPr>
        <w:spacing w:after="160" w:line="360" w:lineRule="auto"/>
        <w:contextualSpacing/>
        <w:jc w:val="both"/>
        <w:rPr>
          <w:rFonts w:ascii="Palatino Linotype" w:eastAsia="Palatino Linotype" w:hAnsi="Palatino Linotype" w:cs="Palatino Linotype"/>
          <w:lang w:val="es-MX" w:eastAsia="es-MX"/>
        </w:rPr>
      </w:pPr>
      <w:r w:rsidRPr="00D14FBD">
        <w:rPr>
          <w:rFonts w:ascii="Palatino Linotype" w:eastAsia="Palatino Linotype" w:hAnsi="Palatino Linotype" w:cs="Palatino Linotype"/>
          <w:lang w:val="es-MX" w:eastAsia="es-MX"/>
        </w:rPr>
        <w:t xml:space="preserve">Al respecto, dicha petición es improcedente debido a que no se realizó al momento de generar su solicitud de acceso a la información pública, pues se reitera que la misma se llevó a cabo en su escrito de alegatos. Por tanto, se estima que dicho requerimiento de la Recurrente es una ampliación a su solicitud de información o </w:t>
      </w:r>
      <w:r w:rsidRPr="00D14FBD">
        <w:rPr>
          <w:rFonts w:ascii="Palatino Linotype" w:eastAsia="Palatino Linotype" w:hAnsi="Palatino Linotype" w:cs="Palatino Linotype"/>
          <w:i/>
          <w:lang w:val="es-MX" w:eastAsia="es-MX"/>
        </w:rPr>
        <w:t>plus petitio</w:t>
      </w:r>
      <w:r w:rsidRPr="00D14FBD">
        <w:rPr>
          <w:rFonts w:ascii="Palatino Linotype" w:eastAsia="Palatino Linotype" w:hAnsi="Palatino Linotype" w:cs="Palatino Linotype"/>
          <w:lang w:val="es-MX" w:eastAsia="es-MX"/>
        </w:rPr>
        <w:t xml:space="preserve">; esto es, que se adhirió información que no había sido solicitada, por tanto, dichas manifestaciones, al haber sido realizadas en un momento posterior al ingreso de la solicitud original, devienen infundadas, debido a que al ser requerimientos que no se plantearon ante el Sujeto Obligado al momento de realizar su solicitud de información, resulta injustificado examinar tales peticiones pues éstas no fueron del conocimiento del Sujeto Obligado, por lo que, no tuvo la oportunidad legal de analizarlas ni de pronunciarse sobre ellas. </w:t>
      </w:r>
    </w:p>
    <w:p w14:paraId="4B6A8BD4" w14:textId="77777777" w:rsidR="00D14FBD" w:rsidRPr="00D14FBD" w:rsidRDefault="00D14FBD" w:rsidP="00D14FBD">
      <w:pPr>
        <w:spacing w:line="360" w:lineRule="auto"/>
        <w:contextualSpacing/>
        <w:jc w:val="both"/>
        <w:rPr>
          <w:rFonts w:ascii="Palatino Linotype" w:eastAsia="Palatino Linotype" w:hAnsi="Palatino Linotype" w:cs="Palatino Linotype"/>
          <w:lang w:val="es-MX" w:eastAsia="es-MX"/>
        </w:rPr>
      </w:pPr>
    </w:p>
    <w:p w14:paraId="51832B91" w14:textId="77777777" w:rsidR="00D14FBD" w:rsidRPr="00D14FBD" w:rsidRDefault="00D14FBD" w:rsidP="00D14FBD">
      <w:pPr>
        <w:spacing w:line="360" w:lineRule="auto"/>
        <w:contextualSpacing/>
        <w:jc w:val="both"/>
        <w:rPr>
          <w:rFonts w:ascii="Palatino Linotype" w:eastAsia="Palatino Linotype" w:hAnsi="Palatino Linotype" w:cs="Palatino Linotype"/>
          <w:lang w:val="es-MX" w:eastAsia="es-MX"/>
        </w:rPr>
      </w:pPr>
      <w:r w:rsidRPr="00D14FBD">
        <w:rPr>
          <w:rFonts w:ascii="Palatino Linotype" w:eastAsia="Palatino Linotype" w:hAnsi="Palatino Linotype" w:cs="Palatino Linotype"/>
          <w:lang w:val="es-MX" w:eastAsia="es-MX"/>
        </w:rPr>
        <w:t>Sirve de apoyo por analogía la siguiente tesis jurisprudencial número VI. 2º. A. J/7, publicada en el Semanario Judicial de la Federación y su gaceta, bajo el número de registro digital 178788, en la que se establece lo siguiente:</w:t>
      </w:r>
    </w:p>
    <w:p w14:paraId="302B3491" w14:textId="77777777" w:rsidR="00D14FBD" w:rsidRPr="00D14FBD" w:rsidRDefault="00D14FBD" w:rsidP="00D14FBD">
      <w:pPr>
        <w:spacing w:line="360" w:lineRule="auto"/>
        <w:contextualSpacing/>
        <w:jc w:val="both"/>
        <w:rPr>
          <w:rFonts w:ascii="Palatino Linotype" w:eastAsia="Palatino Linotype" w:hAnsi="Palatino Linotype" w:cs="Palatino Linotype"/>
          <w:lang w:val="es-MX" w:eastAsia="es-MX"/>
        </w:rPr>
      </w:pPr>
    </w:p>
    <w:p w14:paraId="048C5ED1" w14:textId="77777777" w:rsidR="00D14FBD" w:rsidRPr="00D14FBD" w:rsidRDefault="00D14FBD" w:rsidP="00D14FBD">
      <w:pPr>
        <w:ind w:left="567" w:right="616"/>
        <w:contextualSpacing/>
        <w:jc w:val="both"/>
        <w:rPr>
          <w:rFonts w:ascii="Palatino Linotype" w:eastAsia="Palatino Linotype" w:hAnsi="Palatino Linotype" w:cs="Palatino Linotype"/>
          <w:i/>
          <w:sz w:val="22"/>
          <w:szCs w:val="22"/>
          <w:lang w:val="es-MX" w:eastAsia="es-MX"/>
        </w:rPr>
      </w:pPr>
      <w:r w:rsidRPr="00D14FBD">
        <w:rPr>
          <w:rFonts w:ascii="Palatino Linotype" w:eastAsia="Palatino Linotype" w:hAnsi="Palatino Linotype" w:cs="Palatino Linotype"/>
          <w:b/>
          <w:i/>
          <w:sz w:val="22"/>
          <w:szCs w:val="22"/>
          <w:lang w:val="es-MX" w:eastAsia="es-MX"/>
        </w:rPr>
        <w:t>CONCEPTOS DE VIOLACIÓN EN EL AMPARO DIRECTO. INOPERANCIA DE LOS QUE INTRODUCEN CUESTIONAMIENTOS NOVEDOSOS QUE NO FUERON PLANTEADOS EN EL JUICIO NATURAL.</w:t>
      </w:r>
      <w:r w:rsidRPr="00D14FBD">
        <w:rPr>
          <w:rFonts w:ascii="Palatino Linotype" w:eastAsia="Palatino Linotype" w:hAnsi="Palatino Linotype" w:cs="Palatino Linotype"/>
          <w:i/>
          <w:sz w:val="22"/>
          <w:szCs w:val="22"/>
          <w:lang w:val="es-MX" w:eastAsia="es-MX"/>
        </w:rPr>
        <w:t xml:space="preserve"> </w:t>
      </w:r>
    </w:p>
    <w:p w14:paraId="181E3DFD" w14:textId="77777777" w:rsidR="00D14FBD" w:rsidRPr="00D14FBD" w:rsidRDefault="00D14FBD" w:rsidP="00D14FBD">
      <w:pPr>
        <w:ind w:left="567" w:right="616"/>
        <w:contextualSpacing/>
        <w:jc w:val="both"/>
        <w:rPr>
          <w:rFonts w:ascii="Palatino Linotype" w:eastAsia="Palatino Linotype" w:hAnsi="Palatino Linotype" w:cs="Palatino Linotype"/>
          <w:i/>
          <w:sz w:val="22"/>
          <w:szCs w:val="22"/>
          <w:lang w:val="es-MX" w:eastAsia="es-MX"/>
        </w:rPr>
      </w:pPr>
      <w:r w:rsidRPr="00D14FBD">
        <w:rPr>
          <w:rFonts w:ascii="Palatino Linotype" w:eastAsia="Palatino Linotype" w:hAnsi="Palatino Linotype" w:cs="Palatino Linotype"/>
          <w:i/>
          <w:sz w:val="22"/>
          <w:szCs w:val="22"/>
          <w:lang w:val="es-MX" w:eastAsia="es-MX"/>
        </w:rPr>
        <w:t>Si en los conceptos de violación se formulan argumentos que no se plantearon ante la Sala Fiscal que dictó la sentencia que constituye el acto reclamado, los mismos son inoperantes, toda vez que resultaría injustificado examinar la constitucionalidad de la sentencia combatida a la luz de razonamientos que no conoció la autoridad responsable, pues como tales manifestaciones no formaron parte de la litis natural, la Sala no tuvo la oportunidad legal de analizarlas ni de pronunciarse sobre ellas.</w:t>
      </w:r>
    </w:p>
    <w:p w14:paraId="4FFF6A48" w14:textId="5B3CC004" w:rsidR="001212E7" w:rsidRDefault="001212E7" w:rsidP="001212E7">
      <w:pPr>
        <w:spacing w:line="360" w:lineRule="auto"/>
        <w:jc w:val="both"/>
        <w:rPr>
          <w:rFonts w:ascii="Palatino Linotype" w:eastAsia="Calibri" w:hAnsi="Palatino Linotype"/>
          <w:b/>
        </w:rPr>
      </w:pPr>
    </w:p>
    <w:p w14:paraId="133D4282" w14:textId="149D28FF" w:rsidR="003148B9" w:rsidRPr="007475B4" w:rsidRDefault="003148B9" w:rsidP="001212E7">
      <w:pPr>
        <w:spacing w:line="360" w:lineRule="auto"/>
        <w:jc w:val="both"/>
        <w:rPr>
          <w:rFonts w:ascii="Palatino Linotype" w:eastAsia="Calibri" w:hAnsi="Palatino Linotype" w:cs="Arial"/>
          <w:lang w:val="es-MX" w:eastAsia="en-US"/>
        </w:rPr>
      </w:pPr>
    </w:p>
    <w:p w14:paraId="302D1FF0" w14:textId="3D72824A" w:rsidR="003148B9" w:rsidRPr="007475B4" w:rsidRDefault="003148B9" w:rsidP="003148B9">
      <w:pPr>
        <w:tabs>
          <w:tab w:val="left" w:pos="709"/>
        </w:tabs>
        <w:spacing w:line="360" w:lineRule="auto"/>
        <w:jc w:val="both"/>
        <w:rPr>
          <w:rFonts w:ascii="Palatino Linotype" w:eastAsia="Calibri" w:hAnsi="Palatino Linotype" w:cs="Arial"/>
          <w:lang w:val="es-MX" w:eastAsia="en-US"/>
        </w:rPr>
      </w:pPr>
      <w:r w:rsidRPr="007475B4">
        <w:rPr>
          <w:rFonts w:ascii="Palatino Linotype" w:eastAsia="Calibri" w:hAnsi="Palatino Linotype" w:cs="Arial"/>
          <w:lang w:val="es-MX" w:eastAsia="en-US"/>
        </w:rPr>
        <w:t xml:space="preserve">En ese contexto, a efecto de realizar un análisis respecto de si la información otorgada colma lo requerido por la entonces solicitante, es de precisarse que </w:t>
      </w:r>
      <w:r w:rsidRPr="007475B4">
        <w:rPr>
          <w:rFonts w:ascii="Palatino Linotype" w:eastAsia="Calibri" w:hAnsi="Palatino Linotype" w:cs="Arial"/>
          <w:b/>
          <w:lang w:val="es-MX" w:eastAsia="en-US"/>
        </w:rPr>
        <w:t>el Recurrente</w:t>
      </w:r>
      <w:r w:rsidRPr="007475B4">
        <w:rPr>
          <w:rFonts w:ascii="Palatino Linotype" w:eastAsia="Calibri" w:hAnsi="Palatino Linotype" w:cs="Arial"/>
          <w:lang w:val="es-MX" w:eastAsia="en-US"/>
        </w:rPr>
        <w:t xml:space="preserve"> desea conocer específicamente, </w:t>
      </w:r>
      <w:bookmarkStart w:id="3" w:name="_Hlk85133410"/>
      <w:r w:rsidRPr="007475B4">
        <w:rPr>
          <w:rFonts w:ascii="Palatino Linotype" w:eastAsia="Calibri" w:hAnsi="Palatino Linotype" w:cs="Arial"/>
          <w:lang w:val="es-MX" w:eastAsia="en-US"/>
        </w:rPr>
        <w:t xml:space="preserve">del </w:t>
      </w:r>
      <w:bookmarkEnd w:id="3"/>
      <w:r w:rsidR="00D14FBD" w:rsidRPr="00D14FBD">
        <w:rPr>
          <w:rFonts w:ascii="Palatino Linotype" w:eastAsia="Calibri" w:hAnsi="Palatino Linotype" w:cs="Arial"/>
          <w:lang w:val="es-MX" w:eastAsia="en-US"/>
        </w:rPr>
        <w:t>Organismo Público Descentralizado para la Prestación de Los Servicios de Agua Potable Alcantarillado y Saneamiento del Municipio de Tlalnepantla de Baz</w:t>
      </w:r>
      <w:r w:rsidRPr="007475B4">
        <w:rPr>
          <w:rFonts w:ascii="Palatino Linotype" w:eastAsia="Calibri" w:hAnsi="Palatino Linotype" w:cs="Arial"/>
          <w:lang w:val="es-MX" w:eastAsia="en-US"/>
        </w:rPr>
        <w:t>, el o los documentos en donde conste lo siguiente:</w:t>
      </w:r>
    </w:p>
    <w:p w14:paraId="4E2F0231" w14:textId="77777777" w:rsidR="003148B9" w:rsidRPr="007475B4" w:rsidRDefault="003148B9" w:rsidP="003148B9">
      <w:pPr>
        <w:spacing w:line="360" w:lineRule="auto"/>
        <w:jc w:val="both"/>
        <w:rPr>
          <w:rFonts w:ascii="Palatino Linotype" w:hAnsi="Palatino Linotype"/>
          <w:lang w:val="es-MX"/>
        </w:rPr>
      </w:pPr>
    </w:p>
    <w:p w14:paraId="14D035B8" w14:textId="1ED2A167" w:rsidR="003148B9" w:rsidRPr="00490BFE" w:rsidRDefault="00F054A0" w:rsidP="00490BFE">
      <w:pPr>
        <w:numPr>
          <w:ilvl w:val="0"/>
          <w:numId w:val="27"/>
        </w:numPr>
        <w:spacing w:after="240" w:line="259" w:lineRule="auto"/>
        <w:jc w:val="both"/>
        <w:rPr>
          <w:rFonts w:ascii="Palatino Linotype" w:hAnsi="Palatino Linotype"/>
          <w:i/>
        </w:rPr>
      </w:pPr>
      <w:r>
        <w:rPr>
          <w:rFonts w:ascii="Palatino Linotype" w:hAnsi="Palatino Linotype"/>
          <w:i/>
        </w:rPr>
        <w:t xml:space="preserve">Los expedientes </w:t>
      </w:r>
      <w:r w:rsidRPr="00F054A0">
        <w:rPr>
          <w:rFonts w:ascii="Palatino Linotype" w:hAnsi="Palatino Linotype"/>
          <w:i/>
        </w:rPr>
        <w:t>formados con motivo de procedimientos de responsabilidad administrativa</w:t>
      </w:r>
      <w:r w:rsidRPr="00F054A0">
        <w:t xml:space="preserve"> </w:t>
      </w:r>
      <w:r w:rsidRPr="00F054A0">
        <w:rPr>
          <w:rFonts w:ascii="Palatino Linotype" w:hAnsi="Palatino Linotype"/>
          <w:i/>
        </w:rPr>
        <w:t xml:space="preserve">que se encuentren en proceso investigación y </w:t>
      </w:r>
      <w:r>
        <w:rPr>
          <w:rFonts w:ascii="Palatino Linotype" w:hAnsi="Palatino Linotype"/>
          <w:i/>
        </w:rPr>
        <w:t xml:space="preserve">los que </w:t>
      </w:r>
      <w:r w:rsidRPr="00F054A0">
        <w:rPr>
          <w:rFonts w:ascii="Palatino Linotype" w:hAnsi="Palatino Linotype"/>
          <w:i/>
        </w:rPr>
        <w:t>se encuentren en responsabilidad, así como las auditorías que se encuentren con alguna irregularidad del periodo comprendido del 09 de febrero de 2021 al 09 de febrero de 2022</w:t>
      </w:r>
      <w:r w:rsidR="00B4288A">
        <w:rPr>
          <w:rFonts w:ascii="Palatino Linotype" w:hAnsi="Palatino Linotype"/>
          <w:i/>
        </w:rPr>
        <w:t>.</w:t>
      </w:r>
    </w:p>
    <w:p w14:paraId="64CBADF4" w14:textId="77777777" w:rsidR="005D6129" w:rsidRDefault="005D6129" w:rsidP="0081409D">
      <w:pPr>
        <w:spacing w:line="360" w:lineRule="auto"/>
        <w:jc w:val="both"/>
        <w:rPr>
          <w:rFonts w:ascii="Palatino Linotype" w:hAnsi="Palatino Linotype" w:cs="Arial"/>
        </w:rPr>
      </w:pPr>
    </w:p>
    <w:p w14:paraId="030E2EE6" w14:textId="3F9830A2" w:rsidR="002D7098" w:rsidRPr="002D7098" w:rsidRDefault="009C68F6" w:rsidP="002D7098">
      <w:pPr>
        <w:spacing w:line="360" w:lineRule="auto"/>
        <w:jc w:val="both"/>
        <w:rPr>
          <w:rFonts w:ascii="Palatino Linotype" w:hAnsi="Palatino Linotype" w:cs="Arial"/>
        </w:rPr>
      </w:pPr>
      <w:r>
        <w:rPr>
          <w:rFonts w:ascii="Palatino Linotype" w:hAnsi="Palatino Linotype" w:cs="Arial"/>
        </w:rPr>
        <w:t>Precisado lo anterior</w:t>
      </w:r>
      <w:r w:rsidR="003C4E5D">
        <w:rPr>
          <w:rFonts w:ascii="Palatino Linotype" w:hAnsi="Palatino Linotype" w:cs="Arial"/>
        </w:rPr>
        <w:t xml:space="preserve">, se debe señalar que el Sujeto </w:t>
      </w:r>
      <w:r>
        <w:rPr>
          <w:rFonts w:ascii="Palatino Linotype" w:hAnsi="Palatino Linotype" w:cs="Arial"/>
        </w:rPr>
        <w:t>O</w:t>
      </w:r>
      <w:r w:rsidR="003C4E5D">
        <w:rPr>
          <w:rFonts w:ascii="Palatino Linotype" w:hAnsi="Palatino Linotype" w:cs="Arial"/>
        </w:rPr>
        <w:t>bligad</w:t>
      </w:r>
      <w:r>
        <w:rPr>
          <w:rFonts w:ascii="Palatino Linotype" w:hAnsi="Palatino Linotype" w:cs="Arial"/>
        </w:rPr>
        <w:t xml:space="preserve">o, si bien es cierto, informó mediante respuesta primigenia que </w:t>
      </w:r>
      <w:r w:rsidRPr="009C68F6">
        <w:rPr>
          <w:rFonts w:ascii="Palatino Linotype" w:hAnsi="Palatino Linotype" w:cs="Arial"/>
        </w:rPr>
        <w:t>la información requerida se considera información reservada, en relación a los expedientes que se encuentran en proceso de investigación en la Contraloría Interna</w:t>
      </w:r>
      <w:r w:rsidR="003C4E5D">
        <w:rPr>
          <w:rFonts w:ascii="Palatino Linotype" w:hAnsi="Palatino Linotype" w:cs="Arial"/>
        </w:rPr>
        <w:t>,</w:t>
      </w:r>
      <w:r>
        <w:rPr>
          <w:rFonts w:ascii="Palatino Linotype" w:hAnsi="Palatino Linotype" w:cs="Arial"/>
        </w:rPr>
        <w:t xml:space="preserve"> también lo es que este fue omiso en remitir el acuerdo que sustente la clasificación como información reservada de la información solicitada; asimismo, omitió pronunciarse respecto de los expedientes formados con motivo de responsabilidad administrativa que se encuentren concluidos a la fecha de la solicitud de información,</w:t>
      </w:r>
      <w:r w:rsidR="003C4E5D">
        <w:rPr>
          <w:rFonts w:ascii="Palatino Linotype" w:hAnsi="Palatino Linotype" w:cs="Arial"/>
        </w:rPr>
        <w:t xml:space="preserve"> por tal motivo,</w:t>
      </w:r>
      <w:r w:rsidR="0081409D" w:rsidRPr="0081409D">
        <w:rPr>
          <w:rFonts w:ascii="Palatino Linotype" w:hAnsi="Palatino Linotype" w:cs="Arial"/>
        </w:rPr>
        <w:t xml:space="preserve"> no colma el derecho de acceso a la información del Recurrente, </w:t>
      </w:r>
      <w:r w:rsidR="003C4E5D">
        <w:rPr>
          <w:rFonts w:ascii="Palatino Linotype" w:hAnsi="Palatino Linotype" w:cs="Arial"/>
        </w:rPr>
        <w:t>con base en las siguientes consideraciones de hecho y de derecho:</w:t>
      </w:r>
    </w:p>
    <w:p w14:paraId="5229E167" w14:textId="77777777" w:rsidR="002D7098" w:rsidRPr="002D7098" w:rsidRDefault="002D7098" w:rsidP="002D7098">
      <w:pPr>
        <w:spacing w:line="360" w:lineRule="auto"/>
        <w:jc w:val="both"/>
        <w:rPr>
          <w:rFonts w:ascii="Palatino Linotype" w:eastAsiaTheme="minorHAnsi" w:hAnsi="Palatino Linotype" w:cs="Arial"/>
          <w:lang w:val="es-MX" w:eastAsia="en-US"/>
        </w:rPr>
      </w:pPr>
      <w:r w:rsidRPr="002D7098">
        <w:rPr>
          <w:rFonts w:ascii="Palatino Linotype" w:eastAsiaTheme="minorHAnsi" w:hAnsi="Palatino Linotype" w:cs="Arial"/>
          <w:lang w:val="es-MX" w:eastAsia="en-US"/>
        </w:rPr>
        <w:t xml:space="preserve"> </w:t>
      </w:r>
    </w:p>
    <w:p w14:paraId="2BB920EF" w14:textId="0B33AF5C" w:rsidR="002D7098" w:rsidRPr="002D7098" w:rsidRDefault="002D7098" w:rsidP="002D7098">
      <w:pPr>
        <w:tabs>
          <w:tab w:val="left" w:pos="709"/>
        </w:tabs>
        <w:spacing w:line="360" w:lineRule="auto"/>
        <w:jc w:val="both"/>
        <w:rPr>
          <w:rFonts w:ascii="Palatino Linotype" w:eastAsiaTheme="minorHAnsi" w:hAnsi="Palatino Linotype" w:cs="Arial"/>
          <w:lang w:val="es-MX" w:eastAsia="en-US"/>
        </w:rPr>
      </w:pPr>
      <w:r w:rsidRPr="002D7098">
        <w:rPr>
          <w:rFonts w:ascii="Palatino Linotype" w:eastAsiaTheme="minorHAnsi" w:hAnsi="Palatino Linotype" w:cs="Arial"/>
          <w:lang w:val="es-MX" w:eastAsia="en-US"/>
        </w:rPr>
        <w:t xml:space="preserve">El artículo 1 de la Ley de Transparencia y Acceso a la Información Pública del Estado de México y Municipios, establece los principios, bases generales y procedimientos para tutelar y garantizar la transparencia y el derecho humano de acceso a la información pública en posesión de los sujetos obligados, así mismo el numeral 3° del mismo ordenamiento legal, define a los sujetos obligados como cualquier autoridad, entidad, órgano y organismo de los Poderes Ejecutivo, Legislativo y Judicial, órganos autónomos, partidos políticos, fideicomisos y fondos públicos estatales y municipales, así como de la administración pública municipal y sus organismos descentralizados o cualquier persona física, jurídico colectiva o sindicato que reciba y ejerza recursos públicos o realice actos de autoridad en el ámbito estatal y municipal, que deba cumplir con las obligaciones previstas en la Ley de Transparencia y Acceso a la Información Pública del Estado de México y Municipios; que en el presente caso es el </w:t>
      </w:r>
      <w:r w:rsidR="006B047A" w:rsidRPr="006B047A">
        <w:rPr>
          <w:rFonts w:ascii="Palatino Linotype" w:eastAsiaTheme="minorHAnsi" w:hAnsi="Palatino Linotype" w:cs="Arial"/>
          <w:lang w:val="es-MX" w:eastAsia="en-US"/>
        </w:rPr>
        <w:t>Organismo Público Descentralizado para la Prestación de Los Servicios de Agua Potable Alcantarillado y Saneamiento del Municipio de Tlalnepantla de Baz</w:t>
      </w:r>
      <w:r w:rsidR="00E43ABA">
        <w:rPr>
          <w:rFonts w:ascii="Palatino Linotype" w:eastAsiaTheme="minorHAnsi" w:hAnsi="Palatino Linotype" w:cs="Arial"/>
          <w:lang w:val="es-MX" w:eastAsia="en-US"/>
        </w:rPr>
        <w:t>.</w:t>
      </w:r>
    </w:p>
    <w:p w14:paraId="52A46F82" w14:textId="77777777" w:rsidR="002D7098" w:rsidRPr="002D7098" w:rsidRDefault="002D7098" w:rsidP="002D7098">
      <w:pPr>
        <w:tabs>
          <w:tab w:val="left" w:pos="709"/>
        </w:tabs>
        <w:spacing w:line="360" w:lineRule="auto"/>
        <w:jc w:val="both"/>
        <w:rPr>
          <w:rFonts w:ascii="Palatino Linotype" w:eastAsiaTheme="minorHAnsi" w:hAnsi="Palatino Linotype" w:cs="Arial"/>
          <w:lang w:val="es-MX" w:eastAsia="en-US"/>
        </w:rPr>
      </w:pPr>
    </w:p>
    <w:p w14:paraId="5C328914" w14:textId="58DB20D5" w:rsidR="002D7098" w:rsidRPr="002D7098" w:rsidRDefault="002D7098" w:rsidP="002D7098">
      <w:pPr>
        <w:spacing w:line="360" w:lineRule="auto"/>
        <w:jc w:val="both"/>
        <w:rPr>
          <w:rFonts w:ascii="Palatino Linotype" w:eastAsiaTheme="minorHAnsi" w:hAnsi="Palatino Linotype" w:cs="Arial"/>
          <w:lang w:val="es-MX" w:eastAsia="en-US"/>
        </w:rPr>
      </w:pPr>
      <w:r w:rsidRPr="002D7098">
        <w:rPr>
          <w:rFonts w:ascii="Palatino Linotype" w:eastAsiaTheme="minorHAnsi" w:hAnsi="Palatino Linotype" w:cs="Arial"/>
          <w:lang w:val="es-MX" w:eastAsia="en-US"/>
        </w:rPr>
        <w:t>Por lo anterior, este Instituto resalta que, si bien, por regla general, toda la información generada, obtenida, adquirida, transformada, administrada o en posesión de los sujetos obligados es pública, debemos considerar que también hay excepciones, es decir, que se trate de información clasificada (confidencial o reservada), en cuyo caso, se restringirá, excepcionalmente, el acceso conforme a lo señalado en la ley en la materia.</w:t>
      </w:r>
    </w:p>
    <w:p w14:paraId="19C1B7F5" w14:textId="77777777" w:rsidR="002D7098" w:rsidRPr="002D7098" w:rsidRDefault="002D7098" w:rsidP="002D7098">
      <w:pPr>
        <w:spacing w:line="360" w:lineRule="auto"/>
        <w:jc w:val="both"/>
        <w:rPr>
          <w:rFonts w:ascii="Palatino Linotype" w:eastAsiaTheme="minorHAnsi" w:hAnsi="Palatino Linotype" w:cs="Arial"/>
          <w:lang w:val="es-MX" w:eastAsia="en-US"/>
        </w:rPr>
      </w:pPr>
      <w:r w:rsidRPr="002D7098">
        <w:rPr>
          <w:rFonts w:ascii="Palatino Linotype" w:eastAsiaTheme="minorHAnsi" w:hAnsi="Palatino Linotype" w:cs="Arial"/>
          <w:lang w:val="es-MX" w:eastAsia="en-US"/>
        </w:rPr>
        <w:t>Respecto a la información reservada, resulta necesario señalar que de conformidad con el artículo 3, fracciones XXIV de la Ley de Transparencia y Acceso a la Información Pública del Estado de México y Municipios, se define de la siguiente manera:</w:t>
      </w:r>
    </w:p>
    <w:p w14:paraId="37BAF6DD" w14:textId="77777777" w:rsidR="002D7098" w:rsidRPr="002D7098" w:rsidRDefault="002D7098" w:rsidP="002D7098">
      <w:pPr>
        <w:spacing w:line="360" w:lineRule="auto"/>
        <w:jc w:val="both"/>
        <w:rPr>
          <w:rFonts w:ascii="Palatino Linotype" w:eastAsiaTheme="minorHAnsi" w:hAnsi="Palatino Linotype" w:cs="Arial"/>
          <w:sz w:val="14"/>
          <w:lang w:val="es-MX" w:eastAsia="en-US"/>
        </w:rPr>
      </w:pPr>
    </w:p>
    <w:p w14:paraId="1A9D535B" w14:textId="77777777" w:rsidR="002D7098" w:rsidRPr="002D7098" w:rsidRDefault="002D7098" w:rsidP="002D7098">
      <w:pPr>
        <w:ind w:left="567" w:right="567"/>
        <w:jc w:val="both"/>
        <w:rPr>
          <w:rFonts w:ascii="Palatino Linotype" w:eastAsiaTheme="minorHAnsi" w:hAnsi="Palatino Linotype" w:cs="Arial"/>
          <w:i/>
          <w:sz w:val="22"/>
          <w:szCs w:val="22"/>
          <w:lang w:val="es-MX" w:eastAsia="en-US"/>
        </w:rPr>
      </w:pPr>
      <w:r w:rsidRPr="002D7098">
        <w:rPr>
          <w:rFonts w:ascii="Palatino Linotype" w:eastAsiaTheme="minorHAnsi" w:hAnsi="Palatino Linotype" w:cs="Arial"/>
          <w:b/>
          <w:i/>
          <w:sz w:val="22"/>
          <w:szCs w:val="22"/>
          <w:lang w:val="es-MX" w:eastAsia="en-US"/>
        </w:rPr>
        <w:t>“…XXIV. Información reservada:</w:t>
      </w:r>
      <w:r w:rsidRPr="002D7098">
        <w:rPr>
          <w:rFonts w:ascii="Palatino Linotype" w:eastAsiaTheme="minorHAnsi" w:hAnsi="Palatino Linotype" w:cs="Arial"/>
          <w:i/>
          <w:sz w:val="22"/>
          <w:szCs w:val="22"/>
          <w:lang w:val="es-MX" w:eastAsia="en-US"/>
        </w:rPr>
        <w:t xml:space="preserve"> La clasificada con este carácter de manera temporal por las disposiciones de esta Ley, cuya divulgación puede causar daño en términos de lo establecido por esta Ley…”</w:t>
      </w:r>
    </w:p>
    <w:p w14:paraId="20938016" w14:textId="77777777" w:rsidR="002D7098" w:rsidRPr="002D7098" w:rsidRDefault="002D7098" w:rsidP="002D7098">
      <w:pPr>
        <w:spacing w:line="360" w:lineRule="auto"/>
        <w:jc w:val="both"/>
        <w:rPr>
          <w:rFonts w:ascii="Palatino Linotype" w:eastAsiaTheme="minorHAnsi" w:hAnsi="Palatino Linotype" w:cs="Arial"/>
          <w:lang w:val="es-MX" w:eastAsia="en-US"/>
        </w:rPr>
      </w:pPr>
    </w:p>
    <w:p w14:paraId="55A57E0B" w14:textId="3028045A" w:rsidR="002D7098" w:rsidRPr="002D7098" w:rsidRDefault="002D7098" w:rsidP="002D7098">
      <w:pPr>
        <w:spacing w:line="360" w:lineRule="auto"/>
        <w:jc w:val="both"/>
        <w:rPr>
          <w:rFonts w:ascii="Palatino Linotype" w:eastAsiaTheme="minorHAnsi" w:hAnsi="Palatino Linotype" w:cs="Arial"/>
          <w:lang w:val="es-MX" w:eastAsia="en-US"/>
        </w:rPr>
      </w:pPr>
      <w:r w:rsidRPr="002D7098">
        <w:rPr>
          <w:rFonts w:ascii="Palatino Linotype" w:eastAsiaTheme="minorHAnsi" w:hAnsi="Palatino Linotype" w:cs="Arial"/>
          <w:lang w:val="es-MX" w:eastAsia="en-US"/>
        </w:rPr>
        <w:t>En síntesis, se determina que, excepcionalmente la información pública podrá ser clasificada como reservada temporalmente por razones de interés público, en los términos de las causas legítimas y estrictamente necesarias previstas por la Ley de Transparencia, por lo que los sujetos obligados deben garantizar el derecho de acceso a la información pública, pero también tienen la obligación de proteger los datos personales contenidos en la información en su poder, así como aquella que recaiga en alguna causal de reserva que señale la Ley. De tal manera, se tiene que en el caso particular la clasificación invocada fue la de reserva, por lo que el estudio se centrará en este supuesto.</w:t>
      </w:r>
    </w:p>
    <w:p w14:paraId="48E152B9" w14:textId="77777777" w:rsidR="002D7098" w:rsidRPr="002D7098" w:rsidRDefault="002D7098" w:rsidP="002D7098">
      <w:pPr>
        <w:spacing w:line="360" w:lineRule="auto"/>
        <w:jc w:val="both"/>
        <w:rPr>
          <w:rFonts w:ascii="Palatino Linotype" w:eastAsiaTheme="minorHAnsi" w:hAnsi="Palatino Linotype" w:cs="Arial"/>
          <w:lang w:val="es-MX" w:eastAsia="en-US"/>
        </w:rPr>
      </w:pPr>
    </w:p>
    <w:p w14:paraId="072F5E2C" w14:textId="77777777" w:rsidR="002D7098" w:rsidRPr="002D7098" w:rsidRDefault="002D7098" w:rsidP="002D7098">
      <w:pPr>
        <w:spacing w:line="360" w:lineRule="auto"/>
        <w:jc w:val="both"/>
        <w:rPr>
          <w:rFonts w:ascii="Palatino Linotype" w:eastAsia="Calibri" w:hAnsi="Palatino Linotype" w:cs="Arial"/>
        </w:rPr>
      </w:pPr>
      <w:r w:rsidRPr="002D7098">
        <w:rPr>
          <w:rFonts w:ascii="Palatino Linotype" w:eastAsia="Calibri" w:hAnsi="Palatino Linotype" w:cs="Arial"/>
          <w:lang w:eastAsia="es-CO"/>
        </w:rPr>
        <w:t xml:space="preserve">Es así, que respecto a la información clasificada como reservada la </w:t>
      </w:r>
      <w:r w:rsidRPr="002D7098">
        <w:rPr>
          <w:rFonts w:ascii="Palatino Linotype" w:eastAsia="Calibri" w:hAnsi="Palatino Linotype" w:cs="Arial"/>
        </w:rPr>
        <w:t>Ley de Transparencia vigente en nuestra entidad establece en su artículo 140 una serie de hipótesis en las cuales radica la posibilidad de tal clasificación de información, que son:</w:t>
      </w:r>
    </w:p>
    <w:p w14:paraId="3F3C8517" w14:textId="77777777" w:rsidR="002D7098" w:rsidRPr="002D7098" w:rsidRDefault="002D7098" w:rsidP="002D7098">
      <w:pPr>
        <w:spacing w:after="120"/>
        <w:ind w:left="851" w:right="851"/>
        <w:jc w:val="both"/>
        <w:rPr>
          <w:rFonts w:ascii="Palatino Linotype" w:eastAsia="Calibri" w:hAnsi="Palatino Linotype"/>
          <w:i/>
          <w:sz w:val="22"/>
          <w:szCs w:val="22"/>
          <w:lang w:eastAsia="en-US"/>
        </w:rPr>
      </w:pPr>
      <w:r w:rsidRPr="002D7098">
        <w:rPr>
          <w:rFonts w:ascii="Palatino Linotype" w:eastAsia="Calibri" w:hAnsi="Palatino Linotype"/>
          <w:i/>
          <w:lang w:eastAsia="en-US"/>
        </w:rPr>
        <w:t xml:space="preserve"> </w:t>
      </w:r>
      <w:r w:rsidRPr="002D7098">
        <w:rPr>
          <w:rFonts w:ascii="Palatino Linotype" w:eastAsia="Calibri" w:hAnsi="Palatino Linotype"/>
          <w:i/>
          <w:sz w:val="22"/>
          <w:szCs w:val="22"/>
          <w:lang w:val="es-MX" w:eastAsia="en-US"/>
        </w:rPr>
        <w:t>“</w:t>
      </w:r>
      <w:r w:rsidRPr="002D7098">
        <w:rPr>
          <w:rFonts w:ascii="Palatino Linotype" w:eastAsia="Calibri" w:hAnsi="Palatino Linotype"/>
          <w:b/>
          <w:i/>
          <w:sz w:val="22"/>
          <w:szCs w:val="22"/>
          <w:lang w:eastAsia="en-US"/>
        </w:rPr>
        <w:t>Artículo 140.</w:t>
      </w:r>
      <w:r w:rsidRPr="002D7098">
        <w:rPr>
          <w:rFonts w:ascii="Palatino Linotype" w:eastAsia="Calibri" w:hAnsi="Palatino Linotype"/>
          <w:i/>
          <w:sz w:val="22"/>
          <w:szCs w:val="22"/>
          <w:lang w:eastAsia="en-US"/>
        </w:rPr>
        <w:t xml:space="preserve"> El acceso a la información pública será restringido excepcionalmente, cuando por razones de interés público, ésta sea clasificada como reservada, conforme a los criterios siguientes: </w:t>
      </w:r>
    </w:p>
    <w:p w14:paraId="0FCAABA9" w14:textId="77777777" w:rsidR="002D7098" w:rsidRPr="002D7098" w:rsidRDefault="002D7098" w:rsidP="002D7098">
      <w:pPr>
        <w:spacing w:after="120"/>
        <w:ind w:left="851" w:right="851"/>
        <w:jc w:val="both"/>
        <w:rPr>
          <w:rFonts w:ascii="Palatino Linotype" w:eastAsia="Calibri" w:hAnsi="Palatino Linotype"/>
          <w:i/>
          <w:sz w:val="22"/>
          <w:szCs w:val="22"/>
          <w:lang w:eastAsia="en-US"/>
        </w:rPr>
      </w:pPr>
      <w:r w:rsidRPr="002D7098">
        <w:rPr>
          <w:rFonts w:ascii="Palatino Linotype" w:eastAsia="Calibri" w:hAnsi="Palatino Linotype"/>
          <w:b/>
          <w:i/>
          <w:sz w:val="22"/>
          <w:szCs w:val="22"/>
          <w:lang w:eastAsia="en-US"/>
        </w:rPr>
        <w:t>I.</w:t>
      </w:r>
      <w:r w:rsidRPr="002D7098">
        <w:rPr>
          <w:rFonts w:ascii="Palatino Linotype" w:eastAsia="Calibri" w:hAnsi="Palatino Linotype"/>
          <w:i/>
          <w:sz w:val="22"/>
          <w:szCs w:val="22"/>
          <w:lang w:eastAsia="en-US"/>
        </w:rPr>
        <w:t xml:space="preserve"> Comprometa la seguridad pública y cuente con un propósito genuino y un efecto demostrable; </w:t>
      </w:r>
    </w:p>
    <w:p w14:paraId="6D281FE0" w14:textId="77777777" w:rsidR="002D7098" w:rsidRPr="002D7098" w:rsidRDefault="002D7098" w:rsidP="002D7098">
      <w:pPr>
        <w:spacing w:after="120"/>
        <w:ind w:left="851" w:right="851"/>
        <w:jc w:val="both"/>
        <w:rPr>
          <w:rFonts w:ascii="Palatino Linotype" w:eastAsia="Calibri" w:hAnsi="Palatino Linotype"/>
          <w:i/>
          <w:sz w:val="22"/>
          <w:szCs w:val="22"/>
          <w:lang w:eastAsia="en-US"/>
        </w:rPr>
      </w:pPr>
      <w:r w:rsidRPr="002D7098">
        <w:rPr>
          <w:rFonts w:ascii="Palatino Linotype" w:eastAsia="Calibri" w:hAnsi="Palatino Linotype"/>
          <w:b/>
          <w:i/>
          <w:sz w:val="22"/>
          <w:szCs w:val="22"/>
          <w:lang w:eastAsia="en-US"/>
        </w:rPr>
        <w:t>II.</w:t>
      </w:r>
      <w:r w:rsidRPr="002D7098">
        <w:rPr>
          <w:rFonts w:ascii="Palatino Linotype" w:eastAsia="Calibri" w:hAnsi="Palatino Linotype"/>
          <w:i/>
          <w:sz w:val="22"/>
          <w:szCs w:val="22"/>
          <w:lang w:eastAsia="en-US"/>
        </w:rPr>
        <w:t xml:space="preserve"> Pueda menoscabar la conducción de las negociaciones y relaciones internacionales; </w:t>
      </w:r>
    </w:p>
    <w:p w14:paraId="375BB808" w14:textId="77777777" w:rsidR="002D7098" w:rsidRPr="002D7098" w:rsidRDefault="002D7098" w:rsidP="002D7098">
      <w:pPr>
        <w:spacing w:after="120"/>
        <w:ind w:left="851" w:right="851"/>
        <w:jc w:val="both"/>
        <w:rPr>
          <w:rFonts w:ascii="Palatino Linotype" w:eastAsia="Calibri" w:hAnsi="Palatino Linotype"/>
          <w:i/>
          <w:sz w:val="22"/>
          <w:szCs w:val="22"/>
          <w:lang w:eastAsia="en-US"/>
        </w:rPr>
      </w:pPr>
      <w:r w:rsidRPr="002D7098">
        <w:rPr>
          <w:rFonts w:ascii="Palatino Linotype" w:eastAsia="Calibri" w:hAnsi="Palatino Linotype"/>
          <w:b/>
          <w:i/>
          <w:sz w:val="22"/>
          <w:szCs w:val="22"/>
          <w:lang w:eastAsia="en-US"/>
        </w:rPr>
        <w:t>III.</w:t>
      </w:r>
      <w:r w:rsidRPr="002D7098">
        <w:rPr>
          <w:rFonts w:ascii="Palatino Linotype" w:eastAsia="Calibri" w:hAnsi="Palatino Linotype"/>
          <w:i/>
          <w:sz w:val="22"/>
          <w:szCs w:val="22"/>
          <w:lang w:eastAsia="en-US"/>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54AFD4DC" w14:textId="77777777" w:rsidR="002D7098" w:rsidRPr="002D7098" w:rsidRDefault="002D7098" w:rsidP="002D7098">
      <w:pPr>
        <w:spacing w:after="120"/>
        <w:ind w:left="851" w:right="851"/>
        <w:jc w:val="both"/>
        <w:rPr>
          <w:rFonts w:ascii="Palatino Linotype" w:eastAsia="Calibri" w:hAnsi="Palatino Linotype"/>
          <w:i/>
          <w:sz w:val="22"/>
          <w:szCs w:val="22"/>
          <w:lang w:eastAsia="en-US"/>
        </w:rPr>
      </w:pPr>
      <w:r w:rsidRPr="002D7098">
        <w:rPr>
          <w:rFonts w:ascii="Palatino Linotype" w:eastAsia="Calibri" w:hAnsi="Palatino Linotype"/>
          <w:b/>
          <w:i/>
          <w:sz w:val="22"/>
          <w:szCs w:val="22"/>
          <w:lang w:eastAsia="en-US"/>
        </w:rPr>
        <w:t>IV.</w:t>
      </w:r>
      <w:r w:rsidRPr="002D7098">
        <w:rPr>
          <w:rFonts w:ascii="Palatino Linotype" w:eastAsia="Calibri" w:hAnsi="Palatino Linotype"/>
          <w:i/>
          <w:sz w:val="22"/>
          <w:szCs w:val="22"/>
          <w:lang w:eastAsia="en-US"/>
        </w:rPr>
        <w:t xml:space="preserve"> Ponga en riesgo la vida, la seguridad o la salud de una persona física; </w:t>
      </w:r>
    </w:p>
    <w:p w14:paraId="7885E079" w14:textId="77777777" w:rsidR="002D7098" w:rsidRPr="002D7098" w:rsidRDefault="002D7098" w:rsidP="002D7098">
      <w:pPr>
        <w:spacing w:after="120"/>
        <w:ind w:left="851" w:right="851"/>
        <w:jc w:val="both"/>
        <w:rPr>
          <w:rFonts w:ascii="Palatino Linotype" w:eastAsia="Calibri" w:hAnsi="Palatino Linotype"/>
          <w:i/>
          <w:sz w:val="22"/>
          <w:szCs w:val="22"/>
          <w:lang w:eastAsia="en-US"/>
        </w:rPr>
      </w:pPr>
      <w:r w:rsidRPr="002D7098">
        <w:rPr>
          <w:rFonts w:ascii="Palatino Linotype" w:eastAsia="Calibri" w:hAnsi="Palatino Linotype"/>
          <w:b/>
          <w:i/>
          <w:sz w:val="22"/>
          <w:szCs w:val="22"/>
          <w:lang w:eastAsia="en-US"/>
        </w:rPr>
        <w:t>V.</w:t>
      </w:r>
      <w:r w:rsidRPr="002D7098">
        <w:rPr>
          <w:rFonts w:ascii="Palatino Linotype" w:eastAsia="Calibri" w:hAnsi="Palatino Linotype"/>
          <w:i/>
          <w:sz w:val="22"/>
          <w:szCs w:val="22"/>
          <w:lang w:eastAsia="en-US"/>
        </w:rPr>
        <w:t xml:space="preserve"> Aquella cuya divulgación obstruya o pueda causar un serio perjuicio a: </w:t>
      </w:r>
    </w:p>
    <w:p w14:paraId="43017905" w14:textId="77777777" w:rsidR="002D7098" w:rsidRPr="002D7098" w:rsidRDefault="002D7098" w:rsidP="002D7098">
      <w:pPr>
        <w:spacing w:after="120"/>
        <w:ind w:left="851" w:right="851"/>
        <w:jc w:val="both"/>
        <w:rPr>
          <w:rFonts w:ascii="Palatino Linotype" w:eastAsia="Calibri" w:hAnsi="Palatino Linotype"/>
          <w:i/>
          <w:sz w:val="22"/>
          <w:szCs w:val="22"/>
          <w:lang w:eastAsia="en-US"/>
        </w:rPr>
      </w:pPr>
      <w:r w:rsidRPr="002D7098">
        <w:rPr>
          <w:rFonts w:ascii="Palatino Linotype" w:eastAsia="Calibri" w:hAnsi="Palatino Linotype"/>
          <w:b/>
          <w:i/>
          <w:sz w:val="22"/>
          <w:szCs w:val="22"/>
          <w:lang w:eastAsia="en-US"/>
        </w:rPr>
        <w:t>1.</w:t>
      </w:r>
      <w:r w:rsidRPr="002D7098">
        <w:rPr>
          <w:rFonts w:ascii="Palatino Linotype" w:eastAsia="Calibri" w:hAnsi="Palatino Linotype"/>
          <w:i/>
          <w:sz w:val="22"/>
          <w:szCs w:val="22"/>
          <w:lang w:eastAsia="en-US"/>
        </w:rPr>
        <w:t xml:space="preserve"> Las actividades de fiscalización, verificación, inspección, comprobación y auditoría sobre el cumplimiento de las Leyes; o </w:t>
      </w:r>
    </w:p>
    <w:p w14:paraId="2A8C806C" w14:textId="77777777" w:rsidR="002D7098" w:rsidRPr="002D7098" w:rsidRDefault="002D7098" w:rsidP="002D7098">
      <w:pPr>
        <w:spacing w:after="120"/>
        <w:ind w:left="851" w:right="851"/>
        <w:jc w:val="both"/>
        <w:rPr>
          <w:rFonts w:ascii="Palatino Linotype" w:eastAsia="Calibri" w:hAnsi="Palatino Linotype"/>
          <w:i/>
          <w:sz w:val="22"/>
          <w:szCs w:val="22"/>
          <w:lang w:eastAsia="en-US"/>
        </w:rPr>
      </w:pPr>
      <w:r w:rsidRPr="002D7098">
        <w:rPr>
          <w:rFonts w:ascii="Palatino Linotype" w:eastAsia="Calibri" w:hAnsi="Palatino Linotype"/>
          <w:b/>
          <w:i/>
          <w:sz w:val="22"/>
          <w:szCs w:val="22"/>
          <w:lang w:eastAsia="en-US"/>
        </w:rPr>
        <w:t>2.</w:t>
      </w:r>
      <w:r w:rsidRPr="002D7098">
        <w:rPr>
          <w:rFonts w:ascii="Palatino Linotype" w:eastAsia="Calibri" w:hAnsi="Palatino Linotype"/>
          <w:i/>
          <w:sz w:val="22"/>
          <w:szCs w:val="22"/>
          <w:lang w:eastAsia="en-US"/>
        </w:rPr>
        <w:t xml:space="preserve"> La recaudación de las contribuciones. </w:t>
      </w:r>
    </w:p>
    <w:p w14:paraId="6B276D46" w14:textId="77777777" w:rsidR="002D7098" w:rsidRPr="002D7098" w:rsidRDefault="002D7098" w:rsidP="002D7098">
      <w:pPr>
        <w:spacing w:after="120"/>
        <w:ind w:left="851" w:right="851"/>
        <w:jc w:val="both"/>
        <w:rPr>
          <w:rFonts w:ascii="Palatino Linotype" w:eastAsia="Calibri" w:hAnsi="Palatino Linotype"/>
          <w:i/>
          <w:sz w:val="22"/>
          <w:szCs w:val="22"/>
          <w:lang w:eastAsia="en-US"/>
        </w:rPr>
      </w:pPr>
      <w:r w:rsidRPr="002D7098">
        <w:rPr>
          <w:rFonts w:ascii="Palatino Linotype" w:eastAsia="Calibri" w:hAnsi="Palatino Linotype"/>
          <w:b/>
          <w:i/>
          <w:sz w:val="22"/>
          <w:szCs w:val="22"/>
          <w:lang w:eastAsia="en-US"/>
        </w:rPr>
        <w:t>VI.</w:t>
      </w:r>
      <w:r w:rsidRPr="002D7098">
        <w:rPr>
          <w:rFonts w:ascii="Palatino Linotype" w:eastAsia="Calibri" w:hAnsi="Palatino Linotype"/>
          <w:i/>
          <w:sz w:val="22"/>
          <w:szCs w:val="22"/>
          <w:lang w:eastAsia="en-US"/>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6297FF8D" w14:textId="77777777" w:rsidR="002D7098" w:rsidRPr="002D7098" w:rsidRDefault="002D7098" w:rsidP="002D7098">
      <w:pPr>
        <w:spacing w:after="120"/>
        <w:ind w:left="851" w:right="851"/>
        <w:jc w:val="both"/>
        <w:rPr>
          <w:rFonts w:ascii="Palatino Linotype" w:eastAsia="Calibri" w:hAnsi="Palatino Linotype"/>
          <w:i/>
          <w:sz w:val="22"/>
          <w:szCs w:val="22"/>
          <w:lang w:eastAsia="en-US"/>
        </w:rPr>
      </w:pPr>
      <w:r w:rsidRPr="002D7098">
        <w:rPr>
          <w:rFonts w:ascii="Palatino Linotype" w:eastAsia="Calibri" w:hAnsi="Palatino Linotype"/>
          <w:b/>
          <w:i/>
          <w:sz w:val="22"/>
          <w:szCs w:val="22"/>
          <w:lang w:eastAsia="en-US"/>
        </w:rPr>
        <w:t>VII.</w:t>
      </w:r>
      <w:r w:rsidRPr="002D7098">
        <w:rPr>
          <w:rFonts w:ascii="Palatino Linotype" w:eastAsia="Calibri" w:hAnsi="Palatino Linotype"/>
          <w:i/>
          <w:sz w:val="22"/>
          <w:szCs w:val="22"/>
          <w:lang w:eastAsia="en-US"/>
        </w:rPr>
        <w:t xml:space="preserve"> La que contengan las opiniones, recomendaciones o puntos de vista que formen parte del proceso deliberativo de los servidores públicos, hasta en tanto sea adoptada la decisión definitiva, la cual deberá estar documentada; </w:t>
      </w:r>
    </w:p>
    <w:p w14:paraId="7C33BE6D" w14:textId="77777777" w:rsidR="002D7098" w:rsidRPr="002D7098" w:rsidRDefault="002D7098" w:rsidP="002D7098">
      <w:pPr>
        <w:spacing w:after="120"/>
        <w:ind w:left="851" w:right="851"/>
        <w:jc w:val="both"/>
        <w:rPr>
          <w:rFonts w:ascii="Palatino Linotype" w:eastAsia="Calibri" w:hAnsi="Palatino Linotype"/>
          <w:i/>
          <w:sz w:val="22"/>
          <w:szCs w:val="22"/>
          <w:lang w:eastAsia="en-US"/>
        </w:rPr>
      </w:pPr>
      <w:r w:rsidRPr="002D7098">
        <w:rPr>
          <w:rFonts w:ascii="Palatino Linotype" w:eastAsia="Calibri" w:hAnsi="Palatino Linotype"/>
          <w:b/>
          <w:i/>
          <w:sz w:val="22"/>
          <w:szCs w:val="22"/>
          <w:lang w:eastAsia="en-US"/>
        </w:rPr>
        <w:t>VIII.</w:t>
      </w:r>
      <w:r w:rsidRPr="002D7098">
        <w:rPr>
          <w:rFonts w:ascii="Palatino Linotype" w:eastAsia="Calibri" w:hAnsi="Palatino Linotype"/>
          <w:i/>
          <w:sz w:val="22"/>
          <w:szCs w:val="22"/>
          <w:lang w:eastAsia="en-US"/>
        </w:rPr>
        <w:t xml:space="preserve"> </w:t>
      </w:r>
      <w:r w:rsidRPr="002D7098">
        <w:rPr>
          <w:rFonts w:ascii="Palatino Linotype" w:eastAsia="Calibri" w:hAnsi="Palatino Linotype"/>
          <w:b/>
          <w:bCs/>
          <w:i/>
          <w:sz w:val="22"/>
          <w:szCs w:val="22"/>
          <w:lang w:eastAsia="en-US"/>
        </w:rPr>
        <w:t>Vulnere la conducción de los expedientes judiciales o de los procedimientos administrativos seguidos en forma de juicio, en tanto no hayan quedado firmes</w:t>
      </w:r>
      <w:r w:rsidRPr="002D7098">
        <w:rPr>
          <w:rFonts w:ascii="Palatino Linotype" w:eastAsia="Calibri" w:hAnsi="Palatino Linotype"/>
          <w:i/>
          <w:sz w:val="22"/>
          <w:szCs w:val="22"/>
          <w:lang w:eastAsia="en-US"/>
        </w:rPr>
        <w:t xml:space="preserve">; </w:t>
      </w:r>
    </w:p>
    <w:p w14:paraId="681D659D" w14:textId="77777777" w:rsidR="002D7098" w:rsidRPr="002D7098" w:rsidRDefault="002D7098" w:rsidP="002D7098">
      <w:pPr>
        <w:spacing w:after="120"/>
        <w:ind w:left="851" w:right="851"/>
        <w:jc w:val="both"/>
        <w:rPr>
          <w:rFonts w:ascii="Palatino Linotype" w:eastAsia="Calibri" w:hAnsi="Palatino Linotype"/>
          <w:i/>
          <w:sz w:val="22"/>
          <w:szCs w:val="22"/>
          <w:lang w:eastAsia="en-US"/>
        </w:rPr>
      </w:pPr>
      <w:r w:rsidRPr="002D7098">
        <w:rPr>
          <w:rFonts w:ascii="Palatino Linotype" w:eastAsia="Calibri" w:hAnsi="Palatino Linotype"/>
          <w:b/>
          <w:i/>
          <w:sz w:val="22"/>
          <w:szCs w:val="22"/>
          <w:lang w:eastAsia="en-US"/>
        </w:rPr>
        <w:t>IX.</w:t>
      </w:r>
      <w:r w:rsidRPr="002D7098">
        <w:rPr>
          <w:rFonts w:ascii="Palatino Linotype" w:eastAsia="Calibri" w:hAnsi="Palatino Linotype"/>
          <w:i/>
          <w:sz w:val="22"/>
          <w:szCs w:val="22"/>
          <w:lang w:eastAsia="en-US"/>
        </w:rPr>
        <w:t xml:space="preserve"> Se encuentre contenida dentro de las investigaciones de hechos que la Ley señale como delitos y se tramiten ante el Ministerio Público; </w:t>
      </w:r>
    </w:p>
    <w:p w14:paraId="4AD0285A" w14:textId="77777777" w:rsidR="002D7098" w:rsidRPr="002D7098" w:rsidRDefault="002D7098" w:rsidP="002D7098">
      <w:pPr>
        <w:spacing w:after="120"/>
        <w:ind w:left="851" w:right="851"/>
        <w:jc w:val="both"/>
        <w:rPr>
          <w:rFonts w:ascii="Palatino Linotype" w:eastAsia="Calibri" w:hAnsi="Palatino Linotype"/>
          <w:i/>
          <w:sz w:val="22"/>
          <w:szCs w:val="22"/>
          <w:lang w:eastAsia="en-US"/>
        </w:rPr>
      </w:pPr>
      <w:r w:rsidRPr="002D7098">
        <w:rPr>
          <w:rFonts w:ascii="Palatino Linotype" w:eastAsia="Calibri" w:hAnsi="Palatino Linotype"/>
          <w:b/>
          <w:i/>
          <w:sz w:val="22"/>
          <w:szCs w:val="22"/>
          <w:lang w:eastAsia="en-US"/>
        </w:rPr>
        <w:t>X.</w:t>
      </w:r>
      <w:r w:rsidRPr="002D7098">
        <w:rPr>
          <w:rFonts w:ascii="Palatino Linotype" w:eastAsia="Calibri" w:hAnsi="Palatino Linotype"/>
          <w:i/>
          <w:sz w:val="22"/>
          <w:szCs w:val="22"/>
          <w:lang w:eastAsia="en-US"/>
        </w:rPr>
        <w:t xml:space="preserve"> </w:t>
      </w:r>
      <w:r w:rsidRPr="002D7098">
        <w:rPr>
          <w:rFonts w:ascii="Palatino Linotype" w:eastAsia="Calibri" w:hAnsi="Palatino Linotype"/>
          <w:b/>
          <w:bCs/>
          <w:i/>
          <w:sz w:val="22"/>
          <w:szCs w:val="22"/>
          <w:lang w:eastAsia="en-US"/>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r w:rsidRPr="002D7098">
        <w:rPr>
          <w:rFonts w:ascii="Palatino Linotype" w:eastAsia="Calibri" w:hAnsi="Palatino Linotype"/>
          <w:i/>
          <w:sz w:val="22"/>
          <w:szCs w:val="22"/>
          <w:lang w:eastAsia="en-US"/>
        </w:rPr>
        <w:t xml:space="preserve"> </w:t>
      </w:r>
    </w:p>
    <w:p w14:paraId="2EA8E940" w14:textId="77777777" w:rsidR="002D7098" w:rsidRPr="002D7098" w:rsidRDefault="002D7098" w:rsidP="002D7098">
      <w:pPr>
        <w:spacing w:after="120"/>
        <w:ind w:left="851" w:right="851"/>
        <w:jc w:val="both"/>
        <w:rPr>
          <w:rFonts w:ascii="Palatino Linotype" w:eastAsia="Calibri" w:hAnsi="Palatino Linotype"/>
          <w:b/>
          <w:bCs/>
          <w:i/>
          <w:sz w:val="22"/>
          <w:szCs w:val="22"/>
          <w:lang w:eastAsia="en-US"/>
        </w:rPr>
      </w:pPr>
      <w:r w:rsidRPr="002D7098">
        <w:rPr>
          <w:rFonts w:ascii="Palatino Linotype" w:eastAsia="Calibri" w:hAnsi="Palatino Linotype"/>
          <w:b/>
          <w:bCs/>
          <w:i/>
          <w:sz w:val="22"/>
          <w:szCs w:val="22"/>
          <w:lang w:eastAsia="en-US"/>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21090CF3" w14:textId="77777777" w:rsidR="002D7098" w:rsidRPr="002D7098" w:rsidRDefault="002D7098" w:rsidP="002D7098">
      <w:pPr>
        <w:spacing w:after="120"/>
        <w:ind w:left="851" w:right="851"/>
        <w:jc w:val="both"/>
        <w:rPr>
          <w:rFonts w:ascii="Palatino Linotype" w:eastAsia="Calibri" w:hAnsi="Palatino Linotype"/>
          <w:sz w:val="22"/>
          <w:szCs w:val="22"/>
          <w:lang w:val="es-MX" w:eastAsia="en-US"/>
        </w:rPr>
      </w:pPr>
      <w:r w:rsidRPr="002D7098">
        <w:rPr>
          <w:rFonts w:ascii="Palatino Linotype" w:eastAsia="Calibri" w:hAnsi="Palatino Linotype"/>
          <w:b/>
          <w:i/>
          <w:sz w:val="22"/>
          <w:szCs w:val="22"/>
          <w:lang w:eastAsia="en-US"/>
        </w:rPr>
        <w:t>XI.</w:t>
      </w:r>
      <w:r w:rsidRPr="002D7098">
        <w:rPr>
          <w:rFonts w:ascii="Palatino Linotype" w:eastAsia="Calibri" w:hAnsi="Palatino Linotype"/>
          <w:i/>
          <w:sz w:val="22"/>
          <w:szCs w:val="22"/>
          <w:lang w:eastAsia="en-US"/>
        </w:rPr>
        <w:t xml:space="preserve"> Las que por disposición expresa de una ley tengan tal carácter, siempre que sean acordes con las bases, principios y disposiciones establecidos en esta Ley y no la contravengan; así como las previstas en tratados internacionales” (Sic).</w:t>
      </w:r>
    </w:p>
    <w:p w14:paraId="734291CD" w14:textId="77777777" w:rsidR="002D7098" w:rsidRPr="002D7098" w:rsidRDefault="002D7098" w:rsidP="002D7098">
      <w:pPr>
        <w:spacing w:line="360" w:lineRule="auto"/>
        <w:jc w:val="both"/>
        <w:rPr>
          <w:rFonts w:ascii="Palatino Linotype" w:eastAsiaTheme="minorHAnsi" w:hAnsi="Palatino Linotype" w:cstheme="minorBidi"/>
        </w:rPr>
      </w:pPr>
    </w:p>
    <w:p w14:paraId="5BE06945" w14:textId="0505836D" w:rsidR="002D7098" w:rsidRPr="002D7098" w:rsidRDefault="002D7098" w:rsidP="002D7098">
      <w:pPr>
        <w:spacing w:line="360" w:lineRule="auto"/>
        <w:jc w:val="both"/>
        <w:rPr>
          <w:rFonts w:ascii="Palatino Linotype" w:eastAsia="Calibri" w:hAnsi="Palatino Linotype"/>
          <w:lang w:val="es-MX" w:eastAsia="en-US"/>
        </w:rPr>
      </w:pPr>
      <w:r w:rsidRPr="002D7098">
        <w:rPr>
          <w:rFonts w:ascii="Palatino Linotype" w:eastAsiaTheme="minorHAnsi" w:hAnsi="Palatino Linotype" w:cstheme="minorBidi"/>
        </w:rPr>
        <w:t xml:space="preserve">En el presente asunto no es la excepción, </w:t>
      </w:r>
      <w:r w:rsidRPr="002D7098">
        <w:rPr>
          <w:rFonts w:ascii="Palatino Linotype" w:eastAsiaTheme="minorHAnsi" w:hAnsi="Palatino Linotype" w:cstheme="minorBidi"/>
          <w:bCs/>
          <w:lang w:eastAsia="en-US"/>
        </w:rPr>
        <w:t xml:space="preserve">pues la reserva de la información implica una clasificación, la cual debe entenderse como el proceso mediante el cual </w:t>
      </w:r>
      <w:r w:rsidRPr="002D7098">
        <w:rPr>
          <w:rFonts w:ascii="Palatino Linotype" w:eastAsiaTheme="minorHAnsi" w:hAnsi="Palatino Linotype" w:cstheme="minorBidi"/>
          <w:b/>
          <w:bCs/>
          <w:lang w:eastAsia="en-US"/>
        </w:rPr>
        <w:t>El Sujeto Obligado</w:t>
      </w:r>
      <w:r w:rsidRPr="002D7098">
        <w:rPr>
          <w:rFonts w:ascii="Palatino Linotype" w:eastAsiaTheme="minorHAnsi" w:hAnsi="Palatino Linotype" w:cstheme="minorBidi"/>
          <w:bCs/>
          <w:lang w:eastAsia="en-US"/>
        </w:rPr>
        <w:t xml:space="preserve"> determina que la información en su poder actualizar alguno de los supuestos de reserva o confidencialidad</w:t>
      </w:r>
      <w:r w:rsidR="00F83493">
        <w:rPr>
          <w:rFonts w:ascii="Palatino Linotype" w:eastAsia="Calibri" w:hAnsi="Palatino Linotype"/>
          <w:lang w:val="es-MX" w:eastAsia="en-US"/>
        </w:rPr>
        <w:t>.</w:t>
      </w:r>
    </w:p>
    <w:p w14:paraId="4B336963" w14:textId="77777777" w:rsidR="002D7098" w:rsidRPr="002D7098" w:rsidRDefault="002D7098" w:rsidP="002D7098">
      <w:pPr>
        <w:spacing w:line="360" w:lineRule="auto"/>
        <w:jc w:val="both"/>
        <w:rPr>
          <w:rFonts w:ascii="Palatino Linotype" w:eastAsia="Calibri" w:hAnsi="Palatino Linotype"/>
          <w:lang w:val="es-MX" w:eastAsia="en-US"/>
        </w:rPr>
      </w:pPr>
    </w:p>
    <w:p w14:paraId="0E5ED555" w14:textId="08B6A297" w:rsidR="002D7098" w:rsidRPr="002D7098" w:rsidRDefault="002D7098" w:rsidP="002D7098">
      <w:pPr>
        <w:spacing w:line="360" w:lineRule="auto"/>
        <w:jc w:val="both"/>
        <w:rPr>
          <w:rFonts w:ascii="Palatino Linotype" w:eastAsia="Calibri" w:hAnsi="Palatino Linotype" w:cstheme="minorBidi"/>
          <w:lang w:val="es-MX" w:eastAsia="en-US"/>
        </w:rPr>
      </w:pPr>
      <w:r w:rsidRPr="002D7098">
        <w:rPr>
          <w:rFonts w:ascii="Palatino Linotype" w:eastAsiaTheme="minorHAnsi" w:hAnsi="Palatino Linotype" w:cstheme="minorBidi"/>
          <w:color w:val="000000" w:themeColor="text1"/>
          <w:lang w:val="es-MX" w:eastAsia="en-US"/>
        </w:rPr>
        <w:t>Por lo que</w:t>
      </w:r>
      <w:r w:rsidR="00F83493">
        <w:rPr>
          <w:rFonts w:ascii="Palatino Linotype" w:eastAsiaTheme="minorHAnsi" w:hAnsi="Palatino Linotype" w:cstheme="minorBidi"/>
          <w:color w:val="000000" w:themeColor="text1"/>
          <w:lang w:val="es-MX" w:eastAsia="en-US"/>
        </w:rPr>
        <w:t>, para el caso que nos ocupa, siendo la reserva de la información,</w:t>
      </w:r>
      <w:r w:rsidRPr="002D7098">
        <w:rPr>
          <w:rFonts w:ascii="Palatino Linotype" w:eastAsiaTheme="minorHAnsi" w:hAnsi="Palatino Linotype" w:cstheme="minorBidi"/>
          <w:color w:val="000000" w:themeColor="text1"/>
          <w:lang w:val="es-MX" w:eastAsia="en-US"/>
        </w:rPr>
        <w:t xml:space="preserve"> cabe mencionar que de ser el caso el Sujeto Obligado deben </w:t>
      </w:r>
      <w:r w:rsidRPr="002D7098">
        <w:rPr>
          <w:rFonts w:ascii="Palatino Linotype" w:eastAsia="Calibri" w:hAnsi="Palatino Linotype" w:cstheme="minorBidi"/>
          <w:lang w:val="es-MX" w:eastAsia="en-US"/>
        </w:rPr>
        <w:t xml:space="preserve">realizar la prueba de daño correspondiente, de conformidad con lo establecido por el artículo 128, párrafo segundo de la Ley de Transparencia y Acceso a la Información Pública del Estado de México y Municipios, establece que a efecto de motivar la clasificación de información, se debe establecer las razones, motivos o circunstancias especiales que lo llevaron a concluir que el caso encuadra en la descripción de la norma jurídica señala como fundamento, aplicando en todo momento una prueba de daño en términos del artículo 129, fracciones I, II y III, 134, párrafo tercero de la Ley de Transparencia y Acceso a la Información Pública del Estado de México y Municipios, vigente, los cuales en lo que interesa son del tenor literal siguiente: </w:t>
      </w:r>
    </w:p>
    <w:p w14:paraId="672AD39A" w14:textId="77777777" w:rsidR="002D7098" w:rsidRPr="002D7098" w:rsidRDefault="002D7098" w:rsidP="002D7098">
      <w:pPr>
        <w:spacing w:line="360" w:lineRule="auto"/>
        <w:jc w:val="both"/>
        <w:rPr>
          <w:rFonts w:ascii="Palatino Linotype" w:eastAsia="Calibri" w:hAnsi="Palatino Linotype" w:cstheme="minorBidi"/>
          <w:sz w:val="32"/>
          <w:lang w:val="es-MX" w:eastAsia="en-US"/>
        </w:rPr>
      </w:pPr>
    </w:p>
    <w:p w14:paraId="71049DD9" w14:textId="77777777" w:rsidR="002D7098" w:rsidRPr="002D7098" w:rsidRDefault="002D7098" w:rsidP="002D7098">
      <w:pPr>
        <w:ind w:left="567" w:right="567"/>
        <w:jc w:val="both"/>
        <w:rPr>
          <w:rFonts w:ascii="Palatino Linotype" w:eastAsiaTheme="minorHAnsi" w:hAnsi="Palatino Linotype" w:cs="Arial"/>
          <w:b/>
          <w:i/>
          <w:sz w:val="22"/>
          <w:lang w:val="es-MX" w:eastAsia="en-US"/>
        </w:rPr>
      </w:pPr>
      <w:r w:rsidRPr="002D7098">
        <w:rPr>
          <w:rFonts w:ascii="Palatino Linotype" w:eastAsiaTheme="minorHAnsi" w:hAnsi="Palatino Linotype" w:cs="Arial"/>
          <w:b/>
          <w:i/>
          <w:sz w:val="22"/>
          <w:lang w:val="es-MX" w:eastAsia="en-US"/>
        </w:rPr>
        <w:t>“Artículo 128…</w:t>
      </w:r>
    </w:p>
    <w:p w14:paraId="5928850B" w14:textId="77777777" w:rsidR="002D7098" w:rsidRPr="002D7098" w:rsidRDefault="002D7098" w:rsidP="002D7098">
      <w:pPr>
        <w:ind w:left="567" w:right="567"/>
        <w:jc w:val="both"/>
        <w:rPr>
          <w:rFonts w:ascii="Palatino Linotype" w:eastAsiaTheme="minorHAnsi" w:hAnsi="Palatino Linotype" w:cs="Arial"/>
          <w:i/>
          <w:sz w:val="22"/>
          <w:lang w:val="es-MX" w:eastAsia="en-US"/>
        </w:rPr>
      </w:pPr>
      <w:r w:rsidRPr="002D7098">
        <w:rPr>
          <w:rFonts w:ascii="Palatino Linotype" w:eastAsiaTheme="minorHAnsi" w:hAnsi="Palatino Linotype" w:cs="Arial"/>
          <w:i/>
          <w:sz w:val="22"/>
          <w:lang w:val="es-MX" w:eastAsia="en-US"/>
        </w:rPr>
        <w:t>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14:paraId="0284D08A" w14:textId="77777777" w:rsidR="002D7098" w:rsidRPr="002D7098" w:rsidRDefault="002D7098" w:rsidP="002D7098">
      <w:pPr>
        <w:ind w:left="567" w:right="567"/>
        <w:jc w:val="both"/>
        <w:rPr>
          <w:rFonts w:ascii="Palatino Linotype" w:eastAsiaTheme="minorHAnsi" w:hAnsi="Palatino Linotype" w:cs="Arial"/>
          <w:i/>
          <w:sz w:val="22"/>
          <w:lang w:val="es-MX" w:eastAsia="en-US"/>
        </w:rPr>
      </w:pPr>
      <w:r w:rsidRPr="002D7098">
        <w:rPr>
          <w:rFonts w:ascii="Palatino Linotype" w:eastAsiaTheme="minorHAnsi" w:hAnsi="Palatino Linotype" w:cs="Arial"/>
          <w:b/>
          <w:i/>
          <w:sz w:val="22"/>
          <w:lang w:val="es-MX" w:eastAsia="en-US"/>
        </w:rPr>
        <w:t>Artículo 129.</w:t>
      </w:r>
      <w:r w:rsidRPr="002D7098">
        <w:rPr>
          <w:rFonts w:ascii="Palatino Linotype" w:eastAsiaTheme="minorHAnsi" w:hAnsi="Palatino Linotype" w:cs="Arial"/>
          <w:i/>
          <w:sz w:val="22"/>
          <w:lang w:val="es-MX" w:eastAsia="en-US"/>
        </w:rPr>
        <w:t xml:space="preserve"> En la aplicación de la prueba de daño, el sujeto obligado deberá precisar las razones objetivas por las que la apertura de la información generaría una afectación, justificando que:</w:t>
      </w:r>
    </w:p>
    <w:p w14:paraId="3C40F3EF" w14:textId="77777777" w:rsidR="002D7098" w:rsidRPr="002D7098" w:rsidRDefault="002D7098" w:rsidP="002D7098">
      <w:pPr>
        <w:ind w:left="567" w:right="567"/>
        <w:jc w:val="both"/>
        <w:rPr>
          <w:rFonts w:ascii="Palatino Linotype" w:eastAsiaTheme="minorHAnsi" w:hAnsi="Palatino Linotype" w:cs="Arial"/>
          <w:i/>
          <w:sz w:val="22"/>
          <w:lang w:val="es-MX" w:eastAsia="en-US"/>
        </w:rPr>
      </w:pPr>
      <w:r w:rsidRPr="002D7098">
        <w:rPr>
          <w:rFonts w:ascii="Palatino Linotype" w:eastAsiaTheme="minorHAnsi" w:hAnsi="Palatino Linotype" w:cs="Arial"/>
          <w:b/>
          <w:i/>
          <w:sz w:val="22"/>
          <w:lang w:val="es-MX" w:eastAsia="en-US"/>
        </w:rPr>
        <w:t xml:space="preserve">I. </w:t>
      </w:r>
      <w:r w:rsidRPr="002D7098">
        <w:rPr>
          <w:rFonts w:ascii="Palatino Linotype" w:eastAsiaTheme="minorHAnsi" w:hAnsi="Palatino Linotype" w:cs="Arial"/>
          <w:i/>
          <w:sz w:val="22"/>
          <w:lang w:val="es-MX" w:eastAsia="en-US"/>
        </w:rPr>
        <w:t>La divulgación de la información representa un riesgo real, demostrable e identificable del perjuicio significativo al interés público o a la seguridad pública;</w:t>
      </w:r>
    </w:p>
    <w:p w14:paraId="22DADB57" w14:textId="77777777" w:rsidR="002D7098" w:rsidRPr="002D7098" w:rsidRDefault="002D7098" w:rsidP="002D7098">
      <w:pPr>
        <w:ind w:left="567" w:right="567"/>
        <w:jc w:val="both"/>
        <w:rPr>
          <w:rFonts w:ascii="Palatino Linotype" w:eastAsiaTheme="minorHAnsi" w:hAnsi="Palatino Linotype" w:cs="Arial"/>
          <w:i/>
          <w:sz w:val="22"/>
          <w:lang w:val="es-MX" w:eastAsia="en-US"/>
        </w:rPr>
      </w:pPr>
      <w:r w:rsidRPr="002D7098">
        <w:rPr>
          <w:rFonts w:ascii="Palatino Linotype" w:eastAsiaTheme="minorHAnsi" w:hAnsi="Palatino Linotype" w:cs="Arial"/>
          <w:b/>
          <w:i/>
          <w:sz w:val="22"/>
          <w:lang w:val="es-MX" w:eastAsia="en-US"/>
        </w:rPr>
        <w:t>II.</w:t>
      </w:r>
      <w:r w:rsidRPr="002D7098">
        <w:rPr>
          <w:rFonts w:ascii="Palatino Linotype" w:eastAsiaTheme="minorHAnsi" w:hAnsi="Palatino Linotype" w:cs="Arial"/>
          <w:i/>
          <w:sz w:val="22"/>
          <w:lang w:val="es-MX" w:eastAsia="en-US"/>
        </w:rPr>
        <w:t xml:space="preserve"> El riesgo de perjuicio que supondría la divulgación supera el interés público general de que se difunda; y</w:t>
      </w:r>
    </w:p>
    <w:p w14:paraId="411D55F9" w14:textId="77777777" w:rsidR="002D7098" w:rsidRPr="002D7098" w:rsidRDefault="002D7098" w:rsidP="002D7098">
      <w:pPr>
        <w:ind w:left="567" w:right="567"/>
        <w:jc w:val="both"/>
        <w:rPr>
          <w:rFonts w:ascii="Palatino Linotype" w:eastAsiaTheme="minorHAnsi" w:hAnsi="Palatino Linotype" w:cs="Arial"/>
          <w:i/>
          <w:sz w:val="22"/>
          <w:lang w:val="es-MX" w:eastAsia="en-US"/>
        </w:rPr>
      </w:pPr>
      <w:r w:rsidRPr="002D7098">
        <w:rPr>
          <w:rFonts w:ascii="Palatino Linotype" w:eastAsiaTheme="minorHAnsi" w:hAnsi="Palatino Linotype" w:cs="Arial"/>
          <w:b/>
          <w:i/>
          <w:sz w:val="22"/>
          <w:lang w:val="es-MX" w:eastAsia="en-US"/>
        </w:rPr>
        <w:t>III.</w:t>
      </w:r>
      <w:r w:rsidRPr="002D7098">
        <w:rPr>
          <w:rFonts w:ascii="Palatino Linotype" w:eastAsiaTheme="minorHAnsi" w:hAnsi="Palatino Linotype" w:cs="Arial"/>
          <w:i/>
          <w:sz w:val="22"/>
          <w:lang w:val="es-MX" w:eastAsia="en-US"/>
        </w:rPr>
        <w:t xml:space="preserve"> La limitación se adecua al principio de proporcionalidad y representa el medio menos restrictivo disponible representa el medio menos restrictivo disponible para evitar el perjuicio.</w:t>
      </w:r>
    </w:p>
    <w:p w14:paraId="1D78023B" w14:textId="77777777" w:rsidR="002D7098" w:rsidRPr="002D7098" w:rsidRDefault="002D7098" w:rsidP="002D7098">
      <w:pPr>
        <w:ind w:left="567" w:right="567"/>
        <w:jc w:val="both"/>
        <w:rPr>
          <w:rFonts w:ascii="Palatino Linotype" w:eastAsiaTheme="minorHAnsi" w:hAnsi="Palatino Linotype" w:cs="Arial"/>
          <w:b/>
          <w:i/>
          <w:sz w:val="22"/>
          <w:lang w:val="es-MX" w:eastAsia="en-US"/>
        </w:rPr>
      </w:pPr>
      <w:r w:rsidRPr="002D7098">
        <w:rPr>
          <w:rFonts w:ascii="Palatino Linotype" w:eastAsiaTheme="minorHAnsi" w:hAnsi="Palatino Linotype" w:cs="Arial"/>
          <w:b/>
          <w:i/>
          <w:sz w:val="22"/>
          <w:lang w:val="es-MX" w:eastAsia="en-US"/>
        </w:rPr>
        <w:t>Artículo 134</w:t>
      </w:r>
    </w:p>
    <w:p w14:paraId="1FFA63EF" w14:textId="77777777" w:rsidR="002D7098" w:rsidRPr="002D7098" w:rsidRDefault="002D7098" w:rsidP="002D7098">
      <w:pPr>
        <w:ind w:left="567" w:right="567"/>
        <w:jc w:val="both"/>
        <w:rPr>
          <w:rFonts w:ascii="Palatino Linotype" w:eastAsiaTheme="minorHAnsi" w:hAnsi="Palatino Linotype" w:cs="Arial"/>
          <w:i/>
          <w:sz w:val="22"/>
          <w:lang w:val="es-MX" w:eastAsia="en-US"/>
        </w:rPr>
      </w:pPr>
      <w:r w:rsidRPr="002D7098">
        <w:rPr>
          <w:rFonts w:ascii="Palatino Linotype" w:eastAsiaTheme="minorHAnsi" w:hAnsi="Palatino Linotype" w:cs="Arial"/>
          <w:i/>
          <w:sz w:val="22"/>
          <w:lang w:val="es-MX" w:eastAsia="en-US"/>
        </w:rPr>
        <w:t>…</w:t>
      </w:r>
    </w:p>
    <w:p w14:paraId="63D87AC6" w14:textId="77777777" w:rsidR="002D7098" w:rsidRPr="002D7098" w:rsidRDefault="002D7098" w:rsidP="002D7098">
      <w:pPr>
        <w:ind w:left="567" w:right="567"/>
        <w:jc w:val="both"/>
        <w:rPr>
          <w:rFonts w:ascii="Palatino Linotype" w:eastAsiaTheme="minorHAnsi" w:hAnsi="Palatino Linotype" w:cs="Arial"/>
          <w:b/>
          <w:bCs/>
          <w:i/>
          <w:sz w:val="22"/>
          <w:lang w:val="es-MX" w:eastAsia="en-US"/>
        </w:rPr>
      </w:pPr>
      <w:r w:rsidRPr="002D7098">
        <w:rPr>
          <w:rFonts w:ascii="Palatino Linotype" w:eastAsiaTheme="minorHAnsi" w:hAnsi="Palatino Linotype" w:cs="Arial"/>
          <w:i/>
          <w:sz w:val="22"/>
          <w:lang w:val="es-MX" w:eastAsia="en-US"/>
        </w:rPr>
        <w:t>La clasificación de información se realizará conforme a un análisis caso por caso, mediante la aplicación de la prueba de daño</w:t>
      </w:r>
      <w:r w:rsidRPr="002D7098">
        <w:rPr>
          <w:rFonts w:ascii="Palatino Linotype" w:eastAsiaTheme="minorHAnsi" w:hAnsi="Palatino Linotype" w:cs="Arial"/>
          <w:b/>
          <w:i/>
          <w:sz w:val="22"/>
          <w:lang w:val="es-MX" w:eastAsia="en-US"/>
        </w:rPr>
        <w:t>”</w:t>
      </w:r>
      <w:r w:rsidRPr="002D7098">
        <w:rPr>
          <w:rFonts w:ascii="Palatino Linotype" w:eastAsiaTheme="minorHAnsi" w:hAnsi="Palatino Linotype" w:cs="Arial"/>
          <w:i/>
          <w:sz w:val="22"/>
          <w:lang w:val="es-MX" w:eastAsia="en-US"/>
        </w:rPr>
        <w:t xml:space="preserve"> (Sic).</w:t>
      </w:r>
    </w:p>
    <w:p w14:paraId="02EAEB8E" w14:textId="77777777" w:rsidR="002D7098" w:rsidRPr="002D7098" w:rsidRDefault="002D7098" w:rsidP="002D7098">
      <w:pPr>
        <w:spacing w:after="240"/>
        <w:jc w:val="center"/>
        <w:rPr>
          <w:rFonts w:ascii="Palatino Linotype" w:eastAsia="Calibri" w:hAnsi="Palatino Linotype" w:cstheme="minorBidi"/>
          <w:lang w:val="es-MX" w:eastAsia="en-US"/>
        </w:rPr>
      </w:pPr>
    </w:p>
    <w:p w14:paraId="095B501A" w14:textId="77777777" w:rsidR="002D7098" w:rsidRPr="002D7098" w:rsidRDefault="002D7098" w:rsidP="002D7098">
      <w:pPr>
        <w:spacing w:line="360" w:lineRule="auto"/>
        <w:jc w:val="both"/>
        <w:rPr>
          <w:rFonts w:ascii="Palatino Linotype" w:eastAsia="Calibri" w:hAnsi="Palatino Linotype" w:cstheme="minorBidi"/>
          <w:lang w:val="es-MX" w:eastAsia="en-US"/>
        </w:rPr>
      </w:pPr>
      <w:r w:rsidRPr="002D7098">
        <w:rPr>
          <w:rFonts w:ascii="Palatino Linotype" w:eastAsia="Calibri" w:hAnsi="Palatino Linotype" w:cstheme="minorBidi"/>
          <w:lang w:val="es-MX" w:eastAsia="en-US"/>
        </w:rPr>
        <w:t xml:space="preserve">Correlativo a lo anterior, la prueba de daño es la argumentación fundada y motivada que deben realizar los sujetos obligados para acreditar que la divulgación de la información lesiona un interés jurídicamente protegido y que el daño que puede producir es mayor que el interés de conocer ésta y su validez, no depende de los medios de prueba que el sujeto obligado aporte, sino de la solidez del juicio de ponderación que se efectúe de acuerdo con las normas aplicables, lo anterior tiene sustento en </w:t>
      </w:r>
      <w:r w:rsidRPr="002D7098">
        <w:rPr>
          <w:rFonts w:ascii="Palatino Linotype" w:eastAsia="Calibri" w:hAnsi="Palatino Linotype" w:cs="Arial"/>
        </w:rPr>
        <w:t>la siguiente tesis</w:t>
      </w:r>
      <w:r w:rsidRPr="002D7098">
        <w:rPr>
          <w:rFonts w:ascii="Palatino Linotype" w:eastAsia="Calibri" w:hAnsi="Palatino Linotype" w:cs="Arial"/>
          <w:vertAlign w:val="superscript"/>
        </w:rPr>
        <w:footnoteReference w:id="2"/>
      </w:r>
      <w:r w:rsidRPr="002D7098">
        <w:rPr>
          <w:rFonts w:ascii="Palatino Linotype" w:eastAsia="Calibri" w:hAnsi="Palatino Linotype" w:cs="Arial"/>
        </w:rPr>
        <w:t>:</w:t>
      </w:r>
    </w:p>
    <w:p w14:paraId="0F1C9AB1" w14:textId="77777777" w:rsidR="002D7098" w:rsidRPr="002D7098" w:rsidRDefault="002D7098" w:rsidP="002D7098">
      <w:pPr>
        <w:ind w:left="851" w:right="850"/>
        <w:jc w:val="both"/>
        <w:rPr>
          <w:rFonts w:ascii="Palatino Linotype" w:eastAsiaTheme="minorHAnsi" w:hAnsi="Palatino Linotype" w:cstheme="minorBidi"/>
          <w:i/>
          <w:sz w:val="20"/>
          <w:lang w:val="es-MX" w:eastAsia="en-US"/>
        </w:rPr>
      </w:pPr>
    </w:p>
    <w:p w14:paraId="576726F8" w14:textId="77777777" w:rsidR="002D7098" w:rsidRPr="002D7098" w:rsidRDefault="002D7098" w:rsidP="002D7098">
      <w:pPr>
        <w:ind w:left="851" w:right="850"/>
        <w:jc w:val="both"/>
        <w:rPr>
          <w:rFonts w:ascii="Palatino Linotype" w:eastAsiaTheme="minorHAnsi" w:hAnsi="Palatino Linotype" w:cstheme="minorBidi"/>
          <w:i/>
          <w:sz w:val="8"/>
          <w:lang w:val="es-MX" w:eastAsia="en-US"/>
        </w:rPr>
      </w:pPr>
    </w:p>
    <w:p w14:paraId="2B4EEF45" w14:textId="77777777" w:rsidR="002D7098" w:rsidRPr="002D7098" w:rsidRDefault="002D7098" w:rsidP="002D7098">
      <w:pPr>
        <w:ind w:left="567" w:right="567"/>
        <w:jc w:val="both"/>
        <w:rPr>
          <w:rFonts w:ascii="Palatino Linotype" w:eastAsiaTheme="minorHAnsi" w:hAnsi="Palatino Linotype" w:cs="Arial"/>
          <w:b/>
          <w:bCs/>
          <w:i/>
          <w:sz w:val="22"/>
          <w:lang w:val="es-MX" w:eastAsia="en-US"/>
        </w:rPr>
      </w:pPr>
      <w:r w:rsidRPr="002D7098">
        <w:rPr>
          <w:rFonts w:ascii="Palatino Linotype" w:eastAsiaTheme="minorHAnsi" w:hAnsi="Palatino Linotype" w:cs="Arial"/>
          <w:b/>
          <w:bCs/>
          <w:i/>
          <w:sz w:val="22"/>
          <w:lang w:val="es-MX" w:eastAsia="en-US"/>
        </w:rPr>
        <w:t>“PRUEBA DE DAÑO EN LA CLASIFICACIÓN DE LA INFORMACIÓN PÚBLICA. SU VALIDEZ NO DEPENDE DE LOS MEDIOS DE PRUEBA QUE EL SUJETO OBLIGADO APORTE.</w:t>
      </w:r>
    </w:p>
    <w:p w14:paraId="0E3DECE8" w14:textId="77777777" w:rsidR="002D7098" w:rsidRPr="002D7098" w:rsidRDefault="002D7098" w:rsidP="002D7098">
      <w:pPr>
        <w:spacing w:before="240" w:after="160"/>
        <w:ind w:left="567" w:right="567"/>
        <w:jc w:val="both"/>
        <w:rPr>
          <w:rFonts w:ascii="Palatino Linotype" w:eastAsiaTheme="minorHAnsi" w:hAnsi="Palatino Linotype" w:cs="Arial"/>
          <w:i/>
          <w:sz w:val="22"/>
          <w:lang w:val="es-MX" w:eastAsia="en-US"/>
        </w:rPr>
      </w:pPr>
      <w:r w:rsidRPr="002D7098">
        <w:rPr>
          <w:rFonts w:ascii="Palatino Linotype" w:eastAsiaTheme="minorHAnsi" w:hAnsi="Palatino Linotype" w:cs="Arial"/>
          <w:i/>
          <w:sz w:val="22"/>
          <w:lang w:val="es-MX" w:eastAsia="en-US"/>
        </w:rPr>
        <w:t>De acuerdo con el artículo 104 de la Ley General de Transparencia y Acceso a la Información Pública, y con los lineamientos segundo, fracción XIII y trigésimo tercero, de los Lineamientos generales en materia de clasificación y desclasificación de la información, así como para la elaboración de versiones públicas, aprobados por el Consejo Nacional del Sistema Nacional de Transparencia, Acceso a la Información Pública y Protección de Datos Personales y publicados en el Diario Oficial de la Federación el 15 de abril de 2016, la prueba de daño es la argumentación fundada y motivada que deben realizar los sujetos obligados para acreditar que la divulgación de la información lesiona un interés jurídicamente protegido y que el daño que puede producir es mayor que el interés de conocer ésta. Para tal efecto, disponen que en la clasificación de la información pública (como reservada o confidencial), debe justificarse que su divulgación representa un riesgo real, demostrable e identificable de perjuicio significativo al interés público o a la seguridad nacional; que ese riesgo supera el interés público general de que se difunda; y, que la limitación se adecua al principio de proporcionalidad y representa el medio menos restrictivo disponible para evitar el perjuicio. Así, la prueba de daño establece líneas argumentativas mínimas que deben cursarse, a fin de constatar que la publicidad de la información solicitada no ocasionaría un daño a un interés jurídicamente protegido, ya sea de índole estatal o particular. Por tanto, al tratarse de un aspecto constreñido al ámbito argumentativo, la validez de la prueba de daño no depende de los medios de prueba que el sujeto obligado aporte, sino de la solidez del juicio de ponderación que se efectúe en los términos señalados.</w:t>
      </w:r>
    </w:p>
    <w:p w14:paraId="78B634A7" w14:textId="77777777" w:rsidR="002D7098" w:rsidRPr="002D7098" w:rsidRDefault="002D7098" w:rsidP="002D7098">
      <w:pPr>
        <w:spacing w:before="240" w:after="160"/>
        <w:ind w:left="567" w:right="567"/>
        <w:jc w:val="both"/>
        <w:rPr>
          <w:rFonts w:ascii="Palatino Linotype" w:eastAsiaTheme="minorHAnsi" w:hAnsi="Palatino Linotype" w:cs="Arial"/>
          <w:i/>
          <w:sz w:val="22"/>
          <w:lang w:val="es-MX" w:eastAsia="en-US"/>
        </w:rPr>
      </w:pPr>
      <w:r w:rsidRPr="002D7098">
        <w:rPr>
          <w:rFonts w:ascii="Palatino Linotype" w:eastAsiaTheme="minorHAnsi" w:hAnsi="Palatino Linotype" w:cs="Arial"/>
          <w:i/>
          <w:sz w:val="22"/>
          <w:lang w:val="es-MX" w:eastAsia="en-US"/>
        </w:rPr>
        <w:t>DÉCIMO TRIBUNAL COLEGIADO EN MATERIA ADMINISTRATIVA DEL PRIMER CIRCUITO.</w:t>
      </w:r>
    </w:p>
    <w:p w14:paraId="34246108" w14:textId="61882A82" w:rsidR="002D7098" w:rsidRPr="002D7098" w:rsidRDefault="002D7098" w:rsidP="00F83493">
      <w:pPr>
        <w:spacing w:before="240" w:after="160"/>
        <w:ind w:left="567" w:right="567"/>
        <w:jc w:val="both"/>
        <w:rPr>
          <w:rFonts w:ascii="Palatino Linotype" w:eastAsiaTheme="minorHAnsi" w:hAnsi="Palatino Linotype" w:cs="Arial"/>
          <w:i/>
          <w:sz w:val="22"/>
          <w:lang w:val="es-MX" w:eastAsia="en-US"/>
        </w:rPr>
      </w:pPr>
      <w:r w:rsidRPr="002D7098">
        <w:rPr>
          <w:rFonts w:ascii="Palatino Linotype" w:eastAsiaTheme="minorHAnsi" w:hAnsi="Palatino Linotype" w:cs="Arial"/>
          <w:i/>
          <w:sz w:val="22"/>
          <w:lang w:val="es-MX" w:eastAsia="en-US"/>
        </w:rPr>
        <w:t>Amparo en revisión 149/2018. Amanda Ibáñez Molina. 6 de septiembre de 2018. Unanimidad de votos. Ponente: Alfredo Enrique Báez López. Secretario: Roberto César Morales Corona”.</w:t>
      </w:r>
    </w:p>
    <w:p w14:paraId="78FDD454" w14:textId="77777777" w:rsidR="00B4288A" w:rsidRDefault="00B4288A" w:rsidP="002D7098">
      <w:pPr>
        <w:tabs>
          <w:tab w:val="left" w:pos="709"/>
        </w:tabs>
        <w:spacing w:line="360" w:lineRule="auto"/>
        <w:jc w:val="both"/>
        <w:rPr>
          <w:rFonts w:ascii="Palatino Linotype" w:eastAsiaTheme="minorHAnsi" w:hAnsi="Palatino Linotype" w:cstheme="minorBidi"/>
          <w:lang w:val="es-MX" w:eastAsia="en-US"/>
        </w:rPr>
      </w:pPr>
    </w:p>
    <w:p w14:paraId="72AB5090" w14:textId="570F3496"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r w:rsidRPr="002D7098">
        <w:rPr>
          <w:rFonts w:ascii="Palatino Linotype" w:eastAsiaTheme="minorHAnsi" w:hAnsi="Palatino Linotype" w:cstheme="minorBidi"/>
          <w:lang w:val="es-MX" w:eastAsia="en-US"/>
        </w:rPr>
        <w:t xml:space="preserve">Ahora bien, resulta importante para esta Ponencia señalar que considerando que la solicitud de información </w:t>
      </w:r>
      <w:r w:rsidR="00B4288A" w:rsidRPr="00B4288A">
        <w:rPr>
          <w:rFonts w:ascii="Palatino Linotype" w:eastAsiaTheme="minorHAnsi" w:hAnsi="Palatino Linotype" w:cs="Arial"/>
          <w:b/>
          <w:szCs w:val="22"/>
          <w:lang w:val="es-MX" w:eastAsia="en-US"/>
        </w:rPr>
        <w:t>00065/OASTLALNE/IP/2022</w:t>
      </w:r>
      <w:r w:rsidRPr="002D7098">
        <w:rPr>
          <w:rFonts w:ascii="Palatino Linotype" w:eastAsiaTheme="minorHAnsi" w:hAnsi="Palatino Linotype" w:cs="Arial"/>
          <w:b/>
          <w:szCs w:val="22"/>
          <w:lang w:val="es-MX" w:eastAsia="en-US"/>
        </w:rPr>
        <w:t xml:space="preserve">, es </w:t>
      </w:r>
      <w:r w:rsidRPr="002D7098">
        <w:rPr>
          <w:rFonts w:ascii="Palatino Linotype" w:eastAsiaTheme="minorHAnsi" w:hAnsi="Palatino Linotype" w:cs="Arial"/>
          <w:szCs w:val="22"/>
          <w:lang w:val="es-MX" w:eastAsia="en-US"/>
        </w:rPr>
        <w:t>referente a la entrega</w:t>
      </w:r>
      <w:r w:rsidR="00E3263B" w:rsidRPr="00E3263B">
        <w:rPr>
          <w:rFonts w:ascii="Palatino Linotype" w:eastAsiaTheme="minorHAnsi" w:hAnsi="Palatino Linotype" w:cstheme="minorBidi"/>
          <w:lang w:val="es-MX" w:eastAsia="en-US"/>
        </w:rPr>
        <w:t xml:space="preserve"> de </w:t>
      </w:r>
      <w:r w:rsidR="00B4288A">
        <w:rPr>
          <w:rFonts w:ascii="Palatino Linotype" w:eastAsiaTheme="minorHAnsi" w:hAnsi="Palatino Linotype" w:cstheme="minorBidi"/>
          <w:lang w:val="es-MX" w:eastAsia="en-US"/>
        </w:rPr>
        <w:t>l</w:t>
      </w:r>
      <w:r w:rsidR="00B4288A" w:rsidRPr="00B4288A">
        <w:rPr>
          <w:rFonts w:ascii="Palatino Linotype" w:eastAsiaTheme="minorHAnsi" w:hAnsi="Palatino Linotype" w:cstheme="minorBidi"/>
          <w:lang w:val="es-MX" w:eastAsia="en-US"/>
        </w:rPr>
        <w:t>os expedientes formados con motivo de procedimientos de responsabilidad administrativa que se encuentren en proceso investigación y los que se encuentren en responsabilidad, del periodo comprendido del 09 de febrero de 2021 al 09 de febrero de 2022</w:t>
      </w:r>
      <w:r w:rsidRPr="002D7098">
        <w:rPr>
          <w:rFonts w:ascii="Palatino Linotype" w:eastAsiaTheme="minorHAnsi" w:hAnsi="Palatino Linotype" w:cstheme="minorBidi"/>
          <w:lang w:val="es-MX" w:eastAsia="en-US"/>
        </w:rPr>
        <w:t>, resulta necesario realizar las siguientes precisiones respecto al origen y estado en el que pueda</w:t>
      </w:r>
      <w:r w:rsidR="00E3263B">
        <w:rPr>
          <w:rFonts w:ascii="Palatino Linotype" w:eastAsiaTheme="minorHAnsi" w:hAnsi="Palatino Linotype" w:cstheme="minorBidi"/>
          <w:lang w:val="es-MX" w:eastAsia="en-US"/>
        </w:rPr>
        <w:t>n</w:t>
      </w:r>
      <w:r w:rsidRPr="002D7098">
        <w:rPr>
          <w:rFonts w:ascii="Palatino Linotype" w:eastAsiaTheme="minorHAnsi" w:hAnsi="Palatino Linotype" w:cstheme="minorBidi"/>
          <w:lang w:val="es-MX" w:eastAsia="en-US"/>
        </w:rPr>
        <w:t xml:space="preserve"> encontrarse </w:t>
      </w:r>
      <w:r w:rsidR="00E3263B">
        <w:rPr>
          <w:rFonts w:ascii="Palatino Linotype" w:eastAsiaTheme="minorHAnsi" w:hAnsi="Palatino Linotype" w:cstheme="minorBidi"/>
          <w:lang w:val="es-MX" w:eastAsia="en-US"/>
        </w:rPr>
        <w:t>los</w:t>
      </w:r>
      <w:r w:rsidRPr="002D7098">
        <w:rPr>
          <w:rFonts w:ascii="Palatino Linotype" w:eastAsiaTheme="minorHAnsi" w:hAnsi="Palatino Linotype" w:cstheme="minorBidi"/>
          <w:lang w:val="es-MX" w:eastAsia="en-US"/>
        </w:rPr>
        <w:t xml:space="preserve"> procedimientos de responsabilidad administrativa de referencia, por lo que se deberá tomar en cuenta las siguientes consideración para el cumplimiento de la presente resolución.</w:t>
      </w:r>
    </w:p>
    <w:p w14:paraId="313E95CB"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p>
    <w:p w14:paraId="49055726"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r w:rsidRPr="002D7098">
        <w:rPr>
          <w:rFonts w:ascii="Palatino Linotype" w:eastAsiaTheme="minorHAnsi" w:hAnsi="Palatino Linotype" w:cstheme="minorBidi"/>
          <w:lang w:val="es-MX" w:eastAsia="en-US"/>
        </w:rPr>
        <w:t xml:space="preserve"> Con fundamento en los artículos 113 fracción IX de la Ley General Transparencia y Acceso a la Información Pública, Vigésimo Octavo de los Lineamientos Generales en Materia de Clasificación y Desclasificación de la Información y 140 fracción IV y VIII de la Ley de Transparencia y Acceso a la Información Pública del Estado de México y Municipios, el cual prevé como algunos de los criterios de reserva de la información cuando: se obstruya los procedimientos para fincar responsabilidad a los servidores públicos, en tanto no se haya dictado la resolución administrativa correspondiente; cuando afecte o vulnere la conducción o los derechos del debido proceso en los procedimientos administrativos, incluidos los de quejas, denuncias, inconformidades, responsabilidades administrativas y resarcitorias en tanto no hayan quedado firmes o afecte la administración de justicia o la seguridad de un denunciante, querellante o testigo, así como sus familias; se vulnere la conducción de los procedimientos administrativos seguidos en forma de juicio, en tanto no hayan quedado firmes, disposiciones legales que son del tenor literal siguiente:</w:t>
      </w:r>
    </w:p>
    <w:p w14:paraId="6CED34CE"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p>
    <w:p w14:paraId="630FA12B" w14:textId="77777777" w:rsidR="002D7098" w:rsidRPr="002D7098" w:rsidRDefault="002D7098" w:rsidP="002D7098">
      <w:pPr>
        <w:tabs>
          <w:tab w:val="left" w:pos="709"/>
        </w:tabs>
        <w:jc w:val="center"/>
        <w:rPr>
          <w:rFonts w:ascii="Palatino Linotype" w:eastAsiaTheme="minorHAnsi" w:hAnsi="Palatino Linotype" w:cstheme="minorBidi"/>
          <w:b/>
          <w:i/>
          <w:sz w:val="22"/>
          <w:lang w:val="es-MX" w:eastAsia="en-US"/>
        </w:rPr>
      </w:pPr>
      <w:r w:rsidRPr="002D7098">
        <w:rPr>
          <w:rFonts w:ascii="Palatino Linotype" w:eastAsiaTheme="minorHAnsi" w:hAnsi="Palatino Linotype" w:cstheme="minorBidi"/>
          <w:b/>
          <w:i/>
          <w:sz w:val="22"/>
          <w:lang w:val="es-MX" w:eastAsia="en-US"/>
        </w:rPr>
        <w:t>Ley General Transparencia y Acceso a la Información Pública</w:t>
      </w:r>
    </w:p>
    <w:p w14:paraId="69A6E2D5" w14:textId="77777777" w:rsidR="002D7098" w:rsidRPr="002D7098" w:rsidRDefault="002D7098" w:rsidP="002D7098">
      <w:pPr>
        <w:tabs>
          <w:tab w:val="left" w:pos="709"/>
        </w:tabs>
        <w:jc w:val="center"/>
        <w:rPr>
          <w:rFonts w:ascii="Palatino Linotype" w:eastAsiaTheme="minorHAnsi" w:hAnsi="Palatino Linotype" w:cstheme="minorBidi"/>
          <w:b/>
          <w:i/>
          <w:sz w:val="22"/>
          <w:lang w:val="es-MX" w:eastAsia="en-US"/>
        </w:rPr>
      </w:pPr>
    </w:p>
    <w:p w14:paraId="4258FB04"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b/>
          <w:i/>
          <w:sz w:val="22"/>
          <w:szCs w:val="22"/>
          <w:lang w:val="es-MX" w:eastAsia="en-US"/>
        </w:rPr>
        <w:t>Artículo 113.</w:t>
      </w:r>
      <w:r w:rsidRPr="002D7098">
        <w:rPr>
          <w:rFonts w:ascii="Palatino Linotype" w:eastAsiaTheme="minorHAnsi" w:hAnsi="Palatino Linotype" w:cstheme="minorBidi"/>
          <w:i/>
          <w:sz w:val="22"/>
          <w:szCs w:val="22"/>
          <w:lang w:val="es-MX" w:eastAsia="en-US"/>
        </w:rPr>
        <w:t xml:space="preserve"> Como información reservada podrá clasificarse aquella cuya publicación:</w:t>
      </w:r>
    </w:p>
    <w:p w14:paraId="6AA2A909"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i/>
          <w:sz w:val="22"/>
          <w:szCs w:val="22"/>
          <w:lang w:val="es-MX" w:eastAsia="en-US"/>
        </w:rPr>
        <w:t>…</w:t>
      </w:r>
    </w:p>
    <w:p w14:paraId="7D3B9D46"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b/>
          <w:i/>
          <w:sz w:val="22"/>
          <w:szCs w:val="22"/>
          <w:lang w:val="es-MX" w:eastAsia="en-US"/>
        </w:rPr>
        <w:t>IX.</w:t>
      </w:r>
      <w:r w:rsidRPr="002D7098">
        <w:rPr>
          <w:rFonts w:ascii="Palatino Linotype" w:eastAsiaTheme="minorHAnsi" w:hAnsi="Palatino Linotype" w:cstheme="minorBidi"/>
          <w:i/>
          <w:sz w:val="22"/>
          <w:szCs w:val="22"/>
          <w:lang w:val="es-MX" w:eastAsia="en-US"/>
        </w:rPr>
        <w:t xml:space="preserve"> Obstruya los procedimientos para fincar responsabilidad a los Servidores Públicos, en tanto no se haya dictado la resolución administrativa;</w:t>
      </w:r>
    </w:p>
    <w:p w14:paraId="730D92EB" w14:textId="77777777" w:rsidR="002D7098" w:rsidRPr="002D7098" w:rsidRDefault="002D7098" w:rsidP="002D7098">
      <w:pPr>
        <w:tabs>
          <w:tab w:val="left" w:pos="709"/>
        </w:tabs>
        <w:ind w:left="567" w:right="567"/>
        <w:jc w:val="center"/>
        <w:rPr>
          <w:rFonts w:ascii="Palatino Linotype" w:eastAsiaTheme="minorHAnsi" w:hAnsi="Palatino Linotype" w:cstheme="minorBidi"/>
          <w:b/>
          <w:i/>
          <w:sz w:val="28"/>
          <w:szCs w:val="22"/>
          <w:lang w:val="es-MX" w:eastAsia="en-US"/>
        </w:rPr>
      </w:pPr>
    </w:p>
    <w:p w14:paraId="6ACA3163" w14:textId="77777777" w:rsidR="002D7098" w:rsidRPr="002D7098" w:rsidRDefault="002D7098" w:rsidP="002D7098">
      <w:pPr>
        <w:tabs>
          <w:tab w:val="left" w:pos="709"/>
        </w:tabs>
        <w:ind w:left="567" w:right="567"/>
        <w:jc w:val="center"/>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sz w:val="22"/>
          <w:szCs w:val="22"/>
          <w:lang w:val="es-MX" w:eastAsia="en-US"/>
        </w:rPr>
        <w:t>Vigésimo Octavo de los Lineamientos Generales en Materia de Clasificación y Desclasificación de la Información</w:t>
      </w:r>
    </w:p>
    <w:p w14:paraId="69D59215" w14:textId="77777777" w:rsidR="002D7098" w:rsidRPr="002D7098" w:rsidRDefault="002D7098" w:rsidP="002D7098">
      <w:pPr>
        <w:tabs>
          <w:tab w:val="left" w:pos="709"/>
        </w:tabs>
        <w:ind w:left="567" w:right="567"/>
        <w:jc w:val="both"/>
        <w:rPr>
          <w:rFonts w:ascii="Palatino Linotype" w:eastAsiaTheme="minorHAnsi" w:hAnsi="Palatino Linotype" w:cstheme="minorBidi"/>
          <w:sz w:val="22"/>
          <w:szCs w:val="22"/>
          <w:lang w:val="es-MX" w:eastAsia="en-US"/>
        </w:rPr>
      </w:pPr>
    </w:p>
    <w:p w14:paraId="415217DB"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b/>
          <w:i/>
          <w:sz w:val="22"/>
          <w:szCs w:val="22"/>
          <w:lang w:val="es-MX" w:eastAsia="en-US"/>
        </w:rPr>
        <w:t>Vigésimo octavo.</w:t>
      </w:r>
      <w:r w:rsidRPr="002D7098">
        <w:rPr>
          <w:rFonts w:ascii="Palatino Linotype" w:eastAsiaTheme="minorHAnsi" w:hAnsi="Palatino Linotype" w:cstheme="minorBidi"/>
          <w:i/>
          <w:sz w:val="22"/>
          <w:szCs w:val="22"/>
          <w:lang w:val="es-MX" w:eastAsia="en-US"/>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14:paraId="0569F970"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b/>
          <w:i/>
          <w:sz w:val="22"/>
          <w:szCs w:val="22"/>
          <w:lang w:val="es-MX" w:eastAsia="en-US"/>
        </w:rPr>
        <w:t>I.</w:t>
      </w:r>
      <w:r w:rsidRPr="002D7098">
        <w:rPr>
          <w:rFonts w:ascii="Palatino Linotype" w:eastAsiaTheme="minorHAnsi" w:hAnsi="Palatino Linotype" w:cstheme="minorBidi"/>
          <w:i/>
          <w:sz w:val="22"/>
          <w:szCs w:val="22"/>
          <w:lang w:val="es-MX" w:eastAsia="en-US"/>
        </w:rPr>
        <w:t xml:space="preserve">        La existencia de un procedimiento de responsabilidad administrativa en trámite, y</w:t>
      </w:r>
    </w:p>
    <w:p w14:paraId="4D92FF19"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b/>
          <w:i/>
          <w:sz w:val="22"/>
          <w:szCs w:val="22"/>
          <w:lang w:val="es-MX" w:eastAsia="en-US"/>
        </w:rPr>
        <w:t>II.</w:t>
      </w:r>
      <w:r w:rsidRPr="002D7098">
        <w:rPr>
          <w:rFonts w:ascii="Palatino Linotype" w:eastAsiaTheme="minorHAnsi" w:hAnsi="Palatino Linotype" w:cstheme="minorBidi"/>
          <w:i/>
          <w:sz w:val="22"/>
          <w:szCs w:val="22"/>
          <w:lang w:val="es-MX" w:eastAsia="en-US"/>
        </w:rPr>
        <w:t xml:space="preserve">       Que la información se refiera a actuaciones, diligencias y constancias propias del procedimiento de responsabilidad.</w:t>
      </w:r>
    </w:p>
    <w:p w14:paraId="1B5151E1"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8"/>
          <w:szCs w:val="22"/>
          <w:lang w:val="es-MX" w:eastAsia="en-US"/>
        </w:rPr>
      </w:pPr>
    </w:p>
    <w:p w14:paraId="19BED884" w14:textId="77777777" w:rsidR="002D7098" w:rsidRPr="002D7098" w:rsidRDefault="002D7098" w:rsidP="002D7098">
      <w:pPr>
        <w:tabs>
          <w:tab w:val="left" w:pos="709"/>
        </w:tabs>
        <w:ind w:left="567" w:right="567"/>
        <w:jc w:val="center"/>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sz w:val="22"/>
          <w:szCs w:val="22"/>
          <w:lang w:val="es-MX" w:eastAsia="en-US"/>
        </w:rPr>
        <w:t>Ley de Transparencia y Acceso a la Información Pública del Estado de México y Municipios</w:t>
      </w:r>
    </w:p>
    <w:p w14:paraId="49850722" w14:textId="77777777" w:rsidR="002D7098" w:rsidRPr="002D7098" w:rsidRDefault="002D7098" w:rsidP="002D7098">
      <w:pPr>
        <w:tabs>
          <w:tab w:val="left" w:pos="709"/>
        </w:tabs>
        <w:ind w:left="567" w:right="567"/>
        <w:jc w:val="both"/>
        <w:rPr>
          <w:rFonts w:asciiTheme="minorHAnsi" w:eastAsiaTheme="minorHAnsi" w:hAnsiTheme="minorHAnsi" w:cstheme="minorBidi"/>
          <w:sz w:val="22"/>
          <w:szCs w:val="22"/>
          <w:lang w:val="es-MX" w:eastAsia="en-US"/>
        </w:rPr>
      </w:pPr>
    </w:p>
    <w:p w14:paraId="0F6F92A0"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b/>
          <w:i/>
          <w:sz w:val="22"/>
          <w:szCs w:val="22"/>
          <w:lang w:val="es-MX" w:eastAsia="en-US"/>
        </w:rPr>
        <w:t>Artículo 140.</w:t>
      </w:r>
      <w:r w:rsidRPr="002D7098">
        <w:rPr>
          <w:rFonts w:ascii="Palatino Linotype" w:eastAsiaTheme="minorHAnsi" w:hAnsi="Palatino Linotype" w:cstheme="minorBidi"/>
          <w:i/>
          <w:sz w:val="22"/>
          <w:szCs w:val="22"/>
          <w:lang w:val="es-MX" w:eastAsia="en-US"/>
        </w:rPr>
        <w:t xml:space="preserve"> El acceso a la información pública será restringido excepcionalmente, cuando por razones de interés público, ésta sea clasificada como reservada, conforme a los criterios siguientes:</w:t>
      </w:r>
    </w:p>
    <w:p w14:paraId="4658AD7C"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b/>
          <w:i/>
          <w:sz w:val="22"/>
          <w:szCs w:val="22"/>
          <w:lang w:val="es-MX" w:eastAsia="en-US"/>
        </w:rPr>
        <w:t>…</w:t>
      </w:r>
    </w:p>
    <w:p w14:paraId="53045213"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p>
    <w:p w14:paraId="67CD8F8C"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b/>
          <w:i/>
          <w:sz w:val="22"/>
          <w:szCs w:val="22"/>
          <w:lang w:val="es-MX" w:eastAsia="en-US"/>
        </w:rPr>
        <w:t>IV.</w:t>
      </w:r>
      <w:r w:rsidRPr="002D7098">
        <w:rPr>
          <w:rFonts w:ascii="Palatino Linotype" w:eastAsiaTheme="minorHAnsi" w:hAnsi="Palatino Linotype" w:cstheme="minorBidi"/>
          <w:i/>
          <w:sz w:val="22"/>
          <w:szCs w:val="22"/>
          <w:lang w:val="es-MX" w:eastAsia="en-US"/>
        </w:rPr>
        <w:t xml:space="preserve"> Ponga en riesgo la vida, la seguridad o la salud de una persona física;</w:t>
      </w:r>
    </w:p>
    <w:p w14:paraId="5408D63C"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i/>
          <w:sz w:val="22"/>
          <w:szCs w:val="22"/>
          <w:lang w:val="es-MX" w:eastAsia="en-US"/>
        </w:rPr>
        <w:t>…</w:t>
      </w:r>
    </w:p>
    <w:p w14:paraId="720F969B" w14:textId="77777777" w:rsidR="002D7098" w:rsidRPr="002D7098" w:rsidRDefault="002D7098" w:rsidP="002D7098">
      <w:pPr>
        <w:tabs>
          <w:tab w:val="left" w:pos="709"/>
        </w:tabs>
        <w:ind w:left="567" w:right="567"/>
        <w:jc w:val="both"/>
        <w:rPr>
          <w:rFonts w:ascii="Palatino Linotype" w:eastAsiaTheme="minorHAnsi" w:hAnsi="Palatino Linotype" w:cstheme="minorBidi"/>
          <w:sz w:val="32"/>
          <w:lang w:val="es-MX" w:eastAsia="en-US"/>
        </w:rPr>
      </w:pPr>
      <w:r w:rsidRPr="002D7098">
        <w:rPr>
          <w:rFonts w:ascii="Palatino Linotype" w:eastAsiaTheme="minorHAnsi" w:hAnsi="Palatino Linotype" w:cstheme="minorBidi"/>
          <w:b/>
          <w:i/>
          <w:sz w:val="22"/>
          <w:szCs w:val="22"/>
          <w:lang w:val="es-MX" w:eastAsia="en-US"/>
        </w:rPr>
        <w:t>VIII.</w:t>
      </w:r>
      <w:r w:rsidRPr="002D7098">
        <w:rPr>
          <w:rFonts w:ascii="Palatino Linotype" w:eastAsiaTheme="minorHAnsi" w:hAnsi="Palatino Linotype" w:cstheme="minorBidi"/>
          <w:i/>
          <w:sz w:val="22"/>
          <w:szCs w:val="22"/>
          <w:lang w:val="es-MX" w:eastAsia="en-US"/>
        </w:rPr>
        <w:t xml:space="preserve"> Vulnere la conducción de los expedientes judiciales o de los procedimientos administrativos seguidos en forma de juicio, en tanto no hayan quedado firmes;</w:t>
      </w:r>
      <w:r w:rsidRPr="002D7098">
        <w:rPr>
          <w:rFonts w:ascii="Palatino Linotype" w:eastAsiaTheme="minorHAnsi" w:hAnsi="Palatino Linotype" w:cstheme="minorBidi"/>
          <w:i/>
          <w:sz w:val="22"/>
          <w:szCs w:val="22"/>
          <w:lang w:val="es-MX" w:eastAsia="en-US"/>
        </w:rPr>
        <w:cr/>
      </w:r>
    </w:p>
    <w:p w14:paraId="5B11BE34" w14:textId="01BE08AC"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r w:rsidRPr="002D7098">
        <w:rPr>
          <w:rFonts w:ascii="Palatino Linotype" w:eastAsiaTheme="minorHAnsi" w:hAnsi="Palatino Linotype" w:cstheme="minorBidi"/>
          <w:lang w:val="es-MX" w:eastAsia="en-US"/>
        </w:rPr>
        <w:t>En tal contexto, en el presente asunto la información requerida</w:t>
      </w:r>
      <w:r w:rsidR="002C3329">
        <w:rPr>
          <w:rFonts w:ascii="Palatino Linotype" w:eastAsiaTheme="minorHAnsi" w:hAnsi="Palatino Linotype" w:cstheme="minorBidi"/>
          <w:lang w:val="es-MX" w:eastAsia="en-US"/>
        </w:rPr>
        <w:t xml:space="preserve"> correspondiente a</w:t>
      </w:r>
      <w:r w:rsidRPr="002D7098">
        <w:rPr>
          <w:rFonts w:ascii="Palatino Linotype" w:eastAsiaTheme="minorHAnsi" w:hAnsi="Palatino Linotype" w:cstheme="minorBidi"/>
          <w:lang w:val="es-MX" w:eastAsia="en-US"/>
        </w:rPr>
        <w:t xml:space="preserve"> </w:t>
      </w:r>
      <w:r w:rsidR="007C0955" w:rsidRPr="007C0955">
        <w:rPr>
          <w:rFonts w:ascii="Palatino Linotype" w:eastAsiaTheme="minorHAnsi" w:hAnsi="Palatino Linotype" w:cstheme="minorBidi"/>
          <w:lang w:val="es-MX" w:eastAsia="en-US"/>
        </w:rPr>
        <w:t>los expedientes formados con motivo de procedimientos de responsabilidad administrativa que se encuentren en proceso investigación y los que se encuentren en responsabilidad, del periodo comprendido del 09 de febrero de 2021 al 09 de febrero de 2022</w:t>
      </w:r>
      <w:r w:rsidRPr="002D7098">
        <w:rPr>
          <w:rFonts w:ascii="Palatino Linotype" w:eastAsiaTheme="minorHAnsi" w:hAnsi="Palatino Linotype" w:cs="Arial"/>
          <w:b/>
          <w:szCs w:val="22"/>
          <w:lang w:val="es-MX" w:eastAsia="en-US"/>
        </w:rPr>
        <w:t>,</w:t>
      </w:r>
      <w:r w:rsidRPr="002D7098">
        <w:rPr>
          <w:rFonts w:ascii="Palatino Linotype" w:eastAsiaTheme="minorHAnsi" w:hAnsi="Palatino Linotype" w:cstheme="minorBidi"/>
          <w:lang w:val="es-MX" w:eastAsia="en-US"/>
        </w:rPr>
        <w:t xml:space="preserve"> colma los extremos establecidos en los preceptos de referencia toda vez que se trata de</w:t>
      </w:r>
      <w:r w:rsidR="006A6797">
        <w:rPr>
          <w:rFonts w:ascii="Palatino Linotype" w:eastAsiaTheme="minorHAnsi" w:hAnsi="Palatino Linotype" w:cstheme="minorBidi"/>
          <w:lang w:val="es-MX" w:eastAsia="en-US"/>
        </w:rPr>
        <w:t xml:space="preserve"> documentos inmersos en expedientes formados con motivo de</w:t>
      </w:r>
      <w:r w:rsidRPr="002D7098">
        <w:rPr>
          <w:rFonts w:ascii="Palatino Linotype" w:eastAsiaTheme="minorHAnsi" w:hAnsi="Palatino Linotype" w:cstheme="minorBidi"/>
          <w:lang w:val="es-MX" w:eastAsia="en-US"/>
        </w:rPr>
        <w:t xml:space="preserve"> procedimiento</w:t>
      </w:r>
      <w:r w:rsidR="006A6797">
        <w:rPr>
          <w:rFonts w:ascii="Palatino Linotype" w:eastAsiaTheme="minorHAnsi" w:hAnsi="Palatino Linotype" w:cstheme="minorBidi"/>
          <w:lang w:val="es-MX" w:eastAsia="en-US"/>
        </w:rPr>
        <w:t>s</w:t>
      </w:r>
      <w:r w:rsidRPr="002D7098">
        <w:rPr>
          <w:rFonts w:ascii="Palatino Linotype" w:eastAsiaTheme="minorHAnsi" w:hAnsi="Palatino Linotype" w:cstheme="minorBidi"/>
          <w:lang w:val="es-MX" w:eastAsia="en-US"/>
        </w:rPr>
        <w:t xml:space="preserve"> de responsabilidad administrativa</w:t>
      </w:r>
      <w:r w:rsidR="006A6797">
        <w:rPr>
          <w:rFonts w:ascii="Palatino Linotype" w:eastAsiaTheme="minorHAnsi" w:hAnsi="Palatino Linotype" w:cstheme="minorBidi"/>
          <w:lang w:val="es-MX" w:eastAsia="en-US"/>
        </w:rPr>
        <w:t>,</w:t>
      </w:r>
      <w:r w:rsidRPr="002D7098">
        <w:rPr>
          <w:rFonts w:ascii="Palatino Linotype" w:eastAsiaTheme="minorHAnsi" w:hAnsi="Palatino Linotype" w:cstheme="minorBidi"/>
          <w:lang w:val="es-MX" w:eastAsia="en-US"/>
        </w:rPr>
        <w:t xml:space="preserve"> </w:t>
      </w:r>
      <w:r w:rsidR="006A6797">
        <w:rPr>
          <w:rFonts w:ascii="Palatino Linotype" w:eastAsiaTheme="minorHAnsi" w:hAnsi="Palatino Linotype" w:cstheme="minorBidi"/>
          <w:lang w:val="es-MX" w:eastAsia="en-US"/>
        </w:rPr>
        <w:t>los</w:t>
      </w:r>
      <w:r w:rsidRPr="002D7098">
        <w:rPr>
          <w:rFonts w:ascii="Palatino Linotype" w:eastAsiaTheme="minorHAnsi" w:hAnsi="Palatino Linotype" w:cstheme="minorBidi"/>
          <w:lang w:val="es-MX" w:eastAsia="en-US"/>
        </w:rPr>
        <w:t xml:space="preserve"> cual</w:t>
      </w:r>
      <w:r w:rsidR="006A6797">
        <w:rPr>
          <w:rFonts w:ascii="Palatino Linotype" w:eastAsiaTheme="minorHAnsi" w:hAnsi="Palatino Linotype" w:cstheme="minorBidi"/>
          <w:lang w:val="es-MX" w:eastAsia="en-US"/>
        </w:rPr>
        <w:t>es</w:t>
      </w:r>
      <w:r w:rsidRPr="002D7098">
        <w:rPr>
          <w:rFonts w:ascii="Palatino Linotype" w:eastAsiaTheme="minorHAnsi" w:hAnsi="Palatino Linotype" w:cstheme="minorBidi"/>
          <w:lang w:val="es-MX" w:eastAsia="en-US"/>
        </w:rPr>
        <w:t xml:space="preserve"> se encuentra</w:t>
      </w:r>
      <w:r w:rsidR="006A6797">
        <w:rPr>
          <w:rFonts w:ascii="Palatino Linotype" w:eastAsiaTheme="minorHAnsi" w:hAnsi="Palatino Linotype" w:cstheme="minorBidi"/>
          <w:lang w:val="es-MX" w:eastAsia="en-US"/>
        </w:rPr>
        <w:t>n</w:t>
      </w:r>
      <w:r w:rsidRPr="002D7098">
        <w:rPr>
          <w:rFonts w:ascii="Palatino Linotype" w:eastAsiaTheme="minorHAnsi" w:hAnsi="Palatino Linotype" w:cstheme="minorBidi"/>
          <w:lang w:val="es-MX" w:eastAsia="en-US"/>
        </w:rPr>
        <w:t xml:space="preserve"> previsto</w:t>
      </w:r>
      <w:r w:rsidR="006A6797">
        <w:rPr>
          <w:rFonts w:ascii="Palatino Linotype" w:eastAsiaTheme="minorHAnsi" w:hAnsi="Palatino Linotype" w:cstheme="minorBidi"/>
          <w:lang w:val="es-MX" w:eastAsia="en-US"/>
        </w:rPr>
        <w:t>s</w:t>
      </w:r>
      <w:r w:rsidRPr="002D7098">
        <w:rPr>
          <w:rFonts w:ascii="Palatino Linotype" w:eastAsiaTheme="minorHAnsi" w:hAnsi="Palatino Linotype" w:cstheme="minorBidi"/>
          <w:lang w:val="es-MX" w:eastAsia="en-US"/>
        </w:rPr>
        <w:t xml:space="preserve"> en la Ley de Responsabilidades Administrativas del Estado de México, y la cual tiene su naturaleza en el derecho administrativo, entendiéndose desde el inicio de la investigación correspondiente y hasta antes del dictado de la resolución del procedimiento, en tal contexto </w:t>
      </w:r>
      <w:r w:rsidRPr="002D7098">
        <w:rPr>
          <w:rFonts w:ascii="Palatino Linotype" w:eastAsiaTheme="minorHAnsi" w:hAnsi="Palatino Linotype" w:cstheme="minorBidi"/>
          <w:b/>
          <w:lang w:val="es-MX" w:eastAsia="en-US"/>
        </w:rPr>
        <w:t xml:space="preserve">si el expediente que contiene el procedimiento de responsabilidad administrativa actualiza la hipótesis normativa señalada anteriormente debe ser considerado como información reservada, </w:t>
      </w:r>
      <w:r w:rsidRPr="002D7098">
        <w:rPr>
          <w:rFonts w:ascii="Palatino Linotype" w:eastAsiaTheme="minorHAnsi" w:hAnsi="Palatino Linotype" w:cstheme="minorBidi"/>
          <w:lang w:val="es-MX" w:eastAsia="en-US"/>
        </w:rPr>
        <w:t xml:space="preserve">previa cumplimiento de todas y cada una de las formalidades establecidas para su clasificación, </w:t>
      </w:r>
      <w:r w:rsidRPr="002D7098">
        <w:rPr>
          <w:rFonts w:ascii="Palatino Linotype" w:eastAsiaTheme="minorHAnsi" w:hAnsi="Palatino Linotype" w:cstheme="minorBidi"/>
          <w:b/>
          <w:lang w:val="es-MX" w:eastAsia="en-US"/>
        </w:rPr>
        <w:t xml:space="preserve">lo anterior resulta aplicable tanto a las investigaciones o procedimientos de responsabilidad administrativa originado por faltas administrativas no graves y las graves </w:t>
      </w:r>
      <w:r w:rsidRPr="002D7098">
        <w:rPr>
          <w:rFonts w:ascii="Palatino Linotype" w:eastAsiaTheme="minorHAnsi" w:hAnsi="Palatino Linotype" w:cs="Arial"/>
          <w:szCs w:val="22"/>
          <w:lang w:val="es-MX" w:eastAsia="en-US"/>
        </w:rPr>
        <w:t>siempre que se encuentre en trámite.</w:t>
      </w:r>
      <w:r w:rsidRPr="002D7098">
        <w:rPr>
          <w:rFonts w:ascii="Palatino Linotype" w:eastAsiaTheme="minorHAnsi" w:hAnsi="Palatino Linotype" w:cstheme="minorBidi"/>
          <w:lang w:val="es-MX" w:eastAsia="en-US"/>
        </w:rPr>
        <w:t xml:space="preserve"> </w:t>
      </w:r>
    </w:p>
    <w:p w14:paraId="52BAC182" w14:textId="77777777" w:rsidR="002D7098" w:rsidRPr="002D7098" w:rsidRDefault="002D7098" w:rsidP="002D7098">
      <w:pPr>
        <w:tabs>
          <w:tab w:val="left" w:pos="709"/>
        </w:tabs>
        <w:spacing w:line="360" w:lineRule="auto"/>
        <w:jc w:val="both"/>
        <w:rPr>
          <w:rFonts w:ascii="Palatino Linotype" w:eastAsiaTheme="minorHAnsi" w:hAnsi="Palatino Linotype" w:cstheme="minorBidi"/>
          <w:b/>
          <w:lang w:val="es-MX" w:eastAsia="en-US"/>
        </w:rPr>
      </w:pPr>
    </w:p>
    <w:p w14:paraId="619E724A" w14:textId="5021F092" w:rsidR="002D7098" w:rsidRPr="002D7098" w:rsidRDefault="002D7098" w:rsidP="002D7098">
      <w:pPr>
        <w:tabs>
          <w:tab w:val="left" w:pos="709"/>
        </w:tabs>
        <w:spacing w:line="360" w:lineRule="auto"/>
        <w:jc w:val="both"/>
        <w:rPr>
          <w:rFonts w:ascii="Palatino Linotype" w:eastAsia="Calibri" w:hAnsi="Palatino Linotype" w:cs="Tahoma"/>
          <w:bCs/>
          <w:lang w:val="es-MX" w:eastAsia="en-US"/>
        </w:rPr>
      </w:pPr>
      <w:r w:rsidRPr="002D7098">
        <w:rPr>
          <w:rFonts w:ascii="Palatino Linotype" w:eastAsiaTheme="minorHAnsi" w:hAnsi="Palatino Linotype" w:cstheme="minorBidi"/>
          <w:lang w:val="es-MX" w:eastAsia="en-US"/>
        </w:rPr>
        <w:t>En suma a lo anterior, no se omite señalar que</w:t>
      </w:r>
      <w:r w:rsidR="007949E4">
        <w:rPr>
          <w:rFonts w:ascii="Palatino Linotype" w:eastAsiaTheme="minorHAnsi" w:hAnsi="Palatino Linotype" w:cstheme="minorBidi"/>
          <w:lang w:val="es-MX" w:eastAsia="en-US"/>
        </w:rPr>
        <w:t>,</w:t>
      </w:r>
      <w:r w:rsidRPr="002D7098">
        <w:rPr>
          <w:rFonts w:ascii="Palatino Linotype" w:eastAsiaTheme="minorHAnsi" w:hAnsi="Palatino Linotype" w:cstheme="minorBidi"/>
          <w:lang w:val="es-MX" w:eastAsia="en-US"/>
        </w:rPr>
        <w:t xml:space="preserve"> es criterio del Pleno del máximo Tribunal que</w:t>
      </w:r>
      <w:r w:rsidR="007949E4">
        <w:rPr>
          <w:rFonts w:ascii="Palatino Linotype" w:eastAsiaTheme="minorHAnsi" w:hAnsi="Palatino Linotype" w:cstheme="minorBidi"/>
          <w:lang w:val="es-MX" w:eastAsia="en-US"/>
        </w:rPr>
        <w:t>,</w:t>
      </w:r>
      <w:r w:rsidRPr="002D7098">
        <w:rPr>
          <w:rFonts w:ascii="Palatino Linotype" w:eastAsiaTheme="minorHAnsi" w:hAnsi="Palatino Linotype" w:cstheme="minorBidi"/>
          <w:lang w:val="es-MX" w:eastAsia="en-US"/>
        </w:rPr>
        <w:t xml:space="preserve"> </w:t>
      </w:r>
      <w:r w:rsidRPr="002D7098">
        <w:rPr>
          <w:rFonts w:ascii="Palatino Linotype" w:eastAsia="Calibri" w:hAnsi="Palatino Linotype" w:cs="Tahoma"/>
          <w:bCs/>
          <w:lang w:val="es-MX" w:eastAsia="en-US"/>
        </w:rPr>
        <w:t>de la interpretación armónica y sistemática de los artículos 14, párrafo segundo, 16, párrafo primero, 19, párrafo primero, 21, párrafo primero y 102, apartado A, párrafo segundo, de la Constitución Política de los Estados Unidos Mexicanos, deriva el principio de presunción de inocencia, que a su vez se establece en los artículos 8, numeral 2, de la Convención Americana sobre Derechos Humanos y 14, numeral 2, del Pacto Internacional de Derechos Civiles y Políticos, que hacen efectiva la presunción de inocencia que debe ser aplicable en todos los procedimientos de cuyo resultado pudiera derivar alguna pena o sanción como resultado de la facultad punitiva del Estado, en tal contexto es un derecho fundamental de toda persona, sometida a un procedimiento administrativo sancionador, lo anterior tiene sustento en la Contradicción de Tesis, con registro digital: 2006590, la cual es del tenor literal siguiente:</w:t>
      </w:r>
    </w:p>
    <w:p w14:paraId="16936776" w14:textId="77777777" w:rsidR="002D7098" w:rsidRPr="002D7098" w:rsidRDefault="002D7098" w:rsidP="002D7098">
      <w:pPr>
        <w:tabs>
          <w:tab w:val="left" w:pos="709"/>
        </w:tabs>
        <w:spacing w:line="360" w:lineRule="auto"/>
        <w:jc w:val="both"/>
        <w:rPr>
          <w:rFonts w:ascii="Palatino Linotype" w:eastAsia="Calibri" w:hAnsi="Palatino Linotype" w:cs="Tahoma"/>
          <w:bCs/>
          <w:lang w:val="es-MX" w:eastAsia="en-US"/>
        </w:rPr>
      </w:pPr>
    </w:p>
    <w:p w14:paraId="2FF4E6E5" w14:textId="77777777" w:rsidR="002D7098" w:rsidRPr="002D7098" w:rsidRDefault="002D7098" w:rsidP="002D7098">
      <w:pPr>
        <w:tabs>
          <w:tab w:val="left" w:pos="709"/>
        </w:tabs>
        <w:ind w:left="567" w:right="567"/>
        <w:jc w:val="both"/>
        <w:rPr>
          <w:rFonts w:ascii="Palatino Linotype" w:eastAsia="Calibri" w:hAnsi="Palatino Linotype" w:cs="Tahoma"/>
          <w:b/>
          <w:i/>
          <w:sz w:val="22"/>
          <w:szCs w:val="22"/>
          <w:lang w:val="es-MX" w:eastAsia="en-US"/>
        </w:rPr>
      </w:pPr>
      <w:r w:rsidRPr="002D7098">
        <w:rPr>
          <w:rFonts w:ascii="Palatino Linotype" w:eastAsia="Calibri" w:hAnsi="Palatino Linotype" w:cs="Tahoma"/>
          <w:b/>
          <w:i/>
          <w:sz w:val="22"/>
          <w:szCs w:val="22"/>
          <w:lang w:val="es-MX" w:eastAsia="en-US"/>
        </w:rPr>
        <w:t>PRESUNCIÓN DE INOCENCIA. ESTE PRINCIPIO ES APLICABLE AL PROCEDIMIENTO ADMINISTRATIVO SANCIONADOR, CON MATICES O MODULACIONES.</w:t>
      </w:r>
    </w:p>
    <w:p w14:paraId="614AAE8A"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p>
    <w:p w14:paraId="0916CBB0"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r w:rsidRPr="002D7098">
        <w:rPr>
          <w:rFonts w:ascii="Palatino Linotype" w:eastAsia="Calibri" w:hAnsi="Palatino Linotype" w:cs="Tahoma"/>
          <w:bCs/>
          <w:i/>
          <w:sz w:val="22"/>
          <w:szCs w:val="22"/>
          <w:lang w:val="es-MX" w:eastAsia="en-US"/>
        </w:rPr>
        <w:t>El Tribunal Pleno de la Suprema Corte de Justicia de la Nación, en la tesis aislada P. XXXV/2002, sostuvo que, de la interpretación armónica y sistemática de los artículos 14, párrafo segundo, 16, párrafo primero, 19, párrafo primero, 21, párrafo primero y 102, apartado A, párrafo segundo, de la Constitución Política de los Estados Unidos Mexicanos (en su texto anterior a la reforma publicada en el Diario Oficial de la Federación el 18 de junio de 2008), deriva implícitamente el principio de presunción de inocencia; el cual se contiene de modo expreso en los diversos artículos 8, numeral 2, de la Convención Americana sobre Derechos Humanos y 14, numeral 2, del Pacto Internacional de Derechos Civiles y Políticos; de ahí que, al ser acordes dichos preceptos -porque tienden a especificar y a hacer efectiva la presunción de inocencia-, deben interpretarse de modo sistemático, a fin de hacer valer para los gobernados la interpretación más favorable que permita una mejor impartición de justicia de conformidad con el numeral 1o. constitucional. Ahora bien, uno de los principios rectores del derecho, que debe ser aplicable en todos los procedimientos de cuyo resultado pudiera derivar alguna pena o sanción como resultado de la facultad punitiva del Estado, es el de presunción de inocencia como derecho fundamental de toda persona, aplicable y reconocible a quienes pudiesen estar sometidos a un procedimiento administrativo sancionador y, en consecuencia, soportar el poder correctivo del Estado, a través de autoridad competente. En ese sentido, el principio de presunción de inocencia es aplicable al procedimiento administrativo sancionador -con matices o modulaciones, según el caso- debido a su naturaleza gravosa, por la calidad de inocente de la persona que debe reconocérsele en todo procedimiento de cuyo resultado pudiera surgir una pena o sanción cuya consecuencia procesal, entre otras, es desplazar la carga de la prueba a la autoridad, en atención al derecho al debido proceso.</w:t>
      </w:r>
    </w:p>
    <w:p w14:paraId="4A90D376"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p>
    <w:p w14:paraId="310D3C5F"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p>
    <w:p w14:paraId="63D1CE91"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r w:rsidRPr="002D7098">
        <w:rPr>
          <w:rFonts w:ascii="Palatino Linotype" w:eastAsia="Calibri" w:hAnsi="Palatino Linotype" w:cs="Tahoma"/>
          <w:bCs/>
          <w:i/>
          <w:sz w:val="22"/>
          <w:szCs w:val="22"/>
          <w:lang w:val="es-MX" w:eastAsia="en-US"/>
        </w:rPr>
        <w:t>Contradicción de tesis 200/2013. Entre las sustentadas por la Primera y la Segunda Salas de la Suprema Corte de Justicia de la Nación. 28 de enero de 2014. Mayoría de nueve votos de los Ministros Alfredo Gutiérrez Ortiz Mena, José Ramón Cossío Díaz, Margarita Beatriz Luna Ramos, José Fernando Franco González Salas, Arturo Zaldívar Lelo de Larrea, Jorge Mario Pardo Rebolledo, Sergio A. Valls Hernández, Olga Sánchez Cordero de García Villegas y Juan N. Silva Meza; votaron en contra: Luis María Aguilar Morales y Alberto Pérez Dayán. Ponente: Olga Sánchez Cordero de García Villegas. Secretario: Octavio Joel Flores Díaz.</w:t>
      </w:r>
    </w:p>
    <w:p w14:paraId="02EE8A83"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p>
    <w:p w14:paraId="14448468"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p>
    <w:p w14:paraId="239841D5"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r w:rsidRPr="002D7098">
        <w:rPr>
          <w:rFonts w:ascii="Palatino Linotype" w:eastAsia="Calibri" w:hAnsi="Palatino Linotype" w:cs="Tahoma"/>
          <w:bCs/>
          <w:i/>
          <w:sz w:val="22"/>
          <w:szCs w:val="22"/>
          <w:lang w:val="es-MX" w:eastAsia="en-US"/>
        </w:rPr>
        <w:t>Tesis y/o criterios contendientes:</w:t>
      </w:r>
    </w:p>
    <w:p w14:paraId="23224DC4"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r w:rsidRPr="002D7098">
        <w:rPr>
          <w:rFonts w:ascii="Palatino Linotype" w:eastAsia="Calibri" w:hAnsi="Palatino Linotype" w:cs="Tahoma"/>
          <w:bCs/>
          <w:i/>
          <w:sz w:val="22"/>
          <w:szCs w:val="22"/>
          <w:lang w:val="es-MX" w:eastAsia="en-US"/>
        </w:rPr>
        <w:t>Tesis 1a. XCIII/2013 (10a.), de rubro: "PRESUNCIÓN DE INOCENCIA. LA APLICACIÓN DE ESTE DERECHO A LOS PROCEDIMIENTOS ADMINISTRATIVOS SANCIONADORES DEBE REALIZARSE CON LAS MODULACIONES NECESARIAS PARA SER COMPATIBLE CON EL CONTEXTO AL QUE SE PRETENDE APLICAR.", aprobada por la Primera Sala de la Suprema Corte de Justicia de la Nación, y publicada en el Semanario Judicial de la Federación y su Gaceta, Décima Época, Libro XIX, Tomo 1, abril de 2013, página 968,</w:t>
      </w:r>
    </w:p>
    <w:p w14:paraId="760E1352"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p>
    <w:p w14:paraId="150816B2"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r w:rsidRPr="002D7098">
        <w:rPr>
          <w:rFonts w:ascii="Palatino Linotype" w:eastAsia="Calibri" w:hAnsi="Palatino Linotype" w:cs="Tahoma"/>
          <w:bCs/>
          <w:i/>
          <w:sz w:val="22"/>
          <w:szCs w:val="22"/>
          <w:lang w:val="es-MX" w:eastAsia="en-US"/>
        </w:rPr>
        <w:t>Tesis 1a. XCVII/2013 (10a.), de rubro: "PRESUNCIÓN DE INOCENCIA. EL ARTÍCULO 61 DE LA LEY DE FISCALIZACIÓN SUPERIOR DEL ESTADO DE MORELOS, NO VULNERA ESTE DERECHO EN SUS VERTIENTES DE REGLA DE TRATAMIENTO, REGLA PROBATORIA Y ESTÁNDAR DE PRUEBA.", aprobada por la Primera Sala de la Suprema Corte de Justicia de la Nación, y publicada en el Semanario Judicial de la Federación y su Gaceta, Décima Época, Libro XIX, Tomo 1, abril de 2013, página 967,</w:t>
      </w:r>
    </w:p>
    <w:p w14:paraId="725B5F56"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p>
    <w:p w14:paraId="36655AAF"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r w:rsidRPr="002D7098">
        <w:rPr>
          <w:rFonts w:ascii="Palatino Linotype" w:eastAsia="Calibri" w:hAnsi="Palatino Linotype" w:cs="Tahoma"/>
          <w:bCs/>
          <w:i/>
          <w:sz w:val="22"/>
          <w:szCs w:val="22"/>
          <w:lang w:val="es-MX" w:eastAsia="en-US"/>
        </w:rPr>
        <w:t>Tesis 2a. XC/2012 (10a.), de rubro: "PRESUNCIÓN DE INOCENCIA. CONSTITUYE UN PRINCIPIO CONSTITUCIONAL APLICABLE EXCLUSIVAMENTE EN EL PROCEDIMIENTO PENAL.", aprobada por la Segunda Sala de la Suprema Corte de Justicia de la Nación, y publicada en el Semanario Judicial de la Federación y su Gaceta, Décima Época, Libro XVI, Tomo 2, enero de 2013, página 1687, y</w:t>
      </w:r>
    </w:p>
    <w:p w14:paraId="6954A98A"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p>
    <w:p w14:paraId="6FF8F549"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r w:rsidRPr="002D7098">
        <w:rPr>
          <w:rFonts w:ascii="Palatino Linotype" w:eastAsia="Calibri" w:hAnsi="Palatino Linotype" w:cs="Tahoma"/>
          <w:bCs/>
          <w:i/>
          <w:sz w:val="22"/>
          <w:szCs w:val="22"/>
          <w:lang w:val="es-MX" w:eastAsia="en-US"/>
        </w:rPr>
        <w:t>Tesis 2a. XCI/2012 (10a.), de rubro: "PRESUNCIÓN DE INOCENCIA. NO ES UN PRINCIPIO APLICABLE EN EL PROCEDIMIENTO ADMINISTRATIVO SANCIONADOR.", aprobada por la Segunda Sala de la Suprema Corte de Justicia de la Nación, y publicada en el Semanario Judicial de la Federación y su Gaceta, Décima Época, Libro XVI, Tomo 2, enero de 2013, página 1688.</w:t>
      </w:r>
    </w:p>
    <w:p w14:paraId="3CE6EFC6"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p>
    <w:p w14:paraId="02895B52"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r w:rsidRPr="002D7098">
        <w:rPr>
          <w:rFonts w:ascii="Palatino Linotype" w:eastAsia="Calibri" w:hAnsi="Palatino Linotype" w:cs="Tahoma"/>
          <w:bCs/>
          <w:i/>
          <w:sz w:val="22"/>
          <w:szCs w:val="22"/>
          <w:lang w:val="es-MX" w:eastAsia="en-US"/>
        </w:rPr>
        <w:t>El Tribunal Pleno, el veintiséis de mayo en curso, aprobó, con el número 43/2014 (10a.), la tesis jurisprudencial que antecede. México, Distrito Federal, a veintiséis de mayo de dos mil catorce.</w:t>
      </w:r>
    </w:p>
    <w:p w14:paraId="6A810AD7"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p>
    <w:p w14:paraId="7389C0D5"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r w:rsidRPr="002D7098">
        <w:rPr>
          <w:rFonts w:ascii="Palatino Linotype" w:eastAsia="Calibri" w:hAnsi="Palatino Linotype" w:cs="Tahoma"/>
          <w:bCs/>
          <w:i/>
          <w:sz w:val="22"/>
          <w:szCs w:val="22"/>
          <w:lang w:val="es-MX" w:eastAsia="en-US"/>
        </w:rPr>
        <w:t>Nota: La tesis aislada P. XXXV/2002 citada, aparece publicada en el Semanario Judicial de la Federación y su Gaceta, Novena Época, Tomo XVI, agosto de 2002, página 14, con el rubro: "PRESUNCIÓN DE INOCENCIA. EL PRINCIPIO RELATIVO SE CONTIENE DE MANERA IMPLÍCITA EN LA CONSTITUCIÓN FEDERAL."</w:t>
      </w:r>
    </w:p>
    <w:p w14:paraId="06B79D59"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p>
    <w:p w14:paraId="4D1C1D72"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p>
    <w:p w14:paraId="4AA28E82"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r w:rsidRPr="002D7098">
        <w:rPr>
          <w:rFonts w:ascii="Palatino Linotype" w:eastAsia="Calibri" w:hAnsi="Palatino Linotype" w:cs="Tahoma"/>
          <w:bCs/>
          <w:i/>
          <w:sz w:val="22"/>
          <w:szCs w:val="22"/>
          <w:lang w:val="es-MX" w:eastAsia="en-US"/>
        </w:rPr>
        <w:t>Esta tesis se publicó el viernes 06 de junio de 2014 a las 12:30 horas en el Semanario Judicial de la Federación y, por ende, se considera de aplicación obligatoria a partir del lunes 09 de junio de 2014, para los efectos previstos en el punto séptimo del Acuerdo General Plenario 19/2013.</w:t>
      </w:r>
    </w:p>
    <w:p w14:paraId="5941E0E0" w14:textId="77777777" w:rsidR="002D7098" w:rsidRPr="002D7098" w:rsidRDefault="002D7098" w:rsidP="002D7098">
      <w:pPr>
        <w:tabs>
          <w:tab w:val="left" w:pos="709"/>
        </w:tabs>
        <w:ind w:left="567" w:right="567"/>
        <w:jc w:val="both"/>
        <w:rPr>
          <w:rFonts w:ascii="Palatino Linotype" w:eastAsia="Calibri" w:hAnsi="Palatino Linotype" w:cs="Tahoma"/>
          <w:bCs/>
          <w:i/>
          <w:sz w:val="28"/>
          <w:szCs w:val="22"/>
          <w:lang w:val="es-MX" w:eastAsia="en-US"/>
        </w:rPr>
      </w:pPr>
    </w:p>
    <w:p w14:paraId="4F5CCE6F"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r w:rsidRPr="002D7098">
        <w:rPr>
          <w:rFonts w:ascii="Palatino Linotype" w:eastAsiaTheme="minorHAnsi" w:hAnsi="Palatino Linotype" w:cstheme="minorBidi"/>
          <w:lang w:val="es-MX" w:eastAsia="en-US"/>
        </w:rPr>
        <w:t xml:space="preserve">Por otro lado, no se omite señalar, que de conforme a al artículo 115 de la Ley General de Transparencia y Acceso a la Información Pública, 142 de la Ley de Transparencia y Acceso a la Información Pública del Estado de México y Municipios, y el Trigésimo Séptimo de los Lineamientos Generales, establecen que no podrá invocarse con el carácter de reservada, aquella información que se encuentre relacionada con posibles violaciones a derechos humanos </w:t>
      </w:r>
      <w:r w:rsidRPr="002D7098">
        <w:rPr>
          <w:rFonts w:ascii="Palatino Linotype" w:eastAsiaTheme="minorHAnsi" w:hAnsi="Palatino Linotype" w:cstheme="minorBidi"/>
          <w:sz w:val="22"/>
          <w:szCs w:val="22"/>
          <w:lang w:val="es-MX" w:eastAsia="en-US"/>
        </w:rPr>
        <w:t>delitos de lesa humanidad</w:t>
      </w:r>
      <w:r w:rsidRPr="002D7098">
        <w:rPr>
          <w:rFonts w:asciiTheme="minorHAnsi" w:eastAsiaTheme="minorHAnsi" w:hAnsiTheme="minorHAnsi" w:cstheme="minorBidi"/>
          <w:sz w:val="22"/>
          <w:szCs w:val="22"/>
          <w:lang w:val="es-MX" w:eastAsia="en-US"/>
        </w:rPr>
        <w:t xml:space="preserve"> </w:t>
      </w:r>
      <w:r w:rsidRPr="002D7098">
        <w:rPr>
          <w:rFonts w:ascii="Palatino Linotype" w:eastAsiaTheme="minorHAnsi" w:hAnsi="Palatino Linotype" w:cstheme="minorBidi"/>
          <w:lang w:val="es-MX" w:eastAsia="en-US"/>
        </w:rPr>
        <w:t>o actos de corrupción, preceptos legales que establecen lo siguiente:</w:t>
      </w:r>
    </w:p>
    <w:p w14:paraId="36686918"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p>
    <w:p w14:paraId="5E947F5B" w14:textId="77777777" w:rsidR="002D7098" w:rsidRPr="002D7098" w:rsidRDefault="002D7098" w:rsidP="002D7098">
      <w:pPr>
        <w:tabs>
          <w:tab w:val="left" w:pos="709"/>
        </w:tabs>
        <w:jc w:val="center"/>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sz w:val="22"/>
          <w:szCs w:val="22"/>
          <w:lang w:val="es-MX" w:eastAsia="en-US"/>
        </w:rPr>
        <w:t>Ley General de Transparencia y Acceso a la Información Pública</w:t>
      </w:r>
    </w:p>
    <w:p w14:paraId="01E6A466"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b/>
          <w:i/>
          <w:sz w:val="22"/>
          <w:szCs w:val="22"/>
          <w:lang w:val="es-MX" w:eastAsia="en-US"/>
        </w:rPr>
        <w:t>Artículo 115.</w:t>
      </w:r>
      <w:r w:rsidRPr="002D7098">
        <w:rPr>
          <w:rFonts w:ascii="Palatino Linotype" w:eastAsiaTheme="minorHAnsi" w:hAnsi="Palatino Linotype" w:cstheme="minorBidi"/>
          <w:i/>
          <w:sz w:val="22"/>
          <w:szCs w:val="22"/>
          <w:lang w:val="es-MX" w:eastAsia="en-US"/>
        </w:rPr>
        <w:t xml:space="preserve"> No podrá invocarse el carácter de reservado cuando:</w:t>
      </w:r>
    </w:p>
    <w:p w14:paraId="083D8479"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i/>
          <w:sz w:val="22"/>
          <w:szCs w:val="22"/>
          <w:lang w:val="es-MX" w:eastAsia="en-US"/>
        </w:rPr>
        <w:t>I. Se trate de violaciones graves de derechos humanos o delitos de lesa humanidad, o</w:t>
      </w:r>
    </w:p>
    <w:p w14:paraId="3B0FB7E7"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i/>
          <w:sz w:val="22"/>
          <w:szCs w:val="22"/>
          <w:lang w:val="es-MX" w:eastAsia="en-US"/>
        </w:rPr>
        <w:t>II. Se trate de información relacionada con actos de corrupción de acuerdo con las leyes aplicables.</w:t>
      </w:r>
    </w:p>
    <w:p w14:paraId="650EEE40"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p>
    <w:p w14:paraId="08D6F9E6" w14:textId="77777777" w:rsidR="002D7098" w:rsidRPr="002D7098" w:rsidRDefault="002D7098" w:rsidP="002D7098">
      <w:pPr>
        <w:tabs>
          <w:tab w:val="left" w:pos="709"/>
        </w:tabs>
        <w:ind w:left="567" w:right="567"/>
        <w:jc w:val="both"/>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sz w:val="22"/>
          <w:szCs w:val="22"/>
          <w:lang w:val="es-MX" w:eastAsia="en-US"/>
        </w:rPr>
        <w:t>Ley de Transparencia y Acceso a la Información Pública del Estado de México y Municipios</w:t>
      </w:r>
    </w:p>
    <w:p w14:paraId="3A3DAE91"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i/>
          <w:sz w:val="22"/>
          <w:szCs w:val="22"/>
          <w:lang w:val="es-MX" w:eastAsia="en-US"/>
        </w:rPr>
        <w:t>Artículo 142. Bajo ninguna circunstancia podrá invocarse el carácter de reservado cuando:</w:t>
      </w:r>
    </w:p>
    <w:p w14:paraId="6B5ECB7D"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i/>
          <w:sz w:val="22"/>
          <w:szCs w:val="22"/>
          <w:lang w:val="es-MX" w:eastAsia="en-US"/>
        </w:rPr>
        <w:t>I. Se trate de violaciones graves de derechos humanos, calificada así por autoridad competente;</w:t>
      </w:r>
    </w:p>
    <w:p w14:paraId="2EB159F2"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i/>
          <w:sz w:val="22"/>
          <w:szCs w:val="22"/>
          <w:lang w:val="es-MX" w:eastAsia="en-U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64D4632B"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i/>
          <w:sz w:val="22"/>
          <w:szCs w:val="22"/>
          <w:lang w:val="es-MX" w:eastAsia="en-U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42ED42AF"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i/>
          <w:sz w:val="22"/>
          <w:szCs w:val="22"/>
          <w:lang w:val="es-MX" w:eastAsia="en-US"/>
        </w:rPr>
        <w:t>IV. Se trate de información relacionada con actos de corrupción de conformidad con las disposiciones jurídicas aplicables.</w:t>
      </w:r>
    </w:p>
    <w:p w14:paraId="23241A27"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p>
    <w:p w14:paraId="3B0C1732" w14:textId="77777777" w:rsidR="002D7098" w:rsidRPr="002D7098" w:rsidRDefault="002D7098" w:rsidP="002D7098">
      <w:pPr>
        <w:tabs>
          <w:tab w:val="left" w:pos="709"/>
        </w:tabs>
        <w:ind w:left="567" w:right="567"/>
        <w:jc w:val="both"/>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color w:val="2F2F2F"/>
          <w:sz w:val="22"/>
          <w:szCs w:val="22"/>
          <w:shd w:val="clear" w:color="auto" w:fill="FFFFFF"/>
          <w:lang w:val="es-MX" w:eastAsia="en-US"/>
        </w:rPr>
        <w:t>LINEAMIENTOS GENERALES EN MATERIA DE CLASIFICACIÓN Y DESCLASIFICACIÓN DE LA INFORMACIÓN, ASÍ COMO PARA LA ELABORACIÓN DE VERSIONES PÚBLICAS.</w:t>
      </w:r>
    </w:p>
    <w:p w14:paraId="59E2A883"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i/>
          <w:sz w:val="22"/>
          <w:szCs w:val="22"/>
          <w:lang w:val="es-MX" w:eastAsia="en-US"/>
        </w:rPr>
        <w:t>Trigésimo séptimo. No podrá invocarse el carácter de reservado de la información cuando:</w:t>
      </w:r>
    </w:p>
    <w:p w14:paraId="67679123"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i/>
          <w:sz w:val="22"/>
          <w:szCs w:val="22"/>
          <w:lang w:val="es-MX" w:eastAsia="en-US"/>
        </w:rPr>
        <w:t>I.        Se trate de violaciones graves de derechos humanos;</w:t>
      </w:r>
    </w:p>
    <w:p w14:paraId="0B37ECF8"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i/>
          <w:sz w:val="22"/>
          <w:szCs w:val="22"/>
          <w:lang w:val="es-MX" w:eastAsia="en-US"/>
        </w:rPr>
        <w:t>II.       Se trate de delitos de lesa humanidad conforme a los tratados internacionales ratificados por el Estado mexicano, las resoluciones emitidas por organismos internacionales cuya competencia sea reconocida por el Estado mexicano, así como en las disposiciones legales aplicables;</w:t>
      </w:r>
    </w:p>
    <w:p w14:paraId="7B8AA63B"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i/>
          <w:sz w:val="22"/>
          <w:szCs w:val="22"/>
          <w:lang w:val="es-MX" w:eastAsia="en-US"/>
        </w:rPr>
        <w:t xml:space="preserve"> III.      Se trate de información relacionada con actos de corrupción. Lo anterior, en función del uso o aprovechamiento indebido y excesivo de las facultades, funciones y competencias, en beneficio propio o de un tercero, por parte de un servidor público o de otra persona que reciba y ejerza recursos públicos o realice actos de autoridad en el ámbito federal, estatal y municipal, y de acuerdo con las leyes aplicables y los tratados internacionales ratificados por el Estado mexicano; o</w:t>
      </w:r>
    </w:p>
    <w:p w14:paraId="111811DC"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i/>
          <w:sz w:val="22"/>
          <w:szCs w:val="22"/>
          <w:lang w:val="es-MX" w:eastAsia="en-US"/>
        </w:rPr>
        <w:t>IV.      Cuando se trate de información relativa a la asignación y ejercicio de los gastos de campañas, precampañas y gastos en general de partidos políticos con cuenta al presupuesto público, ni las aportaciones de cualquier tipo o especie que realicen los particulares sin importar el destino de los recursos aportados; lo anterior de conformidad con lo establecido en la Ley General de Partidos Políticos.</w:t>
      </w:r>
    </w:p>
    <w:p w14:paraId="6371D21A" w14:textId="77777777" w:rsidR="002D7098" w:rsidRPr="002D7098" w:rsidRDefault="002D7098" w:rsidP="002D7098">
      <w:pPr>
        <w:tabs>
          <w:tab w:val="left" w:pos="709"/>
        </w:tabs>
        <w:spacing w:line="360" w:lineRule="auto"/>
        <w:ind w:right="567"/>
        <w:jc w:val="both"/>
        <w:rPr>
          <w:rFonts w:ascii="Palatino Linotype" w:eastAsiaTheme="minorHAnsi" w:hAnsi="Palatino Linotype" w:cstheme="minorBidi"/>
          <w:i/>
          <w:sz w:val="22"/>
          <w:szCs w:val="22"/>
          <w:lang w:val="es-MX" w:eastAsia="en-US"/>
        </w:rPr>
      </w:pPr>
    </w:p>
    <w:p w14:paraId="20961D98"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r w:rsidRPr="002D7098">
        <w:rPr>
          <w:rFonts w:ascii="Palatino Linotype" w:eastAsiaTheme="minorHAnsi" w:hAnsi="Palatino Linotype" w:cstheme="minorBidi"/>
          <w:lang w:val="es-MX" w:eastAsia="en-US"/>
        </w:rPr>
        <w:t xml:space="preserve">Al respecto, derivado de la excepción establecida en los preceptos legales antes citados, resulta oportuno mencionar que en tal supuesto, esta ponencia considera que si la información del expediente que lo originó o que se encuentra contenida dentro de la investigación o procedimiento de responsabilidad administrativa es relativa a alguna de las fracciones de los artículos 115 de la Ley General de Transparencia y Acceso a la Información Pública, 142 de la Ley de Transparencia y Acceso a la Información Pública del Estado de México y Municipios, y Trigésimo Séptimo de los Lineamientos Generales en Materia de Clasificación y Desclasificación de la Información, así como para la Elaboración de Versiones Públicas; no podrá invocarse con el carácter de clasificada. </w:t>
      </w:r>
    </w:p>
    <w:p w14:paraId="415058FA"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p>
    <w:p w14:paraId="42723F4B" w14:textId="2CDA79F9" w:rsidR="002D7098" w:rsidRPr="002D7098" w:rsidRDefault="00266747" w:rsidP="002D7098">
      <w:pPr>
        <w:tabs>
          <w:tab w:val="left" w:pos="709"/>
        </w:tabs>
        <w:spacing w:line="360" w:lineRule="auto"/>
        <w:jc w:val="both"/>
        <w:rPr>
          <w:rFonts w:ascii="Palatino Linotype" w:eastAsiaTheme="minorHAnsi" w:hAnsi="Palatino Linotype" w:cstheme="minorBidi"/>
          <w:lang w:val="es-MX" w:eastAsia="en-US"/>
        </w:rPr>
      </w:pPr>
      <w:r>
        <w:rPr>
          <w:rFonts w:ascii="Palatino Linotype" w:eastAsiaTheme="minorHAnsi" w:hAnsi="Palatino Linotype" w:cstheme="minorBidi"/>
          <w:lang w:val="es-MX" w:eastAsia="en-US"/>
        </w:rPr>
        <w:t>Asimismo</w:t>
      </w:r>
      <w:r w:rsidR="002D7098" w:rsidRPr="002D7098">
        <w:rPr>
          <w:rFonts w:ascii="Palatino Linotype" w:eastAsiaTheme="minorHAnsi" w:hAnsi="Palatino Linotype" w:cstheme="minorBidi"/>
          <w:lang w:val="es-MX" w:eastAsia="en-US"/>
        </w:rPr>
        <w:t>,</w:t>
      </w:r>
      <w:r w:rsidR="002D7098" w:rsidRPr="002D7098">
        <w:rPr>
          <w:rFonts w:ascii="Palatino Linotype" w:eastAsiaTheme="minorHAnsi" w:hAnsi="Palatino Linotype" w:cstheme="minorBidi"/>
          <w:b/>
          <w:lang w:val="es-MX" w:eastAsia="en-US"/>
        </w:rPr>
        <w:t xml:space="preserve"> </w:t>
      </w:r>
      <w:r w:rsidR="002D7098" w:rsidRPr="002D7098">
        <w:rPr>
          <w:rFonts w:ascii="Palatino Linotype" w:eastAsiaTheme="minorHAnsi" w:hAnsi="Palatino Linotype" w:cstheme="minorBidi"/>
          <w:lang w:val="es-MX" w:eastAsia="en-US"/>
        </w:rPr>
        <w:t>con</w:t>
      </w:r>
      <w:r w:rsidR="002D7098" w:rsidRPr="002D7098">
        <w:rPr>
          <w:rFonts w:ascii="Palatino Linotype" w:eastAsiaTheme="minorHAnsi" w:hAnsi="Palatino Linotype" w:cstheme="minorBidi"/>
          <w:b/>
          <w:lang w:val="es-MX" w:eastAsia="en-US"/>
        </w:rPr>
        <w:t xml:space="preserve"> </w:t>
      </w:r>
      <w:r w:rsidR="002D7098" w:rsidRPr="002D7098">
        <w:rPr>
          <w:rFonts w:ascii="Palatino Linotype" w:eastAsiaTheme="minorHAnsi" w:hAnsi="Palatino Linotype" w:cstheme="minorBidi"/>
          <w:lang w:val="es-MX" w:eastAsia="en-US"/>
        </w:rPr>
        <w:t>fundamento en los artículos 53, párrafo primero de la Ley General del Sistema Nacional Anticorrupción, 27, párrafo cuarto, primera hipótesis de la Ley General de Responsabilidades Administrativas, 53, párrafo primero de la Ley del Sistema Anticorrupción del Estado de México, en relación con los artículos 70 fracciones XVII y XVIII de la Ley General de Transparencia y Acceso a la Información Pública, y 92 fracción XXI de la Ley de Transparencia y Acceso a la Información Pública del Estado de México y Municipios, los cuales señalan que las constancias de sanciones o de inhabilitación que se encuentren firmes</w:t>
      </w:r>
      <w:r>
        <w:rPr>
          <w:rFonts w:ascii="Palatino Linotype" w:eastAsiaTheme="minorHAnsi" w:hAnsi="Palatino Linotype" w:cstheme="minorBidi"/>
          <w:lang w:val="es-MX" w:eastAsia="en-US"/>
        </w:rPr>
        <w:t>,</w:t>
      </w:r>
      <w:r w:rsidR="002D7098" w:rsidRPr="002D7098">
        <w:rPr>
          <w:rFonts w:ascii="Palatino Linotype" w:eastAsiaTheme="minorHAnsi" w:hAnsi="Palatino Linotype" w:cstheme="minorBidi"/>
          <w:lang w:val="es-MX" w:eastAsia="en-US"/>
        </w:rPr>
        <w:t xml:space="preserve"> entendiéndose como el expediente que contiene la investigación o sustanciación del procedimiento de responsabilidad administrativa hasta su resolución por actos vinculados con faltas graves y las sanciones impuestas por faltas administrativas graves, serán del conocimiento público cuando éstas contengan impedimentos o inhabilitaciones para ser contratados como Servidores públicos o como prestadores de servicios o contratistas del sector público, aunado a la obligación de publicar el listado de Servidores Públicos con sanciones administrativas definitivas, especificando la causa de sanción, disposiciones legales que son del tenor literal siguiente:</w:t>
      </w:r>
    </w:p>
    <w:p w14:paraId="33F2FD3C"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p>
    <w:p w14:paraId="0BE9AA3C" w14:textId="77777777" w:rsidR="002D7098" w:rsidRPr="002D7098" w:rsidRDefault="002D7098" w:rsidP="002D7098">
      <w:pPr>
        <w:tabs>
          <w:tab w:val="left" w:pos="709"/>
        </w:tabs>
        <w:ind w:left="567" w:right="567"/>
        <w:jc w:val="center"/>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sz w:val="22"/>
          <w:szCs w:val="22"/>
          <w:lang w:val="es-MX" w:eastAsia="en-US"/>
        </w:rPr>
        <w:t>Ley General del Sistema Nacional Anticorrupción.</w:t>
      </w:r>
    </w:p>
    <w:p w14:paraId="1E34858F"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b/>
          <w:i/>
          <w:sz w:val="22"/>
          <w:szCs w:val="22"/>
          <w:lang w:val="es-MX" w:eastAsia="en-US"/>
        </w:rPr>
        <w:t>“Artículo 53.</w:t>
      </w:r>
      <w:r w:rsidRPr="002D7098">
        <w:rPr>
          <w:rFonts w:ascii="Palatino Linotype" w:eastAsiaTheme="minorHAnsi" w:hAnsi="Palatino Linotype" w:cstheme="minorBidi"/>
          <w:i/>
          <w:sz w:val="22"/>
          <w:szCs w:val="22"/>
          <w:lang w:val="es-MX" w:eastAsia="en-US"/>
        </w:rPr>
        <w:t xml:space="preserve"> Las sanciones impuestas por faltas administrativas graves serán del conocimiento público cuando éstas contengan impedimentos o inhabilitaciones para ser contratados como Servidores públicos o como prestadores de servicios o contratistas del sector público, en términos de la Ley General de Responsabilidades Administrativas. </w:t>
      </w:r>
    </w:p>
    <w:p w14:paraId="5FF4768B"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p>
    <w:p w14:paraId="4074AA28" w14:textId="77777777" w:rsidR="002D7098" w:rsidRPr="002D7098" w:rsidRDefault="002D7098" w:rsidP="002D7098">
      <w:pPr>
        <w:tabs>
          <w:tab w:val="left" w:pos="709"/>
        </w:tabs>
        <w:ind w:left="567" w:right="567"/>
        <w:jc w:val="center"/>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sz w:val="22"/>
          <w:szCs w:val="22"/>
          <w:lang w:val="es-MX" w:eastAsia="en-US"/>
        </w:rPr>
        <w:t>Ley General de Responsabilidades Administrativas.</w:t>
      </w:r>
    </w:p>
    <w:p w14:paraId="56B09D71" w14:textId="77777777" w:rsidR="002D7098" w:rsidRPr="002D7098" w:rsidRDefault="002D7098" w:rsidP="002D7098">
      <w:pPr>
        <w:tabs>
          <w:tab w:val="left" w:pos="709"/>
        </w:tabs>
        <w:ind w:left="567" w:right="567"/>
        <w:jc w:val="both"/>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sz w:val="22"/>
          <w:szCs w:val="22"/>
          <w:lang w:val="es-MX" w:eastAsia="en-US"/>
        </w:rPr>
        <w:t>“27…</w:t>
      </w:r>
    </w:p>
    <w:p w14:paraId="5094DAE1"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i/>
          <w:sz w:val="22"/>
          <w:szCs w:val="22"/>
          <w:lang w:val="es-MX" w:eastAsia="en-US"/>
        </w:rPr>
        <w:t>En el sistema nacional de Servidores Públicos y particulares sancionados de la Plataforma digital nacional se inscribirán y se harán públicas, de conformidad con lo dispuesto en la Ley General del Sistema Nacional Anticorrupción y las disposiciones legales en materia de transparencia, las constancias de sanciones o de inhabilitación que se encuentren firmes en contra de los Servidores Públicos o particulares que hayan sido sancionados por actos vinculados con faltas graves en términos de esta Ley…”</w:t>
      </w:r>
    </w:p>
    <w:p w14:paraId="799DD9FA"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8"/>
          <w:lang w:val="es-MX" w:eastAsia="en-US"/>
        </w:rPr>
      </w:pPr>
    </w:p>
    <w:p w14:paraId="37C04FC5" w14:textId="77777777" w:rsidR="002D7098" w:rsidRPr="002D7098" w:rsidRDefault="002D7098" w:rsidP="002D7098">
      <w:pPr>
        <w:tabs>
          <w:tab w:val="left" w:pos="709"/>
        </w:tabs>
        <w:ind w:left="567" w:right="567"/>
        <w:jc w:val="center"/>
        <w:rPr>
          <w:rFonts w:ascii="Palatino Linotype" w:eastAsiaTheme="minorHAnsi" w:hAnsi="Palatino Linotype" w:cstheme="minorBidi"/>
          <w:b/>
          <w:i/>
          <w:lang w:val="es-MX" w:eastAsia="en-US"/>
        </w:rPr>
      </w:pPr>
      <w:r w:rsidRPr="002D7098">
        <w:rPr>
          <w:rFonts w:ascii="Palatino Linotype" w:eastAsiaTheme="minorHAnsi" w:hAnsi="Palatino Linotype" w:cstheme="minorBidi"/>
          <w:b/>
          <w:i/>
          <w:lang w:val="es-MX" w:eastAsia="en-US"/>
        </w:rPr>
        <w:t>Ley del Sistema Anticorrupción del Estado de México</w:t>
      </w:r>
    </w:p>
    <w:p w14:paraId="67C10D75" w14:textId="77777777" w:rsidR="002D7098" w:rsidRPr="002D7098" w:rsidRDefault="002D7098" w:rsidP="002D7098">
      <w:pPr>
        <w:tabs>
          <w:tab w:val="left" w:pos="709"/>
        </w:tabs>
        <w:ind w:left="567" w:right="567"/>
        <w:jc w:val="both"/>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sz w:val="22"/>
          <w:szCs w:val="22"/>
          <w:lang w:val="es-MX" w:eastAsia="en-US"/>
        </w:rPr>
        <w:t xml:space="preserve">“Artículo 53. </w:t>
      </w:r>
      <w:r w:rsidRPr="002D7098">
        <w:rPr>
          <w:rFonts w:ascii="Palatino Linotype" w:eastAsiaTheme="minorHAnsi" w:hAnsi="Palatino Linotype" w:cstheme="minorBidi"/>
          <w:i/>
          <w:sz w:val="22"/>
          <w:szCs w:val="22"/>
          <w:lang w:val="es-MX" w:eastAsia="en-US"/>
        </w:rPr>
        <w:t>Las sanciones impuestas por faltas administrativas graves serán del conocimiento público cuando éstas contengan impedimentos o inhabilitaciones para ser contratados como servidores públicos o como prestadores de servicios o contratistas del sector público, en términos de la Ley de Responsabilidades Administrativas del Estado de México y Municipios</w:t>
      </w:r>
      <w:r w:rsidRPr="002D7098">
        <w:rPr>
          <w:rFonts w:ascii="Palatino Linotype" w:eastAsiaTheme="minorHAnsi" w:hAnsi="Palatino Linotype" w:cstheme="minorBidi"/>
          <w:b/>
          <w:i/>
          <w:sz w:val="22"/>
          <w:szCs w:val="22"/>
          <w:lang w:val="es-MX" w:eastAsia="en-US"/>
        </w:rPr>
        <w:t>”.</w:t>
      </w:r>
    </w:p>
    <w:p w14:paraId="742E39FC" w14:textId="77777777" w:rsidR="002D7098" w:rsidRPr="002D7098" w:rsidRDefault="002D7098" w:rsidP="002D7098">
      <w:pPr>
        <w:tabs>
          <w:tab w:val="left" w:pos="709"/>
        </w:tabs>
        <w:ind w:left="567" w:right="567"/>
        <w:jc w:val="both"/>
        <w:rPr>
          <w:rFonts w:ascii="Palatino Linotype" w:eastAsiaTheme="minorHAnsi" w:hAnsi="Palatino Linotype" w:cstheme="minorBidi"/>
          <w:b/>
          <w:i/>
          <w:sz w:val="22"/>
          <w:szCs w:val="22"/>
          <w:lang w:val="es-MX" w:eastAsia="en-US"/>
        </w:rPr>
      </w:pPr>
    </w:p>
    <w:p w14:paraId="2C737BBF" w14:textId="77777777" w:rsidR="002D7098" w:rsidRPr="002D7098" w:rsidRDefault="002D7098" w:rsidP="002D7098">
      <w:pPr>
        <w:tabs>
          <w:tab w:val="left" w:pos="709"/>
        </w:tabs>
        <w:ind w:left="567" w:right="567"/>
        <w:jc w:val="center"/>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sz w:val="22"/>
          <w:szCs w:val="22"/>
          <w:lang w:val="es-MX" w:eastAsia="en-US"/>
        </w:rPr>
        <w:t>Ley General de Transparencia y Acceso a la Información Pública.</w:t>
      </w:r>
    </w:p>
    <w:p w14:paraId="655F2A52"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b/>
          <w:i/>
          <w:sz w:val="22"/>
          <w:szCs w:val="22"/>
          <w:lang w:val="es-MX" w:eastAsia="en-US"/>
        </w:rPr>
        <w:t>Artículo 70.</w:t>
      </w:r>
      <w:r w:rsidRPr="002D7098">
        <w:rPr>
          <w:rFonts w:ascii="Palatino Linotype" w:eastAsiaTheme="minorHAnsi" w:hAnsi="Palatino Linotype" w:cstheme="minorBidi"/>
          <w:i/>
          <w:sz w:val="22"/>
          <w:szCs w:val="22"/>
          <w:lang w:val="es-MX" w:eastAsia="en-US"/>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0EE78720"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b/>
          <w:i/>
          <w:sz w:val="22"/>
          <w:szCs w:val="22"/>
          <w:lang w:val="es-MX" w:eastAsia="en-US"/>
        </w:rPr>
        <w:t>…</w:t>
      </w:r>
    </w:p>
    <w:p w14:paraId="6337895A"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b/>
          <w:i/>
          <w:sz w:val="22"/>
          <w:szCs w:val="22"/>
          <w:lang w:val="es-MX" w:eastAsia="en-US"/>
        </w:rPr>
        <w:t>XVII.</w:t>
      </w:r>
      <w:r w:rsidRPr="002D7098">
        <w:rPr>
          <w:rFonts w:ascii="Palatino Linotype" w:eastAsiaTheme="minorHAnsi" w:hAnsi="Palatino Linotype" w:cstheme="minorBidi"/>
          <w:i/>
          <w:sz w:val="22"/>
          <w:szCs w:val="22"/>
          <w:lang w:val="es-MX" w:eastAsia="en-US"/>
        </w:rPr>
        <w:t xml:space="preserve"> La información curricular, desde el nivel de jefe de departamento o equivalente, hasta el titular del sujeto obligado, así como, en su caso, las sanciones administrativas de que haya sido objeto;</w:t>
      </w:r>
    </w:p>
    <w:p w14:paraId="649D1A69"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b/>
          <w:i/>
          <w:sz w:val="22"/>
          <w:szCs w:val="22"/>
          <w:lang w:val="es-MX" w:eastAsia="en-US"/>
        </w:rPr>
        <w:t>XVIII.</w:t>
      </w:r>
      <w:r w:rsidRPr="002D7098">
        <w:rPr>
          <w:rFonts w:ascii="Palatino Linotype" w:eastAsiaTheme="minorHAnsi" w:hAnsi="Palatino Linotype" w:cstheme="minorBidi"/>
          <w:i/>
          <w:sz w:val="22"/>
          <w:szCs w:val="22"/>
          <w:lang w:val="es-MX" w:eastAsia="en-US"/>
        </w:rPr>
        <w:t xml:space="preserve"> El listado de Servidores Públicos con sanciones administrativas definitivas, especificando la causa de sanción y la disposición;</w:t>
      </w:r>
    </w:p>
    <w:p w14:paraId="7A0B0A61"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p>
    <w:p w14:paraId="149A1C15" w14:textId="77777777" w:rsidR="002D7098" w:rsidRPr="002D7098" w:rsidRDefault="002D7098" w:rsidP="002D7098">
      <w:pPr>
        <w:tabs>
          <w:tab w:val="left" w:pos="709"/>
        </w:tabs>
        <w:ind w:left="567" w:right="567"/>
        <w:jc w:val="center"/>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sz w:val="22"/>
          <w:szCs w:val="22"/>
          <w:lang w:val="es-MX" w:eastAsia="en-US"/>
        </w:rPr>
        <w:t>Ley de Transparencia y Acceso a la Información Pública del Estado de México y Municipios.</w:t>
      </w:r>
    </w:p>
    <w:p w14:paraId="77341A62"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b/>
          <w:i/>
          <w:sz w:val="22"/>
          <w:szCs w:val="22"/>
          <w:lang w:val="es-MX" w:eastAsia="en-US"/>
        </w:rPr>
        <w:t>Artículo 92.</w:t>
      </w:r>
      <w:r w:rsidRPr="002D7098">
        <w:rPr>
          <w:rFonts w:ascii="Palatino Linotype" w:eastAsiaTheme="minorHAnsi" w:hAnsi="Palatino Linotype" w:cstheme="minorBidi"/>
          <w:i/>
          <w:sz w:val="22"/>
          <w:szCs w:val="22"/>
          <w:lang w:val="es-MX"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4E509C1" w14:textId="77777777" w:rsidR="002D7098" w:rsidRPr="002D7098" w:rsidRDefault="002D7098" w:rsidP="002D7098">
      <w:pPr>
        <w:tabs>
          <w:tab w:val="left" w:pos="709"/>
        </w:tabs>
        <w:ind w:left="567" w:right="567"/>
        <w:jc w:val="both"/>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sz w:val="22"/>
          <w:szCs w:val="22"/>
          <w:lang w:val="es-MX" w:eastAsia="en-US"/>
        </w:rPr>
        <w:t>…</w:t>
      </w:r>
    </w:p>
    <w:p w14:paraId="01B3F72D"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b/>
          <w:i/>
          <w:sz w:val="22"/>
          <w:szCs w:val="22"/>
          <w:lang w:val="es-MX" w:eastAsia="en-US"/>
        </w:rPr>
        <w:t>XXII.</w:t>
      </w:r>
      <w:r w:rsidRPr="002D7098">
        <w:rPr>
          <w:rFonts w:ascii="Palatino Linotype" w:eastAsiaTheme="minorHAnsi" w:hAnsi="Palatino Linotype" w:cstheme="minorBidi"/>
          <w:i/>
          <w:sz w:val="22"/>
          <w:szCs w:val="22"/>
          <w:lang w:val="es-MX" w:eastAsia="en-US"/>
        </w:rPr>
        <w:t xml:space="preserve"> El listado de Servidores Públicos con sanciones administrativas definitivas, especificando la causa de sanción y la disposición;</w:t>
      </w:r>
    </w:p>
    <w:p w14:paraId="701E2674"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p>
    <w:p w14:paraId="4FB61752"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p>
    <w:p w14:paraId="17A973D7"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p>
    <w:p w14:paraId="5ACDCAC8" w14:textId="6F8A6141" w:rsidR="002D7098" w:rsidRPr="009F375A" w:rsidRDefault="002D7098" w:rsidP="002D7098">
      <w:pPr>
        <w:tabs>
          <w:tab w:val="left" w:pos="709"/>
        </w:tabs>
        <w:spacing w:line="360" w:lineRule="auto"/>
        <w:jc w:val="both"/>
        <w:rPr>
          <w:rFonts w:ascii="Palatino Linotype" w:eastAsiaTheme="minorHAnsi" w:hAnsi="Palatino Linotype" w:cstheme="minorBidi"/>
          <w:lang w:val="es-MX" w:eastAsia="en-US"/>
        </w:rPr>
      </w:pPr>
      <w:r w:rsidRPr="009F375A">
        <w:rPr>
          <w:rFonts w:ascii="Palatino Linotype" w:eastAsiaTheme="minorHAnsi" w:hAnsi="Palatino Linotype" w:cstheme="minorBidi"/>
          <w:lang w:val="es-MX" w:eastAsia="en-US"/>
        </w:rPr>
        <w:t xml:space="preserve">En tal sentido, en el supuesto de que </w:t>
      </w:r>
      <w:r w:rsidR="007B6430">
        <w:rPr>
          <w:rFonts w:ascii="Palatino Linotype" w:eastAsiaTheme="minorHAnsi" w:hAnsi="Palatino Linotype" w:cstheme="minorBidi"/>
          <w:lang w:val="es-MX" w:eastAsia="en-US"/>
        </w:rPr>
        <w:t>los</w:t>
      </w:r>
      <w:r w:rsidR="00266747" w:rsidRPr="009F375A">
        <w:rPr>
          <w:rFonts w:ascii="Palatino Linotype" w:eastAsiaTheme="minorHAnsi" w:hAnsi="Palatino Linotype" w:cstheme="minorBidi"/>
          <w:lang w:val="es-MX" w:eastAsia="en-US"/>
        </w:rPr>
        <w:t xml:space="preserve"> expedientes formados con motivo de procedimientos administrativo</w:t>
      </w:r>
      <w:r w:rsidR="00266747" w:rsidRPr="009F375A">
        <w:rPr>
          <w:rFonts w:ascii="Palatino Linotype" w:eastAsiaTheme="minorHAnsi" w:hAnsi="Palatino Linotype" w:cs="Arial"/>
          <w:b/>
          <w:lang w:val="es-MX" w:eastAsia="en-US"/>
        </w:rPr>
        <w:t>s</w:t>
      </w:r>
      <w:r w:rsidRPr="009F375A">
        <w:rPr>
          <w:rFonts w:ascii="Palatino Linotype" w:eastAsiaTheme="minorHAnsi" w:hAnsi="Palatino Linotype" w:cstheme="minorBidi"/>
          <w:lang w:val="es-MX" w:eastAsia="en-US"/>
        </w:rPr>
        <w:t xml:space="preserve"> se ajuste</w:t>
      </w:r>
      <w:r w:rsidR="00266747" w:rsidRPr="009F375A">
        <w:rPr>
          <w:rFonts w:ascii="Palatino Linotype" w:eastAsiaTheme="minorHAnsi" w:hAnsi="Palatino Linotype" w:cstheme="minorBidi"/>
          <w:lang w:val="es-MX" w:eastAsia="en-US"/>
        </w:rPr>
        <w:t>n</w:t>
      </w:r>
      <w:r w:rsidRPr="009F375A">
        <w:rPr>
          <w:rFonts w:ascii="Palatino Linotype" w:eastAsiaTheme="minorHAnsi" w:hAnsi="Palatino Linotype" w:cstheme="minorBidi"/>
          <w:lang w:val="es-MX" w:eastAsia="en-US"/>
        </w:rPr>
        <w:t xml:space="preserve"> a las hipótesis establecidos en los artículos de referencia, es decir que </w:t>
      </w:r>
      <w:r w:rsidR="00266747" w:rsidRPr="009F375A">
        <w:rPr>
          <w:rFonts w:ascii="Palatino Linotype" w:eastAsiaTheme="minorHAnsi" w:hAnsi="Palatino Linotype" w:cstheme="minorBidi"/>
          <w:lang w:val="es-MX" w:eastAsia="en-US"/>
        </w:rPr>
        <w:t>en los expedientes en referencia</w:t>
      </w:r>
      <w:r w:rsidRPr="009F375A">
        <w:rPr>
          <w:rFonts w:ascii="Palatino Linotype" w:eastAsiaTheme="minorHAnsi" w:hAnsi="Palatino Linotype" w:cstheme="minorBidi"/>
          <w:lang w:val="es-MX" w:eastAsia="en-US"/>
        </w:rPr>
        <w:t xml:space="preserve"> </w:t>
      </w:r>
      <w:r w:rsidRPr="009F375A">
        <w:rPr>
          <w:rFonts w:ascii="Palatino Linotype" w:eastAsiaTheme="minorHAnsi" w:hAnsi="Palatino Linotype" w:cstheme="minorBidi"/>
          <w:b/>
          <w:lang w:val="es-MX" w:eastAsia="en-US"/>
        </w:rPr>
        <w:t>contenga</w:t>
      </w:r>
      <w:r w:rsidR="00266747" w:rsidRPr="009F375A">
        <w:rPr>
          <w:rFonts w:ascii="Palatino Linotype" w:eastAsiaTheme="minorHAnsi" w:hAnsi="Palatino Linotype" w:cstheme="minorBidi"/>
          <w:b/>
          <w:lang w:val="es-MX" w:eastAsia="en-US"/>
        </w:rPr>
        <w:t>n</w:t>
      </w:r>
      <w:r w:rsidRPr="009F375A">
        <w:rPr>
          <w:rFonts w:ascii="Palatino Linotype" w:eastAsiaTheme="minorHAnsi" w:hAnsi="Palatino Linotype" w:cstheme="minorBidi"/>
          <w:b/>
          <w:lang w:val="es-MX" w:eastAsia="en-US"/>
        </w:rPr>
        <w:t xml:space="preserve"> resolución con sanción  por responsabilidad administrativa por motivo de una faltas administrativas graves, y la misma hayan causado estado,</w:t>
      </w:r>
      <w:r w:rsidRPr="009F375A">
        <w:rPr>
          <w:rFonts w:ascii="Palatino Linotype" w:eastAsiaTheme="minorHAnsi" w:hAnsi="Palatino Linotype" w:cstheme="minorBidi"/>
          <w:lang w:val="es-MX" w:eastAsia="en-US"/>
        </w:rPr>
        <w:t xml:space="preserve"> </w:t>
      </w:r>
      <w:r w:rsidRPr="009F375A">
        <w:rPr>
          <w:rFonts w:ascii="Palatino Linotype" w:eastAsiaTheme="minorHAnsi" w:hAnsi="Palatino Linotype" w:cstheme="minorBidi"/>
          <w:b/>
          <w:lang w:val="es-MX" w:eastAsia="en-US"/>
        </w:rPr>
        <w:t xml:space="preserve">debe ser considerado como información pública, </w:t>
      </w:r>
      <w:r w:rsidRPr="009F375A">
        <w:rPr>
          <w:rFonts w:ascii="Palatino Linotype" w:eastAsiaTheme="minorHAnsi" w:hAnsi="Palatino Linotype" w:cstheme="minorBidi"/>
          <w:lang w:val="es-MX" w:eastAsia="en-US"/>
        </w:rPr>
        <w:t>por lo que la misma es susceptible de ser entregada la cual incluye el nombre de servidores públicos sancionados, las sanciones administrativas de que haya sido objeto, la causa y la disposición legal, por lo que en tal caso a consideración de esta ponencia resulta procedente la entrega de la información derivado de la solicitudes de acceso de referencia, siempre que dichas sanciones se encuentren firmes.</w:t>
      </w:r>
    </w:p>
    <w:p w14:paraId="23E94608" w14:textId="77777777" w:rsidR="002D7098" w:rsidRPr="002D7098" w:rsidRDefault="002D7098" w:rsidP="002D7098">
      <w:pPr>
        <w:tabs>
          <w:tab w:val="left" w:pos="709"/>
        </w:tabs>
        <w:spacing w:line="360" w:lineRule="auto"/>
        <w:jc w:val="both"/>
        <w:rPr>
          <w:rFonts w:ascii="Palatino Linotype" w:eastAsiaTheme="minorHAnsi" w:hAnsi="Palatino Linotype" w:cstheme="minorBidi"/>
          <w:b/>
          <w:lang w:val="es-MX" w:eastAsia="en-US"/>
        </w:rPr>
      </w:pPr>
    </w:p>
    <w:p w14:paraId="47305F8C"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r w:rsidRPr="002D7098">
        <w:rPr>
          <w:rFonts w:ascii="Palatino Linotype" w:eastAsiaTheme="minorHAnsi" w:hAnsi="Palatino Linotype" w:cstheme="minorBidi"/>
          <w:lang w:val="es-MX" w:eastAsia="en-US"/>
        </w:rPr>
        <w:t>Correlativo a lo anterior, los artículos 53, párrafo segundo de la Ley General del Sistema Nacional Anticorrupción, 53, párrafo segundo de la Ley del Sistema Anticorrupción del Estado de México y 27, párrafo cuarto, segundo supuesto de la Ley General de Responsabilidades administrativas, señalan que los registros de las sanciones relativas a responsabilidades administrativas no graves, quedarán registradas para efectos de eventual reincidencia, pero no serán públicas, porciones legales cuyo contenido literal es el siguiente:</w:t>
      </w:r>
    </w:p>
    <w:p w14:paraId="25CE5201"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p>
    <w:p w14:paraId="772CC986" w14:textId="77777777" w:rsidR="002D7098" w:rsidRPr="002D7098" w:rsidRDefault="002D7098" w:rsidP="002D7098">
      <w:pPr>
        <w:tabs>
          <w:tab w:val="left" w:pos="709"/>
        </w:tabs>
        <w:spacing w:line="360" w:lineRule="auto"/>
        <w:ind w:left="567" w:right="567"/>
        <w:jc w:val="center"/>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sz w:val="22"/>
          <w:szCs w:val="22"/>
          <w:lang w:val="es-MX" w:eastAsia="en-US"/>
        </w:rPr>
        <w:t>Ley General del Sistema Nacional Anticorrupción</w:t>
      </w:r>
    </w:p>
    <w:p w14:paraId="0C3C1FBB" w14:textId="77777777" w:rsidR="002D7098" w:rsidRPr="002D7098" w:rsidRDefault="002D7098" w:rsidP="002D7098">
      <w:pPr>
        <w:tabs>
          <w:tab w:val="left" w:pos="709"/>
        </w:tabs>
        <w:spacing w:line="360" w:lineRule="auto"/>
        <w:ind w:left="567" w:right="567"/>
        <w:jc w:val="both"/>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sz w:val="22"/>
          <w:szCs w:val="22"/>
          <w:lang w:val="es-MX" w:eastAsia="en-US"/>
        </w:rPr>
        <w:t>“53…</w:t>
      </w:r>
    </w:p>
    <w:p w14:paraId="7999FAC2" w14:textId="77777777" w:rsidR="002D7098" w:rsidRPr="002D7098" w:rsidRDefault="002D7098" w:rsidP="002D7098">
      <w:pPr>
        <w:tabs>
          <w:tab w:val="left" w:pos="709"/>
        </w:tabs>
        <w:spacing w:line="360" w:lineRule="auto"/>
        <w:ind w:left="567" w:right="567"/>
        <w:jc w:val="both"/>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i/>
          <w:sz w:val="22"/>
          <w:szCs w:val="22"/>
          <w:lang w:val="es-MX" w:eastAsia="en-US"/>
        </w:rPr>
        <w:t>Los registros de las sanciones relativas a responsabilidades administrativas no graves, quedarán registradas para efectos de eventual reincidencia, pero no serán públicas</w:t>
      </w:r>
      <w:r w:rsidRPr="002D7098">
        <w:rPr>
          <w:rFonts w:ascii="Palatino Linotype" w:eastAsiaTheme="minorHAnsi" w:hAnsi="Palatino Linotype" w:cstheme="minorBidi"/>
          <w:b/>
          <w:i/>
          <w:sz w:val="22"/>
          <w:szCs w:val="22"/>
          <w:lang w:val="es-MX" w:eastAsia="en-US"/>
        </w:rPr>
        <w:t xml:space="preserve">...” </w:t>
      </w:r>
    </w:p>
    <w:p w14:paraId="2335DCAA" w14:textId="77777777" w:rsidR="002D7098" w:rsidRPr="002D7098" w:rsidRDefault="002D7098" w:rsidP="002D7098">
      <w:pPr>
        <w:tabs>
          <w:tab w:val="left" w:pos="709"/>
        </w:tabs>
        <w:spacing w:line="360" w:lineRule="auto"/>
        <w:ind w:left="567" w:right="567"/>
        <w:jc w:val="both"/>
        <w:rPr>
          <w:rFonts w:ascii="Palatino Linotype" w:eastAsiaTheme="minorHAnsi" w:hAnsi="Palatino Linotype" w:cstheme="minorBidi"/>
          <w:b/>
          <w:i/>
          <w:sz w:val="22"/>
          <w:szCs w:val="22"/>
          <w:lang w:val="es-MX" w:eastAsia="en-US"/>
        </w:rPr>
      </w:pPr>
    </w:p>
    <w:p w14:paraId="645F26B8" w14:textId="77777777" w:rsidR="002D7098" w:rsidRPr="002D7098" w:rsidRDefault="002D7098" w:rsidP="002D7098">
      <w:pPr>
        <w:tabs>
          <w:tab w:val="left" w:pos="709"/>
        </w:tabs>
        <w:spacing w:line="360" w:lineRule="auto"/>
        <w:ind w:left="567" w:right="567"/>
        <w:jc w:val="center"/>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sz w:val="22"/>
          <w:szCs w:val="22"/>
          <w:lang w:val="es-MX" w:eastAsia="en-US"/>
        </w:rPr>
        <w:t>Ley del Sistema Anticorrupción del Estado de México</w:t>
      </w:r>
    </w:p>
    <w:p w14:paraId="315D4D31" w14:textId="77777777" w:rsidR="002D7098" w:rsidRPr="002D7098" w:rsidRDefault="002D7098" w:rsidP="002D7098">
      <w:pPr>
        <w:tabs>
          <w:tab w:val="left" w:pos="709"/>
        </w:tabs>
        <w:spacing w:line="360" w:lineRule="auto"/>
        <w:ind w:left="567" w:right="567"/>
        <w:jc w:val="both"/>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sz w:val="22"/>
          <w:szCs w:val="22"/>
          <w:lang w:val="es-MX" w:eastAsia="en-US"/>
        </w:rPr>
        <w:t>“53…</w:t>
      </w:r>
    </w:p>
    <w:p w14:paraId="63671D4D" w14:textId="77777777" w:rsidR="002D7098" w:rsidRPr="002D7098" w:rsidRDefault="002D7098" w:rsidP="002D7098">
      <w:pPr>
        <w:tabs>
          <w:tab w:val="left" w:pos="709"/>
        </w:tabs>
        <w:spacing w:line="360" w:lineRule="auto"/>
        <w:ind w:left="567" w:right="567"/>
        <w:jc w:val="both"/>
        <w:rPr>
          <w:rFonts w:ascii="Palatino Linotype" w:eastAsiaTheme="minorHAnsi" w:hAnsi="Palatino Linotype" w:cstheme="minorBidi"/>
          <w:sz w:val="22"/>
          <w:szCs w:val="22"/>
          <w:lang w:val="es-MX" w:eastAsia="en-US"/>
        </w:rPr>
      </w:pPr>
      <w:r w:rsidRPr="002D7098">
        <w:rPr>
          <w:rFonts w:ascii="Palatino Linotype" w:eastAsiaTheme="minorHAnsi" w:hAnsi="Palatino Linotype" w:cstheme="minorBidi"/>
          <w:sz w:val="22"/>
          <w:szCs w:val="22"/>
          <w:lang w:val="es-MX" w:eastAsia="en-US"/>
        </w:rPr>
        <w:t>Los registros de las sanciones relativas a responsabilidades administrativas no graves, quedarán registradas para efectos de eventual reincidencia, pero no serán públicas…”</w:t>
      </w:r>
    </w:p>
    <w:p w14:paraId="05DBFE46" w14:textId="77777777" w:rsidR="002D7098" w:rsidRPr="002D7098" w:rsidRDefault="002D7098" w:rsidP="002D7098">
      <w:pPr>
        <w:tabs>
          <w:tab w:val="left" w:pos="709"/>
        </w:tabs>
        <w:spacing w:line="360" w:lineRule="auto"/>
        <w:ind w:left="567" w:right="567"/>
        <w:jc w:val="both"/>
        <w:rPr>
          <w:rFonts w:ascii="Palatino Linotype" w:eastAsiaTheme="minorHAnsi" w:hAnsi="Palatino Linotype" w:cstheme="minorBidi"/>
          <w:sz w:val="22"/>
          <w:szCs w:val="22"/>
          <w:lang w:val="es-MX" w:eastAsia="en-US"/>
        </w:rPr>
      </w:pPr>
    </w:p>
    <w:p w14:paraId="63B67B19" w14:textId="77777777" w:rsidR="002D7098" w:rsidRPr="002D7098" w:rsidRDefault="002D7098" w:rsidP="002D7098">
      <w:pPr>
        <w:tabs>
          <w:tab w:val="left" w:pos="709"/>
        </w:tabs>
        <w:spacing w:line="360" w:lineRule="auto"/>
        <w:ind w:left="567" w:right="567"/>
        <w:jc w:val="center"/>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sz w:val="22"/>
          <w:szCs w:val="22"/>
          <w:lang w:val="es-MX" w:eastAsia="en-US"/>
        </w:rPr>
        <w:t>Ley General de Responsabilidades Administrativas</w:t>
      </w:r>
    </w:p>
    <w:p w14:paraId="6A9D6CB5" w14:textId="77777777" w:rsidR="002D7098" w:rsidRPr="002D7098" w:rsidRDefault="002D7098" w:rsidP="002D7098">
      <w:pPr>
        <w:tabs>
          <w:tab w:val="left" w:pos="709"/>
        </w:tabs>
        <w:spacing w:line="360" w:lineRule="auto"/>
        <w:ind w:left="567" w:right="567"/>
        <w:jc w:val="both"/>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sz w:val="22"/>
          <w:szCs w:val="22"/>
          <w:lang w:val="es-MX" w:eastAsia="en-US"/>
        </w:rPr>
        <w:t>“27…</w:t>
      </w:r>
    </w:p>
    <w:p w14:paraId="34605AE9" w14:textId="77777777" w:rsidR="002D7098" w:rsidRPr="002D7098" w:rsidRDefault="002D7098" w:rsidP="002D7098">
      <w:pPr>
        <w:tabs>
          <w:tab w:val="left" w:pos="709"/>
        </w:tabs>
        <w:spacing w:line="360" w:lineRule="auto"/>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i/>
          <w:sz w:val="22"/>
          <w:szCs w:val="22"/>
          <w:lang w:val="es-MX" w:eastAsia="en-US"/>
        </w:rPr>
        <w:t>así como la anotación de aquellas abstenciones que hayan realizado las autoridades investigadoras o el Tribunal, en términos de los artículos 77 y 80 de esta Ley”.</w:t>
      </w:r>
    </w:p>
    <w:p w14:paraId="6F8C597C" w14:textId="77777777" w:rsidR="002D7098" w:rsidRPr="002D7098" w:rsidRDefault="002D7098" w:rsidP="002D7098">
      <w:pPr>
        <w:tabs>
          <w:tab w:val="left" w:pos="709"/>
        </w:tabs>
        <w:spacing w:line="360" w:lineRule="auto"/>
        <w:ind w:right="567"/>
        <w:jc w:val="both"/>
        <w:rPr>
          <w:rFonts w:ascii="Palatino Linotype" w:eastAsiaTheme="minorHAnsi" w:hAnsi="Palatino Linotype" w:cstheme="minorBidi"/>
          <w:sz w:val="22"/>
          <w:szCs w:val="22"/>
          <w:lang w:val="es-MX" w:eastAsia="en-US"/>
        </w:rPr>
      </w:pPr>
    </w:p>
    <w:p w14:paraId="7651D6C4"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r w:rsidRPr="002D7098">
        <w:rPr>
          <w:rFonts w:ascii="Palatino Linotype" w:eastAsiaTheme="minorHAnsi" w:hAnsi="Palatino Linotype" w:cstheme="minorBidi"/>
          <w:lang w:val="es-MX" w:eastAsia="en-US"/>
        </w:rPr>
        <w:t>De los preceptos legales anteriores se pueden advertir dos supuestos: el primero con fundamento en los artículos 53, párrafo segundo de la Ley General del Sistema Nacional Anticorrupción, 53, párrafo segundo de la Ley del Sistema Anticorrupción del Estado de México, en la cual se advierte que respecto a expedientes que contienen procedimientos de responsabilidad administrativa originados por motivo de faltas administrativas no graves, en las que se haya determinado imponer alguna sanción, por determinación de la ley las mismas no son consideradas públicas.</w:t>
      </w:r>
    </w:p>
    <w:p w14:paraId="3CA90C9F"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p>
    <w:p w14:paraId="3C560D7F" w14:textId="77777777" w:rsidR="002D7098" w:rsidRDefault="002D7098" w:rsidP="002D7098">
      <w:pPr>
        <w:tabs>
          <w:tab w:val="left" w:pos="709"/>
        </w:tabs>
        <w:spacing w:line="360" w:lineRule="auto"/>
        <w:jc w:val="both"/>
        <w:rPr>
          <w:rFonts w:ascii="Palatino Linotype" w:eastAsiaTheme="minorHAnsi" w:hAnsi="Palatino Linotype" w:cstheme="minorBidi"/>
          <w:lang w:val="es-MX" w:eastAsia="en-US"/>
        </w:rPr>
      </w:pPr>
      <w:r w:rsidRPr="002D7098">
        <w:rPr>
          <w:rFonts w:ascii="Palatino Linotype" w:eastAsiaTheme="minorHAnsi" w:hAnsi="Palatino Linotype" w:cstheme="minorBidi"/>
          <w:lang w:val="es-MX" w:eastAsia="en-US"/>
        </w:rPr>
        <w:t>Correlativo a lo anterior, con fundamento en el artículo 27, párrafo cuarto, segundo supuesto de la Ley General de Responsabilidades Administrativas, se determina que los expedientes que contienen abstenciones derivadas de investigaciones o procedimientos de responsabilidad administrativa originados por faltas administrativas no graves, no se harán públicas.</w:t>
      </w:r>
    </w:p>
    <w:p w14:paraId="0831BF13" w14:textId="77777777" w:rsidR="009F375A" w:rsidRDefault="009F375A" w:rsidP="002D7098">
      <w:pPr>
        <w:tabs>
          <w:tab w:val="left" w:pos="709"/>
        </w:tabs>
        <w:spacing w:line="360" w:lineRule="auto"/>
        <w:jc w:val="both"/>
        <w:rPr>
          <w:rFonts w:ascii="Palatino Linotype" w:eastAsiaTheme="minorHAnsi" w:hAnsi="Palatino Linotype" w:cstheme="minorBidi"/>
          <w:lang w:val="es-MX" w:eastAsia="en-US"/>
        </w:rPr>
      </w:pPr>
    </w:p>
    <w:p w14:paraId="777BE5EF" w14:textId="51E60182" w:rsidR="009F375A" w:rsidRPr="002D7098" w:rsidRDefault="009F375A" w:rsidP="009F375A">
      <w:pPr>
        <w:tabs>
          <w:tab w:val="left" w:pos="709"/>
        </w:tabs>
        <w:spacing w:line="360" w:lineRule="auto"/>
        <w:jc w:val="both"/>
        <w:rPr>
          <w:rFonts w:ascii="Palatino Linotype" w:eastAsiaTheme="minorHAnsi" w:hAnsi="Palatino Linotype" w:cstheme="minorBidi"/>
          <w:lang w:val="es-MX" w:eastAsia="en-US"/>
        </w:rPr>
      </w:pPr>
      <w:r w:rsidRPr="00C90B9B">
        <w:rPr>
          <w:rFonts w:ascii="Palatino Linotype" w:eastAsiaTheme="minorHAnsi" w:hAnsi="Palatino Linotype" w:cstheme="minorBidi"/>
          <w:lang w:val="es-MX" w:eastAsia="en-US"/>
        </w:rPr>
        <w:t>Finalmente, para el caso de los procedimientos de sanciones graves absolutorias, concluidos, se procederá a su acceso en versión pública, protegiendo el nombre, cargo y área de adscripción del Servidor Público absuelto y aquellos datos personales que hagan identificable a una persona, toda vez que la información solicitada, se relaciona con servidores públicos en específico, los cuales al no haber recibido alguna sanción por posibles responsabilidades, se procede a clasificar como confidencial el nombre y cargo del servidor público, al poder causar un perjuicio a la vida privada de estos.</w:t>
      </w:r>
    </w:p>
    <w:p w14:paraId="4C50A3E4" w14:textId="77777777" w:rsidR="002D7098" w:rsidRPr="002D7098" w:rsidRDefault="002D7098" w:rsidP="002D7098">
      <w:pPr>
        <w:tabs>
          <w:tab w:val="left" w:pos="709"/>
        </w:tabs>
        <w:spacing w:line="360" w:lineRule="auto"/>
        <w:jc w:val="both"/>
        <w:rPr>
          <w:rFonts w:ascii="Palatino Linotype" w:eastAsiaTheme="minorHAnsi" w:hAnsi="Palatino Linotype" w:cstheme="minorBidi"/>
          <w:b/>
          <w:lang w:val="es-MX" w:eastAsia="en-US"/>
        </w:rPr>
      </w:pPr>
    </w:p>
    <w:p w14:paraId="4CAC4B1A" w14:textId="1CE2B1CF"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r w:rsidRPr="002D7098">
        <w:rPr>
          <w:rFonts w:ascii="Palatino Linotype" w:eastAsiaTheme="minorHAnsi" w:hAnsi="Palatino Linotype" w:cstheme="minorBidi"/>
          <w:lang w:val="es-MX" w:eastAsia="en-US"/>
        </w:rPr>
        <w:t>Bajo este contexto, se considera que en el supuesto de que la información se encuentre en alguno de los supuestos antes establecidos, el Sujeto Obligado deberá clasificar la información, emitiendo en su caso el acuerdo correspondiente</w:t>
      </w:r>
      <w:r w:rsidRPr="002D7098">
        <w:rPr>
          <w:rFonts w:ascii="Palatino Linotype" w:eastAsiaTheme="minorHAnsi" w:hAnsi="Palatino Linotype" w:cstheme="minorBidi"/>
          <w:b/>
          <w:lang w:val="es-MX" w:eastAsia="en-US"/>
        </w:rPr>
        <w:t xml:space="preserve">, </w:t>
      </w:r>
      <w:r w:rsidRPr="002D7098">
        <w:rPr>
          <w:rFonts w:ascii="Palatino Linotype" w:eastAsiaTheme="minorHAnsi" w:hAnsi="Palatino Linotype" w:cstheme="minorBidi"/>
          <w:lang w:val="es-MX" w:eastAsia="en-US"/>
        </w:rPr>
        <w:t xml:space="preserve">tomando en consideración </w:t>
      </w:r>
      <w:r w:rsidR="00A23FAD" w:rsidRPr="002D7098">
        <w:rPr>
          <w:rFonts w:ascii="Palatino Linotype" w:eastAsiaTheme="minorHAnsi" w:hAnsi="Palatino Linotype" w:cstheme="minorBidi"/>
          <w:lang w:val="es-MX" w:eastAsia="en-US"/>
        </w:rPr>
        <w:t>que,</w:t>
      </w:r>
      <w:r w:rsidRPr="002D7098">
        <w:rPr>
          <w:rFonts w:ascii="Palatino Linotype" w:eastAsiaTheme="minorHAnsi" w:hAnsi="Palatino Linotype" w:cstheme="minorBidi"/>
          <w:lang w:val="es-MX" w:eastAsia="en-US"/>
        </w:rPr>
        <w:t xml:space="preserve"> de proporcionar el nombre de los servidores públicos relacionados al procedimiento de responsabilidades administrativas por faltas no graves, podría afectar su</w:t>
      </w:r>
      <w:r w:rsidR="009F375A">
        <w:rPr>
          <w:rFonts w:ascii="Palatino Linotype" w:eastAsiaTheme="minorHAnsi" w:hAnsi="Palatino Linotype" w:cstheme="minorBidi"/>
          <w:lang w:val="es-MX" w:eastAsia="en-US"/>
        </w:rPr>
        <w:t xml:space="preserve"> honor, buen nombre y su imagen.</w:t>
      </w:r>
    </w:p>
    <w:p w14:paraId="08CA0628"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p>
    <w:p w14:paraId="495ADA9D"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r w:rsidRPr="002D7098">
        <w:rPr>
          <w:rFonts w:ascii="Palatino Linotype" w:eastAsiaTheme="minorHAnsi" w:hAnsi="Palatino Linotype" w:cstheme="minorBidi"/>
          <w:lang w:val="es-MX" w:eastAsia="en-US"/>
        </w:rPr>
        <w:t>Al respecto, la Suprema Corte de Justicia de la Nación ha reconocido como derechos fundamentales de las personas, el derecho a la intimidad y a la propia imagen, en el siguiente criterio:</w:t>
      </w:r>
    </w:p>
    <w:p w14:paraId="3D8187B6"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p>
    <w:p w14:paraId="2D402051" w14:textId="77777777" w:rsidR="002D7098" w:rsidRPr="002D7098" w:rsidRDefault="002D7098" w:rsidP="00A23FAD">
      <w:pPr>
        <w:tabs>
          <w:tab w:val="left" w:pos="709"/>
        </w:tabs>
        <w:ind w:left="851" w:right="851"/>
        <w:jc w:val="both"/>
        <w:rPr>
          <w:rFonts w:ascii="Palatino Linotype" w:eastAsiaTheme="minorHAnsi" w:hAnsi="Palatino Linotype" w:cstheme="minorBidi"/>
          <w:sz w:val="22"/>
          <w:szCs w:val="22"/>
          <w:lang w:val="es-MX" w:eastAsia="en-US"/>
        </w:rPr>
      </w:pPr>
      <w:r w:rsidRPr="002D7098">
        <w:rPr>
          <w:rFonts w:ascii="Palatino Linotype" w:eastAsiaTheme="minorHAnsi" w:hAnsi="Palatino Linotype" w:cstheme="minorBidi"/>
          <w:sz w:val="22"/>
          <w:szCs w:val="22"/>
          <w:lang w:val="es-MX" w:eastAsia="en-US"/>
        </w:rPr>
        <w:t>“</w:t>
      </w:r>
      <w:r w:rsidRPr="002D7098">
        <w:rPr>
          <w:rFonts w:ascii="Palatino Linotype" w:eastAsiaTheme="minorHAnsi" w:hAnsi="Palatino Linotype" w:cstheme="minorBidi"/>
          <w:b/>
          <w:bCs/>
          <w:sz w:val="22"/>
          <w:szCs w:val="22"/>
          <w:lang w:val="es-MX" w:eastAsia="en-US"/>
        </w:rPr>
        <w:t>DERECHOS A LA INTIMIDAD, PROPIA IMAGEN, IDENTIDAD PERSONAL Y SEXUAL. CONSTITUYEN DERECHOS DE DEFENSA Y GARANTÍA ESENCIAL PARA LA CONDICIÓN HUMANA</w:t>
      </w:r>
      <w:r w:rsidRPr="002D7098">
        <w:rPr>
          <w:rFonts w:ascii="Palatino Linotype" w:eastAsiaTheme="minorHAnsi" w:hAnsi="Palatino Linotype" w:cstheme="minorBidi"/>
          <w:sz w:val="22"/>
          <w:szCs w:val="22"/>
          <w:lang w:val="es-MX" w:eastAsia="en-US"/>
        </w:rPr>
        <w:t>.  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p>
    <w:p w14:paraId="10249D0B"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r w:rsidRPr="002D7098">
        <w:rPr>
          <w:rFonts w:ascii="Palatino Linotype" w:eastAsiaTheme="minorHAnsi" w:hAnsi="Palatino Linotype" w:cstheme="minorBidi"/>
          <w:lang w:val="es-MX" w:eastAsia="en-US"/>
        </w:rPr>
        <w:t xml:space="preserve"> </w:t>
      </w:r>
    </w:p>
    <w:p w14:paraId="67A96BC3" w14:textId="7654C029"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r w:rsidRPr="002D7098">
        <w:rPr>
          <w:rFonts w:ascii="Palatino Linotype" w:eastAsiaTheme="minorHAnsi" w:hAnsi="Palatino Linotype" w:cstheme="minorBidi"/>
          <w:lang w:val="es-MX" w:eastAsia="en-US"/>
        </w:rPr>
        <w:t xml:space="preserve">En ese sentido, se puede hacer notar el derecho de todo individuo a no ser conocido por otros en ciertos aspectos de su vida y, por ende, el poder de decisión sobre la publicidad o información de datos relativos a su persona (derecho a la intimidad), aunado </w:t>
      </w:r>
      <w:r w:rsidR="00A23FAD" w:rsidRPr="002D7098">
        <w:rPr>
          <w:rFonts w:ascii="Palatino Linotype" w:eastAsiaTheme="minorHAnsi" w:hAnsi="Palatino Linotype" w:cstheme="minorBidi"/>
          <w:lang w:val="es-MX" w:eastAsia="en-US"/>
        </w:rPr>
        <w:t>al derecho</w:t>
      </w:r>
      <w:r w:rsidRPr="002D7098">
        <w:rPr>
          <w:rFonts w:ascii="Palatino Linotype" w:eastAsiaTheme="minorHAnsi" w:hAnsi="Palatino Linotype" w:cstheme="minorBidi"/>
          <w:lang w:val="es-MX" w:eastAsia="en-US"/>
        </w:rPr>
        <w:t xml:space="preserve"> a la propia imagen es el derecho de decidir, de forma libre, sobre la manera en que elige mostrarse frente a los demás.</w:t>
      </w:r>
    </w:p>
    <w:p w14:paraId="6997FD97"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p>
    <w:p w14:paraId="06E87D53"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r w:rsidRPr="002D7098">
        <w:rPr>
          <w:rFonts w:ascii="Palatino Linotype" w:eastAsiaTheme="minorHAnsi" w:hAnsi="Palatino Linotype" w:cstheme="minorBidi"/>
          <w:lang w:val="es-MX" w:eastAsia="en-US"/>
        </w:rPr>
        <w:t>Por lo expuesto, se desprende que dar a conocer el nombre del servidor público de un procedimiento de responsabilidad administrativa no grave, constituye información confidencial que afecta su esfera privada, puesto que podría generar una percepción negativa de este, ocasionando un perjuicio en su honor, intimidad y buena imagen, pues como se precisó la afectación es para el propio servidor público, situación que no afecta a terceros.</w:t>
      </w:r>
    </w:p>
    <w:p w14:paraId="201C891C"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p>
    <w:p w14:paraId="01C4B43E" w14:textId="3D76523D"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r w:rsidRPr="002D7098">
        <w:rPr>
          <w:rFonts w:ascii="Palatino Linotype" w:eastAsiaTheme="minorHAnsi" w:hAnsi="Palatino Linotype" w:cstheme="minorBidi"/>
          <w:lang w:val="es-MX" w:eastAsia="en-US"/>
        </w:rPr>
        <w:t xml:space="preserve">Finalmente, no pasa desapercibido que respecto a la información que da cuenta de lo solicitado, que en el presente caso </w:t>
      </w:r>
      <w:r w:rsidR="00C91203" w:rsidRPr="00C91203">
        <w:rPr>
          <w:rFonts w:ascii="Palatino Linotype" w:eastAsiaTheme="minorHAnsi" w:hAnsi="Palatino Linotype" w:cstheme="minorBidi"/>
          <w:color w:val="000000"/>
          <w:lang w:val="es-MX" w:eastAsia="en-US"/>
        </w:rPr>
        <w:t>los expedientes formados con motivo de procedimientos de responsabilidad administrativa que se encuentren en proceso investigación y los que se encuentren en responsabilidad, del periodo comprendido del 09 de febrero de 2021 al 09 de febrero de 2022</w:t>
      </w:r>
      <w:r w:rsidRPr="002D7098">
        <w:rPr>
          <w:rFonts w:ascii="Palatino Linotype" w:eastAsiaTheme="minorHAnsi" w:hAnsi="Palatino Linotype" w:cstheme="minorBidi"/>
          <w:color w:val="000000"/>
          <w:lang w:val="es-MX" w:eastAsia="en-US"/>
        </w:rPr>
        <w:t>,</w:t>
      </w:r>
      <w:r w:rsidRPr="002D7098">
        <w:rPr>
          <w:rFonts w:ascii="Palatino Linotype" w:eastAsiaTheme="minorHAnsi" w:hAnsi="Palatino Linotype" w:cstheme="minorBidi"/>
          <w:lang w:val="es-MX" w:eastAsia="en-US"/>
        </w:rPr>
        <w:t xml:space="preserve"> podría contener datos confidenciales; por lo que, en su caso, deberá entregar versión pública en la que se eliminen estos, junto con el acuerdo del Comité de Transparencia, en el que funde y motive la eliminación de la información, de conformidad con lo establecido en los artículos 49, fracciones II y VIII, 128, 132, fracción I, 138, 143 y 149 de la Ley de Transparencia y Acceso a la Información Pública de Estado de México y Municipios.</w:t>
      </w:r>
    </w:p>
    <w:p w14:paraId="7243636C"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p>
    <w:p w14:paraId="1E4A0938"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p>
    <w:p w14:paraId="195071CD" w14:textId="77777777" w:rsidR="002D7098" w:rsidRPr="002D7098" w:rsidRDefault="002D7098" w:rsidP="002D7098">
      <w:pPr>
        <w:spacing w:line="360" w:lineRule="auto"/>
        <w:jc w:val="both"/>
        <w:rPr>
          <w:rFonts w:asciiTheme="minorHAnsi" w:eastAsiaTheme="minorHAnsi" w:hAnsiTheme="minorHAnsi" w:cs="Arial"/>
          <w:sz w:val="22"/>
          <w:szCs w:val="22"/>
          <w:lang w:val="es-MX" w:eastAsia="en-US"/>
        </w:rPr>
      </w:pPr>
      <w:r w:rsidRPr="002D7098">
        <w:rPr>
          <w:rFonts w:ascii="Palatino Linotype" w:eastAsiaTheme="minorHAnsi" w:hAnsi="Palatino Linotype" w:cstheme="minorBidi"/>
          <w:b/>
          <w:i/>
          <w:sz w:val="28"/>
          <w:szCs w:val="28"/>
          <w:u w:val="single"/>
          <w:lang w:val="es-MX" w:eastAsia="en-US"/>
        </w:rPr>
        <w:t>De la Versión Pública.</w:t>
      </w:r>
    </w:p>
    <w:p w14:paraId="3E2A91C0" w14:textId="77777777" w:rsidR="002D7098" w:rsidRPr="002D7098" w:rsidRDefault="002D7098" w:rsidP="002D7098">
      <w:pPr>
        <w:autoSpaceDE w:val="0"/>
        <w:autoSpaceDN w:val="0"/>
        <w:adjustRightInd w:val="0"/>
        <w:spacing w:line="360" w:lineRule="auto"/>
        <w:jc w:val="both"/>
        <w:rPr>
          <w:rFonts w:ascii="Palatino Linotype" w:hAnsi="Palatino Linotype" w:cs="Arial"/>
        </w:rPr>
      </w:pPr>
      <w:r w:rsidRPr="002D7098">
        <w:rPr>
          <w:rFonts w:ascii="Palatino Linotype" w:eastAsiaTheme="minorHAnsi" w:hAnsi="Palatino Linotype" w:cs="Arial"/>
          <w:lang w:val="es-MX" w:eastAsia="en-US"/>
        </w:rPr>
        <w:t xml:space="preserve">Debido a que la información requerida se destaca que de acuerdo con la naturaleza de la información, amerita la elaboración de una versión pública, </w:t>
      </w:r>
      <w:r w:rsidRPr="002D7098">
        <w:rPr>
          <w:rFonts w:ascii="Palatino Linotype" w:eastAsia="Arial Unicode MS" w:hAnsi="Palatino Linotype" w:cs="Arial"/>
        </w:rPr>
        <w:t>esto es, omitirá, eliminará o suprimirá la información personal de los servidores públicos sujetos a evaluación, e</w:t>
      </w:r>
      <w:r w:rsidRPr="002D7098">
        <w:rPr>
          <w:rFonts w:ascii="Palatino Linotype" w:hAnsi="Palatino Linotype"/>
        </w:rPr>
        <w:t xml:space="preserve">n el caso específico en dichos documentos pueden obran datos que son considerados confidenciales, cuyo acceso debe ser restringido, los cuales </w:t>
      </w:r>
      <w:r w:rsidRPr="002D7098">
        <w:rPr>
          <w:rFonts w:ascii="Palatino Linotype" w:hAnsi="Palatino Linotype" w:cs="Arial"/>
        </w:rPr>
        <w:t xml:space="preserve">deben testarse al momento de la elaboración de versiones públicas, como es el caso del </w:t>
      </w:r>
      <w:r w:rsidRPr="002D7098">
        <w:rPr>
          <w:rFonts w:ascii="Palatino Linotype" w:hAnsi="Palatino Linotype" w:cs="Arial"/>
          <w:b/>
        </w:rPr>
        <w:t>Registro Federal de Contribuyentes</w:t>
      </w:r>
      <w:r w:rsidRPr="002D7098">
        <w:rPr>
          <w:rFonts w:ascii="Palatino Linotype" w:hAnsi="Palatino Linotype" w:cs="Arial"/>
        </w:rPr>
        <w:t xml:space="preserve"> (RFC), la </w:t>
      </w:r>
      <w:r w:rsidRPr="002D7098">
        <w:rPr>
          <w:rFonts w:ascii="Palatino Linotype" w:hAnsi="Palatino Linotype" w:cs="Arial"/>
          <w:b/>
        </w:rPr>
        <w:t>Clave Única de Registro de Población</w:t>
      </w:r>
      <w:r w:rsidRPr="002D7098">
        <w:rPr>
          <w:rFonts w:ascii="Palatino Linotype" w:hAnsi="Palatino Linotype" w:cs="Arial"/>
        </w:rPr>
        <w:t xml:space="preserve"> (CURP), la </w:t>
      </w:r>
      <w:r w:rsidRPr="002D7098">
        <w:rPr>
          <w:rFonts w:ascii="Palatino Linotype" w:hAnsi="Palatino Linotype" w:cs="Arial"/>
          <w:b/>
        </w:rPr>
        <w:t>Clave de cualquier tipo de seguridad social</w:t>
      </w:r>
      <w:r w:rsidRPr="002D7098">
        <w:rPr>
          <w:rFonts w:ascii="Palatino Linotype" w:hAnsi="Palatino Linotype" w:cs="Arial"/>
        </w:rPr>
        <w:t xml:space="preserve"> (ISSEMYM); </w:t>
      </w:r>
      <w:r w:rsidRPr="002D7098">
        <w:rPr>
          <w:rFonts w:ascii="Palatino Linotype" w:hAnsi="Palatino Linotype" w:cs="Arial"/>
          <w:b/>
        </w:rPr>
        <w:t>préstamos o descuentos</w:t>
      </w:r>
      <w:r w:rsidRPr="002D7098">
        <w:rPr>
          <w:rFonts w:ascii="Palatino Linotype" w:hAnsi="Palatino Linotype" w:cs="Arial"/>
        </w:rPr>
        <w:t xml:space="preserve"> que se les hagan y que no tengan relación con los impuestos o la cuota por seguridad social, así como, firmas y calificaciones, entre otros datos.</w:t>
      </w:r>
    </w:p>
    <w:p w14:paraId="02264925" w14:textId="77777777" w:rsidR="002D7098" w:rsidRPr="002D7098" w:rsidRDefault="002D7098" w:rsidP="002D7098">
      <w:pPr>
        <w:autoSpaceDE w:val="0"/>
        <w:autoSpaceDN w:val="0"/>
        <w:adjustRightInd w:val="0"/>
        <w:spacing w:line="360" w:lineRule="auto"/>
        <w:jc w:val="both"/>
        <w:rPr>
          <w:rFonts w:ascii="Palatino Linotype" w:eastAsiaTheme="minorHAnsi" w:hAnsi="Palatino Linotype" w:cs="Arial"/>
          <w:lang w:val="es-MX" w:eastAsia="en-US"/>
        </w:rPr>
      </w:pPr>
    </w:p>
    <w:p w14:paraId="11D0D47B" w14:textId="77777777" w:rsidR="002D7098" w:rsidRPr="002D7098" w:rsidRDefault="002D7098" w:rsidP="002D7098">
      <w:pPr>
        <w:autoSpaceDE w:val="0"/>
        <w:autoSpaceDN w:val="0"/>
        <w:adjustRightInd w:val="0"/>
        <w:spacing w:after="160" w:line="360" w:lineRule="auto"/>
        <w:ind w:right="-91"/>
        <w:jc w:val="both"/>
        <w:rPr>
          <w:rFonts w:ascii="Palatino Linotype" w:eastAsiaTheme="minorHAnsi" w:hAnsi="Palatino Linotype" w:cstheme="minorBidi"/>
          <w:szCs w:val="22"/>
          <w:lang w:val="es-MX" w:eastAsia="en-US"/>
        </w:rPr>
      </w:pPr>
      <w:r w:rsidRPr="002D7098">
        <w:rPr>
          <w:rFonts w:ascii="Palatino Linotype" w:eastAsiaTheme="minorHAnsi" w:hAnsi="Palatino Linotype" w:cs="Arial"/>
          <w:szCs w:val="22"/>
          <w:lang w:val="es-MX" w:eastAsia="es-MX"/>
        </w:rPr>
        <w:t xml:space="preserve">Por cuanto hace al </w:t>
      </w:r>
      <w:r w:rsidRPr="002D7098">
        <w:rPr>
          <w:rFonts w:ascii="Palatino Linotype" w:eastAsiaTheme="minorHAnsi" w:hAnsi="Palatino Linotype" w:cs="Arial"/>
          <w:b/>
          <w:szCs w:val="22"/>
          <w:lang w:val="es-MX" w:eastAsia="es-MX"/>
        </w:rPr>
        <w:t>Registro Federal de Contribuyentes</w:t>
      </w:r>
      <w:r w:rsidRPr="002D7098">
        <w:rPr>
          <w:rFonts w:ascii="Palatino Linotype" w:eastAsiaTheme="minorHAnsi" w:hAnsi="Palatino Linotype" w:cs="Arial"/>
          <w:szCs w:val="22"/>
          <w:lang w:val="es-MX" w:eastAsia="es-MX"/>
        </w:rPr>
        <w:t xml:space="preserve"> </w:t>
      </w:r>
      <w:r w:rsidRPr="002D7098">
        <w:rPr>
          <w:rFonts w:ascii="Palatino Linotype" w:eastAsiaTheme="minorHAnsi" w:hAnsi="Palatino Linotype" w:cs="Arial"/>
          <w:b/>
          <w:szCs w:val="22"/>
          <w:lang w:val="es-MX" w:eastAsia="es-MX"/>
        </w:rPr>
        <w:t>de las personas físicas</w:t>
      </w:r>
      <w:r w:rsidRPr="002D7098">
        <w:rPr>
          <w:rFonts w:ascii="Palatino Linotype" w:eastAsiaTheme="minorHAnsi" w:hAnsi="Palatino Linotype" w:cs="Arial"/>
          <w:szCs w:val="22"/>
          <w:lang w:val="es-MX"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2D7098">
        <w:rPr>
          <w:rFonts w:ascii="Palatino Linotype" w:eastAsiaTheme="minorHAnsi" w:hAnsi="Palatino Linotype" w:cstheme="minorBidi"/>
          <w:szCs w:val="22"/>
          <w:lang w:val="es-MX" w:eastAsia="en-US"/>
        </w:rPr>
        <w:t xml:space="preserve"> y finalmente la homoclave; la cual para su obtención es necesario acreditar personalidad, fecha de nacimiento entre otros con documentos oficiales.</w:t>
      </w:r>
    </w:p>
    <w:p w14:paraId="13742378" w14:textId="77777777" w:rsidR="002D7098" w:rsidRPr="002D7098" w:rsidRDefault="002D7098" w:rsidP="002D7098">
      <w:pPr>
        <w:rPr>
          <w:lang w:val="es-MX"/>
        </w:rPr>
      </w:pPr>
    </w:p>
    <w:p w14:paraId="69816039" w14:textId="77777777" w:rsidR="002D7098" w:rsidRPr="002D7098" w:rsidRDefault="002D7098" w:rsidP="002D7098">
      <w:pPr>
        <w:spacing w:after="160" w:line="360" w:lineRule="auto"/>
        <w:ind w:right="-91"/>
        <w:jc w:val="both"/>
        <w:rPr>
          <w:rFonts w:ascii="Palatino Linotype" w:eastAsiaTheme="minorHAnsi" w:hAnsi="Palatino Linotype" w:cs="Arial"/>
          <w:szCs w:val="22"/>
          <w:lang w:val="es-MX" w:eastAsia="es-MX"/>
        </w:rPr>
      </w:pPr>
      <w:r w:rsidRPr="002D7098">
        <w:rPr>
          <w:rFonts w:ascii="Palatino Linotype" w:eastAsiaTheme="minorHAnsi" w:hAnsi="Palatino Linotype" w:cs="Arial"/>
          <w:szCs w:val="22"/>
          <w:lang w:val="es-MX" w:eastAsia="es-MX"/>
        </w:rPr>
        <w:t>Al respecto, el Instituto Nacional de Transparencia, Acceso a la Información y Protección de Datos Personales (INAI) a través del Criterio 19/17, señala literalmente lo siguiente:</w:t>
      </w:r>
    </w:p>
    <w:p w14:paraId="23555C4D" w14:textId="77777777" w:rsidR="002D7098" w:rsidRPr="002D7098" w:rsidRDefault="002D7098" w:rsidP="002D7098">
      <w:pPr>
        <w:rPr>
          <w:lang w:val="es-MX"/>
        </w:rPr>
      </w:pPr>
    </w:p>
    <w:p w14:paraId="1CC2B78A" w14:textId="77777777" w:rsidR="002D7098" w:rsidRPr="002D7098" w:rsidRDefault="002D7098" w:rsidP="002D7098">
      <w:pPr>
        <w:spacing w:after="160" w:line="259" w:lineRule="auto"/>
        <w:ind w:left="851" w:right="902"/>
        <w:jc w:val="both"/>
        <w:rPr>
          <w:rFonts w:ascii="Palatino Linotype" w:eastAsiaTheme="minorHAnsi" w:hAnsi="Palatino Linotype" w:cs="Arial"/>
          <w:b/>
          <w:bCs/>
          <w:i/>
          <w:sz w:val="22"/>
          <w:szCs w:val="22"/>
          <w:lang w:val="es-MX" w:eastAsia="en-US"/>
        </w:rPr>
      </w:pPr>
      <w:r w:rsidRPr="002D7098">
        <w:rPr>
          <w:rFonts w:ascii="Palatino Linotype" w:eastAsiaTheme="minorHAnsi" w:hAnsi="Palatino Linotype" w:cs="Arial"/>
          <w:b/>
          <w:bCs/>
          <w:i/>
          <w:sz w:val="22"/>
          <w:szCs w:val="22"/>
          <w:lang w:val="es-MX" w:eastAsia="en-US"/>
        </w:rPr>
        <w:t xml:space="preserve">“Registro Federal de Contribuyentes (RFC) de personas físicas. </w:t>
      </w:r>
      <w:r w:rsidRPr="002D7098">
        <w:rPr>
          <w:rFonts w:ascii="Palatino Linotype" w:eastAsiaTheme="minorHAnsi" w:hAnsi="Palatino Linotype" w:cs="Arial"/>
          <w:bCs/>
          <w:i/>
          <w:sz w:val="22"/>
          <w:szCs w:val="22"/>
          <w:lang w:val="es-MX" w:eastAsia="en-US"/>
        </w:rPr>
        <w:t>El RFC es una clave de carácter fiscal, única e irrepetible, que permite identificar al titular, su edad y fecha de nacimiento, por lo que es un dato personal de carácter confidencial.</w:t>
      </w:r>
    </w:p>
    <w:p w14:paraId="7507DA22" w14:textId="77777777" w:rsidR="002D7098" w:rsidRPr="002D7098" w:rsidRDefault="002D7098" w:rsidP="002D7098">
      <w:pPr>
        <w:rPr>
          <w:lang w:val="es-MX"/>
        </w:rPr>
      </w:pPr>
    </w:p>
    <w:p w14:paraId="4948429C" w14:textId="77777777" w:rsidR="002D7098" w:rsidRPr="002D7098" w:rsidRDefault="002D7098" w:rsidP="002D7098">
      <w:pPr>
        <w:ind w:left="851" w:right="902"/>
        <w:jc w:val="both"/>
        <w:rPr>
          <w:rFonts w:ascii="Palatino Linotype" w:eastAsiaTheme="minorHAnsi" w:hAnsi="Palatino Linotype" w:cs="Arial"/>
          <w:b/>
          <w:bCs/>
          <w:i/>
          <w:sz w:val="22"/>
          <w:szCs w:val="22"/>
          <w:lang w:val="es-MX" w:eastAsia="en-US"/>
        </w:rPr>
      </w:pPr>
      <w:r w:rsidRPr="002D7098">
        <w:rPr>
          <w:rFonts w:ascii="Palatino Linotype" w:eastAsiaTheme="minorHAnsi" w:hAnsi="Palatino Linotype" w:cs="Arial"/>
          <w:b/>
          <w:bCs/>
          <w:i/>
          <w:sz w:val="22"/>
          <w:szCs w:val="22"/>
          <w:lang w:val="es-MX" w:eastAsia="en-US"/>
        </w:rPr>
        <w:t>Resoluciones:</w:t>
      </w:r>
    </w:p>
    <w:p w14:paraId="7430490A" w14:textId="77777777" w:rsidR="002D7098" w:rsidRPr="002D7098" w:rsidRDefault="002D7098" w:rsidP="002D7098">
      <w:pPr>
        <w:ind w:left="851" w:right="902"/>
        <w:jc w:val="both"/>
        <w:rPr>
          <w:rFonts w:ascii="Palatino Linotype" w:eastAsiaTheme="minorHAnsi" w:hAnsi="Palatino Linotype" w:cs="Arial"/>
          <w:bCs/>
          <w:i/>
          <w:sz w:val="22"/>
          <w:szCs w:val="22"/>
          <w:lang w:val="es-MX" w:eastAsia="en-US"/>
        </w:rPr>
      </w:pPr>
      <w:r w:rsidRPr="002D7098">
        <w:rPr>
          <w:rFonts w:ascii="Palatino Linotype" w:eastAsiaTheme="minorHAnsi" w:hAnsi="Palatino Linotype" w:cs="Arial"/>
          <w:b/>
          <w:bCs/>
          <w:i/>
          <w:sz w:val="22"/>
          <w:szCs w:val="22"/>
          <w:lang w:val="es-MX" w:eastAsia="en-US"/>
        </w:rPr>
        <w:t>•</w:t>
      </w:r>
      <w:r w:rsidRPr="002D7098">
        <w:rPr>
          <w:rFonts w:ascii="Palatino Linotype" w:eastAsiaTheme="minorHAnsi" w:hAnsi="Palatino Linotype" w:cs="Arial"/>
          <w:b/>
          <w:bCs/>
          <w:i/>
          <w:sz w:val="22"/>
          <w:szCs w:val="22"/>
          <w:lang w:val="es-MX" w:eastAsia="en-US"/>
        </w:rPr>
        <w:tab/>
        <w:t xml:space="preserve">RRA 0189/17. </w:t>
      </w:r>
      <w:r w:rsidRPr="002D7098">
        <w:rPr>
          <w:rFonts w:ascii="Palatino Linotype" w:eastAsiaTheme="minorHAnsi" w:hAnsi="Palatino Linotype" w:cs="Arial"/>
          <w:bCs/>
          <w:i/>
          <w:sz w:val="22"/>
          <w:szCs w:val="22"/>
          <w:lang w:val="es-MX" w:eastAsia="en-US"/>
        </w:rPr>
        <w:t>Morena. 08 de febrero de 2017. Por unanimidad. Comisionado Ponente Joel Salas Suárez.</w:t>
      </w:r>
    </w:p>
    <w:p w14:paraId="7B6EF3D3" w14:textId="77777777" w:rsidR="002D7098" w:rsidRPr="002D7098" w:rsidRDefault="002D7098" w:rsidP="002D7098">
      <w:pPr>
        <w:ind w:left="851" w:right="902"/>
        <w:jc w:val="both"/>
        <w:rPr>
          <w:rFonts w:ascii="Palatino Linotype" w:eastAsiaTheme="minorHAnsi" w:hAnsi="Palatino Linotype" w:cs="Arial"/>
          <w:b/>
          <w:bCs/>
          <w:i/>
          <w:sz w:val="22"/>
          <w:szCs w:val="22"/>
          <w:lang w:val="es-MX" w:eastAsia="en-US"/>
        </w:rPr>
      </w:pPr>
      <w:r w:rsidRPr="002D7098">
        <w:rPr>
          <w:rFonts w:ascii="Palatino Linotype" w:eastAsiaTheme="minorHAnsi" w:hAnsi="Palatino Linotype" w:cs="Arial"/>
          <w:b/>
          <w:bCs/>
          <w:i/>
          <w:sz w:val="22"/>
          <w:szCs w:val="22"/>
          <w:lang w:val="es-MX" w:eastAsia="en-US"/>
        </w:rPr>
        <w:t>•</w:t>
      </w:r>
      <w:r w:rsidRPr="002D7098">
        <w:rPr>
          <w:rFonts w:ascii="Palatino Linotype" w:eastAsiaTheme="minorHAnsi" w:hAnsi="Palatino Linotype" w:cs="Arial"/>
          <w:b/>
          <w:bCs/>
          <w:i/>
          <w:sz w:val="22"/>
          <w:szCs w:val="22"/>
          <w:lang w:val="es-MX" w:eastAsia="en-US"/>
        </w:rPr>
        <w:tab/>
        <w:t xml:space="preserve">RRA 0677/17. </w:t>
      </w:r>
      <w:r w:rsidRPr="002D7098">
        <w:rPr>
          <w:rFonts w:ascii="Palatino Linotype" w:eastAsiaTheme="minorHAnsi" w:hAnsi="Palatino Linotype" w:cs="Arial"/>
          <w:bCs/>
          <w:i/>
          <w:sz w:val="22"/>
          <w:szCs w:val="22"/>
          <w:lang w:val="es-MX" w:eastAsia="en-US"/>
        </w:rPr>
        <w:t>Universidad Nacional Autónoma de México. 08 de marzo de 2017. Por unanimidad. Comisionado Ponente Rosendoevgueni Monterrey Chepov.</w:t>
      </w:r>
      <w:r w:rsidRPr="002D7098">
        <w:rPr>
          <w:rFonts w:ascii="Palatino Linotype" w:eastAsiaTheme="minorHAnsi" w:hAnsi="Palatino Linotype" w:cs="Arial"/>
          <w:b/>
          <w:bCs/>
          <w:i/>
          <w:sz w:val="22"/>
          <w:szCs w:val="22"/>
          <w:lang w:val="es-MX" w:eastAsia="en-US"/>
        </w:rPr>
        <w:t xml:space="preserve"> </w:t>
      </w:r>
    </w:p>
    <w:p w14:paraId="6A8CD4C5" w14:textId="77777777" w:rsidR="002D7098" w:rsidRPr="002D7098" w:rsidRDefault="002D7098" w:rsidP="002D7098">
      <w:pPr>
        <w:ind w:left="851" w:right="900"/>
        <w:jc w:val="both"/>
        <w:rPr>
          <w:rFonts w:ascii="Palatino Linotype" w:eastAsiaTheme="minorHAnsi" w:hAnsi="Palatino Linotype" w:cs="Arial"/>
          <w:sz w:val="22"/>
          <w:szCs w:val="20"/>
          <w:lang w:val="es-MX" w:eastAsia="es-MX"/>
        </w:rPr>
      </w:pPr>
      <w:r w:rsidRPr="002D7098">
        <w:rPr>
          <w:rFonts w:ascii="Palatino Linotype" w:eastAsiaTheme="minorHAnsi" w:hAnsi="Palatino Linotype" w:cs="Arial"/>
          <w:b/>
          <w:bCs/>
          <w:i/>
          <w:sz w:val="22"/>
          <w:szCs w:val="22"/>
          <w:lang w:val="es-MX" w:eastAsia="en-US"/>
        </w:rPr>
        <w:t>•</w:t>
      </w:r>
      <w:r w:rsidRPr="002D7098">
        <w:rPr>
          <w:rFonts w:ascii="Palatino Linotype" w:eastAsiaTheme="minorHAnsi" w:hAnsi="Palatino Linotype" w:cs="Arial"/>
          <w:b/>
          <w:bCs/>
          <w:i/>
          <w:sz w:val="22"/>
          <w:szCs w:val="22"/>
          <w:lang w:val="es-MX" w:eastAsia="en-US"/>
        </w:rPr>
        <w:tab/>
        <w:t xml:space="preserve">RRA 1564/17. </w:t>
      </w:r>
      <w:r w:rsidRPr="002D7098">
        <w:rPr>
          <w:rFonts w:ascii="Palatino Linotype" w:eastAsiaTheme="minorHAnsi" w:hAnsi="Palatino Linotype" w:cs="Arial"/>
          <w:bCs/>
          <w:i/>
          <w:sz w:val="22"/>
          <w:szCs w:val="22"/>
          <w:lang w:val="es-MX" w:eastAsia="en-US"/>
        </w:rPr>
        <w:t>Tribunal Electoral del Poder Judicial de la Federación. 26 de abril de 2017. Por unanimidad. Comisionado Ponente Oscar Mauricio Guerra Ford</w:t>
      </w:r>
      <w:r w:rsidRPr="002D7098">
        <w:rPr>
          <w:rFonts w:ascii="Palatino Linotype" w:eastAsiaTheme="minorHAnsi" w:hAnsi="Palatino Linotype" w:cs="Arial"/>
          <w:i/>
          <w:sz w:val="22"/>
          <w:szCs w:val="22"/>
          <w:lang w:val="es-MX" w:eastAsia="en-US"/>
        </w:rPr>
        <w:t>.”</w:t>
      </w:r>
    </w:p>
    <w:p w14:paraId="37CB71CB" w14:textId="77777777" w:rsidR="002D7098" w:rsidRPr="002D7098" w:rsidRDefault="002D7098" w:rsidP="002D7098">
      <w:pPr>
        <w:spacing w:after="160" w:line="259" w:lineRule="auto"/>
        <w:jc w:val="both"/>
        <w:rPr>
          <w:rFonts w:ascii="Palatino Linotype" w:eastAsiaTheme="minorHAnsi" w:hAnsi="Palatino Linotype" w:cs="Arial"/>
          <w:sz w:val="16"/>
          <w:szCs w:val="16"/>
          <w:lang w:val="es-MX" w:eastAsia="es-MX"/>
        </w:rPr>
      </w:pPr>
    </w:p>
    <w:p w14:paraId="12D945A0" w14:textId="77777777" w:rsidR="002D7098" w:rsidRPr="002D7098" w:rsidRDefault="002D7098" w:rsidP="002D7098">
      <w:pPr>
        <w:spacing w:after="160" w:line="360" w:lineRule="auto"/>
        <w:jc w:val="both"/>
        <w:rPr>
          <w:rFonts w:ascii="Palatino Linotype" w:eastAsiaTheme="minorHAnsi" w:hAnsi="Palatino Linotype" w:cs="Arial"/>
          <w:szCs w:val="22"/>
          <w:lang w:val="es-MX" w:eastAsia="es-MX"/>
        </w:rPr>
      </w:pPr>
      <w:r w:rsidRPr="002D7098">
        <w:rPr>
          <w:rFonts w:ascii="Palatino Linotype" w:eastAsiaTheme="minorHAnsi" w:hAnsi="Palatino Linotype" w:cs="Arial"/>
          <w:szCs w:val="22"/>
          <w:lang w:val="es-MX" w:eastAsia="es-MX"/>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3450CC8A" w14:textId="77777777" w:rsidR="002D7098" w:rsidRPr="002D7098" w:rsidRDefault="002D7098" w:rsidP="002D7098">
      <w:pPr>
        <w:spacing w:after="160" w:line="259" w:lineRule="auto"/>
        <w:ind w:right="-93"/>
        <w:jc w:val="both"/>
        <w:rPr>
          <w:rFonts w:ascii="Palatino Linotype" w:eastAsiaTheme="minorHAnsi" w:hAnsi="Palatino Linotype" w:cs="Arial"/>
          <w:sz w:val="16"/>
          <w:szCs w:val="16"/>
          <w:lang w:val="es-MX" w:eastAsia="es-MX"/>
        </w:rPr>
      </w:pPr>
    </w:p>
    <w:p w14:paraId="1AC39391" w14:textId="77777777" w:rsidR="002D7098" w:rsidRPr="002D7098" w:rsidRDefault="002D7098" w:rsidP="002D7098">
      <w:pPr>
        <w:spacing w:line="360" w:lineRule="auto"/>
        <w:ind w:right="-93"/>
        <w:jc w:val="both"/>
        <w:rPr>
          <w:rFonts w:ascii="Palatino Linotype" w:eastAsiaTheme="minorHAnsi" w:hAnsi="Palatino Linotype" w:cs="Arial"/>
          <w:szCs w:val="22"/>
          <w:lang w:val="es-MX" w:eastAsia="es-MX"/>
        </w:rPr>
      </w:pPr>
      <w:r w:rsidRPr="002D7098">
        <w:rPr>
          <w:rFonts w:ascii="Palatino Linotype" w:eastAsiaTheme="minorHAnsi" w:hAnsi="Palatino Linotype" w:cs="Arial"/>
          <w:szCs w:val="22"/>
          <w:lang w:val="es-MX" w:eastAsia="es-MX"/>
        </w:rPr>
        <w:t xml:space="preserve">De igual manera la </w:t>
      </w:r>
      <w:r w:rsidRPr="002D7098">
        <w:rPr>
          <w:rFonts w:ascii="Palatino Linotype" w:eastAsiaTheme="minorHAnsi" w:hAnsi="Palatino Linotype" w:cs="Arial"/>
          <w:b/>
          <w:szCs w:val="22"/>
          <w:lang w:val="es-MX" w:eastAsia="en-US"/>
        </w:rPr>
        <w:t xml:space="preserve">Clave Única de Registro de Población, </w:t>
      </w:r>
      <w:r w:rsidRPr="002D7098">
        <w:rPr>
          <w:rFonts w:ascii="Palatino Linotype" w:eastAsiaTheme="minorHAnsi" w:hAnsi="Palatino Linotype" w:cs="Arial"/>
          <w:szCs w:val="22"/>
          <w:lang w:val="es-MX"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5C00D573" w14:textId="77777777" w:rsidR="002D7098" w:rsidRPr="002D7098" w:rsidRDefault="002D7098" w:rsidP="002D7098">
      <w:pPr>
        <w:spacing w:line="360" w:lineRule="auto"/>
        <w:ind w:right="-93"/>
        <w:jc w:val="both"/>
        <w:rPr>
          <w:rFonts w:ascii="Palatino Linotype" w:eastAsiaTheme="minorHAnsi" w:hAnsi="Palatino Linotype" w:cs="Arial"/>
          <w:szCs w:val="22"/>
          <w:lang w:val="es-MX" w:eastAsia="es-MX"/>
        </w:rPr>
      </w:pPr>
    </w:p>
    <w:p w14:paraId="27098A53" w14:textId="77777777" w:rsidR="002D7098" w:rsidRPr="002D7098" w:rsidRDefault="002D7098" w:rsidP="002D7098">
      <w:pPr>
        <w:spacing w:line="360" w:lineRule="auto"/>
        <w:ind w:right="-93"/>
        <w:jc w:val="both"/>
        <w:rPr>
          <w:rFonts w:ascii="Palatino Linotype" w:eastAsiaTheme="minorHAnsi" w:hAnsi="Palatino Linotype" w:cs="Arial"/>
          <w:szCs w:val="22"/>
          <w:lang w:val="es-MX" w:eastAsia="es-MX"/>
        </w:rPr>
      </w:pPr>
      <w:r w:rsidRPr="002D7098">
        <w:rPr>
          <w:rFonts w:ascii="Palatino Linotype" w:eastAsiaTheme="minorHAnsi" w:hAnsi="Palatino Linotype" w:cs="Arial"/>
          <w:szCs w:val="22"/>
          <w:lang w:val="es-MX" w:eastAsia="es-MX"/>
        </w:rPr>
        <w:t>Lo anterior, tiene sustento en los artículos 86 y 91, de la Ley General de Población, la cual señala lo siguiente:</w:t>
      </w:r>
    </w:p>
    <w:p w14:paraId="340C5B0F" w14:textId="77777777" w:rsidR="002D7098" w:rsidRPr="002D7098" w:rsidRDefault="002D7098" w:rsidP="002D7098">
      <w:pPr>
        <w:rPr>
          <w:rFonts w:eastAsiaTheme="minorHAnsi"/>
          <w:lang w:val="es-MX" w:eastAsia="es-MX"/>
        </w:rPr>
      </w:pPr>
    </w:p>
    <w:p w14:paraId="590E1E2C" w14:textId="77777777" w:rsidR="002D7098" w:rsidRPr="002D7098" w:rsidRDefault="002D7098" w:rsidP="002D7098">
      <w:pPr>
        <w:rPr>
          <w:sz w:val="4"/>
          <w:lang w:val="es-MX" w:eastAsia="es-MX"/>
        </w:rPr>
      </w:pPr>
    </w:p>
    <w:p w14:paraId="0DA86204" w14:textId="77777777" w:rsidR="002D7098" w:rsidRPr="002D7098" w:rsidRDefault="002D7098" w:rsidP="002D7098">
      <w:pPr>
        <w:spacing w:line="276" w:lineRule="auto"/>
        <w:ind w:left="851" w:right="900"/>
        <w:jc w:val="both"/>
        <w:rPr>
          <w:rFonts w:ascii="Palatino Linotype" w:eastAsiaTheme="minorHAnsi" w:hAnsi="Palatino Linotype" w:cs="Arial"/>
          <w:i/>
          <w:sz w:val="22"/>
          <w:szCs w:val="22"/>
          <w:lang w:val="es-MX" w:eastAsia="es-MX"/>
        </w:rPr>
      </w:pPr>
      <w:r w:rsidRPr="002D7098">
        <w:rPr>
          <w:rFonts w:ascii="Palatino Linotype" w:eastAsiaTheme="minorHAnsi" w:hAnsi="Palatino Linotype" w:cs="Arial,Bold"/>
          <w:b/>
          <w:bCs/>
          <w:i/>
          <w:sz w:val="22"/>
          <w:szCs w:val="22"/>
          <w:lang w:val="es-MX" w:eastAsia="es-MX"/>
        </w:rPr>
        <w:t xml:space="preserve">“Artículo 86. </w:t>
      </w:r>
      <w:r w:rsidRPr="002D7098">
        <w:rPr>
          <w:rFonts w:ascii="Palatino Linotype" w:eastAsiaTheme="minorHAnsi" w:hAnsi="Palatino Linotype" w:cs="Arial"/>
          <w:i/>
          <w:sz w:val="22"/>
          <w:szCs w:val="22"/>
          <w:lang w:val="es-MX" w:eastAsia="es-MX"/>
        </w:rPr>
        <w:t xml:space="preserve">El </w:t>
      </w:r>
      <w:r w:rsidRPr="002D7098">
        <w:rPr>
          <w:rFonts w:ascii="Palatino Linotype" w:eastAsiaTheme="minorHAnsi" w:hAnsi="Palatino Linotype" w:cs="Arial"/>
          <w:i/>
          <w:color w:val="000000"/>
          <w:sz w:val="22"/>
          <w:szCs w:val="22"/>
          <w:lang w:val="es-MX" w:eastAsia="en-US"/>
        </w:rPr>
        <w:t>Registro</w:t>
      </w:r>
      <w:r w:rsidRPr="002D7098">
        <w:rPr>
          <w:rFonts w:ascii="Palatino Linotype" w:eastAsiaTheme="minorHAnsi" w:hAnsi="Palatino Linotype" w:cs="Arial"/>
          <w:i/>
          <w:sz w:val="22"/>
          <w:szCs w:val="22"/>
          <w:lang w:val="es-MX" w:eastAsia="es-MX"/>
        </w:rPr>
        <w:t xml:space="preserve"> Nacional </w:t>
      </w:r>
      <w:r w:rsidRPr="002D7098">
        <w:rPr>
          <w:rFonts w:ascii="Palatino Linotype" w:eastAsiaTheme="minorHAnsi" w:hAnsi="Palatino Linotype" w:cs="Arial"/>
          <w:i/>
          <w:sz w:val="22"/>
          <w:szCs w:val="22"/>
          <w:lang w:val="es-MX" w:eastAsia="en-US"/>
        </w:rPr>
        <w:t>de</w:t>
      </w:r>
      <w:r w:rsidRPr="002D7098">
        <w:rPr>
          <w:rFonts w:ascii="Palatino Linotype" w:eastAsiaTheme="minorHAnsi" w:hAnsi="Palatino Linotype" w:cs="Arial"/>
          <w:i/>
          <w:sz w:val="22"/>
          <w:szCs w:val="22"/>
          <w:lang w:val="es-MX" w:eastAsia="es-MX"/>
        </w:rPr>
        <w:t xml:space="preserve"> Población tiene como finalidad registrar a cada una de las personas que integran la población del país, con los datos que permitan certificar y acreditar fehacientemente su identidad.</w:t>
      </w:r>
    </w:p>
    <w:p w14:paraId="0FC4F9BD" w14:textId="77777777" w:rsidR="002D7098" w:rsidRPr="002D7098" w:rsidRDefault="002D7098" w:rsidP="002D7098">
      <w:pPr>
        <w:spacing w:line="276" w:lineRule="auto"/>
        <w:ind w:left="851" w:right="900"/>
        <w:jc w:val="both"/>
        <w:rPr>
          <w:rFonts w:ascii="Palatino Linotype" w:eastAsiaTheme="minorHAnsi" w:hAnsi="Palatino Linotype" w:cs="Arial,Bold"/>
          <w:b/>
          <w:bCs/>
          <w:i/>
          <w:sz w:val="22"/>
          <w:szCs w:val="22"/>
          <w:lang w:val="es-MX" w:eastAsia="es-MX"/>
        </w:rPr>
      </w:pPr>
    </w:p>
    <w:p w14:paraId="12AD89AD" w14:textId="77777777" w:rsidR="002D7098" w:rsidRPr="002D7098" w:rsidRDefault="002D7098" w:rsidP="002D7098">
      <w:pPr>
        <w:spacing w:line="276" w:lineRule="auto"/>
        <w:ind w:left="851" w:right="900"/>
        <w:jc w:val="both"/>
        <w:rPr>
          <w:rFonts w:ascii="Palatino Linotype" w:eastAsiaTheme="minorHAnsi" w:hAnsi="Palatino Linotype" w:cs="Arial"/>
          <w:i/>
          <w:sz w:val="22"/>
          <w:szCs w:val="22"/>
          <w:lang w:val="es-MX" w:eastAsia="es-MX"/>
        </w:rPr>
      </w:pPr>
      <w:r w:rsidRPr="002D7098">
        <w:rPr>
          <w:rFonts w:ascii="Palatino Linotype" w:eastAsiaTheme="minorHAnsi" w:hAnsi="Palatino Linotype" w:cs="Arial,Bold"/>
          <w:b/>
          <w:bCs/>
          <w:i/>
          <w:sz w:val="22"/>
          <w:szCs w:val="22"/>
          <w:lang w:val="es-MX" w:eastAsia="es-MX"/>
        </w:rPr>
        <w:t xml:space="preserve">Artículo 91. </w:t>
      </w:r>
      <w:r w:rsidRPr="002D7098">
        <w:rPr>
          <w:rFonts w:ascii="Palatino Linotype" w:eastAsiaTheme="minorHAnsi" w:hAnsi="Palatino Linotype" w:cs="Arial"/>
          <w:i/>
          <w:sz w:val="22"/>
          <w:szCs w:val="22"/>
          <w:lang w:val="es-MX" w:eastAsia="es-MX"/>
        </w:rPr>
        <w:t xml:space="preserve">Al incorporar a una persona en el Registro Nacional de Población, se le asignará una clave que se denominará </w:t>
      </w:r>
      <w:r w:rsidRPr="002D7098">
        <w:rPr>
          <w:rFonts w:ascii="Palatino Linotype" w:eastAsiaTheme="minorHAnsi" w:hAnsi="Palatino Linotype" w:cs="Arial"/>
          <w:i/>
          <w:color w:val="000000"/>
          <w:sz w:val="22"/>
          <w:szCs w:val="22"/>
          <w:lang w:val="es-MX" w:eastAsia="en-US"/>
        </w:rPr>
        <w:t>Clave</w:t>
      </w:r>
      <w:r w:rsidRPr="002D7098">
        <w:rPr>
          <w:rFonts w:ascii="Palatino Linotype" w:eastAsiaTheme="minorHAnsi" w:hAnsi="Palatino Linotype" w:cs="Arial"/>
          <w:i/>
          <w:sz w:val="22"/>
          <w:szCs w:val="22"/>
          <w:lang w:val="es-MX" w:eastAsia="es-MX"/>
        </w:rPr>
        <w:t xml:space="preserve"> Única de Registro de Población. Esta servirá para registrarla e identificarla en forma </w:t>
      </w:r>
      <w:r w:rsidRPr="002D7098">
        <w:rPr>
          <w:rFonts w:ascii="Palatino Linotype" w:eastAsiaTheme="minorHAnsi" w:hAnsi="Palatino Linotype" w:cs="Arial"/>
          <w:i/>
          <w:sz w:val="22"/>
          <w:szCs w:val="22"/>
          <w:lang w:val="es-MX" w:eastAsia="en-US"/>
        </w:rPr>
        <w:t>individual</w:t>
      </w:r>
      <w:r w:rsidRPr="002D7098">
        <w:rPr>
          <w:rFonts w:ascii="Palatino Linotype" w:eastAsiaTheme="minorHAnsi" w:hAnsi="Palatino Linotype" w:cs="Arial"/>
          <w:i/>
          <w:sz w:val="22"/>
          <w:szCs w:val="22"/>
          <w:lang w:val="es-MX" w:eastAsia="es-MX"/>
        </w:rPr>
        <w:t>.”</w:t>
      </w:r>
    </w:p>
    <w:p w14:paraId="2687664D" w14:textId="77777777" w:rsidR="002D7098" w:rsidRPr="002D7098" w:rsidRDefault="002D7098" w:rsidP="002D7098">
      <w:pPr>
        <w:spacing w:line="276" w:lineRule="auto"/>
        <w:ind w:left="851" w:right="900"/>
        <w:jc w:val="both"/>
        <w:rPr>
          <w:rFonts w:ascii="Palatino Linotype" w:eastAsiaTheme="minorHAnsi" w:hAnsi="Palatino Linotype" w:cs="Arial"/>
          <w:i/>
          <w:sz w:val="22"/>
          <w:szCs w:val="22"/>
          <w:lang w:val="es-MX" w:eastAsia="es-MX"/>
        </w:rPr>
      </w:pPr>
    </w:p>
    <w:p w14:paraId="336C5125" w14:textId="77777777" w:rsidR="002D7098" w:rsidRPr="002D7098" w:rsidRDefault="002D7098" w:rsidP="002D7098">
      <w:pPr>
        <w:shd w:val="clear" w:color="auto" w:fill="FFFFFF"/>
        <w:spacing w:line="360" w:lineRule="auto"/>
        <w:jc w:val="both"/>
        <w:rPr>
          <w:rFonts w:ascii="Palatino Linotype" w:eastAsiaTheme="minorHAnsi" w:hAnsi="Palatino Linotype" w:cstheme="minorBidi"/>
          <w:szCs w:val="22"/>
          <w:lang w:val="es-MX" w:eastAsia="es-MX"/>
        </w:rPr>
      </w:pPr>
      <w:r w:rsidRPr="002D7098">
        <w:rPr>
          <w:rFonts w:ascii="Palatino Linotype" w:eastAsiaTheme="minorHAnsi" w:hAnsi="Palatino Linotype" w:cstheme="minorBidi"/>
          <w:szCs w:val="22"/>
          <w:lang w:val="es-MX" w:eastAsia="es-MX"/>
        </w:rPr>
        <w:t xml:space="preserve">Ahora bien, por cuanto a  la Clave Única de Registro de Población CURP, está integrada por  18 elementos representados por letras y números, que se generan a partir de los datos contenidos en un documento probatorio de identidad (acta de nacimiento, carta de naturalización o documento migratorio), la cual se integra con </w:t>
      </w:r>
      <w:r w:rsidRPr="002D7098">
        <w:rPr>
          <w:rFonts w:ascii="Palatino Linotype" w:eastAsiaTheme="minorHAnsi" w:hAnsi="Palatino Linotype" w:cs="Arial"/>
          <w:szCs w:val="22"/>
          <w:lang w:val="es-MX" w:eastAsia="es-MX"/>
        </w:rPr>
        <w:t>la primera letra del apellido paterno; seguida de la primera letra vocal del primer apellido; seguida de la primera letra del segundo apellido y por último la primera letra del nombre; fecha de nacimiento año/mes/día</w:t>
      </w:r>
      <w:r w:rsidRPr="002D7098">
        <w:rPr>
          <w:rFonts w:ascii="Palatino Linotype" w:eastAsiaTheme="minorHAnsi" w:hAnsi="Palatino Linotype" w:cstheme="minorBidi"/>
          <w:szCs w:val="22"/>
          <w:lang w:val="es-MX" w:eastAsia="es-MX"/>
        </w:rPr>
        <w:t xml:space="preserve">; sexo; entidad federativa o lugar de nacimiento; finalmente una homoclave o digito verificador, compuesto de dos elementos, con el que se evitan duplicaciones en la Clave, identifican el cambio de siglo y garantizan la correcta integración. </w:t>
      </w:r>
    </w:p>
    <w:p w14:paraId="5D71C29E" w14:textId="77777777" w:rsidR="002D7098" w:rsidRPr="002D7098" w:rsidRDefault="002D7098" w:rsidP="002D7098">
      <w:pPr>
        <w:spacing w:after="160" w:line="360" w:lineRule="auto"/>
        <w:ind w:right="-91"/>
        <w:jc w:val="both"/>
        <w:rPr>
          <w:rFonts w:ascii="Palatino Linotype" w:eastAsiaTheme="minorHAnsi" w:hAnsi="Palatino Linotype" w:cs="Arial"/>
          <w:szCs w:val="22"/>
          <w:lang w:val="es-MX" w:eastAsia="es-MX"/>
        </w:rPr>
      </w:pPr>
    </w:p>
    <w:p w14:paraId="704420DB" w14:textId="77777777" w:rsidR="002D7098" w:rsidRPr="002D7098" w:rsidRDefault="002D7098" w:rsidP="002D7098">
      <w:pPr>
        <w:spacing w:after="160" w:line="360" w:lineRule="auto"/>
        <w:ind w:right="-91"/>
        <w:jc w:val="both"/>
        <w:rPr>
          <w:rFonts w:ascii="Palatino Linotype" w:eastAsiaTheme="minorHAnsi" w:hAnsi="Palatino Linotype" w:cs="Arial"/>
          <w:szCs w:val="22"/>
          <w:lang w:val="es-MX" w:eastAsia="es-MX"/>
        </w:rPr>
      </w:pPr>
      <w:r w:rsidRPr="002D7098">
        <w:rPr>
          <w:rFonts w:ascii="Palatino Linotype" w:eastAsiaTheme="minorHAnsi" w:hAnsi="Palatino Linotype" w:cs="Arial"/>
          <w:szCs w:val="22"/>
          <w:lang w:val="es-MX" w:eastAsia="es-MX"/>
        </w:rPr>
        <w:t>Al respecto, el INAI a través del Criterio 18/17, señala literalmente lo siguiente:</w:t>
      </w:r>
    </w:p>
    <w:p w14:paraId="00AD5C43" w14:textId="77777777" w:rsidR="002D7098" w:rsidRPr="002D7098" w:rsidRDefault="002D7098" w:rsidP="002D7098">
      <w:pPr>
        <w:spacing w:before="120" w:after="120" w:line="259" w:lineRule="auto"/>
        <w:ind w:left="851" w:right="900"/>
        <w:jc w:val="both"/>
        <w:rPr>
          <w:rFonts w:ascii="Palatino Linotype" w:eastAsiaTheme="minorHAnsi" w:hAnsi="Palatino Linotype" w:cs="Arial"/>
          <w:i/>
          <w:sz w:val="22"/>
          <w:szCs w:val="22"/>
          <w:lang w:val="es-MX" w:eastAsia="es-MX"/>
        </w:rPr>
      </w:pPr>
      <w:r w:rsidRPr="002D7098">
        <w:rPr>
          <w:rFonts w:ascii="Palatino Linotype" w:eastAsiaTheme="minorHAnsi" w:hAnsi="Palatino Linotype" w:cs="Arial"/>
          <w:b/>
          <w:bCs/>
          <w:i/>
          <w:sz w:val="22"/>
          <w:szCs w:val="22"/>
          <w:lang w:val="es-MX" w:eastAsia="es-MX"/>
        </w:rPr>
        <w:t>“Clave Única de Registro de Población (CURP)</w:t>
      </w:r>
      <w:r w:rsidRPr="002D7098">
        <w:rPr>
          <w:rFonts w:ascii="Palatino Linotype" w:eastAsiaTheme="minorHAnsi" w:hAnsi="Palatino Linotype" w:cs="Arial"/>
          <w:i/>
          <w:sz w:val="22"/>
          <w:szCs w:val="22"/>
          <w:lang w:val="es-MX"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5B91CA2" w14:textId="77777777" w:rsidR="002D7098" w:rsidRPr="002D7098" w:rsidRDefault="002D7098" w:rsidP="002D7098">
      <w:pPr>
        <w:spacing w:before="120" w:after="120" w:line="259" w:lineRule="auto"/>
        <w:ind w:left="851" w:right="900"/>
        <w:jc w:val="both"/>
        <w:rPr>
          <w:rFonts w:ascii="Palatino Linotype" w:eastAsiaTheme="minorHAnsi" w:hAnsi="Palatino Linotype" w:cs="Arial"/>
          <w:i/>
          <w:sz w:val="22"/>
          <w:szCs w:val="22"/>
          <w:lang w:val="es-MX" w:eastAsia="es-MX"/>
        </w:rPr>
      </w:pPr>
    </w:p>
    <w:p w14:paraId="798C1F5B" w14:textId="77777777" w:rsidR="002D7098" w:rsidRPr="002D7098" w:rsidRDefault="002D7098" w:rsidP="002D7098">
      <w:pPr>
        <w:ind w:left="851" w:right="900"/>
        <w:jc w:val="both"/>
        <w:rPr>
          <w:rFonts w:ascii="Palatino Linotype" w:eastAsiaTheme="minorHAnsi" w:hAnsi="Palatino Linotype" w:cs="Arial"/>
          <w:b/>
          <w:i/>
          <w:sz w:val="22"/>
          <w:szCs w:val="22"/>
          <w:lang w:val="es-MX" w:eastAsia="es-MX"/>
        </w:rPr>
      </w:pPr>
      <w:r w:rsidRPr="002D7098">
        <w:rPr>
          <w:rFonts w:ascii="Palatino Linotype" w:eastAsiaTheme="minorHAnsi" w:hAnsi="Palatino Linotype" w:cs="Arial"/>
          <w:b/>
          <w:i/>
          <w:sz w:val="22"/>
          <w:szCs w:val="22"/>
          <w:lang w:val="es-MX" w:eastAsia="es-MX"/>
        </w:rPr>
        <w:t>Resoluciones:</w:t>
      </w:r>
    </w:p>
    <w:p w14:paraId="0F9BEDB8" w14:textId="77777777" w:rsidR="002D7098" w:rsidRPr="002D7098" w:rsidRDefault="002D7098" w:rsidP="002D7098">
      <w:pPr>
        <w:ind w:left="851" w:right="900"/>
        <w:jc w:val="both"/>
        <w:rPr>
          <w:rFonts w:ascii="Palatino Linotype" w:eastAsiaTheme="minorHAnsi" w:hAnsi="Palatino Linotype" w:cs="Arial"/>
          <w:i/>
          <w:sz w:val="22"/>
          <w:szCs w:val="22"/>
          <w:lang w:val="es-MX" w:eastAsia="es-MX"/>
        </w:rPr>
      </w:pPr>
      <w:r w:rsidRPr="002D7098">
        <w:rPr>
          <w:rFonts w:ascii="Palatino Linotype" w:eastAsiaTheme="minorHAnsi" w:hAnsi="Palatino Linotype" w:cs="Arial"/>
          <w:i/>
          <w:sz w:val="22"/>
          <w:szCs w:val="22"/>
          <w:lang w:val="es-MX" w:eastAsia="es-MX"/>
        </w:rPr>
        <w:t>•</w:t>
      </w:r>
      <w:r w:rsidRPr="002D7098">
        <w:rPr>
          <w:rFonts w:ascii="Palatino Linotype" w:eastAsiaTheme="minorHAnsi" w:hAnsi="Palatino Linotype" w:cs="Arial"/>
          <w:i/>
          <w:sz w:val="22"/>
          <w:szCs w:val="22"/>
          <w:lang w:val="es-MX" w:eastAsia="es-MX"/>
        </w:rPr>
        <w:tab/>
      </w:r>
      <w:r w:rsidRPr="002D7098">
        <w:rPr>
          <w:rFonts w:ascii="Palatino Linotype" w:eastAsiaTheme="minorHAnsi" w:hAnsi="Palatino Linotype" w:cs="Arial"/>
          <w:b/>
          <w:i/>
          <w:sz w:val="22"/>
          <w:szCs w:val="22"/>
          <w:lang w:val="es-MX" w:eastAsia="es-MX"/>
        </w:rPr>
        <w:t>RRA 3995/16</w:t>
      </w:r>
      <w:r w:rsidRPr="002D7098">
        <w:rPr>
          <w:rFonts w:ascii="Palatino Linotype" w:eastAsiaTheme="minorHAnsi" w:hAnsi="Palatino Linotype" w:cs="Arial"/>
          <w:i/>
          <w:sz w:val="22"/>
          <w:szCs w:val="22"/>
          <w:lang w:val="es-MX" w:eastAsia="es-MX"/>
        </w:rPr>
        <w:t>. Secretaría de la Defensa Nacional. 1 de febrero de 2017. Por unanimidad. Comisionado Ponente Rosendoevgueni Monterrey Chepov.</w:t>
      </w:r>
    </w:p>
    <w:p w14:paraId="6BFB6D41" w14:textId="77777777" w:rsidR="002D7098" w:rsidRPr="002D7098" w:rsidRDefault="002D7098" w:rsidP="002D7098">
      <w:pPr>
        <w:ind w:left="851" w:right="900"/>
        <w:jc w:val="both"/>
        <w:rPr>
          <w:rFonts w:ascii="Palatino Linotype" w:eastAsiaTheme="minorHAnsi" w:hAnsi="Palatino Linotype" w:cs="Arial"/>
          <w:i/>
          <w:sz w:val="22"/>
          <w:szCs w:val="22"/>
          <w:lang w:val="es-MX" w:eastAsia="es-MX"/>
        </w:rPr>
      </w:pPr>
      <w:r w:rsidRPr="002D7098">
        <w:rPr>
          <w:rFonts w:ascii="Palatino Linotype" w:eastAsiaTheme="minorHAnsi" w:hAnsi="Palatino Linotype" w:cs="Arial"/>
          <w:i/>
          <w:sz w:val="22"/>
          <w:szCs w:val="22"/>
          <w:lang w:val="es-MX" w:eastAsia="es-MX"/>
        </w:rPr>
        <w:t>•</w:t>
      </w:r>
      <w:r w:rsidRPr="002D7098">
        <w:rPr>
          <w:rFonts w:ascii="Palatino Linotype" w:eastAsiaTheme="minorHAnsi" w:hAnsi="Palatino Linotype" w:cs="Arial"/>
          <w:i/>
          <w:sz w:val="22"/>
          <w:szCs w:val="22"/>
          <w:lang w:val="es-MX" w:eastAsia="es-MX"/>
        </w:rPr>
        <w:tab/>
      </w:r>
      <w:r w:rsidRPr="002D7098">
        <w:rPr>
          <w:rFonts w:ascii="Palatino Linotype" w:eastAsiaTheme="minorHAnsi" w:hAnsi="Palatino Linotype" w:cs="Arial"/>
          <w:b/>
          <w:i/>
          <w:sz w:val="22"/>
          <w:szCs w:val="22"/>
          <w:lang w:val="es-MX" w:eastAsia="es-MX"/>
        </w:rPr>
        <w:t>RRA 0937/17</w:t>
      </w:r>
      <w:r w:rsidRPr="002D7098">
        <w:rPr>
          <w:rFonts w:ascii="Palatino Linotype" w:eastAsiaTheme="minorHAnsi" w:hAnsi="Palatino Linotype" w:cs="Arial"/>
          <w:i/>
          <w:sz w:val="22"/>
          <w:szCs w:val="22"/>
          <w:lang w:val="es-MX" w:eastAsia="es-MX"/>
        </w:rPr>
        <w:t xml:space="preserve">. Senado de la República. 15 de marzo de 2017. Por unanimidad. Comisionada Ponente Ximena Puente de la Mora. </w:t>
      </w:r>
    </w:p>
    <w:p w14:paraId="279B4668" w14:textId="77777777" w:rsidR="002D7098" w:rsidRPr="002D7098" w:rsidRDefault="002D7098" w:rsidP="002D7098">
      <w:pPr>
        <w:ind w:left="851" w:right="900"/>
        <w:jc w:val="both"/>
        <w:rPr>
          <w:rFonts w:ascii="Palatino Linotype" w:eastAsiaTheme="minorHAnsi" w:hAnsi="Palatino Linotype" w:cs="Arial"/>
          <w:sz w:val="22"/>
          <w:szCs w:val="22"/>
          <w:lang w:val="es-MX" w:eastAsia="es-MX"/>
        </w:rPr>
      </w:pPr>
      <w:r w:rsidRPr="002D7098">
        <w:rPr>
          <w:rFonts w:ascii="Palatino Linotype" w:eastAsiaTheme="minorHAnsi" w:hAnsi="Palatino Linotype" w:cs="Arial"/>
          <w:i/>
          <w:sz w:val="22"/>
          <w:szCs w:val="22"/>
          <w:lang w:val="es-MX" w:eastAsia="es-MX"/>
        </w:rPr>
        <w:t>•</w:t>
      </w:r>
      <w:r w:rsidRPr="002D7098">
        <w:rPr>
          <w:rFonts w:ascii="Palatino Linotype" w:eastAsiaTheme="minorHAnsi" w:hAnsi="Palatino Linotype" w:cs="Arial"/>
          <w:i/>
          <w:sz w:val="22"/>
          <w:szCs w:val="22"/>
          <w:lang w:val="es-MX" w:eastAsia="es-MX"/>
        </w:rPr>
        <w:tab/>
      </w:r>
      <w:r w:rsidRPr="002D7098">
        <w:rPr>
          <w:rFonts w:ascii="Palatino Linotype" w:eastAsiaTheme="minorHAnsi" w:hAnsi="Palatino Linotype" w:cs="Arial"/>
          <w:b/>
          <w:i/>
          <w:sz w:val="22"/>
          <w:szCs w:val="22"/>
          <w:lang w:val="es-MX" w:eastAsia="es-MX"/>
        </w:rPr>
        <w:t>RRA 0478/17</w:t>
      </w:r>
      <w:r w:rsidRPr="002D7098">
        <w:rPr>
          <w:rFonts w:ascii="Palatino Linotype" w:eastAsiaTheme="minorHAnsi" w:hAnsi="Palatino Linotype" w:cs="Arial"/>
          <w:i/>
          <w:sz w:val="22"/>
          <w:szCs w:val="22"/>
          <w:lang w:val="es-MX" w:eastAsia="es-MX"/>
        </w:rPr>
        <w:t>. Secretaría de Relaciones Exteriores. 26 de abril de 2017. Por unanimidad. Comisionada Ponente Areli Cano Guadiana.</w:t>
      </w:r>
      <w:r w:rsidRPr="002D7098">
        <w:rPr>
          <w:rFonts w:ascii="Palatino Linotype" w:eastAsiaTheme="minorHAnsi" w:hAnsi="Palatino Linotype" w:cs="Arial"/>
          <w:i/>
          <w:sz w:val="22"/>
          <w:szCs w:val="22"/>
          <w:lang w:val="es-MX" w:eastAsia="en-US"/>
        </w:rPr>
        <w:t>”</w:t>
      </w:r>
    </w:p>
    <w:p w14:paraId="0AE8DDEC" w14:textId="77777777" w:rsidR="002D7098" w:rsidRPr="002D7098" w:rsidRDefault="002D7098" w:rsidP="002D7098">
      <w:pPr>
        <w:spacing w:after="160" w:line="360" w:lineRule="auto"/>
        <w:ind w:left="851" w:right="900"/>
        <w:jc w:val="both"/>
        <w:rPr>
          <w:rFonts w:ascii="Palatino Linotype" w:eastAsiaTheme="minorHAnsi" w:hAnsi="Palatino Linotype" w:cs="Arial"/>
          <w:sz w:val="16"/>
          <w:szCs w:val="16"/>
          <w:lang w:val="es-MX" w:eastAsia="es-MX"/>
        </w:rPr>
      </w:pPr>
    </w:p>
    <w:p w14:paraId="22966DEB" w14:textId="77777777" w:rsidR="002D7098" w:rsidRPr="002D7098" w:rsidRDefault="002D7098" w:rsidP="002D7098">
      <w:pPr>
        <w:spacing w:after="160" w:line="360" w:lineRule="auto"/>
        <w:ind w:right="-93"/>
        <w:jc w:val="both"/>
        <w:rPr>
          <w:rFonts w:ascii="Palatino Linotype" w:eastAsiaTheme="minorHAnsi" w:hAnsi="Palatino Linotype" w:cs="Arial"/>
          <w:szCs w:val="22"/>
          <w:lang w:val="es-MX" w:eastAsia="es-MX"/>
        </w:rPr>
      </w:pPr>
      <w:r w:rsidRPr="002D7098">
        <w:rPr>
          <w:rFonts w:ascii="Palatino Linotype" w:eastAsiaTheme="minorHAnsi" w:hAnsi="Palatino Linotype" w:cs="Arial"/>
          <w:szCs w:val="22"/>
          <w:lang w:val="es-MX" w:eastAsia="es-MX"/>
        </w:rPr>
        <w:t xml:space="preserve">De lo anterior, se desprende que la </w:t>
      </w:r>
      <w:r w:rsidRPr="002D7098">
        <w:rPr>
          <w:rFonts w:ascii="Palatino Linotype" w:eastAsiaTheme="minorHAnsi" w:hAnsi="Palatino Linotype" w:cstheme="minorBidi"/>
          <w:szCs w:val="22"/>
          <w:lang w:val="es-MX" w:eastAsia="es-MX"/>
        </w:rPr>
        <w:t xml:space="preserve">Clave Única de Registro de Población, </w:t>
      </w:r>
      <w:r w:rsidRPr="002D7098">
        <w:rPr>
          <w:rFonts w:ascii="Palatino Linotype" w:eastAsiaTheme="minorHAnsi" w:hAnsi="Palatino Linotype" w:cs="Arial"/>
          <w:szCs w:val="22"/>
          <w:lang w:val="es-MX" w:eastAsia="es-MX"/>
        </w:rPr>
        <w:t>se encuentra vinculado al nombre de la persona, permitiendo identificar la edad, fecha de nacimiento, sexo, lugar de nacimiento, así como su homoclave;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00039948" w14:textId="77777777" w:rsidR="002D7098" w:rsidRPr="002D7098" w:rsidRDefault="002D7098" w:rsidP="002D7098">
      <w:pPr>
        <w:rPr>
          <w:lang w:val="es-MX"/>
        </w:rPr>
      </w:pPr>
    </w:p>
    <w:p w14:paraId="49540140" w14:textId="6581D390" w:rsidR="00D47C18" w:rsidRPr="002D7098" w:rsidRDefault="002D7098" w:rsidP="002D7098">
      <w:pPr>
        <w:spacing w:line="360" w:lineRule="auto"/>
        <w:ind w:right="-93"/>
        <w:jc w:val="both"/>
        <w:rPr>
          <w:rFonts w:ascii="Palatino Linotype" w:eastAsiaTheme="minorHAnsi" w:hAnsi="Palatino Linotype" w:cs="Arial"/>
          <w:szCs w:val="22"/>
          <w:lang w:val="es-MX" w:eastAsia="es-MX"/>
        </w:rPr>
      </w:pPr>
      <w:r w:rsidRPr="002D7098">
        <w:rPr>
          <w:rFonts w:ascii="Palatino Linotype" w:eastAsiaTheme="minorHAnsi" w:hAnsi="Palatino Linotype" w:cs="Arial"/>
          <w:szCs w:val="22"/>
          <w:lang w:val="es-MX" w:eastAsia="es-MX"/>
        </w:rPr>
        <w:t xml:space="preserve">Por cuanto hace a la </w:t>
      </w:r>
      <w:r w:rsidRPr="002D7098">
        <w:rPr>
          <w:rFonts w:ascii="Palatino Linotype" w:eastAsiaTheme="minorHAnsi" w:hAnsi="Palatino Linotype" w:cs="Arial"/>
          <w:b/>
          <w:szCs w:val="22"/>
          <w:lang w:val="es-MX" w:eastAsia="en-US"/>
        </w:rPr>
        <w:t>Clave de cualquier tipo de seguridad social</w:t>
      </w:r>
      <w:r w:rsidRPr="002D7098">
        <w:rPr>
          <w:rFonts w:ascii="Palatino Linotype" w:eastAsiaTheme="minorHAnsi" w:hAnsi="Palatino Linotype" w:cs="Arial"/>
          <w:szCs w:val="22"/>
          <w:lang w:val="es-MX" w:eastAsia="en-US"/>
        </w:rPr>
        <w:t xml:space="preserve"> (ISSEMYM, u otros), está integrada por una </w:t>
      </w:r>
      <w:r w:rsidRPr="002D7098">
        <w:rPr>
          <w:rFonts w:ascii="Palatino Linotype" w:eastAsiaTheme="minorHAnsi" w:hAnsi="Palatino Linotype" w:cs="Arial"/>
          <w:bCs/>
          <w:szCs w:val="22"/>
          <w:lang w:val="es-MX"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2D7098">
        <w:rPr>
          <w:rFonts w:ascii="Palatino Linotype" w:eastAsiaTheme="minorHAnsi" w:hAnsi="Palatino Linotype" w:cs="Arial"/>
          <w:szCs w:val="22"/>
          <w:lang w:val="es-MX" w:eastAsia="es-MX"/>
        </w:rPr>
        <w:t>dato que únicamente le atañen al servidor público,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3F7F93FC" w14:textId="77777777" w:rsidR="002D7098" w:rsidRPr="002D7098" w:rsidRDefault="002D7098" w:rsidP="002D7098">
      <w:pPr>
        <w:widowControl w:val="0"/>
        <w:autoSpaceDE w:val="0"/>
        <w:autoSpaceDN w:val="0"/>
        <w:adjustRightInd w:val="0"/>
        <w:spacing w:line="360" w:lineRule="auto"/>
        <w:jc w:val="both"/>
        <w:rPr>
          <w:rFonts w:ascii="Palatino Linotype" w:eastAsiaTheme="minorHAnsi" w:hAnsi="Palatino Linotype" w:cs="Arial"/>
          <w:szCs w:val="22"/>
          <w:lang w:val="es-ES_tradnl" w:eastAsia="en-US"/>
        </w:rPr>
      </w:pPr>
    </w:p>
    <w:p w14:paraId="1C5CFEA8" w14:textId="21D7F195" w:rsidR="002D7098" w:rsidRPr="002D7098" w:rsidRDefault="002D7098" w:rsidP="002D7098">
      <w:pPr>
        <w:spacing w:line="360" w:lineRule="auto"/>
        <w:jc w:val="both"/>
        <w:rPr>
          <w:rFonts w:ascii="Palatino Linotype" w:hAnsi="Palatino Linotype"/>
          <w:lang w:val="es-MX"/>
        </w:rPr>
      </w:pPr>
      <w:r w:rsidRPr="002D7098">
        <w:rPr>
          <w:rFonts w:ascii="Palatino Linotype" w:hAnsi="Palatino Linotype"/>
          <w:lang w:val="es-MX"/>
        </w:rPr>
        <w:t xml:space="preserve">En mérito de lo expuesto en líneas anteriores, resultan </w:t>
      </w:r>
      <w:r w:rsidR="0060430C">
        <w:rPr>
          <w:rFonts w:ascii="Palatino Linotype" w:hAnsi="Palatino Linotype"/>
          <w:lang w:val="es-MX"/>
        </w:rPr>
        <w:t xml:space="preserve">parcialmente </w:t>
      </w:r>
      <w:r w:rsidRPr="002D7098">
        <w:rPr>
          <w:rFonts w:ascii="Palatino Linotype" w:hAnsi="Palatino Linotype"/>
          <w:lang w:val="es-MX"/>
        </w:rPr>
        <w:t>fundados los motivos de inconformidad que arguye el</w:t>
      </w:r>
      <w:r w:rsidRPr="002D7098">
        <w:rPr>
          <w:rFonts w:ascii="Palatino Linotype" w:hAnsi="Palatino Linotype"/>
          <w:b/>
          <w:lang w:val="es-MX"/>
        </w:rPr>
        <w:t xml:space="preserve"> Recurrente</w:t>
      </w:r>
      <w:r w:rsidRPr="002D7098">
        <w:rPr>
          <w:rFonts w:ascii="Palatino Linotype" w:hAnsi="Palatino Linotype"/>
          <w:lang w:val="es-MX"/>
        </w:rPr>
        <w:t xml:space="preserve"> en su medio de impugnación que fue materia de estudio, por ello </w:t>
      </w:r>
      <w:r w:rsidRPr="002D7098">
        <w:rPr>
          <w:rFonts w:ascii="Palatino Linotype" w:hAnsi="Palatino Linotype" w:cs="Arial"/>
          <w:lang w:val="es-MX"/>
        </w:rPr>
        <w:t>con fundamento en la segunda hipótesis de la</w:t>
      </w:r>
      <w:r w:rsidRPr="002D7098">
        <w:rPr>
          <w:rFonts w:ascii="Palatino Linotype" w:hAnsi="Palatino Linotype" w:cs="Arial"/>
          <w:b/>
          <w:lang w:val="es-MX"/>
        </w:rPr>
        <w:t xml:space="preserve"> </w:t>
      </w:r>
      <w:r w:rsidRPr="002D7098">
        <w:rPr>
          <w:rFonts w:ascii="Palatino Linotype" w:hAnsi="Palatino Linotype" w:cs="Arial"/>
          <w:lang w:val="es-MX"/>
        </w:rPr>
        <w:t>fracción</w:t>
      </w:r>
      <w:r w:rsidRPr="002D7098">
        <w:rPr>
          <w:rFonts w:ascii="Palatino Linotype" w:hAnsi="Palatino Linotype" w:cs="Arial"/>
          <w:b/>
          <w:lang w:val="es-MX"/>
        </w:rPr>
        <w:t xml:space="preserve"> </w:t>
      </w:r>
      <w:r w:rsidRPr="002D7098">
        <w:rPr>
          <w:rFonts w:ascii="Palatino Linotype" w:hAnsi="Palatino Linotype" w:cs="Arial"/>
          <w:lang w:val="es-MX"/>
        </w:rPr>
        <w:t>III, del artículo 186,</w:t>
      </w:r>
      <w:r w:rsidRPr="002D7098">
        <w:rPr>
          <w:rFonts w:ascii="Palatino Linotype" w:hAnsi="Palatino Linotype" w:cs="Arial"/>
          <w:b/>
          <w:lang w:val="es-MX"/>
        </w:rPr>
        <w:t xml:space="preserve"> </w:t>
      </w:r>
      <w:r w:rsidRPr="002D7098">
        <w:rPr>
          <w:rFonts w:ascii="Palatino Linotype" w:hAnsi="Palatino Linotype" w:cs="Arial"/>
          <w:lang w:val="es-MX"/>
        </w:rPr>
        <w:t xml:space="preserve">de la Ley de Transparencia y Acceso a la Información Pública del Estado de México y Municipios, se </w:t>
      </w:r>
      <w:r w:rsidRPr="002D7098">
        <w:rPr>
          <w:rFonts w:ascii="Palatino Linotype" w:hAnsi="Palatino Linotype" w:cs="Arial"/>
          <w:b/>
          <w:lang w:val="es-MX"/>
        </w:rPr>
        <w:t xml:space="preserve">MODIFICA </w:t>
      </w:r>
      <w:r w:rsidRPr="002D7098">
        <w:rPr>
          <w:rFonts w:ascii="Palatino Linotype" w:hAnsi="Palatino Linotype" w:cs="Arial"/>
          <w:lang w:val="es-MX"/>
        </w:rPr>
        <w:t>la respuesta a la solicitud de información número</w:t>
      </w:r>
      <w:r w:rsidRPr="002D7098">
        <w:rPr>
          <w:rFonts w:ascii="Palatino Linotype" w:hAnsi="Palatino Linotype"/>
          <w:b/>
          <w:lang w:val="es-MX"/>
        </w:rPr>
        <w:t xml:space="preserve"> </w:t>
      </w:r>
      <w:r w:rsidR="0060430C" w:rsidRPr="0060430C">
        <w:rPr>
          <w:rFonts w:ascii="Palatino Linotype" w:eastAsiaTheme="minorHAnsi" w:hAnsi="Palatino Linotype" w:cs="Arial"/>
          <w:b/>
          <w:szCs w:val="22"/>
          <w:lang w:val="es-MX" w:eastAsia="en-US"/>
        </w:rPr>
        <w:t>00065/OASTLALNE/IP/2022</w:t>
      </w:r>
      <w:r w:rsidRPr="002D7098">
        <w:rPr>
          <w:rFonts w:ascii="Palatino Linotype" w:eastAsiaTheme="minorHAnsi" w:hAnsi="Palatino Linotype" w:cs="Arial"/>
          <w:b/>
          <w:lang w:val="es-MX" w:eastAsia="en-US"/>
        </w:rPr>
        <w:t>,</w:t>
      </w:r>
      <w:r w:rsidRPr="002D7098">
        <w:rPr>
          <w:rFonts w:ascii="Palatino Linotype" w:hAnsi="Palatino Linotype" w:cs="Arial"/>
          <w:b/>
          <w:lang w:val="es-MX"/>
        </w:rPr>
        <w:t xml:space="preserve"> </w:t>
      </w:r>
      <w:r w:rsidRPr="002D7098">
        <w:rPr>
          <w:rFonts w:ascii="Palatino Linotype" w:hAnsi="Palatino Linotype"/>
          <w:lang w:val="es-MX"/>
        </w:rPr>
        <w:t>que ha sido materia del presente fallo.</w:t>
      </w:r>
    </w:p>
    <w:p w14:paraId="36A23592" w14:textId="77777777" w:rsidR="002D7098" w:rsidRPr="002D7098" w:rsidRDefault="002D7098" w:rsidP="002D7098">
      <w:pPr>
        <w:spacing w:line="360" w:lineRule="auto"/>
        <w:jc w:val="both"/>
        <w:rPr>
          <w:rFonts w:ascii="Palatino Linotype" w:hAnsi="Palatino Linotype"/>
          <w:lang w:val="es-MX"/>
        </w:rPr>
      </w:pPr>
    </w:p>
    <w:p w14:paraId="07EDE0E8" w14:textId="77777777" w:rsidR="002D7098" w:rsidRPr="002D7098" w:rsidRDefault="002D7098" w:rsidP="002D7098">
      <w:pPr>
        <w:spacing w:line="360" w:lineRule="auto"/>
        <w:jc w:val="both"/>
        <w:rPr>
          <w:rFonts w:ascii="Palatino Linotype" w:hAnsi="Palatino Linotype"/>
          <w:lang w:val="es-MX"/>
        </w:rPr>
      </w:pPr>
      <w:r w:rsidRPr="002D7098">
        <w:rPr>
          <w:rFonts w:ascii="Palatino Linotype" w:hAnsi="Palatino Linotype"/>
          <w:lang w:val="es-MX"/>
        </w:rPr>
        <w:t>Por lo antes expuesto y fundado es de resolverse y,</w:t>
      </w:r>
    </w:p>
    <w:p w14:paraId="4BD9E6F8" w14:textId="77777777" w:rsidR="002D7098" w:rsidRPr="002D7098" w:rsidRDefault="002D7098" w:rsidP="002D7098">
      <w:pPr>
        <w:spacing w:before="100" w:beforeAutospacing="1" w:after="100" w:afterAutospacing="1" w:line="360" w:lineRule="auto"/>
        <w:ind w:left="1080"/>
        <w:jc w:val="center"/>
        <w:rPr>
          <w:rFonts w:ascii="Palatino Linotype" w:hAnsi="Palatino Linotype" w:cs="Arial"/>
          <w:b/>
          <w:lang w:val="es-MX" w:eastAsia="es-MX"/>
        </w:rPr>
      </w:pPr>
      <w:r w:rsidRPr="002D7098">
        <w:rPr>
          <w:rFonts w:ascii="Palatino Linotype" w:hAnsi="Palatino Linotype" w:cs="Arial"/>
          <w:b/>
          <w:lang w:val="es-MX" w:eastAsia="es-MX"/>
        </w:rPr>
        <w:t>SE      R E S U E L V E:</w:t>
      </w:r>
    </w:p>
    <w:p w14:paraId="017E84E6" w14:textId="0E505A14" w:rsidR="002D7098" w:rsidRPr="002D7098" w:rsidRDefault="002D7098" w:rsidP="002D7098">
      <w:pPr>
        <w:spacing w:line="360" w:lineRule="auto"/>
        <w:jc w:val="both"/>
        <w:rPr>
          <w:rFonts w:ascii="Palatino Linotype" w:eastAsiaTheme="minorHAnsi" w:hAnsi="Palatino Linotype" w:cs="Arial"/>
          <w:b/>
          <w:lang w:val="es-MX" w:eastAsia="en-US"/>
        </w:rPr>
      </w:pPr>
      <w:r w:rsidRPr="002D7098">
        <w:rPr>
          <w:rFonts w:ascii="Palatino Linotype" w:eastAsiaTheme="minorHAnsi" w:hAnsi="Palatino Linotype" w:cs="Arial"/>
          <w:b/>
          <w:lang w:val="es-MX" w:eastAsia="en-US"/>
        </w:rPr>
        <w:t xml:space="preserve">PRIMERO. </w:t>
      </w:r>
      <w:bookmarkStart w:id="4" w:name="_Hlk63453450"/>
      <w:bookmarkStart w:id="5" w:name="_Hlk63431287"/>
      <w:r w:rsidRPr="002D7098">
        <w:rPr>
          <w:rFonts w:ascii="Palatino Linotype" w:eastAsiaTheme="minorHAnsi" w:hAnsi="Palatino Linotype" w:cs="Arial"/>
          <w:lang w:val="es-MX" w:eastAsia="en-US"/>
        </w:rPr>
        <w:t>Son</w:t>
      </w:r>
      <w:r w:rsidR="0060430C">
        <w:rPr>
          <w:rFonts w:ascii="Palatino Linotype" w:eastAsiaTheme="minorHAnsi" w:hAnsi="Palatino Linotype" w:cs="Arial"/>
          <w:lang w:val="es-MX" w:eastAsia="en-US"/>
        </w:rPr>
        <w:t xml:space="preserve"> parcialmente</w:t>
      </w:r>
      <w:r w:rsidRPr="002D7098">
        <w:rPr>
          <w:rFonts w:ascii="Palatino Linotype" w:eastAsiaTheme="minorHAnsi" w:hAnsi="Palatino Linotype" w:cs="Arial"/>
          <w:lang w:val="es-MX" w:eastAsia="en-US"/>
        </w:rPr>
        <w:t xml:space="preserve"> fundados los motivos de inconformidad aducidos por </w:t>
      </w:r>
      <w:r w:rsidRPr="002D7098">
        <w:rPr>
          <w:rFonts w:ascii="Palatino Linotype" w:eastAsiaTheme="minorHAnsi" w:hAnsi="Palatino Linotype" w:cs="Arial"/>
          <w:b/>
          <w:lang w:val="es-MX" w:eastAsia="en-US"/>
        </w:rPr>
        <w:t>El Recurrente</w:t>
      </w:r>
      <w:r w:rsidRPr="002D7098">
        <w:rPr>
          <w:rFonts w:ascii="Palatino Linotype" w:eastAsia="Arial Unicode MS" w:hAnsi="Palatino Linotype" w:cs="Arial"/>
          <w:lang w:val="es-MX" w:eastAsia="en-US"/>
        </w:rPr>
        <w:t xml:space="preserve"> </w:t>
      </w:r>
      <w:bookmarkStart w:id="6" w:name="_Hlk62112942"/>
      <w:r w:rsidRPr="002D7098">
        <w:rPr>
          <w:rFonts w:ascii="Palatino Linotype" w:eastAsia="Arial Unicode MS" w:hAnsi="Palatino Linotype" w:cs="Arial"/>
          <w:lang w:val="es-MX" w:eastAsia="en-US"/>
        </w:rPr>
        <w:t xml:space="preserve">en el Recurso de Revisión </w:t>
      </w:r>
      <w:r w:rsidR="0060430C" w:rsidRPr="0060430C">
        <w:rPr>
          <w:rFonts w:ascii="Palatino Linotype" w:eastAsia="Arial Unicode MS" w:hAnsi="Palatino Linotype" w:cs="Arial"/>
          <w:b/>
          <w:bCs/>
          <w:lang w:val="es-MX" w:eastAsia="en-US"/>
        </w:rPr>
        <w:t>00065/OASTLALNE/IP/2022</w:t>
      </w:r>
      <w:r w:rsidRPr="002D7098">
        <w:rPr>
          <w:rFonts w:ascii="Palatino Linotype" w:eastAsiaTheme="minorHAnsi" w:hAnsi="Palatino Linotype" w:cs="Arial"/>
          <w:lang w:val="es-MX" w:eastAsia="en-US"/>
        </w:rPr>
        <w:t xml:space="preserve">, </w:t>
      </w:r>
      <w:bookmarkEnd w:id="6"/>
      <w:r w:rsidRPr="002D7098">
        <w:rPr>
          <w:rFonts w:ascii="Palatino Linotype" w:eastAsiaTheme="minorHAnsi" w:hAnsi="Palatino Linotype" w:cs="Arial"/>
          <w:lang w:val="es-MX" w:eastAsia="en-US"/>
        </w:rPr>
        <w:t xml:space="preserve">en términos de los argumentos de derecho señalados en el considerando </w:t>
      </w:r>
      <w:r w:rsidR="00A746AA" w:rsidRPr="0060430C">
        <w:rPr>
          <w:rFonts w:ascii="Palatino Linotype" w:eastAsiaTheme="minorHAnsi" w:hAnsi="Palatino Linotype" w:cs="Arial"/>
          <w:b/>
          <w:bCs/>
          <w:lang w:val="es-MX" w:eastAsia="en-US"/>
        </w:rPr>
        <w:t>QUINTO</w:t>
      </w:r>
      <w:r w:rsidRPr="002D7098">
        <w:rPr>
          <w:rFonts w:ascii="Palatino Linotype" w:eastAsiaTheme="minorHAnsi" w:hAnsi="Palatino Linotype" w:cs="Arial"/>
          <w:lang w:val="es-MX" w:eastAsia="en-US"/>
        </w:rPr>
        <w:t xml:space="preserve">, por ende, se </w:t>
      </w:r>
      <w:r w:rsidRPr="002D7098">
        <w:rPr>
          <w:rFonts w:ascii="Palatino Linotype" w:eastAsiaTheme="minorHAnsi" w:hAnsi="Palatino Linotype" w:cs="Arial"/>
          <w:b/>
          <w:lang w:val="es-MX" w:eastAsia="en-US"/>
        </w:rPr>
        <w:t xml:space="preserve">MODIFICA, </w:t>
      </w:r>
      <w:r w:rsidRPr="002D7098">
        <w:rPr>
          <w:rFonts w:ascii="Palatino Linotype" w:eastAsiaTheme="minorHAnsi" w:hAnsi="Palatino Linotype" w:cs="Arial"/>
          <w:lang w:val="es-MX" w:eastAsia="en-US"/>
        </w:rPr>
        <w:t xml:space="preserve">la respuesta del </w:t>
      </w:r>
      <w:r w:rsidRPr="002D7098">
        <w:rPr>
          <w:rFonts w:ascii="Palatino Linotype" w:eastAsiaTheme="minorHAnsi" w:hAnsi="Palatino Linotype" w:cs="Arial"/>
          <w:b/>
          <w:lang w:val="es-MX" w:eastAsia="en-US"/>
        </w:rPr>
        <w:t>Sujeto Obligado.</w:t>
      </w:r>
    </w:p>
    <w:p w14:paraId="6DBD25FF" w14:textId="77777777" w:rsidR="002D7098" w:rsidRPr="002D7098" w:rsidRDefault="002D7098" w:rsidP="002D7098">
      <w:pPr>
        <w:spacing w:line="360" w:lineRule="auto"/>
        <w:jc w:val="both"/>
        <w:rPr>
          <w:rFonts w:ascii="Palatino Linotype" w:eastAsiaTheme="minorHAnsi" w:hAnsi="Palatino Linotype" w:cs="Arial"/>
          <w:lang w:val="es-MX" w:eastAsia="en-US"/>
        </w:rPr>
      </w:pPr>
    </w:p>
    <w:p w14:paraId="7DC75599" w14:textId="2F82A2AE" w:rsidR="002D7098" w:rsidRDefault="002D7098" w:rsidP="00CC4FA2">
      <w:pPr>
        <w:spacing w:line="360" w:lineRule="auto"/>
        <w:jc w:val="both"/>
        <w:rPr>
          <w:rFonts w:ascii="Palatino Linotype" w:eastAsiaTheme="minorHAnsi" w:hAnsi="Palatino Linotype" w:cstheme="minorBidi"/>
          <w:lang w:val="es-MX" w:eastAsia="en-US"/>
        </w:rPr>
      </w:pPr>
      <w:r w:rsidRPr="002D7098">
        <w:rPr>
          <w:rFonts w:ascii="Palatino Linotype" w:eastAsiaTheme="minorHAnsi" w:hAnsi="Palatino Linotype" w:cs="Arial"/>
          <w:b/>
          <w:lang w:val="es-MX" w:eastAsia="en-US"/>
        </w:rPr>
        <w:t>SEGUNDO.</w:t>
      </w:r>
      <w:r w:rsidRPr="002D7098">
        <w:rPr>
          <w:rFonts w:ascii="Palatino Linotype" w:eastAsia="Calibri" w:hAnsi="Palatino Linotype" w:cs="Arial"/>
          <w:lang w:val="es-MX" w:eastAsia="en-US"/>
        </w:rPr>
        <w:t xml:space="preserve"> </w:t>
      </w:r>
      <w:r w:rsidRPr="002D7098">
        <w:rPr>
          <w:rFonts w:ascii="Palatino Linotype" w:eastAsiaTheme="minorHAnsi" w:hAnsi="Palatino Linotype" w:cs="Arial"/>
          <w:lang w:val="es-MX" w:eastAsia="en-US"/>
        </w:rPr>
        <w:t>Se</w:t>
      </w:r>
      <w:r w:rsidRPr="002D7098">
        <w:rPr>
          <w:rFonts w:ascii="Palatino Linotype" w:eastAsiaTheme="minorHAnsi" w:hAnsi="Palatino Linotype" w:cs="Arial"/>
          <w:b/>
          <w:lang w:val="es-MX" w:eastAsia="en-US"/>
        </w:rPr>
        <w:t xml:space="preserve"> </w:t>
      </w:r>
      <w:r w:rsidRPr="002D7098">
        <w:rPr>
          <w:rFonts w:ascii="Palatino Linotype" w:eastAsiaTheme="minorHAnsi" w:hAnsi="Palatino Linotype" w:cstheme="minorBidi"/>
          <w:b/>
          <w:lang w:val="es-MX" w:eastAsia="en-US"/>
        </w:rPr>
        <w:t xml:space="preserve">ORDENA </w:t>
      </w:r>
      <w:r w:rsidRPr="002D7098">
        <w:rPr>
          <w:rFonts w:ascii="Palatino Linotype" w:eastAsiaTheme="minorHAnsi" w:hAnsi="Palatino Linotype" w:cstheme="minorBidi"/>
          <w:lang w:val="es-MX" w:eastAsia="en-US"/>
        </w:rPr>
        <w:t xml:space="preserve">al </w:t>
      </w:r>
      <w:r w:rsidRPr="002D7098">
        <w:rPr>
          <w:rFonts w:ascii="Palatino Linotype" w:eastAsiaTheme="minorHAnsi" w:hAnsi="Palatino Linotype" w:cstheme="minorBidi"/>
          <w:b/>
          <w:lang w:val="es-MX" w:eastAsia="en-US"/>
        </w:rPr>
        <w:t>Sujeto Obligado</w:t>
      </w:r>
      <w:r w:rsidRPr="002D7098">
        <w:rPr>
          <w:rFonts w:ascii="Palatino Linotype" w:eastAsiaTheme="minorHAnsi" w:hAnsi="Palatino Linotype" w:cstheme="minorBidi"/>
          <w:lang w:val="es-MX" w:eastAsia="en-US"/>
        </w:rPr>
        <w:t xml:space="preserve"> en términos del Considerando </w:t>
      </w:r>
      <w:r w:rsidR="00A746AA" w:rsidRPr="0060430C">
        <w:rPr>
          <w:rFonts w:ascii="Palatino Linotype" w:eastAsiaTheme="minorHAnsi" w:hAnsi="Palatino Linotype" w:cstheme="minorBidi"/>
          <w:b/>
          <w:bCs/>
          <w:lang w:val="es-MX" w:eastAsia="en-US"/>
        </w:rPr>
        <w:t>QUINTO</w:t>
      </w:r>
      <w:r w:rsidRPr="002D7098">
        <w:rPr>
          <w:rFonts w:ascii="Palatino Linotype" w:eastAsiaTheme="minorHAnsi" w:hAnsi="Palatino Linotype" w:cstheme="minorBidi"/>
          <w:lang w:val="es-MX" w:eastAsia="en-US"/>
        </w:rPr>
        <w:t xml:space="preserve">, </w:t>
      </w:r>
      <w:r w:rsidRPr="002D7098">
        <w:rPr>
          <w:rFonts w:ascii="Palatino Linotype" w:eastAsiaTheme="minorHAnsi" w:hAnsi="Palatino Linotype" w:cs="Arial"/>
          <w:lang w:val="es-MX" w:eastAsia="en-US"/>
        </w:rPr>
        <w:t xml:space="preserve">haga entrega a través a través del Sistema de Acceso a la Información Mexiquense (SAIMEX), de ser procedente en versión pública, </w:t>
      </w:r>
      <w:r w:rsidRPr="002D7098">
        <w:rPr>
          <w:rFonts w:ascii="Palatino Linotype" w:eastAsiaTheme="minorHAnsi" w:hAnsi="Palatino Linotype" w:cs="Arial"/>
          <w:bCs/>
          <w:lang w:val="es-MX" w:eastAsia="en-US"/>
        </w:rPr>
        <w:t xml:space="preserve">de </w:t>
      </w:r>
      <w:r w:rsidRPr="002D7098">
        <w:rPr>
          <w:rFonts w:ascii="Palatino Linotype" w:eastAsiaTheme="minorHAnsi" w:hAnsi="Palatino Linotype" w:cstheme="minorBidi"/>
          <w:lang w:val="es-MX" w:eastAsia="en-US"/>
        </w:rPr>
        <w:t>lo siguiente:</w:t>
      </w:r>
    </w:p>
    <w:p w14:paraId="41A7CB2C" w14:textId="77777777" w:rsidR="00CC4FA2" w:rsidRPr="00CC4FA2" w:rsidRDefault="00CC4FA2" w:rsidP="00CC4FA2">
      <w:pPr>
        <w:spacing w:line="360" w:lineRule="auto"/>
        <w:jc w:val="both"/>
        <w:rPr>
          <w:rFonts w:ascii="Palatino Linotype" w:eastAsiaTheme="minorHAnsi" w:hAnsi="Palatino Linotype" w:cstheme="minorBidi"/>
          <w:lang w:val="es-MX" w:eastAsia="en-US"/>
        </w:rPr>
      </w:pPr>
    </w:p>
    <w:p w14:paraId="55A5CB41" w14:textId="2AC63C11" w:rsidR="007538C5" w:rsidRPr="002D7098" w:rsidRDefault="002D7098" w:rsidP="00CC4FA2">
      <w:pPr>
        <w:spacing w:line="276" w:lineRule="auto"/>
        <w:ind w:left="720"/>
        <w:jc w:val="both"/>
        <w:rPr>
          <w:rFonts w:ascii="Palatino Linotype" w:hAnsi="Palatino Linotype"/>
          <w:color w:val="000000"/>
        </w:rPr>
      </w:pPr>
      <w:bookmarkStart w:id="7" w:name="_Hlk62045713"/>
      <w:bookmarkEnd w:id="4"/>
      <w:r w:rsidRPr="002D7098">
        <w:rPr>
          <w:rFonts w:ascii="Palatino Linotype" w:hAnsi="Palatino Linotype"/>
        </w:rPr>
        <w:t xml:space="preserve">1.- </w:t>
      </w:r>
      <w:r w:rsidR="0060430C">
        <w:rPr>
          <w:rFonts w:ascii="Palatino Linotype" w:hAnsi="Palatino Linotype"/>
          <w:i/>
          <w:iCs/>
        </w:rPr>
        <w:t>L</w:t>
      </w:r>
      <w:r w:rsidR="003C2B1D" w:rsidRPr="007538C5">
        <w:rPr>
          <w:rFonts w:ascii="Palatino Linotype" w:hAnsi="Palatino Linotype"/>
          <w:i/>
          <w:iCs/>
        </w:rPr>
        <w:t>os expedientes concluidos</w:t>
      </w:r>
      <w:r w:rsidR="007538C5">
        <w:rPr>
          <w:rFonts w:ascii="Palatino Linotype" w:hAnsi="Palatino Linotype"/>
          <w:i/>
          <w:iCs/>
        </w:rPr>
        <w:t xml:space="preserve"> y que hayan causado estado</w:t>
      </w:r>
      <w:r w:rsidR="007538C5" w:rsidRPr="007538C5">
        <w:rPr>
          <w:rFonts w:ascii="Palatino Linotype" w:hAnsi="Palatino Linotype"/>
          <w:i/>
          <w:iCs/>
        </w:rPr>
        <w:t xml:space="preserve">; así como, de aquellos que se </w:t>
      </w:r>
      <w:r w:rsidR="007538C5">
        <w:rPr>
          <w:rFonts w:ascii="Palatino Linotype" w:hAnsi="Palatino Linotype"/>
          <w:i/>
          <w:iCs/>
        </w:rPr>
        <w:t>encuentran</w:t>
      </w:r>
      <w:r w:rsidR="007538C5" w:rsidRPr="007538C5">
        <w:rPr>
          <w:rFonts w:ascii="Palatino Linotype" w:hAnsi="Palatino Linotype"/>
          <w:i/>
          <w:iCs/>
        </w:rPr>
        <w:t xml:space="preserve"> en trámite y que se relacionen con actos de corrupción, delitos de lesa humanidad o posibles violaciones graves a derechos humanos</w:t>
      </w:r>
      <w:r w:rsidR="007538C5">
        <w:rPr>
          <w:rFonts w:ascii="Palatino Linotype" w:hAnsi="Palatino Linotype"/>
          <w:i/>
          <w:iCs/>
        </w:rPr>
        <w:t>,</w:t>
      </w:r>
      <w:r w:rsidR="0060430C">
        <w:rPr>
          <w:rFonts w:ascii="Palatino Linotype" w:hAnsi="Palatino Linotype"/>
          <w:i/>
          <w:iCs/>
        </w:rPr>
        <w:t xml:space="preserve"> formados</w:t>
      </w:r>
      <w:r w:rsidR="003C2B1D" w:rsidRPr="007538C5">
        <w:rPr>
          <w:rFonts w:ascii="Palatino Linotype" w:hAnsi="Palatino Linotype"/>
          <w:i/>
          <w:iCs/>
        </w:rPr>
        <w:t xml:space="preserve"> con motivo de procedimiento</w:t>
      </w:r>
      <w:r w:rsidR="007538C5">
        <w:rPr>
          <w:rFonts w:ascii="Palatino Linotype" w:hAnsi="Palatino Linotype"/>
          <w:i/>
          <w:iCs/>
        </w:rPr>
        <w:t>s</w:t>
      </w:r>
      <w:r w:rsidR="007538C5" w:rsidRPr="007538C5">
        <w:rPr>
          <w:rFonts w:ascii="Palatino Linotype" w:hAnsi="Palatino Linotype"/>
          <w:i/>
          <w:iCs/>
        </w:rPr>
        <w:t xml:space="preserve"> de</w:t>
      </w:r>
      <w:r w:rsidR="003C2B1D" w:rsidRPr="007538C5">
        <w:rPr>
          <w:rFonts w:ascii="Palatino Linotype" w:hAnsi="Palatino Linotype"/>
          <w:i/>
          <w:iCs/>
        </w:rPr>
        <w:t xml:space="preserve"> responsabilidad administrativa </w:t>
      </w:r>
      <w:r w:rsidR="007538C5" w:rsidRPr="007538C5">
        <w:rPr>
          <w:rFonts w:ascii="Palatino Linotype" w:hAnsi="Palatino Linotype"/>
          <w:i/>
          <w:iCs/>
        </w:rPr>
        <w:t>instaurados en la Contraloría Municipal</w:t>
      </w:r>
      <w:r w:rsidR="003C2B1D" w:rsidRPr="007538C5">
        <w:rPr>
          <w:rFonts w:ascii="Palatino Linotype" w:hAnsi="Palatino Linotype"/>
          <w:i/>
          <w:iCs/>
        </w:rPr>
        <w:t xml:space="preserve"> del periodo que comprende del 0</w:t>
      </w:r>
      <w:r w:rsidR="0060430C">
        <w:rPr>
          <w:rFonts w:ascii="Palatino Linotype" w:hAnsi="Palatino Linotype"/>
          <w:i/>
          <w:iCs/>
        </w:rPr>
        <w:t>9</w:t>
      </w:r>
      <w:r w:rsidR="003C2B1D" w:rsidRPr="007538C5">
        <w:rPr>
          <w:rFonts w:ascii="Palatino Linotype" w:hAnsi="Palatino Linotype"/>
          <w:i/>
          <w:iCs/>
        </w:rPr>
        <w:t xml:space="preserve"> de </w:t>
      </w:r>
      <w:r w:rsidR="0060430C">
        <w:rPr>
          <w:rFonts w:ascii="Palatino Linotype" w:hAnsi="Palatino Linotype"/>
          <w:i/>
          <w:iCs/>
        </w:rPr>
        <w:t>febrero</w:t>
      </w:r>
      <w:r w:rsidR="003C2B1D" w:rsidRPr="007538C5">
        <w:rPr>
          <w:rFonts w:ascii="Palatino Linotype" w:hAnsi="Palatino Linotype"/>
          <w:i/>
          <w:iCs/>
        </w:rPr>
        <w:t xml:space="preserve"> de 202</w:t>
      </w:r>
      <w:r w:rsidR="0060430C">
        <w:rPr>
          <w:rFonts w:ascii="Palatino Linotype" w:hAnsi="Palatino Linotype"/>
          <w:i/>
          <w:iCs/>
        </w:rPr>
        <w:t>1</w:t>
      </w:r>
      <w:r w:rsidR="003C2B1D" w:rsidRPr="007538C5">
        <w:rPr>
          <w:rFonts w:ascii="Palatino Linotype" w:hAnsi="Palatino Linotype"/>
          <w:i/>
          <w:iCs/>
        </w:rPr>
        <w:t xml:space="preserve"> al </w:t>
      </w:r>
      <w:r w:rsidR="0060430C">
        <w:rPr>
          <w:rFonts w:ascii="Palatino Linotype" w:hAnsi="Palatino Linotype"/>
          <w:i/>
          <w:iCs/>
        </w:rPr>
        <w:t>09 de febrero de 2022</w:t>
      </w:r>
      <w:r w:rsidRPr="002D7098">
        <w:rPr>
          <w:rFonts w:ascii="Palatino Linotype" w:hAnsi="Palatino Linotype"/>
          <w:i/>
          <w:iCs/>
          <w:color w:val="000000"/>
        </w:rPr>
        <w:t>.</w:t>
      </w:r>
      <w:r w:rsidRPr="002D7098">
        <w:rPr>
          <w:rFonts w:ascii="Palatino Linotype" w:hAnsi="Palatino Linotype"/>
          <w:color w:val="000000"/>
        </w:rPr>
        <w:t xml:space="preserve"> </w:t>
      </w:r>
    </w:p>
    <w:p w14:paraId="2147369A" w14:textId="77777777" w:rsidR="002D7098" w:rsidRPr="002D7098" w:rsidRDefault="002D7098" w:rsidP="002D7098">
      <w:pPr>
        <w:spacing w:line="360" w:lineRule="auto"/>
        <w:ind w:left="720"/>
        <w:jc w:val="both"/>
        <w:rPr>
          <w:rFonts w:ascii="Palatino Linotype" w:hAnsi="Palatino Linotype"/>
          <w:color w:val="000000"/>
          <w:sz w:val="18"/>
        </w:rPr>
      </w:pPr>
    </w:p>
    <w:p w14:paraId="44066D24" w14:textId="77777777" w:rsidR="002D7098" w:rsidRPr="002D7098" w:rsidRDefault="002D7098" w:rsidP="002D7098">
      <w:pPr>
        <w:spacing w:line="276" w:lineRule="auto"/>
        <w:ind w:left="720"/>
        <w:jc w:val="both"/>
        <w:rPr>
          <w:rFonts w:ascii="Palatino Linotype" w:eastAsia="Calibri" w:hAnsi="Palatino Linotype" w:cs="Arial"/>
          <w:i/>
          <w:sz w:val="22"/>
          <w:szCs w:val="23"/>
          <w:lang w:val="es-ES_tradnl" w:eastAsia="en-US"/>
        </w:rPr>
      </w:pPr>
      <w:r w:rsidRPr="002D7098">
        <w:rPr>
          <w:rFonts w:ascii="Palatino Linotype" w:eastAsiaTheme="minorHAnsi" w:hAnsi="Palatino Linotype" w:cs="Arial"/>
          <w:bCs/>
          <w:i/>
          <w:sz w:val="22"/>
          <w:szCs w:val="23"/>
          <w:shd w:val="clear" w:color="auto" w:fill="FFFFFF"/>
          <w:lang w:val="es-MX" w:eastAsia="en-US"/>
        </w:rPr>
        <w:t xml:space="preserve">Para la versión pública, el Sujeto Obligado deberá emitir el Acuerdo del Comité de Transparencia en términos del artículo 49 fracción VIII y </w:t>
      </w:r>
      <w:r w:rsidRPr="002D7098">
        <w:rPr>
          <w:rFonts w:ascii="Palatino Linotype" w:eastAsia="Calibri" w:hAnsi="Palatino Linotype" w:cs="Arial"/>
          <w:i/>
          <w:sz w:val="22"/>
          <w:szCs w:val="23"/>
          <w:lang w:val="es-ES_tradnl" w:eastAsia="en-US"/>
        </w:rPr>
        <w:t>132 fracción II de la Ley de Transparencia y Acceso a la Información Pública del Estado de México y Municipios vigente, en el que funde y motive las razones sobre los datos que se supriman o eliminen dentro del soporte documental respectivo objeto de las versiones públicas que se formulen y se ponga a disposición de la recurrente.</w:t>
      </w:r>
    </w:p>
    <w:p w14:paraId="4595C496" w14:textId="77777777" w:rsidR="002D7098" w:rsidRPr="002D7098" w:rsidRDefault="002D7098" w:rsidP="002D7098">
      <w:pPr>
        <w:spacing w:line="276" w:lineRule="auto"/>
        <w:ind w:left="720"/>
        <w:jc w:val="both"/>
        <w:rPr>
          <w:rFonts w:ascii="Palatino Linotype" w:eastAsia="Calibri" w:hAnsi="Palatino Linotype" w:cs="Arial"/>
          <w:i/>
          <w:sz w:val="22"/>
          <w:szCs w:val="23"/>
          <w:lang w:val="es-ES_tradnl" w:eastAsia="en-US"/>
        </w:rPr>
      </w:pPr>
    </w:p>
    <w:p w14:paraId="1DA38569" w14:textId="656AE1EA" w:rsidR="002D7098" w:rsidRPr="002D7098" w:rsidRDefault="002D7098" w:rsidP="002D7098">
      <w:pPr>
        <w:spacing w:line="276" w:lineRule="auto"/>
        <w:ind w:left="720"/>
        <w:jc w:val="both"/>
        <w:rPr>
          <w:rFonts w:ascii="Palatino Linotype" w:eastAsia="Calibri" w:hAnsi="Palatino Linotype" w:cs="Arial"/>
          <w:i/>
          <w:sz w:val="22"/>
          <w:szCs w:val="23"/>
          <w:lang w:val="es-ES_tradnl" w:eastAsia="en-US"/>
        </w:rPr>
      </w:pPr>
      <w:r w:rsidRPr="002D7098">
        <w:rPr>
          <w:rFonts w:ascii="Palatino Linotype" w:eastAsia="Calibri" w:hAnsi="Palatino Linotype" w:cs="Arial"/>
          <w:i/>
          <w:sz w:val="22"/>
          <w:szCs w:val="23"/>
          <w:lang w:val="es-ES_tradnl" w:eastAsia="en-US"/>
        </w:rPr>
        <w:t xml:space="preserve">Para el caso de que </w:t>
      </w:r>
      <w:r w:rsidR="00A47F58">
        <w:rPr>
          <w:rFonts w:ascii="Palatino Linotype" w:eastAsia="Calibri" w:hAnsi="Palatino Linotype" w:cs="Arial"/>
          <w:i/>
          <w:sz w:val="22"/>
          <w:szCs w:val="23"/>
          <w:lang w:val="es-ES_tradnl" w:eastAsia="en-US"/>
        </w:rPr>
        <w:t>los</w:t>
      </w:r>
      <w:r w:rsidRPr="002D7098">
        <w:rPr>
          <w:rFonts w:ascii="Palatino Linotype" w:eastAsia="Calibri" w:hAnsi="Palatino Linotype" w:cs="Arial"/>
          <w:i/>
          <w:sz w:val="22"/>
          <w:szCs w:val="23"/>
          <w:lang w:val="es-ES_tradnl" w:eastAsia="en-US"/>
        </w:rPr>
        <w:t xml:space="preserve"> documentos referidos en el numeral 1 del </w:t>
      </w:r>
      <w:r w:rsidR="00A47F58">
        <w:rPr>
          <w:rFonts w:ascii="Palatino Linotype" w:eastAsia="Calibri" w:hAnsi="Palatino Linotype" w:cs="Arial"/>
          <w:i/>
          <w:sz w:val="22"/>
          <w:szCs w:val="23"/>
          <w:lang w:val="es-ES_tradnl" w:eastAsia="en-US"/>
        </w:rPr>
        <w:t xml:space="preserve">presente </w:t>
      </w:r>
      <w:r w:rsidRPr="002D7098">
        <w:rPr>
          <w:rFonts w:ascii="Palatino Linotype" w:eastAsia="Calibri" w:hAnsi="Palatino Linotype" w:cs="Arial"/>
          <w:i/>
          <w:sz w:val="22"/>
          <w:szCs w:val="23"/>
          <w:lang w:val="es-ES_tradnl" w:eastAsia="en-US"/>
        </w:rPr>
        <w:t xml:space="preserve">Resolutivo </w:t>
      </w:r>
      <w:r w:rsidR="00A47F58">
        <w:rPr>
          <w:rFonts w:ascii="Palatino Linotype" w:eastAsia="Calibri" w:hAnsi="Palatino Linotype" w:cs="Arial"/>
          <w:i/>
          <w:sz w:val="22"/>
          <w:szCs w:val="23"/>
          <w:lang w:val="es-ES_tradnl" w:eastAsia="en-US"/>
        </w:rPr>
        <w:t xml:space="preserve">formen parte de expedientes que </w:t>
      </w:r>
      <w:r w:rsidRPr="002D7098">
        <w:rPr>
          <w:rFonts w:ascii="Palatino Linotype" w:eastAsia="Calibri" w:hAnsi="Palatino Linotype" w:cs="Arial"/>
          <w:i/>
          <w:sz w:val="22"/>
          <w:szCs w:val="23"/>
          <w:lang w:val="es-ES_tradnl" w:eastAsia="en-US"/>
        </w:rPr>
        <w:t>corresponda</w:t>
      </w:r>
      <w:r w:rsidR="00A47F58">
        <w:rPr>
          <w:rFonts w:ascii="Palatino Linotype" w:eastAsia="Calibri" w:hAnsi="Palatino Linotype" w:cs="Arial"/>
          <w:i/>
          <w:sz w:val="22"/>
          <w:szCs w:val="23"/>
          <w:lang w:val="es-ES_tradnl" w:eastAsia="en-US"/>
        </w:rPr>
        <w:t>n</w:t>
      </w:r>
      <w:r w:rsidRPr="002D7098">
        <w:rPr>
          <w:rFonts w:ascii="Palatino Linotype" w:eastAsia="Calibri" w:hAnsi="Palatino Linotype" w:cs="Arial"/>
          <w:i/>
          <w:sz w:val="22"/>
          <w:szCs w:val="23"/>
          <w:lang w:val="es-ES_tradnl" w:eastAsia="en-US"/>
        </w:rPr>
        <w:t xml:space="preserve"> a procedimientos administrativos por faltas no graves y que no haya causado estado, deberá emitirse el Acuerdo de Clasificación respectivo en el que se funden y motiven las razones de su RESERVA, mismo que se hará del conocimiento del Recurrente.</w:t>
      </w:r>
    </w:p>
    <w:p w14:paraId="2541DB99" w14:textId="77777777" w:rsidR="002D7098" w:rsidRPr="002D7098" w:rsidRDefault="002D7098" w:rsidP="002D7098">
      <w:pPr>
        <w:spacing w:line="276" w:lineRule="auto"/>
        <w:ind w:left="720"/>
        <w:jc w:val="both"/>
        <w:rPr>
          <w:rFonts w:ascii="Palatino Linotype" w:eastAsia="Calibri" w:hAnsi="Palatino Linotype" w:cs="Arial"/>
          <w:i/>
          <w:sz w:val="22"/>
          <w:szCs w:val="23"/>
          <w:lang w:val="es-ES_tradnl" w:eastAsia="en-US"/>
        </w:rPr>
      </w:pPr>
    </w:p>
    <w:p w14:paraId="6A9236E0" w14:textId="77777777" w:rsidR="002D7098" w:rsidRPr="002D7098" w:rsidRDefault="002D7098" w:rsidP="002D7098">
      <w:pPr>
        <w:spacing w:before="240" w:after="240" w:line="360" w:lineRule="auto"/>
        <w:ind w:right="49"/>
        <w:jc w:val="both"/>
        <w:rPr>
          <w:rFonts w:ascii="Palatino Linotype" w:eastAsia="MS Mincho" w:hAnsi="Palatino Linotype" w:cstheme="minorBidi"/>
          <w:shd w:val="clear" w:color="auto" w:fill="FFFFFF"/>
          <w:lang w:val="es-ES_tradnl" w:eastAsia="en-US"/>
        </w:rPr>
      </w:pPr>
      <w:r w:rsidRPr="002D7098">
        <w:rPr>
          <w:rFonts w:ascii="Palatino Linotype" w:eastAsiaTheme="minorHAnsi" w:hAnsi="Palatino Linotype" w:cs="Arial"/>
          <w:b/>
          <w:bCs/>
          <w:shd w:val="clear" w:color="auto" w:fill="FFFFFF"/>
          <w:lang w:val="es-MX" w:eastAsia="en-US"/>
        </w:rPr>
        <w:t xml:space="preserve">TERCERO. </w:t>
      </w:r>
      <w:r w:rsidRPr="002D7098">
        <w:rPr>
          <w:rFonts w:ascii="Palatino Linotype" w:eastAsia="MS Mincho" w:hAnsi="Palatino Linotype" w:cs="Arial"/>
          <w:b/>
          <w:bCs/>
          <w:shd w:val="clear" w:color="auto" w:fill="FFFFFF"/>
          <w:lang w:val="es-ES_tradnl" w:eastAsia="en-US"/>
        </w:rPr>
        <w:t xml:space="preserve">Notifíquese </w:t>
      </w:r>
      <w:r w:rsidRPr="002D7098">
        <w:rPr>
          <w:rFonts w:ascii="Palatino Linotype" w:eastAsia="MS Mincho" w:hAnsi="Palatino Linotype" w:cstheme="minorBidi"/>
          <w:shd w:val="clear" w:color="auto" w:fill="FFFFFF"/>
          <w:lang w:val="es-ES_tradnl" w:eastAsia="en-US"/>
        </w:rPr>
        <w:t>al Titular de la Unidad de Transparencia del</w:t>
      </w:r>
      <w:r w:rsidRPr="002D7098">
        <w:rPr>
          <w:rFonts w:ascii="Palatino Linotype" w:eastAsia="MS Mincho" w:hAnsi="Palatino Linotype" w:cstheme="minorBidi"/>
          <w:b/>
          <w:bCs/>
          <w:shd w:val="clear" w:color="auto" w:fill="FFFFFF"/>
          <w:lang w:val="es-ES_tradnl" w:eastAsia="en-US"/>
        </w:rPr>
        <w:t xml:space="preserve"> SUJETO OBLIGADO</w:t>
      </w:r>
      <w:r w:rsidRPr="002D7098">
        <w:rPr>
          <w:rFonts w:ascii="Palatino Linotype" w:eastAsia="MS Mincho" w:hAnsi="Palatino Linotype" w:cstheme="minorBidi"/>
          <w:shd w:val="clear" w:color="auto" w:fill="FFFFFF"/>
          <w:lang w:val="es-ES_tradnl" w:eastAsia="en-US"/>
        </w:rPr>
        <w:t>, la presente resolución para que conforme a los artículos 186 último párrafo y 189 párrafo segundo de la Ley de Transparencia y Acceso a la Información Pública del Estado de México y Municipios, dé cumplimiento a lo ordenado dentro del plazo de diez hábiles, debiendo informar a este Instituto en un plazo de tres días hábiles siguientes sobre el cumplimiento dado a la presente resolución.</w:t>
      </w:r>
    </w:p>
    <w:p w14:paraId="0650155B" w14:textId="77777777" w:rsidR="002D7098" w:rsidRPr="002D7098" w:rsidRDefault="002D7098" w:rsidP="002D7098">
      <w:pPr>
        <w:spacing w:before="240" w:after="240" w:line="360" w:lineRule="auto"/>
        <w:jc w:val="both"/>
        <w:rPr>
          <w:rFonts w:ascii="Palatino Linotype" w:eastAsiaTheme="minorHAnsi" w:hAnsi="Palatino Linotype" w:cs="Arial"/>
          <w:b/>
          <w:bCs/>
          <w:lang w:val="es-MX" w:eastAsia="en-US"/>
        </w:rPr>
      </w:pPr>
      <w:r w:rsidRPr="002D7098">
        <w:rPr>
          <w:rFonts w:ascii="Palatino Linotype" w:eastAsiaTheme="minorHAnsi" w:hAnsi="Palatino Linotype" w:cs="Arial"/>
          <w:b/>
          <w:lang w:val="es-MX" w:eastAsia="en-US"/>
        </w:rPr>
        <w:t xml:space="preserve">CUARTO.  </w:t>
      </w:r>
      <w:r w:rsidRPr="002D7098">
        <w:rPr>
          <w:rFonts w:ascii="Palatino Linotype" w:eastAsiaTheme="minorHAnsi" w:hAnsi="Palatino Linotype" w:cs="Arial"/>
          <w:lang w:val="es-MX" w:eastAsia="en-U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B2621DB" w14:textId="4AFC617C" w:rsidR="00F8192C" w:rsidRPr="00263EFE" w:rsidRDefault="002D7098" w:rsidP="00263EFE">
      <w:pPr>
        <w:spacing w:before="240" w:after="240" w:line="360" w:lineRule="auto"/>
        <w:jc w:val="both"/>
        <w:rPr>
          <w:rFonts w:ascii="Palatino Linotype" w:eastAsiaTheme="minorHAnsi" w:hAnsi="Palatino Linotype" w:cs="Arial"/>
          <w:lang w:val="es-MX" w:eastAsia="en-US"/>
        </w:rPr>
      </w:pPr>
      <w:r w:rsidRPr="002D7098">
        <w:rPr>
          <w:rFonts w:ascii="Palatino Linotype" w:eastAsiaTheme="minorHAnsi" w:hAnsi="Palatino Linotype" w:cs="Arial"/>
          <w:b/>
          <w:lang w:val="es-MX" w:eastAsia="en-US"/>
        </w:rPr>
        <w:t xml:space="preserve">QUINTO. Hágase del Conocimiento </w:t>
      </w:r>
      <w:r w:rsidRPr="002D7098">
        <w:rPr>
          <w:rFonts w:ascii="Palatino Linotype" w:eastAsiaTheme="minorHAnsi" w:hAnsi="Palatino Linotype" w:cs="Arial"/>
          <w:lang w:val="es-MX" w:eastAsia="en-US"/>
        </w:rPr>
        <w:t xml:space="preserve">del </w:t>
      </w:r>
      <w:r w:rsidRPr="002D7098">
        <w:rPr>
          <w:rFonts w:ascii="Palatino Linotype" w:eastAsiaTheme="minorHAnsi" w:hAnsi="Palatino Linotype" w:cs="Arial"/>
          <w:b/>
          <w:lang w:val="es-MX" w:eastAsia="en-US"/>
        </w:rPr>
        <w:t>recurrente</w:t>
      </w:r>
      <w:r w:rsidRPr="002D7098">
        <w:rPr>
          <w:rFonts w:ascii="Palatino Linotype" w:eastAsiaTheme="minorHAnsi" w:hAnsi="Palatino Linotype" w:cs="Arial"/>
          <w:lang w:val="es-MX" w:eastAsia="en-US"/>
        </w:rPr>
        <w:t>, la presente resolución, así como, que de conformidad con lo establecido en el artículo 196 de la Ley de Transparencia y Acceso a la Información Pública del Estado de México y Municipios, podrá impugnarla vía Recurso de Inconformidad o Juicio de Amparo en los términos de las leyes aplicables.</w:t>
      </w:r>
      <w:bookmarkEnd w:id="5"/>
      <w:bookmarkEnd w:id="7"/>
    </w:p>
    <w:p w14:paraId="244FE472" w14:textId="1EF88D0B" w:rsidR="00315E01" w:rsidRDefault="00315E01" w:rsidP="00315E01">
      <w:pPr>
        <w:spacing w:line="360" w:lineRule="auto"/>
        <w:jc w:val="both"/>
        <w:rPr>
          <w:rFonts w:ascii="Palatino Linotype" w:hAnsi="Palatino Linotype" w:cs="Arial"/>
          <w:sz w:val="18"/>
        </w:rPr>
      </w:pPr>
      <w:r w:rsidRPr="000C7EBF">
        <w:rPr>
          <w:rFonts w:ascii="Palatino Linotype" w:hAnsi="Palatino Linotype" w:cs="Arial"/>
        </w:rPr>
        <w:t>ASÍ LO RESUELVE, POR UNANIMIDAD DE VOTOS, EL PLENO DEL</w:t>
      </w:r>
      <w:r w:rsidRPr="000C7EBF">
        <w:rPr>
          <w:rFonts w:ascii="Palatino Linotype" w:eastAsia="Arial Unicode MS" w:hAnsi="Palatino Linotype" w:cs="Arial"/>
        </w:rPr>
        <w:t xml:space="preserve"> INSTITUTO DE TRANSPARENCIA, ACCESO A LA INFORMACIÓN PÚBLICA Y PROTECCIÓN DE DATOS PERSONALES DEL ESTADO DE MÉXICO Y MUNICIPIOS</w:t>
      </w:r>
      <w:r w:rsidRPr="000C7EBF">
        <w:rPr>
          <w:rFonts w:ascii="Palatino Linotype" w:hAnsi="Palatino Linotype" w:cs="Arial"/>
        </w:rPr>
        <w:t xml:space="preserve">, CONFORMADO POR LOS COMISIONADOS </w:t>
      </w:r>
      <w:r w:rsidRPr="003D21EB">
        <w:rPr>
          <w:rFonts w:ascii="Palatino Linotype" w:hAnsi="Palatino Linotype" w:cs="Arial"/>
        </w:rPr>
        <w:t>JOSÉ MARTÍNEZ VILCHIS</w:t>
      </w:r>
      <w:r>
        <w:rPr>
          <w:rFonts w:ascii="Palatino Linotype" w:hAnsi="Palatino Linotype" w:cs="Arial"/>
        </w:rPr>
        <w:t>;</w:t>
      </w:r>
      <w:r w:rsidRPr="003D21EB">
        <w:rPr>
          <w:rFonts w:ascii="Palatino Linotype" w:hAnsi="Palatino Linotype" w:cs="Arial"/>
        </w:rPr>
        <w:t xml:space="preserve"> MARÍA DEL ROSARIO MEJÍA AYALA</w:t>
      </w:r>
      <w:r w:rsidR="002C4E54">
        <w:rPr>
          <w:rFonts w:ascii="Palatino Linotype" w:hAnsi="Palatino Linotype" w:cs="Arial"/>
        </w:rPr>
        <w:t xml:space="preserve"> (VOTO PARTICULAR)</w:t>
      </w:r>
      <w:r>
        <w:rPr>
          <w:rFonts w:ascii="Palatino Linotype" w:hAnsi="Palatino Linotype" w:cs="Arial"/>
        </w:rPr>
        <w:t>;</w:t>
      </w:r>
      <w:r w:rsidRPr="003D21EB">
        <w:rPr>
          <w:rFonts w:ascii="Palatino Linotype" w:hAnsi="Palatino Linotype" w:cs="Arial"/>
        </w:rPr>
        <w:t xml:space="preserve"> SHARON CRISTINA MORALES MARTÍNEZ</w:t>
      </w:r>
      <w:r>
        <w:rPr>
          <w:rFonts w:ascii="Palatino Linotype" w:hAnsi="Palatino Linotype" w:cs="Arial"/>
        </w:rPr>
        <w:t>;</w:t>
      </w:r>
      <w:r w:rsidRPr="003D21EB">
        <w:rPr>
          <w:rFonts w:ascii="Palatino Linotype" w:hAnsi="Palatino Linotype" w:cs="Arial"/>
        </w:rPr>
        <w:t xml:space="preserve"> LUIS GUSTAVO PARRA NORIEGA</w:t>
      </w:r>
      <w:r w:rsidR="002C4E54">
        <w:rPr>
          <w:rFonts w:ascii="Palatino Linotype" w:hAnsi="Palatino Linotype" w:cs="Arial"/>
        </w:rPr>
        <w:t xml:space="preserve"> (VOTO PARTICULAR)</w:t>
      </w:r>
      <w:r w:rsidRPr="003D21EB">
        <w:rPr>
          <w:rFonts w:ascii="Palatino Linotype" w:hAnsi="Palatino Linotype" w:cs="Arial"/>
        </w:rPr>
        <w:t xml:space="preserve"> Y GUADALUPE RAMÍREZ PEÑA;</w:t>
      </w:r>
      <w:r w:rsidRPr="000C7EBF">
        <w:rPr>
          <w:rFonts w:ascii="Palatino Linotype" w:hAnsi="Palatino Linotype" w:cs="Arial"/>
        </w:rPr>
        <w:t xml:space="preserve"> EN LA </w:t>
      </w:r>
      <w:r w:rsidR="0060430C">
        <w:rPr>
          <w:rFonts w:ascii="Palatino Linotype" w:hAnsi="Palatino Linotype" w:cs="Arial"/>
        </w:rPr>
        <w:t>VIGÉSIMA</w:t>
      </w:r>
      <w:r w:rsidRPr="000C7EBF">
        <w:rPr>
          <w:rFonts w:ascii="Palatino Linotype" w:hAnsi="Palatino Linotype" w:cs="Arial"/>
        </w:rPr>
        <w:t xml:space="preserve"> SESIÓN ORDINARIA CELEBRADA EL </w:t>
      </w:r>
      <w:r w:rsidR="0060430C">
        <w:rPr>
          <w:rFonts w:ascii="Palatino Linotype" w:hAnsi="Palatino Linotype" w:cs="Arial"/>
          <w:color w:val="000000"/>
          <w:lang w:eastAsia="es-MX"/>
        </w:rPr>
        <w:t>PRIMERO DE JUNIO</w:t>
      </w:r>
      <w:r w:rsidR="00C703AA">
        <w:rPr>
          <w:rFonts w:ascii="Palatino Linotype" w:hAnsi="Palatino Linotype" w:cs="Arial"/>
          <w:color w:val="000000"/>
          <w:lang w:eastAsia="es-MX"/>
        </w:rPr>
        <w:t xml:space="preserve"> DE DOS MIL VEINTIDÓS</w:t>
      </w:r>
      <w:r w:rsidRPr="000C7EBF">
        <w:rPr>
          <w:rFonts w:ascii="Palatino Linotype" w:hAnsi="Palatino Linotype" w:cs="Arial"/>
        </w:rPr>
        <w:t>, ANTE EL SECRETARIO TÉCNICO, ALEXIS TAPIA RAMÍREZ.------</w:t>
      </w:r>
      <w:r w:rsidR="00263EFE">
        <w:rPr>
          <w:rFonts w:ascii="Palatino Linotype" w:hAnsi="Palatino Linotype" w:cs="Arial"/>
        </w:rPr>
        <w:t>----------------------------------------------------------------------------------------------------------------------------------------------------------------------------------</w:t>
      </w:r>
      <w:r w:rsidR="0060430C">
        <w:rPr>
          <w:rFonts w:ascii="Palatino Linotype" w:hAnsi="Palatino Linotype" w:cs="Arial"/>
        </w:rPr>
        <w:t>--------------------------------------------------------------------------------------------------------------------------------------------------------------------------------------------------------------------------------------------------------------------------------------------------------------------------------------------------------------------------------------------------------------------------------------------------------------</w:t>
      </w:r>
      <w:r w:rsidR="0060430C" w:rsidRPr="000C7EBF">
        <w:rPr>
          <w:rFonts w:ascii="Palatino Linotype" w:hAnsi="Palatino Linotype" w:cs="Arial"/>
        </w:rPr>
        <w:t>--</w:t>
      </w:r>
      <w:r w:rsidR="0060430C">
        <w:rPr>
          <w:rFonts w:ascii="Palatino Linotype" w:hAnsi="Palatino Linotype" w:cs="Arial"/>
        </w:rPr>
        <w:t>--------------------------------------------------------------------------------------------------------------------------------------------------------------------------------------------------------------------------------------------------------------------------------------------------------------------------------------------------------------------------------------------------------------------------------------------------------------------------------------------------------------------------------------------------------------------------------------------------------------------------------------------------------------</w:t>
      </w:r>
      <w:r w:rsidR="0060430C" w:rsidRPr="000C7EBF">
        <w:rPr>
          <w:rFonts w:ascii="Palatino Linotype" w:hAnsi="Palatino Linotype" w:cs="Arial"/>
        </w:rPr>
        <w:t>--</w:t>
      </w:r>
      <w:r w:rsidR="0060430C">
        <w:rPr>
          <w:rFonts w:ascii="Palatino Linotype" w:hAnsi="Palatino Linotype" w:cs="Arial"/>
        </w:rPr>
        <w:t>------------------------------------------------------------------------------------------------------------------------------------------------------------------------------------------------------------------------------------------------------------------------------------------------------------------------------------------------------------------------------------------------------------------------------------------------------------------</w:t>
      </w:r>
      <w:r w:rsidR="00263EFE">
        <w:rPr>
          <w:rFonts w:ascii="Palatino Linotype" w:hAnsi="Palatino Linotype" w:cs="Arial"/>
        </w:rPr>
        <w:t>------------------------------------------------------------------------------------------------</w:t>
      </w:r>
      <w:r w:rsidR="00563A4D">
        <w:rPr>
          <w:rFonts w:ascii="Palatino Linotype" w:hAnsi="Palatino Linotype" w:cs="Arial"/>
        </w:rPr>
        <w:t>--------------------------------------</w:t>
      </w:r>
      <w:r w:rsidR="00263EFE">
        <w:rPr>
          <w:rFonts w:ascii="Palatino Linotype" w:hAnsi="Palatino Linotype" w:cs="Arial"/>
        </w:rPr>
        <w:t>----------------------------------------------------------------------------------------------------</w:t>
      </w:r>
      <w:r w:rsidR="00F72317">
        <w:rPr>
          <w:rFonts w:ascii="Palatino Linotype" w:hAnsi="Palatino Linotype" w:cs="Arial"/>
        </w:rPr>
        <w:t>-------</w:t>
      </w:r>
      <w:r>
        <w:rPr>
          <w:rFonts w:ascii="Palatino Linotype" w:hAnsi="Palatino Linotype" w:cs="Arial"/>
          <w:sz w:val="18"/>
        </w:rPr>
        <w:t>JMV/CCR/EJDG</w:t>
      </w:r>
    </w:p>
    <w:p w14:paraId="1762B449" w14:textId="40AB1735" w:rsidR="00315E01" w:rsidRDefault="00315E01" w:rsidP="00315E01">
      <w:pPr>
        <w:spacing w:line="360" w:lineRule="auto"/>
        <w:jc w:val="both"/>
        <w:rPr>
          <w:rFonts w:ascii="Palatino Linotype" w:hAnsi="Palatino Linotype" w:cs="Arial"/>
          <w:sz w:val="18"/>
        </w:rPr>
      </w:pPr>
    </w:p>
    <w:p w14:paraId="7EA6190D" w14:textId="77777777" w:rsidR="00315E01" w:rsidRPr="003D21EB" w:rsidRDefault="00315E01" w:rsidP="00315E01">
      <w:pPr>
        <w:spacing w:line="360" w:lineRule="auto"/>
        <w:jc w:val="both"/>
        <w:rPr>
          <w:rFonts w:ascii="Palatino Linotype" w:hAnsi="Palatino Linotype"/>
          <w:sz w:val="18"/>
        </w:rPr>
      </w:pPr>
    </w:p>
    <w:p w14:paraId="75DFD40B" w14:textId="77777777" w:rsidR="000D38E9" w:rsidRPr="00755A9B" w:rsidRDefault="000D38E9" w:rsidP="00FE459F">
      <w:pPr>
        <w:spacing w:line="276" w:lineRule="auto"/>
        <w:rPr>
          <w:sz w:val="20"/>
        </w:rPr>
      </w:pPr>
    </w:p>
    <w:sectPr w:rsidR="000D38E9" w:rsidRPr="00755A9B" w:rsidSect="00564DB2">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231F0" w14:textId="77777777" w:rsidR="009822B6" w:rsidRDefault="009822B6" w:rsidP="00D34057">
      <w:r>
        <w:separator/>
      </w:r>
    </w:p>
  </w:endnote>
  <w:endnote w:type="continuationSeparator" w:id="0">
    <w:p w14:paraId="23DA685F" w14:textId="77777777" w:rsidR="009822B6" w:rsidRDefault="009822B6" w:rsidP="00D3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E527A" w14:textId="77777777" w:rsidR="009339BD" w:rsidRPr="000B69FA" w:rsidRDefault="009339BD" w:rsidP="00564DB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63A4D">
      <w:rPr>
        <w:rFonts w:ascii="Palatino Linotype" w:hAnsi="Palatino Linotype"/>
        <w:bCs/>
        <w:noProof/>
        <w:sz w:val="20"/>
      </w:rPr>
      <w:t>55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63A4D">
      <w:rPr>
        <w:rFonts w:ascii="Palatino Linotype" w:hAnsi="Palatino Linotype"/>
        <w:bCs/>
        <w:noProof/>
        <w:sz w:val="20"/>
      </w:rPr>
      <w:t>57</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255C8" w14:textId="77777777" w:rsidR="009339BD" w:rsidRPr="008171C2" w:rsidRDefault="009339BD" w:rsidP="00564DB2">
    <w:pPr>
      <w:pStyle w:val="Piedepgina"/>
      <w:jc w:val="right"/>
      <w:rPr>
        <w:rFonts w:ascii="Palatino Linotype" w:hAnsi="Palatino Linotype"/>
        <w:b/>
        <w:sz w:val="20"/>
      </w:rPr>
    </w:pPr>
    <w:r w:rsidRPr="008171C2">
      <w:rPr>
        <w:rFonts w:ascii="Palatino Linotype" w:hAnsi="Palatino Linotype"/>
        <w:b/>
        <w:sz w:val="20"/>
      </w:rPr>
      <w:t xml:space="preserve">Página </w:t>
    </w:r>
    <w:r w:rsidRPr="008171C2">
      <w:rPr>
        <w:rFonts w:ascii="Palatino Linotype" w:hAnsi="Palatino Linotype"/>
        <w:b/>
        <w:bCs/>
        <w:sz w:val="20"/>
      </w:rPr>
      <w:fldChar w:fldCharType="begin"/>
    </w:r>
    <w:r w:rsidRPr="008171C2">
      <w:rPr>
        <w:rFonts w:ascii="Palatino Linotype" w:hAnsi="Palatino Linotype"/>
        <w:b/>
        <w:bCs/>
        <w:sz w:val="20"/>
      </w:rPr>
      <w:instrText>PAGE  \* Arabic  \* MERGEFORMAT</w:instrText>
    </w:r>
    <w:r w:rsidRPr="008171C2">
      <w:rPr>
        <w:rFonts w:ascii="Palatino Linotype" w:hAnsi="Palatino Linotype"/>
        <w:b/>
        <w:bCs/>
        <w:sz w:val="20"/>
      </w:rPr>
      <w:fldChar w:fldCharType="separate"/>
    </w:r>
    <w:r w:rsidR="00563A4D">
      <w:rPr>
        <w:rFonts w:ascii="Palatino Linotype" w:hAnsi="Palatino Linotype"/>
        <w:b/>
        <w:bCs/>
        <w:noProof/>
        <w:sz w:val="20"/>
      </w:rPr>
      <w:t>1</w:t>
    </w:r>
    <w:r w:rsidRPr="008171C2">
      <w:rPr>
        <w:rFonts w:ascii="Palatino Linotype" w:hAnsi="Palatino Linotype"/>
        <w:b/>
        <w:bCs/>
        <w:sz w:val="20"/>
      </w:rPr>
      <w:fldChar w:fldCharType="end"/>
    </w:r>
    <w:r w:rsidRPr="008171C2">
      <w:rPr>
        <w:rFonts w:ascii="Palatino Linotype" w:hAnsi="Palatino Linotype"/>
        <w:b/>
        <w:sz w:val="20"/>
      </w:rPr>
      <w:t xml:space="preserve"> de </w:t>
    </w:r>
    <w:r w:rsidRPr="008171C2">
      <w:rPr>
        <w:rFonts w:ascii="Palatino Linotype" w:hAnsi="Palatino Linotype"/>
        <w:b/>
        <w:bCs/>
        <w:sz w:val="20"/>
      </w:rPr>
      <w:fldChar w:fldCharType="begin"/>
    </w:r>
    <w:r w:rsidRPr="008171C2">
      <w:rPr>
        <w:rFonts w:ascii="Palatino Linotype" w:hAnsi="Palatino Linotype"/>
        <w:b/>
        <w:bCs/>
        <w:sz w:val="20"/>
      </w:rPr>
      <w:instrText>NUMPAGES  \* Arabic  \* MERGEFORMAT</w:instrText>
    </w:r>
    <w:r w:rsidRPr="008171C2">
      <w:rPr>
        <w:rFonts w:ascii="Palatino Linotype" w:hAnsi="Palatino Linotype"/>
        <w:b/>
        <w:bCs/>
        <w:sz w:val="20"/>
      </w:rPr>
      <w:fldChar w:fldCharType="separate"/>
    </w:r>
    <w:r w:rsidR="00563A4D">
      <w:rPr>
        <w:rFonts w:ascii="Palatino Linotype" w:hAnsi="Palatino Linotype"/>
        <w:b/>
        <w:bCs/>
        <w:noProof/>
        <w:sz w:val="20"/>
      </w:rPr>
      <w:t>57</w:t>
    </w:r>
    <w:r w:rsidRPr="008171C2">
      <w:rPr>
        <w:rFonts w:ascii="Palatino Linotype" w:hAnsi="Palatino Linotype"/>
        <w:b/>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89471" w14:textId="77777777" w:rsidR="009822B6" w:rsidRDefault="009822B6" w:rsidP="00D34057">
      <w:r>
        <w:separator/>
      </w:r>
    </w:p>
  </w:footnote>
  <w:footnote w:type="continuationSeparator" w:id="0">
    <w:p w14:paraId="19C434C1" w14:textId="77777777" w:rsidR="009822B6" w:rsidRDefault="009822B6" w:rsidP="00D34057">
      <w:r>
        <w:continuationSeparator/>
      </w:r>
    </w:p>
  </w:footnote>
  <w:footnote w:id="1">
    <w:p w14:paraId="4A7DCFA5" w14:textId="77777777" w:rsidR="009339BD" w:rsidRPr="00EE06B0" w:rsidRDefault="009339BD" w:rsidP="00912A21">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14:paraId="5793B70B" w14:textId="77777777" w:rsidR="009339BD" w:rsidRPr="00EE06B0" w:rsidRDefault="009339BD" w:rsidP="00912A21">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1D116659" w14:textId="77777777" w:rsidR="002D7098" w:rsidRDefault="002D7098" w:rsidP="002D7098">
      <w:pPr>
        <w:pStyle w:val="Textonotapie"/>
        <w:jc w:val="both"/>
      </w:pPr>
      <w:r>
        <w:rPr>
          <w:rStyle w:val="Refdenotaalpie"/>
        </w:rPr>
        <w:footnoteRef/>
      </w:r>
      <w:r>
        <w:t xml:space="preserve"> </w:t>
      </w:r>
      <w:r>
        <w:rPr>
          <w:rFonts w:ascii="Palatino Linotype" w:hAnsi="Palatino Linotype"/>
          <w:sz w:val="16"/>
          <w:szCs w:val="16"/>
        </w:rPr>
        <w:t>Registro</w:t>
      </w:r>
      <w:r>
        <w:t xml:space="preserve"> </w:t>
      </w:r>
      <w:r>
        <w:rPr>
          <w:rFonts w:ascii="Palatino Linotype" w:hAnsi="Palatino Linotype"/>
          <w:sz w:val="16"/>
          <w:szCs w:val="16"/>
        </w:rPr>
        <w:t>digital 2018460. I.10o.A.79 A (10a.). Tribunales Colegiados de Circuito. Décima Época. Semanario Judicial de la Federación y su Gaceta. Libro 60, Noviembre de 2018, Tomo III, página 2318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C2D19" w14:textId="03927094" w:rsidR="009339BD" w:rsidRDefault="009339BD" w:rsidP="00E63D62">
    <w:pPr>
      <w:pStyle w:val="Encabezado"/>
      <w:tabs>
        <w:tab w:val="clear" w:pos="4419"/>
        <w:tab w:val="clear" w:pos="8838"/>
        <w:tab w:val="left" w:pos="6380"/>
      </w:tabs>
    </w:pPr>
    <w:r>
      <w:rPr>
        <w:noProof/>
        <w:lang w:val="es-MX" w:eastAsia="es-MX"/>
      </w:rPr>
      <w:drawing>
        <wp:anchor distT="0" distB="0" distL="114300" distR="114300" simplePos="0" relativeHeight="251661312" behindDoc="1" locked="0" layoutInCell="1" allowOverlap="1" wp14:anchorId="75661367" wp14:editId="58258C4F">
          <wp:simplePos x="0" y="0"/>
          <wp:positionH relativeFrom="page">
            <wp:align>right</wp:align>
          </wp:positionH>
          <wp:positionV relativeFrom="paragraph">
            <wp:posOffset>-464659</wp:posOffset>
          </wp:positionV>
          <wp:extent cx="7635600" cy="9943200"/>
          <wp:effectExtent l="0" t="0" r="3810" b="127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ab/>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339BD" w14:paraId="3EBBCCA0" w14:textId="77777777" w:rsidTr="00E31501">
      <w:trPr>
        <w:trHeight w:val="227"/>
      </w:trPr>
      <w:tc>
        <w:tcPr>
          <w:tcW w:w="5529" w:type="dxa"/>
          <w:hideMark/>
        </w:tcPr>
        <w:p w14:paraId="5F4AF24B" w14:textId="135FE8E4" w:rsidR="009339BD" w:rsidRDefault="009339BD" w:rsidP="00564DB2">
          <w:pPr>
            <w:spacing w:after="120"/>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93E1BC2" w14:textId="46B15BF7" w:rsidR="009339BD" w:rsidRDefault="00904FFE" w:rsidP="00564DB2">
          <w:pPr>
            <w:spacing w:after="120"/>
            <w:ind w:left="-486" w:right="214" w:firstLine="1585"/>
            <w:jc w:val="right"/>
            <w:rPr>
              <w:rFonts w:ascii="Palatino Linotype" w:hAnsi="Palatino Linotype" w:cs="Arial"/>
              <w:szCs w:val="20"/>
            </w:rPr>
          </w:pPr>
          <w:r w:rsidRPr="00904FFE">
            <w:rPr>
              <w:rFonts w:ascii="Palatino Linotype" w:hAnsi="Palatino Linotype" w:cs="Arial"/>
              <w:bCs/>
              <w:lang w:eastAsia="es-MX"/>
            </w:rPr>
            <w:t>03590/INFOEM/IP/RR/2022</w:t>
          </w:r>
        </w:p>
      </w:tc>
    </w:tr>
    <w:tr w:rsidR="009339BD" w14:paraId="05B82912" w14:textId="77777777" w:rsidTr="00E31501">
      <w:trPr>
        <w:trHeight w:val="242"/>
      </w:trPr>
      <w:tc>
        <w:tcPr>
          <w:tcW w:w="5529" w:type="dxa"/>
          <w:hideMark/>
        </w:tcPr>
        <w:p w14:paraId="45A5E639" w14:textId="32FD4E12" w:rsidR="009339BD" w:rsidRDefault="009339BD" w:rsidP="00564DB2">
          <w:pPr>
            <w:spacing w:after="120"/>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3CE8B05" w14:textId="289A00A3" w:rsidR="009339BD" w:rsidRDefault="00D14FBD" w:rsidP="00E31501">
          <w:pPr>
            <w:ind w:left="-72" w:right="214" w:firstLine="284"/>
            <w:jc w:val="right"/>
            <w:rPr>
              <w:rFonts w:ascii="Palatino Linotype" w:hAnsi="Palatino Linotype" w:cs="Arial"/>
              <w:szCs w:val="20"/>
            </w:rPr>
          </w:pPr>
          <w:r w:rsidRPr="00D14FBD">
            <w:rPr>
              <w:rFonts w:ascii="Palatino Linotype" w:hAnsi="Palatino Linotype" w:cs="Arial"/>
              <w:szCs w:val="20"/>
            </w:rPr>
            <w:t>Organismo Público Descentralizado para la Prestación de Los Servicios de Agua Potable Alcantarillado y Saneamiento del Municipio de Tlalnepantla de Baz</w:t>
          </w:r>
        </w:p>
      </w:tc>
    </w:tr>
    <w:tr w:rsidR="009339BD" w14:paraId="4AC99349" w14:textId="77777777" w:rsidTr="00E31501">
      <w:trPr>
        <w:trHeight w:val="342"/>
      </w:trPr>
      <w:tc>
        <w:tcPr>
          <w:tcW w:w="5529" w:type="dxa"/>
          <w:hideMark/>
        </w:tcPr>
        <w:p w14:paraId="050C3A62" w14:textId="6E3B079A" w:rsidR="009339BD" w:rsidRDefault="009339BD" w:rsidP="00564DB2">
          <w:pPr>
            <w:tabs>
              <w:tab w:val="left" w:pos="4892"/>
            </w:tabs>
            <w:spacing w:after="120"/>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412886D6" w14:textId="1B7DDA2E" w:rsidR="009339BD" w:rsidRDefault="009339BD" w:rsidP="00564DB2">
          <w:pPr>
            <w:spacing w:after="120"/>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322445AA" w14:textId="77777777" w:rsidR="009339BD" w:rsidRDefault="009339B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9339BD" w14:paraId="393A0417" w14:textId="77777777" w:rsidTr="00564DB2">
      <w:trPr>
        <w:trHeight w:val="227"/>
      </w:trPr>
      <w:tc>
        <w:tcPr>
          <w:tcW w:w="5529" w:type="dxa"/>
          <w:hideMark/>
        </w:tcPr>
        <w:p w14:paraId="1D809BCF" w14:textId="1C96103D" w:rsidR="009339BD" w:rsidRDefault="009339BD" w:rsidP="00D14FBD">
          <w:pPr>
            <w:spacing w:after="120" w:line="257" w:lineRule="auto"/>
            <w:ind w:right="352"/>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9E60AD2" w14:textId="6B5E3F2E" w:rsidR="009339BD" w:rsidRPr="00B4142F" w:rsidRDefault="00904FFE" w:rsidP="006A6499">
          <w:pPr>
            <w:spacing w:after="120" w:line="257" w:lineRule="auto"/>
            <w:ind w:left="-486" w:right="214" w:firstLine="1408"/>
            <w:jc w:val="right"/>
            <w:rPr>
              <w:rFonts w:ascii="Palatino Linotype" w:hAnsi="Palatino Linotype" w:cs="Arial"/>
              <w:szCs w:val="20"/>
            </w:rPr>
          </w:pPr>
          <w:r w:rsidRPr="00904FFE">
            <w:rPr>
              <w:rFonts w:ascii="Palatino Linotype" w:hAnsi="Palatino Linotype" w:cs="Arial"/>
              <w:bCs/>
              <w:lang w:eastAsia="es-MX"/>
            </w:rPr>
            <w:t>03590/INFOEM/IP/RR/2022</w:t>
          </w:r>
        </w:p>
      </w:tc>
    </w:tr>
    <w:tr w:rsidR="009339BD" w14:paraId="3CBA8370" w14:textId="77777777" w:rsidTr="00564DB2">
      <w:trPr>
        <w:trHeight w:val="196"/>
      </w:trPr>
      <w:tc>
        <w:tcPr>
          <w:tcW w:w="5529" w:type="dxa"/>
          <w:hideMark/>
        </w:tcPr>
        <w:p w14:paraId="01BBAC1E" w14:textId="77777777" w:rsidR="009339BD" w:rsidRDefault="009339BD" w:rsidP="00D14FBD">
          <w:pPr>
            <w:spacing w:after="120" w:line="257" w:lineRule="auto"/>
            <w:ind w:right="352"/>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7C6B27F" w14:textId="2AF7BA75" w:rsidR="009339BD" w:rsidRPr="00F06FED" w:rsidRDefault="00732C4E" w:rsidP="006A6499">
          <w:pPr>
            <w:spacing w:after="120" w:line="257" w:lineRule="auto"/>
            <w:ind w:left="-486" w:right="214" w:firstLine="567"/>
            <w:jc w:val="right"/>
            <w:rPr>
              <w:rFonts w:ascii="Palatino Linotype" w:hAnsi="Palatino Linotype" w:cs="Arial"/>
            </w:rPr>
          </w:pPr>
          <w:r>
            <w:rPr>
              <w:rFonts w:ascii="Palatino Linotype" w:hAnsi="Palatino Linotype" w:cs="Arial"/>
            </w:rPr>
            <w:t>xxxxxxxxxxxxxxxxxxxx</w:t>
          </w:r>
        </w:p>
      </w:tc>
    </w:tr>
    <w:tr w:rsidR="009339BD" w14:paraId="3016720F" w14:textId="77777777" w:rsidTr="00564DB2">
      <w:trPr>
        <w:trHeight w:val="242"/>
      </w:trPr>
      <w:tc>
        <w:tcPr>
          <w:tcW w:w="5529" w:type="dxa"/>
          <w:hideMark/>
        </w:tcPr>
        <w:p w14:paraId="5A512D3D" w14:textId="03E13640" w:rsidR="009339BD" w:rsidRDefault="009339BD" w:rsidP="00D14FBD">
          <w:pPr>
            <w:spacing w:after="120" w:line="257" w:lineRule="auto"/>
            <w:ind w:right="352"/>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0B08CCE" w14:textId="48299210" w:rsidR="009339BD" w:rsidRDefault="00D14FBD" w:rsidP="00D14FBD">
          <w:pPr>
            <w:spacing w:after="120" w:line="257" w:lineRule="auto"/>
            <w:ind w:left="-219" w:right="214" w:firstLine="291"/>
            <w:jc w:val="right"/>
            <w:rPr>
              <w:rFonts w:ascii="Palatino Linotype" w:hAnsi="Palatino Linotype" w:cs="Arial"/>
              <w:szCs w:val="20"/>
            </w:rPr>
          </w:pPr>
          <w:r w:rsidRPr="00D14FBD">
            <w:rPr>
              <w:rFonts w:ascii="Palatino Linotype" w:hAnsi="Palatino Linotype" w:cs="Arial"/>
              <w:szCs w:val="20"/>
            </w:rPr>
            <w:t>Organismo Público Descentralizado para la Prestación de Los Servicios de Agua Potable Alcantarillado y Saneamiento del Municipio de Tlalnepantla de Baz</w:t>
          </w:r>
        </w:p>
      </w:tc>
    </w:tr>
    <w:tr w:rsidR="009339BD" w14:paraId="1DA38D4E" w14:textId="77777777" w:rsidTr="00564DB2">
      <w:trPr>
        <w:trHeight w:val="342"/>
      </w:trPr>
      <w:tc>
        <w:tcPr>
          <w:tcW w:w="5529" w:type="dxa"/>
          <w:hideMark/>
        </w:tcPr>
        <w:p w14:paraId="68227E44" w14:textId="6B74F957" w:rsidR="009339BD" w:rsidRDefault="009339BD" w:rsidP="00D14FBD">
          <w:pPr>
            <w:tabs>
              <w:tab w:val="left" w:pos="4892"/>
            </w:tabs>
            <w:spacing w:after="120" w:line="257" w:lineRule="auto"/>
            <w:ind w:right="352"/>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E52E839" w14:textId="0BD01423" w:rsidR="009339BD" w:rsidRDefault="009339BD" w:rsidP="006A6499">
          <w:pPr>
            <w:spacing w:after="120" w:line="257"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26709E76" w14:textId="018E755F" w:rsidR="009339BD" w:rsidRPr="00FF74F5" w:rsidRDefault="009339BD">
    <w:pPr>
      <w:pStyle w:val="Encabezado"/>
      <w:rPr>
        <w:sz w:val="2"/>
      </w:rPr>
    </w:pPr>
    <w:r>
      <w:rPr>
        <w:noProof/>
        <w:lang w:val="es-MX" w:eastAsia="es-MX"/>
      </w:rPr>
      <w:drawing>
        <wp:anchor distT="0" distB="0" distL="114300" distR="114300" simplePos="0" relativeHeight="251659264" behindDoc="1" locked="0" layoutInCell="1" allowOverlap="1" wp14:anchorId="64921234" wp14:editId="62A4209F">
          <wp:simplePos x="0" y="0"/>
          <wp:positionH relativeFrom="page">
            <wp:align>left</wp:align>
          </wp:positionH>
          <wp:positionV relativeFrom="paragraph">
            <wp:posOffset>-1479977</wp:posOffset>
          </wp:positionV>
          <wp:extent cx="7635600" cy="9943200"/>
          <wp:effectExtent l="0" t="0" r="3810" b="127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683A06"/>
    <w:multiLevelType w:val="hybridMultilevel"/>
    <w:tmpl w:val="F87C4CB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DB4F19"/>
    <w:multiLevelType w:val="hybridMultilevel"/>
    <w:tmpl w:val="7DD24D3E"/>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18787912"/>
    <w:multiLevelType w:val="hybridMultilevel"/>
    <w:tmpl w:val="5D4E075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740CF2"/>
    <w:multiLevelType w:val="hybridMultilevel"/>
    <w:tmpl w:val="0E227470"/>
    <w:lvl w:ilvl="0" w:tplc="93F82A6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A4C5947"/>
    <w:multiLevelType w:val="multilevel"/>
    <w:tmpl w:val="E9A867CE"/>
    <w:lvl w:ilvl="0">
      <w:start w:val="1"/>
      <w:numFmt w:val="upperRoman"/>
      <w:lvlText w:val="%1."/>
      <w:lvlJc w:val="left"/>
      <w:pPr>
        <w:ind w:left="1422" w:hanging="855"/>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313" w:hanging="720"/>
      </w:pPr>
      <w:rPr>
        <w:rFonts w:hint="default"/>
      </w:rPr>
    </w:lvl>
    <w:lvl w:ilvl="3">
      <w:start w:val="1"/>
      <w:numFmt w:val="decimal"/>
      <w:isLgl/>
      <w:lvlText w:val="%1.%2.%3.%4"/>
      <w:lvlJc w:val="left"/>
      <w:pPr>
        <w:ind w:left="2826" w:hanging="720"/>
      </w:pPr>
      <w:rPr>
        <w:rFonts w:hint="default"/>
      </w:rPr>
    </w:lvl>
    <w:lvl w:ilvl="4">
      <w:start w:val="1"/>
      <w:numFmt w:val="decimal"/>
      <w:isLgl/>
      <w:lvlText w:val="%1.%2.%3.%4.%5"/>
      <w:lvlJc w:val="left"/>
      <w:pPr>
        <w:ind w:left="3699" w:hanging="1080"/>
      </w:pPr>
      <w:rPr>
        <w:rFonts w:hint="default"/>
      </w:rPr>
    </w:lvl>
    <w:lvl w:ilvl="5">
      <w:start w:val="1"/>
      <w:numFmt w:val="decimal"/>
      <w:isLgl/>
      <w:lvlText w:val="%1.%2.%3.%4.%5.%6"/>
      <w:lvlJc w:val="left"/>
      <w:pPr>
        <w:ind w:left="4212" w:hanging="1080"/>
      </w:pPr>
      <w:rPr>
        <w:rFonts w:hint="default"/>
      </w:rPr>
    </w:lvl>
    <w:lvl w:ilvl="6">
      <w:start w:val="1"/>
      <w:numFmt w:val="decimal"/>
      <w:isLgl/>
      <w:lvlText w:val="%1.%2.%3.%4.%5.%6.%7"/>
      <w:lvlJc w:val="left"/>
      <w:pPr>
        <w:ind w:left="5085" w:hanging="1440"/>
      </w:pPr>
      <w:rPr>
        <w:rFonts w:hint="default"/>
      </w:rPr>
    </w:lvl>
    <w:lvl w:ilvl="7">
      <w:start w:val="1"/>
      <w:numFmt w:val="decimal"/>
      <w:isLgl/>
      <w:lvlText w:val="%1.%2.%3.%4.%5.%6.%7.%8"/>
      <w:lvlJc w:val="left"/>
      <w:pPr>
        <w:ind w:left="5598" w:hanging="1440"/>
      </w:pPr>
      <w:rPr>
        <w:rFonts w:hint="default"/>
      </w:rPr>
    </w:lvl>
    <w:lvl w:ilvl="8">
      <w:start w:val="1"/>
      <w:numFmt w:val="decimal"/>
      <w:isLgl/>
      <w:lvlText w:val="%1.%2.%3.%4.%5.%6.%7.%8.%9"/>
      <w:lvlJc w:val="left"/>
      <w:pPr>
        <w:ind w:left="6471" w:hanging="1800"/>
      </w:pPr>
      <w:rPr>
        <w:rFonts w:hint="default"/>
      </w:rPr>
    </w:lvl>
  </w:abstractNum>
  <w:abstractNum w:abstractNumId="7" w15:restartNumberingAfterBreak="0">
    <w:nsid w:val="2D572703"/>
    <w:multiLevelType w:val="hybridMultilevel"/>
    <w:tmpl w:val="98289E5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2E8673F3"/>
    <w:multiLevelType w:val="hybridMultilevel"/>
    <w:tmpl w:val="A83A3F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D546C6"/>
    <w:multiLevelType w:val="hybridMultilevel"/>
    <w:tmpl w:val="A55647BA"/>
    <w:lvl w:ilvl="0" w:tplc="93F82A6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1"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2" w15:restartNumberingAfterBreak="0">
    <w:nsid w:val="397D42FB"/>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F13D38"/>
    <w:multiLevelType w:val="hybridMultilevel"/>
    <w:tmpl w:val="C50E61C6"/>
    <w:lvl w:ilvl="0" w:tplc="5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1E16A5"/>
    <w:multiLevelType w:val="hybridMultilevel"/>
    <w:tmpl w:val="460EEB06"/>
    <w:lvl w:ilvl="0" w:tplc="080A0001">
      <w:start w:val="1"/>
      <w:numFmt w:val="bullet"/>
      <w:lvlText w:val=""/>
      <w:lvlJc w:val="left"/>
      <w:pPr>
        <w:ind w:left="720" w:hanging="360"/>
      </w:pPr>
      <w:rPr>
        <w:rFonts w:ascii="Symbol" w:hAnsi="Symbol" w:hint="default"/>
      </w:rPr>
    </w:lvl>
    <w:lvl w:ilvl="1" w:tplc="B57C0E80">
      <w:start w:val="1"/>
      <w:numFmt w:val="bullet"/>
      <w:lvlText w:val="-"/>
      <w:lvlJc w:val="left"/>
      <w:pPr>
        <w:ind w:left="1440" w:hanging="360"/>
      </w:pPr>
      <w:rPr>
        <w:rFonts w:ascii="Palatino Linotype" w:eastAsia="Times New Roman" w:hAnsi="Palatino Linotype" w:cs="Tahoma"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CCD0962"/>
    <w:multiLevelType w:val="hybridMultilevel"/>
    <w:tmpl w:val="BCBCFB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2BC4F2B"/>
    <w:multiLevelType w:val="hybridMultilevel"/>
    <w:tmpl w:val="DD7C889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567A3DBA"/>
    <w:multiLevelType w:val="hybridMultilevel"/>
    <w:tmpl w:val="93CA5A9A"/>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8AE5205"/>
    <w:multiLevelType w:val="hybridMultilevel"/>
    <w:tmpl w:val="DDD285DC"/>
    <w:lvl w:ilvl="0" w:tplc="FD88E084">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0" w15:restartNumberingAfterBreak="0">
    <w:nsid w:val="5DA420EC"/>
    <w:multiLevelType w:val="hybridMultilevel"/>
    <w:tmpl w:val="26B43BC6"/>
    <w:lvl w:ilvl="0" w:tplc="580A000F">
      <w:start w:val="1"/>
      <w:numFmt w:val="decimal"/>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67B72EE0"/>
    <w:multiLevelType w:val="hybridMultilevel"/>
    <w:tmpl w:val="03BEC7D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688B6535"/>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4" w15:restartNumberingAfterBreak="0">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7C15181F"/>
    <w:multiLevelType w:val="hybridMultilevel"/>
    <w:tmpl w:val="494EAC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39180873">
    <w:abstractNumId w:val="23"/>
  </w:num>
  <w:num w:numId="2" w16cid:durableId="1913271696">
    <w:abstractNumId w:val="4"/>
  </w:num>
  <w:num w:numId="3" w16cid:durableId="1771704149">
    <w:abstractNumId w:val="16"/>
  </w:num>
  <w:num w:numId="4" w16cid:durableId="1033001117">
    <w:abstractNumId w:val="15"/>
  </w:num>
  <w:num w:numId="5" w16cid:durableId="1684242075">
    <w:abstractNumId w:val="27"/>
  </w:num>
  <w:num w:numId="6" w16cid:durableId="1701394875">
    <w:abstractNumId w:val="19"/>
  </w:num>
  <w:num w:numId="7" w16cid:durableId="31930387">
    <w:abstractNumId w:val="12"/>
  </w:num>
  <w:num w:numId="8" w16cid:durableId="380254817">
    <w:abstractNumId w:val="22"/>
  </w:num>
  <w:num w:numId="9" w16cid:durableId="2088070935">
    <w:abstractNumId w:val="11"/>
  </w:num>
  <w:num w:numId="10" w16cid:durableId="1461919288">
    <w:abstractNumId w:val="10"/>
  </w:num>
  <w:num w:numId="11" w16cid:durableId="168184851">
    <w:abstractNumId w:val="0"/>
  </w:num>
  <w:num w:numId="12" w16cid:durableId="1469663939">
    <w:abstractNumId w:val="9"/>
  </w:num>
  <w:num w:numId="13" w16cid:durableId="316691191">
    <w:abstractNumId w:val="5"/>
  </w:num>
  <w:num w:numId="14" w16cid:durableId="1482425637">
    <w:abstractNumId w:val="8"/>
  </w:num>
  <w:num w:numId="15" w16cid:durableId="488519946">
    <w:abstractNumId w:val="26"/>
  </w:num>
  <w:num w:numId="16" w16cid:durableId="296574401">
    <w:abstractNumId w:val="20"/>
  </w:num>
  <w:num w:numId="17" w16cid:durableId="1598443005">
    <w:abstractNumId w:val="7"/>
  </w:num>
  <w:num w:numId="18" w16cid:durableId="252469205">
    <w:abstractNumId w:val="3"/>
  </w:num>
  <w:num w:numId="19" w16cid:durableId="48697637">
    <w:abstractNumId w:val="14"/>
  </w:num>
  <w:num w:numId="20" w16cid:durableId="2127264825">
    <w:abstractNumId w:val="21"/>
  </w:num>
  <w:num w:numId="21" w16cid:durableId="1772123012">
    <w:abstractNumId w:val="17"/>
  </w:num>
  <w:num w:numId="22" w16cid:durableId="1494418838">
    <w:abstractNumId w:val="6"/>
  </w:num>
  <w:num w:numId="23" w16cid:durableId="663313434">
    <w:abstractNumId w:val="18"/>
  </w:num>
  <w:num w:numId="24" w16cid:durableId="1101222519">
    <w:abstractNumId w:val="2"/>
  </w:num>
  <w:num w:numId="25" w16cid:durableId="2050106785">
    <w:abstractNumId w:val="24"/>
  </w:num>
  <w:num w:numId="26" w16cid:durableId="1648388649">
    <w:abstractNumId w:val="25"/>
  </w:num>
  <w:num w:numId="27" w16cid:durableId="120003807">
    <w:abstractNumId w:val="13"/>
  </w:num>
  <w:num w:numId="28" w16cid:durableId="16103085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057"/>
    <w:rsid w:val="000144E8"/>
    <w:rsid w:val="00016BB6"/>
    <w:rsid w:val="00017B86"/>
    <w:rsid w:val="00041A17"/>
    <w:rsid w:val="00050780"/>
    <w:rsid w:val="00055AB9"/>
    <w:rsid w:val="00056EEB"/>
    <w:rsid w:val="00057F1F"/>
    <w:rsid w:val="000640C9"/>
    <w:rsid w:val="00066CFD"/>
    <w:rsid w:val="00073779"/>
    <w:rsid w:val="00081CCE"/>
    <w:rsid w:val="00082F09"/>
    <w:rsid w:val="00095A88"/>
    <w:rsid w:val="000A6C3D"/>
    <w:rsid w:val="000B0C51"/>
    <w:rsid w:val="000B1582"/>
    <w:rsid w:val="000C2C26"/>
    <w:rsid w:val="000C35CC"/>
    <w:rsid w:val="000C7DA1"/>
    <w:rsid w:val="000D006F"/>
    <w:rsid w:val="000D38E9"/>
    <w:rsid w:val="000D4CB2"/>
    <w:rsid w:val="000D6B0C"/>
    <w:rsid w:val="000F162F"/>
    <w:rsid w:val="000F30B3"/>
    <w:rsid w:val="000F5CBE"/>
    <w:rsid w:val="000F6CA6"/>
    <w:rsid w:val="00117E65"/>
    <w:rsid w:val="001212E7"/>
    <w:rsid w:val="00123ECE"/>
    <w:rsid w:val="0012518E"/>
    <w:rsid w:val="00135F23"/>
    <w:rsid w:val="00140DDF"/>
    <w:rsid w:val="00143843"/>
    <w:rsid w:val="001447C1"/>
    <w:rsid w:val="00152971"/>
    <w:rsid w:val="00152A6B"/>
    <w:rsid w:val="001545AD"/>
    <w:rsid w:val="00155F3D"/>
    <w:rsid w:val="001615BA"/>
    <w:rsid w:val="00165D3D"/>
    <w:rsid w:val="00174621"/>
    <w:rsid w:val="001B0981"/>
    <w:rsid w:val="001C2774"/>
    <w:rsid w:val="001D144F"/>
    <w:rsid w:val="001D40B1"/>
    <w:rsid w:val="001D6B18"/>
    <w:rsid w:val="001E344C"/>
    <w:rsid w:val="001E7A89"/>
    <w:rsid w:val="001F7D91"/>
    <w:rsid w:val="00220EE7"/>
    <w:rsid w:val="00221793"/>
    <w:rsid w:val="002379F2"/>
    <w:rsid w:val="002468A3"/>
    <w:rsid w:val="00263EFE"/>
    <w:rsid w:val="00266747"/>
    <w:rsid w:val="00272D2A"/>
    <w:rsid w:val="00277412"/>
    <w:rsid w:val="002813F3"/>
    <w:rsid w:val="0028416A"/>
    <w:rsid w:val="00293D51"/>
    <w:rsid w:val="00296D91"/>
    <w:rsid w:val="002A4EE4"/>
    <w:rsid w:val="002A7856"/>
    <w:rsid w:val="002B1BB7"/>
    <w:rsid w:val="002B2B95"/>
    <w:rsid w:val="002B3588"/>
    <w:rsid w:val="002C3329"/>
    <w:rsid w:val="002C4E54"/>
    <w:rsid w:val="002D2D32"/>
    <w:rsid w:val="002D446D"/>
    <w:rsid w:val="002D66D5"/>
    <w:rsid w:val="002D7098"/>
    <w:rsid w:val="002E1CA9"/>
    <w:rsid w:val="002F1E52"/>
    <w:rsid w:val="002F33A9"/>
    <w:rsid w:val="002F5CA8"/>
    <w:rsid w:val="002F62E0"/>
    <w:rsid w:val="002F7BA4"/>
    <w:rsid w:val="00306441"/>
    <w:rsid w:val="003117C7"/>
    <w:rsid w:val="003148B9"/>
    <w:rsid w:val="00315E01"/>
    <w:rsid w:val="00322DC7"/>
    <w:rsid w:val="00331262"/>
    <w:rsid w:val="00340D58"/>
    <w:rsid w:val="00343999"/>
    <w:rsid w:val="00362E23"/>
    <w:rsid w:val="003708E1"/>
    <w:rsid w:val="00371E86"/>
    <w:rsid w:val="003756A5"/>
    <w:rsid w:val="00377CD6"/>
    <w:rsid w:val="00385684"/>
    <w:rsid w:val="00386844"/>
    <w:rsid w:val="003A1A28"/>
    <w:rsid w:val="003A47D8"/>
    <w:rsid w:val="003A5AE4"/>
    <w:rsid w:val="003A6491"/>
    <w:rsid w:val="003B3DD4"/>
    <w:rsid w:val="003C0538"/>
    <w:rsid w:val="003C2B1D"/>
    <w:rsid w:val="003C49D6"/>
    <w:rsid w:val="003C4E5D"/>
    <w:rsid w:val="003D002D"/>
    <w:rsid w:val="003D0754"/>
    <w:rsid w:val="003F11D0"/>
    <w:rsid w:val="003F3CC8"/>
    <w:rsid w:val="003F66C2"/>
    <w:rsid w:val="00402E42"/>
    <w:rsid w:val="00405D74"/>
    <w:rsid w:val="00412142"/>
    <w:rsid w:val="0041558F"/>
    <w:rsid w:val="00416CE7"/>
    <w:rsid w:val="004204BB"/>
    <w:rsid w:val="0042060D"/>
    <w:rsid w:val="00420D92"/>
    <w:rsid w:val="004302BF"/>
    <w:rsid w:val="004308D7"/>
    <w:rsid w:val="00431378"/>
    <w:rsid w:val="00431689"/>
    <w:rsid w:val="0044308F"/>
    <w:rsid w:val="0044703B"/>
    <w:rsid w:val="004558D1"/>
    <w:rsid w:val="00457A19"/>
    <w:rsid w:val="00473A6A"/>
    <w:rsid w:val="00477598"/>
    <w:rsid w:val="00480B9F"/>
    <w:rsid w:val="00480FEA"/>
    <w:rsid w:val="004838E7"/>
    <w:rsid w:val="0048679A"/>
    <w:rsid w:val="00490BFE"/>
    <w:rsid w:val="004941B6"/>
    <w:rsid w:val="00496444"/>
    <w:rsid w:val="004A6EF7"/>
    <w:rsid w:val="004B2123"/>
    <w:rsid w:val="004B2C5F"/>
    <w:rsid w:val="004B3A7C"/>
    <w:rsid w:val="004B6B78"/>
    <w:rsid w:val="004C191E"/>
    <w:rsid w:val="004D498F"/>
    <w:rsid w:val="004D55BA"/>
    <w:rsid w:val="004D6277"/>
    <w:rsid w:val="004E02F4"/>
    <w:rsid w:val="004E7801"/>
    <w:rsid w:val="004F3954"/>
    <w:rsid w:val="004F600F"/>
    <w:rsid w:val="004F643D"/>
    <w:rsid w:val="0050427F"/>
    <w:rsid w:val="005219ED"/>
    <w:rsid w:val="00525C26"/>
    <w:rsid w:val="0053007F"/>
    <w:rsid w:val="0053374B"/>
    <w:rsid w:val="00535A1E"/>
    <w:rsid w:val="00535AF3"/>
    <w:rsid w:val="00540376"/>
    <w:rsid w:val="00544ADD"/>
    <w:rsid w:val="005501EF"/>
    <w:rsid w:val="00563A4D"/>
    <w:rsid w:val="00564DB2"/>
    <w:rsid w:val="00571B7E"/>
    <w:rsid w:val="005733EB"/>
    <w:rsid w:val="00573B4F"/>
    <w:rsid w:val="005804D0"/>
    <w:rsid w:val="00594FEE"/>
    <w:rsid w:val="005967F1"/>
    <w:rsid w:val="005A5A62"/>
    <w:rsid w:val="005B4FE2"/>
    <w:rsid w:val="005B5976"/>
    <w:rsid w:val="005B7C1F"/>
    <w:rsid w:val="005D6129"/>
    <w:rsid w:val="005E50F1"/>
    <w:rsid w:val="005F17DC"/>
    <w:rsid w:val="005F3218"/>
    <w:rsid w:val="005F4874"/>
    <w:rsid w:val="00601482"/>
    <w:rsid w:val="0060430C"/>
    <w:rsid w:val="006054E7"/>
    <w:rsid w:val="00622C8D"/>
    <w:rsid w:val="00627C77"/>
    <w:rsid w:val="00640746"/>
    <w:rsid w:val="00646183"/>
    <w:rsid w:val="00646635"/>
    <w:rsid w:val="00654C45"/>
    <w:rsid w:val="00656B46"/>
    <w:rsid w:val="00657723"/>
    <w:rsid w:val="0066233C"/>
    <w:rsid w:val="00666716"/>
    <w:rsid w:val="00666B5B"/>
    <w:rsid w:val="0067790D"/>
    <w:rsid w:val="006802F0"/>
    <w:rsid w:val="00692906"/>
    <w:rsid w:val="00697C1F"/>
    <w:rsid w:val="006A2320"/>
    <w:rsid w:val="006A6499"/>
    <w:rsid w:val="006A66EE"/>
    <w:rsid w:val="006A6797"/>
    <w:rsid w:val="006B047A"/>
    <w:rsid w:val="006D5FEA"/>
    <w:rsid w:val="006E4031"/>
    <w:rsid w:val="007017C7"/>
    <w:rsid w:val="0070231E"/>
    <w:rsid w:val="00722494"/>
    <w:rsid w:val="00722BF3"/>
    <w:rsid w:val="00725027"/>
    <w:rsid w:val="007250E5"/>
    <w:rsid w:val="00732C4E"/>
    <w:rsid w:val="0073583C"/>
    <w:rsid w:val="007475B4"/>
    <w:rsid w:val="007476C5"/>
    <w:rsid w:val="00751C25"/>
    <w:rsid w:val="007538C5"/>
    <w:rsid w:val="00755085"/>
    <w:rsid w:val="00755A9B"/>
    <w:rsid w:val="0076744D"/>
    <w:rsid w:val="0076759C"/>
    <w:rsid w:val="00767880"/>
    <w:rsid w:val="00770AC2"/>
    <w:rsid w:val="0078004C"/>
    <w:rsid w:val="00783FD2"/>
    <w:rsid w:val="00784AA9"/>
    <w:rsid w:val="007949E4"/>
    <w:rsid w:val="007A1F2E"/>
    <w:rsid w:val="007B1512"/>
    <w:rsid w:val="007B4746"/>
    <w:rsid w:val="007B51C6"/>
    <w:rsid w:val="007B63C5"/>
    <w:rsid w:val="007B6430"/>
    <w:rsid w:val="007C07B0"/>
    <w:rsid w:val="007C0955"/>
    <w:rsid w:val="007C4C2E"/>
    <w:rsid w:val="007D2B4B"/>
    <w:rsid w:val="007D7483"/>
    <w:rsid w:val="007E1970"/>
    <w:rsid w:val="007E6808"/>
    <w:rsid w:val="007E6F84"/>
    <w:rsid w:val="007E7228"/>
    <w:rsid w:val="007F2A5E"/>
    <w:rsid w:val="008018C3"/>
    <w:rsid w:val="00805DE1"/>
    <w:rsid w:val="00806692"/>
    <w:rsid w:val="0080743D"/>
    <w:rsid w:val="00812043"/>
    <w:rsid w:val="00813421"/>
    <w:rsid w:val="0081409D"/>
    <w:rsid w:val="00816560"/>
    <w:rsid w:val="008171C2"/>
    <w:rsid w:val="00820DE3"/>
    <w:rsid w:val="008247E9"/>
    <w:rsid w:val="008254B2"/>
    <w:rsid w:val="00827428"/>
    <w:rsid w:val="00833AEC"/>
    <w:rsid w:val="00833B47"/>
    <w:rsid w:val="00841CCD"/>
    <w:rsid w:val="00847043"/>
    <w:rsid w:val="0087697C"/>
    <w:rsid w:val="00881E67"/>
    <w:rsid w:val="008852D8"/>
    <w:rsid w:val="0088792E"/>
    <w:rsid w:val="00893A70"/>
    <w:rsid w:val="00895C8A"/>
    <w:rsid w:val="008A38A0"/>
    <w:rsid w:val="008B6F37"/>
    <w:rsid w:val="008D7CE1"/>
    <w:rsid w:val="008E5AAE"/>
    <w:rsid w:val="008E5D5B"/>
    <w:rsid w:val="008E65AF"/>
    <w:rsid w:val="008E67E1"/>
    <w:rsid w:val="00902C13"/>
    <w:rsid w:val="009037C5"/>
    <w:rsid w:val="00904FFE"/>
    <w:rsid w:val="009126FE"/>
    <w:rsid w:val="00912A21"/>
    <w:rsid w:val="00915176"/>
    <w:rsid w:val="00916EEF"/>
    <w:rsid w:val="00917CAA"/>
    <w:rsid w:val="00925243"/>
    <w:rsid w:val="00926051"/>
    <w:rsid w:val="00926497"/>
    <w:rsid w:val="00926D42"/>
    <w:rsid w:val="009339BD"/>
    <w:rsid w:val="00943E92"/>
    <w:rsid w:val="009440E4"/>
    <w:rsid w:val="00950135"/>
    <w:rsid w:val="00960FE0"/>
    <w:rsid w:val="009700F9"/>
    <w:rsid w:val="00972636"/>
    <w:rsid w:val="0098118E"/>
    <w:rsid w:val="009822B6"/>
    <w:rsid w:val="00996492"/>
    <w:rsid w:val="009A3EDE"/>
    <w:rsid w:val="009B521E"/>
    <w:rsid w:val="009C2A92"/>
    <w:rsid w:val="009C3C39"/>
    <w:rsid w:val="009C68F6"/>
    <w:rsid w:val="009D62BD"/>
    <w:rsid w:val="009D7D7B"/>
    <w:rsid w:val="009E6C93"/>
    <w:rsid w:val="009E71C1"/>
    <w:rsid w:val="009F375A"/>
    <w:rsid w:val="009F42F3"/>
    <w:rsid w:val="009F46A9"/>
    <w:rsid w:val="009F47DC"/>
    <w:rsid w:val="009F74E7"/>
    <w:rsid w:val="00A1684F"/>
    <w:rsid w:val="00A23FAD"/>
    <w:rsid w:val="00A301FB"/>
    <w:rsid w:val="00A35B6F"/>
    <w:rsid w:val="00A37185"/>
    <w:rsid w:val="00A41464"/>
    <w:rsid w:val="00A47E40"/>
    <w:rsid w:val="00A47F58"/>
    <w:rsid w:val="00A56F06"/>
    <w:rsid w:val="00A573AC"/>
    <w:rsid w:val="00A7407A"/>
    <w:rsid w:val="00A746AA"/>
    <w:rsid w:val="00A75A8A"/>
    <w:rsid w:val="00A76C35"/>
    <w:rsid w:val="00A80DF7"/>
    <w:rsid w:val="00A8418B"/>
    <w:rsid w:val="00A864B6"/>
    <w:rsid w:val="00AA0796"/>
    <w:rsid w:val="00AA2D91"/>
    <w:rsid w:val="00AA3953"/>
    <w:rsid w:val="00AA4F99"/>
    <w:rsid w:val="00AB2FF0"/>
    <w:rsid w:val="00AC2D88"/>
    <w:rsid w:val="00AC3F77"/>
    <w:rsid w:val="00AD7C60"/>
    <w:rsid w:val="00AF1B80"/>
    <w:rsid w:val="00AF2A9C"/>
    <w:rsid w:val="00B0067C"/>
    <w:rsid w:val="00B1062C"/>
    <w:rsid w:val="00B12105"/>
    <w:rsid w:val="00B21190"/>
    <w:rsid w:val="00B235E2"/>
    <w:rsid w:val="00B30770"/>
    <w:rsid w:val="00B32668"/>
    <w:rsid w:val="00B348DB"/>
    <w:rsid w:val="00B35972"/>
    <w:rsid w:val="00B4288A"/>
    <w:rsid w:val="00B42E2D"/>
    <w:rsid w:val="00B506F8"/>
    <w:rsid w:val="00B53702"/>
    <w:rsid w:val="00B61E37"/>
    <w:rsid w:val="00B625E6"/>
    <w:rsid w:val="00B66344"/>
    <w:rsid w:val="00B67362"/>
    <w:rsid w:val="00B71C23"/>
    <w:rsid w:val="00B72016"/>
    <w:rsid w:val="00B72AD8"/>
    <w:rsid w:val="00B75B02"/>
    <w:rsid w:val="00B82F6B"/>
    <w:rsid w:val="00BA06F7"/>
    <w:rsid w:val="00BA55C8"/>
    <w:rsid w:val="00BB1065"/>
    <w:rsid w:val="00BB1104"/>
    <w:rsid w:val="00BB4154"/>
    <w:rsid w:val="00BB6F51"/>
    <w:rsid w:val="00BB796F"/>
    <w:rsid w:val="00BC080B"/>
    <w:rsid w:val="00BC220C"/>
    <w:rsid w:val="00BC653C"/>
    <w:rsid w:val="00BC73E3"/>
    <w:rsid w:val="00BD28E3"/>
    <w:rsid w:val="00BD6588"/>
    <w:rsid w:val="00BF390A"/>
    <w:rsid w:val="00C05A6A"/>
    <w:rsid w:val="00C07D77"/>
    <w:rsid w:val="00C138BC"/>
    <w:rsid w:val="00C2413A"/>
    <w:rsid w:val="00C30822"/>
    <w:rsid w:val="00C31842"/>
    <w:rsid w:val="00C3360E"/>
    <w:rsid w:val="00C34327"/>
    <w:rsid w:val="00C42C80"/>
    <w:rsid w:val="00C44875"/>
    <w:rsid w:val="00C457F7"/>
    <w:rsid w:val="00C469E4"/>
    <w:rsid w:val="00C55909"/>
    <w:rsid w:val="00C57CB5"/>
    <w:rsid w:val="00C61705"/>
    <w:rsid w:val="00C6304A"/>
    <w:rsid w:val="00C679B4"/>
    <w:rsid w:val="00C703AA"/>
    <w:rsid w:val="00C81700"/>
    <w:rsid w:val="00C858DD"/>
    <w:rsid w:val="00C90B9B"/>
    <w:rsid w:val="00C90E54"/>
    <w:rsid w:val="00C91203"/>
    <w:rsid w:val="00C92FAC"/>
    <w:rsid w:val="00CA5CBB"/>
    <w:rsid w:val="00CB3546"/>
    <w:rsid w:val="00CB7DC4"/>
    <w:rsid w:val="00CC2A49"/>
    <w:rsid w:val="00CC3A88"/>
    <w:rsid w:val="00CC416B"/>
    <w:rsid w:val="00CC4FA2"/>
    <w:rsid w:val="00CC6F3C"/>
    <w:rsid w:val="00CD0423"/>
    <w:rsid w:val="00CD51C8"/>
    <w:rsid w:val="00CE7764"/>
    <w:rsid w:val="00CE789A"/>
    <w:rsid w:val="00CF6DCB"/>
    <w:rsid w:val="00CF70A0"/>
    <w:rsid w:val="00D03BC9"/>
    <w:rsid w:val="00D05E0F"/>
    <w:rsid w:val="00D106BD"/>
    <w:rsid w:val="00D11DBA"/>
    <w:rsid w:val="00D14FBD"/>
    <w:rsid w:val="00D20C1D"/>
    <w:rsid w:val="00D24746"/>
    <w:rsid w:val="00D27E5B"/>
    <w:rsid w:val="00D34057"/>
    <w:rsid w:val="00D36682"/>
    <w:rsid w:val="00D43D3C"/>
    <w:rsid w:val="00D46C63"/>
    <w:rsid w:val="00D47C18"/>
    <w:rsid w:val="00D5047A"/>
    <w:rsid w:val="00D53DDC"/>
    <w:rsid w:val="00D623CE"/>
    <w:rsid w:val="00D677B9"/>
    <w:rsid w:val="00D67A0D"/>
    <w:rsid w:val="00D703FA"/>
    <w:rsid w:val="00D768CA"/>
    <w:rsid w:val="00D800F2"/>
    <w:rsid w:val="00D801B6"/>
    <w:rsid w:val="00D81C1B"/>
    <w:rsid w:val="00D85DA9"/>
    <w:rsid w:val="00D906A7"/>
    <w:rsid w:val="00D93767"/>
    <w:rsid w:val="00D95458"/>
    <w:rsid w:val="00DA323F"/>
    <w:rsid w:val="00DA43AD"/>
    <w:rsid w:val="00DB5F6A"/>
    <w:rsid w:val="00DD13E2"/>
    <w:rsid w:val="00DD62ED"/>
    <w:rsid w:val="00DE2F9E"/>
    <w:rsid w:val="00E02FE0"/>
    <w:rsid w:val="00E131A8"/>
    <w:rsid w:val="00E137B7"/>
    <w:rsid w:val="00E1740E"/>
    <w:rsid w:val="00E21FD0"/>
    <w:rsid w:val="00E2616D"/>
    <w:rsid w:val="00E31501"/>
    <w:rsid w:val="00E3262B"/>
    <w:rsid w:val="00E3263B"/>
    <w:rsid w:val="00E3734C"/>
    <w:rsid w:val="00E43ABA"/>
    <w:rsid w:val="00E45777"/>
    <w:rsid w:val="00E53C06"/>
    <w:rsid w:val="00E63D62"/>
    <w:rsid w:val="00E73E41"/>
    <w:rsid w:val="00E746BE"/>
    <w:rsid w:val="00E82F11"/>
    <w:rsid w:val="00E85148"/>
    <w:rsid w:val="00E91EE4"/>
    <w:rsid w:val="00EA3EE4"/>
    <w:rsid w:val="00EA53C7"/>
    <w:rsid w:val="00EA6B10"/>
    <w:rsid w:val="00EB5A3A"/>
    <w:rsid w:val="00EC16A5"/>
    <w:rsid w:val="00EC61B4"/>
    <w:rsid w:val="00ED224E"/>
    <w:rsid w:val="00ED33BB"/>
    <w:rsid w:val="00ED6C96"/>
    <w:rsid w:val="00EE3692"/>
    <w:rsid w:val="00EE435C"/>
    <w:rsid w:val="00F01A91"/>
    <w:rsid w:val="00F039CA"/>
    <w:rsid w:val="00F054A0"/>
    <w:rsid w:val="00F071D8"/>
    <w:rsid w:val="00F11AD3"/>
    <w:rsid w:val="00F16EF8"/>
    <w:rsid w:val="00F24EFA"/>
    <w:rsid w:val="00F310C8"/>
    <w:rsid w:val="00F324FF"/>
    <w:rsid w:val="00F34FCF"/>
    <w:rsid w:val="00F3632E"/>
    <w:rsid w:val="00F410D1"/>
    <w:rsid w:val="00F457C8"/>
    <w:rsid w:val="00F46230"/>
    <w:rsid w:val="00F50059"/>
    <w:rsid w:val="00F571C1"/>
    <w:rsid w:val="00F60A4C"/>
    <w:rsid w:val="00F66B1E"/>
    <w:rsid w:val="00F72317"/>
    <w:rsid w:val="00F8192C"/>
    <w:rsid w:val="00F83493"/>
    <w:rsid w:val="00F96E94"/>
    <w:rsid w:val="00FB3270"/>
    <w:rsid w:val="00FC2907"/>
    <w:rsid w:val="00FC3BBC"/>
    <w:rsid w:val="00FD1200"/>
    <w:rsid w:val="00FD6448"/>
    <w:rsid w:val="00FE23C7"/>
    <w:rsid w:val="00FE434F"/>
    <w:rsid w:val="00FE459F"/>
    <w:rsid w:val="00FF14FE"/>
    <w:rsid w:val="00FF3A5F"/>
    <w:rsid w:val="00FF74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A91CE2"/>
  <w15:chartTrackingRefBased/>
  <w15:docId w15:val="{5C810458-6993-430F-80B8-643C2F381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7B7"/>
    <w:pPr>
      <w:spacing w:after="0" w:line="240" w:lineRule="auto"/>
    </w:pPr>
    <w:rPr>
      <w:rFonts w:ascii="Times New Roman" w:eastAsia="Times New Roman" w:hAnsi="Times New Roman" w:cs="Times New Roman"/>
      <w:sz w:val="24"/>
      <w:szCs w:val="24"/>
      <w:lang w:val="es-ES" w:eastAsia="es-ES"/>
    </w:rPr>
  </w:style>
  <w:style w:type="paragraph" w:styleId="Ttulo3">
    <w:name w:val="heading 3"/>
    <w:basedOn w:val="Normal"/>
    <w:link w:val="Ttulo3Car"/>
    <w:uiPriority w:val="9"/>
    <w:qFormat/>
    <w:rsid w:val="00D34057"/>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34057"/>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D34057"/>
    <w:pPr>
      <w:tabs>
        <w:tab w:val="center" w:pos="4419"/>
        <w:tab w:val="right" w:pos="8838"/>
      </w:tabs>
    </w:pPr>
  </w:style>
  <w:style w:type="character" w:customStyle="1" w:styleId="EncabezadoCar">
    <w:name w:val="Encabezado Car"/>
    <w:basedOn w:val="Fuentedeprrafopredeter"/>
    <w:link w:val="Encabezado"/>
    <w:uiPriority w:val="99"/>
    <w:rsid w:val="00D340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34057"/>
    <w:pPr>
      <w:tabs>
        <w:tab w:val="center" w:pos="4419"/>
        <w:tab w:val="right" w:pos="8838"/>
      </w:tabs>
    </w:pPr>
  </w:style>
  <w:style w:type="character" w:customStyle="1" w:styleId="PiedepginaCar">
    <w:name w:val="Pie de página Car"/>
    <w:basedOn w:val="Fuentedeprrafopredeter"/>
    <w:link w:val="Piedepgina"/>
    <w:uiPriority w:val="99"/>
    <w:rsid w:val="00D3405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34057"/>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405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3405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D34057"/>
    <w:rPr>
      <w:vertAlign w:val="superscript"/>
    </w:rPr>
  </w:style>
  <w:style w:type="character" w:styleId="Hipervnculo">
    <w:name w:val="Hyperlink"/>
    <w:basedOn w:val="Fuentedeprrafopredeter"/>
    <w:uiPriority w:val="99"/>
    <w:unhideWhenUsed/>
    <w:rsid w:val="00D34057"/>
    <w:rPr>
      <w:color w:val="0563C1" w:themeColor="hyperlink"/>
      <w:u w:val="single"/>
    </w:rPr>
  </w:style>
  <w:style w:type="paragraph" w:styleId="Sinespaciado">
    <w:name w:val="No Spacing"/>
    <w:aliases w:val="Francesa,INAI"/>
    <w:link w:val="SinespaciadoCar"/>
    <w:uiPriority w:val="1"/>
    <w:qFormat/>
    <w:rsid w:val="00D3405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34057"/>
    <w:rPr>
      <w:b/>
      <w:bCs/>
    </w:rPr>
  </w:style>
  <w:style w:type="character" w:customStyle="1" w:styleId="SinespaciadoCar">
    <w:name w:val="Sin espaciado Car"/>
    <w:aliases w:val="Francesa Car,INAI Car"/>
    <w:link w:val="Sinespaciado"/>
    <w:uiPriority w:val="1"/>
    <w:locked/>
    <w:rsid w:val="00D34057"/>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D34057"/>
    <w:pPr>
      <w:spacing w:before="100" w:beforeAutospacing="1" w:after="100" w:afterAutospacing="1"/>
    </w:pPr>
    <w:rPr>
      <w:lang w:eastAsia="es-MX"/>
    </w:rPr>
  </w:style>
  <w:style w:type="paragraph" w:styleId="Textodeglobo">
    <w:name w:val="Balloon Text"/>
    <w:basedOn w:val="Normal"/>
    <w:link w:val="TextodegloboCar"/>
    <w:uiPriority w:val="99"/>
    <w:semiHidden/>
    <w:unhideWhenUsed/>
    <w:rsid w:val="00362E2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2E23"/>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802F0"/>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802F0"/>
    <w:rPr>
      <w:sz w:val="20"/>
      <w:szCs w:val="20"/>
    </w:rPr>
  </w:style>
  <w:style w:type="table" w:styleId="Tablaconcuadrcula">
    <w:name w:val="Table Grid"/>
    <w:basedOn w:val="Tablanormal"/>
    <w:uiPriority w:val="39"/>
    <w:rsid w:val="00B35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FF14FE"/>
  </w:style>
  <w:style w:type="character" w:customStyle="1" w:styleId="Mencinsinresolver1">
    <w:name w:val="Mención sin resolver1"/>
    <w:basedOn w:val="Fuentedeprrafopredeter"/>
    <w:uiPriority w:val="99"/>
    <w:semiHidden/>
    <w:unhideWhenUsed/>
    <w:rsid w:val="004E02F4"/>
    <w:rPr>
      <w:color w:val="605E5C"/>
      <w:shd w:val="clear" w:color="auto" w:fill="E1DFDD"/>
    </w:rPr>
  </w:style>
  <w:style w:type="character" w:styleId="Hipervnculovisitado">
    <w:name w:val="FollowedHyperlink"/>
    <w:basedOn w:val="Fuentedeprrafopredeter"/>
    <w:uiPriority w:val="99"/>
    <w:semiHidden/>
    <w:unhideWhenUsed/>
    <w:rsid w:val="00C2413A"/>
    <w:rPr>
      <w:color w:val="954F72" w:themeColor="followedHyperlink"/>
      <w:u w:val="single"/>
    </w:rPr>
  </w:style>
  <w:style w:type="table" w:customStyle="1" w:styleId="Tablaconcuadrcula2">
    <w:name w:val="Tabla con cuadrícula2"/>
    <w:basedOn w:val="Tablanormal"/>
    <w:next w:val="Tablaconcuadrcula"/>
    <w:uiPriority w:val="39"/>
    <w:rsid w:val="00AF2A9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2094">
      <w:bodyDiv w:val="1"/>
      <w:marLeft w:val="0"/>
      <w:marRight w:val="0"/>
      <w:marTop w:val="0"/>
      <w:marBottom w:val="0"/>
      <w:divBdr>
        <w:top w:val="none" w:sz="0" w:space="0" w:color="auto"/>
        <w:left w:val="none" w:sz="0" w:space="0" w:color="auto"/>
        <w:bottom w:val="none" w:sz="0" w:space="0" w:color="auto"/>
        <w:right w:val="none" w:sz="0" w:space="0" w:color="auto"/>
      </w:divBdr>
    </w:div>
    <w:div w:id="95640051">
      <w:bodyDiv w:val="1"/>
      <w:marLeft w:val="0"/>
      <w:marRight w:val="0"/>
      <w:marTop w:val="0"/>
      <w:marBottom w:val="0"/>
      <w:divBdr>
        <w:top w:val="none" w:sz="0" w:space="0" w:color="auto"/>
        <w:left w:val="none" w:sz="0" w:space="0" w:color="auto"/>
        <w:bottom w:val="none" w:sz="0" w:space="0" w:color="auto"/>
        <w:right w:val="none" w:sz="0" w:space="0" w:color="auto"/>
      </w:divBdr>
    </w:div>
    <w:div w:id="161239969">
      <w:bodyDiv w:val="1"/>
      <w:marLeft w:val="0"/>
      <w:marRight w:val="0"/>
      <w:marTop w:val="0"/>
      <w:marBottom w:val="0"/>
      <w:divBdr>
        <w:top w:val="none" w:sz="0" w:space="0" w:color="auto"/>
        <w:left w:val="none" w:sz="0" w:space="0" w:color="auto"/>
        <w:bottom w:val="none" w:sz="0" w:space="0" w:color="auto"/>
        <w:right w:val="none" w:sz="0" w:space="0" w:color="auto"/>
      </w:divBdr>
    </w:div>
    <w:div w:id="407575053">
      <w:bodyDiv w:val="1"/>
      <w:marLeft w:val="0"/>
      <w:marRight w:val="0"/>
      <w:marTop w:val="0"/>
      <w:marBottom w:val="0"/>
      <w:divBdr>
        <w:top w:val="none" w:sz="0" w:space="0" w:color="auto"/>
        <w:left w:val="none" w:sz="0" w:space="0" w:color="auto"/>
        <w:bottom w:val="none" w:sz="0" w:space="0" w:color="auto"/>
        <w:right w:val="none" w:sz="0" w:space="0" w:color="auto"/>
      </w:divBdr>
    </w:div>
    <w:div w:id="525867033">
      <w:bodyDiv w:val="1"/>
      <w:marLeft w:val="0"/>
      <w:marRight w:val="0"/>
      <w:marTop w:val="0"/>
      <w:marBottom w:val="0"/>
      <w:divBdr>
        <w:top w:val="none" w:sz="0" w:space="0" w:color="auto"/>
        <w:left w:val="none" w:sz="0" w:space="0" w:color="auto"/>
        <w:bottom w:val="none" w:sz="0" w:space="0" w:color="auto"/>
        <w:right w:val="none" w:sz="0" w:space="0" w:color="auto"/>
      </w:divBdr>
    </w:div>
    <w:div w:id="598829289">
      <w:bodyDiv w:val="1"/>
      <w:marLeft w:val="0"/>
      <w:marRight w:val="0"/>
      <w:marTop w:val="0"/>
      <w:marBottom w:val="0"/>
      <w:divBdr>
        <w:top w:val="none" w:sz="0" w:space="0" w:color="auto"/>
        <w:left w:val="none" w:sz="0" w:space="0" w:color="auto"/>
        <w:bottom w:val="none" w:sz="0" w:space="0" w:color="auto"/>
        <w:right w:val="none" w:sz="0" w:space="0" w:color="auto"/>
      </w:divBdr>
    </w:div>
    <w:div w:id="988940686">
      <w:bodyDiv w:val="1"/>
      <w:marLeft w:val="0"/>
      <w:marRight w:val="0"/>
      <w:marTop w:val="0"/>
      <w:marBottom w:val="0"/>
      <w:divBdr>
        <w:top w:val="none" w:sz="0" w:space="0" w:color="auto"/>
        <w:left w:val="none" w:sz="0" w:space="0" w:color="auto"/>
        <w:bottom w:val="none" w:sz="0" w:space="0" w:color="auto"/>
        <w:right w:val="none" w:sz="0" w:space="0" w:color="auto"/>
      </w:divBdr>
    </w:div>
    <w:div w:id="1069113161">
      <w:bodyDiv w:val="1"/>
      <w:marLeft w:val="0"/>
      <w:marRight w:val="0"/>
      <w:marTop w:val="0"/>
      <w:marBottom w:val="0"/>
      <w:divBdr>
        <w:top w:val="none" w:sz="0" w:space="0" w:color="auto"/>
        <w:left w:val="none" w:sz="0" w:space="0" w:color="auto"/>
        <w:bottom w:val="none" w:sz="0" w:space="0" w:color="auto"/>
        <w:right w:val="none" w:sz="0" w:space="0" w:color="auto"/>
      </w:divBdr>
    </w:div>
    <w:div w:id="1777402797">
      <w:bodyDiv w:val="1"/>
      <w:marLeft w:val="0"/>
      <w:marRight w:val="0"/>
      <w:marTop w:val="0"/>
      <w:marBottom w:val="0"/>
      <w:divBdr>
        <w:top w:val="none" w:sz="0" w:space="0" w:color="auto"/>
        <w:left w:val="none" w:sz="0" w:space="0" w:color="auto"/>
        <w:bottom w:val="none" w:sz="0" w:space="0" w:color="auto"/>
        <w:right w:val="none" w:sz="0" w:space="0" w:color="auto"/>
      </w:divBdr>
    </w:div>
    <w:div w:id="1794909615">
      <w:bodyDiv w:val="1"/>
      <w:marLeft w:val="0"/>
      <w:marRight w:val="0"/>
      <w:marTop w:val="0"/>
      <w:marBottom w:val="0"/>
      <w:divBdr>
        <w:top w:val="none" w:sz="0" w:space="0" w:color="auto"/>
        <w:left w:val="none" w:sz="0" w:space="0" w:color="auto"/>
        <w:bottom w:val="none" w:sz="0" w:space="0" w:color="auto"/>
        <w:right w:val="none" w:sz="0" w:space="0" w:color="auto"/>
      </w:divBdr>
    </w:div>
    <w:div w:id="1841432460">
      <w:bodyDiv w:val="1"/>
      <w:marLeft w:val="0"/>
      <w:marRight w:val="0"/>
      <w:marTop w:val="0"/>
      <w:marBottom w:val="0"/>
      <w:divBdr>
        <w:top w:val="none" w:sz="0" w:space="0" w:color="auto"/>
        <w:left w:val="none" w:sz="0" w:space="0" w:color="auto"/>
        <w:bottom w:val="none" w:sz="0" w:space="0" w:color="auto"/>
        <w:right w:val="none" w:sz="0" w:space="0" w:color="auto"/>
      </w:divBdr>
    </w:div>
    <w:div w:id="1843814682">
      <w:bodyDiv w:val="1"/>
      <w:marLeft w:val="0"/>
      <w:marRight w:val="0"/>
      <w:marTop w:val="0"/>
      <w:marBottom w:val="0"/>
      <w:divBdr>
        <w:top w:val="none" w:sz="0" w:space="0" w:color="auto"/>
        <w:left w:val="none" w:sz="0" w:space="0" w:color="auto"/>
        <w:bottom w:val="none" w:sz="0" w:space="0" w:color="auto"/>
        <w:right w:val="none" w:sz="0" w:space="0" w:color="auto"/>
      </w:divBdr>
    </w:div>
    <w:div w:id="2001810152">
      <w:bodyDiv w:val="1"/>
      <w:marLeft w:val="0"/>
      <w:marRight w:val="0"/>
      <w:marTop w:val="0"/>
      <w:marBottom w:val="0"/>
      <w:divBdr>
        <w:top w:val="none" w:sz="0" w:space="0" w:color="auto"/>
        <w:left w:val="none" w:sz="0" w:space="0" w:color="auto"/>
        <w:bottom w:val="none" w:sz="0" w:space="0" w:color="auto"/>
        <w:right w:val="none" w:sz="0" w:space="0" w:color="auto"/>
      </w:divBdr>
    </w:div>
    <w:div w:id="213223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nsultas.ifai.org.mx/descargar.php?r=./pdf/resoluciones/2017/&amp;a=RRA%203482.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nsultas.ifai.org.mx/descargar.php?r=./pdf/resoluciones/2017/&amp;a=RRA%202536.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ultas.ifai.org.mx/descargar.php?r=./pdf/resoluciones/2017/&amp;a=RRA%20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F8737-5ABB-4373-8EE5-DA24358DF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13007</Words>
  <Characters>71542</Characters>
  <Application>Microsoft Office Word</Application>
  <DocSecurity>0</DocSecurity>
  <Lines>596</Lines>
  <Paragraphs>168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MIGUEL</cp:lastModifiedBy>
  <cp:revision>2</cp:revision>
  <cp:lastPrinted>2018-04-05T14:31:00Z</cp:lastPrinted>
  <dcterms:created xsi:type="dcterms:W3CDTF">2022-06-07T03:55:00Z</dcterms:created>
  <dcterms:modified xsi:type="dcterms:W3CDTF">2022-06-07T03:55:00Z</dcterms:modified>
</cp:coreProperties>
</file>