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47B78" w14:textId="4932B779" w:rsidR="005000AA" w:rsidRPr="00C63D99" w:rsidRDefault="005000AA" w:rsidP="005000AA">
      <w:pPr>
        <w:spacing w:before="240" w:after="240" w:line="360" w:lineRule="auto"/>
        <w:jc w:val="both"/>
        <w:rPr>
          <w:rFonts w:ascii="Palatino Linotype" w:hAnsi="Palatino Linotype"/>
          <w:sz w:val="24"/>
          <w:szCs w:val="24"/>
        </w:rPr>
      </w:pPr>
      <w:r w:rsidRPr="00C63D99">
        <w:rPr>
          <w:rFonts w:ascii="Palatino Linotype" w:hAnsi="Palatino Linotype"/>
          <w:sz w:val="24"/>
          <w:szCs w:val="24"/>
        </w:rPr>
        <w:t xml:space="preserve">Resolución del Pleno del Instituto de Transparencia, Acceso a la Información Pública y Protección de Datos Personales del Estado de México y Municipios, con domicilio en Metepec, Estado de México; de </w:t>
      </w:r>
      <w:r w:rsidR="00F714A9" w:rsidRPr="00C63D99">
        <w:rPr>
          <w:rFonts w:ascii="Palatino Linotype" w:hAnsi="Palatino Linotype"/>
          <w:sz w:val="24"/>
          <w:szCs w:val="24"/>
        </w:rPr>
        <w:t>veinticuatro</w:t>
      </w:r>
      <w:r w:rsidRPr="00C63D99">
        <w:rPr>
          <w:rFonts w:ascii="Palatino Linotype" w:hAnsi="Palatino Linotype"/>
          <w:sz w:val="24"/>
          <w:szCs w:val="24"/>
        </w:rPr>
        <w:t xml:space="preserve"> (</w:t>
      </w:r>
      <w:r w:rsidR="00F714A9" w:rsidRPr="00C63D99">
        <w:rPr>
          <w:rFonts w:ascii="Palatino Linotype" w:hAnsi="Palatino Linotype"/>
          <w:sz w:val="24"/>
          <w:szCs w:val="24"/>
        </w:rPr>
        <w:t>24</w:t>
      </w:r>
      <w:r w:rsidR="00BE6E79" w:rsidRPr="00C63D99">
        <w:rPr>
          <w:rFonts w:ascii="Palatino Linotype" w:hAnsi="Palatino Linotype"/>
          <w:sz w:val="24"/>
          <w:szCs w:val="24"/>
        </w:rPr>
        <w:t xml:space="preserve">) de </w:t>
      </w:r>
      <w:r w:rsidR="00396CF5" w:rsidRPr="00C63D99">
        <w:rPr>
          <w:rFonts w:ascii="Palatino Linotype" w:hAnsi="Palatino Linotype"/>
          <w:sz w:val="24"/>
          <w:szCs w:val="24"/>
        </w:rPr>
        <w:t>marzo</w:t>
      </w:r>
      <w:r w:rsidRPr="00C63D99">
        <w:rPr>
          <w:rFonts w:ascii="Palatino Linotype" w:hAnsi="Palatino Linotype"/>
          <w:sz w:val="24"/>
          <w:szCs w:val="24"/>
        </w:rPr>
        <w:t xml:space="preserve"> de dos mil veinti</w:t>
      </w:r>
      <w:r w:rsidR="00022835" w:rsidRPr="00C63D99">
        <w:rPr>
          <w:rFonts w:ascii="Palatino Linotype" w:hAnsi="Palatino Linotype"/>
          <w:sz w:val="24"/>
          <w:szCs w:val="24"/>
        </w:rPr>
        <w:t>dós</w:t>
      </w:r>
      <w:r w:rsidRPr="00C63D99">
        <w:rPr>
          <w:rFonts w:ascii="Palatino Linotype" w:hAnsi="Palatino Linotype"/>
          <w:sz w:val="24"/>
          <w:szCs w:val="24"/>
        </w:rPr>
        <w:t>.</w:t>
      </w:r>
    </w:p>
    <w:p w14:paraId="4C818016" w14:textId="3E3B63F8" w:rsidR="005000AA" w:rsidRPr="00C63D99" w:rsidRDefault="005000AA" w:rsidP="005000AA">
      <w:pPr>
        <w:pStyle w:val="Encabezado"/>
        <w:spacing w:line="360" w:lineRule="auto"/>
        <w:jc w:val="both"/>
        <w:rPr>
          <w:rFonts w:ascii="Palatino Linotype" w:hAnsi="Palatino Linotype"/>
          <w:sz w:val="24"/>
          <w:szCs w:val="24"/>
        </w:rPr>
      </w:pPr>
      <w:r w:rsidRPr="00C63D99">
        <w:rPr>
          <w:rFonts w:ascii="Palatino Linotype" w:hAnsi="Palatino Linotype"/>
          <w:b/>
          <w:sz w:val="24"/>
          <w:szCs w:val="24"/>
        </w:rPr>
        <w:t>VISTO</w:t>
      </w:r>
      <w:r w:rsidR="00F714A9" w:rsidRPr="00C63D99">
        <w:rPr>
          <w:rFonts w:ascii="Palatino Linotype" w:hAnsi="Palatino Linotype"/>
          <w:b/>
          <w:sz w:val="24"/>
          <w:szCs w:val="24"/>
        </w:rPr>
        <w:t>S</w:t>
      </w:r>
      <w:r w:rsidRPr="00C63D99">
        <w:rPr>
          <w:rFonts w:ascii="Palatino Linotype" w:hAnsi="Palatino Linotype"/>
          <w:b/>
          <w:sz w:val="24"/>
          <w:szCs w:val="24"/>
        </w:rPr>
        <w:t xml:space="preserve"> </w:t>
      </w:r>
      <w:r w:rsidR="00F714A9" w:rsidRPr="00C63D99">
        <w:rPr>
          <w:rFonts w:ascii="Palatino Linotype" w:hAnsi="Palatino Linotype"/>
          <w:b/>
          <w:sz w:val="24"/>
          <w:szCs w:val="24"/>
        </w:rPr>
        <w:t>los</w:t>
      </w:r>
      <w:r w:rsidRPr="00C63D99">
        <w:rPr>
          <w:rFonts w:ascii="Palatino Linotype" w:hAnsi="Palatino Linotype"/>
          <w:sz w:val="24"/>
          <w:szCs w:val="24"/>
        </w:rPr>
        <w:t xml:space="preserve"> expediente</w:t>
      </w:r>
      <w:r w:rsidR="00F714A9" w:rsidRPr="00C63D99">
        <w:rPr>
          <w:rFonts w:ascii="Palatino Linotype" w:hAnsi="Palatino Linotype"/>
          <w:sz w:val="24"/>
          <w:szCs w:val="24"/>
        </w:rPr>
        <w:t>s</w:t>
      </w:r>
      <w:r w:rsidRPr="00C63D99">
        <w:rPr>
          <w:rFonts w:ascii="Palatino Linotype" w:hAnsi="Palatino Linotype"/>
          <w:sz w:val="24"/>
          <w:szCs w:val="24"/>
        </w:rPr>
        <w:t xml:space="preserve"> electrónico</w:t>
      </w:r>
      <w:r w:rsidR="00F714A9" w:rsidRPr="00C63D99">
        <w:rPr>
          <w:rFonts w:ascii="Palatino Linotype" w:hAnsi="Palatino Linotype"/>
          <w:sz w:val="24"/>
          <w:szCs w:val="24"/>
        </w:rPr>
        <w:t>s</w:t>
      </w:r>
      <w:r w:rsidRPr="00C63D99">
        <w:rPr>
          <w:rFonts w:ascii="Palatino Linotype" w:hAnsi="Palatino Linotype"/>
          <w:sz w:val="24"/>
          <w:szCs w:val="24"/>
        </w:rPr>
        <w:t xml:space="preserve"> formado</w:t>
      </w:r>
      <w:r w:rsidR="00F714A9" w:rsidRPr="00C63D99">
        <w:rPr>
          <w:rFonts w:ascii="Palatino Linotype" w:hAnsi="Palatino Linotype"/>
          <w:sz w:val="24"/>
          <w:szCs w:val="24"/>
        </w:rPr>
        <w:t>s</w:t>
      </w:r>
      <w:r w:rsidRPr="00C63D99">
        <w:rPr>
          <w:rFonts w:ascii="Palatino Linotype" w:hAnsi="Palatino Linotype"/>
          <w:sz w:val="24"/>
          <w:szCs w:val="24"/>
        </w:rPr>
        <w:t xml:space="preserve"> con motivo de</w:t>
      </w:r>
      <w:r w:rsidR="00F714A9" w:rsidRPr="00C63D99">
        <w:rPr>
          <w:rFonts w:ascii="Palatino Linotype" w:hAnsi="Palatino Linotype"/>
          <w:sz w:val="24"/>
          <w:szCs w:val="24"/>
        </w:rPr>
        <w:t xml:space="preserve"> </w:t>
      </w:r>
      <w:r w:rsidRPr="00C63D99">
        <w:rPr>
          <w:rFonts w:ascii="Palatino Linotype" w:hAnsi="Palatino Linotype"/>
          <w:sz w:val="24"/>
          <w:szCs w:val="24"/>
        </w:rPr>
        <w:t>l</w:t>
      </w:r>
      <w:r w:rsidR="00F714A9" w:rsidRPr="00C63D99">
        <w:rPr>
          <w:rFonts w:ascii="Palatino Linotype" w:hAnsi="Palatino Linotype"/>
          <w:sz w:val="24"/>
          <w:szCs w:val="24"/>
        </w:rPr>
        <w:t>os</w:t>
      </w:r>
      <w:r w:rsidRPr="00C63D99">
        <w:rPr>
          <w:rFonts w:ascii="Palatino Linotype" w:hAnsi="Palatino Linotype"/>
          <w:sz w:val="24"/>
          <w:szCs w:val="24"/>
        </w:rPr>
        <w:t xml:space="preserve"> recurso de revisión </w:t>
      </w:r>
      <w:r w:rsidR="00396CF5" w:rsidRPr="00C63D99">
        <w:rPr>
          <w:rFonts w:ascii="Palatino Linotype" w:eastAsia="Calibri" w:hAnsi="Palatino Linotype" w:cs="Tahoma"/>
          <w:b/>
          <w:sz w:val="24"/>
          <w:lang w:eastAsia="en-US"/>
        </w:rPr>
        <w:t>0</w:t>
      </w:r>
      <w:r w:rsidR="007441D8" w:rsidRPr="00C63D99">
        <w:rPr>
          <w:rFonts w:ascii="Palatino Linotype" w:eastAsia="Calibri" w:hAnsi="Palatino Linotype" w:cs="Tahoma"/>
          <w:b/>
          <w:sz w:val="24"/>
          <w:lang w:eastAsia="en-US"/>
        </w:rPr>
        <w:t>1133</w:t>
      </w:r>
      <w:r w:rsidR="00396CF5" w:rsidRPr="00C63D99">
        <w:rPr>
          <w:rFonts w:ascii="Palatino Linotype" w:eastAsia="Calibri" w:hAnsi="Palatino Linotype" w:cs="Tahoma"/>
          <w:b/>
          <w:sz w:val="24"/>
          <w:lang w:eastAsia="en-US"/>
        </w:rPr>
        <w:t>/INFOEM/IP/RR/2022</w:t>
      </w:r>
      <w:r w:rsidR="007441D8" w:rsidRPr="00C63D99">
        <w:rPr>
          <w:rFonts w:ascii="Palatino Linotype" w:eastAsia="Calibri" w:hAnsi="Palatino Linotype" w:cs="Tahoma"/>
          <w:b/>
          <w:sz w:val="24"/>
          <w:lang w:eastAsia="en-US"/>
        </w:rPr>
        <w:t>, 01134/INFOEM/IP/RR/2022, 01135/INFOEM/IP/RR/2022, 0113</w:t>
      </w:r>
      <w:r w:rsidR="00F714A9" w:rsidRPr="00C63D99">
        <w:rPr>
          <w:rFonts w:ascii="Palatino Linotype" w:eastAsia="Calibri" w:hAnsi="Palatino Linotype" w:cs="Tahoma"/>
          <w:b/>
          <w:sz w:val="24"/>
          <w:lang w:eastAsia="en-US"/>
        </w:rPr>
        <w:t>6</w:t>
      </w:r>
      <w:r w:rsidR="007441D8" w:rsidRPr="00C63D99">
        <w:rPr>
          <w:rFonts w:ascii="Palatino Linotype" w:eastAsia="Calibri" w:hAnsi="Palatino Linotype" w:cs="Tahoma"/>
          <w:b/>
          <w:sz w:val="24"/>
          <w:lang w:eastAsia="en-US"/>
        </w:rPr>
        <w:t>/INFOEM/IP/RR/2022 y 0113</w:t>
      </w:r>
      <w:r w:rsidR="00F714A9" w:rsidRPr="00C63D99">
        <w:rPr>
          <w:rFonts w:ascii="Palatino Linotype" w:eastAsia="Calibri" w:hAnsi="Palatino Linotype" w:cs="Tahoma"/>
          <w:b/>
          <w:sz w:val="24"/>
          <w:lang w:eastAsia="en-US"/>
        </w:rPr>
        <w:t>7</w:t>
      </w:r>
      <w:r w:rsidR="007441D8" w:rsidRPr="00C63D99">
        <w:rPr>
          <w:rFonts w:ascii="Palatino Linotype" w:eastAsia="Calibri" w:hAnsi="Palatino Linotype" w:cs="Tahoma"/>
          <w:b/>
          <w:sz w:val="24"/>
          <w:lang w:eastAsia="en-US"/>
        </w:rPr>
        <w:t>/INFOEM/IP/RR/2022</w:t>
      </w:r>
      <w:r w:rsidRPr="00C63D99">
        <w:rPr>
          <w:rFonts w:ascii="Palatino Linotype" w:hAnsi="Palatino Linotype" w:cs="Arial"/>
          <w:b/>
          <w:bCs/>
          <w:sz w:val="24"/>
          <w:szCs w:val="24"/>
        </w:rPr>
        <w:t xml:space="preserve"> </w:t>
      </w:r>
      <w:r w:rsidRPr="00C63D99">
        <w:rPr>
          <w:rFonts w:ascii="Palatino Linotype" w:hAnsi="Palatino Linotype"/>
          <w:sz w:val="24"/>
          <w:szCs w:val="24"/>
        </w:rPr>
        <w:t>promovido</w:t>
      </w:r>
      <w:r w:rsidR="00F714A9" w:rsidRPr="00C63D99">
        <w:rPr>
          <w:rFonts w:ascii="Palatino Linotype" w:hAnsi="Palatino Linotype"/>
          <w:sz w:val="24"/>
          <w:szCs w:val="24"/>
        </w:rPr>
        <w:t>s</w:t>
      </w:r>
      <w:r w:rsidRPr="00C63D99">
        <w:rPr>
          <w:rFonts w:ascii="Palatino Linotype" w:hAnsi="Palatino Linotype"/>
          <w:sz w:val="24"/>
          <w:szCs w:val="24"/>
        </w:rPr>
        <w:t xml:space="preserve"> por</w:t>
      </w:r>
      <w:r w:rsidR="00396CF5" w:rsidRPr="00C63D99">
        <w:rPr>
          <w:rFonts w:ascii="Palatino Linotype" w:hAnsi="Palatino Linotype"/>
          <w:sz w:val="24"/>
          <w:szCs w:val="24"/>
        </w:rPr>
        <w:t xml:space="preserve"> </w:t>
      </w:r>
      <w:r w:rsidR="00396CF5" w:rsidRPr="00C63D99">
        <w:rPr>
          <w:rFonts w:ascii="Palatino Linotype" w:eastAsia="Calibri" w:hAnsi="Palatino Linotype" w:cs="Tahoma"/>
          <w:b/>
          <w:bCs/>
          <w:sz w:val="24"/>
          <w:szCs w:val="24"/>
          <w:lang w:eastAsia="en-US"/>
        </w:rPr>
        <w:t>Un usuario del Sistema de Acceso a la Información Mexiquense que no proporcionó su nombre para ser identificado</w:t>
      </w:r>
      <w:r w:rsidR="00CA3902" w:rsidRPr="00C63D99">
        <w:rPr>
          <w:rFonts w:ascii="Palatino Linotype" w:eastAsia="Calibri" w:hAnsi="Palatino Linotype" w:cs="Tahoma"/>
          <w:b/>
          <w:sz w:val="24"/>
          <w:szCs w:val="22"/>
          <w:lang w:eastAsia="en-US"/>
        </w:rPr>
        <w:t>,</w:t>
      </w:r>
      <w:r w:rsidR="005D09C1" w:rsidRPr="00C63D99">
        <w:rPr>
          <w:rFonts w:ascii="Palatino Linotype" w:hAnsi="Palatino Linotype"/>
          <w:sz w:val="24"/>
          <w:szCs w:val="24"/>
        </w:rPr>
        <w:t xml:space="preserve"> en su calidad de </w:t>
      </w:r>
      <w:r w:rsidRPr="00C63D99">
        <w:rPr>
          <w:rFonts w:ascii="Palatino Linotype" w:hAnsi="Palatino Linotype"/>
          <w:b/>
          <w:sz w:val="24"/>
          <w:szCs w:val="24"/>
        </w:rPr>
        <w:t>RECURRENTE</w:t>
      </w:r>
      <w:r w:rsidRPr="00C63D99">
        <w:rPr>
          <w:rFonts w:ascii="Palatino Linotype" w:hAnsi="Palatino Linotype" w:cs="Arial"/>
          <w:sz w:val="24"/>
          <w:szCs w:val="24"/>
        </w:rPr>
        <w:t xml:space="preserve">, en contra de la </w:t>
      </w:r>
      <w:r w:rsidR="005D09C1" w:rsidRPr="00C63D99">
        <w:rPr>
          <w:rFonts w:ascii="Palatino Linotype" w:hAnsi="Palatino Linotype" w:cs="Arial"/>
          <w:sz w:val="24"/>
          <w:szCs w:val="24"/>
        </w:rPr>
        <w:t xml:space="preserve">falta de </w:t>
      </w:r>
      <w:r w:rsidRPr="00C63D99">
        <w:rPr>
          <w:rFonts w:ascii="Palatino Linotype" w:hAnsi="Palatino Linotype" w:cs="Arial"/>
          <w:sz w:val="24"/>
          <w:szCs w:val="24"/>
        </w:rPr>
        <w:t xml:space="preserve">respuesta del </w:t>
      </w:r>
      <w:r w:rsidR="007441D8" w:rsidRPr="00C63D99">
        <w:rPr>
          <w:rFonts w:ascii="Palatino Linotype" w:eastAsia="Calibri" w:hAnsi="Palatino Linotype" w:cs="Tahoma"/>
          <w:b/>
          <w:sz w:val="24"/>
          <w:szCs w:val="28"/>
          <w:lang w:eastAsia="en-US"/>
        </w:rPr>
        <w:t>Ayuntamiento de Metepec</w:t>
      </w:r>
      <w:r w:rsidRPr="00C63D99">
        <w:rPr>
          <w:rFonts w:ascii="Palatino Linotype" w:hAnsi="Palatino Linotype" w:cs="Arial"/>
          <w:sz w:val="24"/>
          <w:szCs w:val="24"/>
        </w:rPr>
        <w:t>,</w:t>
      </w:r>
      <w:r w:rsidRPr="00C63D99">
        <w:rPr>
          <w:rFonts w:ascii="Palatino Linotype" w:hAnsi="Palatino Linotype"/>
          <w:b/>
          <w:sz w:val="24"/>
          <w:szCs w:val="24"/>
        </w:rPr>
        <w:t xml:space="preserve"> </w:t>
      </w:r>
      <w:r w:rsidRPr="00C63D99">
        <w:rPr>
          <w:rFonts w:ascii="Palatino Linotype" w:hAnsi="Palatino Linotype"/>
          <w:sz w:val="24"/>
          <w:szCs w:val="24"/>
        </w:rPr>
        <w:t>en lo sucesivo el</w:t>
      </w:r>
      <w:r w:rsidRPr="00C63D99">
        <w:rPr>
          <w:rFonts w:ascii="Palatino Linotype" w:hAnsi="Palatino Linotype"/>
          <w:b/>
          <w:sz w:val="24"/>
          <w:szCs w:val="24"/>
        </w:rPr>
        <w:t xml:space="preserve"> SUJETO OBLIGADO, </w:t>
      </w:r>
      <w:r w:rsidRPr="00C63D99">
        <w:rPr>
          <w:rFonts w:ascii="Palatino Linotype" w:hAnsi="Palatino Linotype"/>
          <w:sz w:val="24"/>
          <w:szCs w:val="24"/>
        </w:rPr>
        <w:t>se procede a dictar la presente resolución, con base en los siguientes:</w:t>
      </w:r>
    </w:p>
    <w:p w14:paraId="1F1BAF80" w14:textId="77777777" w:rsidR="005000AA" w:rsidRPr="00C63D99" w:rsidRDefault="005000AA" w:rsidP="005000AA">
      <w:pPr>
        <w:pStyle w:val="Ttulo1"/>
        <w:jc w:val="center"/>
        <w:rPr>
          <w:rFonts w:ascii="Palatino Linotype" w:hAnsi="Palatino Linotype"/>
          <w:b/>
          <w:color w:val="auto"/>
          <w:sz w:val="24"/>
          <w:szCs w:val="24"/>
        </w:rPr>
      </w:pPr>
      <w:bookmarkStart w:id="0" w:name="_Toc87549671"/>
      <w:r w:rsidRPr="00C63D99">
        <w:rPr>
          <w:rFonts w:ascii="Palatino Linotype" w:hAnsi="Palatino Linotype"/>
          <w:b/>
          <w:color w:val="auto"/>
          <w:sz w:val="24"/>
          <w:szCs w:val="24"/>
        </w:rPr>
        <w:t>ANTECEDENTES</w:t>
      </w:r>
      <w:bookmarkEnd w:id="0"/>
    </w:p>
    <w:p w14:paraId="04287D5F" w14:textId="77777777" w:rsidR="005000AA" w:rsidRPr="00C63D99" w:rsidRDefault="005000AA" w:rsidP="005000AA">
      <w:pPr>
        <w:rPr>
          <w:rFonts w:ascii="Palatino Linotype" w:hAnsi="Palatino Linotype"/>
          <w:sz w:val="24"/>
          <w:szCs w:val="24"/>
          <w:lang w:eastAsia="en-US"/>
        </w:rPr>
      </w:pPr>
    </w:p>
    <w:p w14:paraId="205E5E03" w14:textId="48B16C33" w:rsidR="005000AA" w:rsidRPr="00C63D99" w:rsidRDefault="00A36BE2" w:rsidP="005000AA">
      <w:pPr>
        <w:pStyle w:val="Prrafodelista"/>
        <w:numPr>
          <w:ilvl w:val="0"/>
          <w:numId w:val="3"/>
        </w:numPr>
        <w:spacing w:line="360" w:lineRule="auto"/>
        <w:ind w:left="0" w:firstLine="0"/>
        <w:jc w:val="both"/>
        <w:rPr>
          <w:rFonts w:ascii="Palatino Linotype" w:hAnsi="Palatino Linotype" w:cs="Arial"/>
          <w:sz w:val="24"/>
          <w:lang w:val="es-ES"/>
        </w:rPr>
      </w:pPr>
      <w:r w:rsidRPr="00C63D99">
        <w:rPr>
          <w:rFonts w:ascii="Palatino Linotype" w:eastAsia="Calibri" w:hAnsi="Palatino Linotype" w:cs="Arial"/>
          <w:sz w:val="24"/>
          <w:lang w:val="es-ES"/>
        </w:rPr>
        <w:t xml:space="preserve">El </w:t>
      </w:r>
      <w:r w:rsidR="00F714A9" w:rsidRPr="00C63D99">
        <w:rPr>
          <w:rFonts w:ascii="Palatino Linotype" w:eastAsia="Calibri" w:hAnsi="Palatino Linotype" w:cs="Arial"/>
          <w:sz w:val="24"/>
          <w:lang w:val="es-ES"/>
        </w:rPr>
        <w:t>treinta y uno</w:t>
      </w:r>
      <w:r w:rsidR="00AA58C8" w:rsidRPr="00C63D99">
        <w:rPr>
          <w:rFonts w:ascii="Palatino Linotype" w:eastAsia="Calibri" w:hAnsi="Palatino Linotype" w:cs="Arial"/>
          <w:sz w:val="24"/>
          <w:lang w:val="es-ES"/>
        </w:rPr>
        <w:t xml:space="preserve"> (</w:t>
      </w:r>
      <w:r w:rsidR="00F714A9" w:rsidRPr="00C63D99">
        <w:rPr>
          <w:rFonts w:ascii="Palatino Linotype" w:eastAsia="Calibri" w:hAnsi="Palatino Linotype" w:cs="Arial"/>
          <w:sz w:val="24"/>
          <w:lang w:val="es-ES"/>
        </w:rPr>
        <w:t>31</w:t>
      </w:r>
      <w:r w:rsidR="00AA58C8" w:rsidRPr="00C63D99">
        <w:rPr>
          <w:rFonts w:ascii="Palatino Linotype" w:eastAsia="Calibri" w:hAnsi="Palatino Linotype" w:cs="Arial"/>
          <w:sz w:val="24"/>
          <w:lang w:val="es-ES"/>
        </w:rPr>
        <w:t xml:space="preserve">) de </w:t>
      </w:r>
      <w:r w:rsidR="00F714A9" w:rsidRPr="00C63D99">
        <w:rPr>
          <w:rFonts w:ascii="Palatino Linotype" w:eastAsia="Calibri" w:hAnsi="Palatino Linotype" w:cs="Arial"/>
          <w:sz w:val="24"/>
          <w:lang w:val="es-ES"/>
        </w:rPr>
        <w:t>enero</w:t>
      </w:r>
      <w:r w:rsidR="005000AA" w:rsidRPr="00C63D99">
        <w:rPr>
          <w:rFonts w:ascii="Palatino Linotype" w:eastAsia="Calibri" w:hAnsi="Palatino Linotype"/>
          <w:sz w:val="24"/>
          <w:lang w:val="es-ES"/>
        </w:rPr>
        <w:t xml:space="preserve"> de dos mil veinti</w:t>
      </w:r>
      <w:r w:rsidR="00F714A9" w:rsidRPr="00C63D99">
        <w:rPr>
          <w:rFonts w:ascii="Palatino Linotype" w:eastAsia="Calibri" w:hAnsi="Palatino Linotype"/>
          <w:sz w:val="24"/>
          <w:lang w:val="es-ES"/>
        </w:rPr>
        <w:t>dós</w:t>
      </w:r>
      <w:r w:rsidR="005000AA" w:rsidRPr="00C63D99">
        <w:rPr>
          <w:rFonts w:ascii="Palatino Linotype" w:eastAsia="Calibri" w:hAnsi="Palatino Linotype" w:cs="Arial"/>
          <w:sz w:val="24"/>
          <w:lang w:val="es-ES"/>
        </w:rPr>
        <w:t>,</w:t>
      </w:r>
      <w:r w:rsidR="005000AA" w:rsidRPr="00C63D99">
        <w:rPr>
          <w:rFonts w:ascii="Palatino Linotype" w:eastAsia="Calibri" w:hAnsi="Palatino Linotype"/>
          <w:sz w:val="24"/>
          <w:lang w:val="es-ES"/>
        </w:rPr>
        <w:t xml:space="preserve"> </w:t>
      </w:r>
      <w:r w:rsidR="005000AA" w:rsidRPr="00C63D99">
        <w:rPr>
          <w:rFonts w:ascii="Palatino Linotype" w:eastAsia="Calibri" w:hAnsi="Palatino Linotype"/>
          <w:b/>
          <w:sz w:val="24"/>
          <w:lang w:val="es-ES"/>
        </w:rPr>
        <w:t xml:space="preserve">EL RECURRENTE </w:t>
      </w:r>
      <w:r w:rsidR="005000AA" w:rsidRPr="00C63D99">
        <w:rPr>
          <w:rFonts w:ascii="Palatino Linotype" w:eastAsia="Calibri" w:hAnsi="Palatino Linotype"/>
          <w:bCs/>
          <w:sz w:val="24"/>
          <w:lang w:val="es-ES"/>
        </w:rPr>
        <w:t>presentó</w:t>
      </w:r>
      <w:r w:rsidR="005000AA" w:rsidRPr="00C63D99">
        <w:rPr>
          <w:rFonts w:ascii="Palatino Linotype" w:hAnsi="Palatino Linotype"/>
          <w:b/>
          <w:sz w:val="24"/>
        </w:rPr>
        <w:t>,</w:t>
      </w:r>
      <w:r w:rsidR="005000AA" w:rsidRPr="00C63D99">
        <w:rPr>
          <w:rFonts w:ascii="Palatino Linotype" w:eastAsia="Calibri" w:hAnsi="Palatino Linotype" w:cs="Arial"/>
          <w:sz w:val="24"/>
          <w:lang w:val="es-ES"/>
        </w:rPr>
        <w:t xml:space="preserve"> ante el </w:t>
      </w:r>
      <w:r w:rsidR="005000AA" w:rsidRPr="00C63D99">
        <w:rPr>
          <w:rFonts w:ascii="Palatino Linotype" w:eastAsia="Calibri" w:hAnsi="Palatino Linotype" w:cs="Arial"/>
          <w:b/>
          <w:sz w:val="24"/>
          <w:lang w:val="es-ES"/>
        </w:rPr>
        <w:t>SUJETO OBLIGADO</w:t>
      </w:r>
      <w:r w:rsidR="005000AA" w:rsidRPr="00C63D99">
        <w:rPr>
          <w:rFonts w:ascii="Palatino Linotype" w:eastAsia="Calibri" w:hAnsi="Palatino Linotype" w:cs="Arial"/>
          <w:sz w:val="24"/>
        </w:rPr>
        <w:t xml:space="preserve"> vía </w:t>
      </w:r>
      <w:r w:rsidR="005000AA" w:rsidRPr="00C63D99">
        <w:rPr>
          <w:rFonts w:ascii="Palatino Linotype" w:eastAsia="Calibri" w:hAnsi="Palatino Linotype" w:cs="Arial"/>
          <w:sz w:val="24"/>
          <w:lang w:val="es-ES"/>
        </w:rPr>
        <w:t>Sistema de Acceso a la Información Mexiquense (</w:t>
      </w:r>
      <w:r w:rsidR="005000AA" w:rsidRPr="00C63D99">
        <w:rPr>
          <w:rFonts w:ascii="Palatino Linotype" w:eastAsia="Calibri" w:hAnsi="Palatino Linotype" w:cs="Arial"/>
          <w:b/>
          <w:sz w:val="24"/>
          <w:lang w:val="es-ES"/>
        </w:rPr>
        <w:t>SAIMEX)</w:t>
      </w:r>
      <w:r w:rsidR="005000AA" w:rsidRPr="00C63D99">
        <w:rPr>
          <w:rFonts w:ascii="Palatino Linotype" w:eastAsia="Calibri" w:hAnsi="Palatino Linotype" w:cs="Arial"/>
          <w:sz w:val="24"/>
          <w:lang w:val="es-ES"/>
        </w:rPr>
        <w:t>, la</w:t>
      </w:r>
      <w:r w:rsidR="00A13224" w:rsidRPr="00C63D99">
        <w:rPr>
          <w:rFonts w:ascii="Palatino Linotype" w:eastAsia="Calibri" w:hAnsi="Palatino Linotype" w:cs="Arial"/>
          <w:sz w:val="24"/>
          <w:lang w:val="es-ES"/>
        </w:rPr>
        <w:t>s</w:t>
      </w:r>
      <w:r w:rsidR="005000AA" w:rsidRPr="00C63D99">
        <w:rPr>
          <w:rFonts w:ascii="Palatino Linotype" w:eastAsia="Calibri" w:hAnsi="Palatino Linotype" w:cs="Arial"/>
          <w:sz w:val="24"/>
          <w:lang w:val="es-ES"/>
        </w:rPr>
        <w:t xml:space="preserve"> solicitud</w:t>
      </w:r>
      <w:r w:rsidR="00A13224" w:rsidRPr="00C63D99">
        <w:rPr>
          <w:rFonts w:ascii="Palatino Linotype" w:eastAsia="Calibri" w:hAnsi="Palatino Linotype" w:cs="Arial"/>
          <w:sz w:val="24"/>
          <w:lang w:val="es-ES"/>
        </w:rPr>
        <w:t>es</w:t>
      </w:r>
      <w:r w:rsidR="005000AA" w:rsidRPr="00C63D99">
        <w:rPr>
          <w:rFonts w:ascii="Palatino Linotype" w:eastAsia="Calibri" w:hAnsi="Palatino Linotype" w:cs="Arial"/>
          <w:sz w:val="24"/>
          <w:lang w:val="es-ES"/>
        </w:rPr>
        <w:t xml:space="preserve"> de información pública registrada</w:t>
      </w:r>
      <w:r w:rsidR="00A13224" w:rsidRPr="00C63D99">
        <w:rPr>
          <w:rFonts w:ascii="Palatino Linotype" w:eastAsia="Calibri" w:hAnsi="Palatino Linotype" w:cs="Arial"/>
          <w:sz w:val="24"/>
          <w:lang w:val="es-ES"/>
        </w:rPr>
        <w:t>s</w:t>
      </w:r>
      <w:r w:rsidR="005000AA" w:rsidRPr="00C63D99">
        <w:rPr>
          <w:rFonts w:ascii="Palatino Linotype" w:eastAsia="Calibri" w:hAnsi="Palatino Linotype" w:cs="Arial"/>
          <w:sz w:val="24"/>
          <w:lang w:val="es-ES"/>
        </w:rPr>
        <w:t xml:space="preserve"> con el número </w:t>
      </w:r>
      <w:r w:rsidR="00396CF5" w:rsidRPr="00C63D99">
        <w:rPr>
          <w:rFonts w:ascii="Palatino Linotype" w:eastAsia="Calibri" w:hAnsi="Palatino Linotype" w:cs="Arial"/>
          <w:b/>
          <w:sz w:val="24"/>
          <w:lang w:val="es-ES"/>
        </w:rPr>
        <w:t>0</w:t>
      </w:r>
      <w:r w:rsidR="00A13224" w:rsidRPr="00C63D99">
        <w:rPr>
          <w:rFonts w:ascii="Palatino Linotype" w:eastAsia="Calibri" w:hAnsi="Palatino Linotype" w:cs="Arial"/>
          <w:b/>
          <w:sz w:val="24"/>
          <w:lang w:val="es-ES"/>
        </w:rPr>
        <w:t>1720</w:t>
      </w:r>
      <w:r w:rsidR="00396CF5" w:rsidRPr="00C63D99">
        <w:rPr>
          <w:rFonts w:ascii="Palatino Linotype" w:eastAsia="Calibri" w:hAnsi="Palatino Linotype" w:cs="Arial"/>
          <w:b/>
          <w:sz w:val="24"/>
          <w:lang w:val="es-ES"/>
        </w:rPr>
        <w:t>/</w:t>
      </w:r>
      <w:r w:rsidR="00A13224" w:rsidRPr="00C63D99">
        <w:rPr>
          <w:rFonts w:ascii="Palatino Linotype" w:eastAsia="Calibri" w:hAnsi="Palatino Linotype" w:cs="Arial"/>
          <w:b/>
          <w:sz w:val="24"/>
          <w:lang w:val="es-ES"/>
        </w:rPr>
        <w:t>METEPEC</w:t>
      </w:r>
      <w:r w:rsidR="00396CF5" w:rsidRPr="00C63D99">
        <w:rPr>
          <w:rFonts w:ascii="Palatino Linotype" w:eastAsia="Calibri" w:hAnsi="Palatino Linotype" w:cs="Arial"/>
          <w:b/>
          <w:sz w:val="24"/>
          <w:lang w:val="es-ES"/>
        </w:rPr>
        <w:t>/IP/202</w:t>
      </w:r>
      <w:r w:rsidR="00A13224" w:rsidRPr="00C63D99">
        <w:rPr>
          <w:rFonts w:ascii="Palatino Linotype" w:eastAsia="Calibri" w:hAnsi="Palatino Linotype" w:cs="Arial"/>
          <w:b/>
          <w:sz w:val="24"/>
          <w:lang w:val="es-ES"/>
        </w:rPr>
        <w:t>2, 01721/METEPEC/IP/2022, 01722/METEPEC/IP/2022, 01723/METEPEC/IP/2022 y 01724/METEPEC/IP/2022</w:t>
      </w:r>
      <w:r w:rsidR="005D09C1" w:rsidRPr="00C63D99">
        <w:rPr>
          <w:rFonts w:ascii="Palatino Linotype" w:hAnsi="Palatino Linotype"/>
          <w:b/>
          <w:sz w:val="24"/>
          <w:lang w:val="es-ES"/>
        </w:rPr>
        <w:t xml:space="preserve"> </w:t>
      </w:r>
      <w:r w:rsidR="005000AA" w:rsidRPr="00C63D99">
        <w:rPr>
          <w:rFonts w:ascii="Palatino Linotype" w:eastAsia="Calibri" w:hAnsi="Palatino Linotype" w:cs="Arial"/>
          <w:sz w:val="24"/>
          <w:lang w:val="es-ES"/>
        </w:rPr>
        <w:t>mediante la cual solicitó lo siguiente:</w:t>
      </w:r>
    </w:p>
    <w:p w14:paraId="5990ACCE" w14:textId="158001BB" w:rsidR="00A13224" w:rsidRPr="00C63D99" w:rsidRDefault="00A13224" w:rsidP="00A13224">
      <w:pPr>
        <w:pStyle w:val="Prrafodelista"/>
        <w:numPr>
          <w:ilvl w:val="0"/>
          <w:numId w:val="48"/>
        </w:numPr>
        <w:spacing w:line="360" w:lineRule="auto"/>
        <w:jc w:val="both"/>
        <w:rPr>
          <w:rFonts w:ascii="Palatino Linotype" w:hAnsi="Palatino Linotype" w:cs="Arial"/>
          <w:sz w:val="24"/>
          <w:lang w:val="es-ES"/>
        </w:rPr>
      </w:pPr>
      <w:r w:rsidRPr="00C63D99">
        <w:rPr>
          <w:rFonts w:ascii="Palatino Linotype" w:eastAsia="Calibri" w:hAnsi="Palatino Linotype" w:cs="Arial"/>
          <w:b/>
          <w:sz w:val="24"/>
          <w:lang w:val="es-ES"/>
        </w:rPr>
        <w:t>01720/METEPEC/IP/2022</w:t>
      </w:r>
    </w:p>
    <w:p w14:paraId="19CBEB32" w14:textId="29F4D3BD" w:rsidR="005000AA" w:rsidRPr="00C63D99" w:rsidRDefault="005000AA" w:rsidP="005000AA">
      <w:pPr>
        <w:ind w:left="567" w:right="567"/>
        <w:jc w:val="both"/>
        <w:rPr>
          <w:rFonts w:ascii="Palatino Linotype" w:eastAsia="Calibri" w:hAnsi="Palatino Linotype" w:cs="Arial"/>
          <w:i/>
          <w:sz w:val="24"/>
          <w:szCs w:val="24"/>
          <w:lang w:val="es-ES"/>
        </w:rPr>
      </w:pPr>
      <w:r w:rsidRPr="00C63D99">
        <w:rPr>
          <w:rFonts w:ascii="Palatino Linotype" w:eastAsia="Calibri" w:hAnsi="Palatino Linotype" w:cs="Arial"/>
          <w:i/>
          <w:sz w:val="24"/>
          <w:szCs w:val="24"/>
          <w:lang w:val="es-ES"/>
        </w:rPr>
        <w:t>“</w:t>
      </w:r>
      <w:r w:rsidR="00A13224" w:rsidRPr="00C63D99">
        <w:rPr>
          <w:rFonts w:ascii="Palatino Linotype" w:hAnsi="Palatino Linotype"/>
          <w:i/>
          <w:sz w:val="24"/>
          <w:szCs w:val="24"/>
          <w:lang w:eastAsia="es-MX"/>
        </w:rPr>
        <w:t xml:space="preserve">Solicito copia fiel, VIA SAIMEX en versión digital, de todos y cada uno de los oficios generados por las regidurías primera, segunda, tercera, cuarta, quinta, sexta, </w:t>
      </w:r>
      <w:r w:rsidR="00A13224" w:rsidRPr="00C63D99">
        <w:rPr>
          <w:rFonts w:ascii="Palatino Linotype" w:hAnsi="Palatino Linotype"/>
          <w:i/>
          <w:sz w:val="24"/>
          <w:szCs w:val="24"/>
          <w:lang w:eastAsia="es-MX"/>
        </w:rPr>
        <w:lastRenderedPageBreak/>
        <w:t>séptima, octava y novena del Ayuntamiento de Metepec, que fueron, elaborados y/o emitidos entre el primero de enero y el treinta y uno de enero de dos mil veintidós.</w:t>
      </w:r>
      <w:r w:rsidRPr="00C63D99">
        <w:rPr>
          <w:rFonts w:ascii="Palatino Linotype" w:eastAsia="Calibri" w:hAnsi="Palatino Linotype" w:cs="Arial"/>
          <w:i/>
          <w:sz w:val="24"/>
          <w:szCs w:val="24"/>
          <w:lang w:val="es-ES"/>
        </w:rPr>
        <w:t>” (Sic)</w:t>
      </w:r>
    </w:p>
    <w:p w14:paraId="35434997" w14:textId="77777777" w:rsidR="00A13224" w:rsidRPr="00C63D99" w:rsidRDefault="00A13224" w:rsidP="00A13224">
      <w:pPr>
        <w:pStyle w:val="Prrafodelista"/>
        <w:numPr>
          <w:ilvl w:val="0"/>
          <w:numId w:val="48"/>
        </w:numPr>
        <w:ind w:right="567"/>
        <w:jc w:val="both"/>
        <w:rPr>
          <w:rFonts w:ascii="Palatino Linotype" w:eastAsia="Calibri" w:hAnsi="Palatino Linotype" w:cs="Arial"/>
          <w:b/>
          <w:sz w:val="24"/>
          <w:lang w:val="es-ES"/>
        </w:rPr>
      </w:pPr>
      <w:r w:rsidRPr="00C63D99">
        <w:rPr>
          <w:rFonts w:ascii="Palatino Linotype" w:eastAsia="Calibri" w:hAnsi="Palatino Linotype" w:cs="Arial"/>
          <w:b/>
          <w:sz w:val="24"/>
          <w:lang w:val="es-ES"/>
        </w:rPr>
        <w:t>01721/METEPEC/IP/2022</w:t>
      </w:r>
    </w:p>
    <w:p w14:paraId="58AD6242" w14:textId="721FFF25" w:rsidR="00A13224" w:rsidRPr="00C63D99" w:rsidRDefault="00A13224" w:rsidP="00A13224">
      <w:pPr>
        <w:ind w:left="567" w:right="567"/>
        <w:jc w:val="both"/>
        <w:rPr>
          <w:rFonts w:ascii="Palatino Linotype" w:eastAsia="Calibri" w:hAnsi="Palatino Linotype" w:cs="Arial"/>
          <w:i/>
          <w:sz w:val="24"/>
          <w:szCs w:val="24"/>
          <w:lang w:val="es-ES"/>
        </w:rPr>
      </w:pPr>
      <w:r w:rsidRPr="00C63D99">
        <w:rPr>
          <w:rFonts w:ascii="Palatino Linotype" w:eastAsia="Calibri" w:hAnsi="Palatino Linotype" w:cs="Arial"/>
          <w:i/>
          <w:sz w:val="24"/>
          <w:szCs w:val="24"/>
          <w:lang w:val="es-ES"/>
        </w:rPr>
        <w:t>“</w:t>
      </w:r>
      <w:r w:rsidRPr="00C63D99">
        <w:rPr>
          <w:rFonts w:ascii="Palatino Linotype" w:hAnsi="Palatino Linotype"/>
          <w:i/>
          <w:sz w:val="24"/>
          <w:szCs w:val="24"/>
          <w:lang w:eastAsia="es-MX"/>
        </w:rPr>
        <w:t>Solicito copia fiel, VIA SAIMEX en versión digital, de todos y cada uno de los oficios generados por la Presidencia y la Secretaría del Ayuntamiento de Metepec, que fueron elaborados y/o emitidos entre el primero de enero y el treinta y uno de enero de dos mil veintidós.</w:t>
      </w:r>
      <w:r w:rsidRPr="00C63D99">
        <w:rPr>
          <w:rFonts w:ascii="Palatino Linotype" w:eastAsia="Calibri" w:hAnsi="Palatino Linotype" w:cs="Arial"/>
          <w:i/>
          <w:sz w:val="24"/>
          <w:szCs w:val="24"/>
          <w:lang w:val="es-ES"/>
        </w:rPr>
        <w:t>” (Sic)</w:t>
      </w:r>
    </w:p>
    <w:p w14:paraId="2F19F5C5" w14:textId="77777777" w:rsidR="00A13224" w:rsidRPr="00C63D99" w:rsidRDefault="00A13224" w:rsidP="00A13224">
      <w:pPr>
        <w:ind w:left="567" w:right="567"/>
        <w:jc w:val="both"/>
        <w:rPr>
          <w:rFonts w:ascii="Palatino Linotype" w:eastAsia="Calibri" w:hAnsi="Palatino Linotype" w:cs="Arial"/>
          <w:b/>
          <w:sz w:val="24"/>
          <w:lang w:val="es-ES"/>
        </w:rPr>
      </w:pPr>
    </w:p>
    <w:p w14:paraId="33A3CA0A" w14:textId="77777777" w:rsidR="00A13224" w:rsidRPr="00C63D99" w:rsidRDefault="00A13224" w:rsidP="00A13224">
      <w:pPr>
        <w:ind w:left="567" w:right="567"/>
        <w:jc w:val="both"/>
        <w:rPr>
          <w:rFonts w:ascii="Palatino Linotype" w:eastAsia="Calibri" w:hAnsi="Palatino Linotype" w:cs="Arial"/>
          <w:b/>
          <w:sz w:val="24"/>
          <w:lang w:val="es-ES"/>
        </w:rPr>
      </w:pPr>
    </w:p>
    <w:p w14:paraId="503B31E0" w14:textId="77777777" w:rsidR="00A13224" w:rsidRPr="00C63D99" w:rsidRDefault="00A13224" w:rsidP="00A13224">
      <w:pPr>
        <w:pStyle w:val="Prrafodelista"/>
        <w:numPr>
          <w:ilvl w:val="0"/>
          <w:numId w:val="48"/>
        </w:numPr>
        <w:ind w:right="567"/>
        <w:jc w:val="both"/>
        <w:rPr>
          <w:rFonts w:ascii="Palatino Linotype" w:eastAsia="Calibri" w:hAnsi="Palatino Linotype" w:cs="Arial"/>
          <w:b/>
          <w:sz w:val="24"/>
          <w:lang w:val="es-ES"/>
        </w:rPr>
      </w:pPr>
      <w:r w:rsidRPr="00C63D99">
        <w:rPr>
          <w:rFonts w:ascii="Palatino Linotype" w:eastAsia="Calibri" w:hAnsi="Palatino Linotype" w:cs="Arial"/>
          <w:b/>
          <w:sz w:val="24"/>
          <w:lang w:val="es-ES"/>
        </w:rPr>
        <w:t>01722/METEPEC/IP/2022</w:t>
      </w:r>
    </w:p>
    <w:p w14:paraId="0E9F6708" w14:textId="2127AFD3" w:rsidR="00A13224" w:rsidRPr="00C63D99" w:rsidRDefault="00A13224" w:rsidP="00A13224">
      <w:pPr>
        <w:ind w:left="567" w:right="567"/>
        <w:jc w:val="both"/>
        <w:rPr>
          <w:rFonts w:ascii="Palatino Linotype" w:eastAsia="Calibri" w:hAnsi="Palatino Linotype" w:cs="Arial"/>
          <w:i/>
          <w:sz w:val="24"/>
          <w:szCs w:val="24"/>
          <w:lang w:val="es-ES"/>
        </w:rPr>
      </w:pPr>
      <w:r w:rsidRPr="00C63D99">
        <w:rPr>
          <w:rFonts w:ascii="Palatino Linotype" w:eastAsia="Calibri" w:hAnsi="Palatino Linotype" w:cs="Arial"/>
          <w:i/>
          <w:sz w:val="24"/>
          <w:szCs w:val="24"/>
          <w:lang w:val="es-ES"/>
        </w:rPr>
        <w:t>“</w:t>
      </w:r>
      <w:r w:rsidRPr="00C63D99">
        <w:rPr>
          <w:rFonts w:ascii="Palatino Linotype" w:hAnsi="Palatino Linotype"/>
          <w:i/>
          <w:sz w:val="24"/>
          <w:szCs w:val="24"/>
          <w:lang w:eastAsia="es-MX"/>
        </w:rPr>
        <w:t>Solicito copia fiel, VIA SAIMEX en versión digital, de todos y cada uno de los oficios generados por la Dirección de Desarrollo Social y Asuntos Indígenas, así como de las respectivas Subdirecciones (adscritas a la misma Dirección) del Ayuntamiento de Metepec, que fueron elaborados y/o emitidos entre el primero de enero y el treinta y uno de enero de dos mil veintidós.</w:t>
      </w:r>
      <w:r w:rsidRPr="00C63D99">
        <w:rPr>
          <w:rFonts w:ascii="Palatino Linotype" w:eastAsia="Calibri" w:hAnsi="Palatino Linotype" w:cs="Arial"/>
          <w:i/>
          <w:sz w:val="24"/>
          <w:szCs w:val="24"/>
          <w:lang w:val="es-ES"/>
        </w:rPr>
        <w:t>” (Sic)</w:t>
      </w:r>
    </w:p>
    <w:p w14:paraId="1DF0995F" w14:textId="77777777" w:rsidR="00A13224" w:rsidRPr="00C63D99" w:rsidRDefault="00A13224" w:rsidP="00A13224">
      <w:pPr>
        <w:ind w:left="567" w:right="567"/>
        <w:jc w:val="both"/>
        <w:rPr>
          <w:rFonts w:ascii="Palatino Linotype" w:eastAsia="Calibri" w:hAnsi="Palatino Linotype" w:cs="Arial"/>
          <w:b/>
          <w:sz w:val="24"/>
          <w:lang w:val="es-ES"/>
        </w:rPr>
      </w:pPr>
    </w:p>
    <w:p w14:paraId="416060E5" w14:textId="77777777" w:rsidR="00A13224" w:rsidRPr="00C63D99" w:rsidRDefault="00A13224" w:rsidP="00A13224">
      <w:pPr>
        <w:ind w:left="567" w:right="567"/>
        <w:jc w:val="both"/>
        <w:rPr>
          <w:rFonts w:ascii="Palatino Linotype" w:eastAsia="Calibri" w:hAnsi="Palatino Linotype" w:cs="Arial"/>
          <w:b/>
          <w:sz w:val="24"/>
          <w:lang w:val="es-ES"/>
        </w:rPr>
      </w:pPr>
    </w:p>
    <w:p w14:paraId="0CEA6076" w14:textId="77777777" w:rsidR="00A13224" w:rsidRPr="00C63D99" w:rsidRDefault="00A13224" w:rsidP="00A13224">
      <w:pPr>
        <w:pStyle w:val="Prrafodelista"/>
        <w:numPr>
          <w:ilvl w:val="0"/>
          <w:numId w:val="48"/>
        </w:numPr>
        <w:ind w:right="567"/>
        <w:jc w:val="both"/>
        <w:rPr>
          <w:rFonts w:ascii="Palatino Linotype" w:eastAsia="Calibri" w:hAnsi="Palatino Linotype" w:cs="Arial"/>
          <w:b/>
          <w:sz w:val="24"/>
          <w:lang w:val="es-ES"/>
        </w:rPr>
      </w:pPr>
      <w:r w:rsidRPr="00C63D99">
        <w:rPr>
          <w:rFonts w:ascii="Palatino Linotype" w:eastAsia="Calibri" w:hAnsi="Palatino Linotype" w:cs="Arial"/>
          <w:b/>
          <w:sz w:val="24"/>
          <w:lang w:val="es-ES"/>
        </w:rPr>
        <w:t>01723/METEPEC/IP/2022</w:t>
      </w:r>
    </w:p>
    <w:p w14:paraId="43198CB6" w14:textId="77777777" w:rsidR="00A13224" w:rsidRPr="00C63D99" w:rsidRDefault="00A13224" w:rsidP="00A13224">
      <w:pPr>
        <w:ind w:left="567" w:right="567"/>
        <w:jc w:val="both"/>
        <w:rPr>
          <w:rFonts w:ascii="Palatino Linotype" w:eastAsia="Calibri" w:hAnsi="Palatino Linotype" w:cs="Arial"/>
          <w:b/>
          <w:sz w:val="24"/>
          <w:lang w:val="es-ES"/>
        </w:rPr>
      </w:pPr>
    </w:p>
    <w:p w14:paraId="14405B5A" w14:textId="01966D8C" w:rsidR="00A13224" w:rsidRPr="00C63D99" w:rsidRDefault="00A13224" w:rsidP="00A13224">
      <w:pPr>
        <w:ind w:left="567" w:right="567"/>
        <w:jc w:val="both"/>
        <w:rPr>
          <w:rFonts w:ascii="Palatino Linotype" w:eastAsia="Calibri" w:hAnsi="Palatino Linotype" w:cs="Arial"/>
          <w:i/>
          <w:sz w:val="24"/>
          <w:szCs w:val="24"/>
          <w:lang w:val="es-ES"/>
        </w:rPr>
      </w:pPr>
      <w:r w:rsidRPr="00C63D99">
        <w:rPr>
          <w:rFonts w:ascii="Palatino Linotype" w:eastAsia="Calibri" w:hAnsi="Palatino Linotype" w:cs="Arial"/>
          <w:i/>
          <w:sz w:val="24"/>
          <w:szCs w:val="24"/>
          <w:lang w:val="es-ES"/>
        </w:rPr>
        <w:t>“</w:t>
      </w:r>
      <w:r w:rsidR="0081144C" w:rsidRPr="00C63D99">
        <w:rPr>
          <w:rFonts w:ascii="Palatino Linotype" w:hAnsi="Palatino Linotype"/>
          <w:i/>
          <w:sz w:val="24"/>
          <w:szCs w:val="24"/>
          <w:lang w:eastAsia="es-MX"/>
        </w:rPr>
        <w:t>Solicito copia fiel, VIA SAIMEX en versión digital, de todos y cada uno de los oficios generados por la Dirección de Igualdad de Género, así como de los respectivas Jefaturas de Departamento (adscritas a la misma Dirección) del Ayuntamiento de Metepec, que fueron elaborados y/o emitidos entre el primero de enero y el treinta y uno de enero de dos mil veintidós.</w:t>
      </w:r>
      <w:r w:rsidRPr="00C63D99">
        <w:rPr>
          <w:rFonts w:ascii="Palatino Linotype" w:eastAsia="Calibri" w:hAnsi="Palatino Linotype" w:cs="Arial"/>
          <w:i/>
          <w:sz w:val="24"/>
          <w:szCs w:val="24"/>
          <w:lang w:val="es-ES"/>
        </w:rPr>
        <w:t>” (Sic)</w:t>
      </w:r>
    </w:p>
    <w:p w14:paraId="6DC0EC8D" w14:textId="77777777" w:rsidR="00A13224" w:rsidRPr="00C63D99" w:rsidRDefault="00A13224" w:rsidP="00A13224">
      <w:pPr>
        <w:ind w:left="567" w:right="567"/>
        <w:jc w:val="both"/>
        <w:rPr>
          <w:rFonts w:ascii="Palatino Linotype" w:eastAsia="Calibri" w:hAnsi="Palatino Linotype" w:cs="Arial"/>
          <w:b/>
          <w:sz w:val="24"/>
          <w:lang w:val="es-ES"/>
        </w:rPr>
      </w:pPr>
    </w:p>
    <w:p w14:paraId="7690DF83" w14:textId="2593CE53" w:rsidR="00A36BE2" w:rsidRPr="00C63D99" w:rsidRDefault="00A13224" w:rsidP="00A13224">
      <w:pPr>
        <w:pStyle w:val="Prrafodelista"/>
        <w:numPr>
          <w:ilvl w:val="0"/>
          <w:numId w:val="48"/>
        </w:numPr>
        <w:ind w:right="567"/>
        <w:jc w:val="both"/>
        <w:rPr>
          <w:rFonts w:ascii="Palatino Linotype" w:eastAsia="Calibri" w:hAnsi="Palatino Linotype" w:cs="Arial"/>
          <w:b/>
          <w:sz w:val="24"/>
          <w:szCs w:val="20"/>
          <w:lang w:val="es-ES"/>
        </w:rPr>
      </w:pPr>
      <w:r w:rsidRPr="00C63D99">
        <w:rPr>
          <w:rFonts w:ascii="Palatino Linotype" w:eastAsia="Calibri" w:hAnsi="Palatino Linotype" w:cs="Arial"/>
          <w:b/>
          <w:sz w:val="24"/>
          <w:lang w:val="es-ES"/>
        </w:rPr>
        <w:t>01724/METEPEC/IP/2022</w:t>
      </w:r>
    </w:p>
    <w:p w14:paraId="25D2295C" w14:textId="0A898651" w:rsidR="00A13224" w:rsidRPr="00C63D99" w:rsidRDefault="00A13224" w:rsidP="005000AA">
      <w:pPr>
        <w:ind w:left="567" w:right="567"/>
        <w:jc w:val="both"/>
        <w:rPr>
          <w:rFonts w:ascii="Palatino Linotype" w:eastAsia="Calibri" w:hAnsi="Palatino Linotype" w:cs="Arial"/>
          <w:i/>
          <w:sz w:val="24"/>
          <w:szCs w:val="24"/>
          <w:lang w:val="es-ES"/>
        </w:rPr>
      </w:pPr>
    </w:p>
    <w:p w14:paraId="03FD3D14" w14:textId="7377C3A3" w:rsidR="00A13224" w:rsidRPr="00C63D99" w:rsidRDefault="00A13224" w:rsidP="00A13224">
      <w:pPr>
        <w:ind w:left="567" w:right="567"/>
        <w:jc w:val="both"/>
        <w:rPr>
          <w:rFonts w:ascii="Palatino Linotype" w:eastAsia="Calibri" w:hAnsi="Palatino Linotype" w:cs="Arial"/>
          <w:i/>
          <w:sz w:val="24"/>
          <w:szCs w:val="24"/>
          <w:lang w:val="es-ES"/>
        </w:rPr>
      </w:pPr>
      <w:r w:rsidRPr="00C63D99">
        <w:rPr>
          <w:rFonts w:ascii="Palatino Linotype" w:eastAsia="Calibri" w:hAnsi="Palatino Linotype" w:cs="Arial"/>
          <w:i/>
          <w:sz w:val="24"/>
          <w:szCs w:val="24"/>
          <w:lang w:val="es-ES"/>
        </w:rPr>
        <w:t>“</w:t>
      </w:r>
      <w:r w:rsidR="0081144C" w:rsidRPr="00C63D99">
        <w:rPr>
          <w:rFonts w:ascii="Palatino Linotype" w:hAnsi="Palatino Linotype"/>
          <w:i/>
          <w:sz w:val="24"/>
          <w:szCs w:val="24"/>
          <w:lang w:eastAsia="es-MX"/>
        </w:rPr>
        <w:t xml:space="preserve">Solicito copia fiel, VIA SAIMEX en versión digital, de todos y cada uno de los oficios generados por la Sindicatura Municipal del Ayuntamiento de Metepec, que </w:t>
      </w:r>
      <w:r w:rsidR="0081144C" w:rsidRPr="00C63D99">
        <w:rPr>
          <w:rFonts w:ascii="Palatino Linotype" w:hAnsi="Palatino Linotype"/>
          <w:i/>
          <w:sz w:val="24"/>
          <w:szCs w:val="24"/>
          <w:lang w:eastAsia="es-MX"/>
        </w:rPr>
        <w:lastRenderedPageBreak/>
        <w:t>fueron elaborados y/o emitidos entre el primero de enero y el treinta y uno de enero de dos mil veintidós.</w:t>
      </w:r>
      <w:r w:rsidRPr="00C63D99">
        <w:rPr>
          <w:rFonts w:ascii="Palatino Linotype" w:eastAsia="Calibri" w:hAnsi="Palatino Linotype" w:cs="Arial"/>
          <w:i/>
          <w:sz w:val="24"/>
          <w:szCs w:val="24"/>
          <w:lang w:val="es-ES"/>
        </w:rPr>
        <w:t>” (Sic)</w:t>
      </w:r>
    </w:p>
    <w:p w14:paraId="58F2875F" w14:textId="6B403F52" w:rsidR="00A13224" w:rsidRPr="00C63D99" w:rsidRDefault="00A13224" w:rsidP="005000AA">
      <w:pPr>
        <w:ind w:left="567" w:right="567"/>
        <w:jc w:val="both"/>
        <w:rPr>
          <w:rFonts w:ascii="Palatino Linotype" w:eastAsia="Calibri" w:hAnsi="Palatino Linotype" w:cs="Arial"/>
          <w:i/>
          <w:sz w:val="24"/>
          <w:szCs w:val="24"/>
          <w:lang w:val="es-ES"/>
        </w:rPr>
      </w:pPr>
    </w:p>
    <w:p w14:paraId="1ACA17A4" w14:textId="77777777" w:rsidR="00A13224" w:rsidRPr="00C63D99" w:rsidRDefault="00A13224" w:rsidP="005000AA">
      <w:pPr>
        <w:ind w:left="567" w:right="567"/>
        <w:jc w:val="both"/>
        <w:rPr>
          <w:rFonts w:ascii="Palatino Linotype" w:eastAsia="Calibri" w:hAnsi="Palatino Linotype" w:cs="Arial"/>
          <w:i/>
          <w:sz w:val="24"/>
          <w:szCs w:val="24"/>
          <w:lang w:val="es-ES"/>
        </w:rPr>
      </w:pPr>
    </w:p>
    <w:p w14:paraId="49C7A5F5" w14:textId="77777777" w:rsidR="005000AA" w:rsidRPr="00C63D99" w:rsidRDefault="005000AA" w:rsidP="005000AA">
      <w:pPr>
        <w:pStyle w:val="Prrafodelista"/>
        <w:numPr>
          <w:ilvl w:val="0"/>
          <w:numId w:val="3"/>
        </w:numPr>
        <w:spacing w:line="360" w:lineRule="auto"/>
        <w:ind w:left="0" w:firstLine="0"/>
        <w:jc w:val="both"/>
        <w:rPr>
          <w:rFonts w:ascii="Palatino Linotype" w:hAnsi="Palatino Linotype" w:cs="Arial"/>
          <w:sz w:val="24"/>
          <w:lang w:val="es-ES"/>
        </w:rPr>
      </w:pPr>
      <w:r w:rsidRPr="00C63D99">
        <w:rPr>
          <w:rFonts w:ascii="Palatino Linotype" w:hAnsi="Palatino Linotype" w:cs="Arial"/>
          <w:sz w:val="24"/>
          <w:lang w:val="es-ES"/>
        </w:rPr>
        <w:t xml:space="preserve">Señaló como modalidad de entrega de la información a través del </w:t>
      </w:r>
      <w:r w:rsidRPr="00C63D99">
        <w:rPr>
          <w:rFonts w:ascii="Palatino Linotype" w:hAnsi="Palatino Linotype" w:cs="Arial"/>
          <w:b/>
          <w:sz w:val="24"/>
          <w:lang w:val="es-ES"/>
        </w:rPr>
        <w:t>SAIMEX.</w:t>
      </w:r>
    </w:p>
    <w:p w14:paraId="0B36934E" w14:textId="77777777" w:rsidR="005000AA" w:rsidRPr="00C63D99" w:rsidRDefault="005000AA" w:rsidP="005000AA">
      <w:pPr>
        <w:pStyle w:val="Prrafodelista"/>
        <w:spacing w:line="360" w:lineRule="auto"/>
        <w:ind w:left="0"/>
        <w:jc w:val="both"/>
        <w:rPr>
          <w:rFonts w:ascii="Palatino Linotype" w:hAnsi="Palatino Linotype" w:cs="Arial"/>
          <w:sz w:val="24"/>
          <w:lang w:val="es-ES"/>
        </w:rPr>
      </w:pPr>
    </w:p>
    <w:p w14:paraId="47BDCF02" w14:textId="07DC3211" w:rsidR="005D09C1" w:rsidRPr="00C63D99" w:rsidRDefault="005000AA" w:rsidP="005D09C1">
      <w:pPr>
        <w:pStyle w:val="Prrafodelista"/>
        <w:numPr>
          <w:ilvl w:val="0"/>
          <w:numId w:val="3"/>
        </w:numPr>
        <w:spacing w:before="240" w:after="240" w:line="360" w:lineRule="auto"/>
        <w:ind w:left="0" w:firstLine="0"/>
        <w:jc w:val="both"/>
        <w:rPr>
          <w:rFonts w:ascii="Palatino Linotype" w:hAnsi="Palatino Linotype"/>
          <w:i/>
          <w:color w:val="000000"/>
          <w:sz w:val="24"/>
        </w:rPr>
      </w:pPr>
      <w:r w:rsidRPr="00C63D99">
        <w:rPr>
          <w:rFonts w:ascii="Palatino Linotype" w:eastAsia="Calibri" w:hAnsi="Palatino Linotype"/>
          <w:sz w:val="24"/>
          <w:lang w:val="es-ES"/>
        </w:rPr>
        <w:t xml:space="preserve">El </w:t>
      </w:r>
      <w:r w:rsidR="005D09C1" w:rsidRPr="00C63D99">
        <w:rPr>
          <w:rFonts w:ascii="Palatino Linotype" w:eastAsia="Calibri" w:hAnsi="Palatino Linotype"/>
          <w:sz w:val="24"/>
          <w:lang w:val="es-ES"/>
        </w:rPr>
        <w:t>Sujeto Obligado no emitió respuesta</w:t>
      </w:r>
      <w:r w:rsidR="00F714A9" w:rsidRPr="00C63D99">
        <w:rPr>
          <w:rFonts w:ascii="Palatino Linotype" w:eastAsia="Calibri" w:hAnsi="Palatino Linotype"/>
          <w:sz w:val="24"/>
          <w:lang w:val="es-ES"/>
        </w:rPr>
        <w:t>s</w:t>
      </w:r>
      <w:r w:rsidR="005D09C1" w:rsidRPr="00C63D99">
        <w:rPr>
          <w:rFonts w:ascii="Palatino Linotype" w:eastAsia="Calibri" w:hAnsi="Palatino Linotype"/>
          <w:sz w:val="24"/>
          <w:lang w:val="es-ES"/>
        </w:rPr>
        <w:t xml:space="preserve"> a la</w:t>
      </w:r>
      <w:r w:rsidR="00F714A9" w:rsidRPr="00C63D99">
        <w:rPr>
          <w:rFonts w:ascii="Palatino Linotype" w:eastAsia="Calibri" w:hAnsi="Palatino Linotype"/>
          <w:sz w:val="24"/>
          <w:lang w:val="es-ES"/>
        </w:rPr>
        <w:t>s</w:t>
      </w:r>
      <w:r w:rsidR="005D09C1" w:rsidRPr="00C63D99">
        <w:rPr>
          <w:rFonts w:ascii="Palatino Linotype" w:eastAsia="Calibri" w:hAnsi="Palatino Linotype"/>
          <w:sz w:val="24"/>
          <w:lang w:val="es-ES"/>
        </w:rPr>
        <w:t xml:space="preserve"> solicitud</w:t>
      </w:r>
      <w:r w:rsidR="00F714A9" w:rsidRPr="00C63D99">
        <w:rPr>
          <w:rFonts w:ascii="Palatino Linotype" w:eastAsia="Calibri" w:hAnsi="Palatino Linotype"/>
          <w:sz w:val="24"/>
          <w:lang w:val="es-ES"/>
        </w:rPr>
        <w:t>es</w:t>
      </w:r>
      <w:r w:rsidR="005D09C1" w:rsidRPr="00C63D99">
        <w:rPr>
          <w:rFonts w:ascii="Palatino Linotype" w:eastAsia="Calibri" w:hAnsi="Palatino Linotype"/>
          <w:sz w:val="24"/>
          <w:lang w:val="es-ES"/>
        </w:rPr>
        <w:t>.</w:t>
      </w:r>
    </w:p>
    <w:p w14:paraId="3CE72CFC" w14:textId="3423FCEA" w:rsidR="00E65B7C" w:rsidRPr="00C63D99" w:rsidRDefault="00E65B7C" w:rsidP="00DD7DC3">
      <w:pPr>
        <w:pStyle w:val="Prrafodelista"/>
        <w:spacing w:before="240" w:after="240" w:line="360" w:lineRule="auto"/>
        <w:ind w:left="1287" w:right="567"/>
        <w:jc w:val="both"/>
        <w:rPr>
          <w:rFonts w:ascii="Palatino Linotype" w:hAnsi="Palatino Linotype"/>
          <w:i/>
          <w:color w:val="000000"/>
          <w:sz w:val="24"/>
        </w:rPr>
      </w:pPr>
    </w:p>
    <w:p w14:paraId="518CDCD9" w14:textId="108A9857" w:rsidR="005000AA" w:rsidRPr="00C63D99" w:rsidRDefault="00E65B7C" w:rsidP="005000AA">
      <w:pPr>
        <w:pStyle w:val="Prrafodelista"/>
        <w:numPr>
          <w:ilvl w:val="0"/>
          <w:numId w:val="3"/>
        </w:numPr>
        <w:spacing w:before="240" w:after="240" w:line="360" w:lineRule="auto"/>
        <w:ind w:left="0" w:firstLine="0"/>
        <w:jc w:val="both"/>
        <w:rPr>
          <w:rFonts w:ascii="Palatino Linotype" w:hAnsi="Palatino Linotype" w:cs="Arial"/>
          <w:i/>
          <w:sz w:val="24"/>
        </w:rPr>
      </w:pPr>
      <w:r w:rsidRPr="00C63D99">
        <w:rPr>
          <w:rFonts w:ascii="Palatino Linotype" w:eastAsia="Calibri" w:hAnsi="Palatino Linotype" w:cs="Arial"/>
          <w:sz w:val="24"/>
          <w:lang w:val="es-AR"/>
        </w:rPr>
        <w:t xml:space="preserve">El </w:t>
      </w:r>
      <w:r w:rsidR="00396CF5" w:rsidRPr="00C63D99">
        <w:rPr>
          <w:rFonts w:ascii="Palatino Linotype" w:eastAsia="Calibri" w:hAnsi="Palatino Linotype" w:cs="Arial"/>
          <w:sz w:val="24"/>
          <w:lang w:val="es-AR"/>
        </w:rPr>
        <w:t>veint</w:t>
      </w:r>
      <w:r w:rsidR="00043374" w:rsidRPr="00C63D99">
        <w:rPr>
          <w:rFonts w:ascii="Palatino Linotype" w:eastAsia="Calibri" w:hAnsi="Palatino Linotype" w:cs="Arial"/>
          <w:sz w:val="24"/>
          <w:lang w:val="es-AR"/>
        </w:rPr>
        <w:t>itrés (23)</w:t>
      </w:r>
      <w:r w:rsidR="005000AA" w:rsidRPr="00C63D99">
        <w:rPr>
          <w:rFonts w:ascii="Palatino Linotype" w:eastAsia="Calibri" w:hAnsi="Palatino Linotype" w:cs="Arial"/>
          <w:sz w:val="24"/>
          <w:lang w:val="es-AR"/>
        </w:rPr>
        <w:t xml:space="preserve"> de </w:t>
      </w:r>
      <w:r w:rsidR="00043374" w:rsidRPr="00C63D99">
        <w:rPr>
          <w:rFonts w:ascii="Palatino Linotype" w:eastAsia="Calibri" w:hAnsi="Palatino Linotype" w:cs="Arial"/>
          <w:sz w:val="24"/>
          <w:lang w:val="es-AR"/>
        </w:rPr>
        <w:t>febrero</w:t>
      </w:r>
      <w:r w:rsidR="004E6A3B" w:rsidRPr="00C63D99">
        <w:rPr>
          <w:rFonts w:ascii="Palatino Linotype" w:eastAsia="Calibri" w:hAnsi="Palatino Linotype" w:cs="Arial"/>
          <w:sz w:val="24"/>
          <w:lang w:val="es-AR"/>
        </w:rPr>
        <w:t xml:space="preserve"> </w:t>
      </w:r>
      <w:r w:rsidR="005000AA" w:rsidRPr="00C63D99">
        <w:rPr>
          <w:rFonts w:ascii="Palatino Linotype" w:eastAsia="Calibri" w:hAnsi="Palatino Linotype" w:cs="Arial"/>
          <w:sz w:val="24"/>
          <w:lang w:val="es-AR"/>
        </w:rPr>
        <w:t>de</w:t>
      </w:r>
      <w:r w:rsidR="005000AA" w:rsidRPr="00C63D99">
        <w:rPr>
          <w:rFonts w:ascii="Palatino Linotype" w:hAnsi="Palatino Linotype" w:cs="Arial"/>
          <w:sz w:val="24"/>
          <w:lang w:val="es-ES"/>
        </w:rPr>
        <w:t xml:space="preserve"> dos mil veinti</w:t>
      </w:r>
      <w:r w:rsidR="0021453D" w:rsidRPr="00C63D99">
        <w:rPr>
          <w:rFonts w:ascii="Palatino Linotype" w:hAnsi="Palatino Linotype" w:cs="Arial"/>
          <w:sz w:val="24"/>
          <w:lang w:val="es-ES"/>
        </w:rPr>
        <w:t>dós</w:t>
      </w:r>
      <w:r w:rsidR="005000AA" w:rsidRPr="00C63D99">
        <w:rPr>
          <w:rFonts w:ascii="Palatino Linotype" w:hAnsi="Palatino Linotype" w:cs="Arial"/>
          <w:sz w:val="24"/>
          <w:lang w:val="es-ES"/>
        </w:rPr>
        <w:t xml:space="preserve">, </w:t>
      </w:r>
      <w:r w:rsidR="005000AA" w:rsidRPr="00C63D99">
        <w:rPr>
          <w:rFonts w:ascii="Palatino Linotype" w:hAnsi="Palatino Linotype"/>
          <w:b/>
          <w:sz w:val="24"/>
        </w:rPr>
        <w:t>EL RECURRENTE</w:t>
      </w:r>
      <w:r w:rsidR="005000AA" w:rsidRPr="00C63D99">
        <w:rPr>
          <w:rFonts w:ascii="Palatino Linotype" w:hAnsi="Palatino Linotype" w:cs="Arial"/>
          <w:sz w:val="24"/>
          <w:lang w:val="es-ES"/>
        </w:rPr>
        <w:t xml:space="preserve"> interpuso </w:t>
      </w:r>
      <w:r w:rsidR="00043374" w:rsidRPr="00C63D99">
        <w:rPr>
          <w:rFonts w:ascii="Palatino Linotype" w:hAnsi="Palatino Linotype" w:cs="Arial"/>
          <w:sz w:val="24"/>
          <w:lang w:val="es-ES"/>
        </w:rPr>
        <w:t>los</w:t>
      </w:r>
      <w:r w:rsidR="005000AA" w:rsidRPr="00C63D99">
        <w:rPr>
          <w:rFonts w:ascii="Palatino Linotype" w:hAnsi="Palatino Linotype" w:cs="Arial"/>
          <w:sz w:val="24"/>
          <w:lang w:val="es-ES"/>
        </w:rPr>
        <w:t xml:space="preserve"> recurso</w:t>
      </w:r>
      <w:r w:rsidR="00043374" w:rsidRPr="00C63D99">
        <w:rPr>
          <w:rFonts w:ascii="Palatino Linotype" w:hAnsi="Palatino Linotype" w:cs="Arial"/>
          <w:sz w:val="24"/>
          <w:lang w:val="es-ES"/>
        </w:rPr>
        <w:t>s</w:t>
      </w:r>
      <w:r w:rsidR="005000AA" w:rsidRPr="00C63D99">
        <w:rPr>
          <w:rFonts w:ascii="Palatino Linotype" w:hAnsi="Palatino Linotype" w:cs="Arial"/>
          <w:sz w:val="24"/>
          <w:lang w:val="es-ES"/>
        </w:rPr>
        <w:t xml:space="preserve"> de revisión, en contra de la </w:t>
      </w:r>
      <w:r w:rsidR="005D09C1" w:rsidRPr="00C63D99">
        <w:rPr>
          <w:rFonts w:ascii="Palatino Linotype" w:hAnsi="Palatino Linotype" w:cs="Arial"/>
          <w:sz w:val="24"/>
          <w:lang w:val="es-ES"/>
        </w:rPr>
        <w:t xml:space="preserve">falta de </w:t>
      </w:r>
      <w:r w:rsidR="005000AA" w:rsidRPr="00C63D99">
        <w:rPr>
          <w:rFonts w:ascii="Palatino Linotype" w:hAnsi="Palatino Linotype" w:cs="Arial"/>
          <w:sz w:val="24"/>
          <w:lang w:val="es-ES"/>
        </w:rPr>
        <w:t>respuesta</w:t>
      </w:r>
      <w:r w:rsidR="00043374" w:rsidRPr="00C63D99">
        <w:rPr>
          <w:rFonts w:ascii="Palatino Linotype" w:hAnsi="Palatino Linotype" w:cs="Arial"/>
          <w:sz w:val="24"/>
          <w:lang w:val="es-ES"/>
        </w:rPr>
        <w:t>s</w:t>
      </w:r>
      <w:r w:rsidR="005000AA" w:rsidRPr="00C63D99">
        <w:rPr>
          <w:rFonts w:ascii="Palatino Linotype" w:hAnsi="Palatino Linotype" w:cs="Arial"/>
          <w:sz w:val="24"/>
          <w:lang w:val="es-ES"/>
        </w:rPr>
        <w:t xml:space="preserve"> y, señaló como:</w:t>
      </w:r>
      <w:bookmarkStart w:id="1" w:name="_Toc462307683"/>
      <w:bookmarkStart w:id="2" w:name="_Toc472427085"/>
      <w:bookmarkStart w:id="3" w:name="_Toc472500652"/>
    </w:p>
    <w:p w14:paraId="666AA040" w14:textId="77777777" w:rsidR="00F714A9" w:rsidRPr="00C63D99" w:rsidRDefault="00F714A9" w:rsidP="0081144C">
      <w:pPr>
        <w:pStyle w:val="Prrafodelista"/>
        <w:numPr>
          <w:ilvl w:val="0"/>
          <w:numId w:val="48"/>
        </w:numPr>
        <w:ind w:left="567"/>
        <w:rPr>
          <w:rFonts w:ascii="Palatino Linotype" w:eastAsia="Calibri" w:hAnsi="Palatino Linotype" w:cs="Tahoma"/>
          <w:b/>
          <w:sz w:val="24"/>
          <w:lang w:eastAsia="en-US"/>
        </w:rPr>
      </w:pPr>
      <w:r w:rsidRPr="00C63D99">
        <w:rPr>
          <w:rFonts w:ascii="Palatino Linotype" w:eastAsia="Calibri" w:hAnsi="Palatino Linotype" w:cs="Tahoma"/>
          <w:b/>
          <w:sz w:val="24"/>
          <w:lang w:eastAsia="en-US"/>
        </w:rPr>
        <w:t>01133/INFOEM/IP/RR/2022</w:t>
      </w:r>
    </w:p>
    <w:p w14:paraId="4BAC304F" w14:textId="77777777" w:rsidR="00F714A9" w:rsidRPr="00C63D99" w:rsidRDefault="00F714A9" w:rsidP="005000AA">
      <w:pPr>
        <w:pStyle w:val="Prrafodelista"/>
        <w:rPr>
          <w:rFonts w:ascii="Palatino Linotype" w:eastAsia="Calibri" w:hAnsi="Palatino Linotype" w:cs="Tahoma"/>
          <w:b/>
          <w:sz w:val="24"/>
          <w:lang w:eastAsia="en-US"/>
        </w:rPr>
      </w:pPr>
    </w:p>
    <w:p w14:paraId="137ACA93" w14:textId="2E8AC927" w:rsidR="00F714A9" w:rsidRPr="00C63D99" w:rsidRDefault="00F714A9" w:rsidP="00F714A9">
      <w:pPr>
        <w:pStyle w:val="Prrafodelista"/>
        <w:spacing w:line="360" w:lineRule="auto"/>
        <w:jc w:val="both"/>
        <w:rPr>
          <w:rFonts w:ascii="Palatino Linotype" w:hAnsi="Palatino Linotype" w:cstheme="minorBidi"/>
          <w:bCs/>
          <w:i/>
          <w:iCs/>
          <w:sz w:val="24"/>
        </w:rPr>
      </w:pPr>
      <w:r w:rsidRPr="00C63D99">
        <w:rPr>
          <w:rFonts w:ascii="Palatino Linotype" w:hAnsi="Palatino Linotype"/>
          <w:b/>
          <w:sz w:val="24"/>
        </w:rPr>
        <w:t xml:space="preserve">Acto impugnado: </w:t>
      </w:r>
      <w:r w:rsidRPr="00C63D99">
        <w:rPr>
          <w:rFonts w:ascii="Palatino Linotype" w:hAnsi="Palatino Linotype"/>
          <w:bCs/>
          <w:i/>
          <w:iCs/>
          <w:sz w:val="24"/>
        </w:rPr>
        <w:t>“</w:t>
      </w:r>
      <w:r w:rsidR="0081144C" w:rsidRPr="00C63D99">
        <w:rPr>
          <w:rFonts w:ascii="Palatino Linotype" w:eastAsia="Calibri" w:hAnsi="Palatino Linotype" w:cs="Tahoma"/>
          <w:i/>
          <w:sz w:val="24"/>
          <w:szCs w:val="22"/>
          <w:lang w:eastAsia="en-US"/>
        </w:rPr>
        <w:t>LA FALTA DE RESPUESTA OPORTUNA A LA SOLICITUD DE INFORMACIÓN PÚBLICA Y DESATENCIÓN DEL SUJETO OBLIGADO.</w:t>
      </w:r>
      <w:r w:rsidRPr="00C63D99">
        <w:rPr>
          <w:rFonts w:ascii="Palatino Linotype" w:hAnsi="Palatino Linotype"/>
          <w:bCs/>
          <w:i/>
          <w:iCs/>
          <w:sz w:val="24"/>
        </w:rPr>
        <w:t>” (sic) y,</w:t>
      </w:r>
    </w:p>
    <w:p w14:paraId="68BA12FC" w14:textId="382B158E" w:rsidR="00F714A9" w:rsidRPr="00C63D99" w:rsidRDefault="00F714A9" w:rsidP="00F714A9">
      <w:pPr>
        <w:pStyle w:val="Prrafodelista"/>
        <w:spacing w:line="360" w:lineRule="auto"/>
        <w:jc w:val="both"/>
        <w:rPr>
          <w:rFonts w:ascii="Palatino Linotype" w:eastAsia="Calibri" w:hAnsi="Palatino Linotype" w:cs="Arial"/>
          <w:sz w:val="24"/>
          <w:lang w:val="es-ES"/>
        </w:rPr>
      </w:pPr>
      <w:r w:rsidRPr="00C63D99">
        <w:rPr>
          <w:rFonts w:ascii="Palatino Linotype" w:hAnsi="Palatino Linotype"/>
          <w:b/>
          <w:sz w:val="24"/>
        </w:rPr>
        <w:t>Razones o Motivos de Inconformidad:</w:t>
      </w:r>
      <w:r w:rsidRPr="00C63D99">
        <w:rPr>
          <w:rStyle w:val="Ttulo2Car"/>
          <w:rFonts w:ascii="Palatino Linotype" w:hAnsi="Palatino Linotype"/>
          <w:b/>
          <w:i/>
          <w:sz w:val="24"/>
          <w:szCs w:val="24"/>
          <w:lang w:val="es-ES"/>
        </w:rPr>
        <w:t xml:space="preserve"> </w:t>
      </w:r>
      <w:r w:rsidRPr="00C63D99">
        <w:rPr>
          <w:rFonts w:ascii="Palatino Linotype" w:hAnsi="Palatino Linotype"/>
          <w:sz w:val="24"/>
        </w:rPr>
        <w:t>“</w:t>
      </w:r>
      <w:r w:rsidR="0081144C" w:rsidRPr="00C63D99">
        <w:rPr>
          <w:rFonts w:ascii="Palatino Linotype" w:hAnsi="Palatino Linotype"/>
          <w:i/>
          <w:sz w:val="24"/>
        </w:rPr>
        <w:t>LA FALTA DE RESPUESTA OPORTUNA Y DESATENCIÓN DEL SUJETO OBLIGADO, PIDO QUE SE SANCIONE AL SUJETO OBLIGADO, PUES COMO SERVIDORES PÚBLICOS DEBEN CUMPLIR LA LEY.</w:t>
      </w:r>
      <w:r w:rsidRPr="00C63D99">
        <w:rPr>
          <w:rFonts w:ascii="Palatino Linotype" w:hAnsi="Palatino Linotype"/>
          <w:i/>
          <w:sz w:val="24"/>
        </w:rPr>
        <w:t>"</w:t>
      </w:r>
      <w:r w:rsidRPr="00C63D99">
        <w:rPr>
          <w:rFonts w:ascii="Palatino Linotype" w:eastAsia="Calibri" w:hAnsi="Palatino Linotype" w:cs="Arial"/>
          <w:sz w:val="24"/>
          <w:lang w:val="es-ES"/>
        </w:rPr>
        <w:t>(Sic)</w:t>
      </w:r>
    </w:p>
    <w:p w14:paraId="704B4AA0" w14:textId="77777777" w:rsidR="00F714A9" w:rsidRPr="00C63D99" w:rsidRDefault="00F714A9" w:rsidP="005000AA">
      <w:pPr>
        <w:pStyle w:val="Prrafodelista"/>
        <w:rPr>
          <w:rFonts w:ascii="Palatino Linotype" w:eastAsia="Calibri" w:hAnsi="Palatino Linotype" w:cs="Tahoma"/>
          <w:b/>
          <w:sz w:val="24"/>
          <w:lang w:eastAsia="en-US"/>
        </w:rPr>
      </w:pPr>
    </w:p>
    <w:p w14:paraId="3B955CAF" w14:textId="77777777" w:rsidR="00F714A9" w:rsidRPr="00C63D99" w:rsidRDefault="00F714A9" w:rsidP="0081144C">
      <w:pPr>
        <w:pStyle w:val="Prrafodelista"/>
        <w:numPr>
          <w:ilvl w:val="0"/>
          <w:numId w:val="48"/>
        </w:numPr>
        <w:ind w:left="426"/>
        <w:rPr>
          <w:rFonts w:ascii="Palatino Linotype" w:eastAsia="Calibri" w:hAnsi="Palatino Linotype" w:cs="Tahoma"/>
          <w:b/>
          <w:sz w:val="24"/>
          <w:lang w:eastAsia="en-US"/>
        </w:rPr>
      </w:pPr>
      <w:r w:rsidRPr="00C63D99">
        <w:rPr>
          <w:rFonts w:ascii="Palatino Linotype" w:eastAsia="Calibri" w:hAnsi="Palatino Linotype" w:cs="Tahoma"/>
          <w:b/>
          <w:sz w:val="24"/>
          <w:lang w:eastAsia="en-US"/>
        </w:rPr>
        <w:t>01134/INFOEM/IP/RR/2022</w:t>
      </w:r>
    </w:p>
    <w:p w14:paraId="348D7416" w14:textId="436EC0A4" w:rsidR="00F714A9" w:rsidRPr="00C63D99" w:rsidRDefault="00F714A9" w:rsidP="00F714A9">
      <w:pPr>
        <w:pStyle w:val="Prrafodelista"/>
        <w:spacing w:line="360" w:lineRule="auto"/>
        <w:jc w:val="both"/>
        <w:rPr>
          <w:rFonts w:ascii="Palatino Linotype" w:hAnsi="Palatino Linotype" w:cstheme="minorBidi"/>
          <w:bCs/>
          <w:i/>
          <w:iCs/>
          <w:sz w:val="24"/>
        </w:rPr>
      </w:pPr>
      <w:r w:rsidRPr="00C63D99">
        <w:rPr>
          <w:rFonts w:ascii="Palatino Linotype" w:hAnsi="Palatino Linotype"/>
          <w:b/>
          <w:sz w:val="24"/>
        </w:rPr>
        <w:lastRenderedPageBreak/>
        <w:t xml:space="preserve">Acto impugnado: </w:t>
      </w:r>
      <w:r w:rsidRPr="00C63D99">
        <w:rPr>
          <w:rFonts w:ascii="Palatino Linotype" w:hAnsi="Palatino Linotype"/>
          <w:bCs/>
          <w:i/>
          <w:iCs/>
          <w:sz w:val="24"/>
        </w:rPr>
        <w:t>“</w:t>
      </w:r>
      <w:r w:rsidR="0081144C" w:rsidRPr="00C63D99">
        <w:rPr>
          <w:rFonts w:ascii="Palatino Linotype" w:eastAsia="Calibri" w:hAnsi="Palatino Linotype" w:cs="Tahoma"/>
          <w:i/>
          <w:sz w:val="24"/>
          <w:szCs w:val="22"/>
          <w:lang w:eastAsia="en-US"/>
        </w:rPr>
        <w:t>LA FALTA DE RESPUESTA OPORTUNA A ESTA SOLICITUD DE INFORMACIÓN PÚBLICA POR PARTE DEL SUJETO OBLIGADO,</w:t>
      </w:r>
      <w:r w:rsidRPr="00C63D99">
        <w:rPr>
          <w:rFonts w:ascii="Palatino Linotype" w:hAnsi="Palatino Linotype"/>
          <w:bCs/>
          <w:i/>
          <w:iCs/>
          <w:sz w:val="24"/>
        </w:rPr>
        <w:t>” (sic) y,</w:t>
      </w:r>
    </w:p>
    <w:p w14:paraId="31AB4A6F" w14:textId="28395042" w:rsidR="00F714A9" w:rsidRPr="00C63D99" w:rsidRDefault="00F714A9" w:rsidP="00F714A9">
      <w:pPr>
        <w:pStyle w:val="Prrafodelista"/>
        <w:spacing w:line="360" w:lineRule="auto"/>
        <w:jc w:val="both"/>
        <w:rPr>
          <w:rFonts w:ascii="Palatino Linotype" w:eastAsia="Calibri" w:hAnsi="Palatino Linotype" w:cs="Arial"/>
          <w:sz w:val="24"/>
          <w:lang w:val="es-ES"/>
        </w:rPr>
      </w:pPr>
      <w:r w:rsidRPr="00C63D99">
        <w:rPr>
          <w:rFonts w:ascii="Palatino Linotype" w:hAnsi="Palatino Linotype"/>
          <w:b/>
          <w:sz w:val="24"/>
        </w:rPr>
        <w:t>Razones o Motivos de Inconformidad:</w:t>
      </w:r>
      <w:r w:rsidRPr="00C63D99">
        <w:rPr>
          <w:rStyle w:val="Ttulo2Car"/>
          <w:rFonts w:ascii="Palatino Linotype" w:hAnsi="Palatino Linotype"/>
          <w:b/>
          <w:i/>
          <w:sz w:val="24"/>
          <w:szCs w:val="24"/>
          <w:lang w:val="es-ES"/>
        </w:rPr>
        <w:t xml:space="preserve"> </w:t>
      </w:r>
      <w:r w:rsidRPr="00C63D99">
        <w:rPr>
          <w:rFonts w:ascii="Palatino Linotype" w:hAnsi="Palatino Linotype"/>
          <w:sz w:val="24"/>
        </w:rPr>
        <w:t>“</w:t>
      </w:r>
      <w:r w:rsidR="0081144C" w:rsidRPr="00C63D99">
        <w:rPr>
          <w:rFonts w:ascii="Palatino Linotype" w:hAnsi="Palatino Linotype"/>
          <w:i/>
          <w:sz w:val="24"/>
        </w:rPr>
        <w:t xml:space="preserve">LA FALTA DE RESPUESTA OPORTUNA Y DESATENCIÓN DEL SUJETO OBLIGADO, PIDO QUE SE SANCIONE AL SUJETO OBLIGADO, PUES COMO SERVIDORES PÚBLICOS DEBEN CUMPLIR LA </w:t>
      </w:r>
      <w:proofErr w:type="gramStart"/>
      <w:r w:rsidR="0081144C" w:rsidRPr="00C63D99">
        <w:rPr>
          <w:rFonts w:ascii="Palatino Linotype" w:hAnsi="Palatino Linotype"/>
          <w:i/>
          <w:sz w:val="24"/>
        </w:rPr>
        <w:t>LEY..</w:t>
      </w:r>
      <w:proofErr w:type="gramEnd"/>
      <w:r w:rsidRPr="00C63D99">
        <w:rPr>
          <w:rFonts w:ascii="Palatino Linotype" w:hAnsi="Palatino Linotype"/>
          <w:i/>
          <w:sz w:val="24"/>
        </w:rPr>
        <w:t>"</w:t>
      </w:r>
      <w:r w:rsidRPr="00C63D99">
        <w:rPr>
          <w:rFonts w:ascii="Palatino Linotype" w:eastAsia="Calibri" w:hAnsi="Palatino Linotype" w:cs="Arial"/>
          <w:sz w:val="24"/>
          <w:lang w:val="es-ES"/>
        </w:rPr>
        <w:t>(Sic)</w:t>
      </w:r>
    </w:p>
    <w:p w14:paraId="73AB75B3" w14:textId="77777777" w:rsidR="00F714A9" w:rsidRPr="00C63D99" w:rsidRDefault="00F714A9" w:rsidP="005000AA">
      <w:pPr>
        <w:pStyle w:val="Prrafodelista"/>
        <w:rPr>
          <w:rFonts w:ascii="Palatino Linotype" w:eastAsia="Calibri" w:hAnsi="Palatino Linotype" w:cs="Tahoma"/>
          <w:b/>
          <w:sz w:val="24"/>
          <w:lang w:eastAsia="en-US"/>
        </w:rPr>
      </w:pPr>
    </w:p>
    <w:p w14:paraId="6A07038B" w14:textId="77777777" w:rsidR="00F714A9" w:rsidRPr="00C63D99" w:rsidRDefault="00F714A9" w:rsidP="0081144C">
      <w:pPr>
        <w:pStyle w:val="Prrafodelista"/>
        <w:numPr>
          <w:ilvl w:val="0"/>
          <w:numId w:val="48"/>
        </w:numPr>
        <w:ind w:left="426"/>
        <w:rPr>
          <w:rFonts w:ascii="Palatino Linotype" w:eastAsia="Calibri" w:hAnsi="Palatino Linotype" w:cs="Tahoma"/>
          <w:b/>
          <w:sz w:val="24"/>
          <w:lang w:eastAsia="en-US"/>
        </w:rPr>
      </w:pPr>
      <w:r w:rsidRPr="00C63D99">
        <w:rPr>
          <w:rFonts w:ascii="Palatino Linotype" w:eastAsia="Calibri" w:hAnsi="Palatino Linotype" w:cs="Tahoma"/>
          <w:b/>
          <w:sz w:val="24"/>
          <w:lang w:eastAsia="en-US"/>
        </w:rPr>
        <w:t>01135/INFOEM/IP/RR/2022</w:t>
      </w:r>
    </w:p>
    <w:p w14:paraId="21D94F49" w14:textId="77777777" w:rsidR="00F714A9" w:rsidRPr="00C63D99" w:rsidRDefault="00F714A9" w:rsidP="005000AA">
      <w:pPr>
        <w:pStyle w:val="Prrafodelista"/>
        <w:rPr>
          <w:rFonts w:ascii="Palatino Linotype" w:eastAsia="Calibri" w:hAnsi="Palatino Linotype" w:cs="Tahoma"/>
          <w:b/>
          <w:sz w:val="24"/>
          <w:lang w:eastAsia="en-US"/>
        </w:rPr>
      </w:pPr>
    </w:p>
    <w:p w14:paraId="66ED8621" w14:textId="2292FE82" w:rsidR="00F714A9" w:rsidRPr="00C63D99" w:rsidRDefault="00F714A9" w:rsidP="00F714A9">
      <w:pPr>
        <w:pStyle w:val="Prrafodelista"/>
        <w:spacing w:line="360" w:lineRule="auto"/>
        <w:jc w:val="both"/>
        <w:rPr>
          <w:rFonts w:ascii="Palatino Linotype" w:hAnsi="Palatino Linotype" w:cstheme="minorBidi"/>
          <w:bCs/>
          <w:i/>
          <w:iCs/>
          <w:sz w:val="24"/>
        </w:rPr>
      </w:pPr>
      <w:r w:rsidRPr="00C63D99">
        <w:rPr>
          <w:rFonts w:ascii="Palatino Linotype" w:hAnsi="Palatino Linotype"/>
          <w:b/>
          <w:sz w:val="24"/>
        </w:rPr>
        <w:t xml:space="preserve">Acto impugnado: </w:t>
      </w:r>
      <w:r w:rsidRPr="00C63D99">
        <w:rPr>
          <w:rFonts w:ascii="Palatino Linotype" w:hAnsi="Palatino Linotype"/>
          <w:bCs/>
          <w:i/>
          <w:iCs/>
          <w:sz w:val="24"/>
        </w:rPr>
        <w:t>“</w:t>
      </w:r>
      <w:r w:rsidR="0081144C" w:rsidRPr="00C63D99">
        <w:rPr>
          <w:rFonts w:ascii="Palatino Linotype" w:eastAsia="Calibri" w:hAnsi="Palatino Linotype" w:cs="Tahoma"/>
          <w:i/>
          <w:sz w:val="24"/>
          <w:szCs w:val="22"/>
          <w:lang w:eastAsia="en-US"/>
        </w:rPr>
        <w:t>LA FALTA DE RESPUESTA OPORTUNA A ESTA SOLICITUD DE INFORMACIÓN PÚBLICA POR PARTE DEL SUJETO OBLIGADO.</w:t>
      </w:r>
      <w:r w:rsidRPr="00C63D99">
        <w:rPr>
          <w:rFonts w:ascii="Palatino Linotype" w:hAnsi="Palatino Linotype"/>
          <w:bCs/>
          <w:i/>
          <w:iCs/>
          <w:sz w:val="24"/>
        </w:rPr>
        <w:t>” (sic) y,</w:t>
      </w:r>
    </w:p>
    <w:p w14:paraId="413F86DD" w14:textId="6FF29401" w:rsidR="00F714A9" w:rsidRPr="00C63D99" w:rsidRDefault="00F714A9" w:rsidP="00F714A9">
      <w:pPr>
        <w:pStyle w:val="Prrafodelista"/>
        <w:spacing w:line="360" w:lineRule="auto"/>
        <w:jc w:val="both"/>
        <w:rPr>
          <w:rFonts w:ascii="Palatino Linotype" w:eastAsia="Calibri" w:hAnsi="Palatino Linotype" w:cs="Arial"/>
          <w:sz w:val="24"/>
          <w:lang w:val="es-ES"/>
        </w:rPr>
      </w:pPr>
      <w:r w:rsidRPr="00C63D99">
        <w:rPr>
          <w:rFonts w:ascii="Palatino Linotype" w:hAnsi="Palatino Linotype"/>
          <w:b/>
          <w:sz w:val="24"/>
        </w:rPr>
        <w:t>Razones o Motivos de Inconformidad:</w:t>
      </w:r>
      <w:r w:rsidRPr="00C63D99">
        <w:rPr>
          <w:rStyle w:val="Ttulo2Car"/>
          <w:rFonts w:ascii="Palatino Linotype" w:hAnsi="Palatino Linotype"/>
          <w:b/>
          <w:i/>
          <w:sz w:val="24"/>
          <w:szCs w:val="24"/>
          <w:lang w:val="es-ES"/>
        </w:rPr>
        <w:t xml:space="preserve"> </w:t>
      </w:r>
      <w:r w:rsidRPr="00C63D99">
        <w:rPr>
          <w:rFonts w:ascii="Palatino Linotype" w:hAnsi="Palatino Linotype"/>
          <w:sz w:val="24"/>
        </w:rPr>
        <w:t>“</w:t>
      </w:r>
      <w:r w:rsidR="0081144C" w:rsidRPr="00C63D99">
        <w:rPr>
          <w:rFonts w:ascii="Palatino Linotype" w:hAnsi="Palatino Linotype"/>
          <w:i/>
          <w:sz w:val="24"/>
        </w:rPr>
        <w:t>LA FALTA DE RESPUESTA OPORTUNA Y DESATENCIÓN DEL SUJETO OBLIGADO, PIDO QUE SE SANCIONE AL SUJETO OBLIGADO, PUES COMO SERVIDORES PÚBLICOS DEBEN CUMPLIR LA LEY.</w:t>
      </w:r>
      <w:r w:rsidRPr="00C63D99">
        <w:rPr>
          <w:rFonts w:ascii="Palatino Linotype" w:hAnsi="Palatino Linotype"/>
          <w:i/>
          <w:sz w:val="24"/>
        </w:rPr>
        <w:t>"</w:t>
      </w:r>
      <w:r w:rsidRPr="00C63D99">
        <w:rPr>
          <w:rFonts w:ascii="Palatino Linotype" w:eastAsia="Calibri" w:hAnsi="Palatino Linotype" w:cs="Arial"/>
          <w:sz w:val="24"/>
          <w:lang w:val="es-ES"/>
        </w:rPr>
        <w:t>(Sic)</w:t>
      </w:r>
    </w:p>
    <w:p w14:paraId="6A0419C3" w14:textId="77777777" w:rsidR="00F714A9" w:rsidRPr="00C63D99" w:rsidRDefault="00F714A9" w:rsidP="005000AA">
      <w:pPr>
        <w:pStyle w:val="Prrafodelista"/>
        <w:rPr>
          <w:rFonts w:ascii="Palatino Linotype" w:eastAsia="Calibri" w:hAnsi="Palatino Linotype" w:cs="Tahoma"/>
          <w:b/>
          <w:sz w:val="24"/>
          <w:lang w:eastAsia="en-US"/>
        </w:rPr>
      </w:pPr>
    </w:p>
    <w:p w14:paraId="5D281D01" w14:textId="77777777" w:rsidR="00F714A9" w:rsidRPr="00C63D99" w:rsidRDefault="00F714A9" w:rsidP="005000AA">
      <w:pPr>
        <w:pStyle w:val="Prrafodelista"/>
        <w:rPr>
          <w:rFonts w:ascii="Palatino Linotype" w:eastAsia="Calibri" w:hAnsi="Palatino Linotype" w:cs="Tahoma"/>
          <w:b/>
          <w:sz w:val="24"/>
          <w:lang w:eastAsia="en-US"/>
        </w:rPr>
      </w:pPr>
    </w:p>
    <w:p w14:paraId="74FD72FA" w14:textId="77777777" w:rsidR="00F714A9" w:rsidRPr="00C63D99" w:rsidRDefault="00F714A9" w:rsidP="0081144C">
      <w:pPr>
        <w:pStyle w:val="Prrafodelista"/>
        <w:numPr>
          <w:ilvl w:val="0"/>
          <w:numId w:val="48"/>
        </w:numPr>
        <w:ind w:left="567"/>
        <w:rPr>
          <w:rFonts w:ascii="Palatino Linotype" w:eastAsia="Calibri" w:hAnsi="Palatino Linotype" w:cs="Tahoma"/>
          <w:b/>
          <w:sz w:val="24"/>
          <w:lang w:eastAsia="en-US"/>
        </w:rPr>
      </w:pPr>
      <w:r w:rsidRPr="00C63D99">
        <w:rPr>
          <w:rFonts w:ascii="Palatino Linotype" w:eastAsia="Calibri" w:hAnsi="Palatino Linotype" w:cs="Tahoma"/>
          <w:b/>
          <w:sz w:val="24"/>
          <w:lang w:eastAsia="en-US"/>
        </w:rPr>
        <w:t>01136/INFOEM/IP/RR/2022</w:t>
      </w:r>
    </w:p>
    <w:p w14:paraId="0140C8D4" w14:textId="77777777" w:rsidR="00F714A9" w:rsidRPr="00C63D99" w:rsidRDefault="00F714A9" w:rsidP="005000AA">
      <w:pPr>
        <w:pStyle w:val="Prrafodelista"/>
        <w:rPr>
          <w:rFonts w:ascii="Palatino Linotype" w:eastAsia="Calibri" w:hAnsi="Palatino Linotype" w:cs="Tahoma"/>
          <w:b/>
          <w:sz w:val="24"/>
          <w:lang w:eastAsia="en-US"/>
        </w:rPr>
      </w:pPr>
    </w:p>
    <w:p w14:paraId="440F2C7B" w14:textId="33A7CA25" w:rsidR="00F714A9" w:rsidRPr="00C63D99" w:rsidRDefault="00F714A9" w:rsidP="00F714A9">
      <w:pPr>
        <w:pStyle w:val="Prrafodelista"/>
        <w:spacing w:line="360" w:lineRule="auto"/>
        <w:jc w:val="both"/>
        <w:rPr>
          <w:rFonts w:ascii="Palatino Linotype" w:hAnsi="Palatino Linotype" w:cstheme="minorBidi"/>
          <w:bCs/>
          <w:i/>
          <w:iCs/>
          <w:sz w:val="24"/>
        </w:rPr>
      </w:pPr>
      <w:r w:rsidRPr="00C63D99">
        <w:rPr>
          <w:rFonts w:ascii="Palatino Linotype" w:hAnsi="Palatino Linotype"/>
          <w:b/>
          <w:sz w:val="24"/>
        </w:rPr>
        <w:t xml:space="preserve">Acto impugnado: </w:t>
      </w:r>
      <w:r w:rsidRPr="00C63D99">
        <w:rPr>
          <w:rFonts w:ascii="Palatino Linotype" w:hAnsi="Palatino Linotype"/>
          <w:bCs/>
          <w:i/>
          <w:iCs/>
          <w:sz w:val="24"/>
        </w:rPr>
        <w:t>“</w:t>
      </w:r>
      <w:r w:rsidR="0081144C" w:rsidRPr="00C63D99">
        <w:rPr>
          <w:rFonts w:ascii="Palatino Linotype" w:eastAsia="Calibri" w:hAnsi="Palatino Linotype" w:cs="Tahoma"/>
          <w:i/>
          <w:sz w:val="24"/>
          <w:szCs w:val="22"/>
          <w:lang w:eastAsia="en-US"/>
        </w:rPr>
        <w:t>LA FALTA DE RESPUESTA OPORTUNA A LA SOLICITUD DE INFORMACIÓN PÚBLICA POR PARTE DEL SUJETO OBLIGADO.</w:t>
      </w:r>
      <w:r w:rsidRPr="00C63D99">
        <w:rPr>
          <w:rFonts w:ascii="Palatino Linotype" w:hAnsi="Palatino Linotype"/>
          <w:bCs/>
          <w:i/>
          <w:iCs/>
          <w:sz w:val="24"/>
        </w:rPr>
        <w:t>” (sic) y,</w:t>
      </w:r>
    </w:p>
    <w:p w14:paraId="152A5310" w14:textId="52087915" w:rsidR="00F714A9" w:rsidRPr="00C63D99" w:rsidRDefault="00F714A9" w:rsidP="00F714A9">
      <w:pPr>
        <w:pStyle w:val="Prrafodelista"/>
        <w:spacing w:line="360" w:lineRule="auto"/>
        <w:jc w:val="both"/>
        <w:rPr>
          <w:rFonts w:ascii="Palatino Linotype" w:eastAsia="Calibri" w:hAnsi="Palatino Linotype" w:cs="Arial"/>
          <w:sz w:val="24"/>
          <w:lang w:val="es-ES"/>
        </w:rPr>
      </w:pPr>
      <w:r w:rsidRPr="00C63D99">
        <w:rPr>
          <w:rFonts w:ascii="Palatino Linotype" w:hAnsi="Palatino Linotype"/>
          <w:b/>
          <w:sz w:val="24"/>
        </w:rPr>
        <w:lastRenderedPageBreak/>
        <w:t>Razones o Motivos de Inconformidad:</w:t>
      </w:r>
      <w:r w:rsidRPr="00C63D99">
        <w:rPr>
          <w:rStyle w:val="Ttulo2Car"/>
          <w:rFonts w:ascii="Palatino Linotype" w:hAnsi="Palatino Linotype"/>
          <w:b/>
          <w:i/>
          <w:sz w:val="24"/>
          <w:szCs w:val="24"/>
          <w:lang w:val="es-ES"/>
        </w:rPr>
        <w:t xml:space="preserve"> </w:t>
      </w:r>
      <w:r w:rsidRPr="00C63D99">
        <w:rPr>
          <w:rFonts w:ascii="Palatino Linotype" w:hAnsi="Palatino Linotype"/>
          <w:sz w:val="24"/>
        </w:rPr>
        <w:t>“</w:t>
      </w:r>
      <w:r w:rsidRPr="00C63D99">
        <w:rPr>
          <w:rFonts w:ascii="Palatino Linotype" w:hAnsi="Palatino Linotype"/>
          <w:i/>
          <w:sz w:val="24"/>
        </w:rPr>
        <w:t xml:space="preserve">No recibí la </w:t>
      </w:r>
      <w:proofErr w:type="spellStart"/>
      <w:r w:rsidRPr="00C63D99">
        <w:rPr>
          <w:rFonts w:ascii="Palatino Linotype" w:hAnsi="Palatino Linotype"/>
          <w:i/>
          <w:sz w:val="24"/>
        </w:rPr>
        <w:t>infor</w:t>
      </w:r>
      <w:r w:rsidR="0081144C" w:rsidRPr="00C63D99">
        <w:rPr>
          <w:rFonts w:ascii="Palatino Linotype" w:hAnsi="Palatino Linotype"/>
          <w:i/>
          <w:sz w:val="24"/>
        </w:rPr>
        <w:t>LA</w:t>
      </w:r>
      <w:proofErr w:type="spellEnd"/>
      <w:r w:rsidR="0081144C" w:rsidRPr="00C63D99">
        <w:rPr>
          <w:rFonts w:ascii="Palatino Linotype" w:hAnsi="Palatino Linotype"/>
          <w:i/>
          <w:sz w:val="24"/>
        </w:rPr>
        <w:t xml:space="preserve"> FALTA DE RESPUESTA OPORTUNA Y DESATENCIÓN DEL SUJETO OBLIGADO, PIDO QUE SE SANCIONE AL SUJETO OBLIGADO, PUES COMO SERVIDORES PÚBLICOS DEBEN CUMPLIR LA </w:t>
      </w:r>
      <w:proofErr w:type="spellStart"/>
      <w:r w:rsidR="0081144C" w:rsidRPr="00C63D99">
        <w:rPr>
          <w:rFonts w:ascii="Palatino Linotype" w:hAnsi="Palatino Linotype"/>
          <w:i/>
          <w:sz w:val="24"/>
        </w:rPr>
        <w:t>LEY.</w:t>
      </w:r>
      <w:r w:rsidRPr="00C63D99">
        <w:rPr>
          <w:rFonts w:ascii="Palatino Linotype" w:hAnsi="Palatino Linotype"/>
          <w:i/>
          <w:sz w:val="24"/>
        </w:rPr>
        <w:t>mación</w:t>
      </w:r>
      <w:proofErr w:type="spellEnd"/>
      <w:r w:rsidRPr="00C63D99">
        <w:rPr>
          <w:rFonts w:ascii="Palatino Linotype" w:hAnsi="Palatino Linotype"/>
          <w:i/>
          <w:sz w:val="24"/>
        </w:rPr>
        <w:t xml:space="preserve"> "</w:t>
      </w:r>
      <w:r w:rsidRPr="00C63D99">
        <w:rPr>
          <w:rFonts w:ascii="Palatino Linotype" w:eastAsia="Calibri" w:hAnsi="Palatino Linotype" w:cs="Arial"/>
          <w:sz w:val="24"/>
          <w:lang w:val="es-ES"/>
        </w:rPr>
        <w:t>(Sic)</w:t>
      </w:r>
    </w:p>
    <w:p w14:paraId="68D03A01" w14:textId="77777777" w:rsidR="00F714A9" w:rsidRPr="00C63D99" w:rsidRDefault="00F714A9" w:rsidP="005000AA">
      <w:pPr>
        <w:pStyle w:val="Prrafodelista"/>
        <w:rPr>
          <w:rFonts w:ascii="Palatino Linotype" w:eastAsia="Calibri" w:hAnsi="Palatino Linotype" w:cs="Tahoma"/>
          <w:b/>
          <w:sz w:val="24"/>
          <w:lang w:eastAsia="en-US"/>
        </w:rPr>
      </w:pPr>
    </w:p>
    <w:p w14:paraId="2D58D5CF" w14:textId="77777777" w:rsidR="00F714A9" w:rsidRPr="00C63D99" w:rsidRDefault="00F714A9" w:rsidP="005000AA">
      <w:pPr>
        <w:pStyle w:val="Prrafodelista"/>
        <w:rPr>
          <w:rFonts w:ascii="Palatino Linotype" w:eastAsia="Calibri" w:hAnsi="Palatino Linotype" w:cs="Tahoma"/>
          <w:b/>
          <w:sz w:val="24"/>
          <w:lang w:eastAsia="en-US"/>
        </w:rPr>
      </w:pPr>
    </w:p>
    <w:p w14:paraId="24014C79" w14:textId="21E6C4F1" w:rsidR="005000AA" w:rsidRPr="00C63D99" w:rsidRDefault="00F714A9" w:rsidP="0081144C">
      <w:pPr>
        <w:pStyle w:val="Prrafodelista"/>
        <w:numPr>
          <w:ilvl w:val="0"/>
          <w:numId w:val="48"/>
        </w:numPr>
        <w:ind w:left="567"/>
        <w:rPr>
          <w:rFonts w:ascii="Palatino Linotype" w:hAnsi="Palatino Linotype" w:cs="Arial"/>
          <w:i/>
          <w:sz w:val="24"/>
        </w:rPr>
      </w:pPr>
      <w:r w:rsidRPr="00C63D99">
        <w:rPr>
          <w:rFonts w:ascii="Palatino Linotype" w:eastAsia="Calibri" w:hAnsi="Palatino Linotype" w:cs="Tahoma"/>
          <w:b/>
          <w:sz w:val="24"/>
          <w:lang w:eastAsia="en-US"/>
        </w:rPr>
        <w:t>01137/INFOEM/IP/RR/2022</w:t>
      </w:r>
    </w:p>
    <w:p w14:paraId="60DF770D" w14:textId="58ECB42F" w:rsidR="005000AA" w:rsidRPr="00C63D99" w:rsidRDefault="005000AA" w:rsidP="005000AA">
      <w:pPr>
        <w:pStyle w:val="Prrafodelista"/>
        <w:spacing w:line="360" w:lineRule="auto"/>
        <w:jc w:val="both"/>
        <w:rPr>
          <w:rFonts w:ascii="Palatino Linotype" w:hAnsi="Palatino Linotype" w:cstheme="minorBidi"/>
          <w:bCs/>
          <w:i/>
          <w:iCs/>
          <w:sz w:val="24"/>
        </w:rPr>
      </w:pPr>
      <w:r w:rsidRPr="00C63D99">
        <w:rPr>
          <w:rFonts w:ascii="Palatino Linotype" w:hAnsi="Palatino Linotype"/>
          <w:b/>
          <w:sz w:val="24"/>
        </w:rPr>
        <w:t xml:space="preserve">Acto impugnado: </w:t>
      </w:r>
      <w:r w:rsidRPr="00C63D99">
        <w:rPr>
          <w:rFonts w:ascii="Palatino Linotype" w:hAnsi="Palatino Linotype"/>
          <w:bCs/>
          <w:i/>
          <w:iCs/>
          <w:sz w:val="24"/>
        </w:rPr>
        <w:t>“</w:t>
      </w:r>
      <w:r w:rsidR="0081144C" w:rsidRPr="00C63D99">
        <w:rPr>
          <w:rFonts w:ascii="Palatino Linotype" w:eastAsia="Calibri" w:hAnsi="Palatino Linotype" w:cs="Tahoma"/>
          <w:i/>
          <w:sz w:val="24"/>
          <w:szCs w:val="22"/>
          <w:lang w:eastAsia="en-US"/>
        </w:rPr>
        <w:t>LA FALTA DE RESPUESTA OPORTUNA A LA SOLICITUD DE INFORMACIÓN PÚBLICA POR PARTE DEL SUJETO OBLIGADO.</w:t>
      </w:r>
      <w:r w:rsidRPr="00C63D99">
        <w:rPr>
          <w:rFonts w:ascii="Palatino Linotype" w:hAnsi="Palatino Linotype"/>
          <w:bCs/>
          <w:i/>
          <w:iCs/>
          <w:sz w:val="24"/>
        </w:rPr>
        <w:t>” (sic) y,</w:t>
      </w:r>
    </w:p>
    <w:p w14:paraId="777595D3" w14:textId="77C7527A" w:rsidR="005000AA" w:rsidRPr="00C63D99" w:rsidRDefault="005000AA" w:rsidP="005000AA">
      <w:pPr>
        <w:pStyle w:val="Prrafodelista"/>
        <w:spacing w:line="360" w:lineRule="auto"/>
        <w:jc w:val="both"/>
        <w:rPr>
          <w:rFonts w:ascii="Palatino Linotype" w:eastAsia="Calibri" w:hAnsi="Palatino Linotype" w:cs="Arial"/>
          <w:sz w:val="24"/>
          <w:lang w:val="es-ES"/>
        </w:rPr>
      </w:pPr>
      <w:r w:rsidRPr="00C63D99">
        <w:rPr>
          <w:rFonts w:ascii="Palatino Linotype" w:hAnsi="Palatino Linotype"/>
          <w:b/>
          <w:sz w:val="24"/>
        </w:rPr>
        <w:t>Razones o Motivos de Inconformidad:</w:t>
      </w:r>
      <w:r w:rsidRPr="00C63D99">
        <w:rPr>
          <w:rStyle w:val="Ttulo2Car"/>
          <w:rFonts w:ascii="Palatino Linotype" w:hAnsi="Palatino Linotype"/>
          <w:b/>
          <w:i/>
          <w:sz w:val="24"/>
          <w:szCs w:val="24"/>
          <w:lang w:val="es-ES"/>
        </w:rPr>
        <w:t xml:space="preserve"> </w:t>
      </w:r>
      <w:r w:rsidRPr="00C63D99">
        <w:rPr>
          <w:rFonts w:ascii="Palatino Linotype" w:hAnsi="Palatino Linotype"/>
          <w:sz w:val="24"/>
        </w:rPr>
        <w:t>“</w:t>
      </w:r>
      <w:r w:rsidR="0081144C" w:rsidRPr="00C63D99">
        <w:rPr>
          <w:rFonts w:ascii="Palatino Linotype" w:hAnsi="Palatino Linotype"/>
          <w:i/>
          <w:sz w:val="24"/>
        </w:rPr>
        <w:t>LA FALTA DE RESPUESTA OPORTUNA Y DESATENCIÓN DEL SUJETO OBLIGADO, PIDO QUE SE SANCIONE AL SUJETO OBLIGADO, PUES COMO SERVIDORES PÚBLICOS DEBEN CUMPLIR LA LEY.</w:t>
      </w:r>
      <w:r w:rsidR="004E6A3B" w:rsidRPr="00C63D99">
        <w:rPr>
          <w:rFonts w:ascii="Palatino Linotype" w:hAnsi="Palatino Linotype"/>
          <w:i/>
          <w:sz w:val="24"/>
        </w:rPr>
        <w:t>"</w:t>
      </w:r>
      <w:r w:rsidRPr="00C63D99">
        <w:rPr>
          <w:rFonts w:ascii="Palatino Linotype" w:eastAsia="Calibri" w:hAnsi="Palatino Linotype" w:cs="Arial"/>
          <w:sz w:val="24"/>
          <w:lang w:val="es-ES"/>
        </w:rPr>
        <w:t>(Sic)</w:t>
      </w:r>
    </w:p>
    <w:p w14:paraId="518E834F" w14:textId="77777777" w:rsidR="00BC6FDD" w:rsidRPr="00C63D99" w:rsidRDefault="00BC6FDD" w:rsidP="005000AA">
      <w:pPr>
        <w:pStyle w:val="Prrafodelista"/>
        <w:spacing w:line="360" w:lineRule="auto"/>
        <w:jc w:val="both"/>
        <w:rPr>
          <w:rFonts w:ascii="Palatino Linotype" w:eastAsia="Calibri" w:hAnsi="Palatino Linotype" w:cs="Arial"/>
          <w:sz w:val="24"/>
          <w:lang w:val="es-ES"/>
        </w:rPr>
      </w:pPr>
    </w:p>
    <w:bookmarkEnd w:id="1"/>
    <w:bookmarkEnd w:id="2"/>
    <w:bookmarkEnd w:id="3"/>
    <w:p w14:paraId="5BE2AC11" w14:textId="405AC137" w:rsidR="005000AA" w:rsidRPr="00C63D99" w:rsidRDefault="005000AA" w:rsidP="005000AA">
      <w:pPr>
        <w:pStyle w:val="Prrafodelista"/>
        <w:numPr>
          <w:ilvl w:val="0"/>
          <w:numId w:val="3"/>
        </w:numPr>
        <w:spacing w:before="240" w:after="240" w:line="360" w:lineRule="auto"/>
        <w:ind w:left="0" w:firstLine="0"/>
        <w:jc w:val="both"/>
        <w:rPr>
          <w:rFonts w:ascii="Palatino Linotype" w:eastAsia="Calibri" w:hAnsi="Palatino Linotype" w:cs="Arial"/>
          <w:sz w:val="24"/>
          <w:lang w:val="es-AR"/>
        </w:rPr>
      </w:pPr>
      <w:r w:rsidRPr="00C63D99">
        <w:rPr>
          <w:rFonts w:ascii="Palatino Linotype" w:hAnsi="Palatino Linotype" w:cs="Arial"/>
          <w:sz w:val="24"/>
          <w:lang w:val="es-ES"/>
        </w:rPr>
        <w:t>Se regist</w:t>
      </w:r>
      <w:r w:rsidR="00043374" w:rsidRPr="00C63D99">
        <w:rPr>
          <w:rFonts w:ascii="Palatino Linotype" w:hAnsi="Palatino Linotype" w:cs="Arial"/>
          <w:sz w:val="24"/>
          <w:lang w:val="es-ES"/>
        </w:rPr>
        <w:t>raron</w:t>
      </w:r>
      <w:r w:rsidRPr="00C63D99">
        <w:rPr>
          <w:rFonts w:ascii="Palatino Linotype" w:hAnsi="Palatino Linotype" w:cs="Arial"/>
          <w:sz w:val="24"/>
          <w:lang w:val="es-ES"/>
        </w:rPr>
        <w:t xml:space="preserve"> </w:t>
      </w:r>
      <w:r w:rsidR="00043374" w:rsidRPr="00C63D99">
        <w:rPr>
          <w:rFonts w:ascii="Palatino Linotype" w:hAnsi="Palatino Linotype" w:cs="Arial"/>
          <w:sz w:val="24"/>
          <w:lang w:val="es-ES"/>
        </w:rPr>
        <w:t>los</w:t>
      </w:r>
      <w:r w:rsidRPr="00C63D99">
        <w:rPr>
          <w:rFonts w:ascii="Palatino Linotype" w:hAnsi="Palatino Linotype" w:cs="Arial"/>
          <w:sz w:val="24"/>
          <w:lang w:val="es-ES"/>
        </w:rPr>
        <w:t xml:space="preserve"> recurso</w:t>
      </w:r>
      <w:r w:rsidR="00043374" w:rsidRPr="00C63D99">
        <w:rPr>
          <w:rFonts w:ascii="Palatino Linotype" w:hAnsi="Palatino Linotype" w:cs="Arial"/>
          <w:sz w:val="24"/>
          <w:lang w:val="es-ES"/>
        </w:rPr>
        <w:t>s</w:t>
      </w:r>
      <w:r w:rsidRPr="00C63D99">
        <w:rPr>
          <w:rFonts w:ascii="Palatino Linotype" w:hAnsi="Palatino Linotype" w:cs="Arial"/>
          <w:sz w:val="24"/>
          <w:lang w:val="es-ES"/>
        </w:rPr>
        <w:t xml:space="preserve"> de revisión bajo </w:t>
      </w:r>
      <w:r w:rsidR="00043374" w:rsidRPr="00C63D99">
        <w:rPr>
          <w:rFonts w:ascii="Palatino Linotype" w:hAnsi="Palatino Linotype" w:cs="Arial"/>
          <w:sz w:val="24"/>
          <w:lang w:val="es-ES"/>
        </w:rPr>
        <w:t>los</w:t>
      </w:r>
      <w:r w:rsidRPr="00C63D99">
        <w:rPr>
          <w:rFonts w:ascii="Palatino Linotype" w:hAnsi="Palatino Linotype" w:cs="Arial"/>
          <w:sz w:val="24"/>
          <w:lang w:val="es-ES"/>
        </w:rPr>
        <w:t xml:space="preserve"> número</w:t>
      </w:r>
      <w:r w:rsidR="00043374" w:rsidRPr="00C63D99">
        <w:rPr>
          <w:rFonts w:ascii="Palatino Linotype" w:hAnsi="Palatino Linotype" w:cs="Arial"/>
          <w:sz w:val="24"/>
          <w:lang w:val="es-ES"/>
        </w:rPr>
        <w:t>s</w:t>
      </w:r>
      <w:r w:rsidRPr="00C63D99">
        <w:rPr>
          <w:rFonts w:ascii="Palatino Linotype" w:hAnsi="Palatino Linotype" w:cs="Arial"/>
          <w:sz w:val="24"/>
          <w:lang w:val="es-ES"/>
        </w:rPr>
        <w:t xml:space="preserve"> de expediente </w:t>
      </w:r>
      <w:r w:rsidRPr="00C63D99">
        <w:rPr>
          <w:rFonts w:ascii="Palatino Linotype" w:hAnsi="Palatino Linotype" w:cs="Arial"/>
          <w:bCs/>
          <w:sz w:val="24"/>
        </w:rPr>
        <w:t>al rubro indicado</w:t>
      </w:r>
      <w:r w:rsidR="00043374" w:rsidRPr="00C63D99">
        <w:rPr>
          <w:rFonts w:ascii="Palatino Linotype" w:hAnsi="Palatino Linotype" w:cs="Arial"/>
          <w:bCs/>
          <w:sz w:val="24"/>
        </w:rPr>
        <w:t>s</w:t>
      </w:r>
      <w:r w:rsidRPr="00C63D99">
        <w:rPr>
          <w:rFonts w:ascii="Palatino Linotype" w:hAnsi="Palatino Linotype" w:cs="Arial"/>
          <w:bCs/>
          <w:sz w:val="24"/>
        </w:rPr>
        <w:t xml:space="preserve">, asimismo con fundamento en lo dispuesto por el </w:t>
      </w:r>
      <w:r w:rsidRPr="00C63D99">
        <w:rPr>
          <w:rFonts w:ascii="Palatino Linotype" w:eastAsia="Calibri" w:hAnsi="Palatino Linotype" w:cs="Arial"/>
          <w:sz w:val="24"/>
          <w:lang w:val="es-ES"/>
        </w:rPr>
        <w:t xml:space="preserve">artículo 185 fracción I de la </w:t>
      </w:r>
      <w:r w:rsidRPr="00C63D99">
        <w:rPr>
          <w:rFonts w:ascii="Palatino Linotype" w:eastAsia="Calibri" w:hAnsi="Palatino Linotype" w:cs="Arial"/>
          <w:b/>
          <w:sz w:val="24"/>
          <w:lang w:val="es-ES"/>
        </w:rPr>
        <w:t xml:space="preserve">Ley de Transparencia y Acceso a la Información Pública del Estado de México y Municipios </w:t>
      </w:r>
      <w:r w:rsidR="00D31521" w:rsidRPr="00C63D99">
        <w:rPr>
          <w:rFonts w:ascii="Palatino Linotype" w:hAnsi="Palatino Linotype" w:cs="Arial"/>
          <w:sz w:val="24"/>
          <w:lang w:val="es-ES"/>
        </w:rPr>
        <w:t>se turnó a</w:t>
      </w:r>
      <w:r w:rsidR="00F942BD" w:rsidRPr="00C63D99">
        <w:rPr>
          <w:rFonts w:ascii="Palatino Linotype" w:hAnsi="Palatino Linotype" w:cs="Arial"/>
          <w:sz w:val="24"/>
          <w:lang w:val="es-ES"/>
        </w:rPr>
        <w:t xml:space="preserve"> </w:t>
      </w:r>
      <w:r w:rsidRPr="00C63D99">
        <w:rPr>
          <w:rFonts w:ascii="Palatino Linotype" w:hAnsi="Palatino Linotype" w:cs="Arial"/>
          <w:sz w:val="24"/>
          <w:lang w:val="es-ES"/>
        </w:rPr>
        <w:t>l</w:t>
      </w:r>
      <w:r w:rsidR="00F942BD" w:rsidRPr="00C63D99">
        <w:rPr>
          <w:rFonts w:ascii="Palatino Linotype" w:hAnsi="Palatino Linotype" w:cs="Arial"/>
          <w:sz w:val="24"/>
          <w:lang w:val="es-ES"/>
        </w:rPr>
        <w:t>a</w:t>
      </w:r>
      <w:r w:rsidRPr="00C63D99">
        <w:rPr>
          <w:rFonts w:ascii="Palatino Linotype" w:hAnsi="Palatino Linotype" w:cs="Arial"/>
          <w:sz w:val="24"/>
          <w:lang w:val="es-ES"/>
        </w:rPr>
        <w:t xml:space="preserve"> </w:t>
      </w:r>
      <w:r w:rsidR="00F942BD" w:rsidRPr="00C63D99">
        <w:rPr>
          <w:rFonts w:ascii="Palatino Linotype" w:hAnsi="Palatino Linotype" w:cs="Arial"/>
          <w:b/>
          <w:sz w:val="24"/>
          <w:lang w:val="es-ES"/>
        </w:rPr>
        <w:t>Comisionada</w:t>
      </w:r>
      <w:r w:rsidRPr="00C63D99">
        <w:rPr>
          <w:rFonts w:ascii="Palatino Linotype" w:hAnsi="Palatino Linotype" w:cs="Arial"/>
          <w:b/>
          <w:sz w:val="24"/>
          <w:lang w:val="es-ES"/>
        </w:rPr>
        <w:t xml:space="preserve"> </w:t>
      </w:r>
      <w:r w:rsidR="00F942BD" w:rsidRPr="00C63D99">
        <w:rPr>
          <w:rFonts w:ascii="Palatino Linotype" w:hAnsi="Palatino Linotype" w:cs="Arial"/>
          <w:b/>
          <w:sz w:val="24"/>
          <w:lang w:val="es-ES"/>
        </w:rPr>
        <w:t>María del Rosario Mejía Ayala</w:t>
      </w:r>
      <w:r w:rsidRPr="00C63D99">
        <w:rPr>
          <w:rFonts w:ascii="Palatino Linotype" w:hAnsi="Palatino Linotype" w:cs="Arial"/>
          <w:b/>
          <w:sz w:val="24"/>
          <w:lang w:val="es-ES"/>
        </w:rPr>
        <w:t xml:space="preserve">, </w:t>
      </w:r>
      <w:r w:rsidRPr="00C63D99">
        <w:rPr>
          <w:rFonts w:ascii="Palatino Linotype" w:hAnsi="Palatino Linotype" w:cs="Arial"/>
          <w:sz w:val="24"/>
          <w:lang w:val="es-ES"/>
        </w:rPr>
        <w:t xml:space="preserve">con el objeto de </w:t>
      </w:r>
      <w:r w:rsidRPr="00C63D99">
        <w:rPr>
          <w:rFonts w:ascii="Palatino Linotype" w:hAnsi="Palatino Linotype" w:cs="Arial"/>
          <w:sz w:val="24"/>
        </w:rPr>
        <w:t>su análisis.</w:t>
      </w:r>
    </w:p>
    <w:p w14:paraId="21EFF6B2" w14:textId="77777777" w:rsidR="005000AA" w:rsidRPr="00C63D99" w:rsidRDefault="005000AA" w:rsidP="005000AA">
      <w:pPr>
        <w:pStyle w:val="Prrafodelista"/>
        <w:spacing w:before="240" w:after="240" w:line="360" w:lineRule="auto"/>
        <w:ind w:left="0"/>
        <w:jc w:val="both"/>
        <w:rPr>
          <w:rFonts w:ascii="Palatino Linotype" w:eastAsia="Calibri" w:hAnsi="Palatino Linotype" w:cs="Arial"/>
          <w:sz w:val="24"/>
          <w:lang w:val="es-AR"/>
        </w:rPr>
      </w:pPr>
    </w:p>
    <w:p w14:paraId="0DD7E16F" w14:textId="484A43A9" w:rsidR="005000AA" w:rsidRPr="00C63D99" w:rsidRDefault="00D73603" w:rsidP="005000AA">
      <w:pPr>
        <w:pStyle w:val="Prrafodelista"/>
        <w:numPr>
          <w:ilvl w:val="0"/>
          <w:numId w:val="3"/>
        </w:numPr>
        <w:spacing w:before="240" w:after="240" w:line="360" w:lineRule="auto"/>
        <w:ind w:left="0" w:firstLine="0"/>
        <w:jc w:val="both"/>
        <w:rPr>
          <w:rFonts w:ascii="Palatino Linotype" w:eastAsiaTheme="minorEastAsia" w:hAnsi="Palatino Linotype" w:cstheme="minorBidi"/>
          <w:i/>
          <w:color w:val="000000"/>
          <w:sz w:val="24"/>
          <w:lang w:val="es-ES_tradnl"/>
        </w:rPr>
      </w:pPr>
      <w:r w:rsidRPr="00C63D99">
        <w:rPr>
          <w:rFonts w:ascii="Palatino Linotype" w:eastAsia="Calibri" w:hAnsi="Palatino Linotype" w:cs="Arial"/>
          <w:sz w:val="24"/>
          <w:lang w:val="es-ES"/>
        </w:rPr>
        <w:t>La Comisionada</w:t>
      </w:r>
      <w:r w:rsidR="005000AA" w:rsidRPr="00C63D99">
        <w:rPr>
          <w:rFonts w:ascii="Palatino Linotype" w:eastAsia="Calibri" w:hAnsi="Palatino Linotype" w:cs="Arial"/>
          <w:sz w:val="24"/>
          <w:lang w:val="es-ES"/>
        </w:rPr>
        <w:t xml:space="preserve"> Ponente con fundamento en lo dispuesto por el artículo 185 fracción II de la ley de la materia, a través del acuerdo de admisión de fecha </w:t>
      </w:r>
      <w:r w:rsidR="001A3EE2" w:rsidRPr="00C63D99">
        <w:rPr>
          <w:rFonts w:ascii="Palatino Linotype" w:eastAsia="Calibri" w:hAnsi="Palatino Linotype" w:cs="Arial"/>
          <w:sz w:val="24"/>
          <w:lang w:val="es-ES"/>
        </w:rPr>
        <w:t xml:space="preserve">veinticinco </w:t>
      </w:r>
      <w:r w:rsidR="001A3EE2" w:rsidRPr="00C63D99">
        <w:rPr>
          <w:rFonts w:ascii="Palatino Linotype" w:eastAsia="Calibri" w:hAnsi="Palatino Linotype" w:cs="Arial"/>
          <w:sz w:val="24"/>
          <w:lang w:val="es-ES"/>
        </w:rPr>
        <w:lastRenderedPageBreak/>
        <w:t>(25) y veintiocho (28) de febrero y tres (3) de marzo</w:t>
      </w:r>
      <w:r w:rsidR="005000AA" w:rsidRPr="00C63D99">
        <w:rPr>
          <w:rFonts w:ascii="Palatino Linotype" w:eastAsia="Calibri" w:hAnsi="Palatino Linotype" w:cs="Arial"/>
          <w:sz w:val="24"/>
          <w:lang w:val="es-ES"/>
        </w:rPr>
        <w:t xml:space="preserve"> de dos mil veinti</w:t>
      </w:r>
      <w:r w:rsidR="0021453D" w:rsidRPr="00C63D99">
        <w:rPr>
          <w:rFonts w:ascii="Palatino Linotype" w:eastAsia="Calibri" w:hAnsi="Palatino Linotype" w:cs="Arial"/>
          <w:sz w:val="24"/>
          <w:lang w:val="es-ES"/>
        </w:rPr>
        <w:t>dós</w:t>
      </w:r>
      <w:r w:rsidR="005000AA" w:rsidRPr="00C63D99">
        <w:rPr>
          <w:rFonts w:ascii="Palatino Linotype" w:eastAsia="Calibri" w:hAnsi="Palatino Linotype" w:cs="Arial"/>
          <w:sz w:val="24"/>
          <w:lang w:val="es-ES"/>
        </w:rPr>
        <w:t xml:space="preserve">, puso a disposición de las partes el expediente electrónico </w:t>
      </w:r>
      <w:r w:rsidR="005000AA" w:rsidRPr="00C63D99">
        <w:rPr>
          <w:rFonts w:ascii="Palatino Linotype" w:eastAsia="Calibri" w:hAnsi="Palatino Linotype" w:cs="Arial"/>
          <w:sz w:val="24"/>
        </w:rPr>
        <w:t xml:space="preserve">vía </w:t>
      </w:r>
      <w:r w:rsidR="005000AA" w:rsidRPr="00C63D99">
        <w:rPr>
          <w:rFonts w:ascii="Palatino Linotype" w:eastAsia="Calibri" w:hAnsi="Palatino Linotype" w:cs="Arial"/>
          <w:b/>
          <w:sz w:val="24"/>
          <w:lang w:val="es-ES"/>
        </w:rPr>
        <w:t xml:space="preserve">SAIMEX </w:t>
      </w:r>
      <w:r w:rsidR="005000AA" w:rsidRPr="00C63D99">
        <w:rPr>
          <w:rFonts w:ascii="Palatino Linotype" w:eastAsia="Calibri" w:hAnsi="Palatino Linotype" w:cs="Arial"/>
          <w:sz w:val="24"/>
          <w:lang w:val="es-ES"/>
        </w:rPr>
        <w:t xml:space="preserve">a efecto de que en un plazo máximo de siete días manifestaran lo que a derecho convinieran, ofrecieran pruebas y alegatos según corresponda al caso concreto, de esta forma para que el </w:t>
      </w:r>
      <w:r w:rsidR="005000AA" w:rsidRPr="00C63D99">
        <w:rPr>
          <w:rFonts w:ascii="Palatino Linotype" w:eastAsia="Calibri" w:hAnsi="Palatino Linotype" w:cs="Arial"/>
          <w:b/>
          <w:sz w:val="24"/>
          <w:lang w:val="es-ES"/>
        </w:rPr>
        <w:t>SUJETO OBLIGADO</w:t>
      </w:r>
      <w:r w:rsidR="005000AA" w:rsidRPr="00C63D99">
        <w:rPr>
          <w:rFonts w:ascii="Palatino Linotype" w:eastAsia="Calibri" w:hAnsi="Palatino Linotype" w:cs="Arial"/>
          <w:sz w:val="24"/>
          <w:lang w:val="es-ES"/>
        </w:rPr>
        <w:t xml:space="preserve"> presentara el informe justificado procedente.</w:t>
      </w:r>
    </w:p>
    <w:p w14:paraId="51336F6A" w14:textId="77777777" w:rsidR="00043374" w:rsidRPr="00C63D99" w:rsidRDefault="00043374" w:rsidP="00043374">
      <w:pPr>
        <w:pStyle w:val="Prrafodelista"/>
        <w:rPr>
          <w:rFonts w:ascii="Palatino Linotype" w:eastAsiaTheme="minorEastAsia" w:hAnsi="Palatino Linotype" w:cstheme="minorBidi"/>
          <w:i/>
          <w:color w:val="000000"/>
          <w:sz w:val="24"/>
          <w:lang w:val="es-ES_tradnl"/>
        </w:rPr>
      </w:pPr>
    </w:p>
    <w:p w14:paraId="36B2F64B" w14:textId="35E1A3A8" w:rsidR="00043374" w:rsidRPr="00C63D99" w:rsidRDefault="00043374" w:rsidP="00043374">
      <w:pPr>
        <w:pStyle w:val="Prrafodelista"/>
        <w:numPr>
          <w:ilvl w:val="0"/>
          <w:numId w:val="2"/>
        </w:numPr>
        <w:spacing w:before="240" w:after="240" w:line="360" w:lineRule="auto"/>
        <w:ind w:left="0" w:hanging="11"/>
        <w:jc w:val="both"/>
        <w:rPr>
          <w:rFonts w:ascii="Palatino Linotype" w:hAnsi="Palatino Linotype"/>
          <w:i/>
          <w:color w:val="000000"/>
          <w:sz w:val="24"/>
        </w:rPr>
      </w:pPr>
      <w:r w:rsidRPr="00C63D99">
        <w:rPr>
          <w:rFonts w:ascii="Palatino Linotype" w:eastAsia="MS Mincho" w:hAnsi="Palatino Linotype" w:cs="Arial"/>
          <w:sz w:val="24"/>
        </w:rPr>
        <w:t xml:space="preserve">En la </w:t>
      </w:r>
      <w:r w:rsidR="00A75BBA" w:rsidRPr="00C63D99">
        <w:rPr>
          <w:rFonts w:ascii="Palatino Linotype" w:eastAsia="MS Mincho" w:hAnsi="Palatino Linotype" w:cs="Arial"/>
          <w:sz w:val="24"/>
        </w:rPr>
        <w:t xml:space="preserve">Octava </w:t>
      </w:r>
      <w:r w:rsidRPr="00C63D99">
        <w:rPr>
          <w:rFonts w:ascii="Palatino Linotype" w:eastAsia="MS Mincho" w:hAnsi="Palatino Linotype" w:cs="Arial"/>
          <w:sz w:val="24"/>
        </w:rPr>
        <w:t xml:space="preserve">Sesión Ordinaria de fecha </w:t>
      </w:r>
      <w:r w:rsidR="00A75BBA" w:rsidRPr="00C63D99">
        <w:rPr>
          <w:rFonts w:ascii="Palatino Linotype" w:eastAsia="MS Mincho" w:hAnsi="Palatino Linotype" w:cs="Arial"/>
          <w:sz w:val="24"/>
        </w:rPr>
        <w:t>tres</w:t>
      </w:r>
      <w:r w:rsidRPr="00C63D99">
        <w:rPr>
          <w:rFonts w:ascii="Palatino Linotype" w:eastAsia="MS Mincho" w:hAnsi="Palatino Linotype" w:cs="Arial"/>
          <w:sz w:val="24"/>
        </w:rPr>
        <w:t xml:space="preserve"> (</w:t>
      </w:r>
      <w:r w:rsidR="00A75BBA" w:rsidRPr="00C63D99">
        <w:rPr>
          <w:rFonts w:ascii="Palatino Linotype" w:eastAsia="MS Mincho" w:hAnsi="Palatino Linotype" w:cs="Arial"/>
          <w:sz w:val="24"/>
        </w:rPr>
        <w:t>3</w:t>
      </w:r>
      <w:r w:rsidRPr="00C63D99">
        <w:rPr>
          <w:rFonts w:ascii="Palatino Linotype" w:eastAsia="MS Mincho" w:hAnsi="Palatino Linotype" w:cs="Arial"/>
          <w:sz w:val="24"/>
        </w:rPr>
        <w:t xml:space="preserve">) de </w:t>
      </w:r>
      <w:r w:rsidR="00A75BBA" w:rsidRPr="00C63D99">
        <w:rPr>
          <w:rFonts w:ascii="Palatino Linotype" w:eastAsia="MS Mincho" w:hAnsi="Palatino Linotype" w:cs="Arial"/>
          <w:sz w:val="24"/>
        </w:rPr>
        <w:t>marzo</w:t>
      </w:r>
      <w:r w:rsidRPr="00C63D99">
        <w:rPr>
          <w:rFonts w:ascii="Palatino Linotype" w:eastAsia="MS Mincho" w:hAnsi="Palatino Linotype" w:cs="Arial"/>
          <w:sz w:val="24"/>
        </w:rPr>
        <w:t xml:space="preserve"> de dos mil veinti</w:t>
      </w:r>
      <w:r w:rsidR="00A75BBA" w:rsidRPr="00C63D99">
        <w:rPr>
          <w:rFonts w:ascii="Palatino Linotype" w:eastAsia="MS Mincho" w:hAnsi="Palatino Linotype" w:cs="Arial"/>
          <w:sz w:val="24"/>
        </w:rPr>
        <w:t>dós</w:t>
      </w:r>
      <w:r w:rsidRPr="00C63D99">
        <w:rPr>
          <w:rFonts w:ascii="Palatino Linotype" w:eastAsia="MS Mincho" w:hAnsi="Palatino Linotype" w:cs="Arial"/>
          <w:sz w:val="24"/>
        </w:rPr>
        <w:t>, el Pleno de este Órgano Garante acordó la acumulación de los recursos de revisión</w:t>
      </w:r>
      <w:r w:rsidR="00A75BBA" w:rsidRPr="00C63D99">
        <w:rPr>
          <w:rFonts w:ascii="Palatino Linotype" w:eastAsia="MS Mincho" w:hAnsi="Palatino Linotype" w:cs="Arial"/>
          <w:sz w:val="24"/>
        </w:rPr>
        <w:t xml:space="preserve"> </w:t>
      </w:r>
      <w:r w:rsidR="00A75BBA" w:rsidRPr="00C63D99">
        <w:rPr>
          <w:rFonts w:ascii="Palatino Linotype" w:eastAsia="Calibri" w:hAnsi="Palatino Linotype" w:cs="Tahoma"/>
          <w:b/>
          <w:sz w:val="24"/>
          <w:lang w:eastAsia="en-US"/>
        </w:rPr>
        <w:t>01134/INFOEM/IP/RR/2022, 01135/INFOEM/IP/RR/2022, 01136/INFOEM/IP/RR/2022 y 01137/INFOEM/IP/RR/2022</w:t>
      </w:r>
      <w:r w:rsidRPr="00C63D99">
        <w:rPr>
          <w:rFonts w:ascii="Palatino Linotype" w:hAnsi="Palatino Linotype" w:cs="Arial"/>
          <w:b/>
          <w:bCs/>
          <w:sz w:val="24"/>
        </w:rPr>
        <w:t xml:space="preserve"> a la</w:t>
      </w:r>
      <w:r w:rsidRPr="00C63D99">
        <w:rPr>
          <w:rFonts w:ascii="Palatino Linotype" w:eastAsia="MS Mincho" w:hAnsi="Palatino Linotype"/>
          <w:b/>
          <w:bCs/>
          <w:sz w:val="24"/>
        </w:rPr>
        <w:t xml:space="preserve"> </w:t>
      </w:r>
      <w:r w:rsidRPr="00C63D99">
        <w:rPr>
          <w:rFonts w:ascii="Palatino Linotype" w:eastAsia="MS Mincho" w:hAnsi="Palatino Linotype"/>
          <w:sz w:val="24"/>
        </w:rPr>
        <w:t>Comisionada</w:t>
      </w:r>
      <w:r w:rsidRPr="00C63D99">
        <w:rPr>
          <w:rFonts w:ascii="Palatino Linotype" w:eastAsia="MS Mincho" w:hAnsi="Palatino Linotype"/>
          <w:b/>
          <w:sz w:val="24"/>
        </w:rPr>
        <w:t xml:space="preserve"> </w:t>
      </w:r>
      <w:r w:rsidRPr="00C63D99">
        <w:rPr>
          <w:rFonts w:ascii="Palatino Linotype" w:hAnsi="Palatino Linotype"/>
          <w:b/>
          <w:sz w:val="24"/>
        </w:rPr>
        <w:t>María del Rosario Mejía Ayala</w:t>
      </w:r>
      <w:r w:rsidRPr="00C63D99">
        <w:rPr>
          <w:rFonts w:ascii="Palatino Linotype" w:eastAsia="MS Mincho" w:hAnsi="Palatino Linotype"/>
          <w:b/>
          <w:sz w:val="24"/>
        </w:rPr>
        <w:t xml:space="preserve"> </w:t>
      </w:r>
      <w:r w:rsidRPr="00C63D99">
        <w:rPr>
          <w:rFonts w:ascii="Palatino Linotype" w:eastAsia="MS Mincho" w:hAnsi="Palatino Linotype"/>
          <w:sz w:val="24"/>
        </w:rPr>
        <w:t xml:space="preserve">a efecto de presentar al Pleno el proyecto de resolución correspondiente y de </w:t>
      </w:r>
      <w:r w:rsidRPr="00C63D99">
        <w:rPr>
          <w:rFonts w:ascii="Palatino Linotype" w:hAnsi="Palatino Linotype" w:cs="Arial"/>
          <w:sz w:val="24"/>
        </w:rPr>
        <w:t xml:space="preserve">conformidad con el numeral ONCE inciso c) de los </w:t>
      </w:r>
      <w:r w:rsidRPr="00C63D99">
        <w:rPr>
          <w:rFonts w:ascii="Palatino Linotype" w:hAnsi="Palatino Linotype" w:cs="Arial"/>
          <w:b/>
          <w:sz w:val="24"/>
        </w:rPr>
        <w:t>Lineamientos para la Recepción, Trámite y Resolución de las Solicitudes de Acceso a la Información Pública, así como de los Recursos de Revisión que Deberán Observar los Sujetos Obligados por la Ley de Transparencia Estatal</w:t>
      </w:r>
      <w:r w:rsidRPr="00C63D99">
        <w:rPr>
          <w:rFonts w:ascii="Palatino Linotype" w:hAnsi="Palatino Linotype" w:cs="Arial"/>
          <w:sz w:val="24"/>
          <w:vertAlign w:val="superscript"/>
        </w:rPr>
        <w:footnoteReference w:id="1"/>
      </w:r>
      <w:r w:rsidRPr="00C63D99">
        <w:rPr>
          <w:rFonts w:ascii="Palatino Linotype" w:hAnsi="Palatino Linotype" w:cs="Arial"/>
          <w:sz w:val="24"/>
        </w:rPr>
        <w:t>, que señala:</w:t>
      </w:r>
    </w:p>
    <w:p w14:paraId="0A9F752A" w14:textId="77777777" w:rsidR="00043374" w:rsidRPr="00C63D99" w:rsidRDefault="00043374" w:rsidP="00043374">
      <w:pPr>
        <w:autoSpaceDE w:val="0"/>
        <w:autoSpaceDN w:val="0"/>
        <w:adjustRightInd w:val="0"/>
        <w:spacing w:before="240" w:after="240" w:line="360" w:lineRule="auto"/>
        <w:ind w:left="567" w:right="567"/>
        <w:contextualSpacing/>
        <w:jc w:val="both"/>
        <w:rPr>
          <w:rFonts w:ascii="Palatino Linotype" w:hAnsi="Palatino Linotype" w:cs="Arial"/>
          <w:i/>
          <w:sz w:val="22"/>
        </w:rPr>
      </w:pPr>
      <w:r w:rsidRPr="00C63D99">
        <w:rPr>
          <w:rFonts w:ascii="Palatino Linotype" w:hAnsi="Palatino Linotype" w:cs="Arial"/>
          <w:b/>
          <w:i/>
          <w:sz w:val="22"/>
        </w:rPr>
        <w:t>ONCE.</w:t>
      </w:r>
      <w:r w:rsidRPr="00C63D99">
        <w:rPr>
          <w:rFonts w:ascii="Palatino Linotype" w:hAnsi="Palatino Linotype" w:cs="Arial"/>
          <w:i/>
          <w:sz w:val="22"/>
        </w:rPr>
        <w:t xml:space="preserve"> El Instituto, para mejor resolver y evitar la emisión de resoluciones contradictorias, podrá acordar la acumulación de los expedientes de recursos de revisión, de oficio o a petición de parte cuando:</w:t>
      </w:r>
    </w:p>
    <w:p w14:paraId="225E7E89" w14:textId="77777777" w:rsidR="00043374" w:rsidRPr="00C63D99" w:rsidRDefault="00043374" w:rsidP="00043374">
      <w:pPr>
        <w:autoSpaceDE w:val="0"/>
        <w:autoSpaceDN w:val="0"/>
        <w:adjustRightInd w:val="0"/>
        <w:spacing w:before="240" w:after="240" w:line="360" w:lineRule="auto"/>
        <w:ind w:left="567" w:right="567"/>
        <w:contextualSpacing/>
        <w:jc w:val="both"/>
        <w:rPr>
          <w:rFonts w:ascii="Palatino Linotype" w:hAnsi="Palatino Linotype" w:cs="Arial"/>
          <w:i/>
          <w:sz w:val="22"/>
        </w:rPr>
      </w:pPr>
      <w:r w:rsidRPr="00C63D99">
        <w:rPr>
          <w:rFonts w:ascii="Palatino Linotype" w:hAnsi="Palatino Linotype" w:cs="Arial"/>
          <w:i/>
          <w:sz w:val="22"/>
        </w:rPr>
        <w:t>…</w:t>
      </w:r>
    </w:p>
    <w:p w14:paraId="1E29230A" w14:textId="77777777" w:rsidR="00043374" w:rsidRPr="00C63D99" w:rsidRDefault="00043374" w:rsidP="00043374">
      <w:pPr>
        <w:autoSpaceDE w:val="0"/>
        <w:autoSpaceDN w:val="0"/>
        <w:adjustRightInd w:val="0"/>
        <w:spacing w:before="240" w:after="240" w:line="360" w:lineRule="auto"/>
        <w:ind w:left="567" w:right="567"/>
        <w:contextualSpacing/>
        <w:jc w:val="both"/>
        <w:rPr>
          <w:rFonts w:ascii="Palatino Linotype" w:hAnsi="Palatino Linotype" w:cs="Arial"/>
          <w:i/>
          <w:sz w:val="22"/>
        </w:rPr>
      </w:pPr>
      <w:r w:rsidRPr="00C63D99">
        <w:rPr>
          <w:rFonts w:ascii="Palatino Linotype" w:hAnsi="Palatino Linotype" w:cs="Arial"/>
          <w:i/>
          <w:sz w:val="22"/>
        </w:rPr>
        <w:lastRenderedPageBreak/>
        <w:t>c) Cuando se trate del mismo solicitante, el mismo SUJETO OBLIGADO, aunque se trate de solicitudes diversas;</w:t>
      </w:r>
    </w:p>
    <w:p w14:paraId="2B32053C" w14:textId="77777777" w:rsidR="00043374" w:rsidRPr="00C63D99" w:rsidRDefault="00043374" w:rsidP="00043374">
      <w:pPr>
        <w:spacing w:before="240" w:after="240" w:line="360" w:lineRule="auto"/>
        <w:ind w:left="567"/>
        <w:contextualSpacing/>
        <w:jc w:val="both"/>
        <w:rPr>
          <w:rFonts w:ascii="Palatino Linotype" w:hAnsi="Palatino Linotype" w:cs="Arial"/>
          <w:i/>
        </w:rPr>
      </w:pPr>
      <w:r w:rsidRPr="00C63D99">
        <w:rPr>
          <w:rFonts w:ascii="Palatino Linotype" w:hAnsi="Palatino Linotype" w:cs="Arial"/>
          <w:i/>
        </w:rPr>
        <w:t>…</w:t>
      </w:r>
    </w:p>
    <w:p w14:paraId="38FF9707" w14:textId="77777777" w:rsidR="00043374" w:rsidRPr="00C63D99" w:rsidRDefault="00043374" w:rsidP="00043374">
      <w:pPr>
        <w:pStyle w:val="Prrafodelista"/>
        <w:numPr>
          <w:ilvl w:val="0"/>
          <w:numId w:val="2"/>
        </w:numPr>
        <w:tabs>
          <w:tab w:val="center" w:pos="567"/>
          <w:tab w:val="right" w:pos="8504"/>
        </w:tabs>
        <w:spacing w:line="360" w:lineRule="auto"/>
        <w:ind w:left="0" w:firstLine="0"/>
        <w:jc w:val="both"/>
        <w:rPr>
          <w:rFonts w:ascii="Palatino Linotype" w:eastAsia="MS Mincho" w:hAnsi="Palatino Linotype"/>
          <w:sz w:val="24"/>
          <w:szCs w:val="28"/>
        </w:rPr>
      </w:pPr>
      <w:r w:rsidRPr="00C63D99">
        <w:rPr>
          <w:rFonts w:ascii="Palatino Linotype" w:eastAsia="MS Mincho" w:hAnsi="Palatino Linotype" w:cs="Arial"/>
          <w:color w:val="000000"/>
          <w:sz w:val="24"/>
          <w:szCs w:val="28"/>
        </w:rPr>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w:t>
      </w:r>
      <w:r w:rsidRPr="00C63D99">
        <w:rPr>
          <w:rFonts w:ascii="Palatino Linotype" w:eastAsia="MS Mincho" w:hAnsi="Palatino Linotype" w:cs="Arial"/>
          <w:color w:val="000000"/>
          <w:sz w:val="24"/>
          <w:szCs w:val="28"/>
          <w:lang w:val="es-ES"/>
        </w:rPr>
        <w:t xml:space="preserve">Código de Procedimientos Administrativos del Estado de México, de aplicación supletoria en términos del </w:t>
      </w:r>
      <w:r w:rsidRPr="00C63D99">
        <w:rPr>
          <w:rFonts w:ascii="Palatino Linotype" w:eastAsia="MS Mincho" w:hAnsi="Palatino Linotype" w:cs="Arial"/>
          <w:color w:val="000000"/>
          <w:sz w:val="24"/>
          <w:szCs w:val="28"/>
        </w:rPr>
        <w:t xml:space="preserve">artículo 195 de </w:t>
      </w:r>
      <w:r w:rsidRPr="00C63D99">
        <w:rPr>
          <w:rFonts w:ascii="Palatino Linotype" w:eastAsia="MS Mincho" w:hAnsi="Palatino Linotype"/>
          <w:sz w:val="24"/>
          <w:szCs w:val="28"/>
        </w:rPr>
        <w:t>la Ley de Transparencia y Acceso a la Información Pública del Estado de México y Municipios en vigor, que a la letra señalan:</w:t>
      </w:r>
    </w:p>
    <w:p w14:paraId="4051C547" w14:textId="77777777" w:rsidR="00043374" w:rsidRPr="00C63D99" w:rsidRDefault="00043374" w:rsidP="00043374">
      <w:pPr>
        <w:tabs>
          <w:tab w:val="center" w:pos="4252"/>
          <w:tab w:val="right" w:pos="8504"/>
        </w:tabs>
        <w:spacing w:line="360" w:lineRule="auto"/>
        <w:jc w:val="both"/>
        <w:rPr>
          <w:rFonts w:ascii="Palatino Linotype" w:eastAsia="MS Mincho" w:hAnsi="Palatino Linotype"/>
        </w:rPr>
      </w:pPr>
    </w:p>
    <w:p w14:paraId="1C0A178D" w14:textId="77777777" w:rsidR="00043374" w:rsidRPr="00C63D99" w:rsidRDefault="00043374" w:rsidP="00A75BBA">
      <w:pPr>
        <w:spacing w:line="360" w:lineRule="auto"/>
        <w:ind w:left="567" w:right="567"/>
        <w:jc w:val="both"/>
        <w:rPr>
          <w:rFonts w:ascii="Palatino Linotype" w:eastAsia="MS Mincho" w:hAnsi="Palatino Linotype" w:cs="Arial"/>
          <w:b/>
          <w:i/>
        </w:rPr>
      </w:pPr>
      <w:r w:rsidRPr="00C63D99">
        <w:rPr>
          <w:rFonts w:ascii="Palatino Linotype" w:eastAsia="MS Mincho" w:hAnsi="Palatino Linotype" w:cs="Arial"/>
          <w:b/>
          <w:i/>
        </w:rPr>
        <w:t>Código de Procedimientos Administrativos del Estado de México</w:t>
      </w:r>
    </w:p>
    <w:p w14:paraId="4A363F22" w14:textId="77777777" w:rsidR="00043374" w:rsidRPr="00C63D99" w:rsidRDefault="00043374" w:rsidP="00A75BBA">
      <w:pPr>
        <w:spacing w:line="360" w:lineRule="auto"/>
        <w:ind w:left="567" w:right="567"/>
        <w:jc w:val="both"/>
        <w:rPr>
          <w:rFonts w:ascii="Palatino Linotype" w:eastAsia="MS Mincho" w:hAnsi="Palatino Linotype" w:cs="Arial"/>
          <w:i/>
          <w:sz w:val="22"/>
        </w:rPr>
      </w:pPr>
      <w:r w:rsidRPr="00C63D99">
        <w:rPr>
          <w:rFonts w:ascii="Palatino Linotype" w:eastAsia="MS Mincho" w:hAnsi="Palatino Linotype" w:cs="Arial"/>
          <w:i/>
          <w:sz w:val="22"/>
        </w:rPr>
        <w:t>“</w:t>
      </w:r>
      <w:r w:rsidRPr="00C63D99">
        <w:rPr>
          <w:rFonts w:ascii="Palatino Linotype" w:eastAsia="MS Mincho" w:hAnsi="Palatino Linotype" w:cs="Arial"/>
          <w:b/>
          <w:i/>
          <w:sz w:val="22"/>
        </w:rPr>
        <w:t>Artículo 18</w:t>
      </w:r>
      <w:r w:rsidRPr="00C63D99">
        <w:rPr>
          <w:rFonts w:ascii="Palatino Linotype" w:eastAsia="MS Mincho" w:hAnsi="Palatino Linotype" w:cs="Arial"/>
          <w:i/>
          <w:sz w:val="22"/>
        </w:rPr>
        <w:t xml:space="preserve">.- </w:t>
      </w:r>
      <w:r w:rsidRPr="00C63D99">
        <w:rPr>
          <w:rFonts w:ascii="Palatino Linotype" w:eastAsia="MS Mincho" w:hAnsi="Palatino Linotype" w:cs="Arial"/>
          <w:b/>
          <w:i/>
          <w:sz w:val="22"/>
        </w:rPr>
        <w:t xml:space="preserve">La autoridad administrativa o el Tribunal </w:t>
      </w:r>
      <w:r w:rsidRPr="00C63D99">
        <w:rPr>
          <w:rFonts w:ascii="Palatino Linotype" w:eastAsia="MS Mincho" w:hAnsi="Palatino Linotype" w:cs="Arial"/>
          <w:b/>
          <w:i/>
          <w:sz w:val="22"/>
          <w:u w:val="single"/>
        </w:rPr>
        <w:t>acordarán la acumulación de los expedientes</w:t>
      </w:r>
      <w:r w:rsidRPr="00C63D99">
        <w:rPr>
          <w:rFonts w:ascii="Palatino Linotype" w:eastAsia="MS Mincho" w:hAnsi="Palatino Linotype" w:cs="Arial"/>
          <w:b/>
          <w:i/>
          <w:sz w:val="22"/>
        </w:rPr>
        <w:t xml:space="preserve"> del procedimiento y proceso administrativo que ante ellos se sigan, de oficio</w:t>
      </w:r>
      <w:r w:rsidRPr="00C63D99">
        <w:rPr>
          <w:rFonts w:ascii="Palatino Linotype" w:eastAsia="MS Mincho" w:hAnsi="Palatino Linotype" w:cs="Arial"/>
          <w:i/>
          <w:sz w:val="22"/>
        </w:rPr>
        <w:t xml:space="preserve"> o a petición de parte, </w:t>
      </w:r>
      <w:r w:rsidRPr="00C63D99">
        <w:rPr>
          <w:rFonts w:ascii="Palatino Linotype" w:eastAsia="MS Mincho" w:hAnsi="Palatino Linotype" w:cs="Arial"/>
          <w:b/>
          <w:i/>
          <w:sz w:val="22"/>
          <w:u w:val="single"/>
        </w:rPr>
        <w:t>cuando las partes</w:t>
      </w:r>
      <w:r w:rsidRPr="00C63D99">
        <w:rPr>
          <w:rFonts w:ascii="Palatino Linotype" w:eastAsia="MS Mincho" w:hAnsi="Palatino Linotype" w:cs="Arial"/>
          <w:i/>
          <w:sz w:val="22"/>
        </w:rPr>
        <w:t xml:space="preserve"> o los actos administrativos </w:t>
      </w:r>
      <w:r w:rsidRPr="00C63D99">
        <w:rPr>
          <w:rFonts w:ascii="Palatino Linotype" w:eastAsia="MS Mincho" w:hAnsi="Palatino Linotype" w:cs="Arial"/>
          <w:b/>
          <w:i/>
          <w:sz w:val="22"/>
          <w:u w:val="single"/>
        </w:rPr>
        <w:t>sean iguales</w:t>
      </w:r>
      <w:r w:rsidRPr="00C63D99">
        <w:rPr>
          <w:rFonts w:ascii="Palatino Linotype" w:eastAsia="MS Mincho" w:hAnsi="Palatino Linotype" w:cs="Arial"/>
          <w:i/>
          <w:sz w:val="22"/>
        </w:rPr>
        <w:t xml:space="preserve">, se trate de actos conexos o </w:t>
      </w:r>
      <w:r w:rsidRPr="00C63D99">
        <w:rPr>
          <w:rFonts w:ascii="Palatino Linotype" w:eastAsia="MS Mincho" w:hAnsi="Palatino Linotype" w:cs="Arial"/>
          <w:b/>
          <w:i/>
          <w:sz w:val="22"/>
          <w:u w:val="single"/>
        </w:rPr>
        <w:t>resulte conveniente el trámite unificado de los asuntos, para evitar la emisión de resoluciones contradictorias</w:t>
      </w:r>
      <w:r w:rsidRPr="00C63D99">
        <w:rPr>
          <w:rFonts w:ascii="Palatino Linotype" w:eastAsia="MS Mincho" w:hAnsi="Palatino Linotype" w:cs="Arial"/>
          <w:i/>
          <w:sz w:val="22"/>
        </w:rPr>
        <w:t>. La misma regla se aplicará, en lo conducente, para la separación de los expedientes.”</w:t>
      </w:r>
    </w:p>
    <w:p w14:paraId="1E20DD0F" w14:textId="77777777" w:rsidR="00043374" w:rsidRPr="00C63D99" w:rsidRDefault="00043374" w:rsidP="00A75BBA">
      <w:pPr>
        <w:spacing w:line="360" w:lineRule="auto"/>
        <w:ind w:left="567" w:right="567"/>
        <w:jc w:val="both"/>
        <w:rPr>
          <w:rFonts w:ascii="Palatino Linotype" w:eastAsia="MS Mincho" w:hAnsi="Palatino Linotype" w:cs="Arial"/>
          <w:i/>
          <w:sz w:val="22"/>
        </w:rPr>
      </w:pPr>
    </w:p>
    <w:p w14:paraId="6DCD5CE4" w14:textId="77777777" w:rsidR="00043374" w:rsidRPr="00C63D99" w:rsidRDefault="00043374" w:rsidP="00A75BBA">
      <w:pPr>
        <w:spacing w:line="360" w:lineRule="auto"/>
        <w:ind w:left="567" w:right="567"/>
        <w:jc w:val="both"/>
        <w:rPr>
          <w:rFonts w:ascii="Palatino Linotype" w:eastAsia="MS Mincho" w:hAnsi="Palatino Linotype" w:cs="Arial"/>
          <w:b/>
          <w:i/>
          <w:sz w:val="22"/>
        </w:rPr>
      </w:pPr>
      <w:r w:rsidRPr="00C63D99">
        <w:rPr>
          <w:rFonts w:ascii="Palatino Linotype" w:eastAsia="MS Mincho" w:hAnsi="Palatino Linotype" w:cs="Arial"/>
          <w:b/>
          <w:i/>
          <w:sz w:val="22"/>
        </w:rPr>
        <w:t xml:space="preserve">Ley de Transparencia y Acceso a la Información Pública del Estado de México y Municipios </w:t>
      </w:r>
    </w:p>
    <w:p w14:paraId="7A718BDD" w14:textId="77777777" w:rsidR="00043374" w:rsidRPr="00C63D99" w:rsidRDefault="00043374" w:rsidP="00A75BBA">
      <w:pPr>
        <w:spacing w:line="360" w:lineRule="auto"/>
        <w:ind w:left="567" w:right="567"/>
        <w:jc w:val="both"/>
        <w:rPr>
          <w:rFonts w:ascii="Palatino Linotype" w:eastAsia="MS Mincho" w:hAnsi="Palatino Linotype" w:cs="Arial"/>
          <w:i/>
          <w:sz w:val="22"/>
        </w:rPr>
      </w:pPr>
      <w:r w:rsidRPr="00C63D99">
        <w:rPr>
          <w:rFonts w:ascii="Palatino Linotype" w:eastAsia="MS Mincho" w:hAnsi="Palatino Linotype" w:cs="Arial"/>
          <w:i/>
          <w:sz w:val="22"/>
        </w:rPr>
        <w:lastRenderedPageBreak/>
        <w:t>“</w:t>
      </w:r>
      <w:r w:rsidRPr="00C63D99">
        <w:rPr>
          <w:rFonts w:ascii="Palatino Linotype" w:eastAsia="MS Mincho" w:hAnsi="Palatino Linotype" w:cs="Arial"/>
          <w:b/>
          <w:i/>
          <w:sz w:val="22"/>
        </w:rPr>
        <w:t xml:space="preserve">Artículo 195. </w:t>
      </w:r>
      <w:r w:rsidRPr="00C63D99">
        <w:rPr>
          <w:rFonts w:ascii="Palatino Linotype" w:eastAsia="MS Mincho" w:hAnsi="Palatino Linotype" w:cs="Arial"/>
          <w:i/>
          <w:sz w:val="22"/>
        </w:rPr>
        <w:t>En la tramitación del recurso de revisión se aplicarán supletoriamente las disposiciones contenidas en el Código de Procedimientos Administrativos del Estado de México.”</w:t>
      </w:r>
    </w:p>
    <w:p w14:paraId="710F92FF" w14:textId="77777777" w:rsidR="00043374" w:rsidRPr="00C63D99" w:rsidRDefault="00043374" w:rsidP="00A75BBA">
      <w:pPr>
        <w:pStyle w:val="Prrafodelista"/>
        <w:spacing w:before="240" w:after="240" w:line="360" w:lineRule="auto"/>
        <w:ind w:left="567"/>
        <w:jc w:val="both"/>
        <w:rPr>
          <w:rFonts w:ascii="Palatino Linotype" w:eastAsia="MS Mincho" w:hAnsi="Palatino Linotype" w:cs="Arial"/>
          <w:i/>
        </w:rPr>
      </w:pPr>
      <w:r w:rsidRPr="00C63D99">
        <w:rPr>
          <w:rFonts w:ascii="Palatino Linotype" w:eastAsia="MS Mincho" w:hAnsi="Palatino Linotype" w:cs="Arial"/>
          <w:i/>
        </w:rPr>
        <w:t>(Énfasis añadido)</w:t>
      </w:r>
    </w:p>
    <w:p w14:paraId="79E9E290" w14:textId="77777777" w:rsidR="00BC6FDD" w:rsidRPr="00C63D99" w:rsidRDefault="00BC6FDD" w:rsidP="00BC6FDD">
      <w:pPr>
        <w:numPr>
          <w:ilvl w:val="0"/>
          <w:numId w:val="2"/>
        </w:numPr>
        <w:tabs>
          <w:tab w:val="left" w:pos="284"/>
        </w:tabs>
        <w:spacing w:before="240" w:after="240" w:line="360" w:lineRule="auto"/>
        <w:ind w:left="0" w:firstLine="0"/>
        <w:contextualSpacing/>
        <w:jc w:val="both"/>
        <w:rPr>
          <w:rFonts w:ascii="Palatino Linotype" w:eastAsiaTheme="minorEastAsia" w:hAnsi="Palatino Linotype"/>
          <w:i/>
          <w:color w:val="000000"/>
          <w:sz w:val="24"/>
          <w:szCs w:val="24"/>
          <w:lang w:val="es-ES_tradnl"/>
        </w:rPr>
      </w:pPr>
      <w:r w:rsidRPr="00C63D99">
        <w:rPr>
          <w:rFonts w:ascii="Palatino Linotype" w:eastAsiaTheme="minorEastAsia" w:hAnsi="Palatino Linotype"/>
          <w:color w:val="000000"/>
          <w:sz w:val="24"/>
          <w:szCs w:val="24"/>
          <w:lang w:val="es-ES_tradnl"/>
        </w:rPr>
        <w:t xml:space="preserve">El </w:t>
      </w:r>
      <w:r w:rsidRPr="00C63D99">
        <w:rPr>
          <w:rFonts w:ascii="Palatino Linotype" w:eastAsiaTheme="minorEastAsia" w:hAnsi="Palatino Linotype"/>
          <w:b/>
          <w:color w:val="000000"/>
          <w:sz w:val="24"/>
          <w:szCs w:val="24"/>
          <w:lang w:val="es-ES_tradnl"/>
        </w:rPr>
        <w:t xml:space="preserve">SUJETO OBLIGADO </w:t>
      </w:r>
      <w:r w:rsidRPr="00C63D99">
        <w:rPr>
          <w:rFonts w:ascii="Palatino Linotype" w:eastAsiaTheme="minorEastAsia" w:hAnsi="Palatino Linotype"/>
          <w:color w:val="000000"/>
          <w:sz w:val="24"/>
          <w:szCs w:val="24"/>
          <w:lang w:val="es-ES_tradnl"/>
        </w:rPr>
        <w:t xml:space="preserve">no rindió informe justificado para manifestar lo que a su derecho conviniera; por su parte el </w:t>
      </w:r>
      <w:r w:rsidRPr="00C63D99">
        <w:rPr>
          <w:rFonts w:ascii="Palatino Linotype" w:eastAsiaTheme="minorEastAsia" w:hAnsi="Palatino Linotype"/>
          <w:b/>
          <w:color w:val="000000"/>
          <w:sz w:val="24"/>
          <w:szCs w:val="24"/>
          <w:lang w:val="es-ES_tradnl"/>
        </w:rPr>
        <w:t xml:space="preserve">RECURRENTE </w:t>
      </w:r>
      <w:r w:rsidRPr="00C63D99">
        <w:rPr>
          <w:rFonts w:ascii="Palatino Linotype" w:eastAsiaTheme="minorEastAsia" w:hAnsi="Palatino Linotype"/>
          <w:color w:val="000000"/>
          <w:sz w:val="24"/>
          <w:szCs w:val="24"/>
          <w:lang w:val="es-ES_tradnl"/>
        </w:rPr>
        <w:t xml:space="preserve">no presentó alegatos ni ofreció medios de prueba, según constancias del Sistema de Acceso a la Información Mexiquense </w:t>
      </w:r>
      <w:r w:rsidRPr="00C63D99">
        <w:rPr>
          <w:rFonts w:ascii="Palatino Linotype" w:eastAsiaTheme="minorEastAsia" w:hAnsi="Palatino Linotype"/>
          <w:b/>
          <w:color w:val="000000"/>
          <w:sz w:val="24"/>
          <w:szCs w:val="24"/>
          <w:lang w:val="es-ES_tradnl"/>
        </w:rPr>
        <w:t xml:space="preserve">SAIMEX, </w:t>
      </w:r>
      <w:r w:rsidRPr="00C63D99">
        <w:rPr>
          <w:rFonts w:ascii="Palatino Linotype" w:eastAsiaTheme="minorEastAsia" w:hAnsi="Palatino Linotype"/>
          <w:bCs/>
          <w:color w:val="000000"/>
          <w:sz w:val="24"/>
          <w:szCs w:val="24"/>
          <w:lang w:val="es-ES_tradnl"/>
        </w:rPr>
        <w:t>se inserta imagen de referencia.</w:t>
      </w:r>
    </w:p>
    <w:p w14:paraId="47932EDD" w14:textId="5ADF5890" w:rsidR="00BC6FDD" w:rsidRPr="00C63D99" w:rsidRDefault="001A3EE2" w:rsidP="00BC6FDD">
      <w:pPr>
        <w:spacing w:before="240" w:after="240" w:line="360" w:lineRule="auto"/>
        <w:jc w:val="both"/>
        <w:rPr>
          <w:rFonts w:ascii="Palatino Linotype" w:hAnsi="Palatino Linotype"/>
          <w:i/>
          <w:color w:val="000000"/>
          <w:sz w:val="24"/>
        </w:rPr>
      </w:pPr>
      <w:r w:rsidRPr="00C63D99">
        <w:rPr>
          <w:noProof/>
        </w:rPr>
        <w:drawing>
          <wp:inline distT="0" distB="0" distL="0" distR="0" wp14:anchorId="00458075" wp14:editId="41A7BBE0">
            <wp:extent cx="5709323" cy="1488558"/>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295" t="49393" r="7059" b="10428"/>
                    <a:stretch/>
                  </pic:blipFill>
                  <pic:spPr bwMode="auto">
                    <a:xfrm>
                      <a:off x="0" y="0"/>
                      <a:ext cx="5734378" cy="1495091"/>
                    </a:xfrm>
                    <a:prstGeom prst="rect">
                      <a:avLst/>
                    </a:prstGeom>
                    <a:ln>
                      <a:noFill/>
                    </a:ln>
                    <a:extLst>
                      <a:ext uri="{53640926-AAD7-44D8-BBD7-CCE9431645EC}">
                        <a14:shadowObscured xmlns:a14="http://schemas.microsoft.com/office/drawing/2010/main"/>
                      </a:ext>
                    </a:extLst>
                  </pic:spPr>
                </pic:pic>
              </a:graphicData>
            </a:graphic>
          </wp:inline>
        </w:drawing>
      </w:r>
    </w:p>
    <w:p w14:paraId="1400DDBA" w14:textId="2BB6B1E7" w:rsidR="001A3EE2" w:rsidRPr="00C63D99" w:rsidRDefault="001A3EE2" w:rsidP="00BC6FDD">
      <w:pPr>
        <w:spacing w:before="240" w:after="240" w:line="360" w:lineRule="auto"/>
        <w:jc w:val="both"/>
        <w:rPr>
          <w:rFonts w:ascii="Palatino Linotype" w:hAnsi="Palatino Linotype"/>
          <w:i/>
          <w:color w:val="000000"/>
          <w:sz w:val="24"/>
        </w:rPr>
      </w:pPr>
      <w:r w:rsidRPr="00C63D99">
        <w:rPr>
          <w:noProof/>
        </w:rPr>
        <w:drawing>
          <wp:inline distT="0" distB="0" distL="0" distR="0" wp14:anchorId="52B6B9E3" wp14:editId="561204B0">
            <wp:extent cx="5706846" cy="155235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666" t="48405" r="6874" b="9766"/>
                    <a:stretch/>
                  </pic:blipFill>
                  <pic:spPr bwMode="auto">
                    <a:xfrm>
                      <a:off x="0" y="0"/>
                      <a:ext cx="5717532" cy="1555261"/>
                    </a:xfrm>
                    <a:prstGeom prst="rect">
                      <a:avLst/>
                    </a:prstGeom>
                    <a:ln>
                      <a:noFill/>
                    </a:ln>
                    <a:extLst>
                      <a:ext uri="{53640926-AAD7-44D8-BBD7-CCE9431645EC}">
                        <a14:shadowObscured xmlns:a14="http://schemas.microsoft.com/office/drawing/2010/main"/>
                      </a:ext>
                    </a:extLst>
                  </pic:spPr>
                </pic:pic>
              </a:graphicData>
            </a:graphic>
          </wp:inline>
        </w:drawing>
      </w:r>
    </w:p>
    <w:p w14:paraId="1AD3A6B7" w14:textId="02B0A41E" w:rsidR="001A3EE2" w:rsidRPr="00C63D99" w:rsidRDefault="001A3EE2" w:rsidP="00BC6FDD">
      <w:pPr>
        <w:spacing w:before="240" w:after="240" w:line="360" w:lineRule="auto"/>
        <w:jc w:val="both"/>
        <w:rPr>
          <w:rFonts w:ascii="Palatino Linotype" w:hAnsi="Palatino Linotype"/>
          <w:i/>
          <w:color w:val="000000"/>
          <w:sz w:val="24"/>
        </w:rPr>
      </w:pPr>
    </w:p>
    <w:p w14:paraId="4D94C71F" w14:textId="6C820160" w:rsidR="001A3EE2" w:rsidRPr="00C63D99" w:rsidRDefault="001A3EE2" w:rsidP="00BC6FDD">
      <w:pPr>
        <w:spacing w:before="240" w:after="240" w:line="360" w:lineRule="auto"/>
        <w:jc w:val="both"/>
        <w:rPr>
          <w:rFonts w:ascii="Palatino Linotype" w:hAnsi="Palatino Linotype"/>
          <w:i/>
          <w:color w:val="000000"/>
          <w:sz w:val="24"/>
        </w:rPr>
      </w:pPr>
      <w:r w:rsidRPr="00C63D99">
        <w:rPr>
          <w:noProof/>
        </w:rPr>
        <w:lastRenderedPageBreak/>
        <w:drawing>
          <wp:inline distT="0" distB="0" distL="0" distR="0" wp14:anchorId="5A9E416C" wp14:editId="424BAEE9">
            <wp:extent cx="5656521" cy="1833266"/>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740" t="29636" r="7429" b="20312"/>
                    <a:stretch/>
                  </pic:blipFill>
                  <pic:spPr bwMode="auto">
                    <a:xfrm>
                      <a:off x="0" y="0"/>
                      <a:ext cx="5665963" cy="1836326"/>
                    </a:xfrm>
                    <a:prstGeom prst="rect">
                      <a:avLst/>
                    </a:prstGeom>
                    <a:ln>
                      <a:noFill/>
                    </a:ln>
                    <a:extLst>
                      <a:ext uri="{53640926-AAD7-44D8-BBD7-CCE9431645EC}">
                        <a14:shadowObscured xmlns:a14="http://schemas.microsoft.com/office/drawing/2010/main"/>
                      </a:ext>
                    </a:extLst>
                  </pic:spPr>
                </pic:pic>
              </a:graphicData>
            </a:graphic>
          </wp:inline>
        </w:drawing>
      </w:r>
    </w:p>
    <w:p w14:paraId="527BACD2" w14:textId="5C896815" w:rsidR="001A3EE2" w:rsidRPr="00C63D99" w:rsidRDefault="001A3EE2" w:rsidP="00BC6FDD">
      <w:pPr>
        <w:spacing w:before="240" w:after="240" w:line="360" w:lineRule="auto"/>
        <w:jc w:val="both"/>
        <w:rPr>
          <w:rFonts w:ascii="Palatino Linotype" w:hAnsi="Palatino Linotype"/>
          <w:i/>
          <w:color w:val="000000"/>
          <w:sz w:val="24"/>
        </w:rPr>
      </w:pPr>
      <w:r w:rsidRPr="00C63D99">
        <w:rPr>
          <w:noProof/>
        </w:rPr>
        <w:drawing>
          <wp:inline distT="0" distB="0" distL="0" distR="0" wp14:anchorId="36F06CFA" wp14:editId="4B7C8390">
            <wp:extent cx="5518298" cy="1847467"/>
            <wp:effectExtent l="0" t="0" r="635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110" t="28648" r="7614" b="19980"/>
                    <a:stretch/>
                  </pic:blipFill>
                  <pic:spPr bwMode="auto">
                    <a:xfrm>
                      <a:off x="0" y="0"/>
                      <a:ext cx="5524404" cy="1849511"/>
                    </a:xfrm>
                    <a:prstGeom prst="rect">
                      <a:avLst/>
                    </a:prstGeom>
                    <a:ln>
                      <a:noFill/>
                    </a:ln>
                    <a:extLst>
                      <a:ext uri="{53640926-AAD7-44D8-BBD7-CCE9431645EC}">
                        <a14:shadowObscured xmlns:a14="http://schemas.microsoft.com/office/drawing/2010/main"/>
                      </a:ext>
                    </a:extLst>
                  </pic:spPr>
                </pic:pic>
              </a:graphicData>
            </a:graphic>
          </wp:inline>
        </w:drawing>
      </w:r>
    </w:p>
    <w:p w14:paraId="1E6AE4B1" w14:textId="25BD8C0C" w:rsidR="00BE47E2" w:rsidRPr="00C63D99" w:rsidRDefault="00BE47E2" w:rsidP="00BC6FDD">
      <w:pPr>
        <w:spacing w:before="240" w:after="240" w:line="360" w:lineRule="auto"/>
        <w:jc w:val="both"/>
        <w:rPr>
          <w:rFonts w:ascii="Palatino Linotype" w:hAnsi="Palatino Linotype"/>
          <w:i/>
          <w:color w:val="000000"/>
          <w:sz w:val="24"/>
        </w:rPr>
      </w:pPr>
      <w:r w:rsidRPr="00C63D99">
        <w:rPr>
          <w:noProof/>
        </w:rPr>
        <w:drawing>
          <wp:inline distT="0" distB="0" distL="0" distR="0" wp14:anchorId="73B27BAD" wp14:editId="276EFD61">
            <wp:extent cx="5562399" cy="1818167"/>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851" t="29965" r="7614" b="20309"/>
                    <a:stretch/>
                  </pic:blipFill>
                  <pic:spPr bwMode="auto">
                    <a:xfrm>
                      <a:off x="0" y="0"/>
                      <a:ext cx="5572083" cy="1821332"/>
                    </a:xfrm>
                    <a:prstGeom prst="rect">
                      <a:avLst/>
                    </a:prstGeom>
                    <a:ln>
                      <a:noFill/>
                    </a:ln>
                    <a:extLst>
                      <a:ext uri="{53640926-AAD7-44D8-BBD7-CCE9431645EC}">
                        <a14:shadowObscured xmlns:a14="http://schemas.microsoft.com/office/drawing/2010/main"/>
                      </a:ext>
                    </a:extLst>
                  </pic:spPr>
                </pic:pic>
              </a:graphicData>
            </a:graphic>
          </wp:inline>
        </w:drawing>
      </w:r>
    </w:p>
    <w:p w14:paraId="23DC60AD" w14:textId="77777777" w:rsidR="00BC6FDD" w:rsidRPr="00C63D99" w:rsidRDefault="00BC6FDD" w:rsidP="00BC6FDD">
      <w:pPr>
        <w:pStyle w:val="Prrafodelista"/>
        <w:numPr>
          <w:ilvl w:val="0"/>
          <w:numId w:val="2"/>
        </w:numPr>
        <w:tabs>
          <w:tab w:val="left" w:pos="284"/>
        </w:tabs>
        <w:spacing w:line="360" w:lineRule="auto"/>
        <w:ind w:left="0" w:firstLine="0"/>
        <w:jc w:val="both"/>
        <w:rPr>
          <w:rFonts w:ascii="Palatino Linotype" w:hAnsi="Palatino Linotype" w:cs="Arial"/>
          <w:sz w:val="24"/>
        </w:rPr>
      </w:pPr>
      <w:r w:rsidRPr="00C63D99">
        <w:rPr>
          <w:rFonts w:ascii="Palatino Linotype" w:hAnsi="Palatino Linotype" w:cs="Arial"/>
          <w:color w:val="222222"/>
          <w:sz w:val="24"/>
        </w:rPr>
        <w:lastRenderedPageBreak/>
        <w:t>Ante la omisión de rendir informe justificado, se tiene que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14:paraId="587596A7" w14:textId="77777777" w:rsidR="00BC6FDD" w:rsidRPr="00C63D99" w:rsidRDefault="00BC6FDD" w:rsidP="00BC6FDD">
      <w:pPr>
        <w:pStyle w:val="Prrafodelista"/>
        <w:tabs>
          <w:tab w:val="left" w:pos="284"/>
        </w:tabs>
        <w:spacing w:line="360" w:lineRule="auto"/>
        <w:ind w:left="0"/>
        <w:jc w:val="both"/>
        <w:rPr>
          <w:rFonts w:ascii="Palatino Linotype" w:hAnsi="Palatino Linotype" w:cs="Arial"/>
        </w:rPr>
      </w:pPr>
    </w:p>
    <w:p w14:paraId="32215B49" w14:textId="77777777" w:rsidR="00BC6FDD" w:rsidRPr="00C63D99" w:rsidRDefault="00BC6FDD" w:rsidP="00BC6FDD">
      <w:pPr>
        <w:pStyle w:val="m1609377113336227858gmail-msonormal"/>
        <w:shd w:val="clear" w:color="auto" w:fill="FFFFFF"/>
        <w:tabs>
          <w:tab w:val="left" w:pos="284"/>
        </w:tabs>
        <w:spacing w:before="0" w:beforeAutospacing="0" w:after="0" w:afterAutospacing="0" w:line="360" w:lineRule="auto"/>
        <w:ind w:left="567" w:right="567"/>
        <w:jc w:val="both"/>
        <w:rPr>
          <w:rFonts w:ascii="Palatino Linotype" w:hAnsi="Palatino Linotype" w:cs="Arial"/>
          <w:i/>
          <w:iCs/>
          <w:color w:val="222222"/>
          <w:lang w:val="es-ES_tradnl"/>
        </w:rPr>
      </w:pPr>
      <w:r w:rsidRPr="00C63D99">
        <w:rPr>
          <w:rFonts w:ascii="Palatino Linotype" w:hAnsi="Palatino Linotype" w:cs="Arial"/>
          <w:b/>
          <w:bCs/>
          <w:i/>
          <w:iCs/>
          <w:color w:val="222222"/>
          <w:sz w:val="22"/>
          <w:lang w:val="es-ES_tradnl"/>
        </w:rPr>
        <w:t>QUEJA, RECURSO DE. LA OMISION DE RENDIR EL INFORME RESPECTIVO NO IMPIDE QUE SE RESUELV</w:t>
      </w:r>
      <w:r w:rsidRPr="00C63D99">
        <w:rPr>
          <w:rFonts w:ascii="Palatino Linotype" w:hAnsi="Palatino Linotype" w:cs="Arial"/>
          <w:i/>
          <w:iCs/>
          <w:color w:val="222222"/>
          <w:sz w:val="22"/>
          <w:lang w:val="es-ES_tradnl"/>
        </w:rPr>
        <w:t xml:space="preserve">A.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w:t>
      </w:r>
      <w:proofErr w:type="gramStart"/>
      <w:r w:rsidRPr="00C63D99">
        <w:rPr>
          <w:rFonts w:ascii="Palatino Linotype" w:hAnsi="Palatino Linotype" w:cs="Arial"/>
          <w:i/>
          <w:iCs/>
          <w:color w:val="222222"/>
          <w:sz w:val="22"/>
          <w:lang w:val="es-ES_tradnl"/>
        </w:rPr>
        <w:t>Abril</w:t>
      </w:r>
      <w:proofErr w:type="gramEnd"/>
      <w:r w:rsidRPr="00C63D99">
        <w:rPr>
          <w:rFonts w:ascii="Palatino Linotype" w:hAnsi="Palatino Linotype" w:cs="Arial"/>
          <w:i/>
          <w:iCs/>
          <w:color w:val="222222"/>
          <w:sz w:val="22"/>
          <w:lang w:val="es-ES_tradnl"/>
        </w:rPr>
        <w:t xml:space="preserve"> de 1996. Página: 207.</w:t>
      </w:r>
    </w:p>
    <w:p w14:paraId="44B7D876" w14:textId="77777777" w:rsidR="00BC6FDD" w:rsidRPr="00C63D99" w:rsidRDefault="00BC6FDD" w:rsidP="00BC6FDD">
      <w:pPr>
        <w:pStyle w:val="m1609377113336227858gmail-msonormal"/>
        <w:shd w:val="clear" w:color="auto" w:fill="FFFFFF"/>
        <w:tabs>
          <w:tab w:val="left" w:pos="284"/>
        </w:tabs>
        <w:spacing w:before="0" w:beforeAutospacing="0" w:after="0" w:afterAutospacing="0" w:line="360" w:lineRule="auto"/>
        <w:ind w:right="567"/>
        <w:jc w:val="both"/>
        <w:rPr>
          <w:rFonts w:ascii="Palatino Linotype" w:hAnsi="Palatino Linotype" w:cs="Arial"/>
          <w:color w:val="222222"/>
          <w:sz w:val="19"/>
          <w:szCs w:val="19"/>
        </w:rPr>
      </w:pPr>
    </w:p>
    <w:p w14:paraId="5BF7F1A5" w14:textId="77777777" w:rsidR="00BC6FDD" w:rsidRPr="00C63D99" w:rsidRDefault="00BC6FDD" w:rsidP="00BC6FDD">
      <w:pPr>
        <w:pStyle w:val="Prrafodelista"/>
        <w:numPr>
          <w:ilvl w:val="0"/>
          <w:numId w:val="2"/>
        </w:numPr>
        <w:tabs>
          <w:tab w:val="left" w:pos="284"/>
        </w:tabs>
        <w:spacing w:line="360" w:lineRule="auto"/>
        <w:ind w:left="0" w:firstLine="0"/>
        <w:jc w:val="both"/>
        <w:rPr>
          <w:rFonts w:ascii="Palatino Linotype" w:hAnsi="Palatino Linotype" w:cs="Arial"/>
          <w:b/>
          <w:bCs/>
          <w:sz w:val="24"/>
          <w:lang w:eastAsia="es-MX"/>
        </w:rPr>
      </w:pPr>
      <w:r w:rsidRPr="00C63D99">
        <w:rPr>
          <w:rFonts w:ascii="Palatino Linotype" w:hAnsi="Palatino Linotype" w:cs="Arial"/>
          <w:color w:val="222222"/>
          <w:sz w:val="24"/>
        </w:rPr>
        <w:lastRenderedPageBreak/>
        <w:t>Por lo cual se reitera, que la falta de informe justificado no impide que este Órgano Garante conozca y resuelva el recurso de revisión, solo propicia que el </w:t>
      </w:r>
      <w:r w:rsidRPr="00C63D99">
        <w:rPr>
          <w:rFonts w:ascii="Palatino Linotype" w:hAnsi="Palatino Linotype" w:cs="Arial"/>
          <w:b/>
          <w:bCs/>
          <w:color w:val="222222"/>
          <w:sz w:val="24"/>
        </w:rPr>
        <w:t>SUJETO OBLIGADO</w:t>
      </w:r>
      <w:r w:rsidRPr="00C63D99">
        <w:rPr>
          <w:rFonts w:ascii="Palatino Linotype" w:hAnsi="Palatino Linotype" w:cs="Arial"/>
          <w:color w:val="222222"/>
          <w:sz w:val="24"/>
        </w:rPr>
        <w:t> pierda la oportunidad de justificar su falta de respuesta y manifestar lo que a su derecho convenga.</w:t>
      </w:r>
    </w:p>
    <w:p w14:paraId="4A76603E" w14:textId="77777777" w:rsidR="00E65B7C" w:rsidRPr="00C63D99" w:rsidRDefault="00E65B7C" w:rsidP="00E65B7C">
      <w:pPr>
        <w:pStyle w:val="Prrafodelista"/>
        <w:spacing w:before="240" w:after="240" w:line="360" w:lineRule="auto"/>
        <w:ind w:left="0"/>
        <w:jc w:val="both"/>
        <w:rPr>
          <w:rFonts w:ascii="Palatino Linotype" w:hAnsi="Palatino Linotype"/>
          <w:i/>
          <w:color w:val="000000"/>
          <w:sz w:val="24"/>
        </w:rPr>
      </w:pPr>
    </w:p>
    <w:p w14:paraId="04016115" w14:textId="16845332" w:rsidR="00BC6FDD" w:rsidRPr="00C63D99" w:rsidRDefault="00DD7DC3" w:rsidP="005C290B">
      <w:pPr>
        <w:pStyle w:val="Prrafodelista"/>
        <w:numPr>
          <w:ilvl w:val="0"/>
          <w:numId w:val="3"/>
        </w:numPr>
        <w:spacing w:line="360" w:lineRule="auto"/>
        <w:ind w:left="0" w:firstLine="0"/>
        <w:jc w:val="both"/>
        <w:rPr>
          <w:rFonts w:ascii="Palatino Linotype" w:hAnsi="Palatino Linotype" w:cs="Tahoma"/>
          <w:sz w:val="24"/>
        </w:rPr>
      </w:pPr>
      <w:r w:rsidRPr="00C63D99">
        <w:rPr>
          <w:rFonts w:ascii="Palatino Linotype" w:eastAsia="Calibri" w:hAnsi="Palatino Linotype" w:cs="Arial"/>
          <w:sz w:val="24"/>
          <w:lang w:val="es-ES"/>
        </w:rPr>
        <w:t xml:space="preserve">El día </w:t>
      </w:r>
      <w:r w:rsidR="004F1E2D" w:rsidRPr="00C63D99">
        <w:rPr>
          <w:rFonts w:ascii="Palatino Linotype" w:eastAsia="Calibri" w:hAnsi="Palatino Linotype" w:cs="Arial"/>
          <w:sz w:val="24"/>
          <w:lang w:val="es-ES"/>
        </w:rPr>
        <w:t xml:space="preserve">once (11) y catorce (14) </w:t>
      </w:r>
      <w:r w:rsidR="005000AA" w:rsidRPr="00C63D99">
        <w:rPr>
          <w:rFonts w:ascii="Palatino Linotype" w:eastAsia="Calibri" w:hAnsi="Palatino Linotype" w:cs="Arial"/>
          <w:sz w:val="24"/>
          <w:lang w:val="es-ES"/>
        </w:rPr>
        <w:t xml:space="preserve">de </w:t>
      </w:r>
      <w:r w:rsidR="004F1E2D" w:rsidRPr="00C63D99">
        <w:rPr>
          <w:rFonts w:ascii="Palatino Linotype" w:eastAsia="Calibri" w:hAnsi="Palatino Linotype" w:cs="Arial"/>
          <w:sz w:val="24"/>
          <w:lang w:val="es-ES"/>
        </w:rPr>
        <w:t>marzo</w:t>
      </w:r>
      <w:r w:rsidR="00E65B7C" w:rsidRPr="00C63D99">
        <w:rPr>
          <w:rFonts w:ascii="Palatino Linotype" w:eastAsia="Calibri" w:hAnsi="Palatino Linotype" w:cs="Arial"/>
          <w:sz w:val="24"/>
          <w:lang w:val="es-ES"/>
        </w:rPr>
        <w:t xml:space="preserve"> de </w:t>
      </w:r>
      <w:r w:rsidR="00D73603" w:rsidRPr="00C63D99">
        <w:rPr>
          <w:rFonts w:ascii="Palatino Linotype" w:eastAsia="Calibri" w:hAnsi="Palatino Linotype" w:cs="Arial"/>
          <w:sz w:val="24"/>
          <w:lang w:val="es-ES"/>
        </w:rPr>
        <w:t>dos mil veinti</w:t>
      </w:r>
      <w:r w:rsidR="0021453D" w:rsidRPr="00C63D99">
        <w:rPr>
          <w:rFonts w:ascii="Palatino Linotype" w:eastAsia="Calibri" w:hAnsi="Palatino Linotype" w:cs="Arial"/>
          <w:sz w:val="24"/>
          <w:lang w:val="es-ES"/>
        </w:rPr>
        <w:t>dós</w:t>
      </w:r>
      <w:r w:rsidR="00D73603" w:rsidRPr="00C63D99">
        <w:rPr>
          <w:rFonts w:ascii="Palatino Linotype" w:eastAsia="Calibri" w:hAnsi="Palatino Linotype" w:cs="Arial"/>
          <w:sz w:val="24"/>
          <w:lang w:val="es-ES"/>
        </w:rPr>
        <w:t>, la</w:t>
      </w:r>
      <w:r w:rsidR="005000AA" w:rsidRPr="00C63D99">
        <w:rPr>
          <w:rFonts w:ascii="Palatino Linotype" w:hAnsi="Palatino Linotype"/>
          <w:sz w:val="24"/>
        </w:rPr>
        <w:t xml:space="preserve"> Comisionad</w:t>
      </w:r>
      <w:r w:rsidR="00D73603" w:rsidRPr="00C63D99">
        <w:rPr>
          <w:rFonts w:ascii="Palatino Linotype" w:hAnsi="Palatino Linotype"/>
          <w:sz w:val="24"/>
        </w:rPr>
        <w:t>a</w:t>
      </w:r>
      <w:r w:rsidR="005000AA" w:rsidRPr="00C63D99">
        <w:rPr>
          <w:rFonts w:ascii="Palatino Linotype" w:hAnsi="Palatino Linotype"/>
          <w:sz w:val="24"/>
        </w:rPr>
        <w:t xml:space="preserve"> Ponente decretó el cierre de instrucción</w:t>
      </w:r>
      <w:r w:rsidR="005000AA" w:rsidRPr="00C63D99">
        <w:rPr>
          <w:rFonts w:ascii="Palatino Linotype" w:hAnsi="Palatino Linotype" w:cs="Arial"/>
          <w:sz w:val="24"/>
        </w:rPr>
        <w:t>.</w:t>
      </w:r>
      <w:r w:rsidR="005000AA" w:rsidRPr="00C63D99">
        <w:rPr>
          <w:rFonts w:ascii="Palatino Linotype" w:hAnsi="Palatino Linotype" w:cs="Tahoma"/>
          <w:sz w:val="24"/>
        </w:rPr>
        <w:t xml:space="preserve"> </w:t>
      </w:r>
      <w:r w:rsidR="003C497F" w:rsidRPr="00C63D99">
        <w:rPr>
          <w:rFonts w:ascii="Palatino Linotype" w:hAnsi="Palatino Linotype" w:cs="Tahoma"/>
          <w:sz w:val="24"/>
        </w:rPr>
        <w:t xml:space="preserve">Por lo que turnó la presente resolución </w:t>
      </w:r>
      <w:r w:rsidR="003C5753" w:rsidRPr="00C63D99">
        <w:rPr>
          <w:rFonts w:ascii="Palatino Linotype" w:hAnsi="Palatino Linotype" w:cs="Tahoma"/>
          <w:sz w:val="24"/>
        </w:rPr>
        <w:t>para su aprobación.</w:t>
      </w:r>
    </w:p>
    <w:p w14:paraId="0F9176A0" w14:textId="77777777" w:rsidR="005000AA" w:rsidRPr="00C63D99" w:rsidRDefault="005000AA" w:rsidP="005000AA">
      <w:pPr>
        <w:pStyle w:val="Ttulo1"/>
        <w:jc w:val="center"/>
        <w:rPr>
          <w:rFonts w:ascii="Palatino Linotype" w:hAnsi="Palatino Linotype"/>
          <w:b/>
          <w:color w:val="auto"/>
          <w:sz w:val="24"/>
          <w:szCs w:val="24"/>
        </w:rPr>
      </w:pPr>
      <w:bookmarkStart w:id="4" w:name="_Toc87549672"/>
      <w:r w:rsidRPr="00C63D99">
        <w:rPr>
          <w:rFonts w:ascii="Palatino Linotype" w:hAnsi="Palatino Linotype"/>
          <w:b/>
          <w:color w:val="auto"/>
          <w:sz w:val="24"/>
          <w:szCs w:val="24"/>
        </w:rPr>
        <w:t>CONSIDERANDO</w:t>
      </w:r>
      <w:bookmarkEnd w:id="4"/>
      <w:r w:rsidRPr="00C63D99">
        <w:rPr>
          <w:rFonts w:ascii="Palatino Linotype" w:hAnsi="Palatino Linotype"/>
          <w:b/>
          <w:color w:val="auto"/>
          <w:sz w:val="24"/>
          <w:szCs w:val="24"/>
        </w:rPr>
        <w:t xml:space="preserve"> </w:t>
      </w:r>
    </w:p>
    <w:p w14:paraId="5A808AC6" w14:textId="77777777" w:rsidR="005000AA" w:rsidRPr="00C63D99" w:rsidRDefault="005000AA" w:rsidP="005000AA">
      <w:pPr>
        <w:rPr>
          <w:rFonts w:ascii="Palatino Linotype" w:hAnsi="Palatino Linotype"/>
          <w:sz w:val="24"/>
          <w:szCs w:val="24"/>
          <w:lang w:eastAsia="en-US"/>
        </w:rPr>
      </w:pPr>
    </w:p>
    <w:p w14:paraId="1058C60B" w14:textId="77777777" w:rsidR="005000AA" w:rsidRPr="00C63D99" w:rsidRDefault="005000AA" w:rsidP="005000AA">
      <w:pPr>
        <w:pStyle w:val="Ttulo2"/>
        <w:rPr>
          <w:rFonts w:ascii="Palatino Linotype" w:hAnsi="Palatino Linotype"/>
          <w:b/>
          <w:bCs/>
          <w:color w:val="auto"/>
          <w:spacing w:val="60"/>
          <w:sz w:val="24"/>
          <w:szCs w:val="24"/>
          <w:lang w:eastAsia="en-US"/>
        </w:rPr>
      </w:pPr>
      <w:bookmarkStart w:id="5" w:name="_Toc87549673"/>
      <w:r w:rsidRPr="00C63D99">
        <w:rPr>
          <w:rFonts w:ascii="Palatino Linotype" w:hAnsi="Palatino Linotype"/>
          <w:b/>
          <w:color w:val="auto"/>
          <w:sz w:val="24"/>
          <w:szCs w:val="24"/>
        </w:rPr>
        <w:t>PRIMERO. De la competencia</w:t>
      </w:r>
      <w:bookmarkEnd w:id="5"/>
    </w:p>
    <w:p w14:paraId="38B24DFE" w14:textId="3BFE7192" w:rsidR="005000AA" w:rsidRPr="00C63D99" w:rsidRDefault="005000AA" w:rsidP="005000AA">
      <w:pPr>
        <w:pStyle w:val="Prrafodelista"/>
        <w:numPr>
          <w:ilvl w:val="0"/>
          <w:numId w:val="3"/>
        </w:numPr>
        <w:spacing w:before="240" w:after="240" w:line="360" w:lineRule="auto"/>
        <w:ind w:left="0" w:firstLine="0"/>
        <w:jc w:val="both"/>
        <w:rPr>
          <w:rFonts w:ascii="Palatino Linotype" w:hAnsi="Palatino Linotype"/>
          <w:sz w:val="24"/>
        </w:rPr>
      </w:pPr>
      <w:r w:rsidRPr="00C63D99">
        <w:rPr>
          <w:rFonts w:ascii="Palatino Linotype" w:eastAsia="Calibri" w:hAnsi="Palatino Linotype"/>
          <w:sz w:val="24"/>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C63D99">
        <w:rPr>
          <w:rFonts w:ascii="Palatino Linotype" w:eastAsia="Calibri" w:hAnsi="Palatino Linotype"/>
          <w:b/>
          <w:sz w:val="24"/>
          <w:lang w:val="es-ES"/>
        </w:rPr>
        <w:t>Constitución Política de los Estados Unidos Mexicanos</w:t>
      </w:r>
      <w:r w:rsidRPr="00C63D99">
        <w:rPr>
          <w:rFonts w:ascii="Palatino Linotype" w:eastAsia="Calibri" w:hAnsi="Palatino Linotype"/>
          <w:sz w:val="24"/>
          <w:lang w:val="es-ES"/>
        </w:rPr>
        <w:t xml:space="preserve">; 5, párrafos </w:t>
      </w:r>
      <w:r w:rsidRPr="00C63D99">
        <w:rPr>
          <w:rFonts w:ascii="Palatino Linotype" w:hAnsi="Palatino Linotype" w:cs="Arial"/>
          <w:bCs/>
          <w:color w:val="222222"/>
          <w:sz w:val="24"/>
          <w:lang w:val="es-ES"/>
        </w:rPr>
        <w:t>trigésimo y trigésimo primero fracciones</w:t>
      </w:r>
      <w:r w:rsidRPr="00C63D99">
        <w:rPr>
          <w:rFonts w:ascii="Palatino Linotype" w:eastAsia="Calibri" w:hAnsi="Palatino Linotype"/>
          <w:sz w:val="24"/>
          <w:lang w:val="es-ES"/>
        </w:rPr>
        <w:t xml:space="preserve"> IV y V de la </w:t>
      </w:r>
      <w:r w:rsidRPr="00C63D99">
        <w:rPr>
          <w:rFonts w:ascii="Palatino Linotype" w:eastAsia="Calibri" w:hAnsi="Palatino Linotype"/>
          <w:b/>
          <w:sz w:val="24"/>
          <w:lang w:val="es-ES"/>
        </w:rPr>
        <w:t>Constitución Política del Estado Libre y Soberano de México</w:t>
      </w:r>
      <w:r w:rsidRPr="00C63D99">
        <w:rPr>
          <w:rFonts w:ascii="Palatino Linotype" w:eastAsia="Calibri" w:hAnsi="Palatino Linotype"/>
          <w:sz w:val="24"/>
          <w:lang w:val="es-ES"/>
        </w:rPr>
        <w:t xml:space="preserve">; artículos 1, 2 fracción II, 13, 29, 36 fracciones I y II, 176, 178, 179, 181 párrafo tercero y 185 </w:t>
      </w:r>
      <w:r w:rsidRPr="00C63D99">
        <w:rPr>
          <w:rFonts w:ascii="Palatino Linotype" w:eastAsia="Calibri" w:hAnsi="Palatino Linotype" w:cs="Arial"/>
          <w:sz w:val="24"/>
          <w:lang w:val="es-ES"/>
        </w:rPr>
        <w:t xml:space="preserve">de la </w:t>
      </w:r>
      <w:r w:rsidRPr="00C63D99">
        <w:rPr>
          <w:rFonts w:ascii="Palatino Linotype" w:eastAsia="Calibri" w:hAnsi="Palatino Linotype" w:cs="Arial"/>
          <w:b/>
          <w:sz w:val="24"/>
          <w:lang w:val="es-ES"/>
        </w:rPr>
        <w:t>Ley de Transparencia y Acceso a la Información Pública del Estado de México y Municipios</w:t>
      </w:r>
      <w:r w:rsidRPr="00C63D99">
        <w:rPr>
          <w:rFonts w:ascii="Palatino Linotype" w:eastAsia="Calibri" w:hAnsi="Palatino Linotype" w:cs="Arial"/>
          <w:sz w:val="24"/>
          <w:lang w:val="es-ES"/>
        </w:rPr>
        <w:t xml:space="preserve">; y 7, 9 fracciones I y XXIV, y 11 del </w:t>
      </w:r>
      <w:r w:rsidRPr="00C63D99">
        <w:rPr>
          <w:rFonts w:ascii="Palatino Linotype" w:eastAsia="Calibri" w:hAnsi="Palatino Linotype" w:cs="Arial"/>
          <w:b/>
          <w:sz w:val="24"/>
          <w:lang w:val="es-ES"/>
        </w:rPr>
        <w:t>Reglamento Interior del Instituto de Transparencia, Acceso a la Información Pública y Protección de Datos Personales del Estado de México y Municipios</w:t>
      </w:r>
      <w:r w:rsidRPr="00C63D99">
        <w:rPr>
          <w:rFonts w:ascii="Palatino Linotype" w:hAnsi="Palatino Linotype"/>
          <w:sz w:val="24"/>
        </w:rPr>
        <w:t>.</w:t>
      </w:r>
    </w:p>
    <w:p w14:paraId="6D296A9A" w14:textId="77777777" w:rsidR="005000AA" w:rsidRPr="00C63D99" w:rsidRDefault="005000AA" w:rsidP="005000AA">
      <w:pPr>
        <w:pStyle w:val="Ttulo2"/>
        <w:rPr>
          <w:rFonts w:ascii="Palatino Linotype" w:hAnsi="Palatino Linotype"/>
          <w:b/>
          <w:color w:val="auto"/>
          <w:sz w:val="24"/>
          <w:szCs w:val="24"/>
        </w:rPr>
      </w:pPr>
      <w:bookmarkStart w:id="6" w:name="_Toc87549674"/>
      <w:r w:rsidRPr="00C63D99">
        <w:rPr>
          <w:rFonts w:ascii="Palatino Linotype" w:hAnsi="Palatino Linotype"/>
          <w:b/>
          <w:color w:val="auto"/>
          <w:sz w:val="24"/>
          <w:szCs w:val="24"/>
        </w:rPr>
        <w:lastRenderedPageBreak/>
        <w:t>SEGUNDO. De la oportunidad y procedencia.</w:t>
      </w:r>
      <w:bookmarkEnd w:id="6"/>
    </w:p>
    <w:p w14:paraId="53051EF8" w14:textId="77777777" w:rsidR="00BC6FDD" w:rsidRPr="00C63D99" w:rsidRDefault="00BC6FDD" w:rsidP="00BC6FDD">
      <w:pPr>
        <w:numPr>
          <w:ilvl w:val="0"/>
          <w:numId w:val="2"/>
        </w:numPr>
        <w:tabs>
          <w:tab w:val="left" w:pos="284"/>
        </w:tabs>
        <w:spacing w:before="240" w:after="240" w:line="360" w:lineRule="auto"/>
        <w:ind w:left="0" w:firstLine="0"/>
        <w:contextualSpacing/>
        <w:jc w:val="both"/>
        <w:rPr>
          <w:rFonts w:ascii="Palatino Linotype" w:hAnsi="Palatino Linotype" w:cs="Arial"/>
          <w:color w:val="000000"/>
          <w:sz w:val="24"/>
          <w:szCs w:val="24"/>
          <w:lang w:val="es-ES_tradnl"/>
        </w:rPr>
      </w:pPr>
      <w:r w:rsidRPr="00C63D99">
        <w:rPr>
          <w:rFonts w:ascii="Palatino Linotype" w:eastAsia="Calibri" w:hAnsi="Palatino Linotype" w:cs="Arial"/>
          <w:sz w:val="24"/>
          <w:szCs w:val="24"/>
          <w:lang w:val="es-ES"/>
        </w:rPr>
        <w:t xml:space="preserve">Es de precisar, que la Ley de Transparencia y Acceso a la Información Pública del Estado de México y Municipios, en el artículo 178 describe la procedencia del recurso de revisión, asimismo señala que el plazo del </w:t>
      </w:r>
      <w:r w:rsidRPr="00C63D99">
        <w:rPr>
          <w:rFonts w:ascii="Palatino Linotype" w:eastAsia="Calibri" w:hAnsi="Palatino Linotype" w:cs="Arial"/>
          <w:b/>
          <w:sz w:val="24"/>
          <w:szCs w:val="24"/>
          <w:lang w:val="es-ES"/>
        </w:rPr>
        <w:t>SUJETO OBLIGADO</w:t>
      </w:r>
      <w:r w:rsidRPr="00C63D99">
        <w:rPr>
          <w:rFonts w:ascii="Palatino Linotype" w:eastAsia="Calibri" w:hAnsi="Palatino Linotype" w:cs="Arial"/>
          <w:sz w:val="24"/>
          <w:szCs w:val="24"/>
          <w:lang w:val="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0681E777" w14:textId="77777777" w:rsidR="00BC6FDD" w:rsidRPr="00C63D99" w:rsidRDefault="00BC6FDD" w:rsidP="00BC6FDD">
      <w:pPr>
        <w:tabs>
          <w:tab w:val="left" w:pos="284"/>
        </w:tabs>
        <w:spacing w:before="240" w:after="240" w:line="360" w:lineRule="auto"/>
        <w:contextualSpacing/>
        <w:jc w:val="both"/>
        <w:rPr>
          <w:rFonts w:ascii="Palatino Linotype" w:hAnsi="Palatino Linotype" w:cs="Arial"/>
          <w:color w:val="000000"/>
          <w:sz w:val="24"/>
          <w:szCs w:val="24"/>
          <w:lang w:val="es-ES_tradnl"/>
        </w:rPr>
      </w:pPr>
    </w:p>
    <w:p w14:paraId="40996BC4" w14:textId="77777777" w:rsidR="00BC6FDD" w:rsidRPr="00C63D99" w:rsidRDefault="00BC6FDD" w:rsidP="00BC6FDD">
      <w:pPr>
        <w:numPr>
          <w:ilvl w:val="0"/>
          <w:numId w:val="2"/>
        </w:numPr>
        <w:tabs>
          <w:tab w:val="left" w:pos="284"/>
        </w:tabs>
        <w:spacing w:before="240" w:after="240" w:line="360" w:lineRule="auto"/>
        <w:ind w:left="0" w:firstLine="0"/>
        <w:contextualSpacing/>
        <w:jc w:val="both"/>
        <w:rPr>
          <w:rFonts w:ascii="Palatino Linotype" w:hAnsi="Palatino Linotype" w:cs="Arial"/>
          <w:color w:val="000000"/>
          <w:sz w:val="24"/>
          <w:szCs w:val="24"/>
          <w:lang w:val="es-ES_tradnl"/>
        </w:rPr>
      </w:pPr>
      <w:r w:rsidRPr="00C63D99">
        <w:rPr>
          <w:rFonts w:ascii="Palatino Linotype" w:eastAsia="Calibri" w:hAnsi="Palatino Linotype" w:cs="Arial"/>
          <w:sz w:val="24"/>
          <w:szCs w:val="24"/>
          <w:lang w:val="es-ES"/>
        </w:rPr>
        <w:t xml:space="preserve">Por ende, se constituye la figura jurídica de la </w:t>
      </w:r>
      <w:r w:rsidRPr="00C63D99">
        <w:rPr>
          <w:rFonts w:ascii="Palatino Linotype" w:eastAsia="Calibri" w:hAnsi="Palatino Linotype" w:cs="Arial"/>
          <w:i/>
          <w:sz w:val="24"/>
          <w:szCs w:val="24"/>
          <w:lang w:val="es-ES"/>
        </w:rPr>
        <w:t>negativa ficta</w:t>
      </w:r>
      <w:r w:rsidRPr="00C63D99">
        <w:rPr>
          <w:rFonts w:ascii="Palatino Linotype" w:eastAsia="Calibri" w:hAnsi="Palatino Linotype" w:cs="Arial"/>
          <w:sz w:val="24"/>
          <w:szCs w:val="24"/>
          <w:lang w:val="es-ES"/>
        </w:rPr>
        <w:t xml:space="preserve">, cuya esencia es atribuir un efecto negativo al silencio de la autoridad administrativa frente a las instancias y solicitudes que hagan los particulares, lo cual encuentra sustento en lo que establece el artículo </w:t>
      </w:r>
      <w:r w:rsidRPr="00C63D99">
        <w:rPr>
          <w:rFonts w:ascii="Palatino Linotype" w:eastAsia="Calibri" w:hAnsi="Palatino Linotype" w:cs="Arial"/>
          <w:b/>
          <w:sz w:val="24"/>
          <w:szCs w:val="24"/>
          <w:lang w:val="es-ES"/>
        </w:rPr>
        <w:t>178</w:t>
      </w:r>
      <w:r w:rsidRPr="00C63D99">
        <w:rPr>
          <w:rFonts w:ascii="Palatino Linotype" w:eastAsia="Calibri" w:hAnsi="Palatino Linotype" w:cs="Arial"/>
          <w:sz w:val="24"/>
          <w:szCs w:val="24"/>
          <w:lang w:val="es-ES"/>
        </w:rPr>
        <w:t xml:space="preserve"> segundo párrafo de </w:t>
      </w:r>
      <w:r w:rsidRPr="00C63D99">
        <w:rPr>
          <w:rFonts w:ascii="Palatino Linotype" w:eastAsia="Calibri" w:hAnsi="Palatino Linotype" w:cs="Arial"/>
          <w:b/>
          <w:sz w:val="24"/>
          <w:szCs w:val="24"/>
          <w:lang w:val="es-ES"/>
        </w:rPr>
        <w:t>Ley de Transparencia y Acceso a la Información Pública del Estado de México y Municipios</w:t>
      </w:r>
      <w:r w:rsidRPr="00C63D99">
        <w:rPr>
          <w:rFonts w:ascii="Palatino Linotype" w:eastAsia="Calibri" w:hAnsi="Palatino Linotype"/>
          <w:color w:val="000000"/>
          <w:sz w:val="24"/>
          <w:szCs w:val="24"/>
          <w:shd w:val="clear" w:color="auto" w:fill="FFFFFF"/>
        </w:rPr>
        <w:t xml:space="preserve">, que dispone; ante la falta de respuesta del </w:t>
      </w:r>
      <w:r w:rsidRPr="00C63D99">
        <w:rPr>
          <w:rFonts w:ascii="Palatino Linotype" w:eastAsia="Calibri" w:hAnsi="Palatino Linotype"/>
          <w:b/>
          <w:color w:val="000000"/>
          <w:sz w:val="24"/>
          <w:szCs w:val="24"/>
          <w:shd w:val="clear" w:color="auto" w:fill="FFFFFF"/>
        </w:rPr>
        <w:t>SUJETO OBLIGADO,</w:t>
      </w:r>
      <w:r w:rsidRPr="00C63D99">
        <w:rPr>
          <w:rFonts w:ascii="Palatino Linotype" w:eastAsia="Calibri" w:hAnsi="Palatino Linotype"/>
          <w:color w:val="000000"/>
          <w:sz w:val="24"/>
          <w:szCs w:val="24"/>
          <w:shd w:val="clear" w:color="auto" w:fill="FFFFFF"/>
        </w:rPr>
        <w:t xml:space="preserve"> dentro de los plazos establecidos en esta Ley, a una solicitud de acceso a la información pública, el recurso </w:t>
      </w:r>
      <w:r w:rsidRPr="00C63D99">
        <w:rPr>
          <w:rFonts w:ascii="Palatino Linotype" w:eastAsia="Calibri" w:hAnsi="Palatino Linotype"/>
          <w:b/>
          <w:color w:val="000000"/>
          <w:sz w:val="24"/>
          <w:szCs w:val="24"/>
          <w:shd w:val="clear" w:color="auto" w:fill="FFFFFF"/>
        </w:rPr>
        <w:t xml:space="preserve">podrá ser interpuesto en cualquier momento. </w:t>
      </w:r>
    </w:p>
    <w:p w14:paraId="58C80622" w14:textId="77777777" w:rsidR="00BC6FDD" w:rsidRPr="00C63D99" w:rsidRDefault="00BC6FDD" w:rsidP="00BC6FDD">
      <w:pPr>
        <w:tabs>
          <w:tab w:val="left" w:pos="284"/>
        </w:tabs>
        <w:contextualSpacing/>
        <w:rPr>
          <w:rFonts w:ascii="Palatino Linotype" w:hAnsi="Palatino Linotype" w:cs="Arial"/>
          <w:color w:val="000000"/>
          <w:sz w:val="24"/>
          <w:szCs w:val="24"/>
          <w:lang w:val="es-ES_tradnl"/>
        </w:rPr>
      </w:pPr>
    </w:p>
    <w:p w14:paraId="0CA02E95" w14:textId="77777777" w:rsidR="00BC6FDD" w:rsidRPr="00C63D99" w:rsidRDefault="00BC6FDD" w:rsidP="00BC6FDD">
      <w:pPr>
        <w:numPr>
          <w:ilvl w:val="0"/>
          <w:numId w:val="2"/>
        </w:numPr>
        <w:tabs>
          <w:tab w:val="left" w:pos="284"/>
        </w:tabs>
        <w:spacing w:before="240" w:after="240" w:line="360" w:lineRule="auto"/>
        <w:ind w:left="0" w:firstLine="0"/>
        <w:contextualSpacing/>
        <w:jc w:val="both"/>
        <w:rPr>
          <w:rFonts w:ascii="Palatino Linotype" w:hAnsi="Palatino Linotype" w:cs="Arial"/>
          <w:color w:val="000000"/>
          <w:sz w:val="24"/>
          <w:szCs w:val="24"/>
          <w:lang w:val="es-ES_tradnl"/>
        </w:rPr>
      </w:pPr>
      <w:r w:rsidRPr="00C63D99">
        <w:rPr>
          <w:rFonts w:ascii="Palatino Linotype" w:eastAsia="Calibri" w:hAnsi="Palatino Linotype" w:cs="Arial"/>
          <w:sz w:val="24"/>
          <w:szCs w:val="24"/>
          <w:lang w:val="es-ES"/>
        </w:rPr>
        <w:t xml:space="preserve">Por lo que, tratándose de la </w:t>
      </w:r>
      <w:r w:rsidRPr="00C63D99">
        <w:rPr>
          <w:rFonts w:ascii="Palatino Linotype" w:eastAsia="Calibri" w:hAnsi="Palatino Linotype" w:cs="Arial"/>
          <w:i/>
          <w:sz w:val="24"/>
          <w:szCs w:val="24"/>
          <w:lang w:val="es-ES"/>
        </w:rPr>
        <w:t>negativa ficta</w:t>
      </w:r>
      <w:r w:rsidRPr="00C63D99">
        <w:rPr>
          <w:rFonts w:ascii="Palatino Linotype" w:eastAsia="Calibri" w:hAnsi="Palatino Linotype" w:cs="Arial"/>
          <w:sz w:val="24"/>
          <w:szCs w:val="24"/>
          <w:lang w:val="es-ES"/>
        </w:rPr>
        <w:t xml:space="preserve"> no existe respuesta que se haga del conocimiento al particular, a partir de la cual pueda computarse el plazo legal </w:t>
      </w:r>
      <w:r w:rsidRPr="00C63D99">
        <w:rPr>
          <w:rFonts w:ascii="Palatino Linotype" w:eastAsia="Calibri" w:hAnsi="Palatino Linotype" w:cs="Arial"/>
          <w:sz w:val="24"/>
          <w:szCs w:val="24"/>
          <w:lang w:val="es-ES"/>
        </w:rPr>
        <w:lastRenderedPageBreak/>
        <w:t xml:space="preserve">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C63D99">
        <w:rPr>
          <w:rFonts w:ascii="Palatino Linotype" w:eastAsia="Calibri" w:hAnsi="Palatino Linotype" w:cs="Arial"/>
          <w:i/>
          <w:sz w:val="24"/>
          <w:szCs w:val="24"/>
          <w:lang w:val="es-ES"/>
        </w:rPr>
        <w:t>negativa ficta</w:t>
      </w:r>
      <w:r w:rsidRPr="00C63D99">
        <w:rPr>
          <w:rFonts w:ascii="Palatino Linotype" w:eastAsia="Calibri" w:hAnsi="Palatino Linotype" w:cs="Arial"/>
          <w:sz w:val="24"/>
          <w:szCs w:val="24"/>
          <w:lang w:val="es-ES"/>
        </w:rPr>
        <w:t>, que señala:</w:t>
      </w:r>
    </w:p>
    <w:p w14:paraId="7827B0A4" w14:textId="77777777" w:rsidR="00BC6FDD" w:rsidRPr="00C63D99" w:rsidRDefault="00BC6FDD" w:rsidP="00396CF5">
      <w:pPr>
        <w:tabs>
          <w:tab w:val="left" w:pos="284"/>
          <w:tab w:val="left" w:pos="7655"/>
        </w:tabs>
        <w:spacing w:before="240" w:after="240" w:line="360" w:lineRule="auto"/>
        <w:ind w:left="567" w:right="822"/>
        <w:jc w:val="center"/>
        <w:rPr>
          <w:rFonts w:ascii="Palatino Linotype" w:eastAsia="Calibri" w:hAnsi="Palatino Linotype" w:cs="Arial"/>
          <w:b/>
          <w:sz w:val="24"/>
          <w:szCs w:val="24"/>
          <w:lang w:val="es-ES"/>
        </w:rPr>
      </w:pPr>
      <w:r w:rsidRPr="00C63D99">
        <w:rPr>
          <w:rFonts w:ascii="Palatino Linotype" w:eastAsia="Calibri" w:hAnsi="Palatino Linotype" w:cs="Arial"/>
          <w:b/>
          <w:sz w:val="24"/>
          <w:szCs w:val="24"/>
          <w:lang w:val="es-ES"/>
        </w:rPr>
        <w:t>Criterio 0001-15</w:t>
      </w:r>
    </w:p>
    <w:p w14:paraId="25B06B5B" w14:textId="77777777" w:rsidR="00BC6FDD" w:rsidRPr="00C63D99" w:rsidRDefault="00BC6FDD" w:rsidP="00396CF5">
      <w:pPr>
        <w:tabs>
          <w:tab w:val="left" w:pos="284"/>
          <w:tab w:val="left" w:pos="7655"/>
        </w:tabs>
        <w:spacing w:before="240" w:after="240" w:line="360" w:lineRule="auto"/>
        <w:ind w:left="567" w:right="822"/>
        <w:jc w:val="both"/>
        <w:rPr>
          <w:rFonts w:ascii="Palatino Linotype" w:eastAsia="Calibri" w:hAnsi="Palatino Linotype" w:cs="Arial"/>
          <w:i/>
          <w:sz w:val="24"/>
          <w:szCs w:val="24"/>
          <w:lang w:val="es-ES"/>
        </w:rPr>
      </w:pPr>
      <w:r w:rsidRPr="00C63D99">
        <w:rPr>
          <w:rFonts w:ascii="Palatino Linotype" w:eastAsia="Calibri" w:hAnsi="Palatino Linotype" w:cs="Arial"/>
          <w:b/>
          <w:i/>
          <w:sz w:val="24"/>
          <w:szCs w:val="24"/>
          <w:lang w:val="es-ES"/>
        </w:rPr>
        <w:t>NEGATIVA FICTA. PLAZO PARA INTERPONER EL RECURSO DE REVISIÓN TRATÁNDOSE DE.</w:t>
      </w:r>
      <w:r w:rsidRPr="00C63D99">
        <w:rPr>
          <w:rFonts w:ascii="Palatino Linotype" w:eastAsia="Calibri" w:hAnsi="Palatino Linotype" w:cs="Arial"/>
          <w:i/>
          <w:sz w:val="24"/>
          <w:szCs w:val="24"/>
          <w:lang w:val="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w:t>
      </w:r>
      <w:r w:rsidRPr="00C63D99">
        <w:rPr>
          <w:rFonts w:ascii="Palatino Linotype" w:eastAsia="Calibri" w:hAnsi="Palatino Linotype" w:cs="Arial"/>
          <w:i/>
          <w:sz w:val="24"/>
          <w:szCs w:val="24"/>
          <w:lang w:val="es-ES"/>
        </w:rPr>
        <w:lastRenderedPageBreak/>
        <w:t>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7C134B8F" w14:textId="77777777" w:rsidR="00BC6FDD" w:rsidRPr="00C63D99" w:rsidRDefault="00BC6FDD" w:rsidP="00BC6FDD">
      <w:pPr>
        <w:numPr>
          <w:ilvl w:val="0"/>
          <w:numId w:val="2"/>
        </w:numPr>
        <w:tabs>
          <w:tab w:val="left" w:pos="284"/>
        </w:tabs>
        <w:spacing w:before="240" w:after="240" w:line="360" w:lineRule="auto"/>
        <w:ind w:left="0" w:firstLine="0"/>
        <w:contextualSpacing/>
        <w:jc w:val="both"/>
        <w:rPr>
          <w:rFonts w:ascii="Palatino Linotype" w:hAnsi="Palatino Linotype" w:cs="Arial"/>
          <w:color w:val="000000" w:themeColor="text1"/>
          <w:sz w:val="24"/>
          <w:szCs w:val="24"/>
          <w:lang w:val="es-ES" w:eastAsia="es-MX"/>
        </w:rPr>
      </w:pPr>
      <w:r w:rsidRPr="00C63D99">
        <w:rPr>
          <w:rFonts w:ascii="Palatino Linotype" w:hAnsi="Palatino Linotype" w:cs="Arial"/>
          <w:color w:val="000000" w:themeColor="text1"/>
          <w:sz w:val="24"/>
          <w:szCs w:val="24"/>
          <w:lang w:val="es-ES" w:eastAsia="es-MX"/>
        </w:rPr>
        <w:t xml:space="preserve">Lo anterior, se explica porque la </w:t>
      </w:r>
      <w:r w:rsidRPr="00C63D99">
        <w:rPr>
          <w:rFonts w:ascii="Palatino Linotype" w:hAnsi="Palatino Linotype" w:cs="Arial"/>
          <w:b/>
          <w:color w:val="000000" w:themeColor="text1"/>
          <w:sz w:val="24"/>
          <w:szCs w:val="24"/>
          <w:u w:val="single"/>
          <w:lang w:val="es-ES" w:eastAsia="es-MX"/>
        </w:rPr>
        <w:t>posible ausencia</w:t>
      </w:r>
      <w:r w:rsidRPr="00C63D99">
        <w:rPr>
          <w:rFonts w:ascii="Palatino Linotype" w:hAnsi="Palatino Linotype" w:cs="Arial"/>
          <w:color w:val="000000" w:themeColor="text1"/>
          <w:sz w:val="24"/>
          <w:szCs w:val="24"/>
          <w:lang w:val="es-ES" w:eastAsia="es-MX"/>
        </w:rPr>
        <w:t xml:space="preserve"> de una respuesta en la solicitud constituye un acto que vulnera el derecho de manera continua y actualizable cada día en tanto, no se emita la respuesta a la que esté impuesto el </w:t>
      </w:r>
      <w:r w:rsidRPr="00C63D99">
        <w:rPr>
          <w:rFonts w:ascii="Palatino Linotype" w:hAnsi="Palatino Linotype" w:cs="Arial"/>
          <w:b/>
          <w:color w:val="000000" w:themeColor="text1"/>
          <w:sz w:val="24"/>
          <w:szCs w:val="24"/>
          <w:lang w:val="es-ES" w:eastAsia="es-MX"/>
        </w:rPr>
        <w:t>SUJETO OBLIGADO</w:t>
      </w:r>
      <w:r w:rsidRPr="00C63D99">
        <w:rPr>
          <w:rFonts w:ascii="Palatino Linotype" w:hAnsi="Palatino Linotype" w:cs="Arial"/>
          <w:color w:val="000000" w:themeColor="text1"/>
          <w:sz w:val="24"/>
          <w:szCs w:val="24"/>
          <w:lang w:val="es-ES" w:eastAsia="es-MX"/>
        </w:rPr>
        <w:t>.</w:t>
      </w:r>
    </w:p>
    <w:p w14:paraId="0B46B46C" w14:textId="77777777" w:rsidR="00BC6FDD" w:rsidRPr="00C63D99" w:rsidRDefault="00BC6FDD" w:rsidP="00BC6FDD">
      <w:pPr>
        <w:tabs>
          <w:tab w:val="left" w:pos="284"/>
        </w:tabs>
        <w:contextualSpacing/>
        <w:rPr>
          <w:rFonts w:ascii="Palatino Linotype" w:hAnsi="Palatino Linotype" w:cs="Arial"/>
          <w:color w:val="000000" w:themeColor="text1"/>
          <w:sz w:val="24"/>
          <w:szCs w:val="24"/>
          <w:lang w:val="es-ES" w:eastAsia="es-MX"/>
        </w:rPr>
      </w:pPr>
    </w:p>
    <w:p w14:paraId="13CB5EC4" w14:textId="77777777" w:rsidR="00BC6FDD" w:rsidRPr="00C63D99" w:rsidRDefault="00BC6FDD" w:rsidP="00BC6FDD">
      <w:pPr>
        <w:numPr>
          <w:ilvl w:val="0"/>
          <w:numId w:val="2"/>
        </w:numPr>
        <w:tabs>
          <w:tab w:val="left" w:pos="284"/>
        </w:tabs>
        <w:spacing w:before="240" w:after="240" w:line="360" w:lineRule="auto"/>
        <w:ind w:left="0" w:right="49" w:firstLine="0"/>
        <w:contextualSpacing/>
        <w:jc w:val="both"/>
        <w:rPr>
          <w:rFonts w:ascii="Palatino Linotype" w:eastAsiaTheme="minorEastAsia" w:hAnsi="Palatino Linotype" w:cs="Arial"/>
          <w:b/>
          <w:sz w:val="24"/>
          <w:szCs w:val="24"/>
          <w:lang w:val="es-ES_tradnl"/>
        </w:rPr>
      </w:pPr>
      <w:r w:rsidRPr="00C63D99">
        <w:rPr>
          <w:rFonts w:ascii="Palatino Linotype" w:eastAsia="Calibri" w:hAnsi="Palatino Linotype" w:cs="Arial"/>
          <w:sz w:val="24"/>
          <w:szCs w:val="24"/>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2851EBB" w14:textId="415C1767" w:rsidR="005000AA" w:rsidRPr="00C63D99" w:rsidRDefault="005000AA" w:rsidP="005000AA">
      <w:pPr>
        <w:pStyle w:val="Ttulo1"/>
        <w:rPr>
          <w:rFonts w:ascii="Palatino Linotype" w:eastAsia="MS Mincho" w:hAnsi="Palatino Linotype" w:cs="Times New Roman"/>
          <w:b/>
          <w:color w:val="auto"/>
          <w:sz w:val="24"/>
          <w:szCs w:val="24"/>
        </w:rPr>
      </w:pPr>
      <w:bookmarkStart w:id="7" w:name="_Toc87549675"/>
      <w:r w:rsidRPr="00C63D99">
        <w:rPr>
          <w:rFonts w:ascii="Palatino Linotype" w:hAnsi="Palatino Linotype"/>
          <w:b/>
          <w:color w:val="auto"/>
          <w:sz w:val="24"/>
          <w:szCs w:val="24"/>
        </w:rPr>
        <w:t>TERCERO. Planteamiento de la Litis</w:t>
      </w:r>
      <w:bookmarkEnd w:id="7"/>
      <w:r w:rsidRPr="00C63D99">
        <w:rPr>
          <w:rFonts w:ascii="Palatino Linotype" w:hAnsi="Palatino Linotype"/>
          <w:b/>
          <w:color w:val="auto"/>
          <w:sz w:val="24"/>
          <w:szCs w:val="24"/>
        </w:rPr>
        <w:t xml:space="preserve"> </w:t>
      </w:r>
    </w:p>
    <w:p w14:paraId="7501CD4B" w14:textId="77777777" w:rsidR="00495DAC" w:rsidRPr="00C63D99" w:rsidRDefault="005000AA" w:rsidP="005000AA">
      <w:pPr>
        <w:pStyle w:val="Prrafodelista"/>
        <w:numPr>
          <w:ilvl w:val="0"/>
          <w:numId w:val="3"/>
        </w:numPr>
        <w:spacing w:before="240" w:after="240" w:line="360" w:lineRule="auto"/>
        <w:ind w:left="0" w:right="49" w:firstLine="0"/>
        <w:jc w:val="both"/>
        <w:rPr>
          <w:rFonts w:ascii="Palatino Linotype" w:hAnsi="Palatino Linotype"/>
          <w:i/>
          <w:sz w:val="24"/>
          <w:lang w:eastAsia="es-MX"/>
        </w:rPr>
      </w:pPr>
      <w:r w:rsidRPr="00C63D99">
        <w:rPr>
          <w:rFonts w:ascii="Palatino Linotype" w:hAnsi="Palatino Linotype"/>
          <w:bCs/>
          <w:sz w:val="24"/>
        </w:rPr>
        <w:t>El recurrente solicitó</w:t>
      </w:r>
      <w:r w:rsidR="00495DAC" w:rsidRPr="00C63D99">
        <w:rPr>
          <w:rFonts w:ascii="Palatino Linotype" w:hAnsi="Palatino Linotype"/>
          <w:bCs/>
          <w:sz w:val="24"/>
        </w:rPr>
        <w:t xml:space="preserve"> lo siguiente:</w:t>
      </w:r>
    </w:p>
    <w:p w14:paraId="5C683311" w14:textId="19D212B7" w:rsidR="004F1E2D" w:rsidRPr="00C63D99" w:rsidRDefault="004F1E2D" w:rsidP="004F1E2D">
      <w:pPr>
        <w:ind w:left="567" w:right="567"/>
        <w:jc w:val="both"/>
        <w:rPr>
          <w:rFonts w:ascii="Palatino Linotype" w:eastAsia="Calibri" w:hAnsi="Palatino Linotype" w:cs="Arial"/>
          <w:i/>
          <w:sz w:val="24"/>
          <w:szCs w:val="24"/>
          <w:lang w:val="es-ES"/>
        </w:rPr>
      </w:pPr>
      <w:r w:rsidRPr="00C63D99">
        <w:rPr>
          <w:rFonts w:ascii="Palatino Linotype" w:eastAsia="Calibri" w:hAnsi="Palatino Linotype" w:cs="Arial"/>
          <w:i/>
          <w:sz w:val="24"/>
          <w:szCs w:val="24"/>
          <w:lang w:val="es-ES"/>
        </w:rPr>
        <w:t>“</w:t>
      </w:r>
      <w:r w:rsidRPr="00C63D99">
        <w:rPr>
          <w:rFonts w:ascii="Palatino Linotype" w:hAnsi="Palatino Linotype"/>
          <w:i/>
          <w:sz w:val="24"/>
          <w:szCs w:val="24"/>
          <w:lang w:eastAsia="es-MX"/>
        </w:rPr>
        <w:t xml:space="preserve">Solicito copia fiel, VIA SAIMEX en versión digital, de todos y cada uno de los oficios generados por las regidurías primera, segunda, tercera, cuarta, quinta, sexta, séptima, octava y novena del Ayuntamiento de Metepec, que fueron, elaborados y/o </w:t>
      </w:r>
      <w:r w:rsidRPr="00C63D99">
        <w:rPr>
          <w:rFonts w:ascii="Palatino Linotype" w:hAnsi="Palatino Linotype"/>
          <w:i/>
          <w:sz w:val="24"/>
          <w:szCs w:val="24"/>
          <w:lang w:eastAsia="es-MX"/>
        </w:rPr>
        <w:lastRenderedPageBreak/>
        <w:t>emitidos entre el primero de enero y el treinta y uno de enero de dos mil veintidós.</w:t>
      </w:r>
      <w:r w:rsidRPr="00C63D99">
        <w:rPr>
          <w:rFonts w:ascii="Palatino Linotype" w:eastAsia="Calibri" w:hAnsi="Palatino Linotype" w:cs="Arial"/>
          <w:i/>
          <w:sz w:val="24"/>
          <w:szCs w:val="24"/>
          <w:lang w:val="es-ES"/>
        </w:rPr>
        <w:t>” (Sic)</w:t>
      </w:r>
    </w:p>
    <w:p w14:paraId="2B24BAE4" w14:textId="77777777" w:rsidR="004F1E2D" w:rsidRPr="00C63D99" w:rsidRDefault="004F1E2D" w:rsidP="004F1E2D">
      <w:pPr>
        <w:ind w:left="567" w:right="567"/>
        <w:jc w:val="both"/>
        <w:rPr>
          <w:rFonts w:ascii="Palatino Linotype" w:eastAsia="Calibri" w:hAnsi="Palatino Linotype" w:cs="Arial"/>
          <w:i/>
          <w:sz w:val="24"/>
          <w:szCs w:val="24"/>
          <w:lang w:val="es-ES"/>
        </w:rPr>
      </w:pPr>
    </w:p>
    <w:p w14:paraId="410706B6" w14:textId="77777777" w:rsidR="004F1E2D" w:rsidRPr="00C63D99" w:rsidRDefault="004F1E2D" w:rsidP="004F1E2D">
      <w:pPr>
        <w:ind w:left="567" w:right="567"/>
        <w:jc w:val="both"/>
        <w:rPr>
          <w:rFonts w:ascii="Palatino Linotype" w:eastAsia="Calibri" w:hAnsi="Palatino Linotype" w:cs="Arial"/>
          <w:i/>
          <w:sz w:val="24"/>
          <w:szCs w:val="24"/>
          <w:lang w:val="es-ES"/>
        </w:rPr>
      </w:pPr>
      <w:r w:rsidRPr="00C63D99">
        <w:rPr>
          <w:rFonts w:ascii="Palatino Linotype" w:eastAsia="Calibri" w:hAnsi="Palatino Linotype" w:cs="Arial"/>
          <w:i/>
          <w:sz w:val="24"/>
          <w:szCs w:val="24"/>
          <w:lang w:val="es-ES"/>
        </w:rPr>
        <w:t>“</w:t>
      </w:r>
      <w:r w:rsidRPr="00C63D99">
        <w:rPr>
          <w:rFonts w:ascii="Palatino Linotype" w:hAnsi="Palatino Linotype"/>
          <w:i/>
          <w:sz w:val="24"/>
          <w:szCs w:val="24"/>
          <w:lang w:eastAsia="es-MX"/>
        </w:rPr>
        <w:t>Solicito copia fiel, VIA SAIMEX en versión digital, de todos y cada uno de los oficios generados por la Presidencia y la Secretaría del Ayuntamiento de Metepec, que fueron elaborados y/o emitidos entre el primero de enero y el treinta y uno de enero de dos mil veintidós.</w:t>
      </w:r>
      <w:r w:rsidRPr="00C63D99">
        <w:rPr>
          <w:rFonts w:ascii="Palatino Linotype" w:eastAsia="Calibri" w:hAnsi="Palatino Linotype" w:cs="Arial"/>
          <w:i/>
          <w:sz w:val="24"/>
          <w:szCs w:val="24"/>
          <w:lang w:val="es-ES"/>
        </w:rPr>
        <w:t>” (Sic)</w:t>
      </w:r>
    </w:p>
    <w:p w14:paraId="2619B8A0" w14:textId="77777777" w:rsidR="004F1E2D" w:rsidRPr="00C63D99" w:rsidRDefault="004F1E2D" w:rsidP="004F1E2D">
      <w:pPr>
        <w:ind w:left="567" w:right="567"/>
        <w:jc w:val="both"/>
        <w:rPr>
          <w:rFonts w:ascii="Palatino Linotype" w:eastAsia="Calibri" w:hAnsi="Palatino Linotype" w:cs="Arial"/>
          <w:b/>
          <w:sz w:val="24"/>
          <w:lang w:val="es-ES"/>
        </w:rPr>
      </w:pPr>
    </w:p>
    <w:p w14:paraId="1AE01795" w14:textId="77777777" w:rsidR="004F1E2D" w:rsidRPr="00C63D99" w:rsidRDefault="004F1E2D" w:rsidP="004F1E2D">
      <w:pPr>
        <w:ind w:left="567" w:right="567"/>
        <w:jc w:val="both"/>
        <w:rPr>
          <w:rFonts w:ascii="Palatino Linotype" w:eastAsia="Calibri" w:hAnsi="Palatino Linotype" w:cs="Arial"/>
          <w:i/>
          <w:sz w:val="24"/>
          <w:szCs w:val="24"/>
          <w:lang w:val="es-ES"/>
        </w:rPr>
      </w:pPr>
      <w:r w:rsidRPr="00C63D99">
        <w:rPr>
          <w:rFonts w:ascii="Palatino Linotype" w:eastAsia="Calibri" w:hAnsi="Palatino Linotype" w:cs="Arial"/>
          <w:i/>
          <w:sz w:val="24"/>
          <w:szCs w:val="24"/>
          <w:lang w:val="es-ES"/>
        </w:rPr>
        <w:t>“</w:t>
      </w:r>
      <w:r w:rsidRPr="00C63D99">
        <w:rPr>
          <w:rFonts w:ascii="Palatino Linotype" w:hAnsi="Palatino Linotype"/>
          <w:i/>
          <w:sz w:val="24"/>
          <w:szCs w:val="24"/>
          <w:lang w:eastAsia="es-MX"/>
        </w:rPr>
        <w:t>Solicito copia fiel, VIA SAIMEX en versión digital, de todos y cada uno de los oficios generados por la Dirección de Desarrollo Social y Asuntos Indígenas, así como de las respectivas Subdirecciones (adscritas a la misma Dirección) del Ayuntamiento de Metepec, que fueron elaborados y/o emitidos entre el primero de enero y el treinta y uno de enero de dos mil veintidós.</w:t>
      </w:r>
      <w:r w:rsidRPr="00C63D99">
        <w:rPr>
          <w:rFonts w:ascii="Palatino Linotype" w:eastAsia="Calibri" w:hAnsi="Palatino Linotype" w:cs="Arial"/>
          <w:i/>
          <w:sz w:val="24"/>
          <w:szCs w:val="24"/>
          <w:lang w:val="es-ES"/>
        </w:rPr>
        <w:t>” (Sic)</w:t>
      </w:r>
    </w:p>
    <w:p w14:paraId="21F56A8D" w14:textId="77777777" w:rsidR="004F1E2D" w:rsidRPr="00C63D99" w:rsidRDefault="004F1E2D" w:rsidP="004F1E2D">
      <w:pPr>
        <w:ind w:left="567" w:right="567"/>
        <w:jc w:val="both"/>
        <w:rPr>
          <w:rFonts w:ascii="Palatino Linotype" w:eastAsia="Calibri" w:hAnsi="Palatino Linotype" w:cs="Arial"/>
          <w:b/>
          <w:sz w:val="24"/>
          <w:lang w:val="es-ES"/>
        </w:rPr>
      </w:pPr>
    </w:p>
    <w:p w14:paraId="5F055845" w14:textId="77777777" w:rsidR="004F1E2D" w:rsidRPr="00C63D99" w:rsidRDefault="004F1E2D" w:rsidP="004F1E2D">
      <w:pPr>
        <w:ind w:left="567" w:right="567"/>
        <w:jc w:val="both"/>
        <w:rPr>
          <w:rFonts w:ascii="Palatino Linotype" w:eastAsia="Calibri" w:hAnsi="Palatino Linotype" w:cs="Arial"/>
          <w:b/>
          <w:sz w:val="24"/>
          <w:lang w:val="es-ES"/>
        </w:rPr>
      </w:pPr>
    </w:p>
    <w:p w14:paraId="7BCF5980" w14:textId="77777777" w:rsidR="004F1E2D" w:rsidRPr="00C63D99" w:rsidRDefault="004F1E2D" w:rsidP="004F1E2D">
      <w:pPr>
        <w:ind w:left="567" w:right="567"/>
        <w:jc w:val="both"/>
        <w:rPr>
          <w:rFonts w:ascii="Palatino Linotype" w:eastAsia="Calibri" w:hAnsi="Palatino Linotype" w:cs="Arial"/>
          <w:i/>
          <w:sz w:val="24"/>
          <w:szCs w:val="24"/>
          <w:lang w:val="es-ES"/>
        </w:rPr>
      </w:pPr>
      <w:r w:rsidRPr="00C63D99">
        <w:rPr>
          <w:rFonts w:ascii="Palatino Linotype" w:eastAsia="Calibri" w:hAnsi="Palatino Linotype" w:cs="Arial"/>
          <w:i/>
          <w:sz w:val="24"/>
          <w:szCs w:val="24"/>
          <w:lang w:val="es-ES"/>
        </w:rPr>
        <w:t>“</w:t>
      </w:r>
      <w:r w:rsidRPr="00C63D99">
        <w:rPr>
          <w:rFonts w:ascii="Palatino Linotype" w:hAnsi="Palatino Linotype"/>
          <w:i/>
          <w:sz w:val="24"/>
          <w:szCs w:val="24"/>
          <w:lang w:eastAsia="es-MX"/>
        </w:rPr>
        <w:t>Solicito copia fiel, VIA SAIMEX en versión digital, de todos y cada uno de los oficios generados por la Dirección de Igualdad de Género, así como de los respectivas Jefaturas de Departamento (adscritas a la misma Dirección) del Ayuntamiento de Metepec, que fueron elaborados y/o emitidos entre el primero de enero y el treinta y uno de enero de dos mil veintidós.</w:t>
      </w:r>
      <w:r w:rsidRPr="00C63D99">
        <w:rPr>
          <w:rFonts w:ascii="Palatino Linotype" w:eastAsia="Calibri" w:hAnsi="Palatino Linotype" w:cs="Arial"/>
          <w:i/>
          <w:sz w:val="24"/>
          <w:szCs w:val="24"/>
          <w:lang w:val="es-ES"/>
        </w:rPr>
        <w:t>” (Sic)</w:t>
      </w:r>
    </w:p>
    <w:p w14:paraId="5CA98653" w14:textId="77777777" w:rsidR="004F1E2D" w:rsidRPr="00C63D99" w:rsidRDefault="004F1E2D" w:rsidP="004F1E2D">
      <w:pPr>
        <w:ind w:left="567" w:right="567"/>
        <w:jc w:val="both"/>
        <w:rPr>
          <w:rFonts w:ascii="Palatino Linotype" w:eastAsia="Calibri" w:hAnsi="Palatino Linotype" w:cs="Arial"/>
          <w:b/>
          <w:sz w:val="24"/>
          <w:lang w:val="es-ES"/>
        </w:rPr>
      </w:pPr>
    </w:p>
    <w:p w14:paraId="61B93924" w14:textId="77777777" w:rsidR="004F1E2D" w:rsidRPr="00C63D99" w:rsidRDefault="004F1E2D" w:rsidP="004F1E2D">
      <w:pPr>
        <w:ind w:left="567" w:right="567"/>
        <w:jc w:val="both"/>
        <w:rPr>
          <w:rFonts w:ascii="Palatino Linotype" w:eastAsia="Calibri" w:hAnsi="Palatino Linotype" w:cs="Arial"/>
          <w:i/>
          <w:sz w:val="24"/>
          <w:szCs w:val="24"/>
          <w:lang w:val="es-ES"/>
        </w:rPr>
      </w:pPr>
      <w:r w:rsidRPr="00C63D99">
        <w:rPr>
          <w:rFonts w:ascii="Palatino Linotype" w:eastAsia="Calibri" w:hAnsi="Palatino Linotype" w:cs="Arial"/>
          <w:i/>
          <w:sz w:val="24"/>
          <w:szCs w:val="24"/>
          <w:lang w:val="es-ES"/>
        </w:rPr>
        <w:t>“</w:t>
      </w:r>
      <w:r w:rsidRPr="00C63D99">
        <w:rPr>
          <w:rFonts w:ascii="Palatino Linotype" w:hAnsi="Palatino Linotype"/>
          <w:i/>
          <w:sz w:val="24"/>
          <w:szCs w:val="24"/>
          <w:lang w:eastAsia="es-MX"/>
        </w:rPr>
        <w:t>Solicito copia fiel, VIA SAIMEX en versión digital, de todos y cada uno de los oficios generados por la Sindicatura Municipal del Ayuntamiento de Metepec, que fueron elaborados y/o emitidos entre el primero de enero y el treinta y uno de enero de dos mil veintidós.</w:t>
      </w:r>
      <w:r w:rsidRPr="00C63D99">
        <w:rPr>
          <w:rFonts w:ascii="Palatino Linotype" w:eastAsia="Calibri" w:hAnsi="Palatino Linotype" w:cs="Arial"/>
          <w:i/>
          <w:sz w:val="24"/>
          <w:szCs w:val="24"/>
          <w:lang w:val="es-ES"/>
        </w:rPr>
        <w:t>” (Sic)</w:t>
      </w:r>
    </w:p>
    <w:p w14:paraId="44FE05A8" w14:textId="602BDADE" w:rsidR="004F1E2D" w:rsidRPr="00C63D99" w:rsidRDefault="004F1E2D" w:rsidP="004F1E2D">
      <w:pPr>
        <w:tabs>
          <w:tab w:val="left" w:pos="284"/>
        </w:tabs>
        <w:spacing w:before="240" w:after="240" w:line="360" w:lineRule="auto"/>
        <w:jc w:val="both"/>
        <w:rPr>
          <w:rFonts w:ascii="Palatino Linotype" w:eastAsiaTheme="minorEastAsia" w:hAnsi="Palatino Linotype"/>
          <w:iCs/>
          <w:sz w:val="24"/>
          <w:lang w:val="es-ES_tradnl"/>
        </w:rPr>
      </w:pPr>
    </w:p>
    <w:p w14:paraId="0D785284" w14:textId="77777777" w:rsidR="004F1E2D" w:rsidRPr="00C63D99" w:rsidRDefault="004F1E2D" w:rsidP="004F1E2D">
      <w:pPr>
        <w:tabs>
          <w:tab w:val="left" w:pos="284"/>
        </w:tabs>
        <w:spacing w:before="240" w:after="240" w:line="360" w:lineRule="auto"/>
        <w:jc w:val="both"/>
        <w:rPr>
          <w:rFonts w:ascii="Palatino Linotype" w:eastAsiaTheme="minorEastAsia" w:hAnsi="Palatino Linotype"/>
          <w:iCs/>
          <w:sz w:val="24"/>
          <w:lang w:val="es-ES_tradnl"/>
        </w:rPr>
      </w:pPr>
    </w:p>
    <w:p w14:paraId="5707111A" w14:textId="4527F4FA" w:rsidR="004F1E2D" w:rsidRPr="00C63D99" w:rsidRDefault="004F1E2D" w:rsidP="004F1E2D">
      <w:pPr>
        <w:tabs>
          <w:tab w:val="left" w:pos="284"/>
        </w:tabs>
        <w:spacing w:before="240" w:after="240" w:line="360" w:lineRule="auto"/>
        <w:jc w:val="both"/>
        <w:rPr>
          <w:rFonts w:ascii="Palatino Linotype" w:eastAsiaTheme="minorEastAsia" w:hAnsi="Palatino Linotype"/>
          <w:iCs/>
          <w:sz w:val="24"/>
          <w:lang w:val="es-ES_tradnl"/>
        </w:rPr>
      </w:pPr>
    </w:p>
    <w:p w14:paraId="49EC6DB9" w14:textId="0F54271F" w:rsidR="00616297" w:rsidRPr="00C63D99" w:rsidRDefault="00616297" w:rsidP="009D1B5C">
      <w:pPr>
        <w:pStyle w:val="Prrafodelista"/>
        <w:numPr>
          <w:ilvl w:val="0"/>
          <w:numId w:val="2"/>
        </w:numPr>
        <w:tabs>
          <w:tab w:val="left" w:pos="284"/>
        </w:tabs>
        <w:spacing w:before="240" w:after="240" w:line="360" w:lineRule="auto"/>
        <w:ind w:left="0" w:firstLine="0"/>
        <w:jc w:val="both"/>
        <w:rPr>
          <w:rFonts w:ascii="Palatino Linotype" w:eastAsiaTheme="minorEastAsia" w:hAnsi="Palatino Linotype"/>
          <w:iCs/>
          <w:sz w:val="24"/>
          <w:lang w:val="es-ES_tradnl"/>
        </w:rPr>
      </w:pPr>
      <w:r w:rsidRPr="00C63D99">
        <w:rPr>
          <w:rFonts w:ascii="Palatino Linotype" w:eastAsiaTheme="minorEastAsia" w:hAnsi="Palatino Linotype"/>
          <w:iCs/>
          <w:sz w:val="24"/>
          <w:lang w:val="es-ES_tradnl"/>
        </w:rPr>
        <w:lastRenderedPageBreak/>
        <w:t>El Sujeto Obligado no entregó respuesta a la solicitud, motivo de inconformidad el recurrente.</w:t>
      </w:r>
    </w:p>
    <w:p w14:paraId="675FA98C" w14:textId="1B60C8C0" w:rsidR="00616297" w:rsidRPr="00C63D99" w:rsidRDefault="00616297" w:rsidP="00616297">
      <w:pPr>
        <w:numPr>
          <w:ilvl w:val="0"/>
          <w:numId w:val="2"/>
        </w:numPr>
        <w:tabs>
          <w:tab w:val="left" w:pos="284"/>
        </w:tabs>
        <w:spacing w:before="240" w:after="240" w:line="360" w:lineRule="auto"/>
        <w:ind w:left="0" w:firstLine="0"/>
        <w:contextualSpacing/>
        <w:jc w:val="both"/>
        <w:rPr>
          <w:rFonts w:ascii="Palatino Linotype" w:eastAsiaTheme="minorEastAsia" w:hAnsi="Palatino Linotype"/>
          <w:i/>
          <w:sz w:val="24"/>
          <w:szCs w:val="24"/>
          <w:lang w:val="es-ES_tradnl"/>
        </w:rPr>
      </w:pPr>
      <w:r w:rsidRPr="00C63D99">
        <w:rPr>
          <w:rFonts w:ascii="Palatino Linotype" w:eastAsiaTheme="minorEastAsia" w:hAnsi="Palatino Linotype" w:cs="Arial"/>
          <w:sz w:val="24"/>
          <w:szCs w:val="24"/>
          <w:lang w:val="es-ES_tradnl"/>
        </w:rPr>
        <w:t xml:space="preserve">Por lo tanto, el presente recurso de revisión se circunscribe en determinar si se </w:t>
      </w:r>
      <w:r w:rsidRPr="00C63D99">
        <w:rPr>
          <w:rFonts w:ascii="Palatino Linotype" w:hAnsi="Palatino Linotype"/>
          <w:sz w:val="24"/>
          <w:szCs w:val="24"/>
          <w:lang w:val="es-ES_tradnl"/>
        </w:rPr>
        <w:t>actualiza las causales de procedencia</w:t>
      </w:r>
      <w:r w:rsidRPr="00C63D99">
        <w:rPr>
          <w:rFonts w:ascii="Palatino Linotype" w:hAnsi="Palatino Linotype"/>
          <w:b/>
          <w:sz w:val="24"/>
          <w:szCs w:val="24"/>
          <w:lang w:val="es-ES_tradnl"/>
        </w:rPr>
        <w:t xml:space="preserve"> </w:t>
      </w:r>
      <w:r w:rsidRPr="00C63D99">
        <w:rPr>
          <w:rFonts w:ascii="Palatino Linotype" w:hAnsi="Palatino Linotype" w:cs="Arial"/>
          <w:sz w:val="24"/>
          <w:szCs w:val="24"/>
          <w:lang w:val="es-ES_tradnl" w:eastAsia="es-MX"/>
        </w:rPr>
        <w:t xml:space="preserve">contenidas en </w:t>
      </w:r>
      <w:r w:rsidRPr="00C63D99">
        <w:rPr>
          <w:rFonts w:ascii="Palatino Linotype" w:hAnsi="Palatino Linotype" w:cs="Arial"/>
          <w:sz w:val="24"/>
          <w:szCs w:val="24"/>
          <w:lang w:val="es-ES" w:eastAsia="es-MX"/>
        </w:rPr>
        <w:t xml:space="preserve">el artículo 179 fracciones VII de la </w:t>
      </w:r>
      <w:r w:rsidRPr="00C63D99">
        <w:rPr>
          <w:rFonts w:ascii="Palatino Linotype" w:eastAsia="Calibri" w:hAnsi="Palatino Linotype" w:cs="Arial"/>
          <w:b/>
          <w:sz w:val="24"/>
          <w:szCs w:val="24"/>
          <w:lang w:val="es-ES"/>
        </w:rPr>
        <w:t>Ley de Transparencia y Acceso a la Información Pública del Estado de México y Municipios</w:t>
      </w:r>
      <w:r w:rsidRPr="00C63D99">
        <w:rPr>
          <w:rFonts w:ascii="Palatino Linotype" w:hAnsi="Palatino Linotype" w:cs="Arial"/>
          <w:sz w:val="24"/>
          <w:szCs w:val="24"/>
          <w:lang w:val="es-ES" w:eastAsia="es-MX"/>
        </w:rPr>
        <w:t>.</w:t>
      </w:r>
    </w:p>
    <w:p w14:paraId="0D89BECC" w14:textId="77777777" w:rsidR="005000AA" w:rsidRPr="00C63D99" w:rsidRDefault="005000AA" w:rsidP="005000AA">
      <w:pPr>
        <w:pStyle w:val="Prrafodelista"/>
        <w:rPr>
          <w:rFonts w:ascii="Palatino Linotype" w:hAnsi="Palatino Linotype"/>
          <w:bCs/>
          <w:sz w:val="24"/>
        </w:rPr>
      </w:pPr>
    </w:p>
    <w:p w14:paraId="1F152840" w14:textId="7AA5F624" w:rsidR="005000AA" w:rsidRPr="00C63D99" w:rsidRDefault="00DB2180" w:rsidP="005000AA">
      <w:pPr>
        <w:pStyle w:val="Ttulo1"/>
        <w:spacing w:before="0" w:line="360" w:lineRule="auto"/>
        <w:rPr>
          <w:rFonts w:ascii="Palatino Linotype" w:hAnsi="Palatino Linotype"/>
          <w:b/>
          <w:color w:val="auto"/>
          <w:sz w:val="24"/>
          <w:szCs w:val="24"/>
          <w:lang w:eastAsia="en-US"/>
        </w:rPr>
      </w:pPr>
      <w:bookmarkStart w:id="8" w:name="_Toc4061675"/>
      <w:bookmarkStart w:id="9" w:name="_Toc3372324"/>
      <w:bookmarkStart w:id="10" w:name="_Toc499201873"/>
      <w:bookmarkStart w:id="11" w:name="_Toc87549676"/>
      <w:r w:rsidRPr="00C63D99">
        <w:rPr>
          <w:rFonts w:ascii="Palatino Linotype" w:hAnsi="Palatino Linotype"/>
          <w:b/>
          <w:color w:val="auto"/>
          <w:sz w:val="24"/>
          <w:szCs w:val="24"/>
        </w:rPr>
        <w:t>CUARTO</w:t>
      </w:r>
      <w:r w:rsidR="005000AA" w:rsidRPr="00C63D99">
        <w:rPr>
          <w:rFonts w:ascii="Palatino Linotype" w:hAnsi="Palatino Linotype"/>
          <w:b/>
          <w:color w:val="auto"/>
          <w:sz w:val="24"/>
          <w:szCs w:val="24"/>
        </w:rPr>
        <w:t>. Estudio y resolución del asunto</w:t>
      </w:r>
      <w:bookmarkEnd w:id="8"/>
      <w:bookmarkEnd w:id="9"/>
      <w:bookmarkEnd w:id="10"/>
      <w:bookmarkEnd w:id="11"/>
    </w:p>
    <w:p w14:paraId="77B70EA4" w14:textId="77777777" w:rsidR="00616297" w:rsidRPr="00C63D99" w:rsidRDefault="00616297" w:rsidP="00616297">
      <w:pPr>
        <w:keepNext/>
        <w:keepLines/>
        <w:numPr>
          <w:ilvl w:val="1"/>
          <w:numId w:val="2"/>
        </w:numPr>
        <w:tabs>
          <w:tab w:val="left" w:pos="284"/>
        </w:tabs>
        <w:spacing w:before="40"/>
        <w:ind w:left="0" w:firstLine="0"/>
        <w:contextualSpacing/>
        <w:jc w:val="both"/>
        <w:outlineLvl w:val="1"/>
        <w:rPr>
          <w:rFonts w:ascii="Palatino Linotype" w:eastAsia="MS Gothic" w:hAnsi="Palatino Linotype"/>
          <w:b/>
          <w:sz w:val="24"/>
          <w:szCs w:val="24"/>
          <w:lang w:val="es-ES_tradnl"/>
        </w:rPr>
      </w:pPr>
      <w:bookmarkStart w:id="12" w:name="_Toc498528948"/>
      <w:bookmarkStart w:id="13" w:name="_Toc68793654"/>
      <w:bookmarkStart w:id="14" w:name="_Toc87549677"/>
      <w:bookmarkStart w:id="15" w:name="_Toc34911390"/>
      <w:r w:rsidRPr="00C63D99">
        <w:rPr>
          <w:rFonts w:ascii="Palatino Linotype" w:eastAsia="MS Gothic" w:hAnsi="Palatino Linotype"/>
          <w:b/>
          <w:sz w:val="24"/>
          <w:szCs w:val="24"/>
          <w:lang w:val="es-ES_tradnl"/>
        </w:rPr>
        <w:t>Del deber de las autoridades de promover, respetar, proteger y garantizar el derecho de acceso a la información pública.</w:t>
      </w:r>
      <w:bookmarkEnd w:id="12"/>
      <w:bookmarkEnd w:id="13"/>
      <w:bookmarkEnd w:id="14"/>
      <w:r w:rsidRPr="00C63D99">
        <w:rPr>
          <w:rFonts w:ascii="Palatino Linotype" w:eastAsia="MS Gothic" w:hAnsi="Palatino Linotype"/>
          <w:b/>
          <w:sz w:val="24"/>
          <w:szCs w:val="24"/>
          <w:lang w:val="es-ES_tradnl"/>
        </w:rPr>
        <w:t xml:space="preserve"> </w:t>
      </w:r>
    </w:p>
    <w:p w14:paraId="44B9994C" w14:textId="77777777" w:rsidR="00616297" w:rsidRPr="00C63D99" w:rsidRDefault="00616297" w:rsidP="00616297">
      <w:pPr>
        <w:tabs>
          <w:tab w:val="left" w:pos="284"/>
        </w:tabs>
        <w:contextualSpacing/>
        <w:rPr>
          <w:rFonts w:ascii="Palatino Linotype" w:eastAsia="MS Mincho" w:hAnsi="Palatino Linotype" w:cs="Arial"/>
          <w:sz w:val="24"/>
          <w:szCs w:val="24"/>
          <w:lang w:val="es-ES_tradnl"/>
        </w:rPr>
      </w:pPr>
    </w:p>
    <w:p w14:paraId="1F3ACBDB" w14:textId="77777777" w:rsidR="00616297" w:rsidRPr="00C63D99" w:rsidRDefault="00616297" w:rsidP="00616297">
      <w:pPr>
        <w:numPr>
          <w:ilvl w:val="0"/>
          <w:numId w:val="2"/>
        </w:numPr>
        <w:tabs>
          <w:tab w:val="left" w:pos="284"/>
        </w:tabs>
        <w:spacing w:before="240" w:after="240" w:line="360" w:lineRule="auto"/>
        <w:ind w:left="0" w:firstLine="0"/>
        <w:contextualSpacing/>
        <w:jc w:val="both"/>
        <w:rPr>
          <w:rFonts w:ascii="Palatino Linotype" w:eastAsia="MS Mincho" w:hAnsi="Palatino Linotype"/>
          <w:color w:val="000000"/>
          <w:sz w:val="24"/>
          <w:szCs w:val="24"/>
          <w:lang w:val="es-ES_tradnl"/>
        </w:rPr>
      </w:pPr>
      <w:r w:rsidRPr="00C63D99">
        <w:rPr>
          <w:rFonts w:ascii="Palatino Linotype" w:eastAsiaTheme="minorEastAsia" w:hAnsi="Palatino Linotype"/>
          <w:sz w:val="24"/>
          <w:szCs w:val="24"/>
          <w:lang w:val="es-ES_tradnl"/>
        </w:rPr>
        <w:t xml:space="preserve">Es menester precisar que este </w:t>
      </w:r>
      <w:r w:rsidRPr="00C63D99">
        <w:rPr>
          <w:rFonts w:ascii="Palatino Linotype" w:eastAsia="MS Mincho" w:hAnsi="Palatino Linotype"/>
          <w:color w:val="000000"/>
          <w:sz w:val="24"/>
          <w:szCs w:val="24"/>
          <w:lang w:val="es-ES_tradnl"/>
        </w:rPr>
        <w:t xml:space="preserve">Órgano Garante parte de que </w:t>
      </w:r>
      <w:r w:rsidRPr="00C63D99">
        <w:rPr>
          <w:rFonts w:ascii="Palatino Linotype" w:hAnsi="Palatino Linotype" w:cs="Arial"/>
          <w:color w:val="000000"/>
          <w:sz w:val="24"/>
          <w:szCs w:val="24"/>
          <w:lang w:val="es-ES_tradnl"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C63D99">
        <w:rPr>
          <w:rFonts w:ascii="Palatino Linotype" w:hAnsi="Palatino Linotype" w:cs="Arial"/>
          <w:color w:val="000000"/>
          <w:sz w:val="24"/>
          <w:szCs w:val="24"/>
          <w:lang w:val="es-ES_tradnl"/>
        </w:rPr>
        <w:t xml:space="preserve"> </w:t>
      </w:r>
      <w:r w:rsidRPr="00C63D99">
        <w:rPr>
          <w:rFonts w:ascii="Palatino Linotype" w:hAnsi="Palatino Linotype" w:cs="Arial"/>
          <w:b/>
          <w:color w:val="000000"/>
          <w:sz w:val="24"/>
          <w:szCs w:val="24"/>
          <w:lang w:val="es-ES_tradnl"/>
        </w:rPr>
        <w:t>SUJETO OBLIGADO</w:t>
      </w:r>
      <w:r w:rsidRPr="00C63D99">
        <w:rPr>
          <w:rFonts w:ascii="Palatino Linotype" w:hAnsi="Palatino Linotype" w:cs="Arial"/>
          <w:color w:val="000000"/>
          <w:sz w:val="24"/>
          <w:szCs w:val="24"/>
          <w:lang w:val="es-ES_tradnl"/>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C63D99">
        <w:rPr>
          <w:rFonts w:ascii="Palatino Linotype" w:hAnsi="Palatino Linotype" w:cs="Arial"/>
          <w:b/>
          <w:color w:val="000000"/>
          <w:sz w:val="24"/>
          <w:szCs w:val="24"/>
          <w:lang w:val="es-ES_tradnl"/>
        </w:rPr>
        <w:t xml:space="preserve">Constitución Política de los Estados Unidos </w:t>
      </w:r>
      <w:r w:rsidRPr="00C63D99">
        <w:rPr>
          <w:rFonts w:ascii="Palatino Linotype" w:hAnsi="Palatino Linotype" w:cs="Arial"/>
          <w:b/>
          <w:color w:val="000000"/>
          <w:sz w:val="24"/>
          <w:szCs w:val="24"/>
          <w:lang w:val="es-ES_tradnl"/>
        </w:rPr>
        <w:lastRenderedPageBreak/>
        <w:t xml:space="preserve">Mexicanos </w:t>
      </w:r>
      <w:r w:rsidRPr="00C63D99">
        <w:rPr>
          <w:rFonts w:ascii="Palatino Linotype" w:hAnsi="Palatino Linotype" w:cs="Arial"/>
          <w:color w:val="000000"/>
          <w:sz w:val="24"/>
          <w:szCs w:val="24"/>
          <w:lang w:val="es-ES_tradnl"/>
        </w:rPr>
        <w:t xml:space="preserve">al señalar la obligación de “promover, </w:t>
      </w:r>
      <w:r w:rsidRPr="00C63D99">
        <w:rPr>
          <w:rFonts w:ascii="Palatino Linotype" w:hAnsi="Palatino Linotype" w:cs="Arial"/>
          <w:b/>
          <w:color w:val="000000"/>
          <w:sz w:val="24"/>
          <w:szCs w:val="24"/>
          <w:lang w:val="es-ES_tradnl"/>
        </w:rPr>
        <w:t>respetar</w:t>
      </w:r>
      <w:r w:rsidRPr="00C63D99">
        <w:rPr>
          <w:rFonts w:ascii="Palatino Linotype" w:hAnsi="Palatino Linotype" w:cs="Arial"/>
          <w:color w:val="000000"/>
          <w:sz w:val="24"/>
          <w:szCs w:val="24"/>
          <w:lang w:val="es-ES_tradnl"/>
        </w:rPr>
        <w:t xml:space="preserve">, proteger y </w:t>
      </w:r>
      <w:r w:rsidRPr="00C63D99">
        <w:rPr>
          <w:rFonts w:ascii="Palatino Linotype" w:hAnsi="Palatino Linotype" w:cs="Arial"/>
          <w:b/>
          <w:color w:val="000000"/>
          <w:sz w:val="24"/>
          <w:szCs w:val="24"/>
          <w:lang w:val="es-ES_tradnl"/>
        </w:rPr>
        <w:t>garantizar</w:t>
      </w:r>
      <w:r w:rsidRPr="00C63D99">
        <w:rPr>
          <w:rFonts w:ascii="Palatino Linotype" w:hAnsi="Palatino Linotype" w:cs="Arial"/>
          <w:color w:val="000000"/>
          <w:sz w:val="24"/>
          <w:szCs w:val="24"/>
          <w:lang w:val="es-ES_tradnl"/>
        </w:rPr>
        <w:t xml:space="preserve"> los derechos humanos”, entre los cuales se encuentra dicho derecho. </w:t>
      </w:r>
    </w:p>
    <w:p w14:paraId="2DAB62D5" w14:textId="77777777" w:rsidR="00616297" w:rsidRPr="00C63D99" w:rsidRDefault="00616297" w:rsidP="00616297">
      <w:pPr>
        <w:tabs>
          <w:tab w:val="left" w:pos="284"/>
        </w:tabs>
        <w:spacing w:before="240" w:after="240" w:line="360" w:lineRule="auto"/>
        <w:ind w:right="49"/>
        <w:contextualSpacing/>
        <w:jc w:val="both"/>
        <w:rPr>
          <w:rFonts w:ascii="Palatino Linotype" w:eastAsia="MS Mincho" w:hAnsi="Palatino Linotype"/>
          <w:color w:val="000000"/>
          <w:sz w:val="24"/>
          <w:szCs w:val="24"/>
          <w:lang w:val="es-ES_tradnl"/>
        </w:rPr>
      </w:pPr>
    </w:p>
    <w:p w14:paraId="22FB49CA" w14:textId="77777777" w:rsidR="00616297" w:rsidRPr="00C63D99" w:rsidRDefault="00616297" w:rsidP="00616297">
      <w:pPr>
        <w:numPr>
          <w:ilvl w:val="0"/>
          <w:numId w:val="2"/>
        </w:numPr>
        <w:tabs>
          <w:tab w:val="left" w:pos="284"/>
        </w:tabs>
        <w:spacing w:before="240" w:after="240" w:line="360" w:lineRule="auto"/>
        <w:ind w:left="0" w:firstLine="0"/>
        <w:contextualSpacing/>
        <w:jc w:val="both"/>
        <w:rPr>
          <w:rFonts w:ascii="Palatino Linotype" w:hAnsi="Palatino Linotype"/>
          <w:sz w:val="24"/>
          <w:szCs w:val="24"/>
          <w:lang w:val="es-ES_tradnl"/>
        </w:rPr>
      </w:pPr>
      <w:r w:rsidRPr="00C63D99">
        <w:rPr>
          <w:rFonts w:ascii="Palatino Linotype" w:hAnsi="Palatino Linotype"/>
          <w:sz w:val="24"/>
          <w:szCs w:val="24"/>
          <w:lang w:val="es-ES_tradnl"/>
        </w:rPr>
        <w:t xml:space="preserve">Definiendo el Derecho de Acceso a la Información Pública como: </w:t>
      </w:r>
      <w:r w:rsidRPr="00C63D99">
        <w:rPr>
          <w:rFonts w:ascii="Palatino Linotype" w:eastAsiaTheme="minorEastAsia" w:hAnsi="Palatino Linotype"/>
          <w:i/>
          <w:color w:val="000000"/>
          <w:sz w:val="24"/>
          <w:szCs w:val="24"/>
          <w:lang w:val="es-ES_tradnl"/>
        </w:rPr>
        <w:t>La igualdad de oportunidades para recibir, buscar e impartir información</w:t>
      </w:r>
      <w:r w:rsidRPr="00C63D99">
        <w:rPr>
          <w:rFonts w:ascii="Palatino Linotype" w:eastAsiaTheme="minorEastAsia" w:hAnsi="Palatino Linotype"/>
          <w:i/>
          <w:color w:val="000000"/>
          <w:sz w:val="24"/>
          <w:szCs w:val="24"/>
          <w:vertAlign w:val="superscript"/>
          <w:lang w:val="es-ES_tradnl"/>
        </w:rPr>
        <w:footnoteReference w:id="2"/>
      </w:r>
      <w:r w:rsidRPr="00C63D99">
        <w:rPr>
          <w:rFonts w:ascii="Palatino Linotype" w:eastAsiaTheme="minorEastAsia" w:hAnsi="Palatino Linotype"/>
          <w:i/>
          <w:color w:val="000000"/>
          <w:sz w:val="24"/>
          <w:szCs w:val="24"/>
          <w:lang w:val="es-ES_tradnl"/>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C63D99">
        <w:rPr>
          <w:rFonts w:ascii="Palatino Linotype" w:eastAsiaTheme="minorEastAsia" w:hAnsi="Palatino Linotype"/>
          <w:i/>
          <w:color w:val="000000"/>
          <w:sz w:val="24"/>
          <w:szCs w:val="24"/>
          <w:vertAlign w:val="superscript"/>
          <w:lang w:val="es-ES_tradnl"/>
        </w:rPr>
        <w:footnoteReference w:id="3"/>
      </w:r>
      <w:r w:rsidRPr="00C63D99">
        <w:rPr>
          <w:rFonts w:ascii="Palatino Linotype" w:eastAsiaTheme="minorEastAsia" w:hAnsi="Palatino Linotype"/>
          <w:color w:val="000000"/>
          <w:sz w:val="24"/>
          <w:szCs w:val="24"/>
          <w:lang w:val="es-ES_tradnl"/>
        </w:rPr>
        <w:t>que se constituye como una herramienta fundamental para ejercer</w:t>
      </w:r>
      <w:r w:rsidRPr="00C63D99">
        <w:rPr>
          <w:rFonts w:ascii="Palatino Linotype" w:eastAsiaTheme="minorEastAsia" w:hAnsi="Palatino Linotype"/>
          <w:i/>
          <w:color w:val="000000"/>
          <w:sz w:val="24"/>
          <w:szCs w:val="24"/>
          <w:lang w:val="es-ES_tradnl"/>
        </w:rPr>
        <w:t xml:space="preserve"> el control democrático de las gestiones estatales, de forma tal que puedan cuestionar, indagar y considerar si se está dando un adecuado cumplimiento a las funciones públicas,</w:t>
      </w:r>
      <w:r w:rsidRPr="00C63D99">
        <w:rPr>
          <w:rFonts w:ascii="Palatino Linotype" w:eastAsiaTheme="minorEastAsia" w:hAnsi="Palatino Linotype"/>
          <w:i/>
          <w:color w:val="000000"/>
          <w:sz w:val="24"/>
          <w:szCs w:val="24"/>
          <w:vertAlign w:val="superscript"/>
          <w:lang w:val="es-ES_tradnl"/>
        </w:rPr>
        <w:footnoteReference w:id="4"/>
      </w:r>
      <w:r w:rsidRPr="00C63D99">
        <w:rPr>
          <w:rFonts w:ascii="Palatino Linotype" w:eastAsiaTheme="minorEastAsia" w:hAnsi="Palatino Linotype"/>
          <w:color w:val="000000"/>
          <w:sz w:val="24"/>
          <w:szCs w:val="24"/>
          <w:lang w:val="es-ES_tradnl"/>
        </w:rPr>
        <w:t>fomentando</w:t>
      </w:r>
      <w:r w:rsidRPr="00C63D99">
        <w:rPr>
          <w:rFonts w:ascii="Palatino Linotype" w:eastAsiaTheme="minorEastAsia" w:hAnsi="Palatino Linotype"/>
          <w:i/>
          <w:color w:val="000000"/>
          <w:sz w:val="24"/>
          <w:szCs w:val="24"/>
          <w:lang w:val="es-ES_tradnl"/>
        </w:rPr>
        <w:t xml:space="preserve"> la transparencia de las actividades estatales y </w:t>
      </w:r>
      <w:r w:rsidRPr="00C63D99">
        <w:rPr>
          <w:rFonts w:ascii="Palatino Linotype" w:eastAsiaTheme="minorEastAsia" w:hAnsi="Palatino Linotype"/>
          <w:color w:val="000000"/>
          <w:sz w:val="24"/>
          <w:szCs w:val="24"/>
          <w:lang w:val="es-ES_tradnl"/>
        </w:rPr>
        <w:t>promoviendo</w:t>
      </w:r>
      <w:r w:rsidRPr="00C63D99">
        <w:rPr>
          <w:rFonts w:ascii="Palatino Linotype" w:eastAsiaTheme="minorEastAsia" w:hAnsi="Palatino Linotype"/>
          <w:i/>
          <w:color w:val="000000"/>
          <w:sz w:val="24"/>
          <w:szCs w:val="24"/>
          <w:lang w:val="es-ES_tradnl"/>
        </w:rPr>
        <w:t xml:space="preserve"> la responsabilidad de los funcionarios sobre su gestión pública,</w:t>
      </w:r>
      <w:r w:rsidRPr="00C63D99">
        <w:rPr>
          <w:rFonts w:ascii="Palatino Linotype" w:eastAsiaTheme="minorEastAsia" w:hAnsi="Palatino Linotype"/>
          <w:i/>
          <w:color w:val="000000"/>
          <w:sz w:val="24"/>
          <w:szCs w:val="24"/>
          <w:vertAlign w:val="superscript"/>
          <w:lang w:val="es-ES_tradnl"/>
        </w:rPr>
        <w:footnoteReference w:id="5"/>
      </w:r>
      <w:r w:rsidRPr="00C63D99">
        <w:rPr>
          <w:rFonts w:ascii="Palatino Linotype" w:eastAsiaTheme="minorEastAsia" w:hAnsi="Palatino Linotype"/>
          <w:color w:val="000000"/>
          <w:sz w:val="24"/>
          <w:szCs w:val="24"/>
          <w:lang w:val="es-ES_tradnl"/>
        </w:rPr>
        <w:t>que permite</w:t>
      </w:r>
      <w:r w:rsidRPr="00C63D99">
        <w:rPr>
          <w:rFonts w:ascii="Palatino Linotype" w:eastAsiaTheme="minorEastAsia" w:hAnsi="Palatino Linotype"/>
          <w:i/>
          <w:color w:val="000000"/>
          <w:sz w:val="24"/>
          <w:szCs w:val="24"/>
          <w:lang w:val="es-ES_tradnl"/>
        </w:rPr>
        <w:t xml:space="preserve"> saber qué están haciendo los gobiernos por sus pueblos, sin lo cual la verdad languidecería y la participación en el gobierno permanecería fragmentada.</w:t>
      </w:r>
    </w:p>
    <w:p w14:paraId="1D4A9E01" w14:textId="77777777" w:rsidR="00616297" w:rsidRPr="00C63D99" w:rsidRDefault="00616297" w:rsidP="00616297">
      <w:pPr>
        <w:tabs>
          <w:tab w:val="left" w:pos="284"/>
        </w:tabs>
        <w:contextualSpacing/>
        <w:rPr>
          <w:rFonts w:ascii="Palatino Linotype" w:hAnsi="Palatino Linotype"/>
          <w:sz w:val="24"/>
          <w:szCs w:val="24"/>
          <w:lang w:val="es-ES_tradnl"/>
        </w:rPr>
      </w:pPr>
    </w:p>
    <w:p w14:paraId="529C5B1D" w14:textId="77777777" w:rsidR="00616297" w:rsidRPr="00C63D99" w:rsidRDefault="00616297" w:rsidP="00616297">
      <w:pPr>
        <w:numPr>
          <w:ilvl w:val="0"/>
          <w:numId w:val="2"/>
        </w:numPr>
        <w:tabs>
          <w:tab w:val="left" w:pos="284"/>
        </w:tabs>
        <w:spacing w:before="240" w:after="240" w:line="360" w:lineRule="auto"/>
        <w:ind w:left="0" w:firstLine="0"/>
        <w:contextualSpacing/>
        <w:jc w:val="both"/>
        <w:rPr>
          <w:rFonts w:ascii="Palatino Linotype" w:eastAsiaTheme="minorEastAsia" w:hAnsi="Palatino Linotype"/>
          <w:i/>
          <w:sz w:val="24"/>
          <w:szCs w:val="24"/>
          <w:lang w:val="es-ES_tradnl"/>
        </w:rPr>
      </w:pPr>
      <w:r w:rsidRPr="00C63D99">
        <w:rPr>
          <w:rFonts w:ascii="Palatino Linotype" w:hAnsi="Palatino Linotype"/>
          <w:sz w:val="24"/>
          <w:szCs w:val="24"/>
          <w:lang w:val="es-ES_tradnl"/>
        </w:rPr>
        <w:t xml:space="preserve">Por lo anterior, se deduce que el derecho de acceso a la información pública es un derecho humano constitucionalmente reconocido, en </w:t>
      </w:r>
      <w:proofErr w:type="gramStart"/>
      <w:r w:rsidRPr="00C63D99">
        <w:rPr>
          <w:rFonts w:ascii="Palatino Linotype" w:hAnsi="Palatino Linotype"/>
          <w:sz w:val="24"/>
          <w:szCs w:val="24"/>
          <w:lang w:val="es-ES_tradnl"/>
        </w:rPr>
        <w:t>consecuencia</w:t>
      </w:r>
      <w:proofErr w:type="gramEnd"/>
      <w:r w:rsidRPr="00C63D99">
        <w:rPr>
          <w:rFonts w:ascii="Palatino Linotype" w:hAnsi="Palatino Linotype"/>
          <w:sz w:val="24"/>
          <w:szCs w:val="24"/>
          <w:lang w:val="es-ES_tradnl"/>
        </w:rPr>
        <w:t xml:space="preserve"> todas las </w:t>
      </w:r>
      <w:r w:rsidRPr="00C63D99">
        <w:rPr>
          <w:rFonts w:ascii="Palatino Linotype" w:hAnsi="Palatino Linotype"/>
          <w:sz w:val="24"/>
          <w:szCs w:val="24"/>
          <w:lang w:val="es-ES_tradnl"/>
        </w:rPr>
        <w:lastRenderedPageBreak/>
        <w:t>autoridades en el ámbito de sus competencias, funciones y atribuciones tienen la obligación de respetarlo, protegerlo y garantizarlo.</w:t>
      </w:r>
    </w:p>
    <w:p w14:paraId="53603DB4" w14:textId="77777777" w:rsidR="00616297" w:rsidRPr="00C63D99" w:rsidRDefault="00616297" w:rsidP="00616297">
      <w:pPr>
        <w:tabs>
          <w:tab w:val="left" w:pos="284"/>
        </w:tabs>
        <w:spacing w:before="240" w:after="240" w:line="360" w:lineRule="auto"/>
        <w:contextualSpacing/>
        <w:jc w:val="both"/>
        <w:rPr>
          <w:rFonts w:ascii="Palatino Linotype" w:eastAsiaTheme="minorEastAsia" w:hAnsi="Palatino Linotype"/>
          <w:i/>
          <w:sz w:val="24"/>
          <w:szCs w:val="24"/>
          <w:lang w:val="es-ES_tradnl"/>
        </w:rPr>
      </w:pPr>
      <w:r w:rsidRPr="00C63D99">
        <w:rPr>
          <w:rFonts w:ascii="Palatino Linotype" w:eastAsiaTheme="minorEastAsia" w:hAnsi="Palatino Linotype"/>
          <w:i/>
          <w:sz w:val="24"/>
          <w:szCs w:val="24"/>
          <w:lang w:val="es-ES_tradnl"/>
        </w:rPr>
        <w:t xml:space="preserve"> </w:t>
      </w:r>
    </w:p>
    <w:p w14:paraId="2E2BF7E3" w14:textId="41D2E934" w:rsidR="00616297" w:rsidRPr="00C63D99" w:rsidRDefault="00616297" w:rsidP="00616297">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sz w:val="24"/>
          <w:szCs w:val="24"/>
          <w:lang w:val="es-ES_tradnl"/>
        </w:rPr>
      </w:pPr>
      <w:r w:rsidRPr="00C63D99">
        <w:rPr>
          <w:rFonts w:ascii="Palatino Linotype" w:hAnsi="Palatino Linotype"/>
          <w:sz w:val="24"/>
          <w:szCs w:val="24"/>
          <w:lang w:val="es-ES_tradnl"/>
        </w:rPr>
        <w:t xml:space="preserve">Por lo tanto, derivado de lo señalado con anterioridad la actuación del </w:t>
      </w:r>
      <w:r w:rsidR="007441D8" w:rsidRPr="00C63D99">
        <w:rPr>
          <w:rFonts w:ascii="Palatino Linotype" w:eastAsia="Calibri" w:hAnsi="Palatino Linotype" w:cs="Tahoma"/>
          <w:b/>
          <w:sz w:val="24"/>
          <w:szCs w:val="28"/>
          <w:lang w:eastAsia="en-US"/>
        </w:rPr>
        <w:t>Ayuntamiento de Metepec</w:t>
      </w:r>
      <w:r w:rsidRPr="00C63D99">
        <w:rPr>
          <w:rFonts w:ascii="Palatino Linotype" w:eastAsiaTheme="minorEastAsia" w:hAnsi="Palatino Linotype" w:cs="Arial"/>
          <w:sz w:val="24"/>
          <w:szCs w:val="24"/>
          <w:lang w:val="es-ES_tradnl"/>
        </w:rPr>
        <w:t xml:space="preserve"> constituye una afectación al derecho humano de acceso a la información pública del particular, toda vez que incumple al no dar trámite a la solicitud y por ello entregar la información ni en respuesta ni en informe justificado, dos momentos procesales que antes del cierre de instrucción del asunto a resolver, puede ser entregada la información para reparar el derecho afectado. </w:t>
      </w:r>
    </w:p>
    <w:p w14:paraId="67D17C9B" w14:textId="77777777" w:rsidR="00616297" w:rsidRPr="00C63D99" w:rsidRDefault="00616297" w:rsidP="00616297">
      <w:pPr>
        <w:tabs>
          <w:tab w:val="left" w:pos="284"/>
        </w:tabs>
        <w:contextualSpacing/>
        <w:rPr>
          <w:rFonts w:ascii="Palatino Linotype" w:eastAsiaTheme="minorEastAsia" w:hAnsi="Palatino Linotype" w:cs="Arial"/>
          <w:sz w:val="24"/>
          <w:szCs w:val="24"/>
          <w:lang w:val="es-ES_tradnl"/>
        </w:rPr>
      </w:pPr>
    </w:p>
    <w:p w14:paraId="6AA6288A" w14:textId="77777777" w:rsidR="00616297" w:rsidRPr="00C63D99" w:rsidRDefault="00616297" w:rsidP="00616297">
      <w:pPr>
        <w:numPr>
          <w:ilvl w:val="0"/>
          <w:numId w:val="2"/>
        </w:numPr>
        <w:tabs>
          <w:tab w:val="left" w:pos="284"/>
        </w:tabs>
        <w:spacing w:before="240" w:after="240" w:line="360" w:lineRule="auto"/>
        <w:ind w:left="0" w:firstLine="0"/>
        <w:contextualSpacing/>
        <w:jc w:val="both"/>
        <w:rPr>
          <w:rFonts w:ascii="Palatino Linotype" w:hAnsi="Palatino Linotype"/>
          <w:sz w:val="24"/>
          <w:szCs w:val="24"/>
          <w:lang w:val="es-ES_tradnl"/>
        </w:rPr>
      </w:pPr>
      <w:r w:rsidRPr="00C63D99">
        <w:rPr>
          <w:rFonts w:ascii="Palatino Linotype" w:eastAsiaTheme="minorEastAsia" w:hAnsi="Palatino Linotype" w:cs="Arial"/>
          <w:sz w:val="24"/>
          <w:szCs w:val="24"/>
          <w:lang w:val="es-ES_tradnl"/>
        </w:rPr>
        <w:t xml:space="preserve">Ante tal afectación, el artículo primero Constitucional de forma clara y precisa dispone que como consecuencia de la obligación que tienen las autoridades de promover, respetar, proteger y garantizar el derecho humano; el Estado deberá </w:t>
      </w:r>
      <w:r w:rsidRPr="00C63D99">
        <w:rPr>
          <w:rFonts w:ascii="Palatino Linotype" w:eastAsiaTheme="minorEastAsia" w:hAnsi="Palatino Linotype" w:cs="Arial"/>
          <w:sz w:val="24"/>
          <w:szCs w:val="24"/>
          <w:u w:val="single"/>
          <w:lang w:val="es-ES_tradnl"/>
        </w:rPr>
        <w:t>prevenir, investigar, sancionar y reparar las violaciones a los derechos humanos</w:t>
      </w:r>
      <w:r w:rsidRPr="00C63D99">
        <w:rPr>
          <w:rFonts w:ascii="Palatino Linotype" w:eastAsiaTheme="minorEastAsia" w:hAnsi="Palatino Linotype" w:cs="Arial"/>
          <w:sz w:val="24"/>
          <w:szCs w:val="24"/>
          <w:lang w:val="es-ES_tradnl"/>
        </w:rPr>
        <w:t xml:space="preserve">. </w:t>
      </w:r>
    </w:p>
    <w:p w14:paraId="036E14FF" w14:textId="77777777" w:rsidR="00616297" w:rsidRPr="00C63D99" w:rsidRDefault="00616297" w:rsidP="00616297">
      <w:pPr>
        <w:tabs>
          <w:tab w:val="left" w:pos="284"/>
        </w:tabs>
        <w:spacing w:before="240" w:after="240" w:line="360" w:lineRule="auto"/>
        <w:contextualSpacing/>
        <w:jc w:val="both"/>
        <w:rPr>
          <w:rFonts w:ascii="Palatino Linotype" w:hAnsi="Palatino Linotype"/>
          <w:sz w:val="24"/>
          <w:szCs w:val="24"/>
          <w:lang w:val="es-ES_tradnl"/>
        </w:rPr>
      </w:pPr>
    </w:p>
    <w:p w14:paraId="31282C77" w14:textId="77777777" w:rsidR="00616297" w:rsidRPr="00C63D99" w:rsidRDefault="00616297" w:rsidP="00616297">
      <w:pPr>
        <w:numPr>
          <w:ilvl w:val="0"/>
          <w:numId w:val="2"/>
        </w:numPr>
        <w:tabs>
          <w:tab w:val="left" w:pos="284"/>
        </w:tabs>
        <w:spacing w:before="240" w:line="360" w:lineRule="auto"/>
        <w:ind w:left="0" w:firstLine="0"/>
        <w:contextualSpacing/>
        <w:jc w:val="both"/>
        <w:rPr>
          <w:rFonts w:ascii="Palatino Linotype" w:hAnsi="Palatino Linotype"/>
          <w:sz w:val="24"/>
          <w:szCs w:val="24"/>
          <w:lang w:val="es-ES_tradnl"/>
        </w:rPr>
      </w:pPr>
      <w:r w:rsidRPr="00C63D99">
        <w:rPr>
          <w:rFonts w:ascii="Palatino Linotype" w:eastAsiaTheme="minorEastAsia" w:hAnsi="Palatino Linotype" w:cs="Arial"/>
          <w:sz w:val="24"/>
          <w:szCs w:val="24"/>
          <w:lang w:val="es-ES_tradnl"/>
        </w:rPr>
        <w:t xml:space="preserve">En tal sentido, el derecho de acceso a la información constituye una garantía primaria, tal y como lo señala el artículo 150 de la Ley de Transparencia y Acceso a la Información del Estado de México y Municipios, </w:t>
      </w:r>
      <w:proofErr w:type="gramStart"/>
      <w:r w:rsidRPr="00C63D99">
        <w:rPr>
          <w:rFonts w:ascii="Palatino Linotype" w:eastAsiaTheme="minorEastAsia" w:hAnsi="Palatino Linotype" w:cs="Arial"/>
          <w:sz w:val="24"/>
          <w:szCs w:val="24"/>
          <w:lang w:val="es-ES_tradnl"/>
        </w:rPr>
        <w:t>que</w:t>
      </w:r>
      <w:proofErr w:type="gramEnd"/>
      <w:r w:rsidRPr="00C63D99">
        <w:rPr>
          <w:rFonts w:ascii="Palatino Linotype" w:eastAsiaTheme="minorEastAsia" w:hAnsi="Palatino Linotype" w:cs="Arial"/>
          <w:sz w:val="24"/>
          <w:szCs w:val="24"/>
          <w:lang w:val="es-ES_tradnl"/>
        </w:rPr>
        <w:t xml:space="preserve"> además, establece que se regirá </w:t>
      </w:r>
      <w:r w:rsidRPr="00C63D99">
        <w:rPr>
          <w:rFonts w:ascii="Palatino Linotype" w:eastAsiaTheme="minorEastAsia" w:hAnsi="Palatino Linotype" w:cs="Arial"/>
          <w:i/>
          <w:sz w:val="24"/>
          <w:szCs w:val="24"/>
          <w:lang w:val="es-ES_tradnl"/>
        </w:rPr>
        <w:t>por los principios de simplicidad, rapidez gratuidad del procedimiento, auxilio y orientación a los particulares</w:t>
      </w:r>
      <w:r w:rsidRPr="00C63D99">
        <w:rPr>
          <w:rFonts w:ascii="Palatino Linotype" w:eastAsiaTheme="minorEastAsia" w:hAnsi="Palatino Linotype" w:cs="Arial"/>
          <w:sz w:val="24"/>
          <w:szCs w:val="24"/>
          <w:lang w:val="es-ES_tradnl"/>
        </w:rPr>
        <w:t xml:space="preserve">, contemplando el derecho de las personas con discapacidad y hablantes de lengua indígena. </w:t>
      </w:r>
    </w:p>
    <w:p w14:paraId="1702110D" w14:textId="77777777" w:rsidR="00616297" w:rsidRPr="00C63D99" w:rsidRDefault="00616297" w:rsidP="00616297">
      <w:pPr>
        <w:numPr>
          <w:ilvl w:val="0"/>
          <w:numId w:val="2"/>
        </w:numPr>
        <w:tabs>
          <w:tab w:val="left" w:pos="284"/>
        </w:tabs>
        <w:spacing w:before="240" w:after="240" w:line="360" w:lineRule="auto"/>
        <w:ind w:left="0" w:firstLine="0"/>
        <w:contextualSpacing/>
        <w:jc w:val="both"/>
        <w:rPr>
          <w:rFonts w:ascii="Palatino Linotype" w:hAnsi="Palatino Linotype"/>
          <w:sz w:val="24"/>
          <w:szCs w:val="24"/>
          <w:lang w:val="es-ES_tradnl"/>
        </w:rPr>
      </w:pPr>
      <w:r w:rsidRPr="00C63D99">
        <w:rPr>
          <w:rFonts w:ascii="Palatino Linotype" w:hAnsi="Palatino Linotype"/>
          <w:sz w:val="24"/>
          <w:szCs w:val="24"/>
          <w:lang w:val="es-ES_tradnl"/>
        </w:rPr>
        <w:lastRenderedPageBreak/>
        <w:t xml:space="preserve">Es así que la </w:t>
      </w:r>
      <w:r w:rsidRPr="00C63D99">
        <w:rPr>
          <w:rFonts w:ascii="Palatino Linotype" w:hAnsi="Palatino Linotype"/>
          <w:b/>
          <w:sz w:val="24"/>
          <w:szCs w:val="24"/>
          <w:lang w:val="es-ES_tradnl"/>
        </w:rPr>
        <w:t xml:space="preserve">Ley de Transparencia y Acceso a la Información Pública del Estado de México y Municipios, </w:t>
      </w:r>
      <w:r w:rsidRPr="00C63D99">
        <w:rPr>
          <w:rFonts w:ascii="Palatino Linotype" w:hAnsi="Palatino Linotype"/>
          <w:sz w:val="24"/>
          <w:szCs w:val="24"/>
          <w:lang w:val="es-ES_tradnl"/>
        </w:rPr>
        <w:t>cuyo objeto es establecer principios, bases generales y procedimientos para tutelar y garantizar la transparencia y el derecho humano de acceso a la información pública en posesión de los sujetos obligados; en su artículo 176</w:t>
      </w:r>
      <w:r w:rsidRPr="00C63D99">
        <w:rPr>
          <w:rFonts w:ascii="Palatino Linotype" w:hAnsi="Palatino Linotype"/>
          <w:b/>
          <w:sz w:val="24"/>
          <w:szCs w:val="24"/>
          <w:lang w:val="es-ES_tradnl"/>
        </w:rPr>
        <w:t xml:space="preserve"> </w:t>
      </w:r>
      <w:r w:rsidRPr="00C63D99">
        <w:rPr>
          <w:rFonts w:ascii="Palatino Linotype" w:hAnsi="Palatino Linotype"/>
          <w:sz w:val="24"/>
          <w:szCs w:val="24"/>
          <w:lang w:val="es-ES_tradnl"/>
        </w:rPr>
        <w:t xml:space="preserve">establece que </w:t>
      </w:r>
      <w:r w:rsidRPr="00C63D99">
        <w:rPr>
          <w:rFonts w:ascii="Palatino Linotype" w:hAnsi="Palatino Linotype"/>
          <w:b/>
          <w:i/>
          <w:sz w:val="24"/>
          <w:szCs w:val="24"/>
          <w:u w:val="single"/>
          <w:lang w:val="es-ES_tradnl"/>
        </w:rPr>
        <w:t>el recurso de revisión es la garantía secundaria</w:t>
      </w:r>
      <w:r w:rsidRPr="00C63D99">
        <w:rPr>
          <w:rFonts w:ascii="Palatino Linotype" w:hAnsi="Palatino Linotype"/>
          <w:b/>
          <w:i/>
          <w:sz w:val="24"/>
          <w:szCs w:val="24"/>
          <w:lang w:val="es-ES_tradnl"/>
        </w:rPr>
        <w:t xml:space="preserve"> mediante la cual se pretende reparar cualquier posible afectación al derecho de acceso a la información pública</w:t>
      </w:r>
      <w:r w:rsidRPr="00C63D99">
        <w:rPr>
          <w:rFonts w:ascii="Palatino Linotype" w:hAnsi="Palatino Linotype"/>
          <w:b/>
          <w:sz w:val="24"/>
          <w:szCs w:val="24"/>
          <w:lang w:val="es-ES_tradnl"/>
        </w:rPr>
        <w:t>, s</w:t>
      </w:r>
      <w:r w:rsidRPr="00C63D99">
        <w:rPr>
          <w:rFonts w:ascii="Palatino Linotype" w:hAnsi="Palatino Linotype"/>
          <w:sz w:val="24"/>
          <w:szCs w:val="24"/>
          <w:lang w:val="es-ES_tradnl"/>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4554E5C8" w14:textId="77777777" w:rsidR="00616297" w:rsidRPr="00C63D99" w:rsidRDefault="00616297" w:rsidP="00616297">
      <w:pPr>
        <w:tabs>
          <w:tab w:val="left" w:pos="284"/>
        </w:tabs>
        <w:rPr>
          <w:rFonts w:ascii="Palatino Linotype" w:eastAsia="MS Mincho" w:hAnsi="Palatino Linotype" w:cs="Arial"/>
          <w:sz w:val="24"/>
          <w:szCs w:val="24"/>
          <w:lang w:val="es-ES_tradnl"/>
        </w:rPr>
      </w:pPr>
    </w:p>
    <w:p w14:paraId="64FFFD20" w14:textId="77777777" w:rsidR="00616297" w:rsidRPr="00C63D99" w:rsidRDefault="00616297" w:rsidP="00616297">
      <w:pPr>
        <w:numPr>
          <w:ilvl w:val="0"/>
          <w:numId w:val="2"/>
        </w:numPr>
        <w:tabs>
          <w:tab w:val="left" w:pos="284"/>
        </w:tabs>
        <w:spacing w:before="240" w:after="240" w:line="360" w:lineRule="auto"/>
        <w:ind w:left="0" w:firstLine="0"/>
        <w:contextualSpacing/>
        <w:jc w:val="both"/>
        <w:rPr>
          <w:rFonts w:ascii="Palatino Linotype" w:eastAsia="Calibri" w:hAnsi="Palatino Linotype"/>
          <w:sz w:val="24"/>
          <w:szCs w:val="24"/>
          <w:lang w:val="es-ES_tradnl"/>
        </w:rPr>
      </w:pPr>
      <w:r w:rsidRPr="00C63D99">
        <w:rPr>
          <w:rFonts w:ascii="Palatino Linotype" w:eastAsia="Calibri" w:hAnsi="Palatino Linotype"/>
          <w:sz w:val="24"/>
          <w:szCs w:val="24"/>
          <w:lang w:val="es-ES_tradnl"/>
        </w:rPr>
        <w:t xml:space="preserve">Establecido lo anterior, resulta evidente que las razones o motivos de inconformidad hechos valer en el recurso de revisión resultan </w:t>
      </w:r>
      <w:r w:rsidRPr="00C63D99">
        <w:rPr>
          <w:rFonts w:ascii="Palatino Linotype" w:eastAsia="Calibri" w:hAnsi="Palatino Linotype"/>
          <w:b/>
          <w:sz w:val="24"/>
          <w:szCs w:val="24"/>
          <w:lang w:val="es-ES_tradnl"/>
        </w:rPr>
        <w:t>fundadas y procedentes</w:t>
      </w:r>
      <w:r w:rsidRPr="00C63D99">
        <w:rPr>
          <w:rFonts w:ascii="Palatino Linotype" w:eastAsia="Calibri" w:hAnsi="Palatino Linotype"/>
          <w:sz w:val="24"/>
          <w:szCs w:val="24"/>
          <w:lang w:val="es-ES_tradnl"/>
        </w:rPr>
        <w:t xml:space="preserve">, debido a que el </w:t>
      </w:r>
      <w:r w:rsidRPr="00C63D99">
        <w:rPr>
          <w:rFonts w:ascii="Palatino Linotype" w:eastAsia="Calibri" w:hAnsi="Palatino Linotype"/>
          <w:b/>
          <w:sz w:val="24"/>
          <w:szCs w:val="24"/>
          <w:lang w:val="es-ES_tradnl"/>
        </w:rPr>
        <w:t>SUJETO OBLIGADO</w:t>
      </w:r>
      <w:r w:rsidRPr="00C63D99">
        <w:rPr>
          <w:rFonts w:ascii="Palatino Linotype" w:eastAsia="Calibri" w:hAnsi="Palatino Linotype"/>
          <w:sz w:val="24"/>
          <w:szCs w:val="24"/>
          <w:lang w:val="es-ES_tradnl"/>
        </w:rPr>
        <w:t xml:space="preserve"> fue omiso en responder la solicitud de información en cuestión, es decir, NO proporciono respuesta alguna, negando así el acceso a cualquier tipo de información sin ofrecer mayores explicaciones, es decir, no fundó ni motivó su omisión, su falta de actuación en relación a sus obligaciones de garantizar el acceso a la información pública. </w:t>
      </w:r>
    </w:p>
    <w:p w14:paraId="4B9E9BCD" w14:textId="77777777" w:rsidR="00616297" w:rsidRPr="00C63D99" w:rsidRDefault="00616297" w:rsidP="00616297">
      <w:pPr>
        <w:tabs>
          <w:tab w:val="left" w:pos="284"/>
        </w:tabs>
        <w:spacing w:before="240" w:after="240" w:line="360" w:lineRule="auto"/>
        <w:contextualSpacing/>
        <w:jc w:val="both"/>
        <w:rPr>
          <w:rFonts w:ascii="Palatino Linotype" w:eastAsia="Calibri" w:hAnsi="Palatino Linotype"/>
          <w:sz w:val="24"/>
          <w:szCs w:val="24"/>
          <w:lang w:val="es-ES_tradnl"/>
        </w:rPr>
      </w:pPr>
    </w:p>
    <w:p w14:paraId="1ECBE5E2" w14:textId="5BC89A4C" w:rsidR="00616297" w:rsidRPr="00C63D99" w:rsidRDefault="00616297" w:rsidP="00616297">
      <w:pPr>
        <w:numPr>
          <w:ilvl w:val="0"/>
          <w:numId w:val="2"/>
        </w:numPr>
        <w:tabs>
          <w:tab w:val="left" w:pos="284"/>
        </w:tabs>
        <w:spacing w:before="240" w:after="240" w:line="360" w:lineRule="auto"/>
        <w:ind w:left="0" w:firstLine="0"/>
        <w:contextualSpacing/>
        <w:jc w:val="both"/>
        <w:rPr>
          <w:rFonts w:ascii="Palatino Linotype" w:eastAsia="Calibri" w:hAnsi="Palatino Linotype"/>
          <w:sz w:val="24"/>
          <w:szCs w:val="24"/>
          <w:lang w:val="es-ES_tradnl"/>
        </w:rPr>
      </w:pPr>
      <w:r w:rsidRPr="00C63D99">
        <w:rPr>
          <w:rFonts w:ascii="Palatino Linotype" w:eastAsia="Calibri" w:hAnsi="Palatino Linotype"/>
          <w:sz w:val="24"/>
          <w:szCs w:val="24"/>
          <w:lang w:val="es-ES_tradnl"/>
        </w:rPr>
        <w:t xml:space="preserve">Dicha omisión implica un incumplimiento de las obligaciones que la Ley de Transparencia y Acceso a la Información del Estado de México y Municipios le impone </w:t>
      </w:r>
      <w:r w:rsidRPr="00C63D99">
        <w:rPr>
          <w:rFonts w:ascii="Palatino Linotype" w:eastAsia="Calibri" w:hAnsi="Palatino Linotype"/>
          <w:sz w:val="24"/>
          <w:szCs w:val="24"/>
          <w:lang w:val="es-ES_tradnl"/>
        </w:rPr>
        <w:lastRenderedPageBreak/>
        <w:t xml:space="preserve">al </w:t>
      </w:r>
      <w:r w:rsidR="007441D8" w:rsidRPr="00C63D99">
        <w:rPr>
          <w:rFonts w:ascii="Palatino Linotype" w:eastAsia="Calibri" w:hAnsi="Palatino Linotype" w:cs="Tahoma"/>
          <w:b/>
          <w:sz w:val="24"/>
          <w:szCs w:val="28"/>
          <w:lang w:eastAsia="en-US"/>
        </w:rPr>
        <w:t>Ayuntamiento de Metepec</w:t>
      </w:r>
      <w:r w:rsidRPr="00C63D99">
        <w:rPr>
          <w:rFonts w:ascii="Palatino Linotype" w:eastAsia="Calibri" w:hAnsi="Palatino Linotype"/>
          <w:b/>
          <w:sz w:val="24"/>
          <w:szCs w:val="24"/>
          <w:lang w:val="es-ES_tradnl"/>
        </w:rPr>
        <w:t xml:space="preserve"> </w:t>
      </w:r>
      <w:r w:rsidRPr="00C63D99">
        <w:rPr>
          <w:rFonts w:ascii="Palatino Linotype" w:eastAsia="Calibri" w:hAnsi="Palatino Linotype"/>
          <w:sz w:val="24"/>
          <w:szCs w:val="24"/>
          <w:lang w:val="es-ES_tradnl"/>
        </w:rPr>
        <w:t>como sujeto obligado, de conformidad con el artículo 23 fracción IV, que a la letra dice:</w:t>
      </w:r>
    </w:p>
    <w:p w14:paraId="0F3EE3D9" w14:textId="77777777" w:rsidR="00616297" w:rsidRPr="00C63D99" w:rsidRDefault="00616297" w:rsidP="00616297">
      <w:pPr>
        <w:tabs>
          <w:tab w:val="left" w:pos="284"/>
        </w:tabs>
        <w:contextualSpacing/>
        <w:rPr>
          <w:rFonts w:ascii="Palatino Linotype" w:eastAsia="Calibri" w:hAnsi="Palatino Linotype"/>
          <w:sz w:val="24"/>
          <w:szCs w:val="24"/>
          <w:lang w:val="es-ES_tradnl"/>
        </w:rPr>
      </w:pPr>
    </w:p>
    <w:p w14:paraId="7AB7C003" w14:textId="77777777" w:rsidR="00616297" w:rsidRPr="00C63D99" w:rsidRDefault="00616297" w:rsidP="00616297">
      <w:pPr>
        <w:tabs>
          <w:tab w:val="left" w:pos="284"/>
        </w:tabs>
        <w:spacing w:before="240" w:after="240" w:line="360" w:lineRule="auto"/>
        <w:ind w:left="567" w:right="567"/>
        <w:contextualSpacing/>
        <w:rPr>
          <w:rFonts w:ascii="Palatino Linotype" w:eastAsia="Calibri" w:hAnsi="Palatino Linotype"/>
          <w:b/>
          <w:bCs/>
          <w:i/>
          <w:sz w:val="22"/>
          <w:szCs w:val="22"/>
          <w:lang w:val="es-ES_tradnl"/>
        </w:rPr>
      </w:pPr>
      <w:r w:rsidRPr="00C63D99">
        <w:rPr>
          <w:rFonts w:ascii="Palatino Linotype" w:eastAsia="Calibri" w:hAnsi="Palatino Linotype"/>
          <w:b/>
          <w:bCs/>
          <w:i/>
          <w:sz w:val="22"/>
          <w:szCs w:val="22"/>
          <w:lang w:val="es-ES_tradnl"/>
        </w:rPr>
        <w:t>“Artículo 23.</w:t>
      </w:r>
      <w:r w:rsidRPr="00C63D99">
        <w:rPr>
          <w:rFonts w:ascii="Palatino Linotype" w:eastAsia="Calibri" w:hAnsi="Palatino Linotype"/>
          <w:bCs/>
          <w:i/>
          <w:sz w:val="22"/>
          <w:szCs w:val="22"/>
          <w:lang w:val="es-ES_tradnl"/>
        </w:rPr>
        <w:t xml:space="preserve"> </w:t>
      </w:r>
      <w:r w:rsidRPr="00C63D99">
        <w:rPr>
          <w:rFonts w:ascii="Palatino Linotype" w:eastAsia="Calibri" w:hAnsi="Palatino Linotype"/>
          <w:b/>
          <w:bCs/>
          <w:i/>
          <w:sz w:val="22"/>
          <w:szCs w:val="22"/>
          <w:lang w:val="es-ES_tradnl"/>
        </w:rPr>
        <w:t xml:space="preserve">Son </w:t>
      </w:r>
      <w:r w:rsidRPr="00C63D99">
        <w:rPr>
          <w:rFonts w:ascii="Palatino Linotype" w:eastAsia="Calibri" w:hAnsi="Palatino Linotype"/>
          <w:b/>
          <w:bCs/>
          <w:i/>
          <w:sz w:val="22"/>
          <w:szCs w:val="22"/>
          <w:u w:val="single"/>
          <w:lang w:val="es-ES_tradnl"/>
        </w:rPr>
        <w:t>sujetos obligados a transparentar y permitir el acceso a su información</w:t>
      </w:r>
      <w:r w:rsidRPr="00C63D99">
        <w:rPr>
          <w:rFonts w:ascii="Palatino Linotype" w:eastAsia="Calibri" w:hAnsi="Palatino Linotype"/>
          <w:b/>
          <w:bCs/>
          <w:i/>
          <w:sz w:val="22"/>
          <w:szCs w:val="22"/>
          <w:lang w:val="es-ES_tradnl"/>
        </w:rPr>
        <w:t xml:space="preserve"> y proteger los datos personales que obren en su poder: </w:t>
      </w:r>
    </w:p>
    <w:p w14:paraId="764E3E87" w14:textId="7935CD3F" w:rsidR="00616297" w:rsidRPr="00C63D99" w:rsidRDefault="009D1B5C" w:rsidP="00616297">
      <w:pPr>
        <w:tabs>
          <w:tab w:val="left" w:pos="284"/>
        </w:tabs>
        <w:spacing w:before="240" w:after="240" w:line="360" w:lineRule="auto"/>
        <w:ind w:left="567" w:right="567"/>
        <w:contextualSpacing/>
        <w:rPr>
          <w:rFonts w:ascii="Palatino Linotype" w:eastAsia="Calibri" w:hAnsi="Palatino Linotype"/>
          <w:bCs/>
          <w:i/>
          <w:sz w:val="22"/>
          <w:szCs w:val="22"/>
          <w:lang w:val="es-ES_tradnl"/>
        </w:rPr>
      </w:pPr>
      <w:r w:rsidRPr="00C63D99">
        <w:rPr>
          <w:rFonts w:ascii="Palatino Linotype" w:eastAsia="Calibri" w:hAnsi="Palatino Linotype"/>
          <w:bCs/>
          <w:i/>
          <w:sz w:val="22"/>
          <w:szCs w:val="22"/>
          <w:lang w:val="es-ES_tradnl"/>
        </w:rPr>
        <w:t>…</w:t>
      </w:r>
    </w:p>
    <w:p w14:paraId="1D54640C" w14:textId="77777777" w:rsidR="009D1B5C" w:rsidRPr="00C63D99" w:rsidRDefault="009D1B5C" w:rsidP="00616297">
      <w:pPr>
        <w:tabs>
          <w:tab w:val="left" w:pos="284"/>
        </w:tabs>
        <w:ind w:left="567"/>
        <w:contextualSpacing/>
        <w:jc w:val="both"/>
        <w:rPr>
          <w:rFonts w:ascii="Palatino Linotype" w:hAnsi="Palatino Linotype"/>
          <w:i/>
          <w:sz w:val="22"/>
          <w:szCs w:val="22"/>
        </w:rPr>
      </w:pPr>
      <w:r w:rsidRPr="00C63D99">
        <w:rPr>
          <w:rFonts w:ascii="Palatino Linotype" w:hAnsi="Palatino Linotype"/>
          <w:i/>
          <w:sz w:val="22"/>
          <w:szCs w:val="22"/>
        </w:rPr>
        <w:t>IV. Los ayuntamientos y las dependencias, organismos, órganos y entidades de la administración municipal;</w:t>
      </w:r>
    </w:p>
    <w:p w14:paraId="538843A6" w14:textId="498EF0D5" w:rsidR="00616297" w:rsidRPr="00C63D99" w:rsidRDefault="00616297" w:rsidP="00616297">
      <w:pPr>
        <w:tabs>
          <w:tab w:val="left" w:pos="284"/>
        </w:tabs>
        <w:ind w:left="567"/>
        <w:contextualSpacing/>
        <w:jc w:val="both"/>
        <w:rPr>
          <w:rFonts w:ascii="Palatino Linotype" w:eastAsia="Calibri" w:hAnsi="Palatino Linotype"/>
          <w:i/>
          <w:sz w:val="22"/>
          <w:szCs w:val="22"/>
          <w:lang w:val="es-ES_tradnl"/>
        </w:rPr>
      </w:pPr>
      <w:r w:rsidRPr="00C63D99">
        <w:rPr>
          <w:rFonts w:ascii="Palatino Linotype" w:eastAsia="Calibri" w:hAnsi="Palatino Linotype"/>
          <w:i/>
          <w:sz w:val="22"/>
          <w:szCs w:val="22"/>
          <w:lang w:val="es-ES_tradnl"/>
        </w:rPr>
        <w:t>…</w:t>
      </w:r>
    </w:p>
    <w:p w14:paraId="518506D1" w14:textId="77777777" w:rsidR="00616297" w:rsidRPr="00C63D99" w:rsidRDefault="00616297" w:rsidP="00616297">
      <w:pPr>
        <w:tabs>
          <w:tab w:val="left" w:pos="284"/>
        </w:tabs>
        <w:contextualSpacing/>
        <w:rPr>
          <w:rFonts w:ascii="Palatino Linotype" w:eastAsia="Calibri" w:hAnsi="Palatino Linotype"/>
          <w:sz w:val="24"/>
          <w:szCs w:val="24"/>
          <w:lang w:val="es-ES_tradnl"/>
        </w:rPr>
      </w:pPr>
    </w:p>
    <w:p w14:paraId="65981C3D" w14:textId="3AF51B42" w:rsidR="00616297" w:rsidRPr="00C63D99" w:rsidRDefault="00616297" w:rsidP="00616297">
      <w:pPr>
        <w:numPr>
          <w:ilvl w:val="0"/>
          <w:numId w:val="2"/>
        </w:numPr>
        <w:tabs>
          <w:tab w:val="left" w:pos="284"/>
        </w:tabs>
        <w:spacing w:before="240" w:after="240" w:line="360" w:lineRule="auto"/>
        <w:ind w:left="0" w:firstLine="0"/>
        <w:contextualSpacing/>
        <w:jc w:val="both"/>
        <w:rPr>
          <w:rFonts w:ascii="Palatino Linotype" w:eastAsia="Calibri" w:hAnsi="Palatino Linotype"/>
          <w:sz w:val="24"/>
          <w:szCs w:val="24"/>
          <w:lang w:val="es-ES_tradnl"/>
        </w:rPr>
      </w:pPr>
      <w:r w:rsidRPr="00C63D99">
        <w:rPr>
          <w:rFonts w:ascii="Palatino Linotype" w:eastAsia="Calibri" w:hAnsi="Palatino Linotype"/>
          <w:sz w:val="24"/>
          <w:szCs w:val="24"/>
          <w:lang w:val="es-ES_tradnl"/>
        </w:rPr>
        <w:t xml:space="preserve">Así en calidad de </w:t>
      </w:r>
      <w:r w:rsidRPr="00C63D99">
        <w:rPr>
          <w:rFonts w:ascii="Palatino Linotype" w:eastAsia="Calibri" w:hAnsi="Palatino Linotype"/>
          <w:b/>
          <w:sz w:val="24"/>
          <w:szCs w:val="24"/>
          <w:lang w:val="es-ES_tradnl"/>
        </w:rPr>
        <w:t>SUJETO OBLIGADO</w:t>
      </w:r>
      <w:r w:rsidRPr="00C63D99">
        <w:rPr>
          <w:rFonts w:ascii="Palatino Linotype" w:eastAsia="Calibri" w:hAnsi="Palatino Linotype"/>
          <w:sz w:val="24"/>
          <w:szCs w:val="24"/>
          <w:lang w:val="es-ES_tradnl"/>
        </w:rPr>
        <w:t xml:space="preserve">, el </w:t>
      </w:r>
      <w:r w:rsidR="007441D8" w:rsidRPr="00C63D99">
        <w:rPr>
          <w:rFonts w:ascii="Palatino Linotype" w:eastAsia="Calibri" w:hAnsi="Palatino Linotype" w:cs="Tahoma"/>
          <w:b/>
          <w:sz w:val="24"/>
          <w:szCs w:val="28"/>
          <w:lang w:eastAsia="en-US"/>
        </w:rPr>
        <w:t>Ayuntamiento de Metepec</w:t>
      </w:r>
      <w:r w:rsidRPr="00C63D99">
        <w:rPr>
          <w:rFonts w:ascii="Palatino Linotype" w:eastAsia="Calibri" w:hAnsi="Palatino Linotype"/>
          <w:b/>
          <w:sz w:val="24"/>
          <w:szCs w:val="24"/>
          <w:lang w:val="es-ES_tradnl"/>
        </w:rPr>
        <w:t xml:space="preserve"> </w:t>
      </w:r>
      <w:r w:rsidRPr="00C63D99">
        <w:rPr>
          <w:rFonts w:ascii="Palatino Linotype" w:eastAsia="Calibri" w:hAnsi="Palatino Linotype"/>
          <w:sz w:val="24"/>
          <w:szCs w:val="24"/>
          <w:lang w:val="es-ES_tradnl"/>
        </w:rPr>
        <w:t xml:space="preserve">se encuentra constreñido a respetar y cumplir el Derecho Humano de Acceso a la Información Pública consignado de igual forma como ya se refirió por la Constitución Política de los Estados Unidos Mexicanos y la Constitución Política del Estado Libre y Soberano de México respectivamente: </w:t>
      </w:r>
    </w:p>
    <w:p w14:paraId="17804760" w14:textId="77777777" w:rsidR="00616297" w:rsidRPr="00C63D99" w:rsidRDefault="00616297" w:rsidP="00616297">
      <w:pPr>
        <w:tabs>
          <w:tab w:val="left" w:pos="284"/>
        </w:tabs>
        <w:spacing w:before="240" w:after="240" w:line="360" w:lineRule="auto"/>
        <w:contextualSpacing/>
        <w:jc w:val="both"/>
        <w:rPr>
          <w:rFonts w:ascii="Palatino Linotype" w:eastAsia="Calibri" w:hAnsi="Palatino Linotype"/>
          <w:sz w:val="24"/>
          <w:szCs w:val="24"/>
          <w:lang w:val="es-ES_tradnl"/>
        </w:rPr>
      </w:pPr>
    </w:p>
    <w:p w14:paraId="2F3EE0FA" w14:textId="77777777" w:rsidR="00616297" w:rsidRPr="00C63D99" w:rsidRDefault="00616297" w:rsidP="00616297">
      <w:pPr>
        <w:tabs>
          <w:tab w:val="left" w:pos="284"/>
        </w:tabs>
        <w:spacing w:line="360" w:lineRule="auto"/>
        <w:ind w:left="567" w:right="567"/>
        <w:jc w:val="center"/>
        <w:rPr>
          <w:rFonts w:ascii="Palatino Linotype" w:eastAsiaTheme="minorEastAsia" w:hAnsi="Palatino Linotype" w:cs="Arial"/>
          <w:b/>
          <w:bCs/>
          <w:i/>
          <w:sz w:val="22"/>
          <w:lang w:val="es-ES_tradnl"/>
        </w:rPr>
      </w:pPr>
      <w:r w:rsidRPr="00C63D99">
        <w:rPr>
          <w:rFonts w:ascii="Palatino Linotype" w:eastAsiaTheme="minorEastAsia" w:hAnsi="Palatino Linotype" w:cs="Arial"/>
          <w:b/>
          <w:bCs/>
          <w:i/>
          <w:sz w:val="22"/>
          <w:lang w:val="es-ES_tradnl"/>
        </w:rPr>
        <w:t>Constitución Política de los Estados Unidos Mexicanos</w:t>
      </w:r>
    </w:p>
    <w:p w14:paraId="1A49AC04" w14:textId="77777777" w:rsidR="00616297" w:rsidRPr="00C63D99" w:rsidRDefault="00616297" w:rsidP="00616297">
      <w:pPr>
        <w:tabs>
          <w:tab w:val="left" w:pos="284"/>
        </w:tabs>
        <w:spacing w:line="360" w:lineRule="auto"/>
        <w:ind w:left="567" w:right="567"/>
        <w:jc w:val="both"/>
        <w:rPr>
          <w:rFonts w:ascii="Palatino Linotype" w:eastAsiaTheme="minorEastAsia" w:hAnsi="Palatino Linotype" w:cs="Arial"/>
          <w:bCs/>
          <w:i/>
          <w:sz w:val="22"/>
          <w:lang w:val="es-ES_tradnl"/>
        </w:rPr>
      </w:pPr>
    </w:p>
    <w:p w14:paraId="1758DD16" w14:textId="77777777" w:rsidR="00616297" w:rsidRPr="00C63D99" w:rsidRDefault="00616297" w:rsidP="00616297">
      <w:pPr>
        <w:tabs>
          <w:tab w:val="left" w:pos="284"/>
        </w:tabs>
        <w:spacing w:line="360" w:lineRule="auto"/>
        <w:ind w:left="567" w:right="567"/>
        <w:jc w:val="both"/>
        <w:rPr>
          <w:rFonts w:ascii="Palatino Linotype" w:eastAsiaTheme="minorEastAsia" w:hAnsi="Palatino Linotype" w:cs="Arial"/>
          <w:b/>
          <w:bCs/>
          <w:i/>
          <w:sz w:val="22"/>
          <w:lang w:val="es-ES_tradnl"/>
        </w:rPr>
      </w:pPr>
      <w:r w:rsidRPr="00C63D99">
        <w:rPr>
          <w:rFonts w:ascii="Palatino Linotype" w:eastAsiaTheme="minorEastAsia" w:hAnsi="Palatino Linotype" w:cs="Arial"/>
          <w:b/>
          <w:bCs/>
          <w:i/>
          <w:sz w:val="22"/>
          <w:lang w:val="es-ES_tradnl"/>
        </w:rPr>
        <w:t>“Artículo 6.</w:t>
      </w:r>
      <w:r w:rsidRPr="00C63D99">
        <w:rPr>
          <w:rFonts w:ascii="Palatino Linotype" w:eastAsiaTheme="minorEastAsia" w:hAnsi="Palatino Linotype" w:cs="Arial"/>
          <w:bCs/>
          <w:i/>
          <w:sz w:val="22"/>
          <w:lang w:val="es-ES_tradnl"/>
        </w:rPr>
        <w:t xml:space="preserve"> …</w:t>
      </w:r>
    </w:p>
    <w:p w14:paraId="47266158" w14:textId="77777777" w:rsidR="00616297" w:rsidRPr="00C63D99" w:rsidRDefault="00616297" w:rsidP="00616297">
      <w:pPr>
        <w:tabs>
          <w:tab w:val="left" w:pos="284"/>
        </w:tabs>
        <w:spacing w:line="360" w:lineRule="auto"/>
        <w:ind w:left="567" w:right="567"/>
        <w:jc w:val="both"/>
        <w:rPr>
          <w:rFonts w:ascii="Palatino Linotype" w:eastAsiaTheme="minorEastAsia" w:hAnsi="Palatino Linotype" w:cs="Arial"/>
          <w:bCs/>
          <w:i/>
          <w:sz w:val="22"/>
          <w:lang w:val="es-ES_tradnl"/>
        </w:rPr>
      </w:pPr>
      <w:r w:rsidRPr="00C63D99">
        <w:rPr>
          <w:rFonts w:ascii="Palatino Linotype" w:eastAsiaTheme="minorEastAsia" w:hAnsi="Palatino Linotype" w:cs="Arial"/>
          <w:bCs/>
          <w:i/>
          <w:sz w:val="22"/>
          <w:lang w:val="es-ES_tradnl"/>
        </w:rPr>
        <w:t>…</w:t>
      </w:r>
    </w:p>
    <w:p w14:paraId="26714A55" w14:textId="77777777" w:rsidR="00616297" w:rsidRPr="00C63D99" w:rsidRDefault="00616297" w:rsidP="00616297">
      <w:pPr>
        <w:tabs>
          <w:tab w:val="left" w:pos="284"/>
        </w:tabs>
        <w:spacing w:line="360" w:lineRule="auto"/>
        <w:ind w:left="567" w:right="567"/>
        <w:jc w:val="both"/>
        <w:rPr>
          <w:rFonts w:ascii="Palatino Linotype" w:eastAsiaTheme="minorEastAsia" w:hAnsi="Palatino Linotype" w:cs="Arial"/>
          <w:bCs/>
          <w:i/>
          <w:sz w:val="22"/>
          <w:lang w:val="es-ES_tradnl"/>
        </w:rPr>
      </w:pPr>
      <w:r w:rsidRPr="00C63D99">
        <w:rPr>
          <w:rFonts w:ascii="Palatino Linotype" w:eastAsiaTheme="minorEastAsia" w:hAnsi="Palatino Linotype" w:cs="Arial"/>
          <w:bCs/>
          <w:i/>
          <w:sz w:val="22"/>
          <w:lang w:val="es-ES_tradnl"/>
        </w:rPr>
        <w:t>Para efectos de lo dispuesto en el presente artículo se observará lo siguiente:</w:t>
      </w:r>
    </w:p>
    <w:p w14:paraId="633D5ECA" w14:textId="77777777" w:rsidR="00616297" w:rsidRPr="00C63D99" w:rsidRDefault="00616297" w:rsidP="00616297">
      <w:pPr>
        <w:tabs>
          <w:tab w:val="left" w:pos="284"/>
        </w:tabs>
        <w:spacing w:line="360" w:lineRule="auto"/>
        <w:ind w:left="567" w:right="567"/>
        <w:jc w:val="both"/>
        <w:rPr>
          <w:rFonts w:ascii="Palatino Linotype" w:eastAsiaTheme="minorEastAsia" w:hAnsi="Palatino Linotype" w:cs="Arial"/>
          <w:b/>
          <w:bCs/>
          <w:i/>
          <w:sz w:val="22"/>
          <w:lang w:val="es-ES_tradnl"/>
        </w:rPr>
      </w:pPr>
      <w:r w:rsidRPr="00C63D99">
        <w:rPr>
          <w:rFonts w:ascii="Palatino Linotype" w:eastAsiaTheme="minorEastAsia" w:hAnsi="Palatino Linotype" w:cs="Arial"/>
          <w:b/>
          <w:bCs/>
          <w:i/>
          <w:sz w:val="22"/>
          <w:lang w:val="es-ES_tradnl"/>
        </w:rPr>
        <w:lastRenderedPageBreak/>
        <w:t>A</w:t>
      </w:r>
      <w:r w:rsidRPr="00C63D99">
        <w:rPr>
          <w:rFonts w:ascii="Palatino Linotype" w:eastAsiaTheme="minorEastAsia" w:hAnsi="Palatino Linotype" w:cs="Arial"/>
          <w:bCs/>
          <w:i/>
          <w:sz w:val="22"/>
          <w:lang w:val="es-ES_tradnl"/>
        </w:rPr>
        <w:t xml:space="preserve">. </w:t>
      </w:r>
      <w:r w:rsidRPr="00C63D99">
        <w:rPr>
          <w:rFonts w:ascii="Palatino Linotype" w:eastAsiaTheme="minorEastAsia" w:hAnsi="Palatino Linotype" w:cs="Arial"/>
          <w:b/>
          <w:bCs/>
          <w:i/>
          <w:sz w:val="22"/>
          <w:lang w:val="es-ES_tradnl"/>
        </w:rPr>
        <w:t>Para el ejercicio del derecho de acceso a la información</w:t>
      </w:r>
      <w:r w:rsidRPr="00C63D99">
        <w:rPr>
          <w:rFonts w:ascii="Palatino Linotype" w:eastAsiaTheme="minorEastAsia" w:hAnsi="Palatino Linotype" w:cs="Arial"/>
          <w:bCs/>
          <w:i/>
          <w:sz w:val="22"/>
          <w:lang w:val="es-ES_tradnl"/>
        </w:rPr>
        <w:t xml:space="preserve">, la Federación y </w:t>
      </w:r>
      <w:r w:rsidRPr="00C63D99">
        <w:rPr>
          <w:rFonts w:ascii="Palatino Linotype" w:eastAsiaTheme="minorEastAsia" w:hAnsi="Palatino Linotype" w:cs="Arial"/>
          <w:b/>
          <w:bCs/>
          <w:i/>
          <w:sz w:val="22"/>
          <w:lang w:val="es-ES_tradnl"/>
        </w:rPr>
        <w:t>las entidades federativas, en el ámbito de sus respectivas competencias, se regirán por los siguientes principios y bases:</w:t>
      </w:r>
    </w:p>
    <w:p w14:paraId="446A6943" w14:textId="77777777" w:rsidR="00616297" w:rsidRPr="00C63D99" w:rsidRDefault="00616297" w:rsidP="00616297">
      <w:pPr>
        <w:tabs>
          <w:tab w:val="left" w:pos="284"/>
        </w:tabs>
        <w:spacing w:line="360" w:lineRule="auto"/>
        <w:ind w:left="567" w:right="567"/>
        <w:jc w:val="both"/>
        <w:rPr>
          <w:rFonts w:ascii="Palatino Linotype" w:eastAsiaTheme="minorEastAsia" w:hAnsi="Palatino Linotype" w:cs="Arial"/>
          <w:b/>
          <w:bCs/>
          <w:i/>
          <w:sz w:val="22"/>
          <w:lang w:val="es-ES_tradnl"/>
        </w:rPr>
      </w:pPr>
    </w:p>
    <w:p w14:paraId="41550F2C" w14:textId="77777777" w:rsidR="00616297" w:rsidRPr="00C63D99" w:rsidRDefault="00616297" w:rsidP="00616297">
      <w:pPr>
        <w:tabs>
          <w:tab w:val="left" w:pos="284"/>
        </w:tabs>
        <w:spacing w:line="360" w:lineRule="auto"/>
        <w:ind w:left="567" w:right="567"/>
        <w:jc w:val="both"/>
        <w:rPr>
          <w:rFonts w:ascii="Palatino Linotype" w:eastAsiaTheme="minorEastAsia" w:hAnsi="Palatino Linotype" w:cs="Arial"/>
          <w:bCs/>
          <w:i/>
          <w:sz w:val="22"/>
          <w:lang w:val="es-ES_tradnl"/>
        </w:rPr>
      </w:pPr>
      <w:r w:rsidRPr="00C63D99">
        <w:rPr>
          <w:rFonts w:ascii="Palatino Linotype" w:eastAsiaTheme="minorEastAsia" w:hAnsi="Palatino Linotype" w:cs="Arial"/>
          <w:b/>
          <w:bCs/>
          <w:i/>
          <w:sz w:val="22"/>
          <w:lang w:val="es-ES_tradnl"/>
        </w:rPr>
        <w:t xml:space="preserve">I. </w:t>
      </w:r>
      <w:r w:rsidRPr="00C63D99">
        <w:rPr>
          <w:rFonts w:ascii="Palatino Linotype" w:eastAsiaTheme="minorEastAsia" w:hAnsi="Palatino Linotype" w:cs="Arial"/>
          <w:b/>
          <w:bCs/>
          <w:i/>
          <w:sz w:val="22"/>
          <w:lang w:val="es-ES_tradnl"/>
        </w:rPr>
        <w:tab/>
        <w:t>Toda la información en posesión de cualquier</w:t>
      </w:r>
      <w:r w:rsidRPr="00C63D99">
        <w:rPr>
          <w:rFonts w:ascii="Palatino Linotype" w:eastAsiaTheme="minorEastAsia" w:hAnsi="Palatino Linotype" w:cs="Arial"/>
          <w:bCs/>
          <w:i/>
          <w:sz w:val="22"/>
          <w:lang w:val="es-ES_tradnl"/>
        </w:rPr>
        <w:t xml:space="preserve"> </w:t>
      </w:r>
      <w:r w:rsidRPr="00C63D99">
        <w:rPr>
          <w:rFonts w:ascii="Palatino Linotype" w:eastAsiaTheme="minorEastAsia" w:hAnsi="Palatino Linotype" w:cs="Arial"/>
          <w:b/>
          <w:bCs/>
          <w:i/>
          <w:sz w:val="22"/>
          <w:lang w:val="es-ES_tradnl"/>
        </w:rPr>
        <w:t>autoridad</w:t>
      </w:r>
      <w:r w:rsidRPr="00C63D99">
        <w:rPr>
          <w:rFonts w:ascii="Palatino Linotype" w:eastAsiaTheme="minorEastAsia" w:hAnsi="Palatino Linotype" w:cs="Arial"/>
          <w:bCs/>
          <w:i/>
          <w:sz w:val="22"/>
          <w:lang w:val="es-ES_tradnl"/>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C63D99">
        <w:rPr>
          <w:rFonts w:ascii="Palatino Linotype" w:eastAsiaTheme="minorEastAsia" w:hAnsi="Palatino Linotype" w:cs="Arial"/>
          <w:b/>
          <w:bCs/>
          <w:i/>
          <w:sz w:val="22"/>
          <w:lang w:val="es-ES_tradnl"/>
        </w:rPr>
        <w:t>municipal</w:t>
      </w:r>
      <w:r w:rsidRPr="00C63D99">
        <w:rPr>
          <w:rFonts w:ascii="Palatino Linotype" w:eastAsiaTheme="minorEastAsia" w:hAnsi="Palatino Linotype" w:cs="Arial"/>
          <w:bCs/>
          <w:i/>
          <w:sz w:val="22"/>
          <w:lang w:val="es-ES_tradnl"/>
        </w:rPr>
        <w:t xml:space="preserve">, </w:t>
      </w:r>
      <w:r w:rsidRPr="00C63D99">
        <w:rPr>
          <w:rFonts w:ascii="Palatino Linotype" w:eastAsiaTheme="minorEastAsia" w:hAnsi="Palatino Linotype" w:cs="Arial"/>
          <w:b/>
          <w:bCs/>
          <w:i/>
          <w:sz w:val="22"/>
          <w:lang w:val="es-ES_tradnl"/>
        </w:rPr>
        <w:t>es pública</w:t>
      </w:r>
      <w:r w:rsidRPr="00C63D99">
        <w:rPr>
          <w:rFonts w:ascii="Palatino Linotype" w:eastAsiaTheme="minorEastAsia" w:hAnsi="Palatino Linotype" w:cs="Arial"/>
          <w:bCs/>
          <w:i/>
          <w:sz w:val="22"/>
          <w:lang w:val="es-ES_tradnl"/>
        </w:rPr>
        <w:t xml:space="preserve"> y sólo podrá ser reservada temporalmente por razones de interés público y seguridad nacional, en los términos que fijen las leyes. </w:t>
      </w:r>
      <w:r w:rsidRPr="00C63D99">
        <w:rPr>
          <w:rFonts w:ascii="Palatino Linotype" w:eastAsiaTheme="minorEastAsia" w:hAnsi="Palatino Linotype" w:cs="Arial"/>
          <w:b/>
          <w:bCs/>
          <w:i/>
          <w:sz w:val="22"/>
          <w:lang w:val="es-ES_tradnl"/>
        </w:rPr>
        <w:t>En la interpretación de este derecho deberá prevalecer el principio de máxima publicidad. Los sujetos obligados deberán documentar todo acto que derive del ejercicio de sus facultades, competencias o funciones</w:t>
      </w:r>
      <w:r w:rsidRPr="00C63D99">
        <w:rPr>
          <w:rFonts w:ascii="Palatino Linotype" w:eastAsiaTheme="minorEastAsia" w:hAnsi="Palatino Linotype" w:cs="Arial"/>
          <w:bCs/>
          <w:i/>
          <w:sz w:val="22"/>
          <w:lang w:val="es-ES_tradnl"/>
        </w:rPr>
        <w:t>, la ley determinará los supuestos específicos bajo los cuales procederá la declaración de inexistencia de la información.”</w:t>
      </w:r>
    </w:p>
    <w:p w14:paraId="7733F109" w14:textId="77777777" w:rsidR="00616297" w:rsidRPr="00C63D99" w:rsidRDefault="00616297" w:rsidP="00616297">
      <w:pPr>
        <w:tabs>
          <w:tab w:val="left" w:pos="284"/>
        </w:tabs>
        <w:spacing w:line="360" w:lineRule="auto"/>
        <w:ind w:left="567" w:right="567"/>
        <w:jc w:val="both"/>
        <w:rPr>
          <w:rFonts w:ascii="Palatino Linotype" w:eastAsiaTheme="minorEastAsia" w:hAnsi="Palatino Linotype" w:cs="Arial"/>
          <w:bCs/>
          <w:i/>
          <w:sz w:val="22"/>
          <w:lang w:val="es-ES_tradnl"/>
        </w:rPr>
      </w:pPr>
    </w:p>
    <w:p w14:paraId="1EB2CF3F" w14:textId="77777777" w:rsidR="00616297" w:rsidRPr="00C63D99" w:rsidRDefault="00616297" w:rsidP="00616297">
      <w:pPr>
        <w:tabs>
          <w:tab w:val="left" w:pos="284"/>
        </w:tabs>
        <w:spacing w:line="360" w:lineRule="auto"/>
        <w:ind w:left="567" w:right="567"/>
        <w:jc w:val="both"/>
        <w:rPr>
          <w:rFonts w:ascii="Palatino Linotype" w:eastAsiaTheme="minorEastAsia" w:hAnsi="Palatino Linotype" w:cs="Arial"/>
          <w:bCs/>
          <w:i/>
          <w:sz w:val="22"/>
          <w:lang w:val="es-ES_tradnl"/>
        </w:rPr>
      </w:pPr>
      <w:r w:rsidRPr="00C63D99">
        <w:rPr>
          <w:rFonts w:ascii="Palatino Linotype" w:eastAsiaTheme="minorEastAsia" w:hAnsi="Palatino Linotype" w:cs="Arial"/>
          <w:bCs/>
          <w:i/>
          <w:sz w:val="22"/>
          <w:lang w:val="es-ES_tradnl"/>
        </w:rPr>
        <w:t xml:space="preserve">(Énfasis añadido) </w:t>
      </w:r>
    </w:p>
    <w:p w14:paraId="4CC569CB" w14:textId="77777777" w:rsidR="00616297" w:rsidRPr="00C63D99" w:rsidRDefault="00616297" w:rsidP="00616297">
      <w:pPr>
        <w:tabs>
          <w:tab w:val="left" w:pos="284"/>
        </w:tabs>
        <w:spacing w:line="360" w:lineRule="auto"/>
        <w:ind w:left="567" w:right="567"/>
        <w:jc w:val="both"/>
        <w:rPr>
          <w:rFonts w:ascii="Palatino Linotype" w:eastAsiaTheme="minorEastAsia" w:hAnsi="Palatino Linotype" w:cs="Arial"/>
          <w:b/>
          <w:bCs/>
          <w:i/>
          <w:sz w:val="22"/>
          <w:lang w:val="es-ES_tradnl"/>
        </w:rPr>
      </w:pPr>
    </w:p>
    <w:p w14:paraId="45528EFF" w14:textId="77777777" w:rsidR="00616297" w:rsidRPr="00C63D99" w:rsidRDefault="00616297" w:rsidP="00616297">
      <w:pPr>
        <w:tabs>
          <w:tab w:val="left" w:pos="284"/>
        </w:tabs>
        <w:spacing w:line="360" w:lineRule="auto"/>
        <w:ind w:left="567" w:right="567"/>
        <w:jc w:val="center"/>
        <w:rPr>
          <w:rFonts w:ascii="Palatino Linotype" w:eastAsiaTheme="minorEastAsia" w:hAnsi="Palatino Linotype" w:cs="Arial"/>
          <w:b/>
          <w:bCs/>
          <w:i/>
          <w:sz w:val="22"/>
          <w:lang w:val="es-ES_tradnl"/>
        </w:rPr>
      </w:pPr>
      <w:r w:rsidRPr="00C63D99">
        <w:rPr>
          <w:rFonts w:ascii="Palatino Linotype" w:eastAsiaTheme="minorEastAsia" w:hAnsi="Palatino Linotype" w:cs="Arial"/>
          <w:b/>
          <w:bCs/>
          <w:i/>
          <w:sz w:val="22"/>
          <w:lang w:val="es-ES_tradnl"/>
        </w:rPr>
        <w:t>Constitución Política del Estado Libre y Soberano de México</w:t>
      </w:r>
    </w:p>
    <w:p w14:paraId="64460165" w14:textId="77777777" w:rsidR="00616297" w:rsidRPr="00C63D99" w:rsidRDefault="00616297" w:rsidP="00616297">
      <w:pPr>
        <w:tabs>
          <w:tab w:val="left" w:pos="284"/>
        </w:tabs>
        <w:spacing w:line="360" w:lineRule="auto"/>
        <w:ind w:left="567" w:right="567"/>
        <w:jc w:val="both"/>
        <w:rPr>
          <w:rFonts w:ascii="Palatino Linotype" w:eastAsiaTheme="minorEastAsia" w:hAnsi="Palatino Linotype" w:cs="Arial"/>
          <w:bCs/>
          <w:i/>
          <w:sz w:val="22"/>
          <w:lang w:val="es-ES_tradnl"/>
        </w:rPr>
      </w:pPr>
      <w:r w:rsidRPr="00C63D99">
        <w:rPr>
          <w:rFonts w:ascii="Palatino Linotype" w:eastAsiaTheme="minorEastAsia" w:hAnsi="Palatino Linotype" w:cs="Arial"/>
          <w:b/>
          <w:bCs/>
          <w:i/>
          <w:sz w:val="22"/>
          <w:lang w:val="es-ES_tradnl"/>
        </w:rPr>
        <w:t>“Artículo 5</w:t>
      </w:r>
      <w:r w:rsidRPr="00C63D99">
        <w:rPr>
          <w:rFonts w:ascii="Palatino Linotype" w:eastAsiaTheme="minorEastAsia" w:hAnsi="Palatino Linotype" w:cs="Arial"/>
          <w:bCs/>
          <w:i/>
          <w:sz w:val="22"/>
          <w:lang w:val="es-ES_tradnl"/>
        </w:rPr>
        <w:t>.- …</w:t>
      </w:r>
    </w:p>
    <w:p w14:paraId="6CB06D16" w14:textId="77777777" w:rsidR="00616297" w:rsidRPr="00C63D99" w:rsidRDefault="00616297" w:rsidP="00616297">
      <w:pPr>
        <w:tabs>
          <w:tab w:val="left" w:pos="284"/>
        </w:tabs>
        <w:spacing w:line="360" w:lineRule="auto"/>
        <w:ind w:left="567" w:right="567"/>
        <w:jc w:val="both"/>
        <w:rPr>
          <w:rFonts w:ascii="Palatino Linotype" w:eastAsiaTheme="minorEastAsia" w:hAnsi="Palatino Linotype" w:cs="Arial"/>
          <w:bCs/>
          <w:i/>
          <w:sz w:val="22"/>
          <w:lang w:val="es-ES_tradnl"/>
        </w:rPr>
      </w:pPr>
      <w:r w:rsidRPr="00C63D99">
        <w:rPr>
          <w:rFonts w:ascii="Palatino Linotype" w:eastAsiaTheme="minorEastAsia" w:hAnsi="Palatino Linotype" w:cs="Arial"/>
          <w:bCs/>
          <w:i/>
          <w:sz w:val="22"/>
          <w:lang w:val="es-ES_tradnl"/>
        </w:rPr>
        <w:t>…</w:t>
      </w:r>
    </w:p>
    <w:p w14:paraId="4755C653" w14:textId="77777777" w:rsidR="00616297" w:rsidRPr="00C63D99" w:rsidRDefault="00616297" w:rsidP="00616297">
      <w:pPr>
        <w:tabs>
          <w:tab w:val="left" w:pos="284"/>
        </w:tabs>
        <w:spacing w:line="360" w:lineRule="auto"/>
        <w:ind w:left="567" w:right="567"/>
        <w:jc w:val="both"/>
        <w:rPr>
          <w:rFonts w:ascii="Palatino Linotype" w:eastAsiaTheme="minorEastAsia" w:hAnsi="Palatino Linotype" w:cs="Arial"/>
          <w:bCs/>
          <w:i/>
          <w:sz w:val="22"/>
          <w:lang w:val="es-ES_tradnl"/>
        </w:rPr>
      </w:pPr>
      <w:r w:rsidRPr="00C63D99">
        <w:rPr>
          <w:rFonts w:ascii="Palatino Linotype" w:eastAsiaTheme="minorEastAsia" w:hAnsi="Palatino Linotype" w:cs="Arial"/>
          <w:b/>
          <w:bCs/>
          <w:i/>
          <w:sz w:val="22"/>
          <w:lang w:val="es-ES_tradnl"/>
        </w:rPr>
        <w:t>El derecho a la información será garantizado por el Estado. La ley establecerá las previsiones que permitan asegurar la protección, el respeto y la difusión de este derecho</w:t>
      </w:r>
      <w:r w:rsidRPr="00C63D99">
        <w:rPr>
          <w:rFonts w:ascii="Palatino Linotype" w:eastAsiaTheme="minorEastAsia" w:hAnsi="Palatino Linotype" w:cs="Arial"/>
          <w:bCs/>
          <w:i/>
          <w:sz w:val="22"/>
          <w:lang w:val="es-ES_tradnl"/>
        </w:rPr>
        <w:t>.</w:t>
      </w:r>
    </w:p>
    <w:p w14:paraId="40A63632" w14:textId="77777777" w:rsidR="00616297" w:rsidRPr="00C63D99" w:rsidRDefault="00616297" w:rsidP="00616297">
      <w:pPr>
        <w:tabs>
          <w:tab w:val="left" w:pos="284"/>
        </w:tabs>
        <w:spacing w:line="360" w:lineRule="auto"/>
        <w:ind w:left="567" w:right="567"/>
        <w:jc w:val="both"/>
        <w:rPr>
          <w:rFonts w:ascii="Palatino Linotype" w:eastAsiaTheme="minorEastAsia" w:hAnsi="Palatino Linotype" w:cs="Arial"/>
          <w:bCs/>
          <w:i/>
          <w:sz w:val="22"/>
          <w:lang w:val="es-ES_tradnl"/>
        </w:rPr>
      </w:pPr>
      <w:r w:rsidRPr="00C63D99">
        <w:rPr>
          <w:rFonts w:ascii="Palatino Linotype" w:eastAsiaTheme="minorEastAsia" w:hAnsi="Palatino Linotype" w:cs="Arial"/>
          <w:bCs/>
          <w:i/>
          <w:sz w:val="22"/>
          <w:lang w:val="es-ES_tradnl"/>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4379E00D" w14:textId="77777777" w:rsidR="00616297" w:rsidRPr="00C63D99" w:rsidRDefault="00616297" w:rsidP="00616297">
      <w:pPr>
        <w:tabs>
          <w:tab w:val="left" w:pos="284"/>
        </w:tabs>
        <w:spacing w:line="360" w:lineRule="auto"/>
        <w:ind w:left="567" w:right="567"/>
        <w:jc w:val="both"/>
        <w:rPr>
          <w:rFonts w:ascii="Palatino Linotype" w:eastAsiaTheme="minorEastAsia" w:hAnsi="Palatino Linotype" w:cs="Arial"/>
          <w:bCs/>
          <w:i/>
          <w:sz w:val="22"/>
          <w:lang w:val="es-ES_tradnl"/>
        </w:rPr>
      </w:pPr>
      <w:r w:rsidRPr="00C63D99">
        <w:rPr>
          <w:rFonts w:ascii="Palatino Linotype" w:eastAsiaTheme="minorEastAsia" w:hAnsi="Palatino Linotype" w:cs="Arial"/>
          <w:b/>
          <w:bCs/>
          <w:i/>
          <w:sz w:val="22"/>
          <w:lang w:val="es-ES_tradnl"/>
        </w:rPr>
        <w:t>Este derecho se regirá por los principios y bases siguientes</w:t>
      </w:r>
      <w:r w:rsidRPr="00C63D99">
        <w:rPr>
          <w:rFonts w:ascii="Palatino Linotype" w:eastAsiaTheme="minorEastAsia" w:hAnsi="Palatino Linotype" w:cs="Arial"/>
          <w:bCs/>
          <w:i/>
          <w:sz w:val="22"/>
          <w:lang w:val="es-ES_tradnl"/>
        </w:rPr>
        <w:t>:</w:t>
      </w:r>
    </w:p>
    <w:p w14:paraId="35951BEE" w14:textId="77777777" w:rsidR="00616297" w:rsidRPr="00C63D99" w:rsidRDefault="00616297" w:rsidP="00616297">
      <w:pPr>
        <w:tabs>
          <w:tab w:val="left" w:pos="284"/>
        </w:tabs>
        <w:spacing w:line="360" w:lineRule="auto"/>
        <w:ind w:left="567" w:right="567"/>
        <w:jc w:val="both"/>
        <w:rPr>
          <w:rFonts w:ascii="Palatino Linotype" w:eastAsiaTheme="minorEastAsia" w:hAnsi="Palatino Linotype" w:cs="Arial"/>
          <w:bCs/>
          <w:i/>
          <w:sz w:val="22"/>
          <w:lang w:val="es-ES_tradnl"/>
        </w:rPr>
      </w:pPr>
      <w:r w:rsidRPr="00C63D99">
        <w:rPr>
          <w:rFonts w:ascii="Palatino Linotype" w:eastAsiaTheme="minorEastAsia" w:hAnsi="Palatino Linotype" w:cs="Arial"/>
          <w:b/>
          <w:bCs/>
          <w:i/>
          <w:sz w:val="22"/>
          <w:lang w:val="es-ES_tradnl"/>
        </w:rPr>
        <w:t>I. Toda la información en posesión de cualquier autoridad, entidad, órgano y organismos de los</w:t>
      </w:r>
      <w:r w:rsidRPr="00C63D99">
        <w:rPr>
          <w:rFonts w:ascii="Palatino Linotype" w:eastAsiaTheme="minorEastAsia" w:hAnsi="Palatino Linotype" w:cs="Arial"/>
          <w:bCs/>
          <w:i/>
          <w:sz w:val="22"/>
          <w:lang w:val="es-ES_tradnl"/>
        </w:rPr>
        <w:t xml:space="preserve"> Poderes Ejecutivo, Legislativo y Judicial, órganos autónomos, partidos políticos, fideicomisos y fondos públicos estatales y </w:t>
      </w:r>
      <w:r w:rsidRPr="00C63D99">
        <w:rPr>
          <w:rFonts w:ascii="Palatino Linotype" w:eastAsiaTheme="minorEastAsia" w:hAnsi="Palatino Linotype" w:cs="Arial"/>
          <w:b/>
          <w:bCs/>
          <w:i/>
          <w:sz w:val="22"/>
          <w:lang w:val="es-ES_tradnl"/>
        </w:rPr>
        <w:t>municipales</w:t>
      </w:r>
      <w:r w:rsidRPr="00C63D99">
        <w:rPr>
          <w:rFonts w:ascii="Palatino Linotype" w:eastAsiaTheme="minorEastAsia" w:hAnsi="Palatino Linotype" w:cs="Arial"/>
          <w:bCs/>
          <w:i/>
          <w:sz w:val="22"/>
          <w:lang w:val="es-ES_tradnl"/>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C63D99">
        <w:rPr>
          <w:rFonts w:ascii="Palatino Linotype" w:eastAsiaTheme="minorEastAsia" w:hAnsi="Palatino Linotype" w:cs="Arial"/>
          <w:b/>
          <w:bCs/>
          <w:i/>
          <w:sz w:val="22"/>
          <w:lang w:val="es-ES_tradnl"/>
        </w:rPr>
        <w:t>es pública</w:t>
      </w:r>
      <w:r w:rsidRPr="00C63D99">
        <w:rPr>
          <w:rFonts w:ascii="Palatino Linotype" w:eastAsiaTheme="minorEastAsia" w:hAnsi="Palatino Linotype" w:cs="Arial"/>
          <w:bCs/>
          <w:i/>
          <w:sz w:val="22"/>
          <w:lang w:val="es-ES_tradnl"/>
        </w:rPr>
        <w:t xml:space="preserve"> y sólo podrá ser reservada temporalmente por razones previstas en la Constitución Política de los Estados Unidos Mexicanos de interés público y seguridad, en los términos que fijen las leyes. </w:t>
      </w:r>
      <w:r w:rsidRPr="00C63D99">
        <w:rPr>
          <w:rFonts w:ascii="Palatino Linotype" w:eastAsiaTheme="minorEastAsia" w:hAnsi="Palatino Linotype" w:cs="Arial"/>
          <w:b/>
          <w:bCs/>
          <w:i/>
          <w:sz w:val="22"/>
          <w:lang w:val="es-ES_tradnl"/>
        </w:rPr>
        <w:t>En la interpretación de este derecho deberá prevalecer el principio de máxima publicidad</w:t>
      </w:r>
      <w:r w:rsidRPr="00C63D99">
        <w:rPr>
          <w:rFonts w:ascii="Palatino Linotype" w:eastAsiaTheme="minorEastAsia" w:hAnsi="Palatino Linotype" w:cs="Arial"/>
          <w:bCs/>
          <w:i/>
          <w:sz w:val="22"/>
          <w:lang w:val="es-ES_tradnl"/>
        </w:rPr>
        <w:t xml:space="preserve">. </w:t>
      </w:r>
      <w:r w:rsidRPr="00C63D99">
        <w:rPr>
          <w:rFonts w:ascii="Palatino Linotype" w:eastAsiaTheme="minorEastAsia" w:hAnsi="Palatino Linotype" w:cs="Arial"/>
          <w:b/>
          <w:bCs/>
          <w:i/>
          <w:sz w:val="22"/>
          <w:lang w:val="es-ES_tradnl"/>
        </w:rPr>
        <w:t>Los sujetos obligados deberán documentar todo acto que derive del ejercicio de sus facultades, competencias o funciones</w:t>
      </w:r>
      <w:r w:rsidRPr="00C63D99">
        <w:rPr>
          <w:rFonts w:ascii="Palatino Linotype" w:eastAsiaTheme="minorEastAsia" w:hAnsi="Palatino Linotype" w:cs="Arial"/>
          <w:bCs/>
          <w:i/>
          <w:sz w:val="22"/>
          <w:lang w:val="es-ES_tradnl"/>
        </w:rPr>
        <w:t>, la ley determinará los supuestos específicos bajo los cuales procederá la declaración de inexistencia de la información.”</w:t>
      </w:r>
    </w:p>
    <w:p w14:paraId="345D3EB2" w14:textId="77777777" w:rsidR="00616297" w:rsidRPr="00C63D99" w:rsidRDefault="00616297" w:rsidP="00616297">
      <w:pPr>
        <w:tabs>
          <w:tab w:val="left" w:pos="284"/>
        </w:tabs>
        <w:spacing w:line="360" w:lineRule="auto"/>
        <w:ind w:left="567" w:right="567"/>
        <w:jc w:val="both"/>
        <w:rPr>
          <w:rFonts w:ascii="Palatino Linotype" w:eastAsiaTheme="minorEastAsia" w:hAnsi="Palatino Linotype" w:cs="Arial"/>
          <w:bCs/>
          <w:i/>
          <w:sz w:val="22"/>
          <w:lang w:val="es-ES_tradnl"/>
        </w:rPr>
      </w:pPr>
      <w:r w:rsidRPr="00C63D99">
        <w:rPr>
          <w:rFonts w:ascii="Palatino Linotype" w:eastAsiaTheme="minorEastAsia" w:hAnsi="Palatino Linotype" w:cs="Arial"/>
          <w:bCs/>
          <w:i/>
          <w:sz w:val="22"/>
          <w:lang w:val="es-ES_tradnl"/>
        </w:rPr>
        <w:t xml:space="preserve">(Énfasis añadido) </w:t>
      </w:r>
    </w:p>
    <w:p w14:paraId="783B0635" w14:textId="77777777" w:rsidR="00616297" w:rsidRPr="00C63D99" w:rsidRDefault="00616297" w:rsidP="00616297">
      <w:pPr>
        <w:tabs>
          <w:tab w:val="left" w:pos="284"/>
        </w:tabs>
        <w:contextualSpacing/>
        <w:rPr>
          <w:rFonts w:ascii="Palatino Linotype" w:eastAsia="Calibri" w:hAnsi="Palatino Linotype"/>
          <w:sz w:val="24"/>
          <w:szCs w:val="24"/>
          <w:lang w:val="es-ES_tradnl"/>
        </w:rPr>
      </w:pPr>
    </w:p>
    <w:p w14:paraId="0B6A0D67" w14:textId="77777777" w:rsidR="00616297" w:rsidRPr="00C63D99" w:rsidRDefault="00616297" w:rsidP="00616297">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sz w:val="24"/>
          <w:szCs w:val="24"/>
          <w:lang w:val="es-ES_tradnl"/>
        </w:rPr>
      </w:pPr>
      <w:r w:rsidRPr="00C63D99">
        <w:rPr>
          <w:rFonts w:ascii="Palatino Linotype" w:eastAsiaTheme="minorEastAsia" w:hAnsi="Palatino Linotype" w:cs="Arial"/>
          <w:sz w:val="24"/>
          <w:szCs w:val="24"/>
          <w:lang w:val="es-ES_tradnl"/>
        </w:rPr>
        <w:t xml:space="preserve">En virtud de ello, la información en posesión de cualquier organismo o dependencia municipal tiene el carácter de pública, en ese sentido, debe privilegiarse en todo momento el principio de máxima publicidad, establecido en el artículo 8 de la multicitada Ley de Transparencia: </w:t>
      </w:r>
    </w:p>
    <w:p w14:paraId="7E90DC7D" w14:textId="77777777" w:rsidR="00616297" w:rsidRPr="00C63D99" w:rsidRDefault="00616297" w:rsidP="00616297">
      <w:pPr>
        <w:tabs>
          <w:tab w:val="left" w:pos="284"/>
        </w:tabs>
        <w:spacing w:before="240" w:after="240" w:line="360" w:lineRule="auto"/>
        <w:contextualSpacing/>
        <w:jc w:val="both"/>
        <w:rPr>
          <w:rFonts w:ascii="Palatino Linotype" w:eastAsiaTheme="minorEastAsia" w:hAnsi="Palatino Linotype" w:cs="Arial"/>
          <w:sz w:val="24"/>
          <w:szCs w:val="24"/>
          <w:lang w:val="es-ES_tradnl"/>
        </w:rPr>
      </w:pPr>
    </w:p>
    <w:p w14:paraId="1667B0D5" w14:textId="77777777" w:rsidR="00616297" w:rsidRPr="00C63D99" w:rsidRDefault="00616297" w:rsidP="00616297">
      <w:pPr>
        <w:tabs>
          <w:tab w:val="left" w:pos="284"/>
        </w:tabs>
        <w:spacing w:before="240" w:after="240" w:line="360" w:lineRule="auto"/>
        <w:ind w:left="567" w:right="567"/>
        <w:contextualSpacing/>
        <w:jc w:val="both"/>
        <w:rPr>
          <w:rFonts w:ascii="Palatino Linotype" w:eastAsiaTheme="minorEastAsia" w:hAnsi="Palatino Linotype" w:cs="Arial"/>
          <w:i/>
          <w:sz w:val="22"/>
          <w:lang w:val="es-ES_tradnl"/>
        </w:rPr>
      </w:pPr>
      <w:r w:rsidRPr="00C63D99">
        <w:rPr>
          <w:rFonts w:ascii="Palatino Linotype" w:eastAsiaTheme="minorEastAsia" w:hAnsi="Palatino Linotype" w:cs="Arial"/>
          <w:i/>
          <w:sz w:val="22"/>
          <w:lang w:val="es-ES_tradnl"/>
        </w:rPr>
        <w:t>“</w:t>
      </w:r>
      <w:r w:rsidRPr="00C63D99">
        <w:rPr>
          <w:rFonts w:ascii="Palatino Linotype" w:eastAsiaTheme="minorEastAsia" w:hAnsi="Palatino Linotype" w:cs="Arial"/>
          <w:b/>
          <w:i/>
          <w:sz w:val="22"/>
          <w:lang w:val="es-ES_tradnl"/>
        </w:rPr>
        <w:t>Artículo 8.</w:t>
      </w:r>
      <w:r w:rsidRPr="00C63D99">
        <w:rPr>
          <w:rFonts w:ascii="Palatino Linotype" w:eastAsiaTheme="minorEastAsia" w:hAnsi="Palatino Linotype" w:cs="Arial"/>
          <w:i/>
          <w:sz w:val="22"/>
          <w:lang w:val="es-ES_tradnl"/>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 </w:t>
      </w:r>
    </w:p>
    <w:p w14:paraId="22F793F4" w14:textId="77777777" w:rsidR="00616297" w:rsidRPr="00C63D99" w:rsidRDefault="00616297" w:rsidP="00616297">
      <w:pPr>
        <w:tabs>
          <w:tab w:val="left" w:pos="284"/>
        </w:tabs>
        <w:spacing w:before="240" w:after="240" w:line="360" w:lineRule="auto"/>
        <w:ind w:left="567" w:right="567"/>
        <w:contextualSpacing/>
        <w:jc w:val="both"/>
        <w:rPr>
          <w:rFonts w:ascii="Palatino Linotype" w:eastAsiaTheme="minorEastAsia" w:hAnsi="Palatino Linotype" w:cs="Arial"/>
          <w:i/>
          <w:sz w:val="22"/>
          <w:lang w:val="es-ES_tradnl"/>
        </w:rPr>
      </w:pPr>
    </w:p>
    <w:p w14:paraId="0EF3B071" w14:textId="77777777" w:rsidR="00616297" w:rsidRPr="00C63D99" w:rsidRDefault="00616297" w:rsidP="00616297">
      <w:pPr>
        <w:tabs>
          <w:tab w:val="left" w:pos="284"/>
        </w:tabs>
        <w:spacing w:before="240" w:after="240" w:line="360" w:lineRule="auto"/>
        <w:ind w:left="567" w:right="567"/>
        <w:contextualSpacing/>
        <w:jc w:val="both"/>
        <w:rPr>
          <w:rFonts w:ascii="Palatino Linotype" w:eastAsiaTheme="minorEastAsia" w:hAnsi="Palatino Linotype" w:cs="Arial"/>
          <w:i/>
          <w:sz w:val="22"/>
          <w:lang w:val="es-ES_tradnl"/>
        </w:rPr>
      </w:pPr>
      <w:r w:rsidRPr="00C63D99">
        <w:rPr>
          <w:rFonts w:ascii="Palatino Linotype" w:eastAsiaTheme="minorEastAsia" w:hAnsi="Palatino Linotype" w:cs="Arial"/>
          <w:b/>
          <w:i/>
          <w:sz w:val="22"/>
          <w:lang w:val="es-ES_tradnl"/>
        </w:rPr>
        <w:t>En la aplicación e interpretación de la presente Ley deberá prevalecer el principio de máxima publicidad</w:t>
      </w:r>
      <w:r w:rsidRPr="00C63D99">
        <w:rPr>
          <w:rFonts w:ascii="Palatino Linotype" w:eastAsiaTheme="minorEastAsia" w:hAnsi="Palatino Linotype" w:cs="Arial"/>
          <w:i/>
          <w:sz w:val="22"/>
          <w:lang w:val="es-ES_tradnl"/>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proofErr w:type="gramStart"/>
      <w:r w:rsidRPr="00C63D99">
        <w:rPr>
          <w:rFonts w:ascii="Palatino Linotype" w:eastAsiaTheme="minorEastAsia" w:hAnsi="Palatino Linotype" w:cs="Arial"/>
          <w:i/>
          <w:sz w:val="22"/>
          <w:lang w:val="es-ES_tradnl"/>
        </w:rPr>
        <w:t>pro</w:t>
      </w:r>
      <w:proofErr w:type="spellEnd"/>
      <w:r w:rsidRPr="00C63D99">
        <w:rPr>
          <w:rFonts w:ascii="Palatino Linotype" w:eastAsiaTheme="minorEastAsia" w:hAnsi="Palatino Linotype" w:cs="Arial"/>
          <w:i/>
          <w:sz w:val="22"/>
          <w:lang w:val="es-ES_tradnl"/>
        </w:rPr>
        <w:t xml:space="preserve"> persona</w:t>
      </w:r>
      <w:proofErr w:type="gramEnd"/>
      <w:r w:rsidRPr="00C63D99">
        <w:rPr>
          <w:rFonts w:ascii="Palatino Linotype" w:eastAsiaTheme="minorEastAsia" w:hAnsi="Palatino Linotype" w:cs="Arial"/>
          <w:i/>
          <w:sz w:val="22"/>
          <w:lang w:val="es-ES_tradnl"/>
        </w:rPr>
        <w:t>.</w:t>
      </w:r>
    </w:p>
    <w:p w14:paraId="35C48664" w14:textId="77777777" w:rsidR="00616297" w:rsidRPr="00C63D99" w:rsidRDefault="00616297" w:rsidP="00616297">
      <w:pPr>
        <w:tabs>
          <w:tab w:val="left" w:pos="284"/>
        </w:tabs>
        <w:spacing w:before="240" w:after="240" w:line="360" w:lineRule="auto"/>
        <w:ind w:left="567" w:right="567"/>
        <w:contextualSpacing/>
        <w:jc w:val="both"/>
        <w:rPr>
          <w:rFonts w:ascii="Palatino Linotype" w:eastAsiaTheme="minorEastAsia" w:hAnsi="Palatino Linotype" w:cs="Arial"/>
          <w:i/>
          <w:sz w:val="22"/>
          <w:lang w:val="es-ES_tradnl"/>
        </w:rPr>
      </w:pPr>
    </w:p>
    <w:p w14:paraId="4F646BAA" w14:textId="77777777" w:rsidR="00616297" w:rsidRPr="00C63D99" w:rsidRDefault="00616297" w:rsidP="00616297">
      <w:pPr>
        <w:tabs>
          <w:tab w:val="left" w:pos="284"/>
        </w:tabs>
        <w:spacing w:before="240" w:after="240" w:line="360" w:lineRule="auto"/>
        <w:ind w:left="567" w:right="567"/>
        <w:contextualSpacing/>
        <w:jc w:val="both"/>
        <w:rPr>
          <w:rFonts w:ascii="Palatino Linotype" w:eastAsiaTheme="minorEastAsia" w:hAnsi="Palatino Linotype" w:cs="Arial"/>
          <w:i/>
          <w:sz w:val="22"/>
          <w:lang w:val="es-ES_tradnl"/>
        </w:rPr>
      </w:pPr>
      <w:r w:rsidRPr="00C63D99">
        <w:rPr>
          <w:rFonts w:ascii="Palatino Linotype" w:eastAsiaTheme="minorEastAsia" w:hAnsi="Palatino Linotype" w:cs="Arial"/>
          <w:i/>
          <w:sz w:val="22"/>
          <w:lang w:val="es-ES_tradnl"/>
        </w:rPr>
        <w:t xml:space="preserve"> Para el caso de la interpretación se podrá tomar en cuenta los criterios, determinaciones y opiniones de los organismos nacionales e internacionales, en materia de transparencia y el derecho de acceso a la información.”</w:t>
      </w:r>
    </w:p>
    <w:p w14:paraId="5A834195" w14:textId="77777777" w:rsidR="00616297" w:rsidRPr="00C63D99" w:rsidRDefault="00616297" w:rsidP="00616297">
      <w:pPr>
        <w:tabs>
          <w:tab w:val="left" w:pos="284"/>
        </w:tabs>
        <w:spacing w:before="240" w:after="240" w:line="360" w:lineRule="auto"/>
        <w:ind w:left="567" w:right="567"/>
        <w:contextualSpacing/>
        <w:jc w:val="both"/>
        <w:rPr>
          <w:rFonts w:ascii="Palatino Linotype" w:eastAsiaTheme="minorEastAsia" w:hAnsi="Palatino Linotype" w:cs="Arial"/>
          <w:i/>
          <w:sz w:val="22"/>
          <w:lang w:val="es-ES_tradnl"/>
        </w:rPr>
      </w:pPr>
      <w:r w:rsidRPr="00C63D99">
        <w:rPr>
          <w:rFonts w:ascii="Palatino Linotype" w:eastAsiaTheme="minorEastAsia" w:hAnsi="Palatino Linotype" w:cs="Arial"/>
          <w:i/>
          <w:sz w:val="22"/>
          <w:lang w:val="es-ES_tradnl"/>
        </w:rPr>
        <w:t xml:space="preserve">(Énfasis añadido) </w:t>
      </w:r>
    </w:p>
    <w:p w14:paraId="7877CF63" w14:textId="77777777" w:rsidR="00616297" w:rsidRPr="00C63D99" w:rsidRDefault="00616297" w:rsidP="00616297">
      <w:pPr>
        <w:tabs>
          <w:tab w:val="left" w:pos="284"/>
        </w:tabs>
        <w:spacing w:before="240" w:after="240" w:line="360" w:lineRule="auto"/>
        <w:ind w:right="567"/>
        <w:contextualSpacing/>
        <w:jc w:val="both"/>
        <w:rPr>
          <w:rFonts w:ascii="Palatino Linotype" w:eastAsiaTheme="minorEastAsia" w:hAnsi="Palatino Linotype" w:cs="Arial"/>
          <w:i/>
          <w:lang w:val="es-ES_tradnl"/>
        </w:rPr>
      </w:pPr>
    </w:p>
    <w:p w14:paraId="275BF623" w14:textId="6BC1EDED" w:rsidR="00616297" w:rsidRPr="00C63D99" w:rsidRDefault="00616297" w:rsidP="00616297">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sz w:val="24"/>
          <w:szCs w:val="24"/>
          <w:lang w:val="es-ES_tradnl"/>
        </w:rPr>
      </w:pPr>
      <w:r w:rsidRPr="00C63D99">
        <w:rPr>
          <w:rFonts w:ascii="Palatino Linotype" w:eastAsiaTheme="minorEastAsia" w:hAnsi="Palatino Linotype" w:cs="Arial"/>
          <w:sz w:val="24"/>
          <w:szCs w:val="24"/>
          <w:lang w:val="es-ES_tradnl"/>
        </w:rPr>
        <w:t xml:space="preserve">Por tanto, en cumplimiento a las obligaciones que la Constitución Federal , la Constitución Estatal y la Ley de la materia el </w:t>
      </w:r>
      <w:r w:rsidRPr="00C63D99">
        <w:rPr>
          <w:rFonts w:ascii="Palatino Linotype" w:eastAsiaTheme="minorEastAsia" w:hAnsi="Palatino Linotype" w:cs="Arial"/>
          <w:b/>
          <w:sz w:val="24"/>
          <w:szCs w:val="24"/>
          <w:lang w:val="es-ES_tradnl"/>
        </w:rPr>
        <w:t>SUJETO OBLIGADO</w:t>
      </w:r>
      <w:r w:rsidRPr="00C63D99">
        <w:rPr>
          <w:rFonts w:ascii="Palatino Linotype" w:eastAsiaTheme="minorEastAsia" w:hAnsi="Palatino Linotype" w:cs="Arial"/>
          <w:sz w:val="24"/>
          <w:szCs w:val="24"/>
          <w:lang w:val="es-ES_tradnl"/>
        </w:rPr>
        <w:t xml:space="preserve"> está constreñido a dar atención a las solicitudes de información que a través del </w:t>
      </w:r>
      <w:r w:rsidRPr="00C63D99">
        <w:rPr>
          <w:rFonts w:ascii="Palatino Linotype" w:eastAsiaTheme="minorEastAsia" w:hAnsi="Palatino Linotype" w:cs="Arial"/>
          <w:b/>
          <w:sz w:val="24"/>
          <w:szCs w:val="24"/>
          <w:lang w:val="es-ES_tradnl"/>
        </w:rPr>
        <w:t>SAIMEX</w:t>
      </w:r>
      <w:r w:rsidRPr="00C63D99">
        <w:rPr>
          <w:rFonts w:ascii="Palatino Linotype" w:eastAsiaTheme="minorEastAsia" w:hAnsi="Palatino Linotype" w:cs="Arial"/>
          <w:sz w:val="24"/>
          <w:szCs w:val="24"/>
          <w:lang w:val="es-ES_tradnl"/>
        </w:rPr>
        <w:t xml:space="preserve"> o de vía directa  que le sean presentadas en ejercicio del derecho humano de acceso a la </w:t>
      </w:r>
      <w:r w:rsidRPr="00C63D99">
        <w:rPr>
          <w:rFonts w:ascii="Palatino Linotype" w:eastAsiaTheme="minorEastAsia" w:hAnsi="Palatino Linotype" w:cs="Arial"/>
          <w:sz w:val="24"/>
          <w:szCs w:val="24"/>
          <w:lang w:val="es-ES_tradnl"/>
        </w:rPr>
        <w:lastRenderedPageBreak/>
        <w:t xml:space="preserve">información pública, lo cual, en el caso no aconteció, pues tal y como se ha acreditado de la revisión del expediente electrónico formado en el </w:t>
      </w:r>
      <w:r w:rsidRPr="00C63D99">
        <w:rPr>
          <w:rFonts w:ascii="Palatino Linotype" w:eastAsiaTheme="minorEastAsia" w:hAnsi="Palatino Linotype" w:cs="Arial"/>
          <w:b/>
          <w:sz w:val="24"/>
          <w:szCs w:val="24"/>
          <w:lang w:val="es-ES_tradnl"/>
        </w:rPr>
        <w:t>SAIME</w:t>
      </w:r>
      <w:r w:rsidRPr="00C63D99">
        <w:rPr>
          <w:rFonts w:ascii="Palatino Linotype" w:eastAsiaTheme="minorEastAsia" w:hAnsi="Palatino Linotype" w:cs="Arial"/>
          <w:sz w:val="24"/>
          <w:szCs w:val="24"/>
          <w:lang w:val="es-ES_tradnl"/>
        </w:rPr>
        <w:t xml:space="preserve">X, el </w:t>
      </w:r>
      <w:r w:rsidRPr="00C63D99">
        <w:rPr>
          <w:rFonts w:ascii="Palatino Linotype" w:eastAsiaTheme="minorEastAsia" w:hAnsi="Palatino Linotype" w:cs="Arial"/>
          <w:b/>
          <w:sz w:val="24"/>
          <w:szCs w:val="24"/>
          <w:lang w:val="es-ES_tradnl"/>
        </w:rPr>
        <w:t>SUJETO OBLIGADO</w:t>
      </w:r>
      <w:r w:rsidRPr="00C63D99">
        <w:rPr>
          <w:rFonts w:ascii="Palatino Linotype" w:eastAsiaTheme="minorEastAsia" w:hAnsi="Palatino Linotype" w:cs="Arial"/>
          <w:sz w:val="24"/>
          <w:szCs w:val="24"/>
          <w:lang w:val="es-ES_tradnl"/>
        </w:rPr>
        <w:t xml:space="preserve"> fue omiso en dar respuesta a la solicitud.</w:t>
      </w:r>
    </w:p>
    <w:p w14:paraId="0DFE6938" w14:textId="77777777" w:rsidR="00616297" w:rsidRPr="00C63D99" w:rsidRDefault="00616297" w:rsidP="00616297">
      <w:pPr>
        <w:tabs>
          <w:tab w:val="left" w:pos="284"/>
        </w:tabs>
        <w:spacing w:before="240" w:after="240" w:line="360" w:lineRule="auto"/>
        <w:contextualSpacing/>
        <w:jc w:val="both"/>
        <w:rPr>
          <w:rFonts w:ascii="Palatino Linotype" w:eastAsiaTheme="minorEastAsia" w:hAnsi="Palatino Linotype" w:cs="Arial"/>
          <w:sz w:val="24"/>
          <w:szCs w:val="24"/>
          <w:lang w:val="es-ES_tradnl"/>
        </w:rPr>
      </w:pPr>
    </w:p>
    <w:p w14:paraId="74174E46" w14:textId="6515B4DC" w:rsidR="00616297" w:rsidRPr="00C63D99" w:rsidRDefault="00616297" w:rsidP="00254BE7">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sz w:val="24"/>
          <w:szCs w:val="24"/>
          <w:lang w:val="es-ES_tradnl"/>
        </w:rPr>
      </w:pPr>
      <w:r w:rsidRPr="00C63D99">
        <w:rPr>
          <w:rFonts w:ascii="Palatino Linotype" w:eastAsiaTheme="minorEastAsia" w:hAnsi="Palatino Linotype" w:cs="Arial"/>
          <w:sz w:val="24"/>
          <w:szCs w:val="24"/>
          <w:lang w:val="es-ES_tradnl"/>
        </w:rPr>
        <w:t xml:space="preserve">De las constancias que obran en el expediente de la plataforma digital (SAIMEX), se observa que en fecha </w:t>
      </w:r>
      <w:r w:rsidR="004F44D0" w:rsidRPr="00C63D99">
        <w:rPr>
          <w:rFonts w:ascii="Palatino Linotype" w:eastAsiaTheme="minorEastAsia" w:hAnsi="Palatino Linotype" w:cs="Arial"/>
          <w:sz w:val="24"/>
          <w:szCs w:val="24"/>
          <w:lang w:val="es-ES_tradnl"/>
        </w:rPr>
        <w:t>treinta y uno</w:t>
      </w:r>
      <w:r w:rsidRPr="00C63D99">
        <w:rPr>
          <w:rFonts w:ascii="Palatino Linotype" w:eastAsiaTheme="minorEastAsia" w:hAnsi="Palatino Linotype" w:cs="Arial"/>
          <w:sz w:val="24"/>
          <w:szCs w:val="24"/>
          <w:lang w:val="es-ES_tradnl"/>
        </w:rPr>
        <w:t xml:space="preserve"> (</w:t>
      </w:r>
      <w:r w:rsidR="004F44D0" w:rsidRPr="00C63D99">
        <w:rPr>
          <w:rFonts w:ascii="Palatino Linotype" w:eastAsiaTheme="minorEastAsia" w:hAnsi="Palatino Linotype" w:cs="Arial"/>
          <w:sz w:val="24"/>
          <w:szCs w:val="24"/>
          <w:lang w:val="es-ES_tradnl"/>
        </w:rPr>
        <w:t>31</w:t>
      </w:r>
      <w:r w:rsidRPr="00C63D99">
        <w:rPr>
          <w:rFonts w:ascii="Palatino Linotype" w:eastAsiaTheme="minorEastAsia" w:hAnsi="Palatino Linotype" w:cs="Arial"/>
          <w:sz w:val="24"/>
          <w:szCs w:val="24"/>
          <w:lang w:val="es-ES_tradnl"/>
        </w:rPr>
        <w:t xml:space="preserve">) de </w:t>
      </w:r>
      <w:r w:rsidR="004F44D0" w:rsidRPr="00C63D99">
        <w:rPr>
          <w:rFonts w:ascii="Palatino Linotype" w:eastAsiaTheme="minorEastAsia" w:hAnsi="Palatino Linotype" w:cs="Arial"/>
          <w:sz w:val="24"/>
          <w:szCs w:val="24"/>
          <w:lang w:val="es-ES_tradnl"/>
        </w:rPr>
        <w:t>enero</w:t>
      </w:r>
      <w:r w:rsidRPr="00C63D99">
        <w:rPr>
          <w:rFonts w:ascii="Palatino Linotype" w:eastAsiaTheme="minorEastAsia" w:hAnsi="Palatino Linotype" w:cs="Arial"/>
          <w:sz w:val="24"/>
          <w:szCs w:val="24"/>
          <w:lang w:val="es-ES_tradnl"/>
        </w:rPr>
        <w:t xml:space="preserve"> de dos mil veinti</w:t>
      </w:r>
      <w:r w:rsidR="00254BE7" w:rsidRPr="00C63D99">
        <w:rPr>
          <w:rFonts w:ascii="Palatino Linotype" w:eastAsiaTheme="minorEastAsia" w:hAnsi="Palatino Linotype" w:cs="Arial"/>
          <w:sz w:val="24"/>
          <w:szCs w:val="24"/>
          <w:lang w:val="es-ES_tradnl"/>
        </w:rPr>
        <w:t>dós</w:t>
      </w:r>
      <w:r w:rsidRPr="00C63D99">
        <w:rPr>
          <w:rFonts w:ascii="Palatino Linotype" w:eastAsiaTheme="minorEastAsia" w:hAnsi="Palatino Linotype" w:cs="Arial"/>
          <w:sz w:val="24"/>
          <w:szCs w:val="24"/>
          <w:lang w:val="es-ES_tradnl"/>
        </w:rPr>
        <w:t>, se present</w:t>
      </w:r>
      <w:r w:rsidR="00254BE7" w:rsidRPr="00C63D99">
        <w:rPr>
          <w:rFonts w:ascii="Palatino Linotype" w:eastAsiaTheme="minorEastAsia" w:hAnsi="Palatino Linotype" w:cs="Arial"/>
          <w:sz w:val="24"/>
          <w:szCs w:val="24"/>
          <w:lang w:val="es-ES_tradnl"/>
        </w:rPr>
        <w:t xml:space="preserve">aron las </w:t>
      </w:r>
      <w:r w:rsidRPr="00C63D99">
        <w:rPr>
          <w:rFonts w:ascii="Palatino Linotype" w:eastAsiaTheme="minorEastAsia" w:hAnsi="Palatino Linotype" w:cs="Arial"/>
          <w:sz w:val="24"/>
          <w:szCs w:val="24"/>
          <w:lang w:val="es-ES_tradnl"/>
        </w:rPr>
        <w:t>solicitud</w:t>
      </w:r>
      <w:r w:rsidR="00254BE7" w:rsidRPr="00C63D99">
        <w:rPr>
          <w:rFonts w:ascii="Palatino Linotype" w:eastAsiaTheme="minorEastAsia" w:hAnsi="Palatino Linotype" w:cs="Arial"/>
          <w:sz w:val="24"/>
          <w:szCs w:val="24"/>
          <w:lang w:val="es-ES_tradnl"/>
        </w:rPr>
        <w:t>es</w:t>
      </w:r>
      <w:r w:rsidRPr="00C63D99">
        <w:rPr>
          <w:rFonts w:ascii="Palatino Linotype" w:eastAsiaTheme="minorEastAsia" w:hAnsi="Palatino Linotype" w:cs="Arial"/>
          <w:sz w:val="24"/>
          <w:szCs w:val="24"/>
          <w:lang w:val="es-ES_tradnl"/>
        </w:rPr>
        <w:t xml:space="preserve"> de info</w:t>
      </w:r>
      <w:r w:rsidR="00DD7DC3" w:rsidRPr="00C63D99">
        <w:rPr>
          <w:rFonts w:ascii="Palatino Linotype" w:eastAsiaTheme="minorEastAsia" w:hAnsi="Palatino Linotype" w:cs="Arial"/>
          <w:sz w:val="24"/>
          <w:szCs w:val="24"/>
          <w:lang w:val="es-ES_tradnl"/>
        </w:rPr>
        <w:t xml:space="preserve">rmación, sin embargo, existió una </w:t>
      </w:r>
      <w:r w:rsidRPr="00C63D99">
        <w:rPr>
          <w:rFonts w:ascii="Palatino Linotype" w:eastAsiaTheme="minorEastAsia" w:hAnsi="Palatino Linotype" w:cs="Arial"/>
          <w:sz w:val="24"/>
          <w:szCs w:val="24"/>
          <w:lang w:val="es-ES_tradnl"/>
        </w:rPr>
        <w:t>la falta de respuesta, motivo por el cual el particular e</w:t>
      </w:r>
      <w:r w:rsidR="0021453D" w:rsidRPr="00C63D99">
        <w:rPr>
          <w:rFonts w:ascii="Palatino Linotype" w:eastAsiaTheme="minorEastAsia" w:hAnsi="Palatino Linotype" w:cs="Arial"/>
          <w:sz w:val="24"/>
          <w:szCs w:val="24"/>
          <w:lang w:val="es-ES_tradnl"/>
        </w:rPr>
        <w:t>l</w:t>
      </w:r>
      <w:r w:rsidRPr="00C63D99">
        <w:rPr>
          <w:rFonts w:ascii="Palatino Linotype" w:eastAsiaTheme="minorEastAsia" w:hAnsi="Palatino Linotype" w:cs="Arial"/>
          <w:sz w:val="24"/>
          <w:szCs w:val="24"/>
          <w:lang w:val="es-ES_tradnl"/>
        </w:rPr>
        <w:t xml:space="preserve"> </w:t>
      </w:r>
      <w:r w:rsidR="00254BE7" w:rsidRPr="00C63D99">
        <w:rPr>
          <w:rFonts w:ascii="Palatino Linotype" w:eastAsiaTheme="minorEastAsia" w:hAnsi="Palatino Linotype" w:cs="Arial"/>
          <w:sz w:val="24"/>
          <w:szCs w:val="24"/>
          <w:lang w:val="es-ES_tradnl"/>
        </w:rPr>
        <w:t>veintitrés</w:t>
      </w:r>
      <w:r w:rsidR="00085304" w:rsidRPr="00C63D99">
        <w:rPr>
          <w:rFonts w:ascii="Palatino Linotype" w:eastAsiaTheme="minorEastAsia" w:hAnsi="Palatino Linotype" w:cs="Arial"/>
          <w:sz w:val="24"/>
          <w:szCs w:val="24"/>
          <w:lang w:val="es-ES_tradnl"/>
        </w:rPr>
        <w:t xml:space="preserve"> (</w:t>
      </w:r>
      <w:r w:rsidR="00DD7DC3" w:rsidRPr="00C63D99">
        <w:rPr>
          <w:rFonts w:ascii="Palatino Linotype" w:eastAsiaTheme="minorEastAsia" w:hAnsi="Palatino Linotype" w:cs="Arial"/>
          <w:sz w:val="24"/>
          <w:szCs w:val="24"/>
          <w:lang w:val="es-ES_tradnl"/>
        </w:rPr>
        <w:t>2</w:t>
      </w:r>
      <w:r w:rsidR="00254BE7" w:rsidRPr="00C63D99">
        <w:rPr>
          <w:rFonts w:ascii="Palatino Linotype" w:eastAsiaTheme="minorEastAsia" w:hAnsi="Palatino Linotype" w:cs="Arial"/>
          <w:sz w:val="24"/>
          <w:szCs w:val="24"/>
          <w:lang w:val="es-ES_tradnl"/>
        </w:rPr>
        <w:t>3</w:t>
      </w:r>
      <w:r w:rsidR="00085304" w:rsidRPr="00C63D99">
        <w:rPr>
          <w:rFonts w:ascii="Palatino Linotype" w:eastAsiaTheme="minorEastAsia" w:hAnsi="Palatino Linotype" w:cs="Arial"/>
          <w:sz w:val="24"/>
          <w:szCs w:val="24"/>
          <w:lang w:val="es-ES_tradnl"/>
        </w:rPr>
        <w:t xml:space="preserve">) </w:t>
      </w:r>
      <w:r w:rsidRPr="00C63D99">
        <w:rPr>
          <w:rFonts w:ascii="Palatino Linotype" w:eastAsiaTheme="minorEastAsia" w:hAnsi="Palatino Linotype" w:cs="Arial"/>
          <w:sz w:val="24"/>
          <w:szCs w:val="24"/>
          <w:lang w:val="es-ES_tradnl"/>
        </w:rPr>
        <w:t xml:space="preserve">de </w:t>
      </w:r>
      <w:r w:rsidR="00254BE7" w:rsidRPr="00C63D99">
        <w:rPr>
          <w:rFonts w:ascii="Palatino Linotype" w:eastAsiaTheme="minorEastAsia" w:hAnsi="Palatino Linotype" w:cs="Arial"/>
          <w:sz w:val="24"/>
          <w:szCs w:val="24"/>
          <w:lang w:val="es-ES_tradnl"/>
        </w:rPr>
        <w:t>febrero</w:t>
      </w:r>
      <w:r w:rsidRPr="00C63D99">
        <w:rPr>
          <w:rFonts w:ascii="Palatino Linotype" w:eastAsiaTheme="minorEastAsia" w:hAnsi="Palatino Linotype" w:cs="Arial"/>
          <w:sz w:val="24"/>
          <w:szCs w:val="24"/>
          <w:lang w:val="es-ES_tradnl"/>
        </w:rPr>
        <w:t xml:space="preserve"> de dos mil veinti</w:t>
      </w:r>
      <w:r w:rsidR="0021453D" w:rsidRPr="00C63D99">
        <w:rPr>
          <w:rFonts w:ascii="Palatino Linotype" w:eastAsiaTheme="minorEastAsia" w:hAnsi="Palatino Linotype" w:cs="Arial"/>
          <w:sz w:val="24"/>
          <w:szCs w:val="24"/>
          <w:lang w:val="es-ES_tradnl"/>
        </w:rPr>
        <w:t>dós</w:t>
      </w:r>
      <w:r w:rsidRPr="00C63D99">
        <w:rPr>
          <w:rFonts w:ascii="Palatino Linotype" w:eastAsiaTheme="minorEastAsia" w:hAnsi="Palatino Linotype" w:cs="Arial"/>
          <w:sz w:val="24"/>
          <w:szCs w:val="24"/>
          <w:lang w:val="es-ES_tradnl"/>
        </w:rPr>
        <w:t xml:space="preserve"> interpuso </w:t>
      </w:r>
      <w:r w:rsidR="00254BE7" w:rsidRPr="00C63D99">
        <w:rPr>
          <w:rFonts w:ascii="Palatino Linotype" w:eastAsiaTheme="minorEastAsia" w:hAnsi="Palatino Linotype" w:cs="Arial"/>
          <w:sz w:val="24"/>
          <w:szCs w:val="24"/>
          <w:lang w:val="es-ES_tradnl"/>
        </w:rPr>
        <w:t>los</w:t>
      </w:r>
      <w:r w:rsidRPr="00C63D99">
        <w:rPr>
          <w:rFonts w:ascii="Palatino Linotype" w:eastAsiaTheme="minorEastAsia" w:hAnsi="Palatino Linotype" w:cs="Arial"/>
          <w:sz w:val="24"/>
          <w:szCs w:val="24"/>
          <w:lang w:val="es-ES_tradnl"/>
        </w:rPr>
        <w:t xml:space="preserve"> recurso</w:t>
      </w:r>
      <w:r w:rsidR="00254BE7" w:rsidRPr="00C63D99">
        <w:rPr>
          <w:rFonts w:ascii="Palatino Linotype" w:eastAsiaTheme="minorEastAsia" w:hAnsi="Palatino Linotype" w:cs="Arial"/>
          <w:sz w:val="24"/>
          <w:szCs w:val="24"/>
          <w:lang w:val="es-ES_tradnl"/>
        </w:rPr>
        <w:t>s</w:t>
      </w:r>
      <w:r w:rsidRPr="00C63D99">
        <w:rPr>
          <w:rFonts w:ascii="Palatino Linotype" w:eastAsiaTheme="minorEastAsia" w:hAnsi="Palatino Linotype" w:cs="Arial"/>
          <w:sz w:val="24"/>
          <w:szCs w:val="24"/>
          <w:lang w:val="es-ES_tradnl"/>
        </w:rPr>
        <w:t xml:space="preserve"> de revisión, mismo</w:t>
      </w:r>
      <w:r w:rsidR="00254BE7" w:rsidRPr="00C63D99">
        <w:rPr>
          <w:rFonts w:ascii="Palatino Linotype" w:eastAsiaTheme="minorEastAsia" w:hAnsi="Palatino Linotype" w:cs="Arial"/>
          <w:sz w:val="24"/>
          <w:szCs w:val="24"/>
          <w:lang w:val="es-ES_tradnl"/>
        </w:rPr>
        <w:t>s</w:t>
      </w:r>
      <w:r w:rsidRPr="00C63D99">
        <w:rPr>
          <w:rFonts w:ascii="Palatino Linotype" w:eastAsiaTheme="minorEastAsia" w:hAnsi="Palatino Linotype" w:cs="Arial"/>
          <w:sz w:val="24"/>
          <w:szCs w:val="24"/>
          <w:lang w:val="es-ES_tradnl"/>
        </w:rPr>
        <w:t xml:space="preserve"> que fue</w:t>
      </w:r>
      <w:r w:rsidR="00254BE7" w:rsidRPr="00C63D99">
        <w:rPr>
          <w:rFonts w:ascii="Palatino Linotype" w:eastAsiaTheme="minorEastAsia" w:hAnsi="Palatino Linotype" w:cs="Arial"/>
          <w:sz w:val="24"/>
          <w:szCs w:val="24"/>
          <w:lang w:val="es-ES_tradnl"/>
        </w:rPr>
        <w:t>ron</w:t>
      </w:r>
      <w:r w:rsidRPr="00C63D99">
        <w:rPr>
          <w:rFonts w:ascii="Palatino Linotype" w:eastAsiaTheme="minorEastAsia" w:hAnsi="Palatino Linotype" w:cs="Arial"/>
          <w:sz w:val="24"/>
          <w:szCs w:val="24"/>
          <w:lang w:val="es-ES_tradnl"/>
        </w:rPr>
        <w:t xml:space="preserve"> admitido</w:t>
      </w:r>
      <w:r w:rsidR="00254BE7" w:rsidRPr="00C63D99">
        <w:rPr>
          <w:rFonts w:ascii="Palatino Linotype" w:eastAsiaTheme="minorEastAsia" w:hAnsi="Palatino Linotype" w:cs="Arial"/>
          <w:sz w:val="24"/>
          <w:szCs w:val="24"/>
          <w:lang w:val="es-ES_tradnl"/>
        </w:rPr>
        <w:t>s</w:t>
      </w:r>
      <w:r w:rsidRPr="00C63D99">
        <w:rPr>
          <w:rFonts w:ascii="Palatino Linotype" w:eastAsiaTheme="minorEastAsia" w:hAnsi="Palatino Linotype" w:cs="Arial"/>
          <w:sz w:val="24"/>
          <w:szCs w:val="24"/>
          <w:lang w:val="es-ES_tradnl"/>
        </w:rPr>
        <w:t xml:space="preserve"> </w:t>
      </w:r>
      <w:r w:rsidR="00254BE7" w:rsidRPr="00C63D99">
        <w:rPr>
          <w:rFonts w:ascii="Palatino Linotype" w:eastAsiaTheme="minorEastAsia" w:hAnsi="Palatino Linotype" w:cs="Arial"/>
          <w:sz w:val="24"/>
          <w:szCs w:val="24"/>
          <w:lang w:val="es-ES_tradnl"/>
        </w:rPr>
        <w:t xml:space="preserve">el </w:t>
      </w:r>
      <w:r w:rsidR="00254BE7" w:rsidRPr="00C63D99">
        <w:rPr>
          <w:rFonts w:ascii="Palatino Linotype" w:eastAsia="Calibri" w:hAnsi="Palatino Linotype" w:cs="Arial"/>
          <w:sz w:val="24"/>
          <w:lang w:val="es-ES"/>
        </w:rPr>
        <w:t xml:space="preserve">veinticinco (25) y veintiocho (28) de febrero y tres (3) de marzo de dos mil veintidós </w:t>
      </w:r>
      <w:r w:rsidRPr="00C63D99">
        <w:rPr>
          <w:rFonts w:ascii="Palatino Linotype" w:eastAsiaTheme="minorEastAsia" w:hAnsi="Palatino Linotype" w:cs="Arial"/>
          <w:sz w:val="24"/>
          <w:szCs w:val="24"/>
          <w:lang w:val="es-ES_tradnl"/>
        </w:rPr>
        <w:t xml:space="preserve">y puesto a disposición de las partes para que señalen lo que a su derecho convenga. </w:t>
      </w:r>
    </w:p>
    <w:p w14:paraId="3D22D7D4" w14:textId="77777777" w:rsidR="00616297" w:rsidRPr="00C63D99" w:rsidRDefault="00616297" w:rsidP="00616297">
      <w:pPr>
        <w:tabs>
          <w:tab w:val="left" w:pos="284"/>
        </w:tabs>
        <w:spacing w:before="240" w:after="240" w:line="360" w:lineRule="auto"/>
        <w:contextualSpacing/>
        <w:jc w:val="both"/>
        <w:rPr>
          <w:rFonts w:ascii="Palatino Linotype" w:eastAsiaTheme="minorEastAsia" w:hAnsi="Palatino Linotype" w:cs="Arial"/>
          <w:sz w:val="24"/>
          <w:szCs w:val="24"/>
          <w:lang w:val="es-ES_tradnl"/>
        </w:rPr>
      </w:pPr>
    </w:p>
    <w:p w14:paraId="7CBEB85A" w14:textId="77777777" w:rsidR="00616297" w:rsidRPr="00C63D99" w:rsidRDefault="00616297" w:rsidP="00616297">
      <w:pPr>
        <w:numPr>
          <w:ilvl w:val="0"/>
          <w:numId w:val="2"/>
        </w:numPr>
        <w:tabs>
          <w:tab w:val="left" w:pos="284"/>
        </w:tabs>
        <w:spacing w:line="360" w:lineRule="auto"/>
        <w:ind w:left="0" w:right="49" w:firstLine="0"/>
        <w:contextualSpacing/>
        <w:jc w:val="both"/>
        <w:rPr>
          <w:rFonts w:ascii="Palatino Linotype" w:hAnsi="Palatino Linotype" w:cs="Arial"/>
          <w:color w:val="000000"/>
          <w:sz w:val="24"/>
          <w:szCs w:val="24"/>
          <w:lang w:val="es-ES_tradnl"/>
        </w:rPr>
      </w:pPr>
      <w:r w:rsidRPr="00C63D99">
        <w:rPr>
          <w:rFonts w:ascii="Palatino Linotype" w:hAnsi="Palatino Linotype" w:cs="Arial"/>
          <w:color w:val="000000"/>
          <w:sz w:val="24"/>
          <w:szCs w:val="24"/>
          <w:lang w:val="es-ES_tradnl"/>
        </w:rPr>
        <w:t>Precisado lo anterior, uno de los objetivos con los que cuenta la Ley de Transparencia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mejorar la toma decisiones, a través de la difusión de la información que obra en poder de los Sujetos Obligados.</w:t>
      </w:r>
    </w:p>
    <w:p w14:paraId="3BB35AD1" w14:textId="77777777" w:rsidR="00616297" w:rsidRPr="00C63D99" w:rsidRDefault="00616297" w:rsidP="00616297">
      <w:pPr>
        <w:tabs>
          <w:tab w:val="left" w:pos="284"/>
        </w:tabs>
        <w:spacing w:line="360" w:lineRule="auto"/>
        <w:ind w:right="49"/>
        <w:contextualSpacing/>
        <w:jc w:val="both"/>
        <w:rPr>
          <w:rFonts w:ascii="Palatino Linotype" w:hAnsi="Palatino Linotype" w:cs="Arial"/>
          <w:color w:val="000000"/>
          <w:sz w:val="24"/>
          <w:szCs w:val="24"/>
          <w:lang w:val="es-ES_tradnl"/>
        </w:rPr>
      </w:pPr>
    </w:p>
    <w:p w14:paraId="6AAFE328" w14:textId="77777777" w:rsidR="00616297" w:rsidRPr="00C63D99" w:rsidRDefault="00616297" w:rsidP="00616297">
      <w:pPr>
        <w:numPr>
          <w:ilvl w:val="0"/>
          <w:numId w:val="2"/>
        </w:numPr>
        <w:tabs>
          <w:tab w:val="left" w:pos="284"/>
        </w:tabs>
        <w:spacing w:line="360" w:lineRule="auto"/>
        <w:ind w:left="0" w:right="49" w:firstLine="0"/>
        <w:contextualSpacing/>
        <w:jc w:val="both"/>
        <w:rPr>
          <w:rFonts w:ascii="Palatino Linotype" w:hAnsi="Palatino Linotype" w:cs="Arial"/>
          <w:color w:val="000000"/>
          <w:sz w:val="24"/>
          <w:szCs w:val="24"/>
          <w:lang w:val="es-ES_tradnl"/>
        </w:rPr>
      </w:pPr>
      <w:r w:rsidRPr="00C63D99">
        <w:rPr>
          <w:rFonts w:ascii="Palatino Linotype" w:eastAsia="Calibri" w:hAnsi="Palatino Linotype"/>
          <w:sz w:val="24"/>
          <w:szCs w:val="24"/>
          <w:lang w:val="es-ES"/>
        </w:rPr>
        <w:t xml:space="preserve">En ese sentido, la omisión del Titular de la Unidad de Transparencia, como primer responsable de verificar que el procedimiento de acceso a la información se </w:t>
      </w:r>
      <w:r w:rsidRPr="00C63D99">
        <w:rPr>
          <w:rFonts w:ascii="Palatino Linotype" w:eastAsia="Calibri" w:hAnsi="Palatino Linotype"/>
          <w:sz w:val="24"/>
          <w:szCs w:val="24"/>
          <w:lang w:val="es-ES"/>
        </w:rPr>
        <w:lastRenderedPageBreak/>
        <w:t xml:space="preserve">realice, </w:t>
      </w:r>
      <w:proofErr w:type="gramStart"/>
      <w:r w:rsidRPr="00C63D99">
        <w:rPr>
          <w:rFonts w:ascii="Palatino Linotype" w:eastAsia="Calibri" w:hAnsi="Palatino Linotype"/>
          <w:sz w:val="24"/>
          <w:szCs w:val="24"/>
          <w:lang w:val="es-ES"/>
        </w:rPr>
        <w:t>de acuerdo a</w:t>
      </w:r>
      <w:proofErr w:type="gramEnd"/>
      <w:r w:rsidRPr="00C63D99">
        <w:rPr>
          <w:rFonts w:ascii="Palatino Linotype" w:eastAsia="Calibri" w:hAnsi="Palatino Linotype"/>
          <w:sz w:val="24"/>
          <w:szCs w:val="24"/>
          <w:lang w:val="es-ES"/>
        </w:rPr>
        <w:t xml:space="preserve"> lo dispuesto por el artículo 53 fracción II de la Ley de la materia, vulnera el derecho fundamental de acceso a la información: </w:t>
      </w:r>
    </w:p>
    <w:p w14:paraId="78AA708F" w14:textId="77777777" w:rsidR="00616297" w:rsidRPr="00C63D99" w:rsidRDefault="00616297" w:rsidP="00616297">
      <w:pPr>
        <w:tabs>
          <w:tab w:val="left" w:pos="284"/>
        </w:tabs>
        <w:contextualSpacing/>
        <w:rPr>
          <w:rFonts w:ascii="Palatino Linotype" w:hAnsi="Palatino Linotype" w:cs="Arial"/>
          <w:color w:val="000000"/>
          <w:sz w:val="24"/>
          <w:szCs w:val="24"/>
          <w:lang w:val="es-ES_tradnl"/>
        </w:rPr>
      </w:pPr>
    </w:p>
    <w:p w14:paraId="3DAD27E5" w14:textId="77777777" w:rsidR="00616297" w:rsidRPr="00C63D99" w:rsidRDefault="00616297" w:rsidP="00616297">
      <w:pPr>
        <w:tabs>
          <w:tab w:val="left" w:pos="284"/>
        </w:tabs>
        <w:spacing w:line="360" w:lineRule="auto"/>
        <w:ind w:left="567" w:right="616"/>
        <w:jc w:val="both"/>
        <w:rPr>
          <w:rFonts w:ascii="Palatino Linotype" w:eastAsiaTheme="minorEastAsia" w:hAnsi="Palatino Linotype"/>
          <w:i/>
          <w:sz w:val="22"/>
          <w:szCs w:val="22"/>
          <w:lang w:val="es-ES_tradnl"/>
        </w:rPr>
      </w:pPr>
      <w:r w:rsidRPr="00C63D99">
        <w:rPr>
          <w:rFonts w:ascii="Palatino Linotype" w:eastAsiaTheme="minorEastAsia" w:hAnsi="Palatino Linotype"/>
          <w:b/>
          <w:i/>
          <w:sz w:val="22"/>
          <w:szCs w:val="22"/>
          <w:lang w:val="es-ES_tradnl"/>
        </w:rPr>
        <w:t>Artículo 53.</w:t>
      </w:r>
      <w:r w:rsidRPr="00C63D99">
        <w:rPr>
          <w:rFonts w:ascii="Palatino Linotype" w:eastAsiaTheme="minorEastAsia" w:hAnsi="Palatino Linotype"/>
          <w:i/>
          <w:sz w:val="22"/>
          <w:szCs w:val="22"/>
          <w:lang w:val="es-ES_tradnl"/>
        </w:rPr>
        <w:t xml:space="preserve"> Las Unidades de Transparencia tendrán las siguientes funciones:</w:t>
      </w:r>
    </w:p>
    <w:p w14:paraId="36E03F1A" w14:textId="77777777" w:rsidR="00616297" w:rsidRPr="00C63D99" w:rsidRDefault="00616297" w:rsidP="00616297">
      <w:pPr>
        <w:tabs>
          <w:tab w:val="left" w:pos="284"/>
        </w:tabs>
        <w:spacing w:line="360" w:lineRule="auto"/>
        <w:ind w:left="567" w:right="616"/>
        <w:jc w:val="both"/>
        <w:rPr>
          <w:rFonts w:ascii="Palatino Linotype" w:eastAsiaTheme="minorEastAsia" w:hAnsi="Palatino Linotype"/>
          <w:i/>
          <w:sz w:val="22"/>
          <w:szCs w:val="22"/>
          <w:lang w:val="es-ES_tradnl"/>
        </w:rPr>
      </w:pPr>
      <w:r w:rsidRPr="00C63D99">
        <w:rPr>
          <w:rFonts w:ascii="Palatino Linotype" w:eastAsiaTheme="minorEastAsia" w:hAnsi="Palatino Linotype"/>
          <w:i/>
          <w:sz w:val="22"/>
          <w:szCs w:val="22"/>
          <w:lang w:val="es-ES_tradnl"/>
        </w:rPr>
        <w:t>…</w:t>
      </w:r>
    </w:p>
    <w:p w14:paraId="53E1AA27" w14:textId="77777777" w:rsidR="00616297" w:rsidRPr="00C63D99" w:rsidRDefault="00616297" w:rsidP="00616297">
      <w:pPr>
        <w:tabs>
          <w:tab w:val="left" w:pos="284"/>
        </w:tabs>
        <w:spacing w:line="360" w:lineRule="auto"/>
        <w:ind w:left="567" w:right="616"/>
        <w:jc w:val="both"/>
        <w:rPr>
          <w:rFonts w:ascii="Palatino Linotype" w:eastAsiaTheme="minorEastAsia" w:hAnsi="Palatino Linotype"/>
          <w:i/>
          <w:sz w:val="22"/>
          <w:szCs w:val="22"/>
          <w:lang w:val="es-ES_tradnl"/>
        </w:rPr>
      </w:pPr>
      <w:r w:rsidRPr="00C63D99">
        <w:rPr>
          <w:rFonts w:ascii="Palatino Linotype" w:eastAsiaTheme="minorEastAsia" w:hAnsi="Palatino Linotype"/>
          <w:b/>
          <w:i/>
          <w:sz w:val="22"/>
          <w:szCs w:val="22"/>
          <w:u w:val="single"/>
          <w:lang w:val="es-ES_tradnl"/>
        </w:rPr>
        <w:t>II. Recibir, tramitar y dar respuesta a las solicitudes de acceso a la información</w:t>
      </w:r>
      <w:r w:rsidRPr="00C63D99">
        <w:rPr>
          <w:rFonts w:ascii="Palatino Linotype" w:eastAsiaTheme="minorEastAsia" w:hAnsi="Palatino Linotype"/>
          <w:i/>
          <w:sz w:val="22"/>
          <w:szCs w:val="22"/>
          <w:lang w:val="es-ES_tradnl"/>
        </w:rPr>
        <w:t>;</w:t>
      </w:r>
    </w:p>
    <w:p w14:paraId="13496E9D" w14:textId="77777777" w:rsidR="00616297" w:rsidRPr="00C63D99" w:rsidRDefault="00616297" w:rsidP="00616297">
      <w:pPr>
        <w:tabs>
          <w:tab w:val="left" w:pos="284"/>
        </w:tabs>
        <w:spacing w:line="360" w:lineRule="auto"/>
        <w:ind w:left="567" w:right="616"/>
        <w:jc w:val="both"/>
        <w:rPr>
          <w:rFonts w:ascii="Palatino Linotype" w:eastAsiaTheme="minorEastAsia" w:hAnsi="Palatino Linotype"/>
          <w:i/>
          <w:sz w:val="22"/>
          <w:szCs w:val="22"/>
          <w:lang w:val="es-ES_tradnl"/>
        </w:rPr>
      </w:pPr>
      <w:r w:rsidRPr="00C63D99">
        <w:rPr>
          <w:rFonts w:ascii="Palatino Linotype" w:eastAsiaTheme="minorEastAsia" w:hAnsi="Palatino Linotype"/>
          <w:i/>
          <w:sz w:val="22"/>
          <w:szCs w:val="22"/>
          <w:lang w:val="es-ES_tradnl"/>
        </w:rPr>
        <w:t>…</w:t>
      </w:r>
    </w:p>
    <w:p w14:paraId="03254BB7" w14:textId="77777777" w:rsidR="00616297" w:rsidRPr="00C63D99" w:rsidRDefault="00616297" w:rsidP="00616297">
      <w:pPr>
        <w:tabs>
          <w:tab w:val="left" w:pos="284"/>
        </w:tabs>
        <w:spacing w:line="360" w:lineRule="auto"/>
        <w:ind w:left="567" w:right="616"/>
        <w:jc w:val="both"/>
        <w:rPr>
          <w:rFonts w:ascii="Palatino Linotype" w:eastAsiaTheme="minorEastAsia" w:hAnsi="Palatino Linotype"/>
          <w:i/>
          <w:sz w:val="22"/>
          <w:szCs w:val="22"/>
          <w:lang w:val="es-ES_tradnl"/>
        </w:rPr>
      </w:pPr>
      <w:r w:rsidRPr="00C63D99">
        <w:rPr>
          <w:rFonts w:ascii="Palatino Linotype" w:eastAsiaTheme="minorEastAsia" w:hAnsi="Palatino Linotype"/>
          <w:i/>
          <w:sz w:val="22"/>
          <w:szCs w:val="22"/>
          <w:lang w:val="es-ES_tradnl"/>
        </w:rPr>
        <w:t>IV. Realizar, con efectividad, los trámites internos necesarios para la atención de las solicitudes de acceso a la información;</w:t>
      </w:r>
    </w:p>
    <w:p w14:paraId="48D65451" w14:textId="77777777" w:rsidR="00616297" w:rsidRPr="00C63D99" w:rsidRDefault="00616297" w:rsidP="00616297">
      <w:pPr>
        <w:tabs>
          <w:tab w:val="left" w:pos="284"/>
        </w:tabs>
        <w:spacing w:line="360" w:lineRule="auto"/>
        <w:ind w:left="567" w:right="616"/>
        <w:jc w:val="both"/>
        <w:rPr>
          <w:rFonts w:ascii="Palatino Linotype" w:eastAsiaTheme="minorEastAsia" w:hAnsi="Palatino Linotype"/>
          <w:i/>
          <w:sz w:val="22"/>
          <w:szCs w:val="22"/>
          <w:lang w:val="es-ES_tradnl"/>
        </w:rPr>
      </w:pPr>
      <w:r w:rsidRPr="00C63D99">
        <w:rPr>
          <w:rFonts w:ascii="Palatino Linotype" w:eastAsiaTheme="minorEastAsia" w:hAnsi="Palatino Linotype"/>
          <w:i/>
          <w:sz w:val="22"/>
          <w:szCs w:val="22"/>
          <w:lang w:val="es-ES_tradnl"/>
        </w:rPr>
        <w:t>…</w:t>
      </w:r>
    </w:p>
    <w:p w14:paraId="616D810A" w14:textId="77777777" w:rsidR="00616297" w:rsidRPr="00C63D99" w:rsidRDefault="00616297" w:rsidP="00616297">
      <w:pPr>
        <w:tabs>
          <w:tab w:val="left" w:pos="284"/>
        </w:tabs>
        <w:spacing w:line="360" w:lineRule="auto"/>
        <w:ind w:left="567" w:right="616"/>
        <w:jc w:val="both"/>
        <w:rPr>
          <w:rFonts w:ascii="Palatino Linotype" w:eastAsiaTheme="minorEastAsia" w:hAnsi="Palatino Linotype"/>
          <w:i/>
          <w:sz w:val="22"/>
          <w:szCs w:val="22"/>
          <w:lang w:val="es-ES_tradnl"/>
        </w:rPr>
      </w:pPr>
      <w:r w:rsidRPr="00C63D99">
        <w:rPr>
          <w:rFonts w:ascii="Palatino Linotype" w:eastAsiaTheme="minorEastAsia" w:hAnsi="Palatino Linotype"/>
          <w:i/>
          <w:sz w:val="22"/>
          <w:szCs w:val="22"/>
          <w:lang w:val="es-ES_tradnl"/>
        </w:rPr>
        <w:t>XII. Fomentar la transparencia y accesibilidad al interior del sujeto obligado;”</w:t>
      </w:r>
    </w:p>
    <w:p w14:paraId="40FC56C4" w14:textId="77777777" w:rsidR="00616297" w:rsidRPr="00C63D99" w:rsidRDefault="00616297" w:rsidP="00616297">
      <w:pPr>
        <w:tabs>
          <w:tab w:val="left" w:pos="284"/>
        </w:tabs>
        <w:spacing w:line="360" w:lineRule="auto"/>
        <w:ind w:right="49"/>
        <w:contextualSpacing/>
        <w:jc w:val="both"/>
        <w:rPr>
          <w:rFonts w:ascii="Palatino Linotype" w:hAnsi="Palatino Linotype" w:cs="Arial"/>
          <w:color w:val="000000"/>
          <w:sz w:val="24"/>
          <w:szCs w:val="24"/>
          <w:lang w:val="es-ES_tradnl"/>
        </w:rPr>
      </w:pPr>
    </w:p>
    <w:p w14:paraId="2B9979E4" w14:textId="77777777" w:rsidR="00616297" w:rsidRPr="00C63D99" w:rsidRDefault="00616297" w:rsidP="00616297">
      <w:pPr>
        <w:numPr>
          <w:ilvl w:val="0"/>
          <w:numId w:val="2"/>
        </w:numPr>
        <w:tabs>
          <w:tab w:val="left" w:pos="284"/>
        </w:tabs>
        <w:spacing w:line="360" w:lineRule="auto"/>
        <w:ind w:left="0" w:right="49" w:firstLine="0"/>
        <w:contextualSpacing/>
        <w:jc w:val="both"/>
        <w:rPr>
          <w:rFonts w:ascii="Palatino Linotype" w:hAnsi="Palatino Linotype" w:cs="Arial"/>
          <w:color w:val="000000"/>
          <w:sz w:val="24"/>
          <w:szCs w:val="24"/>
          <w:lang w:val="es-ES_tradnl"/>
        </w:rPr>
      </w:pPr>
      <w:r w:rsidRPr="00C63D99">
        <w:rPr>
          <w:rFonts w:ascii="Palatino Linotype" w:eastAsia="Calibri" w:hAnsi="Palatino Linotype"/>
          <w:sz w:val="24"/>
          <w:szCs w:val="24"/>
          <w:lang w:val="es-ES"/>
        </w:rPr>
        <w:t xml:space="preserve">No sobra decir que, al actuar de esta forma, el Sujeto Obligado incumple con el primer mandato contenido en el párrafo tercero del artículo primero de la Constitución Política de los Estados Unidos Mexicanos que establece el deber de todas las autoridades, </w:t>
      </w:r>
      <w:r w:rsidRPr="00C63D99">
        <w:rPr>
          <w:rFonts w:ascii="Palatino Linotype" w:eastAsia="Calibri" w:hAnsi="Palatino Linotype"/>
          <w:i/>
          <w:sz w:val="24"/>
          <w:szCs w:val="24"/>
          <w:lang w:val="es-ES"/>
        </w:rPr>
        <w:t xml:space="preserve">en el ámbito de sus atribuciones, </w:t>
      </w:r>
      <w:r w:rsidRPr="00C63D99">
        <w:rPr>
          <w:rFonts w:ascii="Palatino Linotype" w:eastAsia="Calibri" w:hAnsi="Palatino Linotype"/>
          <w:b/>
          <w:i/>
          <w:sz w:val="24"/>
          <w:szCs w:val="24"/>
          <w:lang w:val="es-ES"/>
        </w:rPr>
        <w:t>de promover</w:t>
      </w:r>
      <w:r w:rsidRPr="00C63D99">
        <w:rPr>
          <w:rFonts w:ascii="Palatino Linotype" w:eastAsia="Calibri" w:hAnsi="Palatino Linotype"/>
          <w:i/>
          <w:sz w:val="24"/>
          <w:szCs w:val="24"/>
          <w:lang w:val="es-ES"/>
        </w:rPr>
        <w:t xml:space="preserve">, </w:t>
      </w:r>
      <w:r w:rsidRPr="00C63D99">
        <w:rPr>
          <w:rFonts w:ascii="Palatino Linotype" w:eastAsia="Calibri" w:hAnsi="Palatino Linotype"/>
          <w:b/>
          <w:i/>
          <w:sz w:val="24"/>
          <w:szCs w:val="24"/>
          <w:lang w:val="es-ES"/>
        </w:rPr>
        <w:t>respetar, proteger y</w:t>
      </w:r>
      <w:r w:rsidRPr="00C63D99">
        <w:rPr>
          <w:rFonts w:ascii="Palatino Linotype" w:eastAsia="Calibri" w:hAnsi="Palatino Linotype"/>
          <w:i/>
          <w:sz w:val="24"/>
          <w:szCs w:val="24"/>
          <w:lang w:val="es-ES"/>
        </w:rPr>
        <w:t xml:space="preserve"> </w:t>
      </w:r>
      <w:r w:rsidRPr="00C63D99">
        <w:rPr>
          <w:rFonts w:ascii="Palatino Linotype" w:eastAsia="Calibri" w:hAnsi="Palatino Linotype"/>
          <w:b/>
          <w:i/>
          <w:sz w:val="24"/>
          <w:szCs w:val="24"/>
          <w:lang w:val="es-ES"/>
        </w:rPr>
        <w:t>garantizar</w:t>
      </w:r>
      <w:r w:rsidRPr="00C63D99">
        <w:rPr>
          <w:rFonts w:ascii="Palatino Linotype" w:eastAsia="Calibri" w:hAnsi="Palatino Linotype"/>
          <w:i/>
          <w:sz w:val="24"/>
          <w:szCs w:val="24"/>
          <w:lang w:val="es-ES"/>
        </w:rPr>
        <w:t xml:space="preserve"> los derechos humanos. </w:t>
      </w:r>
      <w:r w:rsidRPr="00C63D99">
        <w:rPr>
          <w:rFonts w:ascii="Palatino Linotype" w:eastAsia="Calibri" w:hAnsi="Palatino Linotype"/>
          <w:sz w:val="24"/>
          <w:szCs w:val="24"/>
          <w:lang w:val="es-ES"/>
        </w:rPr>
        <w:t xml:space="preserve">En este mismo sentido, debe considerarse que según lo dispuesto por el artículo 150 de la Ley de Transparencia y Acceso a la Información Pública del Estado de México y Municipios, el </w:t>
      </w:r>
      <w:r w:rsidRPr="00C63D99">
        <w:rPr>
          <w:rFonts w:ascii="Palatino Linotype" w:eastAsia="Calibri" w:hAnsi="Palatino Linotype"/>
          <w:i/>
          <w:sz w:val="24"/>
          <w:szCs w:val="24"/>
          <w:lang w:val="es-ES"/>
        </w:rPr>
        <w:t xml:space="preserve">procedimiento de acceso a </w:t>
      </w:r>
      <w:r w:rsidRPr="00C63D99">
        <w:rPr>
          <w:rFonts w:ascii="Palatino Linotype" w:eastAsia="Calibri" w:hAnsi="Palatino Linotype"/>
          <w:b/>
          <w:i/>
          <w:sz w:val="24"/>
          <w:szCs w:val="24"/>
          <w:lang w:val="es-ES"/>
        </w:rPr>
        <w:t>la información es la garantía</w:t>
      </w:r>
      <w:r w:rsidRPr="00C63D99">
        <w:rPr>
          <w:rFonts w:ascii="Palatino Linotype" w:eastAsia="Calibri" w:hAnsi="Palatino Linotype"/>
          <w:i/>
          <w:sz w:val="24"/>
          <w:szCs w:val="24"/>
          <w:lang w:val="es-ES"/>
        </w:rPr>
        <w:t xml:space="preserve"> primaria del derecho en cuestión.</w:t>
      </w:r>
      <w:r w:rsidRPr="00C63D99">
        <w:rPr>
          <w:rFonts w:ascii="Palatino Linotype" w:eastAsia="Calibri" w:hAnsi="Palatino Linotype"/>
          <w:sz w:val="24"/>
          <w:szCs w:val="24"/>
          <w:lang w:val="es-ES"/>
        </w:rPr>
        <w:t xml:space="preserve"> Por lo tanto, la falta de respuesta a una solicitud de acceso a la información constituye un incumplimiento del Sujeto Obligado a su deber de garantizar el derecho, lo que constituye una vulneración al </w:t>
      </w:r>
      <w:r w:rsidRPr="00C63D99">
        <w:rPr>
          <w:rFonts w:ascii="Palatino Linotype" w:eastAsia="Calibri" w:hAnsi="Palatino Linotype"/>
          <w:sz w:val="24"/>
          <w:szCs w:val="24"/>
          <w:lang w:val="es-ES"/>
        </w:rPr>
        <w:lastRenderedPageBreak/>
        <w:t xml:space="preserve">mismo y resulta, totalmente aplicable, el último mandato del mismo párrafo del artículo constitucional antes citado que establece la obligación del Estado Mexicano, de </w:t>
      </w:r>
      <w:r w:rsidRPr="00C63D99">
        <w:rPr>
          <w:rFonts w:ascii="Palatino Linotype" w:eastAsia="Calibri" w:hAnsi="Palatino Linotype"/>
          <w:i/>
          <w:sz w:val="24"/>
          <w:szCs w:val="24"/>
          <w:lang w:val="es-ES"/>
        </w:rPr>
        <w:t>investigar, sancionar y reparar las violaciones a los derechos humanos.</w:t>
      </w:r>
      <w:r w:rsidRPr="00C63D99">
        <w:rPr>
          <w:rFonts w:ascii="Palatino Linotype" w:eastAsia="Calibri" w:hAnsi="Palatino Linotype"/>
          <w:sz w:val="24"/>
          <w:szCs w:val="24"/>
          <w:lang w:val="es-ES"/>
        </w:rPr>
        <w:t xml:space="preserve"> </w:t>
      </w:r>
    </w:p>
    <w:p w14:paraId="39E5EDC1" w14:textId="77777777" w:rsidR="00616297" w:rsidRPr="00C63D99" w:rsidRDefault="00616297" w:rsidP="00616297">
      <w:pPr>
        <w:tabs>
          <w:tab w:val="left" w:pos="284"/>
        </w:tabs>
        <w:contextualSpacing/>
        <w:rPr>
          <w:rFonts w:ascii="Palatino Linotype" w:eastAsia="Calibri" w:hAnsi="Palatino Linotype"/>
          <w:sz w:val="24"/>
          <w:szCs w:val="24"/>
          <w:lang w:val="es-ES"/>
        </w:rPr>
      </w:pPr>
    </w:p>
    <w:p w14:paraId="44DEDB5B" w14:textId="77777777" w:rsidR="00616297" w:rsidRPr="00C63D99" w:rsidRDefault="00616297" w:rsidP="00616297">
      <w:pPr>
        <w:numPr>
          <w:ilvl w:val="0"/>
          <w:numId w:val="2"/>
        </w:numPr>
        <w:tabs>
          <w:tab w:val="left" w:pos="284"/>
        </w:tabs>
        <w:spacing w:line="360" w:lineRule="auto"/>
        <w:ind w:left="0" w:right="49" w:firstLine="0"/>
        <w:contextualSpacing/>
        <w:jc w:val="both"/>
        <w:rPr>
          <w:rFonts w:ascii="Palatino Linotype" w:hAnsi="Palatino Linotype" w:cs="Arial"/>
          <w:color w:val="000000"/>
          <w:sz w:val="24"/>
          <w:szCs w:val="24"/>
          <w:lang w:val="es-ES_tradnl"/>
        </w:rPr>
      </w:pPr>
      <w:r w:rsidRPr="00C63D99">
        <w:rPr>
          <w:rFonts w:ascii="Palatino Linotype" w:eastAsia="Calibri" w:hAnsi="Palatino Linotype"/>
          <w:sz w:val="24"/>
          <w:szCs w:val="24"/>
          <w:lang w:val="es-ES"/>
        </w:rPr>
        <w:t xml:space="preserve">Éste Órgano Garante, como institución pública que forma parte del Estado Mexicano y en cuya representación actúa al substanciar el recurso de revisión, como garantía secundaria, es decir, como remedio materialmente jurisdiccional ante las posibles afectaciones al derecho de acceso a la información, según el artículo 176 de la norma estatal antes citada, para reparar la violación al derecho humano de acceso a la información que se deriva del incumplimiento del Sujeto Obligado, cumple con su alto deber de repararlo ordenando, en consecuencia, que el Sujeto Obligado responda a la solicitud de acceso a la información pública. </w:t>
      </w:r>
    </w:p>
    <w:p w14:paraId="78E50C32" w14:textId="77777777" w:rsidR="003C5753" w:rsidRPr="00C63D99" w:rsidRDefault="003C5753" w:rsidP="003C5753">
      <w:pPr>
        <w:pStyle w:val="Prrafodelista"/>
        <w:rPr>
          <w:rFonts w:ascii="Palatino Linotype" w:hAnsi="Palatino Linotype" w:cs="Arial"/>
          <w:color w:val="000000"/>
          <w:sz w:val="24"/>
          <w:lang w:val="es-ES_tradnl"/>
        </w:rPr>
      </w:pPr>
    </w:p>
    <w:p w14:paraId="34920E85" w14:textId="77777777" w:rsidR="00616297" w:rsidRPr="00C63D99" w:rsidRDefault="00616297" w:rsidP="00616297">
      <w:pPr>
        <w:keepNext/>
        <w:keepLines/>
        <w:numPr>
          <w:ilvl w:val="0"/>
          <w:numId w:val="44"/>
        </w:numPr>
        <w:tabs>
          <w:tab w:val="left" w:pos="284"/>
        </w:tabs>
        <w:spacing w:before="240"/>
        <w:ind w:left="0" w:firstLine="0"/>
        <w:outlineLvl w:val="0"/>
        <w:rPr>
          <w:rFonts w:ascii="Palatino Linotype" w:hAnsi="Palatino Linotype" w:cstheme="majorBidi"/>
          <w:b/>
          <w:sz w:val="24"/>
          <w:szCs w:val="32"/>
        </w:rPr>
      </w:pPr>
      <w:bookmarkStart w:id="16" w:name="_Toc536106972"/>
      <w:bookmarkStart w:id="17" w:name="_Toc68793655"/>
      <w:bookmarkStart w:id="18" w:name="_Toc87549678"/>
      <w:r w:rsidRPr="00C63D99">
        <w:rPr>
          <w:rFonts w:ascii="Palatino Linotype" w:hAnsi="Palatino Linotype" w:cstheme="majorBidi"/>
          <w:b/>
          <w:sz w:val="24"/>
          <w:szCs w:val="32"/>
        </w:rPr>
        <w:t>Sobre la respuesta que se emita a la solicitud.</w:t>
      </w:r>
      <w:bookmarkEnd w:id="16"/>
      <w:bookmarkEnd w:id="17"/>
      <w:bookmarkEnd w:id="18"/>
    </w:p>
    <w:p w14:paraId="6243E3B3" w14:textId="77777777" w:rsidR="00616297" w:rsidRPr="00C63D99" w:rsidRDefault="00616297" w:rsidP="00616297">
      <w:pPr>
        <w:tabs>
          <w:tab w:val="left" w:pos="284"/>
        </w:tabs>
        <w:spacing w:line="360" w:lineRule="auto"/>
        <w:ind w:right="49"/>
        <w:contextualSpacing/>
        <w:jc w:val="both"/>
        <w:rPr>
          <w:rFonts w:ascii="Palatino Linotype" w:hAnsi="Palatino Linotype" w:cs="Arial"/>
          <w:b/>
          <w:color w:val="000000"/>
          <w:sz w:val="24"/>
          <w:szCs w:val="24"/>
          <w:lang w:val="es-ES_tradnl"/>
        </w:rPr>
      </w:pPr>
    </w:p>
    <w:p w14:paraId="61832CA2" w14:textId="77777777" w:rsidR="00616297" w:rsidRPr="00C63D99" w:rsidRDefault="00616297" w:rsidP="00616297">
      <w:pPr>
        <w:numPr>
          <w:ilvl w:val="0"/>
          <w:numId w:val="2"/>
        </w:numPr>
        <w:tabs>
          <w:tab w:val="left" w:pos="284"/>
        </w:tabs>
        <w:spacing w:line="360" w:lineRule="auto"/>
        <w:ind w:left="0" w:right="49" w:firstLine="0"/>
        <w:contextualSpacing/>
        <w:jc w:val="both"/>
        <w:rPr>
          <w:rFonts w:ascii="Palatino Linotype" w:hAnsi="Palatino Linotype" w:cs="Arial"/>
          <w:b/>
          <w:color w:val="000000"/>
          <w:sz w:val="24"/>
          <w:szCs w:val="24"/>
          <w:lang w:val="es-ES_tradnl"/>
        </w:rPr>
      </w:pPr>
      <w:r w:rsidRPr="00C63D99">
        <w:rPr>
          <w:rFonts w:ascii="Palatino Linotype" w:hAnsi="Palatino Linotype" w:cs="Arial"/>
          <w:color w:val="000000"/>
          <w:sz w:val="24"/>
          <w:szCs w:val="24"/>
          <w:lang w:val="es-ES_tradnl"/>
        </w:rPr>
        <w:t xml:space="preserve">En cumplimiento a esta resolución, el </w:t>
      </w:r>
      <w:r w:rsidRPr="00C63D99">
        <w:rPr>
          <w:rFonts w:ascii="Palatino Linotype" w:hAnsi="Palatino Linotype" w:cs="Arial"/>
          <w:b/>
          <w:color w:val="000000"/>
          <w:sz w:val="24"/>
          <w:szCs w:val="24"/>
          <w:lang w:val="es-ES_tradnl"/>
        </w:rPr>
        <w:t>SUJETO OBLIGADO</w:t>
      </w:r>
      <w:r w:rsidRPr="00C63D99">
        <w:rPr>
          <w:rFonts w:ascii="Palatino Linotype" w:hAnsi="Palatino Linotype" w:cs="Arial"/>
          <w:color w:val="000000"/>
          <w:sz w:val="24"/>
          <w:szCs w:val="24"/>
          <w:lang w:val="es-ES_tradnl"/>
        </w:rPr>
        <w:t xml:space="preserve"> deberá dar atención </w:t>
      </w:r>
      <w:r w:rsidRPr="00C63D99">
        <w:rPr>
          <w:rFonts w:ascii="Palatino Linotype" w:eastAsiaTheme="minorEastAsia" w:hAnsi="Palatino Linotype" w:cs="Arial"/>
          <w:sz w:val="24"/>
          <w:szCs w:val="24"/>
          <w:lang w:val="es-ES_tradnl"/>
        </w:rPr>
        <w:t>a la solicitud de información, sin que sea materia de este recurso</w:t>
      </w:r>
      <w:r w:rsidRPr="00C63D99">
        <w:rPr>
          <w:rFonts w:ascii="Palatino Linotype" w:eastAsiaTheme="minorEastAsia" w:hAnsi="Palatino Linotype" w:cs="Arial"/>
          <w:b/>
          <w:sz w:val="24"/>
          <w:szCs w:val="24"/>
          <w:lang w:val="es-ES_tradnl"/>
        </w:rPr>
        <w:t xml:space="preserve"> </w:t>
      </w:r>
      <w:r w:rsidRPr="00C63D99">
        <w:rPr>
          <w:rFonts w:ascii="Palatino Linotype" w:eastAsiaTheme="minorEastAsia" w:hAnsi="Palatino Linotype" w:cs="Arial"/>
          <w:sz w:val="24"/>
          <w:szCs w:val="24"/>
          <w:lang w:val="es-ES_tradnl"/>
        </w:rPr>
        <w:t>analizar o</w:t>
      </w:r>
      <w:r w:rsidRPr="00C63D99">
        <w:rPr>
          <w:rFonts w:ascii="Palatino Linotype" w:eastAsiaTheme="minorEastAsia" w:hAnsi="Palatino Linotype" w:cs="Arial"/>
          <w:b/>
          <w:sz w:val="24"/>
          <w:szCs w:val="24"/>
          <w:lang w:val="es-ES_tradnl"/>
        </w:rPr>
        <w:t xml:space="preserve"> </w:t>
      </w:r>
      <w:r w:rsidRPr="00C63D99">
        <w:rPr>
          <w:rFonts w:ascii="Palatino Linotype" w:eastAsiaTheme="minorEastAsia" w:hAnsi="Palatino Linotype" w:cs="Arial"/>
          <w:sz w:val="24"/>
          <w:szCs w:val="24"/>
          <w:lang w:val="es-ES_tradnl"/>
        </w:rPr>
        <w:t xml:space="preserve">prejuzgar si la información que le fue solicitada se encuentra en sus archivos o le corresponde generarla, puesto que el silencio administrativo que hizo patente al omitir dar respuesta, trae como consecuencia que se le ordene dar atención a la </w:t>
      </w:r>
      <w:r w:rsidRPr="00C63D99">
        <w:rPr>
          <w:rFonts w:ascii="Palatino Linotype" w:eastAsiaTheme="minorEastAsia" w:hAnsi="Palatino Linotype" w:cs="Arial"/>
          <w:sz w:val="24"/>
          <w:szCs w:val="24"/>
          <w:lang w:val="es-ES_tradnl"/>
        </w:rPr>
        <w:lastRenderedPageBreak/>
        <w:t>solicitud, lo cual deberá llevar a cabo en ejercicio de sus competencias, atribuciones y funciones y con arreglo a lo dispuesto por la ley de la materia.</w:t>
      </w:r>
    </w:p>
    <w:p w14:paraId="00541E32" w14:textId="77777777" w:rsidR="00616297" w:rsidRPr="00C63D99" w:rsidRDefault="00616297" w:rsidP="00616297">
      <w:pPr>
        <w:tabs>
          <w:tab w:val="left" w:pos="284"/>
        </w:tabs>
        <w:spacing w:line="360" w:lineRule="auto"/>
        <w:ind w:right="49"/>
        <w:contextualSpacing/>
        <w:jc w:val="both"/>
        <w:rPr>
          <w:rFonts w:ascii="Palatino Linotype" w:hAnsi="Palatino Linotype" w:cs="Arial"/>
          <w:b/>
          <w:color w:val="000000"/>
          <w:sz w:val="24"/>
          <w:szCs w:val="24"/>
          <w:lang w:val="es-ES_tradnl"/>
        </w:rPr>
      </w:pPr>
    </w:p>
    <w:p w14:paraId="36170163" w14:textId="77777777" w:rsidR="00616297" w:rsidRPr="00C63D99" w:rsidRDefault="00616297" w:rsidP="00616297">
      <w:pPr>
        <w:numPr>
          <w:ilvl w:val="0"/>
          <w:numId w:val="2"/>
        </w:numPr>
        <w:tabs>
          <w:tab w:val="left" w:pos="284"/>
        </w:tabs>
        <w:spacing w:line="360" w:lineRule="auto"/>
        <w:ind w:left="0" w:right="49" w:firstLine="0"/>
        <w:contextualSpacing/>
        <w:jc w:val="both"/>
        <w:rPr>
          <w:rFonts w:ascii="Palatino Linotype" w:hAnsi="Palatino Linotype" w:cs="Arial"/>
          <w:b/>
          <w:color w:val="000000"/>
          <w:sz w:val="24"/>
          <w:szCs w:val="24"/>
          <w:lang w:val="es-ES_tradnl"/>
        </w:rPr>
      </w:pPr>
      <w:r w:rsidRPr="00C63D99">
        <w:rPr>
          <w:rFonts w:ascii="Palatino Linotype" w:eastAsiaTheme="minorEastAsia" w:hAnsi="Palatino Linotype" w:cs="Arial"/>
          <w:sz w:val="24"/>
          <w:szCs w:val="24"/>
          <w:lang w:val="es-ES_tradnl"/>
        </w:rPr>
        <w:t>En este caso, el Sujeto Obligado deberá de sustanciar todo el procedimiento de acceso a la información pública verificando si la información que le ha sido requerida corresponde al ejercicio de sus facultades, competencias o funciones.</w:t>
      </w:r>
    </w:p>
    <w:p w14:paraId="2B9D06AA" w14:textId="77777777" w:rsidR="00616297" w:rsidRPr="00C63D99" w:rsidRDefault="00616297" w:rsidP="00616297">
      <w:pPr>
        <w:tabs>
          <w:tab w:val="left" w:pos="284"/>
        </w:tabs>
        <w:spacing w:line="360" w:lineRule="auto"/>
        <w:ind w:right="49"/>
        <w:contextualSpacing/>
        <w:jc w:val="both"/>
        <w:rPr>
          <w:rFonts w:ascii="Palatino Linotype" w:hAnsi="Palatino Linotype" w:cs="Arial"/>
          <w:b/>
          <w:color w:val="000000"/>
          <w:sz w:val="24"/>
          <w:szCs w:val="24"/>
          <w:lang w:val="es-ES_tradnl"/>
        </w:rPr>
      </w:pPr>
    </w:p>
    <w:p w14:paraId="42156580" w14:textId="77777777" w:rsidR="00616297" w:rsidRPr="00C63D99" w:rsidRDefault="00616297" w:rsidP="00616297">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sz w:val="24"/>
          <w:szCs w:val="24"/>
          <w:lang w:val="es-ES_tradnl"/>
        </w:rPr>
      </w:pPr>
      <w:r w:rsidRPr="00C63D99">
        <w:rPr>
          <w:rFonts w:ascii="Palatino Linotype" w:eastAsiaTheme="minorEastAsia" w:hAnsi="Palatino Linotype" w:cs="Arial"/>
          <w:sz w:val="24"/>
          <w:szCs w:val="24"/>
          <w:lang w:val="es-ES_tradnl"/>
        </w:rPr>
        <w:t xml:space="preserve">Si dentro de las facultades, atribuciones y competencias no se encuentra  la de poseer la información requerida, deberá hacerlo del conocimiento del particular  de forma clara y precisa, fundado y motivando su actuación y en su caso orientar al solicitante sobre el o los Sujetos Obligados competentes, sin pasar desapercibido que tal orientación debe realizarse dentro de los tres días hábiles posteriores a la recepción de la solicitud, o de lo contrario deberá hacerlo a través del acuerdo de incompetencia de acuerdo a lo dispuesto en el artículo 49 fracción II y el artículo 167 de la Ley de Transparencia y Acceso a la Información Pública del Estado de México y Municipios. </w:t>
      </w:r>
    </w:p>
    <w:p w14:paraId="49E3ACC0" w14:textId="77777777" w:rsidR="00616297" w:rsidRPr="00C63D99" w:rsidRDefault="00616297" w:rsidP="00616297">
      <w:pPr>
        <w:tabs>
          <w:tab w:val="left" w:pos="284"/>
        </w:tabs>
        <w:spacing w:before="240" w:after="240" w:line="360" w:lineRule="auto"/>
        <w:contextualSpacing/>
        <w:jc w:val="both"/>
        <w:rPr>
          <w:rFonts w:ascii="Palatino Linotype" w:eastAsiaTheme="minorEastAsia" w:hAnsi="Palatino Linotype" w:cs="Arial"/>
          <w:sz w:val="24"/>
          <w:szCs w:val="24"/>
          <w:lang w:val="es-ES_tradnl"/>
        </w:rPr>
      </w:pPr>
    </w:p>
    <w:p w14:paraId="3E672601" w14:textId="77777777" w:rsidR="00616297" w:rsidRPr="00C63D99" w:rsidRDefault="00616297" w:rsidP="00616297">
      <w:pPr>
        <w:numPr>
          <w:ilvl w:val="0"/>
          <w:numId w:val="2"/>
        </w:numPr>
        <w:tabs>
          <w:tab w:val="left" w:pos="284"/>
        </w:tabs>
        <w:spacing w:line="360" w:lineRule="auto"/>
        <w:ind w:left="0" w:right="49" w:firstLine="0"/>
        <w:contextualSpacing/>
        <w:jc w:val="both"/>
        <w:rPr>
          <w:rFonts w:ascii="Palatino Linotype" w:hAnsi="Palatino Linotype" w:cs="Arial"/>
          <w:color w:val="000000"/>
          <w:sz w:val="24"/>
          <w:szCs w:val="24"/>
          <w:lang w:val="es-ES_tradnl"/>
        </w:rPr>
      </w:pPr>
      <w:r w:rsidRPr="00C63D99">
        <w:rPr>
          <w:rFonts w:ascii="Palatino Linotype" w:eastAsiaTheme="minorEastAsia" w:hAnsi="Palatino Linotype" w:cs="Arial"/>
          <w:sz w:val="24"/>
          <w:szCs w:val="24"/>
          <w:lang w:val="es-ES_tradnl"/>
        </w:rPr>
        <w:t xml:space="preserve">No está por demás señalar que la obligación constitucional de documentar todo acto que derive del ejercicio de las facultades, competencias o funciones de los Sujetos Obligados, encuentra expresión legal en los artículos 19 de la Ley General de Transparencia y de la Ley de Transparencia y Acceso a la Información Pública del Estado de México y Municipios. </w:t>
      </w:r>
    </w:p>
    <w:p w14:paraId="1629CF8E" w14:textId="77777777" w:rsidR="00616297" w:rsidRPr="00C63D99" w:rsidRDefault="00616297" w:rsidP="00616297">
      <w:pPr>
        <w:tabs>
          <w:tab w:val="left" w:pos="284"/>
        </w:tabs>
        <w:contextualSpacing/>
        <w:rPr>
          <w:rFonts w:ascii="Palatino Linotype" w:eastAsiaTheme="minorEastAsia" w:hAnsi="Palatino Linotype" w:cs="Arial"/>
          <w:sz w:val="24"/>
          <w:szCs w:val="24"/>
          <w:lang w:val="es-ES_tradnl"/>
        </w:rPr>
      </w:pPr>
    </w:p>
    <w:p w14:paraId="5D0C303C" w14:textId="77777777" w:rsidR="00616297" w:rsidRPr="00C63D99" w:rsidRDefault="00616297" w:rsidP="00616297">
      <w:pPr>
        <w:numPr>
          <w:ilvl w:val="0"/>
          <w:numId w:val="2"/>
        </w:numPr>
        <w:tabs>
          <w:tab w:val="left" w:pos="284"/>
        </w:tabs>
        <w:spacing w:line="360" w:lineRule="auto"/>
        <w:ind w:left="0" w:right="49" w:firstLine="0"/>
        <w:contextualSpacing/>
        <w:jc w:val="both"/>
        <w:rPr>
          <w:rFonts w:ascii="Palatino Linotype" w:hAnsi="Palatino Linotype" w:cs="Arial"/>
          <w:color w:val="000000"/>
          <w:sz w:val="24"/>
          <w:szCs w:val="24"/>
          <w:lang w:val="es-ES_tradnl"/>
        </w:rPr>
      </w:pPr>
      <w:r w:rsidRPr="00C63D99">
        <w:rPr>
          <w:rFonts w:ascii="Palatino Linotype" w:eastAsiaTheme="minorEastAsia" w:hAnsi="Palatino Linotype" w:cs="Arial"/>
          <w:sz w:val="24"/>
          <w:szCs w:val="24"/>
          <w:lang w:val="es-ES_tradnl"/>
        </w:rPr>
        <w:t>Disposiciones que en su primer párrafo establecen que se presume la existencia de la información cuando ésta se encuentre relacionada con las facultades, competencias o funciones señaladas en la ley. Esta presunción puede ser explícita, cuando las disposiciones jurídicas expresamente señalan el tipo concreto de información, por ejemplo, cuando se establece la facultad de un sujeto obligado de aprobar un presupuesto de egresos; o implícita, cuando se infiere directa o indirectamente del propio texto normativo la existencia de la información, aun cuando ésta no se enuncie de manera precisa en la norma, por ejemplo, un decreto que sin crear a un sujeto obligado, le cambia el nombre, que de manera expresa no se encuentra enlistado en la primera fracción de los artículos que establecen las obligaciones de transparencia comunes pero que si forma parte del marco normativo aplicable.</w:t>
      </w:r>
    </w:p>
    <w:p w14:paraId="37A349BC" w14:textId="77777777" w:rsidR="00616297" w:rsidRPr="00C63D99" w:rsidRDefault="00616297" w:rsidP="00616297">
      <w:pPr>
        <w:pStyle w:val="Prrafodelista"/>
        <w:tabs>
          <w:tab w:val="left" w:pos="284"/>
        </w:tabs>
        <w:ind w:left="0"/>
        <w:rPr>
          <w:rFonts w:ascii="Palatino Linotype" w:hAnsi="Palatino Linotype" w:cs="Arial"/>
          <w:color w:val="000000"/>
        </w:rPr>
      </w:pPr>
    </w:p>
    <w:p w14:paraId="0E508645" w14:textId="77777777" w:rsidR="00616297" w:rsidRPr="00C63D99" w:rsidRDefault="00616297" w:rsidP="00616297">
      <w:pPr>
        <w:numPr>
          <w:ilvl w:val="0"/>
          <w:numId w:val="2"/>
        </w:numPr>
        <w:tabs>
          <w:tab w:val="left" w:pos="284"/>
        </w:tabs>
        <w:spacing w:line="360" w:lineRule="auto"/>
        <w:ind w:left="0" w:right="49" w:firstLine="0"/>
        <w:contextualSpacing/>
        <w:jc w:val="both"/>
        <w:rPr>
          <w:rFonts w:ascii="Palatino Linotype" w:hAnsi="Palatino Linotype" w:cs="Arial"/>
          <w:color w:val="000000"/>
          <w:sz w:val="24"/>
          <w:szCs w:val="24"/>
          <w:lang w:val="es-ES_tradnl"/>
        </w:rPr>
      </w:pPr>
      <w:r w:rsidRPr="00C63D99">
        <w:rPr>
          <w:rFonts w:ascii="Palatino Linotype" w:hAnsi="Palatino Linotype" w:cs="Arial"/>
          <w:color w:val="000000"/>
          <w:sz w:val="24"/>
          <w:szCs w:val="24"/>
          <w:lang w:val="es-ES_tradnl"/>
        </w:rPr>
        <w:t xml:space="preserve">Es importante también señalar que, la respuesta que dará en cumplimiento a la presente </w:t>
      </w:r>
      <w:proofErr w:type="gramStart"/>
      <w:r w:rsidRPr="00C63D99">
        <w:rPr>
          <w:rFonts w:ascii="Palatino Linotype" w:hAnsi="Palatino Linotype" w:cs="Arial"/>
          <w:color w:val="000000"/>
          <w:sz w:val="24"/>
          <w:szCs w:val="24"/>
          <w:lang w:val="es-ES_tradnl"/>
        </w:rPr>
        <w:t>resolución,</w:t>
      </w:r>
      <w:proofErr w:type="gramEnd"/>
      <w:r w:rsidRPr="00C63D99">
        <w:rPr>
          <w:rFonts w:ascii="Palatino Linotype" w:hAnsi="Palatino Linotype" w:cs="Arial"/>
          <w:color w:val="000000"/>
          <w:sz w:val="24"/>
          <w:szCs w:val="24"/>
          <w:lang w:val="es-ES_tradnl"/>
        </w:rPr>
        <w:t xml:space="preserve"> </w:t>
      </w:r>
      <w:r w:rsidRPr="00C63D99">
        <w:rPr>
          <w:rFonts w:ascii="Palatino Linotype" w:hAnsi="Palatino Linotype" w:cs="Arial"/>
          <w:b/>
          <w:color w:val="000000"/>
          <w:sz w:val="24"/>
          <w:szCs w:val="24"/>
          <w:lang w:val="es-ES_tradnl"/>
        </w:rPr>
        <w:t>deberá ajustarse a lo dispuesto a los criterios y precedentes que este Órgano Garante ha resuelto y aprobado,</w:t>
      </w:r>
      <w:r w:rsidRPr="00C63D99">
        <w:rPr>
          <w:rFonts w:ascii="Palatino Linotype" w:hAnsi="Palatino Linotype" w:cs="Arial"/>
          <w:color w:val="000000"/>
          <w:sz w:val="24"/>
          <w:szCs w:val="24"/>
          <w:lang w:val="es-ES_tradnl"/>
        </w:rPr>
        <w:t xml:space="preserve"> es decir, por lo que constituye una alta responsabilidad del </w:t>
      </w:r>
      <w:r w:rsidRPr="00C63D99">
        <w:rPr>
          <w:rFonts w:ascii="Palatino Linotype" w:hAnsi="Palatino Linotype" w:cs="Arial"/>
          <w:b/>
          <w:color w:val="000000"/>
          <w:sz w:val="24"/>
          <w:szCs w:val="24"/>
          <w:lang w:val="es-ES_tradnl"/>
        </w:rPr>
        <w:t>SUJETO OBLIGADO</w:t>
      </w:r>
      <w:r w:rsidRPr="00C63D99">
        <w:rPr>
          <w:rFonts w:ascii="Palatino Linotype" w:hAnsi="Palatino Linotype" w:cs="Arial"/>
          <w:color w:val="000000"/>
          <w:sz w:val="24"/>
          <w:szCs w:val="24"/>
          <w:lang w:val="es-ES_tradnl"/>
        </w:rPr>
        <w:t xml:space="preserve"> proporcionar la información que atienda la presente, ajustándose a la normatividad establecida y a los distintos asuntos de los cuales este órgano colegiado ha conocido. </w:t>
      </w:r>
    </w:p>
    <w:p w14:paraId="423BB7CB" w14:textId="77777777" w:rsidR="00616297" w:rsidRPr="00C63D99" w:rsidRDefault="00616297" w:rsidP="00616297">
      <w:pPr>
        <w:pStyle w:val="Prrafodelista"/>
        <w:tabs>
          <w:tab w:val="left" w:pos="284"/>
        </w:tabs>
        <w:ind w:left="0"/>
        <w:rPr>
          <w:rFonts w:ascii="Palatino Linotype" w:hAnsi="Palatino Linotype" w:cs="Arial"/>
          <w:color w:val="000000"/>
        </w:rPr>
      </w:pPr>
    </w:p>
    <w:p w14:paraId="0806BF77" w14:textId="77777777" w:rsidR="00616297" w:rsidRPr="00C63D99" w:rsidRDefault="00616297" w:rsidP="00616297">
      <w:pPr>
        <w:numPr>
          <w:ilvl w:val="0"/>
          <w:numId w:val="2"/>
        </w:numPr>
        <w:tabs>
          <w:tab w:val="left" w:pos="284"/>
        </w:tabs>
        <w:spacing w:line="360" w:lineRule="auto"/>
        <w:ind w:left="0" w:right="49" w:firstLine="0"/>
        <w:contextualSpacing/>
        <w:jc w:val="both"/>
        <w:rPr>
          <w:rFonts w:ascii="Palatino Linotype" w:hAnsi="Palatino Linotype" w:cs="Arial"/>
          <w:color w:val="000000"/>
          <w:sz w:val="24"/>
          <w:szCs w:val="24"/>
          <w:lang w:val="es-ES_tradnl"/>
        </w:rPr>
      </w:pPr>
      <w:r w:rsidRPr="00C63D99">
        <w:rPr>
          <w:rFonts w:ascii="Palatino Linotype" w:hAnsi="Palatino Linotype" w:cs="Arial"/>
          <w:color w:val="000000"/>
          <w:sz w:val="24"/>
          <w:szCs w:val="24"/>
          <w:lang w:val="es-ES_tradnl"/>
        </w:rPr>
        <w:lastRenderedPageBreak/>
        <w:t>Por lo que tratándose del tema o temas que se requieran en las solicitudes, el sujeto obligado deberá en todo momento ajustarse además de la normatividad aplicable a los asuntos, a las resoluciones aprobadas.</w:t>
      </w:r>
    </w:p>
    <w:p w14:paraId="05EBEE1C" w14:textId="77777777" w:rsidR="00616297" w:rsidRPr="00C63D99" w:rsidRDefault="00616297" w:rsidP="00616297">
      <w:pPr>
        <w:tabs>
          <w:tab w:val="left" w:pos="284"/>
        </w:tabs>
        <w:spacing w:line="360" w:lineRule="auto"/>
        <w:ind w:right="49"/>
        <w:contextualSpacing/>
        <w:jc w:val="both"/>
        <w:rPr>
          <w:rFonts w:ascii="Palatino Linotype" w:hAnsi="Palatino Linotype" w:cs="Arial"/>
          <w:color w:val="000000"/>
          <w:sz w:val="24"/>
          <w:szCs w:val="24"/>
          <w:lang w:val="es-ES_tradnl"/>
        </w:rPr>
      </w:pPr>
    </w:p>
    <w:p w14:paraId="471A4C4A" w14:textId="77777777" w:rsidR="00616297" w:rsidRPr="00C63D99" w:rsidRDefault="00616297" w:rsidP="00616297">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sz w:val="24"/>
          <w:szCs w:val="24"/>
          <w:lang w:val="es-ES"/>
        </w:rPr>
      </w:pPr>
      <w:r w:rsidRPr="00C63D99">
        <w:rPr>
          <w:rFonts w:ascii="Palatino Linotype" w:eastAsiaTheme="minorEastAsia" w:hAnsi="Palatino Linotype" w:cs="Arial"/>
          <w:sz w:val="24"/>
          <w:szCs w:val="24"/>
          <w:lang w:val="es-ES"/>
        </w:rPr>
        <w:t xml:space="preserve">En consecuencia, para responder a la solicitud de acceso a la información en cuestión el Sujeto Obligado deberá de verificar si esta corresponde a una facultad, competencia o función explícita o implícita. Si no estuviera comprendida en éstas, bastará con que su respuesta señale lo anterior. Pero si la información corresponde al ejercicio de sus facultades, competencias o funciones, deberá de proceder, según lo establecido en el artículo 162 de la Ley de Transparencia y Acceso a la Información Pública del Estado de México, turnando la solicitud a todas las </w:t>
      </w:r>
      <w:proofErr w:type="gramStart"/>
      <w:r w:rsidRPr="00C63D99">
        <w:rPr>
          <w:rFonts w:ascii="Palatino Linotype" w:eastAsiaTheme="minorEastAsia" w:hAnsi="Palatino Linotype" w:cs="Arial"/>
          <w:sz w:val="24"/>
          <w:szCs w:val="24"/>
          <w:lang w:val="es-ES"/>
        </w:rPr>
        <w:t>área competentes</w:t>
      </w:r>
      <w:proofErr w:type="gramEnd"/>
      <w:r w:rsidRPr="00C63D99">
        <w:rPr>
          <w:rFonts w:ascii="Palatino Linotype" w:eastAsiaTheme="minorEastAsia" w:hAnsi="Palatino Linotype" w:cs="Arial"/>
          <w:sz w:val="24"/>
          <w:szCs w:val="24"/>
          <w:lang w:val="es-ES"/>
        </w:rPr>
        <w:t xml:space="preserve"> que cuenten o deban tener la información, con objeto de que realicen una búsqueda exhaustiva y razonable de la información solicitada.</w:t>
      </w:r>
    </w:p>
    <w:p w14:paraId="56ED7B7D" w14:textId="77777777" w:rsidR="00616297" w:rsidRPr="00C63D99" w:rsidRDefault="00616297" w:rsidP="00616297">
      <w:pPr>
        <w:tabs>
          <w:tab w:val="left" w:pos="284"/>
        </w:tabs>
        <w:spacing w:before="240" w:after="240" w:line="360" w:lineRule="auto"/>
        <w:contextualSpacing/>
        <w:jc w:val="both"/>
        <w:rPr>
          <w:rFonts w:ascii="Palatino Linotype" w:eastAsiaTheme="minorEastAsia" w:hAnsi="Palatino Linotype" w:cs="Arial"/>
          <w:sz w:val="24"/>
          <w:szCs w:val="24"/>
          <w:lang w:val="es-ES"/>
        </w:rPr>
      </w:pPr>
    </w:p>
    <w:p w14:paraId="6FA7449F" w14:textId="77777777" w:rsidR="00616297" w:rsidRPr="00C63D99" w:rsidRDefault="00616297" w:rsidP="00616297">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sz w:val="24"/>
          <w:szCs w:val="24"/>
          <w:lang w:val="es-ES"/>
        </w:rPr>
      </w:pPr>
      <w:r w:rsidRPr="00C63D99">
        <w:rPr>
          <w:rFonts w:ascii="Palatino Linotype" w:eastAsiaTheme="minorEastAsia" w:hAnsi="Palatino Linotype" w:cs="Arial"/>
          <w:sz w:val="24"/>
          <w:szCs w:val="24"/>
          <w:lang w:val="es-ES"/>
        </w:rPr>
        <w:t xml:space="preserve">Una vez que la información sea localizada, los servidores públicos habilitados deberán de valorar si se entrega en su totalidad, en versión pública o si es susceptible de clasificarse, según lo que se describe en la sección siguiente. </w:t>
      </w:r>
    </w:p>
    <w:p w14:paraId="7F007C46" w14:textId="77777777" w:rsidR="00616297" w:rsidRPr="00C63D99" w:rsidRDefault="00616297" w:rsidP="00616297">
      <w:pPr>
        <w:tabs>
          <w:tab w:val="left" w:pos="284"/>
        </w:tabs>
        <w:spacing w:before="240" w:after="240" w:line="360" w:lineRule="auto"/>
        <w:contextualSpacing/>
        <w:jc w:val="both"/>
        <w:rPr>
          <w:rFonts w:ascii="Palatino Linotype" w:eastAsiaTheme="minorEastAsia" w:hAnsi="Palatino Linotype" w:cs="Arial"/>
          <w:sz w:val="24"/>
          <w:szCs w:val="24"/>
          <w:lang w:val="es-ES"/>
        </w:rPr>
      </w:pPr>
    </w:p>
    <w:p w14:paraId="50AC74A7" w14:textId="77777777" w:rsidR="00616297" w:rsidRPr="00C63D99" w:rsidRDefault="00616297" w:rsidP="00616297">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sz w:val="24"/>
          <w:szCs w:val="24"/>
          <w:lang w:val="es-ES"/>
        </w:rPr>
      </w:pPr>
      <w:r w:rsidRPr="00C63D99">
        <w:rPr>
          <w:rFonts w:ascii="Palatino Linotype" w:eastAsiaTheme="minorEastAsia" w:hAnsi="Palatino Linotype" w:cs="Arial"/>
          <w:sz w:val="24"/>
          <w:szCs w:val="24"/>
          <w:lang w:val="es-ES"/>
        </w:rPr>
        <w:t xml:space="preserve">No obstante, también debe considerarse que aun cuando la información requerida corresponda a alguna función, facultad o competencia del Sujeto Obligado, </w:t>
      </w:r>
      <w:r w:rsidRPr="00C63D99">
        <w:rPr>
          <w:rFonts w:ascii="Palatino Linotype" w:eastAsiaTheme="minorEastAsia" w:hAnsi="Palatino Linotype" w:cs="Arial"/>
          <w:sz w:val="24"/>
          <w:szCs w:val="24"/>
          <w:lang w:val="es-ES"/>
        </w:rPr>
        <w:lastRenderedPageBreak/>
        <w:t>es posible que esta información no se localice, bien porque no se haya generado o porque no se encuentre disponible, en el momento de su búsqueda.</w:t>
      </w:r>
    </w:p>
    <w:p w14:paraId="030401D0" w14:textId="77777777" w:rsidR="00616297" w:rsidRPr="00C63D99" w:rsidRDefault="00616297" w:rsidP="00616297">
      <w:pPr>
        <w:tabs>
          <w:tab w:val="left" w:pos="284"/>
        </w:tabs>
        <w:contextualSpacing/>
        <w:rPr>
          <w:rFonts w:ascii="Palatino Linotype" w:eastAsiaTheme="minorEastAsia" w:hAnsi="Palatino Linotype" w:cs="Arial"/>
          <w:sz w:val="24"/>
          <w:szCs w:val="24"/>
          <w:lang w:val="es-ES"/>
        </w:rPr>
      </w:pPr>
    </w:p>
    <w:p w14:paraId="4BC6458E" w14:textId="77777777" w:rsidR="00616297" w:rsidRPr="00C63D99" w:rsidRDefault="00616297" w:rsidP="00616297">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sz w:val="24"/>
          <w:szCs w:val="24"/>
          <w:lang w:val="es-ES_tradnl"/>
        </w:rPr>
      </w:pPr>
      <w:r w:rsidRPr="00C63D99">
        <w:rPr>
          <w:rFonts w:ascii="Palatino Linotype" w:eastAsiaTheme="minorEastAsia" w:hAnsi="Palatino Linotype" w:cs="Arial"/>
          <w:sz w:val="24"/>
          <w:szCs w:val="24"/>
          <w:lang w:val="es-ES_tradnl"/>
        </w:rPr>
        <w:t xml:space="preserve">A diferencia de la Ley General, la Ley de Transparencia y Acceso a la Información Pública del Estado de México y Municipios establece, en su artículo </w:t>
      </w:r>
      <w:proofErr w:type="gramStart"/>
      <w:r w:rsidRPr="00C63D99">
        <w:rPr>
          <w:rFonts w:ascii="Palatino Linotype" w:eastAsiaTheme="minorEastAsia" w:hAnsi="Palatino Linotype" w:cs="Arial"/>
          <w:sz w:val="24"/>
          <w:szCs w:val="24"/>
          <w:lang w:val="es-ES_tradnl"/>
        </w:rPr>
        <w:t>19,  dos</w:t>
      </w:r>
      <w:proofErr w:type="gramEnd"/>
      <w:r w:rsidRPr="00C63D99">
        <w:rPr>
          <w:rFonts w:ascii="Palatino Linotype" w:eastAsiaTheme="minorEastAsia" w:hAnsi="Palatino Linotype" w:cs="Arial"/>
          <w:sz w:val="24"/>
          <w:szCs w:val="24"/>
          <w:lang w:val="es-ES_tradnl"/>
        </w:rPr>
        <w:t xml:space="preserve"> supuestos generales para proceder en el caso de información inexistente pero cuya existencia se presume por relacionarse con las facultades, competencias y funciones legales de los sujetos obligados, como a continuación se observa: </w:t>
      </w:r>
    </w:p>
    <w:p w14:paraId="10672CE3" w14:textId="77777777" w:rsidR="00616297" w:rsidRPr="00C63D99" w:rsidRDefault="00616297" w:rsidP="00616297">
      <w:pPr>
        <w:tabs>
          <w:tab w:val="left" w:pos="284"/>
        </w:tabs>
        <w:spacing w:before="240" w:after="240" w:line="360" w:lineRule="auto"/>
        <w:contextualSpacing/>
        <w:jc w:val="both"/>
        <w:rPr>
          <w:rFonts w:ascii="Palatino Linotype" w:eastAsiaTheme="minorEastAsia" w:hAnsi="Palatino Linotype" w:cs="Arial"/>
          <w:sz w:val="24"/>
          <w:szCs w:val="24"/>
          <w:lang w:val="es-ES_tradnl"/>
        </w:rPr>
      </w:pPr>
    </w:p>
    <w:p w14:paraId="6131B1D7" w14:textId="77777777" w:rsidR="00616297" w:rsidRPr="00C63D99" w:rsidRDefault="00616297" w:rsidP="00616297">
      <w:pPr>
        <w:tabs>
          <w:tab w:val="left" w:pos="284"/>
          <w:tab w:val="left" w:pos="8080"/>
        </w:tabs>
        <w:spacing w:line="360" w:lineRule="auto"/>
        <w:ind w:left="567" w:right="567"/>
        <w:contextualSpacing/>
        <w:jc w:val="both"/>
        <w:rPr>
          <w:rFonts w:ascii="Palatino Linotype" w:eastAsiaTheme="minorEastAsia" w:hAnsi="Palatino Linotype" w:cs="Arial"/>
          <w:i/>
          <w:sz w:val="22"/>
          <w:szCs w:val="24"/>
          <w:lang w:val="es-ES_tradnl"/>
        </w:rPr>
      </w:pPr>
      <w:r w:rsidRPr="00C63D99">
        <w:rPr>
          <w:rFonts w:ascii="Palatino Linotype" w:eastAsiaTheme="minorEastAsia" w:hAnsi="Palatino Linotype" w:cs="Arial"/>
          <w:i/>
          <w:sz w:val="22"/>
          <w:szCs w:val="24"/>
          <w:lang w:val="es-ES_tradnl"/>
        </w:rPr>
        <w:t>“</w:t>
      </w:r>
      <w:r w:rsidRPr="00C63D99">
        <w:rPr>
          <w:rFonts w:ascii="Palatino Linotype" w:eastAsiaTheme="minorEastAsia" w:hAnsi="Palatino Linotype" w:cs="Arial"/>
          <w:b/>
          <w:i/>
          <w:sz w:val="22"/>
          <w:szCs w:val="24"/>
          <w:lang w:val="es-ES_tradnl"/>
        </w:rPr>
        <w:t>Artículo 19.</w:t>
      </w:r>
      <w:r w:rsidRPr="00C63D99">
        <w:rPr>
          <w:rFonts w:ascii="Palatino Linotype" w:eastAsiaTheme="minorEastAsia" w:hAnsi="Palatino Linotype" w:cs="Arial"/>
          <w:i/>
          <w:sz w:val="22"/>
          <w:szCs w:val="24"/>
          <w:lang w:val="es-ES_tradnl"/>
        </w:rPr>
        <w:t xml:space="preserve"> Se presume que la información debe existir si se refiere a las facultades, competencias y funciones que los ordenamientos jurídicos aplicables otorgan a los sujetos obligados.</w:t>
      </w:r>
    </w:p>
    <w:p w14:paraId="4A8079D8" w14:textId="77777777" w:rsidR="00616297" w:rsidRPr="00C63D99" w:rsidRDefault="00616297" w:rsidP="00616297">
      <w:pPr>
        <w:tabs>
          <w:tab w:val="left" w:pos="284"/>
          <w:tab w:val="left" w:pos="8080"/>
        </w:tabs>
        <w:spacing w:line="360" w:lineRule="auto"/>
        <w:ind w:left="567" w:right="567"/>
        <w:contextualSpacing/>
        <w:jc w:val="both"/>
        <w:rPr>
          <w:rFonts w:ascii="Palatino Linotype" w:eastAsiaTheme="minorEastAsia" w:hAnsi="Palatino Linotype" w:cs="Arial"/>
          <w:i/>
          <w:sz w:val="22"/>
          <w:szCs w:val="24"/>
          <w:lang w:val="es-ES_tradnl"/>
        </w:rPr>
      </w:pPr>
    </w:p>
    <w:p w14:paraId="3DCF2D29" w14:textId="77777777" w:rsidR="00616297" w:rsidRPr="00C63D99" w:rsidRDefault="00616297" w:rsidP="00616297">
      <w:pPr>
        <w:tabs>
          <w:tab w:val="left" w:pos="284"/>
          <w:tab w:val="left" w:pos="8080"/>
        </w:tabs>
        <w:spacing w:line="360" w:lineRule="auto"/>
        <w:ind w:left="567" w:right="567"/>
        <w:contextualSpacing/>
        <w:jc w:val="both"/>
        <w:rPr>
          <w:rFonts w:ascii="Palatino Linotype" w:eastAsiaTheme="minorEastAsia" w:hAnsi="Palatino Linotype" w:cs="Arial"/>
          <w:i/>
          <w:sz w:val="22"/>
          <w:szCs w:val="24"/>
          <w:lang w:val="es-ES_tradnl"/>
        </w:rPr>
      </w:pPr>
      <w:r w:rsidRPr="00C63D99">
        <w:rPr>
          <w:rFonts w:ascii="Palatino Linotype" w:eastAsiaTheme="minorEastAsia" w:hAnsi="Palatino Linotype" w:cs="Arial"/>
          <w:i/>
          <w:sz w:val="22"/>
          <w:szCs w:val="24"/>
          <w:lang w:val="es-ES_tradnl"/>
        </w:rPr>
        <w:t xml:space="preserve"> En los casos en que ciertas facultades, competencias o funciones no se hayan ejercido, se debe motivar la respuesta en función de las causas que motiven tal circunstancia. </w:t>
      </w:r>
    </w:p>
    <w:p w14:paraId="500441A1" w14:textId="77777777" w:rsidR="00616297" w:rsidRPr="00C63D99" w:rsidRDefault="00616297" w:rsidP="00616297">
      <w:pPr>
        <w:tabs>
          <w:tab w:val="left" w:pos="284"/>
          <w:tab w:val="left" w:pos="8080"/>
        </w:tabs>
        <w:spacing w:line="360" w:lineRule="auto"/>
        <w:ind w:left="567" w:right="567"/>
        <w:contextualSpacing/>
        <w:jc w:val="both"/>
        <w:rPr>
          <w:rFonts w:ascii="Palatino Linotype" w:eastAsiaTheme="minorEastAsia" w:hAnsi="Palatino Linotype" w:cs="Arial"/>
          <w:i/>
          <w:sz w:val="22"/>
          <w:szCs w:val="24"/>
          <w:lang w:val="es-ES_tradnl"/>
        </w:rPr>
      </w:pPr>
    </w:p>
    <w:p w14:paraId="4E569F1F" w14:textId="77777777" w:rsidR="00616297" w:rsidRPr="00C63D99" w:rsidRDefault="00616297" w:rsidP="00616297">
      <w:pPr>
        <w:tabs>
          <w:tab w:val="left" w:pos="284"/>
          <w:tab w:val="left" w:pos="8080"/>
        </w:tabs>
        <w:spacing w:line="360" w:lineRule="auto"/>
        <w:ind w:left="567" w:right="567"/>
        <w:contextualSpacing/>
        <w:jc w:val="both"/>
        <w:rPr>
          <w:rFonts w:ascii="Palatino Linotype" w:eastAsiaTheme="minorEastAsia" w:hAnsi="Palatino Linotype" w:cs="Arial"/>
          <w:i/>
          <w:sz w:val="22"/>
          <w:szCs w:val="24"/>
          <w:lang w:val="es-ES_tradnl"/>
        </w:rPr>
      </w:pPr>
      <w:r w:rsidRPr="00C63D99">
        <w:rPr>
          <w:rFonts w:ascii="Palatino Linotype" w:eastAsiaTheme="minorEastAsia" w:hAnsi="Palatino Linotype" w:cs="Arial"/>
          <w:i/>
          <w:sz w:val="22"/>
          <w:szCs w:val="24"/>
          <w:lang w:val="es-ES_tradnl"/>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1DD16675" w14:textId="77777777" w:rsidR="00616297" w:rsidRPr="00C63D99" w:rsidRDefault="00616297" w:rsidP="00616297">
      <w:pPr>
        <w:tabs>
          <w:tab w:val="left" w:pos="284"/>
        </w:tabs>
        <w:rPr>
          <w:rFonts w:ascii="Palatino Linotype" w:eastAsiaTheme="minorEastAsia" w:hAnsi="Palatino Linotype" w:cs="Arial"/>
          <w:sz w:val="24"/>
          <w:szCs w:val="24"/>
          <w:lang w:val="es-ES_tradnl"/>
        </w:rPr>
      </w:pPr>
    </w:p>
    <w:p w14:paraId="05546568" w14:textId="77777777" w:rsidR="00616297" w:rsidRPr="00C63D99" w:rsidRDefault="00616297" w:rsidP="00616297">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sz w:val="24"/>
          <w:szCs w:val="24"/>
          <w:lang w:val="es-ES_tradnl"/>
        </w:rPr>
      </w:pPr>
      <w:r w:rsidRPr="00C63D99">
        <w:rPr>
          <w:rFonts w:ascii="Palatino Linotype" w:eastAsiaTheme="minorEastAsia" w:hAnsi="Palatino Linotype" w:cs="Arial"/>
          <w:sz w:val="24"/>
          <w:szCs w:val="24"/>
          <w:lang w:val="es-ES_tradnl"/>
        </w:rPr>
        <w:lastRenderedPageBreak/>
        <w:t xml:space="preserve">El primer supuesto, que corresponde a lo señalado en su segundo párrafo, alude a actos no realizados y contemplados en alguna hipótesis jurídica: </w:t>
      </w:r>
    </w:p>
    <w:p w14:paraId="11C30486" w14:textId="77777777" w:rsidR="00616297" w:rsidRPr="00C63D99" w:rsidRDefault="00616297" w:rsidP="00616297">
      <w:pPr>
        <w:tabs>
          <w:tab w:val="left" w:pos="284"/>
        </w:tabs>
        <w:spacing w:before="240" w:after="240" w:line="360" w:lineRule="auto"/>
        <w:ind w:right="567"/>
        <w:contextualSpacing/>
        <w:jc w:val="both"/>
        <w:rPr>
          <w:rFonts w:ascii="Palatino Linotype" w:eastAsiaTheme="minorEastAsia" w:hAnsi="Palatino Linotype" w:cs="Arial"/>
          <w:sz w:val="24"/>
          <w:szCs w:val="24"/>
          <w:lang w:val="es-ES_tradnl"/>
        </w:rPr>
      </w:pPr>
    </w:p>
    <w:p w14:paraId="019155EF" w14:textId="77777777" w:rsidR="00616297" w:rsidRPr="00C63D99" w:rsidRDefault="00616297" w:rsidP="00DD7DC3">
      <w:pPr>
        <w:numPr>
          <w:ilvl w:val="0"/>
          <w:numId w:val="45"/>
        </w:numPr>
        <w:tabs>
          <w:tab w:val="left" w:pos="284"/>
        </w:tabs>
        <w:spacing w:before="240" w:after="240" w:line="360" w:lineRule="auto"/>
        <w:ind w:left="284" w:right="709" w:firstLine="0"/>
        <w:contextualSpacing/>
        <w:jc w:val="both"/>
        <w:rPr>
          <w:rFonts w:ascii="Palatino Linotype" w:eastAsiaTheme="minorEastAsia" w:hAnsi="Palatino Linotype" w:cs="Arial"/>
          <w:sz w:val="24"/>
          <w:szCs w:val="24"/>
          <w:lang w:val="es-ES_tradnl"/>
        </w:rPr>
      </w:pPr>
      <w:r w:rsidRPr="00C63D99">
        <w:rPr>
          <w:rFonts w:ascii="Palatino Linotype" w:eastAsiaTheme="minorEastAsia" w:hAnsi="Palatino Linotype" w:cs="Arial"/>
          <w:sz w:val="24"/>
          <w:szCs w:val="24"/>
          <w:lang w:val="es-ES_tradnl"/>
        </w:rPr>
        <w:t xml:space="preserve">Cuya realización dependa de que un tercero demande la emisión de un acto de autoridad, la expedición de una licencia, por ejemplo; </w:t>
      </w:r>
    </w:p>
    <w:p w14:paraId="3F9A6FB7" w14:textId="77777777" w:rsidR="00616297" w:rsidRPr="00C63D99" w:rsidRDefault="00616297" w:rsidP="00DD7DC3">
      <w:pPr>
        <w:tabs>
          <w:tab w:val="left" w:pos="284"/>
        </w:tabs>
        <w:spacing w:before="240" w:after="240" w:line="360" w:lineRule="auto"/>
        <w:ind w:left="284" w:right="709"/>
        <w:contextualSpacing/>
        <w:jc w:val="both"/>
        <w:rPr>
          <w:rFonts w:ascii="Palatino Linotype" w:eastAsiaTheme="minorEastAsia" w:hAnsi="Palatino Linotype" w:cs="Arial"/>
          <w:sz w:val="24"/>
          <w:szCs w:val="24"/>
          <w:lang w:val="es-ES_tradnl"/>
        </w:rPr>
      </w:pPr>
    </w:p>
    <w:p w14:paraId="22BC9AAC" w14:textId="77777777" w:rsidR="00616297" w:rsidRPr="00C63D99" w:rsidRDefault="00616297" w:rsidP="00DD7DC3">
      <w:pPr>
        <w:numPr>
          <w:ilvl w:val="0"/>
          <w:numId w:val="45"/>
        </w:numPr>
        <w:tabs>
          <w:tab w:val="left" w:pos="284"/>
        </w:tabs>
        <w:spacing w:before="240" w:after="240" w:line="360" w:lineRule="auto"/>
        <w:ind w:left="284" w:right="709" w:firstLine="0"/>
        <w:contextualSpacing/>
        <w:jc w:val="both"/>
        <w:rPr>
          <w:rFonts w:ascii="Palatino Linotype" w:eastAsiaTheme="minorEastAsia" w:hAnsi="Palatino Linotype" w:cs="Arial"/>
          <w:sz w:val="24"/>
          <w:szCs w:val="24"/>
          <w:lang w:val="es-ES_tradnl"/>
        </w:rPr>
      </w:pPr>
      <w:r w:rsidRPr="00C63D99">
        <w:rPr>
          <w:rFonts w:ascii="Palatino Linotype" w:eastAsiaTheme="minorEastAsia" w:hAnsi="Palatino Linotype" w:cs="Arial"/>
          <w:sz w:val="24"/>
          <w:szCs w:val="24"/>
          <w:lang w:val="es-ES_tradnl"/>
        </w:rPr>
        <w:t>De un acontecimiento de realización probable, la Cuenta Pública correspondiente a un ejercicio fiscal en curso; o</w:t>
      </w:r>
    </w:p>
    <w:p w14:paraId="38867999" w14:textId="77777777" w:rsidR="00616297" w:rsidRPr="00C63D99" w:rsidRDefault="00616297" w:rsidP="00DD7DC3">
      <w:pPr>
        <w:tabs>
          <w:tab w:val="left" w:pos="284"/>
        </w:tabs>
        <w:spacing w:before="240" w:after="240" w:line="360" w:lineRule="auto"/>
        <w:ind w:left="284" w:right="709"/>
        <w:jc w:val="both"/>
        <w:rPr>
          <w:rFonts w:ascii="Palatino Linotype" w:eastAsiaTheme="minorEastAsia" w:hAnsi="Palatino Linotype" w:cs="Arial"/>
          <w:sz w:val="24"/>
          <w:szCs w:val="24"/>
          <w:lang w:val="es-ES_tradnl"/>
        </w:rPr>
      </w:pPr>
    </w:p>
    <w:p w14:paraId="19F3B681" w14:textId="77777777" w:rsidR="00616297" w:rsidRPr="00C63D99" w:rsidRDefault="00616297" w:rsidP="00DD7DC3">
      <w:pPr>
        <w:numPr>
          <w:ilvl w:val="0"/>
          <w:numId w:val="45"/>
        </w:numPr>
        <w:tabs>
          <w:tab w:val="left" w:pos="284"/>
        </w:tabs>
        <w:spacing w:before="240" w:after="240" w:line="360" w:lineRule="auto"/>
        <w:ind w:left="284" w:right="709" w:firstLine="0"/>
        <w:contextualSpacing/>
        <w:jc w:val="both"/>
        <w:rPr>
          <w:rFonts w:ascii="Palatino Linotype" w:eastAsiaTheme="minorEastAsia" w:hAnsi="Palatino Linotype" w:cs="Arial"/>
          <w:sz w:val="24"/>
          <w:szCs w:val="24"/>
          <w:lang w:val="es-ES_tradnl"/>
        </w:rPr>
      </w:pPr>
      <w:r w:rsidRPr="00C63D99">
        <w:rPr>
          <w:rFonts w:ascii="Palatino Linotype" w:eastAsiaTheme="minorEastAsia" w:hAnsi="Palatino Linotype" w:cs="Arial"/>
          <w:sz w:val="24"/>
          <w:szCs w:val="24"/>
          <w:lang w:val="es-ES_tradnl"/>
        </w:rPr>
        <w:t>Una facultad potestativa, la firma de convenio de colaboración.</w:t>
      </w:r>
    </w:p>
    <w:p w14:paraId="35AD3720" w14:textId="77777777" w:rsidR="00616297" w:rsidRPr="00C63D99" w:rsidRDefault="00616297" w:rsidP="00616297">
      <w:pPr>
        <w:tabs>
          <w:tab w:val="left" w:pos="284"/>
        </w:tabs>
        <w:spacing w:before="240" w:after="240" w:line="360" w:lineRule="auto"/>
        <w:ind w:right="567"/>
        <w:jc w:val="both"/>
        <w:rPr>
          <w:rFonts w:ascii="Palatino Linotype" w:eastAsiaTheme="minorEastAsia" w:hAnsi="Palatino Linotype" w:cs="Arial"/>
          <w:sz w:val="24"/>
          <w:szCs w:val="24"/>
          <w:lang w:val="es-ES_tradnl"/>
        </w:rPr>
      </w:pPr>
    </w:p>
    <w:p w14:paraId="51288C4F" w14:textId="77777777" w:rsidR="00616297" w:rsidRPr="00C63D99" w:rsidRDefault="00616297" w:rsidP="00616297">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sz w:val="24"/>
          <w:szCs w:val="24"/>
          <w:lang w:val="es-ES_tradnl"/>
        </w:rPr>
      </w:pPr>
      <w:r w:rsidRPr="00C63D99">
        <w:rPr>
          <w:rFonts w:ascii="Palatino Linotype" w:eastAsiaTheme="minorEastAsia" w:hAnsi="Palatino Linotype" w:cs="Arial"/>
          <w:sz w:val="24"/>
          <w:szCs w:val="24"/>
          <w:lang w:val="es-ES_tradnl"/>
        </w:rPr>
        <w:t xml:space="preserve"> En estos casos, el Sujeto Obligado, al emitir su respuesta o cumplir con una resolución emitida por </w:t>
      </w:r>
      <w:proofErr w:type="gramStart"/>
      <w:r w:rsidRPr="00C63D99">
        <w:rPr>
          <w:rFonts w:ascii="Palatino Linotype" w:eastAsiaTheme="minorEastAsia" w:hAnsi="Palatino Linotype" w:cs="Arial"/>
          <w:sz w:val="24"/>
          <w:szCs w:val="24"/>
          <w:lang w:val="es-ES_tradnl"/>
        </w:rPr>
        <w:t>éste</w:t>
      </w:r>
      <w:proofErr w:type="gramEnd"/>
      <w:r w:rsidRPr="00C63D99">
        <w:rPr>
          <w:rFonts w:ascii="Palatino Linotype" w:eastAsiaTheme="minorEastAsia" w:hAnsi="Palatino Linotype" w:cs="Arial"/>
          <w:sz w:val="24"/>
          <w:szCs w:val="24"/>
          <w:lang w:val="es-ES_tradnl"/>
        </w:rPr>
        <w:t xml:space="preserve"> órgano garante, deberá manifestar, de manera precisa y clara, las razones que expliquen las causas por las que no se ha realizado el acto de autoridad y, en consecuencia, no se ha documentado decisión alguna.</w:t>
      </w:r>
    </w:p>
    <w:p w14:paraId="1B9B89B2" w14:textId="77777777" w:rsidR="00616297" w:rsidRPr="00C63D99" w:rsidRDefault="00616297" w:rsidP="00616297">
      <w:pPr>
        <w:tabs>
          <w:tab w:val="left" w:pos="284"/>
        </w:tabs>
        <w:spacing w:before="240" w:after="240" w:line="360" w:lineRule="auto"/>
        <w:contextualSpacing/>
        <w:jc w:val="both"/>
        <w:rPr>
          <w:rFonts w:ascii="Palatino Linotype" w:eastAsiaTheme="minorEastAsia" w:hAnsi="Palatino Linotype" w:cs="Arial"/>
          <w:sz w:val="24"/>
          <w:szCs w:val="24"/>
          <w:lang w:val="es-ES_tradnl"/>
        </w:rPr>
      </w:pPr>
    </w:p>
    <w:p w14:paraId="38FE20B8" w14:textId="77777777" w:rsidR="00616297" w:rsidRPr="00C63D99" w:rsidRDefault="00616297" w:rsidP="00616297">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sz w:val="24"/>
          <w:szCs w:val="24"/>
          <w:lang w:val="es-ES_tradnl"/>
        </w:rPr>
      </w:pPr>
      <w:r w:rsidRPr="00C63D99">
        <w:rPr>
          <w:rFonts w:ascii="Palatino Linotype" w:eastAsiaTheme="minorEastAsia" w:hAnsi="Palatino Linotype" w:cs="Arial"/>
          <w:sz w:val="24"/>
          <w:szCs w:val="24"/>
          <w:lang w:val="es-ES_tradnl"/>
        </w:rPr>
        <w:t xml:space="preserve">El segundo supuesto, que corresponde a lo señalado en su último párrafo del artículo antes referido, alude a: </w:t>
      </w:r>
    </w:p>
    <w:p w14:paraId="083A0F62" w14:textId="77777777" w:rsidR="00616297" w:rsidRPr="00C63D99" w:rsidRDefault="00616297" w:rsidP="00616297">
      <w:pPr>
        <w:tabs>
          <w:tab w:val="left" w:pos="284"/>
        </w:tabs>
        <w:contextualSpacing/>
        <w:rPr>
          <w:rFonts w:ascii="Palatino Linotype" w:eastAsiaTheme="minorEastAsia" w:hAnsi="Palatino Linotype" w:cs="Arial"/>
          <w:sz w:val="24"/>
          <w:szCs w:val="24"/>
          <w:lang w:val="es-ES_tradnl"/>
        </w:rPr>
      </w:pPr>
    </w:p>
    <w:p w14:paraId="366CE297" w14:textId="77777777" w:rsidR="00616297" w:rsidRPr="00C63D99" w:rsidRDefault="00616297" w:rsidP="00DD7DC3">
      <w:pPr>
        <w:tabs>
          <w:tab w:val="left" w:pos="851"/>
          <w:tab w:val="left" w:pos="7655"/>
        </w:tabs>
        <w:spacing w:before="240" w:after="240" w:line="360" w:lineRule="auto"/>
        <w:ind w:left="567" w:right="709"/>
        <w:contextualSpacing/>
        <w:jc w:val="both"/>
        <w:rPr>
          <w:rFonts w:ascii="Palatino Linotype" w:eastAsiaTheme="minorEastAsia" w:hAnsi="Palatino Linotype" w:cs="Arial"/>
          <w:sz w:val="24"/>
          <w:szCs w:val="24"/>
          <w:lang w:val="es-ES_tradnl"/>
        </w:rPr>
      </w:pPr>
      <w:r w:rsidRPr="00C63D99">
        <w:rPr>
          <w:rFonts w:ascii="Palatino Linotype" w:eastAsiaTheme="minorEastAsia" w:hAnsi="Palatino Linotype" w:cs="Arial"/>
          <w:sz w:val="24"/>
          <w:szCs w:val="24"/>
          <w:lang w:val="es-ES_tradnl"/>
        </w:rPr>
        <w:t xml:space="preserve">1.- Actos realizados sobre los cuales: </w:t>
      </w:r>
    </w:p>
    <w:p w14:paraId="0A3D9958" w14:textId="77777777" w:rsidR="00616297" w:rsidRPr="00C63D99" w:rsidRDefault="00616297" w:rsidP="00DD7DC3">
      <w:pPr>
        <w:tabs>
          <w:tab w:val="left" w:pos="851"/>
          <w:tab w:val="left" w:pos="7655"/>
        </w:tabs>
        <w:spacing w:before="240" w:after="240" w:line="360" w:lineRule="auto"/>
        <w:ind w:left="567" w:right="709"/>
        <w:contextualSpacing/>
        <w:jc w:val="both"/>
        <w:rPr>
          <w:rFonts w:ascii="Palatino Linotype" w:eastAsiaTheme="minorEastAsia" w:hAnsi="Palatino Linotype" w:cs="Arial"/>
          <w:sz w:val="24"/>
          <w:szCs w:val="24"/>
          <w:lang w:val="es-ES_tradnl"/>
        </w:rPr>
      </w:pPr>
    </w:p>
    <w:p w14:paraId="78307A51" w14:textId="77777777" w:rsidR="00616297" w:rsidRPr="00C63D99" w:rsidRDefault="00616297" w:rsidP="00DD7DC3">
      <w:pPr>
        <w:numPr>
          <w:ilvl w:val="0"/>
          <w:numId w:val="46"/>
        </w:numPr>
        <w:tabs>
          <w:tab w:val="left" w:pos="851"/>
          <w:tab w:val="left" w:pos="7655"/>
        </w:tabs>
        <w:spacing w:before="240" w:after="240" w:line="360" w:lineRule="auto"/>
        <w:ind w:left="567" w:right="709" w:firstLine="0"/>
        <w:contextualSpacing/>
        <w:jc w:val="both"/>
        <w:rPr>
          <w:rFonts w:ascii="Palatino Linotype" w:eastAsiaTheme="minorEastAsia" w:hAnsi="Palatino Linotype" w:cs="Arial"/>
          <w:sz w:val="24"/>
          <w:szCs w:val="24"/>
          <w:lang w:val="es-ES_tradnl"/>
        </w:rPr>
      </w:pPr>
      <w:r w:rsidRPr="00C63D99">
        <w:rPr>
          <w:rFonts w:ascii="Palatino Linotype" w:eastAsiaTheme="minorEastAsia" w:hAnsi="Palatino Linotype" w:cs="Arial"/>
          <w:sz w:val="24"/>
          <w:szCs w:val="24"/>
          <w:lang w:val="es-ES_tradnl"/>
        </w:rPr>
        <w:t xml:space="preserve">No se generó, poseyó o administró el documento que registre la información solicitada; </w:t>
      </w:r>
    </w:p>
    <w:p w14:paraId="76D15BDA" w14:textId="77777777" w:rsidR="00616297" w:rsidRPr="00C63D99" w:rsidRDefault="00616297" w:rsidP="00DD7DC3">
      <w:pPr>
        <w:tabs>
          <w:tab w:val="left" w:pos="851"/>
          <w:tab w:val="left" w:pos="7655"/>
        </w:tabs>
        <w:spacing w:before="240" w:after="240" w:line="360" w:lineRule="auto"/>
        <w:ind w:left="567" w:right="709"/>
        <w:contextualSpacing/>
        <w:jc w:val="both"/>
        <w:rPr>
          <w:rFonts w:ascii="Palatino Linotype" w:eastAsiaTheme="minorEastAsia" w:hAnsi="Palatino Linotype" w:cs="Arial"/>
          <w:sz w:val="24"/>
          <w:szCs w:val="24"/>
          <w:lang w:val="es-ES_tradnl"/>
        </w:rPr>
      </w:pPr>
    </w:p>
    <w:p w14:paraId="58BD9FB9" w14:textId="77777777" w:rsidR="00616297" w:rsidRPr="00C63D99" w:rsidRDefault="00616297" w:rsidP="00DD7DC3">
      <w:pPr>
        <w:tabs>
          <w:tab w:val="left" w:pos="851"/>
          <w:tab w:val="left" w:pos="7655"/>
        </w:tabs>
        <w:spacing w:before="240" w:after="240" w:line="360" w:lineRule="auto"/>
        <w:ind w:left="567" w:right="709"/>
        <w:contextualSpacing/>
        <w:jc w:val="both"/>
        <w:rPr>
          <w:rFonts w:ascii="Palatino Linotype" w:eastAsiaTheme="minorEastAsia" w:hAnsi="Palatino Linotype" w:cs="Arial"/>
          <w:sz w:val="24"/>
          <w:szCs w:val="24"/>
          <w:lang w:val="es-ES_tradnl"/>
        </w:rPr>
      </w:pPr>
      <w:r w:rsidRPr="00C63D99">
        <w:rPr>
          <w:rFonts w:ascii="Palatino Linotype" w:eastAsiaTheme="minorEastAsia" w:hAnsi="Palatino Linotype" w:cs="Arial"/>
          <w:sz w:val="24"/>
          <w:szCs w:val="24"/>
          <w:lang w:val="es-ES_tradnl"/>
        </w:rPr>
        <w:t>b) Habiendo sido generada, poseída o administrada, no se cuenta con la información solicitada.</w:t>
      </w:r>
    </w:p>
    <w:p w14:paraId="7DA55AD7" w14:textId="77777777" w:rsidR="00616297" w:rsidRPr="00C63D99" w:rsidRDefault="00616297" w:rsidP="00DD7DC3">
      <w:pPr>
        <w:tabs>
          <w:tab w:val="left" w:pos="851"/>
          <w:tab w:val="left" w:pos="7655"/>
        </w:tabs>
        <w:spacing w:before="240" w:after="240" w:line="360" w:lineRule="auto"/>
        <w:ind w:left="567" w:right="567"/>
        <w:contextualSpacing/>
        <w:jc w:val="both"/>
        <w:rPr>
          <w:rFonts w:ascii="Palatino Linotype" w:eastAsiaTheme="minorEastAsia" w:hAnsi="Palatino Linotype" w:cs="Arial"/>
          <w:sz w:val="24"/>
          <w:szCs w:val="24"/>
          <w:lang w:val="es-ES_tradnl"/>
        </w:rPr>
      </w:pPr>
    </w:p>
    <w:p w14:paraId="4B9AD3C1" w14:textId="77777777" w:rsidR="00616297" w:rsidRPr="00C63D99" w:rsidRDefault="00616297" w:rsidP="00DD7DC3">
      <w:pPr>
        <w:tabs>
          <w:tab w:val="left" w:pos="851"/>
          <w:tab w:val="left" w:pos="7655"/>
        </w:tabs>
        <w:spacing w:before="240" w:after="240" w:line="360" w:lineRule="auto"/>
        <w:ind w:left="567" w:right="567"/>
        <w:contextualSpacing/>
        <w:jc w:val="both"/>
        <w:rPr>
          <w:rFonts w:ascii="Palatino Linotype" w:eastAsiaTheme="minorEastAsia" w:hAnsi="Palatino Linotype" w:cs="Arial"/>
          <w:sz w:val="24"/>
          <w:szCs w:val="24"/>
          <w:lang w:val="es-ES_tradnl"/>
        </w:rPr>
      </w:pPr>
      <w:r w:rsidRPr="00C63D99">
        <w:rPr>
          <w:rFonts w:ascii="Palatino Linotype" w:eastAsiaTheme="minorEastAsia" w:hAnsi="Palatino Linotype" w:cs="Arial"/>
          <w:sz w:val="24"/>
          <w:szCs w:val="24"/>
          <w:lang w:val="es-ES_tradnl"/>
        </w:rPr>
        <w:t xml:space="preserve">2.- El sujeto obligado fue omiso en el ejercicio de una facultad, competencia o atribución inexcusable. </w:t>
      </w:r>
    </w:p>
    <w:p w14:paraId="0DBA7174" w14:textId="77777777" w:rsidR="00616297" w:rsidRPr="00C63D99" w:rsidRDefault="00616297" w:rsidP="00616297">
      <w:pPr>
        <w:tabs>
          <w:tab w:val="left" w:pos="284"/>
        </w:tabs>
        <w:spacing w:before="240" w:after="240" w:line="360" w:lineRule="auto"/>
        <w:contextualSpacing/>
        <w:jc w:val="both"/>
        <w:rPr>
          <w:rFonts w:ascii="Palatino Linotype" w:eastAsiaTheme="minorEastAsia" w:hAnsi="Palatino Linotype" w:cs="Arial"/>
          <w:sz w:val="24"/>
          <w:szCs w:val="24"/>
          <w:lang w:val="es-ES_tradnl"/>
        </w:rPr>
      </w:pPr>
    </w:p>
    <w:p w14:paraId="449F168E" w14:textId="77777777" w:rsidR="00616297" w:rsidRPr="00C63D99" w:rsidRDefault="00616297" w:rsidP="00616297">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sz w:val="24"/>
          <w:szCs w:val="24"/>
          <w:lang w:val="es-ES_tradnl"/>
        </w:rPr>
      </w:pPr>
      <w:r w:rsidRPr="00C63D99">
        <w:rPr>
          <w:rFonts w:ascii="Palatino Linotype" w:eastAsiaTheme="minorEastAsia" w:hAnsi="Palatino Linotype" w:cs="Arial"/>
          <w:sz w:val="24"/>
          <w:szCs w:val="24"/>
          <w:lang w:val="es-ES_tradnl"/>
        </w:rPr>
        <w:t xml:space="preserve">En estos casos, será necesario acreditar que se cumplieron los supuestos del artículo 169 del citado ordenamiento y emitir la resolución que confirme la inexistencia cumpliendo con las formalidades señaladas en el artículo 170 de la misma norma. </w:t>
      </w:r>
    </w:p>
    <w:p w14:paraId="26310DE5" w14:textId="77777777" w:rsidR="00616297" w:rsidRPr="00C63D99" w:rsidRDefault="00616297" w:rsidP="00616297">
      <w:pPr>
        <w:tabs>
          <w:tab w:val="left" w:pos="284"/>
        </w:tabs>
        <w:contextualSpacing/>
        <w:rPr>
          <w:rFonts w:ascii="Palatino Linotype" w:eastAsiaTheme="minorEastAsia" w:hAnsi="Palatino Linotype" w:cs="Arial"/>
          <w:sz w:val="24"/>
          <w:szCs w:val="24"/>
          <w:lang w:val="es-ES_tradnl"/>
        </w:rPr>
      </w:pPr>
    </w:p>
    <w:p w14:paraId="42EEC888" w14:textId="77777777" w:rsidR="00616297" w:rsidRPr="00C63D99" w:rsidRDefault="00616297" w:rsidP="00616297">
      <w:pPr>
        <w:numPr>
          <w:ilvl w:val="0"/>
          <w:numId w:val="2"/>
        </w:numPr>
        <w:tabs>
          <w:tab w:val="left" w:pos="284"/>
        </w:tabs>
        <w:spacing w:line="360" w:lineRule="auto"/>
        <w:ind w:left="0" w:right="49" w:firstLine="0"/>
        <w:contextualSpacing/>
        <w:jc w:val="both"/>
        <w:rPr>
          <w:rFonts w:ascii="Palatino Linotype" w:hAnsi="Palatino Linotype" w:cs="Arial"/>
          <w:color w:val="000000"/>
          <w:sz w:val="24"/>
          <w:szCs w:val="24"/>
          <w:lang w:val="es-ES_tradnl"/>
        </w:rPr>
      </w:pPr>
      <w:r w:rsidRPr="00C63D99">
        <w:rPr>
          <w:rFonts w:ascii="Palatino Linotype" w:eastAsiaTheme="minorEastAsia" w:hAnsi="Palatino Linotype" w:cs="Arial"/>
          <w:sz w:val="24"/>
          <w:szCs w:val="24"/>
          <w:lang w:val="es-ES_tradnl"/>
        </w:rPr>
        <w:t xml:space="preserve">En cualquiera de los casos, imperativamente, el sujeto obligado 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sección siguiente o, en su defecto, </w:t>
      </w:r>
      <w:r w:rsidRPr="00C63D99">
        <w:rPr>
          <w:rFonts w:ascii="Palatino Linotype" w:eastAsiaTheme="minorEastAsia" w:hAnsi="Palatino Linotype" w:cs="Arial"/>
          <w:b/>
          <w:sz w:val="24"/>
          <w:szCs w:val="24"/>
          <w:lang w:val="es-ES_tradnl"/>
        </w:rPr>
        <w:t xml:space="preserve">de no localizar la información que debía tener, </w:t>
      </w:r>
      <w:r w:rsidRPr="00C63D99">
        <w:rPr>
          <w:rFonts w:ascii="Palatino Linotype" w:eastAsiaTheme="minorEastAsia" w:hAnsi="Palatino Linotype" w:cs="Arial"/>
          <w:b/>
          <w:sz w:val="24"/>
          <w:szCs w:val="24"/>
          <w:lang w:val="es-ES_tradnl"/>
        </w:rPr>
        <w:lastRenderedPageBreak/>
        <w:t>procediendo según lo refieren los párrafos segundo o tercero del artículo 19 de la Ley de Transparencia y Acceso a la Información Pública</w:t>
      </w:r>
      <w:r w:rsidRPr="00C63D99">
        <w:rPr>
          <w:rFonts w:ascii="Palatino Linotype" w:eastAsiaTheme="minorEastAsia" w:hAnsi="Palatino Linotype" w:cs="Arial"/>
          <w:sz w:val="24"/>
          <w:szCs w:val="24"/>
          <w:lang w:val="es-ES_tradnl"/>
        </w:rPr>
        <w:t>, pero emitiendo una respuesta.</w:t>
      </w:r>
    </w:p>
    <w:p w14:paraId="5D8FE80A" w14:textId="77777777" w:rsidR="00616297" w:rsidRPr="00C63D99" w:rsidRDefault="00616297" w:rsidP="00616297">
      <w:pPr>
        <w:tabs>
          <w:tab w:val="left" w:pos="284"/>
        </w:tabs>
        <w:spacing w:line="360" w:lineRule="auto"/>
        <w:ind w:right="49"/>
        <w:contextualSpacing/>
        <w:jc w:val="both"/>
        <w:rPr>
          <w:rFonts w:ascii="Palatino Linotype" w:hAnsi="Palatino Linotype" w:cs="Arial"/>
          <w:color w:val="000000"/>
          <w:sz w:val="24"/>
          <w:szCs w:val="24"/>
          <w:lang w:val="es-ES_tradnl"/>
        </w:rPr>
      </w:pPr>
    </w:p>
    <w:p w14:paraId="74C5B147" w14:textId="77777777" w:rsidR="00616297" w:rsidRPr="00C63D99" w:rsidRDefault="00616297" w:rsidP="00616297">
      <w:pPr>
        <w:keepNext/>
        <w:keepLines/>
        <w:tabs>
          <w:tab w:val="left" w:pos="284"/>
        </w:tabs>
        <w:spacing w:before="40"/>
        <w:outlineLvl w:val="1"/>
        <w:rPr>
          <w:rFonts w:ascii="Palatino Linotype" w:hAnsi="Palatino Linotype" w:cstheme="majorBidi"/>
          <w:b/>
          <w:sz w:val="24"/>
          <w:szCs w:val="24"/>
        </w:rPr>
      </w:pPr>
      <w:bookmarkStart w:id="19" w:name="_Toc524344194"/>
      <w:bookmarkStart w:id="20" w:name="_Toc526271199"/>
      <w:bookmarkStart w:id="21" w:name="_Toc536105846"/>
      <w:bookmarkStart w:id="22" w:name="_Toc536106973"/>
      <w:bookmarkStart w:id="23" w:name="_Toc68793656"/>
      <w:bookmarkStart w:id="24" w:name="_Toc87549679"/>
      <w:r w:rsidRPr="00C63D99">
        <w:rPr>
          <w:rFonts w:ascii="Palatino Linotype" w:hAnsi="Palatino Linotype" w:cstheme="majorBidi"/>
          <w:b/>
          <w:sz w:val="24"/>
          <w:szCs w:val="24"/>
        </w:rPr>
        <w:t>IV. Análisis al que debe someterse la información antes de su entrega.</w:t>
      </w:r>
      <w:bookmarkEnd w:id="19"/>
      <w:bookmarkEnd w:id="20"/>
      <w:bookmarkEnd w:id="21"/>
      <w:bookmarkEnd w:id="22"/>
      <w:bookmarkEnd w:id="23"/>
      <w:bookmarkEnd w:id="24"/>
    </w:p>
    <w:p w14:paraId="5F2EF557" w14:textId="77777777" w:rsidR="00616297" w:rsidRPr="00C63D99" w:rsidRDefault="00616297" w:rsidP="00616297">
      <w:pPr>
        <w:tabs>
          <w:tab w:val="left" w:pos="284"/>
        </w:tabs>
        <w:spacing w:line="360" w:lineRule="auto"/>
        <w:ind w:right="49"/>
        <w:contextualSpacing/>
        <w:jc w:val="both"/>
        <w:rPr>
          <w:rFonts w:ascii="Palatino Linotype" w:hAnsi="Palatino Linotype" w:cs="Arial"/>
          <w:color w:val="000000"/>
          <w:sz w:val="24"/>
          <w:szCs w:val="24"/>
          <w:lang w:val="es-ES_tradnl"/>
        </w:rPr>
      </w:pPr>
    </w:p>
    <w:p w14:paraId="2786F0E2" w14:textId="77777777" w:rsidR="00616297" w:rsidRPr="00C63D99" w:rsidRDefault="00616297" w:rsidP="00616297">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sz w:val="24"/>
          <w:szCs w:val="24"/>
          <w:lang w:val="es-ES"/>
        </w:rPr>
      </w:pPr>
      <w:r w:rsidRPr="00C63D99">
        <w:rPr>
          <w:rFonts w:ascii="Palatino Linotype" w:eastAsiaTheme="minorEastAsia" w:hAnsi="Palatino Linotype" w:cs="Arial"/>
          <w:sz w:val="24"/>
          <w:szCs w:val="24"/>
          <w:lang w:val="es-ES"/>
        </w:rPr>
        <w:t>Considerando que las disposiciones constitucionales previamente citadas le otorgan, a todos los documentos en posesión de las autoridades, la calidad de públicos y que únicamente pueden ser protegidos permanentemente los datos personales y reservados temporalmente, cierta información pública por razones de interés público y en los términos expresamente señalados en la ley, debe manifestarse que el derecho de acceso a la información pública no es absoluto pero cualquier restricción debe de estar sujeta a un sistema rígido de excepciones, en el que los Sujetos Obligados deben fundamentar y argumentar las causas de interés público que se ponen en riesgo al liberarse la información.</w:t>
      </w:r>
    </w:p>
    <w:p w14:paraId="7ED3E59D" w14:textId="77777777" w:rsidR="00616297" w:rsidRPr="00C63D99" w:rsidRDefault="00616297" w:rsidP="00616297">
      <w:pPr>
        <w:tabs>
          <w:tab w:val="left" w:pos="284"/>
        </w:tabs>
        <w:spacing w:before="240" w:after="240" w:line="360" w:lineRule="auto"/>
        <w:contextualSpacing/>
        <w:jc w:val="both"/>
        <w:rPr>
          <w:rFonts w:ascii="Palatino Linotype" w:eastAsiaTheme="minorEastAsia" w:hAnsi="Palatino Linotype" w:cs="Arial"/>
          <w:sz w:val="24"/>
          <w:szCs w:val="24"/>
          <w:lang w:val="es-ES"/>
        </w:rPr>
      </w:pPr>
    </w:p>
    <w:p w14:paraId="221CBE3C" w14:textId="77777777" w:rsidR="00616297" w:rsidRPr="00C63D99" w:rsidRDefault="00616297" w:rsidP="00616297">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sz w:val="24"/>
          <w:szCs w:val="24"/>
          <w:lang w:val="es-ES"/>
        </w:rPr>
      </w:pPr>
      <w:r w:rsidRPr="00C63D99">
        <w:rPr>
          <w:rFonts w:ascii="Palatino Linotype" w:eastAsiaTheme="minorEastAsia" w:hAnsi="Palatino Linotype" w:cs="Arial"/>
          <w:sz w:val="24"/>
          <w:szCs w:val="24"/>
          <w:lang w:val="es-ES"/>
        </w:rPr>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w:t>
      </w:r>
    </w:p>
    <w:p w14:paraId="43BAC390" w14:textId="77777777" w:rsidR="00616297" w:rsidRPr="00C63D99" w:rsidRDefault="00616297" w:rsidP="00616297">
      <w:pPr>
        <w:tabs>
          <w:tab w:val="left" w:pos="284"/>
        </w:tabs>
        <w:contextualSpacing/>
        <w:rPr>
          <w:rFonts w:ascii="Palatino Linotype" w:eastAsiaTheme="minorEastAsia" w:hAnsi="Palatino Linotype" w:cs="Arial"/>
          <w:sz w:val="24"/>
          <w:szCs w:val="24"/>
          <w:lang w:val="es-ES"/>
        </w:rPr>
      </w:pPr>
    </w:p>
    <w:p w14:paraId="1D12F6E8" w14:textId="77777777" w:rsidR="00616297" w:rsidRPr="00C63D99" w:rsidRDefault="00616297" w:rsidP="00616297">
      <w:pPr>
        <w:tabs>
          <w:tab w:val="left" w:pos="284"/>
        </w:tabs>
        <w:spacing w:line="360" w:lineRule="auto"/>
        <w:ind w:left="567" w:right="618"/>
        <w:contextualSpacing/>
        <w:jc w:val="both"/>
        <w:rPr>
          <w:rFonts w:ascii="Palatino Linotype" w:eastAsiaTheme="minorEastAsia" w:hAnsi="Palatino Linotype" w:cs="Arial"/>
          <w:i/>
          <w:color w:val="000000"/>
          <w:sz w:val="22"/>
        </w:rPr>
      </w:pPr>
      <w:r w:rsidRPr="00C63D99">
        <w:rPr>
          <w:rFonts w:ascii="Palatino Linotype" w:eastAsiaTheme="minorEastAsia" w:hAnsi="Palatino Linotype" w:cs="Arial"/>
          <w:b/>
          <w:i/>
          <w:color w:val="000000"/>
          <w:sz w:val="22"/>
        </w:rPr>
        <w:t>“Artículo 4.</w:t>
      </w:r>
      <w:r w:rsidRPr="00C63D99">
        <w:rPr>
          <w:rFonts w:ascii="Palatino Linotype" w:eastAsiaTheme="minorEastAsia" w:hAnsi="Palatino Linotype" w:cs="Arial"/>
          <w:i/>
          <w:color w:val="000000"/>
          <w:sz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7B96E14B" w14:textId="77777777" w:rsidR="00616297" w:rsidRPr="00C63D99" w:rsidRDefault="00616297" w:rsidP="00616297">
      <w:pPr>
        <w:tabs>
          <w:tab w:val="left" w:pos="284"/>
        </w:tabs>
        <w:spacing w:line="360" w:lineRule="auto"/>
        <w:ind w:left="567" w:right="618"/>
        <w:contextualSpacing/>
        <w:jc w:val="both"/>
        <w:rPr>
          <w:rFonts w:ascii="Palatino Linotype" w:eastAsiaTheme="minorEastAsia" w:hAnsi="Palatino Linotype" w:cs="Arial"/>
          <w:i/>
          <w:color w:val="000000"/>
          <w:sz w:val="22"/>
        </w:rPr>
      </w:pPr>
      <w:r w:rsidRPr="00C63D99">
        <w:rPr>
          <w:rFonts w:ascii="Palatino Linotype" w:eastAsiaTheme="minorEastAsia" w:hAnsi="Palatino Linotype" w:cs="Arial"/>
          <w:i/>
          <w:color w:val="000000"/>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64DF13B" w14:textId="77777777" w:rsidR="00616297" w:rsidRPr="00C63D99" w:rsidRDefault="00616297" w:rsidP="00616297">
      <w:pPr>
        <w:tabs>
          <w:tab w:val="left" w:pos="284"/>
        </w:tabs>
        <w:spacing w:line="360" w:lineRule="auto"/>
        <w:ind w:left="567" w:right="618"/>
        <w:contextualSpacing/>
        <w:jc w:val="both"/>
        <w:rPr>
          <w:rFonts w:ascii="Palatino Linotype" w:eastAsiaTheme="minorEastAsia" w:hAnsi="Palatino Linotype" w:cs="Arial"/>
          <w:i/>
          <w:color w:val="000000"/>
          <w:sz w:val="22"/>
        </w:rPr>
      </w:pPr>
      <w:r w:rsidRPr="00C63D99">
        <w:rPr>
          <w:rFonts w:ascii="Palatino Linotype" w:eastAsiaTheme="minorEastAsia" w:hAnsi="Palatino Linotype" w:cs="Arial"/>
          <w:i/>
          <w:color w:val="000000"/>
          <w:sz w:val="22"/>
        </w:rPr>
        <w:t>Los sujetos obligados deben poner en práctica, políticas y programas de acceso a la información que se apeguen a criterios de publicidad, veracidad, oportunidad, precisión y suficiencia en beneficio de los solicitantes.</w:t>
      </w:r>
    </w:p>
    <w:p w14:paraId="572C4F5B" w14:textId="77777777" w:rsidR="00616297" w:rsidRPr="00C63D99" w:rsidRDefault="00616297" w:rsidP="00616297">
      <w:pPr>
        <w:tabs>
          <w:tab w:val="left" w:pos="284"/>
        </w:tabs>
        <w:spacing w:line="360" w:lineRule="auto"/>
        <w:ind w:left="567" w:right="618"/>
        <w:contextualSpacing/>
        <w:jc w:val="both"/>
        <w:rPr>
          <w:rFonts w:ascii="Palatino Linotype" w:eastAsiaTheme="minorEastAsia" w:hAnsi="Palatino Linotype" w:cs="Arial"/>
          <w:i/>
          <w:color w:val="000000"/>
          <w:sz w:val="22"/>
        </w:rPr>
      </w:pPr>
      <w:r w:rsidRPr="00C63D99">
        <w:rPr>
          <w:rFonts w:ascii="Palatino Linotype" w:eastAsiaTheme="minorEastAsia" w:hAnsi="Palatino Linotype" w:cs="Arial"/>
          <w:i/>
          <w:color w:val="000000"/>
          <w:sz w:val="22"/>
        </w:rPr>
        <w:t>...”</w:t>
      </w:r>
    </w:p>
    <w:p w14:paraId="59ED379D" w14:textId="77777777" w:rsidR="00616297" w:rsidRPr="00C63D99" w:rsidRDefault="00616297" w:rsidP="00616297">
      <w:pPr>
        <w:tabs>
          <w:tab w:val="left" w:pos="284"/>
        </w:tabs>
        <w:spacing w:line="360" w:lineRule="auto"/>
        <w:ind w:left="567" w:right="618"/>
        <w:contextualSpacing/>
        <w:jc w:val="both"/>
        <w:rPr>
          <w:rFonts w:ascii="Palatino Linotype" w:eastAsiaTheme="minorEastAsia" w:hAnsi="Palatino Linotype" w:cs="Arial"/>
          <w:i/>
          <w:color w:val="000000"/>
          <w:sz w:val="22"/>
        </w:rPr>
      </w:pPr>
    </w:p>
    <w:p w14:paraId="7C7B6EE7" w14:textId="77777777" w:rsidR="00616297" w:rsidRPr="00C63D99" w:rsidRDefault="00616297" w:rsidP="00616297">
      <w:pPr>
        <w:tabs>
          <w:tab w:val="left" w:pos="284"/>
        </w:tabs>
        <w:spacing w:line="360" w:lineRule="auto"/>
        <w:ind w:left="567" w:right="618"/>
        <w:contextualSpacing/>
        <w:jc w:val="both"/>
        <w:rPr>
          <w:rFonts w:ascii="Palatino Linotype" w:eastAsiaTheme="minorEastAsia" w:hAnsi="Palatino Linotype" w:cs="Arial"/>
          <w:i/>
          <w:color w:val="000000"/>
          <w:sz w:val="22"/>
        </w:rPr>
      </w:pPr>
      <w:r w:rsidRPr="00C63D99">
        <w:rPr>
          <w:rFonts w:ascii="Palatino Linotype" w:eastAsiaTheme="minorEastAsia" w:hAnsi="Palatino Linotype" w:cs="Arial"/>
          <w:i/>
          <w:color w:val="000000"/>
          <w:sz w:val="22"/>
        </w:rPr>
        <w:t>“</w:t>
      </w:r>
      <w:r w:rsidRPr="00C63D99">
        <w:rPr>
          <w:rFonts w:ascii="Palatino Linotype" w:eastAsiaTheme="minorEastAsia" w:hAnsi="Palatino Linotype" w:cs="Arial"/>
          <w:b/>
          <w:i/>
          <w:color w:val="000000"/>
          <w:sz w:val="22"/>
        </w:rPr>
        <w:t>Artículo 122.</w:t>
      </w:r>
      <w:r w:rsidRPr="00C63D99">
        <w:rPr>
          <w:rFonts w:ascii="Palatino Linotype" w:eastAsiaTheme="minorEastAsia" w:hAnsi="Palatino Linotype" w:cs="Arial"/>
          <w:i/>
          <w:color w:val="000000"/>
          <w:sz w:val="22"/>
        </w:rPr>
        <w:t xml:space="preserve"> La clasificación es el proceso mediante el cual el sujeto obligado determina que la información en su poder </w:t>
      </w:r>
      <w:proofErr w:type="spellStart"/>
      <w:r w:rsidRPr="00C63D99">
        <w:rPr>
          <w:rFonts w:ascii="Palatino Linotype" w:eastAsiaTheme="minorEastAsia" w:hAnsi="Palatino Linotype" w:cs="Arial"/>
          <w:i/>
          <w:color w:val="000000"/>
          <w:sz w:val="22"/>
        </w:rPr>
        <w:t>actualiza</w:t>
      </w:r>
      <w:proofErr w:type="spellEnd"/>
      <w:r w:rsidRPr="00C63D99">
        <w:rPr>
          <w:rFonts w:ascii="Palatino Linotype" w:eastAsiaTheme="minorEastAsia" w:hAnsi="Palatino Linotype" w:cs="Arial"/>
          <w:i/>
          <w:color w:val="000000"/>
          <w:sz w:val="22"/>
        </w:rPr>
        <w:t xml:space="preserve"> alguno de los supuestos de reserva o confidencialidad, de conformidad con lo dispuesto en el presente título.</w:t>
      </w:r>
    </w:p>
    <w:p w14:paraId="265A9133" w14:textId="77777777" w:rsidR="00616297" w:rsidRPr="00C63D99" w:rsidRDefault="00616297" w:rsidP="00616297">
      <w:pPr>
        <w:tabs>
          <w:tab w:val="left" w:pos="284"/>
        </w:tabs>
        <w:spacing w:line="360" w:lineRule="auto"/>
        <w:ind w:left="567" w:right="618"/>
        <w:contextualSpacing/>
        <w:jc w:val="both"/>
        <w:rPr>
          <w:rFonts w:ascii="Palatino Linotype" w:eastAsiaTheme="minorEastAsia" w:hAnsi="Palatino Linotype" w:cs="Arial"/>
          <w:i/>
          <w:color w:val="000000"/>
          <w:sz w:val="22"/>
        </w:rPr>
      </w:pPr>
      <w:r w:rsidRPr="00C63D99">
        <w:rPr>
          <w:rFonts w:ascii="Palatino Linotype" w:eastAsiaTheme="minorEastAsia" w:hAnsi="Palatino Linotype" w:cs="Arial"/>
          <w:i/>
          <w:color w:val="000000"/>
          <w:sz w:val="22"/>
        </w:rPr>
        <w:t>Los supuestos de reserva o confidencialidad previstos en las leyes deberán ser acordes con las bases, principios y disposiciones establecidos en la Ley General y, en ningún caso, podrán contravenirla.</w:t>
      </w:r>
    </w:p>
    <w:p w14:paraId="7B811FF9" w14:textId="77777777" w:rsidR="00616297" w:rsidRPr="00C63D99" w:rsidRDefault="00616297" w:rsidP="00616297">
      <w:pPr>
        <w:tabs>
          <w:tab w:val="left" w:pos="284"/>
        </w:tabs>
        <w:spacing w:line="360" w:lineRule="auto"/>
        <w:ind w:left="567" w:right="618"/>
        <w:contextualSpacing/>
        <w:jc w:val="both"/>
        <w:rPr>
          <w:rFonts w:ascii="Palatino Linotype" w:eastAsiaTheme="minorEastAsia" w:hAnsi="Palatino Linotype" w:cs="Arial"/>
          <w:i/>
          <w:color w:val="000000"/>
          <w:sz w:val="22"/>
        </w:rPr>
      </w:pPr>
      <w:r w:rsidRPr="00C63D99">
        <w:rPr>
          <w:rFonts w:ascii="Palatino Linotype" w:eastAsiaTheme="minorEastAsia" w:hAnsi="Palatino Linotype" w:cs="Arial"/>
          <w:i/>
          <w:color w:val="000000"/>
          <w:sz w:val="22"/>
        </w:rPr>
        <w:lastRenderedPageBreak/>
        <w:t>Los titulares de las áreas de los sujetos obligados serán los responsables de clasificar la información, de conformidad con lo dispuesto en la presente Ley y demás disposiciones jurídicas aplicables.</w:t>
      </w:r>
    </w:p>
    <w:p w14:paraId="23B49A7B" w14:textId="77777777" w:rsidR="00616297" w:rsidRPr="00C63D99" w:rsidRDefault="00616297" w:rsidP="00616297">
      <w:pPr>
        <w:tabs>
          <w:tab w:val="left" w:pos="284"/>
        </w:tabs>
        <w:spacing w:line="360" w:lineRule="auto"/>
        <w:ind w:left="567" w:right="618"/>
        <w:contextualSpacing/>
        <w:jc w:val="both"/>
        <w:rPr>
          <w:rFonts w:ascii="Palatino Linotype" w:eastAsiaTheme="minorEastAsia" w:hAnsi="Palatino Linotype" w:cs="Arial"/>
          <w:i/>
          <w:color w:val="000000"/>
          <w:sz w:val="22"/>
        </w:rPr>
      </w:pPr>
      <w:r w:rsidRPr="00C63D99">
        <w:rPr>
          <w:rFonts w:ascii="Palatino Linotype" w:eastAsiaTheme="minorEastAsia" w:hAnsi="Palatino Linotype" w:cs="Arial"/>
          <w:i/>
          <w:color w:val="000000"/>
          <w:sz w:val="22"/>
        </w:rPr>
        <w:t>…”</w:t>
      </w:r>
    </w:p>
    <w:p w14:paraId="62972072" w14:textId="77777777" w:rsidR="00616297" w:rsidRPr="00C63D99" w:rsidRDefault="00616297" w:rsidP="00616297">
      <w:pPr>
        <w:tabs>
          <w:tab w:val="left" w:pos="284"/>
        </w:tabs>
        <w:spacing w:line="360" w:lineRule="auto"/>
        <w:ind w:left="567" w:right="618"/>
        <w:contextualSpacing/>
        <w:jc w:val="both"/>
        <w:rPr>
          <w:rFonts w:ascii="Palatino Linotype" w:eastAsiaTheme="minorEastAsia" w:hAnsi="Palatino Linotype" w:cs="Arial"/>
          <w:i/>
          <w:color w:val="000000"/>
          <w:sz w:val="22"/>
        </w:rPr>
      </w:pPr>
    </w:p>
    <w:p w14:paraId="5AC4A55B" w14:textId="77777777" w:rsidR="00616297" w:rsidRPr="00C63D99" w:rsidRDefault="00616297" w:rsidP="00616297">
      <w:pPr>
        <w:tabs>
          <w:tab w:val="left" w:pos="284"/>
        </w:tabs>
        <w:spacing w:line="360" w:lineRule="auto"/>
        <w:ind w:left="567" w:right="618"/>
        <w:contextualSpacing/>
        <w:jc w:val="both"/>
        <w:rPr>
          <w:rFonts w:ascii="Palatino Linotype" w:eastAsiaTheme="minorEastAsia" w:hAnsi="Palatino Linotype" w:cs="Arial"/>
          <w:i/>
          <w:color w:val="000000"/>
          <w:sz w:val="22"/>
        </w:rPr>
      </w:pPr>
      <w:r w:rsidRPr="00C63D99">
        <w:rPr>
          <w:rFonts w:ascii="Palatino Linotype" w:eastAsiaTheme="minorEastAsia" w:hAnsi="Palatino Linotype" w:cs="Arial"/>
          <w:i/>
          <w:color w:val="000000"/>
          <w:sz w:val="22"/>
        </w:rPr>
        <w:t>“</w:t>
      </w:r>
      <w:r w:rsidRPr="00C63D99">
        <w:rPr>
          <w:rFonts w:ascii="Palatino Linotype" w:eastAsiaTheme="minorEastAsia" w:hAnsi="Palatino Linotype" w:cs="Arial"/>
          <w:b/>
          <w:i/>
          <w:color w:val="000000"/>
          <w:sz w:val="22"/>
        </w:rPr>
        <w:t>Artículo 140.</w:t>
      </w:r>
      <w:r w:rsidRPr="00C63D99">
        <w:rPr>
          <w:rFonts w:ascii="Palatino Linotype" w:eastAsiaTheme="minorEastAsia" w:hAnsi="Palatino Linotype" w:cs="Arial"/>
          <w:i/>
          <w:color w:val="000000"/>
          <w:sz w:val="22"/>
        </w:rPr>
        <w:t xml:space="preserve"> El acceso a la información pública será restringido excepcionalmente, cuando por razones de interés público, ésta sea clasificada como reservada, conforme a los criterios siguientes:</w:t>
      </w:r>
    </w:p>
    <w:p w14:paraId="45087C22" w14:textId="77777777" w:rsidR="00616297" w:rsidRPr="00C63D99" w:rsidRDefault="00616297" w:rsidP="00616297">
      <w:pPr>
        <w:tabs>
          <w:tab w:val="left" w:pos="284"/>
        </w:tabs>
        <w:spacing w:line="360" w:lineRule="auto"/>
        <w:ind w:left="567" w:right="618"/>
        <w:contextualSpacing/>
        <w:jc w:val="both"/>
        <w:rPr>
          <w:rFonts w:ascii="Palatino Linotype" w:eastAsiaTheme="minorEastAsia" w:hAnsi="Palatino Linotype" w:cs="Arial"/>
          <w:i/>
          <w:color w:val="000000"/>
          <w:sz w:val="22"/>
        </w:rPr>
      </w:pPr>
      <w:r w:rsidRPr="00C63D99">
        <w:rPr>
          <w:rFonts w:ascii="Palatino Linotype" w:eastAsiaTheme="minorEastAsia" w:hAnsi="Palatino Linotype" w:cs="Arial"/>
          <w:i/>
          <w:color w:val="000000"/>
          <w:sz w:val="22"/>
        </w:rPr>
        <w:t>I. Comprometa la seguridad pública y cuente con un propósito genuino y un efecto demostrable;</w:t>
      </w:r>
    </w:p>
    <w:p w14:paraId="718F09A7" w14:textId="77777777" w:rsidR="00616297" w:rsidRPr="00C63D99" w:rsidRDefault="00616297" w:rsidP="00616297">
      <w:pPr>
        <w:tabs>
          <w:tab w:val="left" w:pos="284"/>
        </w:tabs>
        <w:spacing w:line="360" w:lineRule="auto"/>
        <w:ind w:left="567" w:right="618"/>
        <w:contextualSpacing/>
        <w:jc w:val="both"/>
        <w:rPr>
          <w:rFonts w:ascii="Palatino Linotype" w:eastAsiaTheme="minorEastAsia" w:hAnsi="Palatino Linotype" w:cs="Arial"/>
          <w:i/>
          <w:color w:val="000000"/>
          <w:sz w:val="22"/>
        </w:rPr>
      </w:pPr>
      <w:r w:rsidRPr="00C63D99">
        <w:rPr>
          <w:rFonts w:ascii="Palatino Linotype" w:eastAsiaTheme="minorEastAsia" w:hAnsi="Palatino Linotype" w:cs="Arial"/>
          <w:i/>
          <w:color w:val="000000"/>
          <w:sz w:val="22"/>
        </w:rPr>
        <w:t>II. Pueda menoscabar la conducción de las negociaciones y relaciones internacionales;</w:t>
      </w:r>
    </w:p>
    <w:p w14:paraId="17723BB0" w14:textId="77777777" w:rsidR="00616297" w:rsidRPr="00C63D99" w:rsidRDefault="00616297" w:rsidP="00616297">
      <w:pPr>
        <w:tabs>
          <w:tab w:val="left" w:pos="284"/>
        </w:tabs>
        <w:spacing w:line="360" w:lineRule="auto"/>
        <w:ind w:left="567" w:right="618"/>
        <w:contextualSpacing/>
        <w:jc w:val="both"/>
        <w:rPr>
          <w:rFonts w:ascii="Palatino Linotype" w:eastAsiaTheme="minorEastAsia" w:hAnsi="Palatino Linotype" w:cs="Arial"/>
          <w:i/>
          <w:color w:val="000000"/>
          <w:sz w:val="22"/>
        </w:rPr>
      </w:pPr>
      <w:r w:rsidRPr="00C63D99">
        <w:rPr>
          <w:rFonts w:ascii="Palatino Linotype" w:eastAsiaTheme="minorEastAsia" w:hAnsi="Palatino Linotype" w:cs="Arial"/>
          <w:i/>
          <w:color w:val="000000"/>
          <w:sz w:val="22"/>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146897B2" w14:textId="77777777" w:rsidR="00616297" w:rsidRPr="00C63D99" w:rsidRDefault="00616297" w:rsidP="00616297">
      <w:pPr>
        <w:tabs>
          <w:tab w:val="left" w:pos="284"/>
        </w:tabs>
        <w:spacing w:line="360" w:lineRule="auto"/>
        <w:ind w:left="567" w:right="618"/>
        <w:contextualSpacing/>
        <w:jc w:val="both"/>
        <w:rPr>
          <w:rFonts w:ascii="Palatino Linotype" w:eastAsiaTheme="minorEastAsia" w:hAnsi="Palatino Linotype" w:cs="Arial"/>
          <w:i/>
          <w:color w:val="000000"/>
          <w:sz w:val="22"/>
        </w:rPr>
      </w:pPr>
      <w:r w:rsidRPr="00C63D99">
        <w:rPr>
          <w:rFonts w:ascii="Palatino Linotype" w:eastAsiaTheme="minorEastAsia" w:hAnsi="Palatino Linotype" w:cs="Arial"/>
          <w:i/>
          <w:color w:val="000000"/>
          <w:sz w:val="22"/>
        </w:rPr>
        <w:t>IV. Ponga en riesgo la vida, la seguridad o la salud de una persona física;</w:t>
      </w:r>
    </w:p>
    <w:p w14:paraId="0B904974" w14:textId="77777777" w:rsidR="00616297" w:rsidRPr="00C63D99" w:rsidRDefault="00616297" w:rsidP="00616297">
      <w:pPr>
        <w:tabs>
          <w:tab w:val="left" w:pos="284"/>
        </w:tabs>
        <w:spacing w:line="360" w:lineRule="auto"/>
        <w:ind w:left="567" w:right="618"/>
        <w:contextualSpacing/>
        <w:jc w:val="both"/>
        <w:rPr>
          <w:rFonts w:ascii="Palatino Linotype" w:eastAsiaTheme="minorEastAsia" w:hAnsi="Palatino Linotype" w:cs="Arial"/>
          <w:i/>
          <w:color w:val="000000"/>
          <w:sz w:val="22"/>
        </w:rPr>
      </w:pPr>
      <w:r w:rsidRPr="00C63D99">
        <w:rPr>
          <w:rFonts w:ascii="Palatino Linotype" w:eastAsiaTheme="minorEastAsia" w:hAnsi="Palatino Linotype" w:cs="Arial"/>
          <w:i/>
          <w:color w:val="000000"/>
          <w:sz w:val="22"/>
        </w:rPr>
        <w:t>V. Aquella cuya divulgación obstruya o pueda causar un serio perjuicio a:</w:t>
      </w:r>
    </w:p>
    <w:p w14:paraId="395EAD0D" w14:textId="77777777" w:rsidR="00616297" w:rsidRPr="00C63D99" w:rsidRDefault="00616297" w:rsidP="00616297">
      <w:pPr>
        <w:tabs>
          <w:tab w:val="left" w:pos="284"/>
        </w:tabs>
        <w:spacing w:line="360" w:lineRule="auto"/>
        <w:ind w:left="567" w:right="618"/>
        <w:contextualSpacing/>
        <w:jc w:val="both"/>
        <w:rPr>
          <w:rFonts w:ascii="Palatino Linotype" w:eastAsiaTheme="minorEastAsia" w:hAnsi="Palatino Linotype" w:cs="Arial"/>
          <w:i/>
          <w:color w:val="000000"/>
          <w:sz w:val="22"/>
        </w:rPr>
      </w:pPr>
      <w:r w:rsidRPr="00C63D99">
        <w:rPr>
          <w:rFonts w:ascii="Palatino Linotype" w:eastAsiaTheme="minorEastAsia" w:hAnsi="Palatino Linotype" w:cs="Arial"/>
          <w:i/>
          <w:color w:val="000000"/>
          <w:sz w:val="22"/>
        </w:rPr>
        <w:t>1. Las actividades de fiscalización, verificación, inspección, comprobación y auditoría sobre el cumplimiento de las Leyes; o</w:t>
      </w:r>
    </w:p>
    <w:p w14:paraId="00219143" w14:textId="77777777" w:rsidR="00616297" w:rsidRPr="00C63D99" w:rsidRDefault="00616297" w:rsidP="00616297">
      <w:pPr>
        <w:tabs>
          <w:tab w:val="left" w:pos="284"/>
        </w:tabs>
        <w:spacing w:line="360" w:lineRule="auto"/>
        <w:ind w:left="567" w:right="618"/>
        <w:contextualSpacing/>
        <w:jc w:val="both"/>
        <w:rPr>
          <w:rFonts w:ascii="Palatino Linotype" w:eastAsiaTheme="minorEastAsia" w:hAnsi="Palatino Linotype" w:cs="Arial"/>
          <w:i/>
          <w:color w:val="000000"/>
          <w:sz w:val="22"/>
        </w:rPr>
      </w:pPr>
      <w:r w:rsidRPr="00C63D99">
        <w:rPr>
          <w:rFonts w:ascii="Palatino Linotype" w:eastAsiaTheme="minorEastAsia" w:hAnsi="Palatino Linotype" w:cs="Arial"/>
          <w:i/>
          <w:color w:val="000000"/>
          <w:sz w:val="22"/>
        </w:rPr>
        <w:t>2. La recaudación de las contribuciones.</w:t>
      </w:r>
    </w:p>
    <w:p w14:paraId="22CE5A09" w14:textId="77777777" w:rsidR="00616297" w:rsidRPr="00C63D99" w:rsidRDefault="00616297" w:rsidP="00616297">
      <w:pPr>
        <w:tabs>
          <w:tab w:val="left" w:pos="284"/>
        </w:tabs>
        <w:spacing w:line="360" w:lineRule="auto"/>
        <w:ind w:left="567" w:right="618"/>
        <w:contextualSpacing/>
        <w:jc w:val="both"/>
        <w:rPr>
          <w:rFonts w:ascii="Palatino Linotype" w:eastAsiaTheme="minorEastAsia" w:hAnsi="Palatino Linotype" w:cs="Arial"/>
          <w:i/>
          <w:color w:val="000000"/>
          <w:sz w:val="22"/>
        </w:rPr>
      </w:pPr>
      <w:r w:rsidRPr="00C63D99">
        <w:rPr>
          <w:rFonts w:ascii="Palatino Linotype" w:eastAsiaTheme="minorEastAsia" w:hAnsi="Palatino Linotype" w:cs="Arial"/>
          <w:i/>
          <w:color w:val="000000"/>
          <w:sz w:val="22"/>
        </w:rPr>
        <w:t xml:space="preserve">VI. Pueda causar daño u obstruya la prevención o persecución de los delitos, altere el proceso de investigación de las carpetas de investigación, afecte o vulnere la conducción o los derechos del debido proceso en los procedimientos judiciales o administrativos, </w:t>
      </w:r>
      <w:r w:rsidRPr="00C63D99">
        <w:rPr>
          <w:rFonts w:ascii="Palatino Linotype" w:eastAsiaTheme="minorEastAsia" w:hAnsi="Palatino Linotype" w:cs="Arial"/>
          <w:i/>
          <w:color w:val="000000"/>
          <w:sz w:val="22"/>
        </w:rPr>
        <w:lastRenderedPageBreak/>
        <w:t>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6160C291" w14:textId="77777777" w:rsidR="00616297" w:rsidRPr="00C63D99" w:rsidRDefault="00616297" w:rsidP="00616297">
      <w:pPr>
        <w:tabs>
          <w:tab w:val="left" w:pos="284"/>
        </w:tabs>
        <w:spacing w:line="360" w:lineRule="auto"/>
        <w:ind w:left="567" w:right="618"/>
        <w:contextualSpacing/>
        <w:jc w:val="both"/>
        <w:rPr>
          <w:rFonts w:ascii="Palatino Linotype" w:eastAsiaTheme="minorEastAsia" w:hAnsi="Palatino Linotype" w:cs="Arial"/>
          <w:i/>
          <w:color w:val="000000"/>
          <w:sz w:val="22"/>
        </w:rPr>
      </w:pPr>
      <w:r w:rsidRPr="00C63D99">
        <w:rPr>
          <w:rFonts w:ascii="Palatino Linotype" w:eastAsiaTheme="minorEastAsia" w:hAnsi="Palatino Linotype" w:cs="Arial"/>
          <w:i/>
          <w:color w:val="000000"/>
          <w:sz w:val="22"/>
        </w:rPr>
        <w:t>VII. La que contengan las opiniones, recomendaciones o puntos de vista que formen parte del proceso deliberativo de los servidores públicos, hasta en tanto sea adoptada la decisión definitiva, la cual deberá estar documentada;</w:t>
      </w:r>
    </w:p>
    <w:p w14:paraId="58151ED9" w14:textId="77777777" w:rsidR="00616297" w:rsidRPr="00C63D99" w:rsidRDefault="00616297" w:rsidP="00616297">
      <w:pPr>
        <w:tabs>
          <w:tab w:val="left" w:pos="284"/>
        </w:tabs>
        <w:spacing w:line="360" w:lineRule="auto"/>
        <w:ind w:left="567" w:right="618"/>
        <w:contextualSpacing/>
        <w:jc w:val="both"/>
        <w:rPr>
          <w:rFonts w:ascii="Palatino Linotype" w:eastAsiaTheme="minorEastAsia" w:hAnsi="Palatino Linotype" w:cs="Arial"/>
          <w:i/>
          <w:color w:val="000000"/>
          <w:sz w:val="22"/>
        </w:rPr>
      </w:pPr>
      <w:r w:rsidRPr="00C63D99">
        <w:rPr>
          <w:rFonts w:ascii="Palatino Linotype" w:eastAsiaTheme="minorEastAsia" w:hAnsi="Palatino Linotype" w:cs="Arial"/>
          <w:i/>
          <w:color w:val="000000"/>
          <w:sz w:val="22"/>
        </w:rPr>
        <w:t>VIII. Vulnere la conducción de los expedientes judiciales o de los procedimientos administrativos seguidos en forma de juicio, en tanto no hayan quedado firmes;</w:t>
      </w:r>
    </w:p>
    <w:p w14:paraId="3D4D536F" w14:textId="77777777" w:rsidR="00616297" w:rsidRPr="00C63D99" w:rsidRDefault="00616297" w:rsidP="00616297">
      <w:pPr>
        <w:tabs>
          <w:tab w:val="left" w:pos="284"/>
        </w:tabs>
        <w:spacing w:line="360" w:lineRule="auto"/>
        <w:ind w:left="567" w:right="618"/>
        <w:contextualSpacing/>
        <w:jc w:val="both"/>
        <w:rPr>
          <w:rFonts w:ascii="Palatino Linotype" w:eastAsiaTheme="minorEastAsia" w:hAnsi="Palatino Linotype" w:cs="Arial"/>
          <w:i/>
          <w:color w:val="000000"/>
          <w:sz w:val="22"/>
        </w:rPr>
      </w:pPr>
      <w:r w:rsidRPr="00C63D99">
        <w:rPr>
          <w:rFonts w:ascii="Palatino Linotype" w:eastAsiaTheme="minorEastAsia" w:hAnsi="Palatino Linotype" w:cs="Arial"/>
          <w:i/>
          <w:color w:val="000000"/>
          <w:sz w:val="22"/>
        </w:rPr>
        <w:t>IX. Se encuentre contenida dentro de las investigaciones de hechos que la Ley señale como delitos y se tramiten ante el Ministerio Público;</w:t>
      </w:r>
    </w:p>
    <w:p w14:paraId="5A8692AD" w14:textId="77777777" w:rsidR="00616297" w:rsidRPr="00C63D99" w:rsidRDefault="00616297" w:rsidP="00616297">
      <w:pPr>
        <w:tabs>
          <w:tab w:val="left" w:pos="284"/>
        </w:tabs>
        <w:spacing w:line="360" w:lineRule="auto"/>
        <w:ind w:left="567" w:right="618"/>
        <w:contextualSpacing/>
        <w:jc w:val="both"/>
        <w:rPr>
          <w:rFonts w:ascii="Palatino Linotype" w:eastAsiaTheme="minorEastAsia" w:hAnsi="Palatino Linotype" w:cs="Arial"/>
          <w:i/>
          <w:color w:val="000000"/>
          <w:sz w:val="22"/>
        </w:rPr>
      </w:pPr>
      <w:r w:rsidRPr="00C63D99">
        <w:rPr>
          <w:rFonts w:ascii="Palatino Linotype" w:eastAsiaTheme="minorEastAsia" w:hAnsi="Palatino Linotype" w:cs="Arial"/>
          <w:i/>
          <w:color w:val="000000"/>
          <w:sz w:val="22"/>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77B5F061" w14:textId="77777777" w:rsidR="00616297" w:rsidRPr="00C63D99" w:rsidRDefault="00616297" w:rsidP="00616297">
      <w:pPr>
        <w:tabs>
          <w:tab w:val="left" w:pos="284"/>
        </w:tabs>
        <w:spacing w:line="360" w:lineRule="auto"/>
        <w:ind w:left="567" w:right="618"/>
        <w:contextualSpacing/>
        <w:jc w:val="both"/>
        <w:rPr>
          <w:rFonts w:ascii="Palatino Linotype" w:eastAsiaTheme="minorEastAsia" w:hAnsi="Palatino Linotype" w:cs="Arial"/>
          <w:i/>
          <w:color w:val="000000"/>
          <w:sz w:val="22"/>
        </w:rPr>
      </w:pPr>
      <w:r w:rsidRPr="00C63D99">
        <w:rPr>
          <w:rFonts w:ascii="Palatino Linotype" w:eastAsiaTheme="minorEastAsia" w:hAnsi="Palatino Linotype" w:cs="Arial"/>
          <w:i/>
          <w:color w:val="000000"/>
          <w:sz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19D3AAE8" w14:textId="77777777" w:rsidR="00616297" w:rsidRPr="00C63D99" w:rsidRDefault="00616297" w:rsidP="00616297">
      <w:pPr>
        <w:tabs>
          <w:tab w:val="left" w:pos="284"/>
        </w:tabs>
        <w:spacing w:line="360" w:lineRule="auto"/>
        <w:ind w:left="567" w:right="618"/>
        <w:contextualSpacing/>
        <w:jc w:val="both"/>
        <w:rPr>
          <w:rFonts w:ascii="Palatino Linotype" w:eastAsiaTheme="minorEastAsia" w:hAnsi="Palatino Linotype" w:cs="Arial"/>
          <w:i/>
          <w:color w:val="000000"/>
          <w:sz w:val="22"/>
        </w:rPr>
      </w:pPr>
      <w:r w:rsidRPr="00C63D99">
        <w:rPr>
          <w:rFonts w:ascii="Palatino Linotype" w:eastAsiaTheme="minorEastAsia" w:hAnsi="Palatino Linotype" w:cs="Arial"/>
          <w:i/>
          <w:color w:val="000000"/>
          <w:sz w:val="22"/>
        </w:rPr>
        <w:t>XI. Las que por disposición expresa de una ley tengan tal carácter, siempre que sean acordes con las bases, principios y disposiciones establecidos en esta Ley y no la contravengan; así como las previstas en tratados internacionales.”</w:t>
      </w:r>
    </w:p>
    <w:p w14:paraId="68504EE2" w14:textId="77777777" w:rsidR="00616297" w:rsidRPr="00C63D99" w:rsidRDefault="00616297" w:rsidP="00616297">
      <w:pPr>
        <w:tabs>
          <w:tab w:val="left" w:pos="284"/>
        </w:tabs>
        <w:spacing w:line="360" w:lineRule="auto"/>
        <w:ind w:left="567" w:right="618"/>
        <w:contextualSpacing/>
        <w:jc w:val="both"/>
        <w:rPr>
          <w:rFonts w:ascii="Palatino Linotype" w:eastAsiaTheme="minorEastAsia" w:hAnsi="Palatino Linotype" w:cs="Arial"/>
          <w:i/>
          <w:color w:val="000000"/>
          <w:sz w:val="22"/>
        </w:rPr>
      </w:pPr>
    </w:p>
    <w:p w14:paraId="6BEF34AD" w14:textId="77777777" w:rsidR="00616297" w:rsidRPr="00C63D99" w:rsidRDefault="00616297" w:rsidP="00616297">
      <w:pPr>
        <w:tabs>
          <w:tab w:val="left" w:pos="284"/>
        </w:tabs>
        <w:spacing w:line="360" w:lineRule="auto"/>
        <w:ind w:left="567" w:right="618"/>
        <w:contextualSpacing/>
        <w:jc w:val="both"/>
        <w:rPr>
          <w:rFonts w:ascii="Palatino Linotype" w:eastAsiaTheme="minorEastAsia" w:hAnsi="Palatino Linotype" w:cs="Arial"/>
          <w:b/>
          <w:i/>
          <w:color w:val="000000"/>
          <w:sz w:val="22"/>
        </w:rPr>
      </w:pPr>
      <w:r w:rsidRPr="00C63D99">
        <w:rPr>
          <w:rFonts w:ascii="Palatino Linotype" w:eastAsiaTheme="minorEastAsia" w:hAnsi="Palatino Linotype" w:cs="Arial"/>
          <w:i/>
          <w:color w:val="000000"/>
          <w:sz w:val="22"/>
        </w:rPr>
        <w:lastRenderedPageBreak/>
        <w:t>“</w:t>
      </w:r>
      <w:r w:rsidRPr="00C63D99">
        <w:rPr>
          <w:rFonts w:ascii="Palatino Linotype" w:eastAsiaTheme="minorEastAsia" w:hAnsi="Palatino Linotype" w:cs="Arial"/>
          <w:b/>
          <w:i/>
          <w:color w:val="000000"/>
          <w:sz w:val="22"/>
        </w:rPr>
        <w:t>Artículo 141.</w:t>
      </w:r>
      <w:r w:rsidRPr="00C63D99">
        <w:rPr>
          <w:rFonts w:ascii="Palatino Linotype" w:eastAsiaTheme="minorEastAsia" w:hAnsi="Palatino Linotype" w:cs="Arial"/>
          <w:i/>
          <w:color w:val="000000"/>
          <w:sz w:val="22"/>
        </w:rPr>
        <w:t xml:space="preserve"> </w:t>
      </w:r>
      <w:r w:rsidRPr="00C63D99">
        <w:rPr>
          <w:rFonts w:ascii="Palatino Linotype" w:eastAsiaTheme="minorEastAsia" w:hAnsi="Palatino Linotype" w:cs="Arial"/>
          <w:b/>
          <w:i/>
          <w:color w:val="000000"/>
          <w:sz w:val="22"/>
        </w:rPr>
        <w:t>Las causales de reserva previstas en este Capítulo se deberán fundar y motivar, a través de la aplicación de la prueba de daño a la que se hace referencia en el presente Título.”</w:t>
      </w:r>
    </w:p>
    <w:p w14:paraId="52C4C55C" w14:textId="77777777" w:rsidR="00616297" w:rsidRPr="00C63D99" w:rsidRDefault="00616297" w:rsidP="00616297">
      <w:pPr>
        <w:tabs>
          <w:tab w:val="left" w:pos="284"/>
        </w:tabs>
        <w:spacing w:line="360" w:lineRule="auto"/>
        <w:ind w:left="567" w:right="618"/>
        <w:contextualSpacing/>
        <w:jc w:val="both"/>
        <w:rPr>
          <w:rFonts w:ascii="Palatino Linotype" w:eastAsiaTheme="minorEastAsia" w:hAnsi="Palatino Linotype" w:cs="Arial"/>
          <w:b/>
          <w:i/>
          <w:color w:val="000000"/>
          <w:sz w:val="22"/>
        </w:rPr>
      </w:pPr>
      <w:r w:rsidRPr="00C63D99">
        <w:rPr>
          <w:rFonts w:ascii="Palatino Linotype" w:eastAsiaTheme="minorEastAsia" w:hAnsi="Palatino Linotype" w:cs="Arial"/>
          <w:i/>
          <w:color w:val="000000"/>
          <w:sz w:val="22"/>
        </w:rPr>
        <w:t xml:space="preserve">(Énfasis añadido) </w:t>
      </w:r>
    </w:p>
    <w:p w14:paraId="61D445A4" w14:textId="77777777" w:rsidR="00616297" w:rsidRPr="00C63D99" w:rsidRDefault="00616297" w:rsidP="00616297">
      <w:pPr>
        <w:tabs>
          <w:tab w:val="left" w:pos="284"/>
        </w:tabs>
        <w:autoSpaceDE w:val="0"/>
        <w:autoSpaceDN w:val="0"/>
        <w:adjustRightInd w:val="0"/>
        <w:spacing w:line="360" w:lineRule="auto"/>
        <w:ind w:right="50"/>
        <w:jc w:val="both"/>
        <w:rPr>
          <w:rFonts w:ascii="Palatino Linotype" w:eastAsiaTheme="minorEastAsia" w:hAnsi="Palatino Linotype" w:cs="Arial"/>
          <w:bCs/>
          <w:color w:val="000000" w:themeColor="text1"/>
          <w:sz w:val="24"/>
          <w:szCs w:val="24"/>
          <w:lang w:val="es-ES_tradnl"/>
        </w:rPr>
      </w:pPr>
    </w:p>
    <w:p w14:paraId="2780A203" w14:textId="77777777" w:rsidR="00616297" w:rsidRPr="00C63D99" w:rsidRDefault="00616297" w:rsidP="00616297">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sz w:val="24"/>
          <w:szCs w:val="24"/>
          <w:lang w:val="es-ES"/>
        </w:rPr>
      </w:pPr>
      <w:r w:rsidRPr="00C63D99">
        <w:rPr>
          <w:rFonts w:ascii="Palatino Linotype" w:eastAsiaTheme="minorEastAsia" w:hAnsi="Palatino Linotype" w:cs="Arial"/>
          <w:sz w:val="24"/>
          <w:szCs w:val="24"/>
          <w:lang w:val="es-ES"/>
        </w:rPr>
        <w:t>De estas disposiciones legales se deduce que la información clasificada como reservada no pierde su categoría de “pública”, sino que existe una restricción en su difusión por causas que pudieran vulnerar al Estado, a sus instituciones o a la colectividad, sin embargo, esta condición no es en automático, dado que el mismo artículo 141 precisa que las causales de reserva deberán fundarse y motivarse y deben de ser acompañadas de la aplicación de la prueba de daño.</w:t>
      </w:r>
    </w:p>
    <w:p w14:paraId="0CD4031E" w14:textId="77777777" w:rsidR="00616297" w:rsidRPr="00C63D99" w:rsidRDefault="00616297" w:rsidP="00616297">
      <w:pPr>
        <w:tabs>
          <w:tab w:val="left" w:pos="284"/>
        </w:tabs>
        <w:spacing w:before="240" w:after="240" w:line="360" w:lineRule="auto"/>
        <w:contextualSpacing/>
        <w:jc w:val="both"/>
        <w:rPr>
          <w:rFonts w:ascii="Palatino Linotype" w:eastAsiaTheme="minorEastAsia" w:hAnsi="Palatino Linotype" w:cs="Arial"/>
          <w:sz w:val="24"/>
          <w:szCs w:val="24"/>
          <w:lang w:val="es-ES"/>
        </w:rPr>
      </w:pPr>
    </w:p>
    <w:p w14:paraId="3C8847F3" w14:textId="77777777" w:rsidR="00616297" w:rsidRPr="00C63D99" w:rsidRDefault="00616297" w:rsidP="00616297">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sz w:val="24"/>
          <w:szCs w:val="24"/>
          <w:lang w:val="es-ES"/>
        </w:rPr>
      </w:pPr>
      <w:r w:rsidRPr="00C63D99">
        <w:rPr>
          <w:rFonts w:ascii="Palatino Linotype" w:eastAsiaTheme="minorEastAsia" w:hAnsi="Palatino Linotype" w:cs="Arial"/>
          <w:sz w:val="24"/>
          <w:szCs w:val="24"/>
          <w:lang w:val="es-ES"/>
        </w:rPr>
        <w:t>Ahora bien, para que la información pública sea puesta a disposición de los particulares se requiere que no se genere daño a los intereses nacionales o estatales, que no se atente contra la seguridad nacional o contra la sociedad y que no se viole el derecho a la vida o a la privacidad de los gobernados. De ahí que es obligación de la autoridad analizar el contenido de cada solicitud para determinar, en caso de no entregar la información, que efectivamente se vulneraría cualquiera de los supuestos consagrados en la ley.</w:t>
      </w:r>
    </w:p>
    <w:p w14:paraId="6A682D53" w14:textId="77777777" w:rsidR="00616297" w:rsidRPr="00C63D99" w:rsidRDefault="00616297" w:rsidP="00616297">
      <w:pPr>
        <w:numPr>
          <w:ilvl w:val="0"/>
          <w:numId w:val="2"/>
        </w:numPr>
        <w:tabs>
          <w:tab w:val="left" w:pos="284"/>
        </w:tabs>
        <w:spacing w:line="360" w:lineRule="auto"/>
        <w:ind w:left="0" w:right="49" w:firstLine="0"/>
        <w:contextualSpacing/>
        <w:jc w:val="both"/>
        <w:rPr>
          <w:rFonts w:ascii="Palatino Linotype" w:hAnsi="Palatino Linotype" w:cs="Arial"/>
          <w:color w:val="000000"/>
          <w:sz w:val="24"/>
          <w:szCs w:val="24"/>
          <w:lang w:val="es-ES_tradnl"/>
        </w:rPr>
      </w:pPr>
      <w:r w:rsidRPr="00C63D99">
        <w:rPr>
          <w:rFonts w:ascii="Palatino Linotype" w:eastAsiaTheme="minorEastAsia" w:hAnsi="Palatino Linotype" w:cs="Arial"/>
          <w:sz w:val="24"/>
          <w:szCs w:val="24"/>
          <w:lang w:val="es-ES"/>
        </w:rPr>
        <w:t xml:space="preserve">En consecuencia, para que se establezca válidamente una limitante al derecho de acceso a la información pública, debe existir un supuesto jurídico que así lo </w:t>
      </w:r>
      <w:r w:rsidRPr="00C63D99">
        <w:rPr>
          <w:rFonts w:ascii="Palatino Linotype" w:eastAsiaTheme="minorEastAsia" w:hAnsi="Palatino Linotype" w:cs="Arial"/>
          <w:sz w:val="24"/>
          <w:szCs w:val="24"/>
          <w:lang w:val="es-ES"/>
        </w:rPr>
        <w:lastRenderedPageBreak/>
        <w:t>disponga, que exista una prueba de daño por medio de una justificación racional basada en el interés general, social o en la protección de los particulares, que el acto de autoridad tenga la debida fundamentación y motivación y que de la ponderación realizada se determine que predomina el interés general por proteger la información que el derecho particular de conocerla.</w:t>
      </w:r>
    </w:p>
    <w:p w14:paraId="399FB6A0" w14:textId="77777777" w:rsidR="00616297" w:rsidRPr="00C63D99" w:rsidRDefault="00616297" w:rsidP="00616297">
      <w:pPr>
        <w:tabs>
          <w:tab w:val="left" w:pos="284"/>
        </w:tabs>
        <w:spacing w:line="360" w:lineRule="auto"/>
        <w:ind w:right="49"/>
        <w:contextualSpacing/>
        <w:jc w:val="both"/>
        <w:rPr>
          <w:rFonts w:ascii="Palatino Linotype" w:hAnsi="Palatino Linotype" w:cs="Arial"/>
          <w:color w:val="000000"/>
          <w:sz w:val="24"/>
          <w:szCs w:val="24"/>
          <w:lang w:val="es-ES_tradnl"/>
        </w:rPr>
      </w:pPr>
    </w:p>
    <w:p w14:paraId="3F2DDA10" w14:textId="77777777" w:rsidR="00616297" w:rsidRPr="00C63D99" w:rsidRDefault="00616297" w:rsidP="00616297">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sz w:val="24"/>
          <w:szCs w:val="24"/>
          <w:lang w:val="es-ES"/>
        </w:rPr>
      </w:pPr>
      <w:r w:rsidRPr="00C63D99">
        <w:rPr>
          <w:rFonts w:ascii="Palatino Linotype" w:eastAsiaTheme="minorEastAsia" w:hAnsi="Palatino Linotype" w:cs="Arial"/>
          <w:sz w:val="24"/>
          <w:szCs w:val="24"/>
          <w:lang w:val="es-ES"/>
        </w:rPr>
        <w:t>En ese mismo sentido, las limitaciones al derecho de acceso a la información tampoco pueden considerarse como una regla absoluta, porque en aquellos supuestos en los cuales su difusión producirá mayores beneficios para la sociedad que los daños que pudieran provocarse con su divulgación, debe quedar superado dicho límite y privilegiar la transparencia y difusión de la información respectiva, en virtud de que se trata de datos o de información de relevancia pública.</w:t>
      </w:r>
    </w:p>
    <w:p w14:paraId="5D136BA8" w14:textId="77777777" w:rsidR="00616297" w:rsidRPr="00C63D99" w:rsidRDefault="00616297" w:rsidP="00616297">
      <w:pPr>
        <w:tabs>
          <w:tab w:val="left" w:pos="284"/>
        </w:tabs>
        <w:spacing w:before="240" w:after="240" w:line="360" w:lineRule="auto"/>
        <w:contextualSpacing/>
        <w:jc w:val="both"/>
        <w:rPr>
          <w:rFonts w:ascii="Palatino Linotype" w:eastAsiaTheme="minorEastAsia" w:hAnsi="Palatino Linotype" w:cs="Arial"/>
          <w:sz w:val="24"/>
          <w:szCs w:val="24"/>
          <w:lang w:val="es-ES"/>
        </w:rPr>
      </w:pPr>
    </w:p>
    <w:p w14:paraId="4D15EFAF" w14:textId="77777777" w:rsidR="00616297" w:rsidRPr="00C63D99" w:rsidRDefault="00616297" w:rsidP="00616297">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sz w:val="24"/>
          <w:szCs w:val="24"/>
          <w:lang w:val="es-ES"/>
        </w:rPr>
      </w:pPr>
      <w:r w:rsidRPr="00C63D99">
        <w:rPr>
          <w:rFonts w:ascii="Palatino Linotype" w:eastAsiaTheme="minorEastAsia" w:hAnsi="Palatino Linotype" w:cs="Arial"/>
          <w:sz w:val="24"/>
          <w:szCs w:val="24"/>
          <w:lang w:val="es-ES"/>
        </w:rPr>
        <w:t xml:space="preserve">No hay que perder de vista que el derecho de acceso se rige por el principio de máxima publicidad, es decir, la información que generan, </w:t>
      </w:r>
      <w:proofErr w:type="gramStart"/>
      <w:r w:rsidRPr="00C63D99">
        <w:rPr>
          <w:rFonts w:ascii="Palatino Linotype" w:eastAsiaTheme="minorEastAsia" w:hAnsi="Palatino Linotype" w:cs="Arial"/>
          <w:sz w:val="24"/>
          <w:szCs w:val="24"/>
          <w:lang w:val="es-ES"/>
        </w:rPr>
        <w:t>administren</w:t>
      </w:r>
      <w:proofErr w:type="gramEnd"/>
      <w:r w:rsidRPr="00C63D99">
        <w:rPr>
          <w:rFonts w:ascii="Palatino Linotype" w:eastAsiaTheme="minorEastAsia" w:hAnsi="Palatino Linotype" w:cs="Arial"/>
          <w:sz w:val="24"/>
          <w:szCs w:val="24"/>
          <w:lang w:val="es-ES"/>
        </w:rPr>
        <w:t xml:space="preserve"> o posean los organismos públicos deben ser puesto a disposición de cualquier persona y para su limitante debe existir un bien jurídico mayor que proteger.</w:t>
      </w:r>
    </w:p>
    <w:p w14:paraId="5D98FCBE" w14:textId="77777777" w:rsidR="00616297" w:rsidRPr="00C63D99" w:rsidRDefault="00616297" w:rsidP="00616297">
      <w:pPr>
        <w:tabs>
          <w:tab w:val="left" w:pos="284"/>
        </w:tabs>
        <w:contextualSpacing/>
        <w:rPr>
          <w:rFonts w:ascii="Palatino Linotype" w:eastAsiaTheme="minorEastAsia" w:hAnsi="Palatino Linotype" w:cs="Arial"/>
          <w:sz w:val="24"/>
          <w:szCs w:val="24"/>
          <w:lang w:val="es-ES"/>
        </w:rPr>
      </w:pPr>
    </w:p>
    <w:p w14:paraId="5124DBA4" w14:textId="77777777" w:rsidR="00616297" w:rsidRPr="00C63D99" w:rsidRDefault="00616297" w:rsidP="00616297">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sz w:val="24"/>
          <w:szCs w:val="24"/>
          <w:lang w:val="es-ES_tradnl"/>
        </w:rPr>
      </w:pPr>
      <w:r w:rsidRPr="00C63D99">
        <w:rPr>
          <w:rFonts w:ascii="Palatino Linotype" w:eastAsiaTheme="minorEastAsia" w:hAnsi="Palatino Linotype" w:cs="Arial"/>
          <w:sz w:val="24"/>
          <w:szCs w:val="24"/>
          <w:lang w:val="es-ES"/>
        </w:rPr>
        <w:t>De</w:t>
      </w:r>
      <w:r w:rsidRPr="00C63D99">
        <w:rPr>
          <w:rFonts w:ascii="Palatino Linotype" w:eastAsiaTheme="minorEastAsia" w:hAnsi="Palatino Linotype" w:cs="Arial"/>
          <w:sz w:val="24"/>
          <w:szCs w:val="24"/>
          <w:lang w:val="es-ES_tradnl"/>
        </w:rPr>
        <w:t xml:space="preserve"> tal manera que el </w:t>
      </w:r>
      <w:r w:rsidRPr="00C63D99">
        <w:rPr>
          <w:rFonts w:ascii="Palatino Linotype" w:eastAsiaTheme="minorEastAsia" w:hAnsi="Palatino Linotype" w:cs="Arial"/>
          <w:b/>
          <w:sz w:val="24"/>
          <w:szCs w:val="24"/>
          <w:lang w:val="es-ES_tradnl"/>
        </w:rPr>
        <w:t>SUJETO OBLIGADO</w:t>
      </w:r>
      <w:r w:rsidRPr="00C63D99">
        <w:rPr>
          <w:rFonts w:ascii="Palatino Linotype" w:eastAsiaTheme="minorEastAsia" w:hAnsi="Palatino Linotype" w:cs="Arial"/>
          <w:sz w:val="24"/>
          <w:szCs w:val="24"/>
          <w:lang w:val="es-ES_tradnl"/>
        </w:rPr>
        <w:t xml:space="preserve"> deberá dar atención a la solicitud de información, lo cual deberá realizar con arreglo al procedimiento establecido en la Ley que ha sido descrito en esta resolución y de manera fundada y motivada.</w:t>
      </w:r>
    </w:p>
    <w:p w14:paraId="0E0AFB85" w14:textId="77777777" w:rsidR="00616297" w:rsidRPr="00C63D99" w:rsidRDefault="00616297" w:rsidP="00616297">
      <w:pPr>
        <w:tabs>
          <w:tab w:val="left" w:pos="284"/>
        </w:tabs>
        <w:spacing w:before="240" w:after="240" w:line="360" w:lineRule="auto"/>
        <w:contextualSpacing/>
        <w:jc w:val="both"/>
        <w:rPr>
          <w:rFonts w:ascii="Palatino Linotype" w:eastAsiaTheme="minorEastAsia" w:hAnsi="Palatino Linotype" w:cs="Arial"/>
          <w:sz w:val="24"/>
          <w:szCs w:val="24"/>
          <w:lang w:val="es-ES_tradnl"/>
        </w:rPr>
      </w:pPr>
    </w:p>
    <w:p w14:paraId="565FE818" w14:textId="77777777" w:rsidR="00616297" w:rsidRPr="00C63D99" w:rsidRDefault="00616297" w:rsidP="00616297">
      <w:pPr>
        <w:numPr>
          <w:ilvl w:val="0"/>
          <w:numId w:val="2"/>
        </w:numPr>
        <w:tabs>
          <w:tab w:val="left" w:pos="284"/>
        </w:tabs>
        <w:spacing w:before="240" w:after="240" w:line="360" w:lineRule="auto"/>
        <w:ind w:left="0" w:firstLine="0"/>
        <w:contextualSpacing/>
        <w:jc w:val="both"/>
        <w:rPr>
          <w:rFonts w:ascii="Palatino Linotype" w:hAnsi="Palatino Linotype" w:cs="Arial"/>
          <w:color w:val="222222"/>
          <w:sz w:val="24"/>
          <w:szCs w:val="24"/>
          <w:lang w:val="es-ES_tradnl" w:eastAsia="es-MX"/>
        </w:rPr>
      </w:pPr>
      <w:r w:rsidRPr="00C63D99">
        <w:rPr>
          <w:rFonts w:ascii="Palatino Linotype" w:hAnsi="Palatino Linotype" w:cs="Arial"/>
          <w:color w:val="222222"/>
          <w:sz w:val="24"/>
          <w:szCs w:val="24"/>
          <w:lang w:val="es-ES_tradnl" w:eastAsia="es-MX"/>
        </w:rPr>
        <w:t>Para precisar los alcances de la fundamentación y motivación a que están sujetos todos los actos de autoridad, es oportuno remitirnos al artículo 16, primer párrafo de la Constitución Política de los Estados Unidos Mexicanos, en el que se impone a las autoridades la obligación de fundar y motivar todo acto que implique una molestia en la esfera de derecho de las personas:</w:t>
      </w:r>
    </w:p>
    <w:p w14:paraId="3857C533" w14:textId="77777777" w:rsidR="00616297" w:rsidRPr="00C63D99" w:rsidRDefault="00616297" w:rsidP="00616297">
      <w:pPr>
        <w:tabs>
          <w:tab w:val="left" w:pos="284"/>
        </w:tabs>
        <w:spacing w:before="240" w:after="240" w:line="360" w:lineRule="auto"/>
        <w:contextualSpacing/>
        <w:jc w:val="both"/>
        <w:rPr>
          <w:rFonts w:ascii="Palatino Linotype" w:hAnsi="Palatino Linotype" w:cs="Arial"/>
          <w:color w:val="222222"/>
          <w:sz w:val="28"/>
          <w:szCs w:val="24"/>
          <w:lang w:val="es-ES_tradnl" w:eastAsia="es-MX"/>
        </w:rPr>
      </w:pPr>
    </w:p>
    <w:p w14:paraId="1A34FF42" w14:textId="77777777" w:rsidR="00616297" w:rsidRPr="00C63D99" w:rsidRDefault="00616297" w:rsidP="00616297">
      <w:pPr>
        <w:tabs>
          <w:tab w:val="left" w:pos="284"/>
        </w:tabs>
        <w:spacing w:line="360" w:lineRule="auto"/>
        <w:ind w:left="567" w:right="617"/>
        <w:contextualSpacing/>
        <w:jc w:val="both"/>
        <w:rPr>
          <w:rFonts w:ascii="Palatino Linotype" w:eastAsiaTheme="minorEastAsia" w:hAnsi="Palatino Linotype" w:cs="Arial"/>
          <w:i/>
          <w:color w:val="000000"/>
          <w:sz w:val="22"/>
          <w:lang w:val="es-ES_tradnl"/>
        </w:rPr>
      </w:pPr>
      <w:r w:rsidRPr="00C63D99">
        <w:rPr>
          <w:rFonts w:ascii="Palatino Linotype" w:eastAsiaTheme="minorEastAsia" w:hAnsi="Palatino Linotype" w:cs="Arial"/>
          <w:b/>
          <w:i/>
          <w:color w:val="000000"/>
          <w:sz w:val="22"/>
          <w:lang w:val="es-ES_tradnl"/>
        </w:rPr>
        <w:t>“Artículo 16.</w:t>
      </w:r>
      <w:r w:rsidRPr="00C63D99">
        <w:rPr>
          <w:rFonts w:ascii="Palatino Linotype" w:eastAsiaTheme="minorEastAsia" w:hAnsi="Palatino Linotype" w:cs="Arial"/>
          <w:i/>
          <w:color w:val="000000"/>
          <w:sz w:val="22"/>
          <w:lang w:val="es-ES_tradnl"/>
        </w:rPr>
        <w:t xml:space="preserve"> Nadie puede ser molestado en su persona, familia, domicilio, papeles o posesiones, </w:t>
      </w:r>
      <w:r w:rsidRPr="00C63D99">
        <w:rPr>
          <w:rFonts w:ascii="Palatino Linotype" w:eastAsiaTheme="minorEastAsia" w:hAnsi="Palatino Linotype" w:cs="Arial"/>
          <w:b/>
          <w:i/>
          <w:color w:val="000000"/>
          <w:sz w:val="22"/>
          <w:lang w:val="es-ES_tradnl"/>
        </w:rPr>
        <w:t>sino en virtud de mandamiento escrito de la autoridad competente, que funde y motive la causa legal del procedimiento</w:t>
      </w:r>
      <w:r w:rsidRPr="00C63D99">
        <w:rPr>
          <w:rFonts w:ascii="Palatino Linotype" w:eastAsiaTheme="minorEastAsia" w:hAnsi="Palatino Linotype" w:cs="Arial"/>
          <w:i/>
          <w:color w:val="000000"/>
          <w:sz w:val="22"/>
          <w:lang w:val="es-ES_tradnl"/>
        </w:rPr>
        <w:t>.”</w:t>
      </w:r>
    </w:p>
    <w:p w14:paraId="7E31569F" w14:textId="77777777" w:rsidR="00616297" w:rsidRPr="00C63D99" w:rsidRDefault="00616297" w:rsidP="00616297">
      <w:pPr>
        <w:tabs>
          <w:tab w:val="left" w:pos="284"/>
        </w:tabs>
        <w:spacing w:line="360" w:lineRule="auto"/>
        <w:ind w:left="567" w:right="617"/>
        <w:contextualSpacing/>
        <w:jc w:val="both"/>
        <w:rPr>
          <w:rFonts w:ascii="Palatino Linotype" w:eastAsiaTheme="minorEastAsia" w:hAnsi="Palatino Linotype" w:cs="Arial"/>
          <w:i/>
          <w:color w:val="000000"/>
          <w:sz w:val="22"/>
          <w:lang w:val="es-ES_tradnl"/>
        </w:rPr>
      </w:pPr>
      <w:r w:rsidRPr="00C63D99">
        <w:rPr>
          <w:rFonts w:ascii="Palatino Linotype" w:eastAsiaTheme="minorEastAsia" w:hAnsi="Palatino Linotype" w:cs="Arial"/>
          <w:i/>
          <w:color w:val="000000"/>
          <w:sz w:val="22"/>
          <w:lang w:val="es-ES_tradnl"/>
        </w:rPr>
        <w:t xml:space="preserve">(Énfasis añadido) </w:t>
      </w:r>
    </w:p>
    <w:p w14:paraId="45D51530" w14:textId="77777777" w:rsidR="00616297" w:rsidRPr="00C63D99" w:rsidRDefault="00616297" w:rsidP="00616297">
      <w:pPr>
        <w:shd w:val="clear" w:color="auto" w:fill="FFFFFF"/>
        <w:tabs>
          <w:tab w:val="left" w:pos="284"/>
        </w:tabs>
        <w:spacing w:line="360" w:lineRule="auto"/>
        <w:contextualSpacing/>
        <w:jc w:val="both"/>
        <w:rPr>
          <w:rFonts w:ascii="Palatino Linotype" w:hAnsi="Palatino Linotype" w:cs="Arial"/>
          <w:color w:val="222222"/>
          <w:sz w:val="24"/>
          <w:szCs w:val="24"/>
          <w:lang w:val="es-ES_tradnl" w:eastAsia="es-MX"/>
        </w:rPr>
      </w:pPr>
    </w:p>
    <w:p w14:paraId="1A9A9CFE" w14:textId="77777777" w:rsidR="00616297" w:rsidRPr="00C63D99" w:rsidRDefault="00616297" w:rsidP="00616297">
      <w:pPr>
        <w:numPr>
          <w:ilvl w:val="0"/>
          <w:numId w:val="2"/>
        </w:numPr>
        <w:tabs>
          <w:tab w:val="left" w:pos="284"/>
        </w:tabs>
        <w:spacing w:before="240" w:after="240" w:line="360" w:lineRule="auto"/>
        <w:ind w:left="0" w:firstLine="0"/>
        <w:contextualSpacing/>
        <w:jc w:val="both"/>
        <w:rPr>
          <w:rFonts w:ascii="Palatino Linotype" w:hAnsi="Palatino Linotype" w:cs="Arial"/>
          <w:color w:val="222222"/>
          <w:sz w:val="24"/>
          <w:szCs w:val="24"/>
          <w:lang w:val="es-ES_tradnl" w:eastAsia="es-MX"/>
        </w:rPr>
      </w:pPr>
      <w:r w:rsidRPr="00C63D99">
        <w:rPr>
          <w:rFonts w:ascii="Palatino Linotype" w:hAnsi="Palatino Linotype" w:cs="Arial"/>
          <w:color w:val="222222"/>
          <w:sz w:val="24"/>
          <w:szCs w:val="24"/>
          <w:lang w:val="es-ES_tradnl" w:eastAsia="es-MX"/>
        </w:rPr>
        <w:t>De este precepto se deduce que, en el régimen jurídico mexicano,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w:t>
      </w:r>
    </w:p>
    <w:p w14:paraId="38858BD9" w14:textId="77777777" w:rsidR="00616297" w:rsidRPr="00C63D99" w:rsidRDefault="00616297" w:rsidP="00616297">
      <w:pPr>
        <w:tabs>
          <w:tab w:val="left" w:pos="284"/>
        </w:tabs>
        <w:spacing w:before="240" w:after="240" w:line="360" w:lineRule="auto"/>
        <w:contextualSpacing/>
        <w:jc w:val="both"/>
        <w:rPr>
          <w:rFonts w:ascii="Palatino Linotype" w:hAnsi="Palatino Linotype" w:cs="Arial"/>
          <w:color w:val="222222"/>
          <w:sz w:val="24"/>
          <w:szCs w:val="24"/>
          <w:lang w:val="es-ES_tradnl" w:eastAsia="es-MX"/>
        </w:rPr>
      </w:pPr>
    </w:p>
    <w:p w14:paraId="7652D9EC" w14:textId="77777777" w:rsidR="00616297" w:rsidRPr="00C63D99" w:rsidRDefault="00616297" w:rsidP="00616297">
      <w:pPr>
        <w:numPr>
          <w:ilvl w:val="0"/>
          <w:numId w:val="2"/>
        </w:numPr>
        <w:tabs>
          <w:tab w:val="left" w:pos="284"/>
        </w:tabs>
        <w:spacing w:before="240" w:after="240" w:line="360" w:lineRule="auto"/>
        <w:ind w:left="0" w:firstLine="0"/>
        <w:contextualSpacing/>
        <w:jc w:val="both"/>
        <w:rPr>
          <w:rFonts w:ascii="Palatino Linotype" w:hAnsi="Palatino Linotype" w:cs="Arial"/>
          <w:color w:val="222222"/>
          <w:sz w:val="24"/>
          <w:szCs w:val="24"/>
          <w:lang w:val="es-ES_tradnl" w:eastAsia="es-MX"/>
        </w:rPr>
      </w:pPr>
      <w:r w:rsidRPr="00C63D99">
        <w:rPr>
          <w:rFonts w:ascii="Palatino Linotype" w:hAnsi="Palatino Linotype" w:cs="Arial"/>
          <w:color w:val="222222"/>
          <w:sz w:val="24"/>
          <w:szCs w:val="24"/>
          <w:lang w:val="es-ES_tradnl" w:eastAsia="es-MX"/>
        </w:rPr>
        <w:lastRenderedPageBreak/>
        <w:t>Entonces, la fundamentación y motivación consiste en la obligación que tiene todo ente público de expresar los preceptos jurídicos aplicables al asunto motivo del acto y las razones o argumentos de su actuar.</w:t>
      </w:r>
    </w:p>
    <w:p w14:paraId="637F279F" w14:textId="77777777" w:rsidR="00616297" w:rsidRPr="00C63D99" w:rsidRDefault="00616297" w:rsidP="00616297">
      <w:pPr>
        <w:tabs>
          <w:tab w:val="left" w:pos="284"/>
        </w:tabs>
        <w:spacing w:before="240" w:after="240" w:line="360" w:lineRule="auto"/>
        <w:contextualSpacing/>
        <w:jc w:val="both"/>
        <w:rPr>
          <w:rFonts w:ascii="Palatino Linotype" w:hAnsi="Palatino Linotype" w:cs="Arial"/>
          <w:color w:val="222222"/>
          <w:sz w:val="24"/>
          <w:szCs w:val="24"/>
          <w:lang w:val="es-ES_tradnl" w:eastAsia="es-MX"/>
        </w:rPr>
      </w:pPr>
    </w:p>
    <w:p w14:paraId="201FE664" w14:textId="77777777" w:rsidR="00616297" w:rsidRPr="00C63D99" w:rsidRDefault="00616297" w:rsidP="00616297">
      <w:pPr>
        <w:numPr>
          <w:ilvl w:val="0"/>
          <w:numId w:val="2"/>
        </w:numPr>
        <w:tabs>
          <w:tab w:val="left" w:pos="284"/>
        </w:tabs>
        <w:spacing w:before="240" w:after="240" w:line="360" w:lineRule="auto"/>
        <w:ind w:left="0" w:firstLine="0"/>
        <w:contextualSpacing/>
        <w:jc w:val="both"/>
        <w:rPr>
          <w:rFonts w:ascii="Palatino Linotype" w:hAnsi="Palatino Linotype" w:cs="Arial"/>
          <w:color w:val="222222"/>
          <w:sz w:val="24"/>
          <w:szCs w:val="24"/>
          <w:lang w:val="es-ES_tradnl" w:eastAsia="es-MX"/>
        </w:rPr>
      </w:pPr>
      <w:r w:rsidRPr="00C63D99">
        <w:rPr>
          <w:rFonts w:ascii="Palatino Linotype" w:hAnsi="Palatino Linotype" w:cs="Arial"/>
          <w:color w:val="222222"/>
          <w:sz w:val="24"/>
          <w:szCs w:val="24"/>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w:t>
      </w:r>
      <w:proofErr w:type="gramStart"/>
      <w:r w:rsidRPr="00C63D99">
        <w:rPr>
          <w:rFonts w:ascii="Palatino Linotype" w:hAnsi="Palatino Linotype" w:cs="Arial"/>
          <w:color w:val="222222"/>
          <w:sz w:val="24"/>
          <w:szCs w:val="24"/>
          <w:lang w:val="es-ES_tradnl" w:eastAsia="es-MX"/>
        </w:rPr>
        <w:t>hecho....</w:t>
      </w:r>
      <w:proofErr w:type="gramEnd"/>
      <w:r w:rsidRPr="00C63D99">
        <w:rPr>
          <w:rFonts w:ascii="Palatino Linotype" w:hAnsi="Palatino Linotype" w:cs="Arial"/>
          <w:color w:val="222222"/>
          <w:sz w:val="24"/>
          <w:szCs w:val="24"/>
          <w:lang w:val="es-ES_tradnl" w:eastAsia="es-MX"/>
        </w:rPr>
        <w:t>”</w:t>
      </w:r>
    </w:p>
    <w:p w14:paraId="02D645D3" w14:textId="77777777" w:rsidR="00616297" w:rsidRPr="00C63D99" w:rsidRDefault="00616297" w:rsidP="00616297">
      <w:pPr>
        <w:tabs>
          <w:tab w:val="left" w:pos="284"/>
        </w:tabs>
        <w:spacing w:before="240" w:after="240" w:line="360" w:lineRule="auto"/>
        <w:contextualSpacing/>
        <w:jc w:val="both"/>
        <w:rPr>
          <w:rFonts w:ascii="Palatino Linotype" w:hAnsi="Palatino Linotype" w:cs="Arial"/>
          <w:color w:val="222222"/>
          <w:sz w:val="24"/>
          <w:szCs w:val="24"/>
          <w:lang w:val="es-ES_tradnl" w:eastAsia="es-MX"/>
        </w:rPr>
      </w:pPr>
    </w:p>
    <w:p w14:paraId="71416BAB" w14:textId="77777777" w:rsidR="00616297" w:rsidRPr="00C63D99" w:rsidRDefault="00616297" w:rsidP="00616297">
      <w:pPr>
        <w:numPr>
          <w:ilvl w:val="0"/>
          <w:numId w:val="2"/>
        </w:numPr>
        <w:tabs>
          <w:tab w:val="left" w:pos="284"/>
        </w:tabs>
        <w:spacing w:before="240" w:after="240" w:line="360" w:lineRule="auto"/>
        <w:ind w:left="0" w:firstLine="0"/>
        <w:contextualSpacing/>
        <w:jc w:val="both"/>
        <w:rPr>
          <w:rFonts w:ascii="Palatino Linotype" w:hAnsi="Palatino Linotype" w:cs="Arial"/>
          <w:color w:val="222222"/>
          <w:sz w:val="24"/>
          <w:szCs w:val="24"/>
          <w:lang w:val="es-ES_tradnl" w:eastAsia="es-MX"/>
        </w:rPr>
      </w:pPr>
      <w:r w:rsidRPr="00C63D99">
        <w:rPr>
          <w:rFonts w:ascii="Palatino Linotype" w:hAnsi="Palatino Linotype" w:cs="Arial"/>
          <w:color w:val="222222"/>
          <w:sz w:val="24"/>
          <w:szCs w:val="24"/>
          <w:lang w:val="es-ES_tradnl" w:eastAsia="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75CC6BEB" w14:textId="77777777" w:rsidR="00616297" w:rsidRPr="00C63D99" w:rsidRDefault="00616297" w:rsidP="00616297">
      <w:pPr>
        <w:tabs>
          <w:tab w:val="left" w:pos="284"/>
        </w:tabs>
        <w:contextualSpacing/>
        <w:rPr>
          <w:rFonts w:ascii="Palatino Linotype" w:hAnsi="Palatino Linotype" w:cs="Arial"/>
          <w:color w:val="222222"/>
          <w:sz w:val="24"/>
          <w:szCs w:val="24"/>
          <w:lang w:val="es-ES_tradnl" w:eastAsia="es-MX"/>
        </w:rPr>
      </w:pPr>
    </w:p>
    <w:p w14:paraId="3E54FD66" w14:textId="77777777" w:rsidR="00616297" w:rsidRPr="00C63D99" w:rsidRDefault="00616297" w:rsidP="00616297">
      <w:pPr>
        <w:numPr>
          <w:ilvl w:val="0"/>
          <w:numId w:val="2"/>
        </w:numPr>
        <w:tabs>
          <w:tab w:val="left" w:pos="284"/>
        </w:tabs>
        <w:spacing w:line="360" w:lineRule="auto"/>
        <w:ind w:left="0" w:right="49" w:firstLine="0"/>
        <w:contextualSpacing/>
        <w:jc w:val="both"/>
        <w:rPr>
          <w:rFonts w:ascii="Palatino Linotype" w:hAnsi="Palatino Linotype" w:cs="Arial"/>
          <w:color w:val="000000"/>
          <w:sz w:val="24"/>
          <w:szCs w:val="24"/>
          <w:lang w:val="es-ES_tradnl"/>
        </w:rPr>
      </w:pPr>
      <w:r w:rsidRPr="00C63D99">
        <w:rPr>
          <w:rFonts w:ascii="Palatino Linotype" w:hAnsi="Palatino Linotype" w:cs="Arial"/>
          <w:color w:val="222222"/>
          <w:sz w:val="24"/>
          <w:szCs w:val="24"/>
          <w:lang w:val="es-ES_tradnl" w:eastAsia="es-MX"/>
        </w:rPr>
        <w:lastRenderedPageBreak/>
        <w:t xml:space="preserve">Es así que a través de la presente resolución, se hace del conocimiento del </w:t>
      </w:r>
      <w:r w:rsidRPr="00C63D99">
        <w:rPr>
          <w:rFonts w:ascii="Palatino Linotype" w:hAnsi="Palatino Linotype" w:cs="Arial"/>
          <w:b/>
          <w:color w:val="222222"/>
          <w:sz w:val="24"/>
          <w:szCs w:val="24"/>
          <w:lang w:val="es-ES_tradnl" w:eastAsia="es-MX"/>
        </w:rPr>
        <w:t>SUJETO OBLIGADO</w:t>
      </w:r>
      <w:r w:rsidRPr="00C63D99">
        <w:rPr>
          <w:rFonts w:ascii="Palatino Linotype" w:hAnsi="Palatino Linotype" w:cs="Arial"/>
          <w:color w:val="222222"/>
          <w:sz w:val="24"/>
          <w:szCs w:val="24"/>
          <w:lang w:val="es-ES_tradnl" w:eastAsia="es-MX"/>
        </w:rPr>
        <w:t xml:space="preserve"> que deberá atender la solicitud de información </w:t>
      </w:r>
      <w:proofErr w:type="gramStart"/>
      <w:r w:rsidRPr="00C63D99">
        <w:rPr>
          <w:rFonts w:ascii="Palatino Linotype" w:hAnsi="Palatino Linotype" w:cs="Arial"/>
          <w:color w:val="222222"/>
          <w:sz w:val="24"/>
          <w:szCs w:val="24"/>
          <w:lang w:val="es-ES_tradnl" w:eastAsia="es-MX"/>
        </w:rPr>
        <w:t>y  resulta</w:t>
      </w:r>
      <w:proofErr w:type="gramEnd"/>
      <w:r w:rsidRPr="00C63D99">
        <w:rPr>
          <w:rFonts w:ascii="Palatino Linotype" w:hAnsi="Palatino Linotype" w:cs="Arial"/>
          <w:color w:val="222222"/>
          <w:sz w:val="24"/>
          <w:szCs w:val="24"/>
          <w:lang w:val="es-ES_tradnl" w:eastAsia="es-MX"/>
        </w:rPr>
        <w:t xml:space="preserve"> procedente ordenar la entrega de la información requerida, ajustándose a lo dispuesto por el artículo 186 fracción IV de la ley de la materia, lo anterior para resarcir la afectación que le fue realizada al derecho de acceso a la información de la persona.</w:t>
      </w:r>
    </w:p>
    <w:p w14:paraId="1292B1E7" w14:textId="18142F19" w:rsidR="00616297" w:rsidRPr="00C63D99" w:rsidRDefault="00616297" w:rsidP="00616297">
      <w:pPr>
        <w:keepNext/>
        <w:keepLines/>
        <w:tabs>
          <w:tab w:val="left" w:pos="284"/>
        </w:tabs>
        <w:spacing w:before="240"/>
        <w:outlineLvl w:val="0"/>
        <w:rPr>
          <w:rFonts w:ascii="Palatino Linotype" w:hAnsi="Palatino Linotype" w:cstheme="majorBidi"/>
          <w:sz w:val="24"/>
          <w:szCs w:val="24"/>
        </w:rPr>
      </w:pPr>
      <w:bookmarkStart w:id="25" w:name="_Toc524344195"/>
      <w:bookmarkStart w:id="26" w:name="_Toc526271200"/>
      <w:bookmarkStart w:id="27" w:name="_Toc536106974"/>
      <w:bookmarkStart w:id="28" w:name="_Toc68793657"/>
      <w:bookmarkStart w:id="29" w:name="_Toc87549680"/>
      <w:r w:rsidRPr="00C63D99">
        <w:rPr>
          <w:rFonts w:ascii="Palatino Linotype" w:hAnsi="Palatino Linotype" w:cstheme="majorBidi"/>
          <w:b/>
          <w:sz w:val="24"/>
          <w:szCs w:val="24"/>
        </w:rPr>
        <w:t>QUINTO. El cumplimiento a esta resolución es susceptible de ser impugnado</w:t>
      </w:r>
      <w:bookmarkEnd w:id="25"/>
      <w:bookmarkEnd w:id="26"/>
      <w:r w:rsidRPr="00C63D99">
        <w:rPr>
          <w:rFonts w:ascii="Palatino Linotype" w:hAnsi="Palatino Linotype" w:cstheme="majorBidi"/>
          <w:b/>
          <w:sz w:val="24"/>
          <w:szCs w:val="24"/>
        </w:rPr>
        <w:t>.</w:t>
      </w:r>
      <w:bookmarkEnd w:id="27"/>
      <w:bookmarkEnd w:id="28"/>
      <w:bookmarkEnd w:id="29"/>
    </w:p>
    <w:p w14:paraId="20BFAA3C" w14:textId="77777777" w:rsidR="00616297" w:rsidRPr="00C63D99" w:rsidRDefault="00616297" w:rsidP="00616297">
      <w:pPr>
        <w:tabs>
          <w:tab w:val="left" w:pos="284"/>
        </w:tabs>
        <w:spacing w:line="360" w:lineRule="auto"/>
        <w:ind w:right="49"/>
        <w:contextualSpacing/>
        <w:jc w:val="both"/>
        <w:rPr>
          <w:rFonts w:ascii="Palatino Linotype" w:hAnsi="Palatino Linotype" w:cs="Arial"/>
          <w:b/>
          <w:color w:val="000000"/>
          <w:sz w:val="24"/>
          <w:szCs w:val="24"/>
          <w:lang w:val="es-ES_tradnl"/>
        </w:rPr>
      </w:pPr>
    </w:p>
    <w:p w14:paraId="73F285ED" w14:textId="77777777" w:rsidR="00616297" w:rsidRPr="00C63D99" w:rsidRDefault="00616297" w:rsidP="00616297">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sz w:val="24"/>
          <w:szCs w:val="24"/>
          <w:lang w:val="es-ES_tradnl"/>
        </w:rPr>
      </w:pPr>
      <w:r w:rsidRPr="00C63D99">
        <w:rPr>
          <w:rFonts w:ascii="Palatino Linotype" w:eastAsiaTheme="minorEastAsia" w:hAnsi="Palatino Linotype" w:cs="Arial"/>
          <w:sz w:val="24"/>
          <w:szCs w:val="24"/>
          <w:lang w:val="es-ES_tradnl"/>
        </w:rPr>
        <w:t>Cabe señalar que, atento a lo dispuesto al artículo 179 de la ley de la materia, el cual contempla de manera puntual las causales en las cuales será procedente el recurso de revisión que se interponga por cualquier persona como un medio de protección para que se le garantice el derecho de acceder a la información pública, este mismo artículo señala en el párrafo final lo siguiente:</w:t>
      </w:r>
    </w:p>
    <w:p w14:paraId="3A08D5E6" w14:textId="77777777" w:rsidR="00616297" w:rsidRPr="00C63D99" w:rsidRDefault="00616297" w:rsidP="00616297">
      <w:pPr>
        <w:tabs>
          <w:tab w:val="left" w:pos="284"/>
        </w:tabs>
        <w:spacing w:before="240" w:after="240" w:line="360" w:lineRule="auto"/>
        <w:contextualSpacing/>
        <w:jc w:val="both"/>
        <w:rPr>
          <w:rFonts w:ascii="Palatino Linotype" w:eastAsiaTheme="minorEastAsia" w:hAnsi="Palatino Linotype" w:cs="Arial"/>
          <w:sz w:val="24"/>
          <w:szCs w:val="24"/>
          <w:lang w:val="es-ES_tradnl"/>
        </w:rPr>
      </w:pPr>
    </w:p>
    <w:p w14:paraId="0002BBB0" w14:textId="77777777" w:rsidR="00616297" w:rsidRPr="00C63D99" w:rsidRDefault="00616297" w:rsidP="00616297">
      <w:pPr>
        <w:tabs>
          <w:tab w:val="left" w:pos="284"/>
        </w:tabs>
        <w:spacing w:before="240" w:after="240" w:line="360" w:lineRule="auto"/>
        <w:ind w:left="567" w:right="567"/>
        <w:contextualSpacing/>
        <w:jc w:val="both"/>
        <w:rPr>
          <w:rFonts w:ascii="Palatino Linotype" w:eastAsiaTheme="minorEastAsia" w:hAnsi="Palatino Linotype" w:cs="Arial"/>
          <w:i/>
          <w:sz w:val="22"/>
          <w:szCs w:val="24"/>
          <w:lang w:val="es-ES_tradnl"/>
        </w:rPr>
      </w:pPr>
      <w:r w:rsidRPr="00C63D99">
        <w:rPr>
          <w:rFonts w:ascii="Palatino Linotype" w:eastAsiaTheme="minorEastAsia" w:hAnsi="Palatino Linotype" w:cs="Arial"/>
          <w:i/>
          <w:sz w:val="22"/>
          <w:szCs w:val="24"/>
          <w:lang w:val="es-ES_tradnl"/>
        </w:rPr>
        <w:t>….</w:t>
      </w:r>
    </w:p>
    <w:p w14:paraId="03E70E55" w14:textId="77777777" w:rsidR="00616297" w:rsidRPr="00C63D99" w:rsidRDefault="00616297" w:rsidP="00616297">
      <w:pPr>
        <w:tabs>
          <w:tab w:val="left" w:pos="284"/>
        </w:tabs>
        <w:spacing w:before="240" w:after="240" w:line="360" w:lineRule="auto"/>
        <w:ind w:left="567" w:right="567"/>
        <w:contextualSpacing/>
        <w:jc w:val="both"/>
        <w:rPr>
          <w:rFonts w:ascii="Palatino Linotype" w:eastAsiaTheme="minorEastAsia" w:hAnsi="Palatino Linotype" w:cs="Arial"/>
          <w:i/>
          <w:sz w:val="22"/>
          <w:szCs w:val="24"/>
          <w:lang w:val="es-ES_tradnl"/>
        </w:rPr>
      </w:pPr>
      <w:r w:rsidRPr="00C63D99">
        <w:rPr>
          <w:rFonts w:ascii="Palatino Linotype" w:eastAsiaTheme="minorEastAsia" w:hAnsi="Palatino Linotype" w:cs="Arial"/>
          <w:b/>
          <w:i/>
          <w:sz w:val="22"/>
          <w:szCs w:val="24"/>
          <w:lang w:val="es-ES_tradnl"/>
        </w:rPr>
        <w:t xml:space="preserve">La respuesta que den los sujetos obligados derivada </w:t>
      </w:r>
      <w:r w:rsidRPr="00C63D99">
        <w:rPr>
          <w:rFonts w:ascii="Palatino Linotype" w:eastAsiaTheme="minorEastAsia" w:hAnsi="Palatino Linotype" w:cs="Arial"/>
          <w:b/>
          <w:i/>
          <w:sz w:val="22"/>
          <w:szCs w:val="24"/>
          <w:u w:val="single"/>
          <w:lang w:val="es-ES_tradnl"/>
        </w:rPr>
        <w:t>de la resolución</w:t>
      </w:r>
      <w:r w:rsidRPr="00C63D99">
        <w:rPr>
          <w:rFonts w:ascii="Palatino Linotype" w:eastAsiaTheme="minorEastAsia" w:hAnsi="Palatino Linotype" w:cs="Arial"/>
          <w:i/>
          <w:sz w:val="22"/>
          <w:szCs w:val="24"/>
          <w:lang w:val="es-ES_tradnl"/>
        </w:rPr>
        <w:t xml:space="preserve"> a un recurso de revisión que proceda por las causales señaladas en las fracciones </w:t>
      </w:r>
      <w:r w:rsidRPr="00C63D99">
        <w:rPr>
          <w:rFonts w:ascii="Palatino Linotype" w:eastAsiaTheme="minorEastAsia" w:hAnsi="Palatino Linotype" w:cs="Arial"/>
          <w:i/>
          <w:sz w:val="22"/>
          <w:szCs w:val="24"/>
          <w:u w:val="single"/>
          <w:lang w:val="es-ES_tradnl"/>
        </w:rPr>
        <w:t xml:space="preserve">IV, VII, IX, X, XI y XII </w:t>
      </w:r>
      <w:r w:rsidRPr="00C63D99">
        <w:rPr>
          <w:rFonts w:ascii="Palatino Linotype" w:eastAsiaTheme="minorEastAsia" w:hAnsi="Palatino Linotype" w:cs="Arial"/>
          <w:i/>
          <w:sz w:val="22"/>
          <w:szCs w:val="24"/>
          <w:lang w:val="es-ES_tradnl"/>
        </w:rPr>
        <w:t xml:space="preserve">es </w:t>
      </w:r>
      <w:r w:rsidRPr="00C63D99">
        <w:rPr>
          <w:rFonts w:ascii="Palatino Linotype" w:eastAsiaTheme="minorEastAsia" w:hAnsi="Palatino Linotype" w:cs="Arial"/>
          <w:i/>
          <w:sz w:val="22"/>
          <w:szCs w:val="24"/>
          <w:u w:val="single"/>
          <w:lang w:val="es-ES_tradnl"/>
        </w:rPr>
        <w:t>susceptible de ser impugnada</w:t>
      </w:r>
      <w:r w:rsidRPr="00C63D99">
        <w:rPr>
          <w:rFonts w:ascii="Palatino Linotype" w:eastAsiaTheme="minorEastAsia" w:hAnsi="Palatino Linotype" w:cs="Arial"/>
          <w:i/>
          <w:sz w:val="22"/>
          <w:szCs w:val="24"/>
          <w:lang w:val="es-ES_tradnl"/>
        </w:rPr>
        <w:t xml:space="preserve"> de nueva cuenta, mediante recurso de revisión, ante el Instituto. </w:t>
      </w:r>
    </w:p>
    <w:p w14:paraId="521D799E" w14:textId="77777777" w:rsidR="00616297" w:rsidRPr="00C63D99" w:rsidRDefault="00616297" w:rsidP="00616297">
      <w:pPr>
        <w:tabs>
          <w:tab w:val="left" w:pos="284"/>
        </w:tabs>
        <w:spacing w:before="240" w:after="240" w:line="360" w:lineRule="auto"/>
        <w:contextualSpacing/>
        <w:jc w:val="both"/>
        <w:rPr>
          <w:rFonts w:ascii="Palatino Linotype" w:eastAsiaTheme="minorEastAsia" w:hAnsi="Palatino Linotype" w:cs="Arial"/>
          <w:sz w:val="24"/>
          <w:szCs w:val="24"/>
          <w:lang w:val="es-ES_tradnl"/>
        </w:rPr>
      </w:pPr>
    </w:p>
    <w:p w14:paraId="4FCF868C" w14:textId="77777777" w:rsidR="00616297" w:rsidRPr="00C63D99" w:rsidRDefault="00616297" w:rsidP="00616297">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sz w:val="24"/>
          <w:szCs w:val="24"/>
          <w:lang w:val="es-ES_tradnl"/>
        </w:rPr>
      </w:pPr>
      <w:r w:rsidRPr="00C63D99">
        <w:rPr>
          <w:rFonts w:ascii="Palatino Linotype" w:eastAsiaTheme="minorEastAsia" w:hAnsi="Palatino Linotype" w:cs="Arial"/>
          <w:sz w:val="24"/>
          <w:szCs w:val="24"/>
          <w:lang w:val="es-ES_tradnl"/>
        </w:rPr>
        <w:t xml:space="preserve"> Es así que en este asunto en el que se está ante la presencia de una falta de </w:t>
      </w:r>
      <w:proofErr w:type="gramStart"/>
      <w:r w:rsidRPr="00C63D99">
        <w:rPr>
          <w:rFonts w:ascii="Palatino Linotype" w:eastAsiaTheme="minorEastAsia" w:hAnsi="Palatino Linotype" w:cs="Arial"/>
          <w:sz w:val="24"/>
          <w:szCs w:val="24"/>
          <w:lang w:val="es-ES_tradnl"/>
        </w:rPr>
        <w:t>respuesta  y</w:t>
      </w:r>
      <w:proofErr w:type="gramEnd"/>
      <w:r w:rsidRPr="00C63D99">
        <w:rPr>
          <w:rFonts w:ascii="Palatino Linotype" w:eastAsiaTheme="minorEastAsia" w:hAnsi="Palatino Linotype" w:cs="Arial"/>
          <w:sz w:val="24"/>
          <w:szCs w:val="24"/>
          <w:lang w:val="es-ES_tradnl"/>
        </w:rPr>
        <w:t xml:space="preserve"> una falta de trámite a  la solicitud de información por parte del </w:t>
      </w:r>
      <w:r w:rsidRPr="00C63D99">
        <w:rPr>
          <w:rFonts w:ascii="Palatino Linotype" w:eastAsiaTheme="minorEastAsia" w:hAnsi="Palatino Linotype" w:cs="Arial"/>
          <w:b/>
          <w:sz w:val="24"/>
          <w:szCs w:val="24"/>
          <w:lang w:val="es-ES_tradnl"/>
        </w:rPr>
        <w:t xml:space="preserve">SUJETO </w:t>
      </w:r>
      <w:r w:rsidRPr="00C63D99">
        <w:rPr>
          <w:rFonts w:ascii="Palatino Linotype" w:eastAsiaTheme="minorEastAsia" w:hAnsi="Palatino Linotype" w:cs="Arial"/>
          <w:b/>
          <w:sz w:val="24"/>
          <w:szCs w:val="24"/>
          <w:lang w:val="es-ES_tradnl"/>
        </w:rPr>
        <w:lastRenderedPageBreak/>
        <w:t>OBLIGADO</w:t>
      </w:r>
      <w:r w:rsidRPr="00C63D99">
        <w:rPr>
          <w:rFonts w:ascii="Palatino Linotype" w:eastAsiaTheme="minorEastAsia" w:hAnsi="Palatino Linotype" w:cs="Arial"/>
          <w:sz w:val="24"/>
          <w:szCs w:val="24"/>
          <w:lang w:val="es-ES_tradnl"/>
        </w:rPr>
        <w:t>, se encuadra en los supuestos que contempla el artículo 179 en sus fracciones VII y XI, mismas que señalan lo siguiente:</w:t>
      </w:r>
    </w:p>
    <w:p w14:paraId="67699C06" w14:textId="77777777" w:rsidR="00616297" w:rsidRPr="00C63D99" w:rsidRDefault="00616297" w:rsidP="00616297">
      <w:pPr>
        <w:tabs>
          <w:tab w:val="left" w:pos="284"/>
        </w:tabs>
        <w:spacing w:before="240" w:after="240" w:line="360" w:lineRule="auto"/>
        <w:contextualSpacing/>
        <w:jc w:val="both"/>
        <w:rPr>
          <w:rFonts w:ascii="Palatino Linotype" w:eastAsiaTheme="minorEastAsia" w:hAnsi="Palatino Linotype" w:cs="Arial"/>
          <w:sz w:val="24"/>
          <w:szCs w:val="24"/>
          <w:lang w:val="es-ES_tradnl"/>
        </w:rPr>
      </w:pPr>
    </w:p>
    <w:p w14:paraId="599372FC" w14:textId="77777777" w:rsidR="00616297" w:rsidRPr="00C63D99" w:rsidRDefault="00616297" w:rsidP="00616297">
      <w:pPr>
        <w:tabs>
          <w:tab w:val="left" w:pos="284"/>
        </w:tabs>
        <w:spacing w:before="240" w:after="240" w:line="360" w:lineRule="auto"/>
        <w:ind w:left="567" w:right="567"/>
        <w:contextualSpacing/>
        <w:jc w:val="both"/>
        <w:rPr>
          <w:rFonts w:ascii="Palatino Linotype" w:eastAsiaTheme="minorEastAsia" w:hAnsi="Palatino Linotype" w:cs="Arial"/>
          <w:i/>
          <w:sz w:val="22"/>
          <w:lang w:val="es-ES_tradnl"/>
        </w:rPr>
      </w:pPr>
      <w:r w:rsidRPr="00C63D99">
        <w:rPr>
          <w:rFonts w:ascii="Palatino Linotype" w:eastAsiaTheme="minorEastAsia" w:hAnsi="Palatino Linotype" w:cs="Arial"/>
          <w:i/>
          <w:sz w:val="22"/>
          <w:lang w:val="es-ES_tradnl"/>
        </w:rPr>
        <w:t>Artículo 179. El recurso de revisión es un medio de protección que la Ley otorga a los particulares, para hacer valer su derecho de acceso a la información pública, y procederá en contra de las siguientes causas:</w:t>
      </w:r>
    </w:p>
    <w:p w14:paraId="08AF2177" w14:textId="77777777" w:rsidR="00616297" w:rsidRPr="00C63D99" w:rsidRDefault="00616297" w:rsidP="00616297">
      <w:pPr>
        <w:tabs>
          <w:tab w:val="left" w:pos="284"/>
        </w:tabs>
        <w:spacing w:before="240" w:after="240" w:line="360" w:lineRule="auto"/>
        <w:ind w:left="567" w:right="567"/>
        <w:contextualSpacing/>
        <w:jc w:val="both"/>
        <w:rPr>
          <w:rFonts w:ascii="Palatino Linotype" w:eastAsiaTheme="minorEastAsia" w:hAnsi="Palatino Linotype" w:cs="Arial"/>
          <w:i/>
          <w:sz w:val="22"/>
          <w:lang w:val="es-ES_tradnl"/>
        </w:rPr>
      </w:pPr>
      <w:r w:rsidRPr="00C63D99">
        <w:rPr>
          <w:rFonts w:ascii="Palatino Linotype" w:eastAsiaTheme="minorEastAsia" w:hAnsi="Palatino Linotype" w:cs="Arial"/>
          <w:i/>
          <w:sz w:val="22"/>
          <w:lang w:val="es-ES_tradnl"/>
        </w:rPr>
        <w:t>….</w:t>
      </w:r>
    </w:p>
    <w:p w14:paraId="41A385A2" w14:textId="77777777" w:rsidR="00616297" w:rsidRPr="00C63D99" w:rsidRDefault="00616297" w:rsidP="00616297">
      <w:pPr>
        <w:tabs>
          <w:tab w:val="left" w:pos="284"/>
        </w:tabs>
        <w:spacing w:before="240" w:after="240" w:line="360" w:lineRule="auto"/>
        <w:ind w:left="567" w:right="567"/>
        <w:contextualSpacing/>
        <w:jc w:val="both"/>
        <w:rPr>
          <w:rFonts w:ascii="Palatino Linotype" w:eastAsiaTheme="minorEastAsia" w:hAnsi="Palatino Linotype" w:cs="Arial"/>
          <w:b/>
          <w:i/>
          <w:sz w:val="22"/>
          <w:lang w:val="es-ES_tradnl"/>
        </w:rPr>
      </w:pPr>
      <w:r w:rsidRPr="00C63D99">
        <w:rPr>
          <w:rFonts w:ascii="Palatino Linotype" w:eastAsiaTheme="minorEastAsia" w:hAnsi="Palatino Linotype" w:cs="Arial"/>
          <w:b/>
          <w:i/>
          <w:sz w:val="22"/>
          <w:lang w:val="es-ES_tradnl"/>
        </w:rPr>
        <w:t>VII. La falta de respuesta a una solicitud de acceso a la información;</w:t>
      </w:r>
    </w:p>
    <w:p w14:paraId="394A628E" w14:textId="77777777" w:rsidR="00616297" w:rsidRPr="00C63D99" w:rsidRDefault="00616297" w:rsidP="00616297">
      <w:pPr>
        <w:tabs>
          <w:tab w:val="left" w:pos="284"/>
        </w:tabs>
        <w:spacing w:before="240" w:after="240" w:line="360" w:lineRule="auto"/>
        <w:ind w:left="567" w:right="567"/>
        <w:contextualSpacing/>
        <w:jc w:val="both"/>
        <w:rPr>
          <w:rFonts w:ascii="Palatino Linotype" w:eastAsiaTheme="minorEastAsia" w:hAnsi="Palatino Linotype" w:cs="Arial"/>
          <w:i/>
          <w:sz w:val="22"/>
          <w:lang w:val="es-ES_tradnl"/>
        </w:rPr>
      </w:pPr>
      <w:r w:rsidRPr="00C63D99">
        <w:rPr>
          <w:rFonts w:ascii="Palatino Linotype" w:eastAsiaTheme="minorEastAsia" w:hAnsi="Palatino Linotype" w:cs="Arial"/>
          <w:i/>
          <w:sz w:val="22"/>
          <w:lang w:val="es-ES_tradnl"/>
        </w:rPr>
        <w:t>…</w:t>
      </w:r>
    </w:p>
    <w:p w14:paraId="75B3BF18" w14:textId="77777777" w:rsidR="00616297" w:rsidRPr="00C63D99" w:rsidRDefault="00616297" w:rsidP="00616297">
      <w:pPr>
        <w:tabs>
          <w:tab w:val="left" w:pos="284"/>
        </w:tabs>
        <w:spacing w:before="240" w:after="240" w:line="360" w:lineRule="auto"/>
        <w:ind w:left="567" w:right="567"/>
        <w:contextualSpacing/>
        <w:jc w:val="both"/>
        <w:rPr>
          <w:rFonts w:ascii="Palatino Linotype" w:eastAsiaTheme="minorEastAsia" w:hAnsi="Palatino Linotype" w:cs="Arial"/>
          <w:b/>
          <w:i/>
          <w:sz w:val="22"/>
          <w:lang w:val="es-ES_tradnl"/>
        </w:rPr>
      </w:pPr>
      <w:r w:rsidRPr="00C63D99">
        <w:rPr>
          <w:rFonts w:ascii="Palatino Linotype" w:eastAsiaTheme="minorEastAsia" w:hAnsi="Palatino Linotype" w:cs="Arial"/>
          <w:b/>
          <w:i/>
          <w:sz w:val="22"/>
          <w:lang w:val="es-ES_tradnl"/>
        </w:rPr>
        <w:t>XI. La falta de trámite a una solicitud;</w:t>
      </w:r>
    </w:p>
    <w:p w14:paraId="0BB6EFF0" w14:textId="77777777" w:rsidR="00616297" w:rsidRPr="00C63D99" w:rsidRDefault="00616297" w:rsidP="00616297">
      <w:pPr>
        <w:tabs>
          <w:tab w:val="left" w:pos="284"/>
        </w:tabs>
        <w:spacing w:before="240" w:after="240" w:line="360" w:lineRule="auto"/>
        <w:ind w:left="567" w:right="567"/>
        <w:contextualSpacing/>
        <w:jc w:val="both"/>
        <w:rPr>
          <w:rFonts w:ascii="Palatino Linotype" w:eastAsiaTheme="minorEastAsia" w:hAnsi="Palatino Linotype" w:cs="Arial"/>
          <w:i/>
          <w:sz w:val="22"/>
          <w:lang w:val="es-ES_tradnl"/>
        </w:rPr>
      </w:pPr>
      <w:r w:rsidRPr="00C63D99">
        <w:rPr>
          <w:rFonts w:ascii="Palatino Linotype" w:eastAsiaTheme="minorEastAsia" w:hAnsi="Palatino Linotype" w:cs="Arial"/>
          <w:i/>
          <w:sz w:val="22"/>
          <w:lang w:val="es-ES_tradnl"/>
        </w:rPr>
        <w:t>…</w:t>
      </w:r>
    </w:p>
    <w:p w14:paraId="041F732D" w14:textId="77777777" w:rsidR="00616297" w:rsidRPr="00C63D99" w:rsidRDefault="00616297" w:rsidP="00616297">
      <w:pPr>
        <w:tabs>
          <w:tab w:val="left" w:pos="284"/>
        </w:tabs>
        <w:spacing w:before="240" w:after="240" w:line="360" w:lineRule="auto"/>
        <w:contextualSpacing/>
        <w:jc w:val="both"/>
        <w:rPr>
          <w:rFonts w:ascii="Palatino Linotype" w:eastAsiaTheme="minorEastAsia" w:hAnsi="Palatino Linotype" w:cs="Arial"/>
          <w:sz w:val="24"/>
          <w:szCs w:val="24"/>
          <w:lang w:val="es-ES_tradnl"/>
        </w:rPr>
      </w:pPr>
    </w:p>
    <w:p w14:paraId="45924689" w14:textId="77777777" w:rsidR="00616297" w:rsidRPr="00C63D99" w:rsidRDefault="00616297" w:rsidP="00616297">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sz w:val="24"/>
          <w:szCs w:val="24"/>
          <w:lang w:val="es-ES_tradnl"/>
        </w:rPr>
      </w:pPr>
      <w:r w:rsidRPr="00C63D99">
        <w:rPr>
          <w:rFonts w:ascii="Palatino Linotype" w:eastAsiaTheme="minorEastAsia" w:hAnsi="Palatino Linotype" w:cs="Arial"/>
          <w:sz w:val="24"/>
          <w:szCs w:val="24"/>
          <w:lang w:val="es-ES_tradnl"/>
        </w:rPr>
        <w:t xml:space="preserve">En ese tenor, en el asunto particular derivado de la negativa por parte del sujeto obligado a dar trámite a la solicitud por parte del Titular de la Unidad de Transparencia y posteriormente requerir la información a las distintas áreas para que estas a su vez, a través del servidor público habilitado realice las gestiones correspondientes para localizar la información y esta puede dar proporcionada en respuesta para dar atención a la solicitud, por  lo que se configura de manera clara las fracciones señaladas con anterioridad y este Órgano Garante procede a ordenar a través de la presente resolución, dar atención a la solicitud de información y además </w:t>
      </w:r>
      <w:r w:rsidRPr="00C63D99">
        <w:rPr>
          <w:rFonts w:ascii="Palatino Linotype" w:eastAsiaTheme="minorEastAsia" w:hAnsi="Palatino Linotype" w:cs="Arial"/>
          <w:sz w:val="24"/>
          <w:szCs w:val="24"/>
          <w:lang w:val="es-ES_tradnl"/>
        </w:rPr>
        <w:lastRenderedPageBreak/>
        <w:t>de ello entregar la información correspondiente, con las formalidades en tiempo y forma que dispone la normatividad aplicable.</w:t>
      </w:r>
    </w:p>
    <w:p w14:paraId="17A8D0A9" w14:textId="77777777" w:rsidR="00616297" w:rsidRPr="00C63D99" w:rsidRDefault="00616297" w:rsidP="00616297">
      <w:pPr>
        <w:tabs>
          <w:tab w:val="left" w:pos="284"/>
        </w:tabs>
        <w:spacing w:before="240" w:after="240" w:line="360" w:lineRule="auto"/>
        <w:contextualSpacing/>
        <w:jc w:val="both"/>
        <w:rPr>
          <w:rFonts w:ascii="Palatino Linotype" w:eastAsiaTheme="minorEastAsia" w:hAnsi="Palatino Linotype" w:cs="Arial"/>
          <w:sz w:val="24"/>
          <w:szCs w:val="24"/>
          <w:lang w:val="es-ES_tradnl"/>
        </w:rPr>
      </w:pPr>
    </w:p>
    <w:p w14:paraId="4259A389" w14:textId="77777777" w:rsidR="00616297" w:rsidRPr="00C63D99" w:rsidRDefault="00616297" w:rsidP="00616297">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sz w:val="24"/>
          <w:szCs w:val="24"/>
          <w:lang w:val="es-ES_tradnl"/>
        </w:rPr>
      </w:pPr>
      <w:r w:rsidRPr="00C63D99">
        <w:rPr>
          <w:rFonts w:ascii="Palatino Linotype" w:eastAsiaTheme="minorEastAsia" w:hAnsi="Palatino Linotype" w:cs="Arial"/>
          <w:sz w:val="24"/>
          <w:szCs w:val="24"/>
          <w:lang w:val="es-ES_tradnl"/>
        </w:rPr>
        <w:t xml:space="preserve">El último párrafo del artículo 179 de la ley de la materia, se configura entonces en aquellos casos en donde los </w:t>
      </w:r>
      <w:r w:rsidRPr="00C63D99">
        <w:rPr>
          <w:rFonts w:ascii="Palatino Linotype" w:eastAsiaTheme="minorEastAsia" w:hAnsi="Palatino Linotype" w:cs="Arial"/>
          <w:b/>
          <w:sz w:val="24"/>
          <w:szCs w:val="24"/>
          <w:u w:val="single"/>
          <w:lang w:val="es-ES_tradnl"/>
        </w:rPr>
        <w:t xml:space="preserve">sujetos obligados emiten respuesta derivada de una resolución a un recurso de revisión que proceda por la causal prevista en las fracciones VII </w:t>
      </w:r>
      <w:proofErr w:type="gramStart"/>
      <w:r w:rsidRPr="00C63D99">
        <w:rPr>
          <w:rFonts w:ascii="Palatino Linotype" w:eastAsiaTheme="minorEastAsia" w:hAnsi="Palatino Linotype" w:cs="Arial"/>
          <w:b/>
          <w:sz w:val="24"/>
          <w:szCs w:val="24"/>
          <w:u w:val="single"/>
          <w:lang w:val="es-ES_tradnl"/>
        </w:rPr>
        <w:t>y  XI</w:t>
      </w:r>
      <w:proofErr w:type="gramEnd"/>
      <w:r w:rsidRPr="00C63D99">
        <w:rPr>
          <w:rFonts w:ascii="Palatino Linotype" w:eastAsiaTheme="minorEastAsia" w:hAnsi="Palatino Linotype" w:cs="Arial"/>
          <w:b/>
          <w:sz w:val="24"/>
          <w:szCs w:val="24"/>
          <w:u w:val="single"/>
          <w:lang w:val="es-ES_tradnl"/>
        </w:rPr>
        <w:t xml:space="preserve"> de la Ley en cita como es este el caso</w:t>
      </w:r>
      <w:r w:rsidRPr="00C63D99">
        <w:rPr>
          <w:rFonts w:ascii="Palatino Linotype" w:eastAsiaTheme="minorEastAsia" w:hAnsi="Palatino Linotype" w:cs="Arial"/>
          <w:sz w:val="24"/>
          <w:szCs w:val="24"/>
          <w:lang w:val="es-ES_tradnl"/>
        </w:rPr>
        <w:t xml:space="preserve">, dicha respuesta es susceptible de ser impugnada de nueva cuenta, mediante recurso de revisión ante el Instituto. Esto es, que el acto que genere el </w:t>
      </w:r>
      <w:r w:rsidRPr="00C63D99">
        <w:rPr>
          <w:rFonts w:ascii="Palatino Linotype" w:eastAsiaTheme="minorEastAsia" w:hAnsi="Palatino Linotype" w:cs="Arial"/>
          <w:b/>
          <w:sz w:val="24"/>
          <w:szCs w:val="24"/>
          <w:lang w:val="es-ES_tradnl"/>
        </w:rPr>
        <w:t>SUJETO OBLIGADO</w:t>
      </w:r>
      <w:r w:rsidRPr="00C63D99">
        <w:rPr>
          <w:rFonts w:ascii="Palatino Linotype" w:eastAsiaTheme="minorEastAsia" w:hAnsi="Palatino Linotype" w:cs="Arial"/>
          <w:sz w:val="24"/>
          <w:szCs w:val="24"/>
          <w:lang w:val="es-ES_tradnl"/>
        </w:rPr>
        <w:t xml:space="preserve"> en cumplimiento a esta resolución, dicho en otras palabras, la respuesta que genere al dar atención a la solicitud de información con arreglo a los principios establecidos por la Ley de la materia en los términos planteados en esta resolución, no es definitivo puesto que en caso de que la información que entregue  no sea satisfactoria del derecho de acceso a la información pública, </w:t>
      </w:r>
      <w:r w:rsidRPr="00C63D99">
        <w:rPr>
          <w:rFonts w:ascii="Palatino Linotype" w:eastAsiaTheme="minorEastAsia" w:hAnsi="Palatino Linotype" w:cs="Arial"/>
          <w:b/>
          <w:sz w:val="24"/>
          <w:szCs w:val="24"/>
          <w:lang w:val="es-ES_tradnl"/>
        </w:rPr>
        <w:t>queda al alcance de la persona la interposición de un nuevo recurso de revisión</w:t>
      </w:r>
      <w:r w:rsidRPr="00C63D99">
        <w:rPr>
          <w:rFonts w:ascii="Palatino Linotype" w:eastAsiaTheme="minorEastAsia" w:hAnsi="Palatino Linotype" w:cs="Arial"/>
          <w:sz w:val="24"/>
          <w:szCs w:val="24"/>
          <w:lang w:val="es-ES_tradnl"/>
        </w:rPr>
        <w:t xml:space="preserve"> que independiente del que se resuelve en este instrumento, versará sobre la revisión de la respuesta que le sea entregada. Lo cual proporciona al particular una herramienta para defender su Derecho de Acceso a la Información ante un posible cumplimiento defectuoso de la presente.</w:t>
      </w:r>
    </w:p>
    <w:p w14:paraId="03E384D5" w14:textId="77777777" w:rsidR="00616297" w:rsidRPr="00C63D99" w:rsidRDefault="00616297" w:rsidP="00616297">
      <w:pPr>
        <w:tabs>
          <w:tab w:val="left" w:pos="284"/>
        </w:tabs>
        <w:spacing w:before="240" w:after="240" w:line="360" w:lineRule="auto"/>
        <w:contextualSpacing/>
        <w:jc w:val="both"/>
        <w:rPr>
          <w:rFonts w:ascii="Palatino Linotype" w:eastAsiaTheme="minorEastAsia" w:hAnsi="Palatino Linotype" w:cs="Arial"/>
          <w:sz w:val="24"/>
          <w:szCs w:val="24"/>
          <w:lang w:val="es-ES_tradnl"/>
        </w:rPr>
      </w:pPr>
    </w:p>
    <w:p w14:paraId="4A6B8C7C" w14:textId="1EEF4511" w:rsidR="00616297" w:rsidRPr="00C63D99" w:rsidRDefault="00616297" w:rsidP="00616297">
      <w:pPr>
        <w:keepNext/>
        <w:keepLines/>
        <w:tabs>
          <w:tab w:val="left" w:pos="284"/>
        </w:tabs>
        <w:spacing w:before="240"/>
        <w:outlineLvl w:val="0"/>
        <w:rPr>
          <w:rFonts w:ascii="Palatino Linotype" w:eastAsia="MS Gothic" w:hAnsi="Palatino Linotype" w:cstheme="majorBidi"/>
          <w:b/>
          <w:sz w:val="24"/>
          <w:szCs w:val="24"/>
        </w:rPr>
      </w:pPr>
      <w:bookmarkStart w:id="30" w:name="_Toc487739452"/>
      <w:bookmarkStart w:id="31" w:name="_Toc524344196"/>
      <w:bookmarkStart w:id="32" w:name="_Toc526271201"/>
      <w:bookmarkStart w:id="33" w:name="_Toc536106975"/>
      <w:bookmarkStart w:id="34" w:name="_Toc68793658"/>
      <w:bookmarkStart w:id="35" w:name="_Toc87549681"/>
      <w:r w:rsidRPr="00C63D99">
        <w:rPr>
          <w:rFonts w:ascii="Palatino Linotype" w:eastAsia="MS Gothic" w:hAnsi="Palatino Linotype" w:cstheme="majorBidi"/>
          <w:b/>
          <w:sz w:val="24"/>
          <w:szCs w:val="24"/>
        </w:rPr>
        <w:t>SEXTO. Vista a los órganos de control interno</w:t>
      </w:r>
      <w:bookmarkEnd w:id="30"/>
      <w:r w:rsidRPr="00C63D99">
        <w:rPr>
          <w:rFonts w:ascii="Palatino Linotype" w:eastAsia="MS Gothic" w:hAnsi="Palatino Linotype" w:cstheme="majorBidi"/>
          <w:b/>
          <w:sz w:val="24"/>
          <w:szCs w:val="24"/>
        </w:rPr>
        <w:t>.</w:t>
      </w:r>
      <w:bookmarkEnd w:id="31"/>
      <w:bookmarkEnd w:id="32"/>
      <w:bookmarkEnd w:id="33"/>
      <w:bookmarkEnd w:id="34"/>
      <w:bookmarkEnd w:id="35"/>
    </w:p>
    <w:p w14:paraId="1AF9583A" w14:textId="77777777" w:rsidR="00616297" w:rsidRPr="00C63D99" w:rsidRDefault="00616297" w:rsidP="00616297">
      <w:pPr>
        <w:tabs>
          <w:tab w:val="left" w:pos="284"/>
        </w:tabs>
        <w:rPr>
          <w:rFonts w:eastAsiaTheme="minorEastAsia"/>
          <w:sz w:val="24"/>
          <w:szCs w:val="24"/>
        </w:rPr>
      </w:pPr>
    </w:p>
    <w:p w14:paraId="6ABA611D" w14:textId="77777777" w:rsidR="00616297" w:rsidRPr="00C63D99" w:rsidRDefault="00616297" w:rsidP="00616297">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sz w:val="24"/>
          <w:szCs w:val="24"/>
          <w:lang w:val="es-ES_tradnl"/>
        </w:rPr>
      </w:pPr>
      <w:r w:rsidRPr="00C63D99">
        <w:rPr>
          <w:rFonts w:ascii="Palatino Linotype" w:eastAsiaTheme="minorEastAsia" w:hAnsi="Palatino Linotype" w:cs="Arial"/>
          <w:sz w:val="24"/>
          <w:szCs w:val="24"/>
          <w:lang w:val="es-ES_tradnl"/>
        </w:rPr>
        <w:lastRenderedPageBreak/>
        <w:t>La Ley de Transparencia y Acceso a la Información Pública del Estado de México y Municipios en los artículos 222 fracción I y II, 162 y 59 fracción I y II establecen los siguiente:</w:t>
      </w:r>
    </w:p>
    <w:p w14:paraId="7FA67F13" w14:textId="77777777" w:rsidR="00DD7DC3" w:rsidRPr="00C63D99" w:rsidRDefault="00DD7DC3" w:rsidP="00DD7DC3">
      <w:pPr>
        <w:tabs>
          <w:tab w:val="left" w:pos="284"/>
        </w:tabs>
        <w:spacing w:before="240" w:after="240" w:line="360" w:lineRule="auto"/>
        <w:contextualSpacing/>
        <w:jc w:val="both"/>
        <w:rPr>
          <w:rFonts w:ascii="Palatino Linotype" w:eastAsiaTheme="minorEastAsia" w:hAnsi="Palatino Linotype" w:cs="Arial"/>
          <w:sz w:val="24"/>
          <w:szCs w:val="24"/>
          <w:lang w:val="es-ES_tradnl"/>
        </w:rPr>
      </w:pPr>
    </w:p>
    <w:p w14:paraId="47B5CE20" w14:textId="77777777" w:rsidR="00616297" w:rsidRPr="00C63D99" w:rsidRDefault="00616297" w:rsidP="00616297">
      <w:pPr>
        <w:tabs>
          <w:tab w:val="left" w:pos="284"/>
        </w:tabs>
        <w:spacing w:before="240" w:after="240" w:line="360" w:lineRule="auto"/>
        <w:ind w:left="567" w:right="567"/>
        <w:contextualSpacing/>
        <w:jc w:val="both"/>
        <w:rPr>
          <w:rFonts w:ascii="Palatino Linotype" w:hAnsi="Palatino Linotype"/>
          <w:i/>
          <w:iCs/>
          <w:sz w:val="22"/>
        </w:rPr>
      </w:pPr>
      <w:r w:rsidRPr="00C63D99">
        <w:rPr>
          <w:rFonts w:ascii="Palatino Linotype" w:hAnsi="Palatino Linotype"/>
          <w:i/>
          <w:iCs/>
          <w:sz w:val="22"/>
        </w:rPr>
        <w:t>Artículo 222. Son causas de responsabilidad administrativa de los servidores públicos de los sujetos obligados, por incumplimiento de las obligaciones establecidas en la materia de la presente Ley, las siguientes:</w:t>
      </w:r>
    </w:p>
    <w:p w14:paraId="24B186B5" w14:textId="77777777" w:rsidR="00616297" w:rsidRPr="00C63D99" w:rsidRDefault="00616297" w:rsidP="00616297">
      <w:pPr>
        <w:tabs>
          <w:tab w:val="left" w:pos="284"/>
        </w:tabs>
        <w:spacing w:before="240" w:after="240" w:line="360" w:lineRule="auto"/>
        <w:ind w:left="567" w:right="567"/>
        <w:contextualSpacing/>
        <w:jc w:val="both"/>
        <w:rPr>
          <w:rFonts w:ascii="Palatino Linotype" w:hAnsi="Palatino Linotype"/>
          <w:i/>
          <w:iCs/>
          <w:sz w:val="22"/>
        </w:rPr>
      </w:pPr>
      <w:r w:rsidRPr="00C63D99">
        <w:rPr>
          <w:rFonts w:ascii="Palatino Linotype" w:hAnsi="Palatino Linotype"/>
          <w:i/>
          <w:iCs/>
          <w:sz w:val="22"/>
        </w:rPr>
        <w:t xml:space="preserve">I. Cualquier acto u omisión que provoque la suspensión o deficiencia en la atención de las solicitudes de información; </w:t>
      </w:r>
    </w:p>
    <w:p w14:paraId="49898281" w14:textId="77777777" w:rsidR="00616297" w:rsidRPr="00C63D99" w:rsidRDefault="00616297" w:rsidP="00616297">
      <w:pPr>
        <w:tabs>
          <w:tab w:val="left" w:pos="284"/>
        </w:tabs>
        <w:spacing w:before="240" w:after="240" w:line="360" w:lineRule="auto"/>
        <w:ind w:left="567" w:right="567"/>
        <w:contextualSpacing/>
        <w:jc w:val="both"/>
        <w:rPr>
          <w:rFonts w:ascii="Palatino Linotype" w:hAnsi="Palatino Linotype"/>
          <w:i/>
          <w:iCs/>
          <w:sz w:val="22"/>
        </w:rPr>
      </w:pPr>
      <w:r w:rsidRPr="00C63D99">
        <w:rPr>
          <w:rFonts w:ascii="Palatino Linotype" w:hAnsi="Palatino Linotype"/>
          <w:i/>
          <w:iCs/>
          <w:sz w:val="22"/>
        </w:rPr>
        <w:t>II. La falta de respuesta a las solicitudes de información en los plazos señalados en la normatividad aplicable;</w:t>
      </w:r>
    </w:p>
    <w:p w14:paraId="3B6063E8" w14:textId="77777777" w:rsidR="00616297" w:rsidRPr="00C63D99" w:rsidRDefault="00616297" w:rsidP="00616297">
      <w:pPr>
        <w:tabs>
          <w:tab w:val="left" w:pos="284"/>
        </w:tabs>
        <w:spacing w:before="240" w:after="240" w:line="360" w:lineRule="auto"/>
        <w:ind w:left="567" w:right="567"/>
        <w:contextualSpacing/>
        <w:jc w:val="both"/>
        <w:rPr>
          <w:rFonts w:ascii="Palatino Linotype" w:hAnsi="Palatino Linotype"/>
          <w:i/>
          <w:iCs/>
          <w:sz w:val="22"/>
        </w:rPr>
      </w:pPr>
      <w:r w:rsidRPr="00C63D99">
        <w:rPr>
          <w:rFonts w:ascii="Palatino Linotype" w:hAnsi="Palatino Linotype"/>
          <w:i/>
          <w:iCs/>
          <w:sz w:val="22"/>
        </w:rPr>
        <w:t>III. a XXI. …</w:t>
      </w:r>
    </w:p>
    <w:p w14:paraId="7BE59B56" w14:textId="77777777" w:rsidR="00616297" w:rsidRPr="00C63D99" w:rsidRDefault="00616297" w:rsidP="00616297">
      <w:pPr>
        <w:tabs>
          <w:tab w:val="left" w:pos="284"/>
        </w:tabs>
        <w:spacing w:before="240" w:after="240" w:line="360" w:lineRule="auto"/>
        <w:ind w:left="567" w:right="567"/>
        <w:contextualSpacing/>
        <w:jc w:val="both"/>
        <w:rPr>
          <w:rFonts w:ascii="Palatino Linotype" w:eastAsiaTheme="minorEastAsia" w:hAnsi="Palatino Linotype" w:cs="Arial"/>
          <w:i/>
          <w:iCs/>
          <w:sz w:val="28"/>
          <w:szCs w:val="24"/>
          <w:lang w:val="es-ES_tradnl"/>
        </w:rPr>
      </w:pPr>
    </w:p>
    <w:p w14:paraId="32852D33" w14:textId="77777777" w:rsidR="00616297" w:rsidRPr="00C63D99" w:rsidRDefault="00616297" w:rsidP="00616297">
      <w:pPr>
        <w:tabs>
          <w:tab w:val="left" w:pos="284"/>
        </w:tabs>
        <w:spacing w:before="240" w:after="240" w:line="360" w:lineRule="auto"/>
        <w:ind w:left="567" w:right="567"/>
        <w:contextualSpacing/>
        <w:jc w:val="both"/>
        <w:rPr>
          <w:rFonts w:ascii="Palatino Linotype" w:hAnsi="Palatino Linotype"/>
          <w:i/>
          <w:iCs/>
          <w:sz w:val="22"/>
        </w:rPr>
      </w:pPr>
      <w:r w:rsidRPr="00C63D99">
        <w:rPr>
          <w:rFonts w:ascii="Palatino Linotype" w:hAnsi="Palatino Linotype"/>
          <w:i/>
          <w:iCs/>
          <w:sz w:val="22"/>
        </w:rPr>
        <w:t xml:space="preserve">Artículo 162. Las unidades de transparencia deberán garantizar que las solicitudes se turnen a todas las Áreas competentes que cuenten con la información o deban tenerla </w:t>
      </w:r>
      <w:proofErr w:type="gramStart"/>
      <w:r w:rsidRPr="00C63D99">
        <w:rPr>
          <w:rFonts w:ascii="Palatino Linotype" w:hAnsi="Palatino Linotype"/>
          <w:i/>
          <w:iCs/>
          <w:sz w:val="22"/>
        </w:rPr>
        <w:t>de acuerdo a</w:t>
      </w:r>
      <w:proofErr w:type="gramEnd"/>
      <w:r w:rsidRPr="00C63D99">
        <w:rPr>
          <w:rFonts w:ascii="Palatino Linotype" w:hAnsi="Palatino Linotype"/>
          <w:i/>
          <w:iCs/>
          <w:sz w:val="22"/>
        </w:rPr>
        <w:t xml:space="preserve"> sus facultades, competencias y funciones, con el objeto de que realicen una búsqueda exhaustiva y razonable de la información solicitada.</w:t>
      </w:r>
    </w:p>
    <w:p w14:paraId="3A23DA37" w14:textId="77777777" w:rsidR="00616297" w:rsidRPr="00C63D99" w:rsidRDefault="00616297" w:rsidP="00616297">
      <w:pPr>
        <w:tabs>
          <w:tab w:val="left" w:pos="284"/>
        </w:tabs>
        <w:spacing w:before="240" w:after="240" w:line="360" w:lineRule="auto"/>
        <w:ind w:left="567" w:right="567"/>
        <w:contextualSpacing/>
        <w:jc w:val="both"/>
        <w:rPr>
          <w:rFonts w:ascii="Palatino Linotype" w:hAnsi="Palatino Linotype"/>
          <w:i/>
          <w:iCs/>
          <w:sz w:val="22"/>
        </w:rPr>
      </w:pPr>
    </w:p>
    <w:p w14:paraId="0C773DE9" w14:textId="77777777" w:rsidR="00616297" w:rsidRPr="00C63D99" w:rsidRDefault="00616297" w:rsidP="00616297">
      <w:pPr>
        <w:tabs>
          <w:tab w:val="left" w:pos="284"/>
        </w:tabs>
        <w:spacing w:before="240" w:after="240" w:line="360" w:lineRule="auto"/>
        <w:ind w:left="567" w:right="567"/>
        <w:contextualSpacing/>
        <w:jc w:val="both"/>
        <w:rPr>
          <w:rFonts w:ascii="Palatino Linotype" w:hAnsi="Palatino Linotype"/>
          <w:i/>
          <w:iCs/>
          <w:sz w:val="22"/>
        </w:rPr>
      </w:pPr>
      <w:r w:rsidRPr="00C63D99">
        <w:rPr>
          <w:rFonts w:ascii="Palatino Linotype" w:hAnsi="Palatino Linotype"/>
          <w:i/>
          <w:iCs/>
          <w:sz w:val="22"/>
        </w:rPr>
        <w:t>Artículo 59. Los servidores públicos habilitados tendrán las funciones siguientes:</w:t>
      </w:r>
    </w:p>
    <w:p w14:paraId="558EC386" w14:textId="77777777" w:rsidR="00616297" w:rsidRPr="00C63D99" w:rsidRDefault="00616297" w:rsidP="00616297">
      <w:pPr>
        <w:tabs>
          <w:tab w:val="left" w:pos="284"/>
        </w:tabs>
        <w:spacing w:before="240" w:after="240" w:line="360" w:lineRule="auto"/>
        <w:ind w:left="567" w:right="567"/>
        <w:contextualSpacing/>
        <w:jc w:val="both"/>
        <w:rPr>
          <w:rFonts w:ascii="Palatino Linotype" w:hAnsi="Palatino Linotype"/>
          <w:i/>
          <w:iCs/>
          <w:sz w:val="22"/>
        </w:rPr>
      </w:pPr>
    </w:p>
    <w:p w14:paraId="60EFC824" w14:textId="77777777" w:rsidR="00616297" w:rsidRPr="00C63D99" w:rsidRDefault="00616297" w:rsidP="00616297">
      <w:pPr>
        <w:tabs>
          <w:tab w:val="left" w:pos="284"/>
        </w:tabs>
        <w:spacing w:before="240" w:after="240" w:line="360" w:lineRule="auto"/>
        <w:ind w:left="567" w:right="567"/>
        <w:contextualSpacing/>
        <w:jc w:val="both"/>
        <w:rPr>
          <w:rFonts w:ascii="Palatino Linotype" w:hAnsi="Palatino Linotype"/>
          <w:i/>
          <w:iCs/>
          <w:sz w:val="22"/>
        </w:rPr>
      </w:pPr>
      <w:r w:rsidRPr="00C63D99">
        <w:rPr>
          <w:rFonts w:ascii="Palatino Linotype" w:hAnsi="Palatino Linotype"/>
          <w:i/>
          <w:iCs/>
          <w:sz w:val="22"/>
        </w:rPr>
        <w:t xml:space="preserve">I. Localizar la información que le solicite la Unidad de Transparencia; </w:t>
      </w:r>
    </w:p>
    <w:p w14:paraId="69DDEC76" w14:textId="77777777" w:rsidR="00616297" w:rsidRPr="00C63D99" w:rsidRDefault="00616297" w:rsidP="00616297">
      <w:pPr>
        <w:tabs>
          <w:tab w:val="left" w:pos="284"/>
        </w:tabs>
        <w:spacing w:before="240" w:after="240" w:line="360" w:lineRule="auto"/>
        <w:ind w:left="567" w:right="567"/>
        <w:contextualSpacing/>
        <w:jc w:val="both"/>
        <w:rPr>
          <w:rFonts w:ascii="Palatino Linotype" w:hAnsi="Palatino Linotype"/>
          <w:i/>
          <w:iCs/>
          <w:sz w:val="22"/>
        </w:rPr>
      </w:pPr>
      <w:r w:rsidRPr="00C63D99">
        <w:rPr>
          <w:rFonts w:ascii="Palatino Linotype" w:hAnsi="Palatino Linotype"/>
          <w:i/>
          <w:iCs/>
          <w:sz w:val="22"/>
        </w:rPr>
        <w:lastRenderedPageBreak/>
        <w:t>II. Proporcionar la información que obre en los archivos y que le sea solicitada por la Unidad de Transparencia;</w:t>
      </w:r>
    </w:p>
    <w:p w14:paraId="01C54D7A" w14:textId="77777777" w:rsidR="00616297" w:rsidRPr="00C63D99" w:rsidRDefault="00616297" w:rsidP="00616297">
      <w:pPr>
        <w:tabs>
          <w:tab w:val="left" w:pos="284"/>
        </w:tabs>
        <w:spacing w:before="240" w:after="240" w:line="360" w:lineRule="auto"/>
        <w:ind w:left="567" w:right="567"/>
        <w:contextualSpacing/>
        <w:jc w:val="both"/>
        <w:rPr>
          <w:rFonts w:ascii="Palatino Linotype" w:hAnsi="Palatino Linotype"/>
          <w:i/>
          <w:iCs/>
          <w:sz w:val="22"/>
        </w:rPr>
      </w:pPr>
      <w:r w:rsidRPr="00C63D99">
        <w:rPr>
          <w:rFonts w:ascii="Palatino Linotype" w:hAnsi="Palatino Linotype"/>
          <w:i/>
          <w:iCs/>
          <w:sz w:val="22"/>
        </w:rPr>
        <w:t>III. a VII. …</w:t>
      </w:r>
    </w:p>
    <w:p w14:paraId="652F8C96" w14:textId="77777777" w:rsidR="00DD7DC3" w:rsidRPr="00C63D99" w:rsidRDefault="00DD7DC3" w:rsidP="00616297">
      <w:pPr>
        <w:tabs>
          <w:tab w:val="left" w:pos="284"/>
        </w:tabs>
        <w:spacing w:before="240" w:after="240" w:line="360" w:lineRule="auto"/>
        <w:ind w:left="567" w:right="567"/>
        <w:contextualSpacing/>
        <w:jc w:val="both"/>
        <w:rPr>
          <w:rFonts w:ascii="Palatino Linotype" w:eastAsiaTheme="minorEastAsia" w:hAnsi="Palatino Linotype" w:cs="Arial"/>
          <w:i/>
          <w:iCs/>
          <w:sz w:val="24"/>
          <w:szCs w:val="24"/>
          <w:lang w:val="es-ES_tradnl"/>
        </w:rPr>
      </w:pPr>
    </w:p>
    <w:p w14:paraId="0FAA8533" w14:textId="77777777" w:rsidR="00616297" w:rsidRPr="00C63D99" w:rsidRDefault="00616297" w:rsidP="00616297">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sz w:val="24"/>
          <w:szCs w:val="24"/>
          <w:lang w:val="es-ES_tradnl"/>
        </w:rPr>
      </w:pPr>
      <w:r w:rsidRPr="00C63D99">
        <w:rPr>
          <w:rFonts w:ascii="Palatino Linotype" w:eastAsiaTheme="minorEastAsia" w:hAnsi="Palatino Linotype" w:cs="Arial"/>
          <w:sz w:val="24"/>
          <w:szCs w:val="24"/>
          <w:lang w:val="es-ES_tradnl"/>
        </w:rPr>
        <w:t xml:space="preserve">Las Unidades de Transparencia cuando reciben solicitudes deben identificar la información solicitada, a efecto de realizar el turno a las áreas que </w:t>
      </w:r>
      <w:proofErr w:type="gramStart"/>
      <w:r w:rsidRPr="00C63D99">
        <w:rPr>
          <w:rFonts w:ascii="Palatino Linotype" w:eastAsiaTheme="minorEastAsia" w:hAnsi="Palatino Linotype" w:cs="Arial"/>
          <w:sz w:val="24"/>
          <w:szCs w:val="24"/>
          <w:lang w:val="es-ES_tradnl"/>
        </w:rPr>
        <w:t>de acuerdo a</w:t>
      </w:r>
      <w:proofErr w:type="gramEnd"/>
      <w:r w:rsidRPr="00C63D99">
        <w:rPr>
          <w:rFonts w:ascii="Palatino Linotype" w:eastAsiaTheme="minorEastAsia" w:hAnsi="Palatino Linotype" w:cs="Arial"/>
          <w:sz w:val="24"/>
          <w:szCs w:val="24"/>
          <w:lang w:val="es-ES_tradnl"/>
        </w:rPr>
        <w:t xml:space="preserve"> sus atribuciones, facultades y competencias deban generar, administrar y/o poseer lo requerido; para que, a su vez, realicen la búsqueda exhaustiva y razonable y entreguen los documentos necesarios para generar la respuesta y proporcionarla al recurrente.</w:t>
      </w:r>
    </w:p>
    <w:p w14:paraId="7107F7CD" w14:textId="77777777" w:rsidR="00DD7DC3" w:rsidRPr="00C63D99" w:rsidRDefault="00DD7DC3" w:rsidP="00DD7DC3">
      <w:pPr>
        <w:tabs>
          <w:tab w:val="left" w:pos="284"/>
        </w:tabs>
        <w:spacing w:before="240" w:after="240" w:line="360" w:lineRule="auto"/>
        <w:contextualSpacing/>
        <w:jc w:val="both"/>
        <w:rPr>
          <w:rFonts w:ascii="Palatino Linotype" w:eastAsiaTheme="minorEastAsia" w:hAnsi="Palatino Linotype" w:cs="Arial"/>
          <w:sz w:val="24"/>
          <w:szCs w:val="24"/>
          <w:lang w:val="es-ES_tradnl"/>
        </w:rPr>
      </w:pPr>
    </w:p>
    <w:p w14:paraId="651AC3F6" w14:textId="77777777" w:rsidR="00616297" w:rsidRPr="00C63D99" w:rsidRDefault="00616297" w:rsidP="00616297">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sz w:val="24"/>
          <w:szCs w:val="24"/>
          <w:lang w:val="es-ES_tradnl"/>
        </w:rPr>
      </w:pPr>
      <w:r w:rsidRPr="00C63D99">
        <w:rPr>
          <w:rFonts w:ascii="Palatino Linotype" w:eastAsiaTheme="minorEastAsia" w:hAnsi="Palatino Linotype" w:cs="Arial"/>
          <w:sz w:val="24"/>
          <w:szCs w:val="24"/>
          <w:lang w:val="es-ES_tradnl"/>
        </w:rPr>
        <w:t>La omisión a las obligaciones, tanto del Titular de la Unidad de Transparencia como de los servidores públicos habilitados puede causar la suspensión, deficiencia o la falta de respuesta a las solicitudes de acceso a la información que formulen los particulares, siendo esto una causa de responsabilidad.</w:t>
      </w:r>
    </w:p>
    <w:p w14:paraId="4EDC9BCE" w14:textId="77777777" w:rsidR="00616297" w:rsidRPr="00C63D99" w:rsidRDefault="00616297" w:rsidP="00616297">
      <w:pPr>
        <w:tabs>
          <w:tab w:val="left" w:pos="284"/>
        </w:tabs>
        <w:spacing w:before="240" w:after="240" w:line="360" w:lineRule="auto"/>
        <w:contextualSpacing/>
        <w:jc w:val="both"/>
        <w:rPr>
          <w:rFonts w:ascii="Palatino Linotype" w:eastAsiaTheme="minorEastAsia" w:hAnsi="Palatino Linotype" w:cs="Arial"/>
          <w:sz w:val="24"/>
          <w:szCs w:val="24"/>
          <w:lang w:val="es-ES_tradnl"/>
        </w:rPr>
      </w:pPr>
    </w:p>
    <w:p w14:paraId="0052117F" w14:textId="77777777" w:rsidR="00616297" w:rsidRPr="00C63D99" w:rsidRDefault="00616297" w:rsidP="00616297">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sz w:val="24"/>
          <w:szCs w:val="24"/>
          <w:lang w:val="es-ES_tradnl"/>
        </w:rPr>
      </w:pPr>
      <w:r w:rsidRPr="00C63D99">
        <w:rPr>
          <w:rFonts w:ascii="Palatino Linotype" w:eastAsiaTheme="minorEastAsia" w:hAnsi="Palatino Linotype" w:cs="Arial"/>
          <w:sz w:val="24"/>
          <w:szCs w:val="24"/>
          <w:lang w:val="es-ES_tradnl"/>
        </w:rPr>
        <w:t>En el presente asunto en particular, se tiene que el Titular de la Unidad de Transparencia no turnó la solicitud al Servidor Público Habilitado.</w:t>
      </w:r>
    </w:p>
    <w:p w14:paraId="2F027C63" w14:textId="77777777" w:rsidR="00616297" w:rsidRPr="00C63D99" w:rsidRDefault="00616297" w:rsidP="00616297">
      <w:pPr>
        <w:pStyle w:val="Prrafodelista"/>
        <w:numPr>
          <w:ilvl w:val="0"/>
          <w:numId w:val="2"/>
        </w:numPr>
        <w:tabs>
          <w:tab w:val="left" w:pos="284"/>
        </w:tabs>
        <w:spacing w:before="240" w:after="240" w:line="360" w:lineRule="auto"/>
        <w:ind w:left="0" w:firstLine="0"/>
        <w:jc w:val="both"/>
        <w:rPr>
          <w:rFonts w:ascii="Palatino Linotype" w:hAnsi="Palatino Linotype"/>
          <w:sz w:val="24"/>
        </w:rPr>
      </w:pPr>
      <w:r w:rsidRPr="00C63D99">
        <w:rPr>
          <w:rFonts w:ascii="Palatino Linotype" w:hAnsi="Palatino Linotype" w:cs="Arial"/>
          <w:sz w:val="24"/>
        </w:rPr>
        <w:t>Se tiene que el Titular de la Unidad de Transparencia incumplió con sus funciones, atribuciones y competencias, al no dar trámite a la solicitud, lo cual tuvo como consecuencia la falta de respuesta a ambas solicitudes.</w:t>
      </w:r>
    </w:p>
    <w:p w14:paraId="0D6AA2EE" w14:textId="77777777" w:rsidR="00616297" w:rsidRPr="00C63D99" w:rsidRDefault="00616297" w:rsidP="00616297">
      <w:pPr>
        <w:pStyle w:val="Prrafodelista"/>
        <w:tabs>
          <w:tab w:val="left" w:pos="284"/>
        </w:tabs>
        <w:spacing w:before="240" w:after="240" w:line="360" w:lineRule="auto"/>
        <w:ind w:left="0"/>
        <w:jc w:val="both"/>
        <w:rPr>
          <w:rFonts w:ascii="Palatino Linotype" w:hAnsi="Palatino Linotype"/>
          <w:sz w:val="24"/>
        </w:rPr>
      </w:pPr>
    </w:p>
    <w:p w14:paraId="4EF94A72" w14:textId="77777777" w:rsidR="00616297" w:rsidRPr="00C63D99" w:rsidRDefault="00616297" w:rsidP="00616297">
      <w:pPr>
        <w:pStyle w:val="Prrafodelista"/>
        <w:numPr>
          <w:ilvl w:val="0"/>
          <w:numId w:val="2"/>
        </w:numPr>
        <w:tabs>
          <w:tab w:val="left" w:pos="284"/>
        </w:tabs>
        <w:spacing w:before="240" w:after="240" w:line="360" w:lineRule="auto"/>
        <w:ind w:left="0" w:firstLine="0"/>
        <w:jc w:val="both"/>
        <w:rPr>
          <w:rFonts w:ascii="Palatino Linotype" w:hAnsi="Palatino Linotype"/>
          <w:sz w:val="24"/>
        </w:rPr>
      </w:pPr>
      <w:r w:rsidRPr="00C63D99">
        <w:rPr>
          <w:rFonts w:ascii="Palatino Linotype" w:hAnsi="Palatino Linotype"/>
          <w:sz w:val="24"/>
        </w:rPr>
        <w:t xml:space="preserve">Entonces, la falta de respuesta a las solicitudes de acceso a la información pública por parte del Sujeto Obligado actualiza una causa de responsabilidad, por lo que, </w:t>
      </w:r>
      <w:proofErr w:type="gramStart"/>
      <w:r w:rsidRPr="00C63D99">
        <w:rPr>
          <w:rFonts w:ascii="Palatino Linotype" w:hAnsi="Palatino Linotype"/>
          <w:sz w:val="24"/>
        </w:rPr>
        <w:t>de acuerdo a</w:t>
      </w:r>
      <w:proofErr w:type="gramEnd"/>
      <w:r w:rsidRPr="00C63D99">
        <w:rPr>
          <w:rFonts w:ascii="Palatino Linotype" w:hAnsi="Palatino Linotype"/>
          <w:sz w:val="24"/>
        </w:rPr>
        <w:t xml:space="preserve"> los artículos 190 y 36 fracción X, de la Ley de Trasparencia y Acceso a la Información Pública del Estado de México y Municipios, este Órgano Garante debe hacer de conocimiento del órgano control interno, para que inicie, en su caso, el procedimiento de responsabilidad respectivo.</w:t>
      </w:r>
    </w:p>
    <w:p w14:paraId="4CA9C3EA" w14:textId="4D81B63A" w:rsidR="00616297" w:rsidRPr="00C63D99" w:rsidRDefault="00616297" w:rsidP="00584F84">
      <w:pPr>
        <w:pStyle w:val="Ttulo1"/>
        <w:rPr>
          <w:rFonts w:ascii="Palatino Linotype" w:hAnsi="Palatino Linotype"/>
          <w:b/>
          <w:color w:val="auto"/>
          <w:sz w:val="24"/>
          <w:lang w:val="es-ES_tradnl"/>
        </w:rPr>
      </w:pPr>
      <w:bookmarkStart w:id="36" w:name="_Toc87549682"/>
      <w:r w:rsidRPr="00C63D99">
        <w:rPr>
          <w:rFonts w:ascii="Palatino Linotype" w:hAnsi="Palatino Linotype"/>
          <w:b/>
          <w:color w:val="auto"/>
          <w:sz w:val="24"/>
          <w:lang w:val="es-ES_tradnl"/>
        </w:rPr>
        <w:t>SÉPTIMO. De la versión pública.</w:t>
      </w:r>
      <w:bookmarkEnd w:id="36"/>
    </w:p>
    <w:p w14:paraId="4EA791B6" w14:textId="77777777" w:rsidR="00584F84" w:rsidRPr="00C63D99" w:rsidRDefault="00584F84" w:rsidP="00584F84">
      <w:pPr>
        <w:rPr>
          <w:rFonts w:eastAsiaTheme="minorEastAsia"/>
          <w:lang w:val="es-ES_tradnl"/>
        </w:rPr>
      </w:pPr>
    </w:p>
    <w:p w14:paraId="1E303560" w14:textId="77777777" w:rsidR="00616297" w:rsidRPr="00C63D99" w:rsidRDefault="00616297" w:rsidP="00616297">
      <w:pPr>
        <w:pStyle w:val="Ttulo1"/>
        <w:numPr>
          <w:ilvl w:val="0"/>
          <w:numId w:val="17"/>
        </w:numPr>
        <w:tabs>
          <w:tab w:val="left" w:pos="284"/>
          <w:tab w:val="num" w:pos="360"/>
        </w:tabs>
        <w:spacing w:before="0" w:line="360" w:lineRule="auto"/>
        <w:ind w:left="0" w:firstLine="0"/>
        <w:rPr>
          <w:rFonts w:ascii="Palatino Linotype" w:hAnsi="Palatino Linotype" w:cs="Times New Roman"/>
          <w:b/>
          <w:color w:val="000000" w:themeColor="text1"/>
          <w:sz w:val="24"/>
          <w:szCs w:val="24"/>
          <w:lang w:eastAsia="es-ES_tradnl"/>
        </w:rPr>
      </w:pPr>
      <w:bookmarkStart w:id="37" w:name="_Toc48135362"/>
      <w:bookmarkStart w:id="38" w:name="_Toc72309902"/>
      <w:bookmarkStart w:id="39" w:name="_Toc73643041"/>
      <w:bookmarkStart w:id="40" w:name="_Toc73911519"/>
      <w:bookmarkStart w:id="41" w:name="_Toc87549683"/>
      <w:r w:rsidRPr="00C63D99">
        <w:rPr>
          <w:rFonts w:ascii="Palatino Linotype" w:hAnsi="Palatino Linotype" w:cs="Times New Roman"/>
          <w:b/>
          <w:color w:val="000000" w:themeColor="text1"/>
          <w:sz w:val="24"/>
          <w:szCs w:val="24"/>
          <w:lang w:eastAsia="es-ES_tradnl"/>
        </w:rPr>
        <w:t>Nociones generales.</w:t>
      </w:r>
      <w:bookmarkEnd w:id="37"/>
      <w:bookmarkEnd w:id="38"/>
      <w:bookmarkEnd w:id="39"/>
      <w:bookmarkEnd w:id="40"/>
      <w:bookmarkEnd w:id="41"/>
      <w:r w:rsidRPr="00C63D99">
        <w:rPr>
          <w:rFonts w:ascii="Palatino Linotype" w:hAnsi="Palatino Linotype" w:cs="Times New Roman"/>
          <w:b/>
          <w:color w:val="000000" w:themeColor="text1"/>
          <w:sz w:val="24"/>
          <w:szCs w:val="24"/>
          <w:lang w:eastAsia="es-ES_tradnl"/>
        </w:rPr>
        <w:t xml:space="preserve"> </w:t>
      </w:r>
    </w:p>
    <w:p w14:paraId="2BD9FF9A" w14:textId="77777777" w:rsidR="00DD7DC3" w:rsidRPr="00C63D99" w:rsidRDefault="00DD7DC3" w:rsidP="00DD7DC3">
      <w:pPr>
        <w:rPr>
          <w:lang w:eastAsia="es-ES_tradnl"/>
        </w:rPr>
      </w:pPr>
    </w:p>
    <w:p w14:paraId="4EF38C15" w14:textId="77777777" w:rsidR="00616297" w:rsidRPr="00C63D99" w:rsidRDefault="00616297" w:rsidP="00616297">
      <w:pPr>
        <w:pStyle w:val="Prrafodelista"/>
        <w:numPr>
          <w:ilvl w:val="0"/>
          <w:numId w:val="2"/>
        </w:numPr>
        <w:tabs>
          <w:tab w:val="left" w:pos="284"/>
        </w:tabs>
        <w:spacing w:line="360" w:lineRule="auto"/>
        <w:ind w:left="0" w:right="49" w:firstLine="0"/>
        <w:jc w:val="both"/>
        <w:rPr>
          <w:rFonts w:ascii="Palatino Linotype" w:hAnsi="Palatino Linotype" w:cs="Arial"/>
          <w:color w:val="000000"/>
          <w:sz w:val="24"/>
        </w:rPr>
      </w:pPr>
      <w:r w:rsidRPr="00C63D99">
        <w:rPr>
          <w:rFonts w:ascii="Palatino Linotype" w:hAnsi="Palatino Linotype" w:cs="Arial"/>
          <w:color w:val="000000"/>
          <w:sz w:val="24"/>
        </w:rPr>
        <w:t>Debe destacarse que, debido a la naturaleza de la información solicitada</w:t>
      </w:r>
      <w:r w:rsidRPr="00C63D99">
        <w:rPr>
          <w:rFonts w:ascii="Palatino Linotype" w:hAnsi="Palatino Linotype" w:cs="Arial"/>
          <w:b/>
          <w:color w:val="000000"/>
          <w:sz w:val="24"/>
        </w:rPr>
        <w:t xml:space="preserve">, </w:t>
      </w:r>
      <w:r w:rsidRPr="00C63D99">
        <w:rPr>
          <w:rFonts w:ascii="Palatino Linotype" w:hAnsi="Palatino Linotype" w:cs="Arial"/>
          <w:color w:val="000000"/>
          <w:sz w:val="24"/>
        </w:rPr>
        <w:t xml:space="preserve">eventualmente pudiera obrar datos personales susceptibles de protegerse, así como información susceptible de clasificarse como reservada, el </w:t>
      </w:r>
      <w:r w:rsidRPr="00C63D99">
        <w:rPr>
          <w:rFonts w:ascii="Palatino Linotype" w:hAnsi="Palatino Linotype" w:cs="Arial"/>
          <w:b/>
          <w:bCs/>
          <w:color w:val="000000"/>
          <w:sz w:val="24"/>
        </w:rPr>
        <w:t xml:space="preserve">Sujeto Obligado </w:t>
      </w:r>
      <w:r w:rsidRPr="00C63D99">
        <w:rPr>
          <w:rFonts w:ascii="Palatino Linotype" w:hAnsi="Palatino Linotype" w:cs="Arial"/>
          <w:color w:val="000000"/>
          <w:sz w:val="24"/>
        </w:rPr>
        <w:t xml:space="preserve">deberá de hacer la adecuada versión pública, protegiendo los datos que no son susceptibles de ser proporcionados. </w:t>
      </w:r>
    </w:p>
    <w:p w14:paraId="7051E4D5" w14:textId="77777777" w:rsidR="00616297" w:rsidRPr="00C63D99" w:rsidRDefault="00616297" w:rsidP="00616297">
      <w:pPr>
        <w:pStyle w:val="Prrafodelista"/>
        <w:tabs>
          <w:tab w:val="left" w:pos="0"/>
          <w:tab w:val="left" w:pos="284"/>
        </w:tabs>
        <w:spacing w:line="360" w:lineRule="auto"/>
        <w:ind w:left="0" w:right="49"/>
        <w:jc w:val="both"/>
        <w:rPr>
          <w:rFonts w:ascii="Palatino Linotype" w:eastAsia="MS Mincho" w:hAnsi="Palatino Linotype"/>
          <w:sz w:val="24"/>
          <w:lang w:val="es-ES"/>
        </w:rPr>
      </w:pPr>
    </w:p>
    <w:p w14:paraId="10C4AC1A" w14:textId="77777777" w:rsidR="00616297" w:rsidRPr="00C63D99" w:rsidRDefault="00616297" w:rsidP="00616297">
      <w:pPr>
        <w:numPr>
          <w:ilvl w:val="0"/>
          <w:numId w:val="2"/>
        </w:numPr>
        <w:tabs>
          <w:tab w:val="left" w:pos="284"/>
        </w:tabs>
        <w:spacing w:line="360" w:lineRule="auto"/>
        <w:ind w:left="0" w:right="49" w:firstLine="0"/>
        <w:contextualSpacing/>
        <w:jc w:val="both"/>
        <w:rPr>
          <w:rFonts w:ascii="Palatino Linotype" w:hAnsi="Palatino Linotype" w:cs="Arial"/>
          <w:color w:val="000000"/>
          <w:sz w:val="24"/>
          <w:szCs w:val="24"/>
        </w:rPr>
      </w:pPr>
      <w:r w:rsidRPr="00C63D99">
        <w:rPr>
          <w:rFonts w:ascii="Palatino Linotype" w:hAnsi="Palatino Linotype" w:cs="Arial"/>
          <w:color w:val="000000"/>
          <w:sz w:val="24"/>
          <w:szCs w:val="24"/>
        </w:rPr>
        <w:t xml:space="preserve">No pasa desapercibido para este Órgano Garante que los </w:t>
      </w:r>
      <w:r w:rsidRPr="00C63D99">
        <w:rPr>
          <w:rFonts w:ascii="Palatino Linotype" w:hAnsi="Palatino Linotype" w:cs="Arial"/>
          <w:b/>
          <w:bCs/>
          <w:color w:val="000000"/>
          <w:sz w:val="24"/>
          <w:szCs w:val="24"/>
        </w:rPr>
        <w:t xml:space="preserve">Sujetos Obligados </w:t>
      </w:r>
      <w:r w:rsidRPr="00C63D99">
        <w:rPr>
          <w:rFonts w:ascii="Palatino Linotype" w:hAnsi="Palatino Linotype" w:cs="Arial"/>
          <w:color w:val="000000"/>
          <w:sz w:val="24"/>
          <w:szCs w:val="24"/>
        </w:rPr>
        <w:t xml:space="preserve">serán responsables de los datos personales en su posesión y que, en caso de localizarse datos concernientes a terceros, éstos no podrán difundir, distribuir o comercializar los datos personales.  Cabe destacar que, para la realización de la clasificación de la </w:t>
      </w:r>
      <w:r w:rsidRPr="00C63D99">
        <w:rPr>
          <w:rFonts w:ascii="Palatino Linotype" w:hAnsi="Palatino Linotype" w:cs="Arial"/>
          <w:color w:val="000000"/>
          <w:sz w:val="24"/>
          <w:szCs w:val="24"/>
        </w:rPr>
        <w:lastRenderedPageBreak/>
        <w:t>información, se deben seguir una serie de pasos y procedimientos, por lo que es menester reiterar los mismos:</w:t>
      </w:r>
    </w:p>
    <w:p w14:paraId="640B2A80" w14:textId="77777777" w:rsidR="00616297" w:rsidRPr="00C63D99" w:rsidRDefault="00616297" w:rsidP="00616297">
      <w:pPr>
        <w:tabs>
          <w:tab w:val="left" w:pos="284"/>
        </w:tabs>
        <w:spacing w:line="360" w:lineRule="auto"/>
        <w:ind w:right="49"/>
        <w:contextualSpacing/>
        <w:jc w:val="both"/>
        <w:rPr>
          <w:rFonts w:ascii="Palatino Linotype" w:hAnsi="Palatino Linotype" w:cs="Arial"/>
          <w:color w:val="000000"/>
          <w:sz w:val="24"/>
          <w:szCs w:val="24"/>
        </w:rPr>
      </w:pPr>
    </w:p>
    <w:tbl>
      <w:tblPr>
        <w:tblStyle w:val="Tablanormal1"/>
        <w:tblW w:w="0" w:type="auto"/>
        <w:tblLook w:val="04A0" w:firstRow="1" w:lastRow="0" w:firstColumn="1" w:lastColumn="0" w:noHBand="0" w:noVBand="1"/>
      </w:tblPr>
      <w:tblGrid>
        <w:gridCol w:w="1838"/>
        <w:gridCol w:w="6990"/>
      </w:tblGrid>
      <w:tr w:rsidR="00616297" w:rsidRPr="00C63D99" w14:paraId="57DEDFB8" w14:textId="77777777" w:rsidTr="006556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1B6A4E2A" w14:textId="77777777" w:rsidR="00616297" w:rsidRPr="00C63D99" w:rsidRDefault="00616297" w:rsidP="006556CB">
            <w:pPr>
              <w:tabs>
                <w:tab w:val="left" w:pos="284"/>
              </w:tabs>
              <w:spacing w:line="360" w:lineRule="auto"/>
              <w:rPr>
                <w:rFonts w:ascii="Palatino Linotype" w:hAnsi="Palatino Linotype"/>
                <w:bCs w:val="0"/>
                <w:sz w:val="24"/>
                <w:szCs w:val="24"/>
              </w:rPr>
            </w:pPr>
            <w:r w:rsidRPr="00C63D99">
              <w:rPr>
                <w:rFonts w:ascii="Palatino Linotype" w:hAnsi="Palatino Linotype" w:cstheme="majorBidi"/>
                <w:bCs w:val="0"/>
                <w:sz w:val="24"/>
                <w:szCs w:val="24"/>
              </w:rPr>
              <w:t>a) Requisitos previos.</w:t>
            </w:r>
          </w:p>
        </w:tc>
        <w:tc>
          <w:tcPr>
            <w:tcW w:w="6990" w:type="dxa"/>
            <w:hideMark/>
          </w:tcPr>
          <w:p w14:paraId="584556AE" w14:textId="77777777" w:rsidR="00616297" w:rsidRPr="00C63D99" w:rsidRDefault="00616297" w:rsidP="006556CB">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4"/>
                <w:szCs w:val="24"/>
              </w:rPr>
            </w:pPr>
            <w:r w:rsidRPr="00C63D99">
              <w:rPr>
                <w:rFonts w:ascii="Palatino Linotype" w:hAnsi="Palatino Linotype" w:cs="Arial"/>
                <w:b w:val="0"/>
                <w:bCs w:val="0"/>
                <w:color w:val="000000"/>
                <w:sz w:val="24"/>
                <w:szCs w:val="24"/>
              </w:rPr>
              <w:t xml:space="preserve">Los artículos 100 y 122 de la Ley Estatal y de la Ley General, respectivamente, señalan </w:t>
            </w:r>
            <w:proofErr w:type="gramStart"/>
            <w:r w:rsidRPr="00C63D99">
              <w:rPr>
                <w:rFonts w:ascii="Palatino Linotype" w:hAnsi="Palatino Linotype" w:cs="Arial"/>
                <w:b w:val="0"/>
                <w:bCs w:val="0"/>
                <w:color w:val="000000"/>
                <w:sz w:val="24"/>
                <w:szCs w:val="24"/>
              </w:rPr>
              <w:t>que</w:t>
            </w:r>
            <w:proofErr w:type="gramEnd"/>
            <w:r w:rsidRPr="00C63D99">
              <w:rPr>
                <w:rFonts w:ascii="Palatino Linotype" w:hAnsi="Palatino Linotype" w:cs="Arial"/>
                <w:b w:val="0"/>
                <w:bCs w:val="0"/>
                <w:color w:val="000000"/>
                <w:sz w:val="24"/>
                <w:szCs w:val="24"/>
              </w:rPr>
              <w:t xml:space="preserve"> si los Sujetos Obligados determinan que la información actualiza alguno de los supuestos de clasificación, es deber de los titulares de las áreas proponer su clasificación y no del Comité de Transparencia. </w:t>
            </w:r>
          </w:p>
          <w:p w14:paraId="771B3E9A" w14:textId="77777777" w:rsidR="00616297" w:rsidRPr="00C63D99" w:rsidRDefault="00616297" w:rsidP="006556CB">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4"/>
                <w:szCs w:val="24"/>
              </w:rPr>
            </w:pPr>
            <w:r w:rsidRPr="00C63D99">
              <w:rPr>
                <w:rFonts w:ascii="Palatino Linotype" w:hAnsi="Palatino Linotype" w:cs="Arial"/>
                <w:b w:val="0"/>
                <w:bCs w:val="0"/>
                <w:color w:val="000000"/>
                <w:sz w:val="24"/>
                <w:szCs w:val="24"/>
              </w:rPr>
              <w:t>Al hacerlo tienen que precisar de qué información se trata, señalando el supuesto de clasificación (confidencialidad o reserva).</w:t>
            </w:r>
          </w:p>
          <w:p w14:paraId="6B3DA1A3" w14:textId="77777777" w:rsidR="00616297" w:rsidRPr="00C63D99" w:rsidRDefault="00616297" w:rsidP="006556CB">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4"/>
                <w:szCs w:val="24"/>
              </w:rPr>
            </w:pPr>
            <w:r w:rsidRPr="00C63D99">
              <w:rPr>
                <w:rFonts w:ascii="Palatino Linotype" w:hAnsi="Palatino Linotype" w:cs="Arial"/>
                <w:b w:val="0"/>
                <w:bCs w:val="0"/>
                <w:color w:val="000000"/>
                <w:sz w:val="24"/>
                <w:szCs w:val="24"/>
              </w:rPr>
              <w:t>Además, se debe señalar el procedimiento, de los tres que establecen los artículos 132 y 106 de la Ley Estatal y General, respectivamente.</w:t>
            </w:r>
          </w:p>
          <w:p w14:paraId="366EE89F" w14:textId="77777777" w:rsidR="00616297" w:rsidRPr="00C63D99" w:rsidRDefault="00616297" w:rsidP="006556CB">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4"/>
                <w:szCs w:val="24"/>
              </w:rPr>
            </w:pPr>
            <w:r w:rsidRPr="00C63D99">
              <w:rPr>
                <w:rFonts w:ascii="Palatino Linotype" w:hAnsi="Palatino Linotype" w:cs="Arial"/>
                <w:b w:val="0"/>
                <w:bCs w:val="0"/>
                <w:color w:val="000000"/>
                <w:sz w:val="24"/>
                <w:szCs w:val="24"/>
              </w:rPr>
              <w:t xml:space="preserve">El último de estos requisitos previos consiste en que no se pueden emitir acuerdos de carácter general ni particular, esto es, </w:t>
            </w:r>
            <w:r w:rsidRPr="00C63D99">
              <w:rPr>
                <w:rFonts w:ascii="Palatino Linotype" w:hAnsi="Palatino Linotype" w:cs="Arial"/>
                <w:b w:val="0"/>
                <w:bCs w:val="0"/>
                <w:color w:val="000000"/>
                <w:sz w:val="24"/>
                <w:szCs w:val="24"/>
                <w:u w:val="single"/>
              </w:rPr>
              <w:t>no se puede hacer un acuerdo para clasificar de manera general todos los documentos de un expediente o área, sin</w:t>
            </w:r>
            <w:r w:rsidRPr="00C63D99">
              <w:rPr>
                <w:rFonts w:ascii="Palatino Linotype" w:hAnsi="Palatino Linotype" w:cs="Arial"/>
                <w:b w:val="0"/>
                <w:bCs w:val="0"/>
                <w:color w:val="000000"/>
                <w:sz w:val="24"/>
                <w:szCs w:val="24"/>
              </w:rPr>
              <w:t xml:space="preserve"> individualizar su análisis y tampoco se puede hacer un acuerdo </w:t>
            </w:r>
            <w:r w:rsidRPr="00C63D99">
              <w:rPr>
                <w:rFonts w:ascii="Palatino Linotype" w:hAnsi="Palatino Linotype" w:cs="Arial"/>
                <w:b w:val="0"/>
                <w:bCs w:val="0"/>
                <w:color w:val="000000"/>
                <w:sz w:val="24"/>
                <w:szCs w:val="24"/>
              </w:rPr>
              <w:lastRenderedPageBreak/>
              <w:t>por cada dato que se vaya a clasificar dentro de un documento con diez datos, por ejemplo, susceptibles de ser clasificados.</w:t>
            </w:r>
          </w:p>
        </w:tc>
      </w:tr>
      <w:tr w:rsidR="00616297" w:rsidRPr="00C63D99" w14:paraId="672A1BE4" w14:textId="77777777" w:rsidTr="006556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1C398C62" w14:textId="77777777" w:rsidR="00616297" w:rsidRPr="00C63D99" w:rsidRDefault="00616297" w:rsidP="006556CB">
            <w:pPr>
              <w:tabs>
                <w:tab w:val="left" w:pos="284"/>
              </w:tabs>
              <w:spacing w:line="360" w:lineRule="auto"/>
              <w:rPr>
                <w:rFonts w:ascii="Palatino Linotype" w:hAnsi="Palatino Linotype"/>
                <w:bCs w:val="0"/>
                <w:sz w:val="24"/>
                <w:szCs w:val="24"/>
              </w:rPr>
            </w:pPr>
            <w:r w:rsidRPr="00C63D99">
              <w:rPr>
                <w:rFonts w:ascii="Palatino Linotype" w:hAnsi="Palatino Linotype" w:cstheme="majorBidi"/>
                <w:bCs w:val="0"/>
                <w:sz w:val="24"/>
                <w:szCs w:val="24"/>
              </w:rPr>
              <w:lastRenderedPageBreak/>
              <w:t>b) Supuestos de clasificación.</w:t>
            </w:r>
          </w:p>
        </w:tc>
        <w:tc>
          <w:tcPr>
            <w:tcW w:w="6990" w:type="dxa"/>
            <w:hideMark/>
          </w:tcPr>
          <w:p w14:paraId="66CB4CB6" w14:textId="77777777" w:rsidR="00616297" w:rsidRPr="00C63D99" w:rsidRDefault="00616297" w:rsidP="006556CB">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C63D99">
              <w:rPr>
                <w:rFonts w:ascii="Palatino Linotype" w:hAnsi="Palatino Linotype" w:cs="Arial"/>
                <w:color w:val="000000"/>
                <w:sz w:val="24"/>
                <w:szCs w:val="24"/>
              </w:rPr>
              <w:t>Las disposiciones constitucionales y legales en la materia establecen los dos supuestos generales para clasificar la información: por reserva y por confidencialidad.</w:t>
            </w:r>
          </w:p>
          <w:p w14:paraId="204ADC67" w14:textId="77777777" w:rsidR="00616297" w:rsidRPr="00C63D99" w:rsidRDefault="00616297" w:rsidP="006556CB">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C63D99">
              <w:rPr>
                <w:rFonts w:ascii="Palatino Linotype" w:hAnsi="Palatino Linotype" w:cs="Arial"/>
                <w:color w:val="000000"/>
                <w:sz w:val="24"/>
                <w:szCs w:val="24"/>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72F61FAD" w14:textId="77777777" w:rsidR="00616297" w:rsidRPr="00C63D99" w:rsidRDefault="00616297" w:rsidP="006556CB">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rPr>
            </w:pPr>
            <w:r w:rsidRPr="00C63D99">
              <w:rPr>
                <w:rFonts w:ascii="Palatino Linotype" w:hAnsi="Palatino Linotype" w:cs="Arial"/>
                <w:color w:val="000000"/>
                <w:sz w:val="24"/>
                <w:szCs w:val="24"/>
              </w:rPr>
              <w:t xml:space="preserve">El </w:t>
            </w:r>
            <w:r w:rsidRPr="00C63D99">
              <w:rPr>
                <w:rFonts w:ascii="Palatino Linotype" w:hAnsi="Palatino Linotype" w:cs="Arial"/>
                <w:b/>
                <w:color w:val="000000"/>
                <w:sz w:val="24"/>
                <w:szCs w:val="24"/>
              </w:rPr>
              <w:t>Sujeto Obligado</w:t>
            </w:r>
            <w:r w:rsidRPr="00C63D99">
              <w:rPr>
                <w:rFonts w:ascii="Palatino Linotype" w:hAnsi="Palatino Linotype" w:cs="Arial"/>
                <w:color w:val="000000"/>
                <w:sz w:val="24"/>
                <w:szCs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616297" w:rsidRPr="00C63D99" w14:paraId="4A575DF2" w14:textId="77777777" w:rsidTr="006556CB">
        <w:tc>
          <w:tcPr>
            <w:cnfStyle w:val="001000000000" w:firstRow="0" w:lastRow="0" w:firstColumn="1" w:lastColumn="0" w:oddVBand="0" w:evenVBand="0" w:oddHBand="0" w:evenHBand="0" w:firstRowFirstColumn="0" w:firstRowLastColumn="0" w:lastRowFirstColumn="0" w:lastRowLastColumn="0"/>
            <w:tcW w:w="1838" w:type="dxa"/>
            <w:hideMark/>
          </w:tcPr>
          <w:p w14:paraId="557CF755" w14:textId="77777777" w:rsidR="00616297" w:rsidRPr="00C63D99" w:rsidRDefault="00616297" w:rsidP="006556CB">
            <w:pPr>
              <w:tabs>
                <w:tab w:val="left" w:pos="284"/>
              </w:tabs>
              <w:spacing w:line="360" w:lineRule="auto"/>
              <w:rPr>
                <w:rFonts w:ascii="Palatino Linotype" w:hAnsi="Palatino Linotype"/>
                <w:bCs w:val="0"/>
                <w:sz w:val="24"/>
                <w:szCs w:val="24"/>
              </w:rPr>
            </w:pPr>
            <w:r w:rsidRPr="00C63D99">
              <w:rPr>
                <w:rFonts w:ascii="Palatino Linotype" w:hAnsi="Palatino Linotype" w:cstheme="majorBidi"/>
                <w:bCs w:val="0"/>
                <w:sz w:val="24"/>
                <w:szCs w:val="24"/>
              </w:rPr>
              <w:lastRenderedPageBreak/>
              <w:t>c) Formalidades para emitir el acuerdo de clasificación.</w:t>
            </w:r>
          </w:p>
        </w:tc>
        <w:tc>
          <w:tcPr>
            <w:tcW w:w="6990" w:type="dxa"/>
            <w:hideMark/>
          </w:tcPr>
          <w:p w14:paraId="36295B3C" w14:textId="77777777" w:rsidR="00616297" w:rsidRPr="00C63D99" w:rsidRDefault="00616297" w:rsidP="006556CB">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C63D99">
              <w:rPr>
                <w:rFonts w:ascii="Palatino Linotype" w:hAnsi="Palatino Linotype" w:cs="Arial"/>
                <w:color w:val="000000"/>
                <w:sz w:val="24"/>
                <w:szCs w:val="24"/>
              </w:rPr>
              <w:t xml:space="preserve">El Comité de Transparencia, según lo dispuesto en los artículos cuenta con las facultades para aprobar, modificar o revocar la clasificación de la información que haya propuesto. </w:t>
            </w:r>
          </w:p>
          <w:p w14:paraId="6B9DE117" w14:textId="77777777" w:rsidR="00616297" w:rsidRPr="00C63D99" w:rsidRDefault="00616297" w:rsidP="006556CB">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C63D99">
              <w:rPr>
                <w:rFonts w:ascii="Palatino Linotype" w:hAnsi="Palatino Linotype" w:cs="Arial"/>
                <w:color w:val="000000"/>
                <w:sz w:val="24"/>
                <w:szCs w:val="24"/>
              </w:rPr>
              <w:t xml:space="preserve">Es necesario que </w:t>
            </w:r>
            <w:r w:rsidRPr="00C63D99">
              <w:rPr>
                <w:rFonts w:ascii="Palatino Linotype" w:hAnsi="Palatino Linotype" w:cs="Arial"/>
                <w:b/>
                <w:color w:val="000000"/>
                <w:sz w:val="24"/>
                <w:szCs w:val="24"/>
                <w:u w:val="single"/>
              </w:rPr>
              <w:t>el acto reúna con los requisitos elementales</w:t>
            </w:r>
            <w:r w:rsidRPr="00C63D99">
              <w:rPr>
                <w:rFonts w:ascii="Palatino Linotype" w:hAnsi="Palatino Linotype" w:cs="Arial"/>
                <w:color w:val="000000"/>
                <w:sz w:val="24"/>
                <w:szCs w:val="24"/>
              </w:rPr>
              <w:t>, entre ellos, que la autoridad que va a emitir el acto de autoridad sea la legalmente facultada para ello.</w:t>
            </w:r>
          </w:p>
          <w:p w14:paraId="22D11675" w14:textId="77777777" w:rsidR="00616297" w:rsidRPr="00C63D99" w:rsidRDefault="00616297" w:rsidP="006556CB">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C63D99">
              <w:rPr>
                <w:rFonts w:ascii="Palatino Linotype" w:hAnsi="Palatino Linotype" w:cs="Arial"/>
                <w:color w:val="000000"/>
                <w:sz w:val="24"/>
                <w:szCs w:val="24"/>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616297" w:rsidRPr="00C63D99" w14:paraId="0343E23E" w14:textId="77777777" w:rsidTr="006556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4BBE5C8" w14:textId="77777777" w:rsidR="00616297" w:rsidRPr="00C63D99" w:rsidRDefault="00616297" w:rsidP="006556CB">
            <w:pPr>
              <w:tabs>
                <w:tab w:val="left" w:pos="284"/>
              </w:tabs>
              <w:spacing w:line="360" w:lineRule="auto"/>
              <w:rPr>
                <w:rFonts w:ascii="Palatino Linotype" w:hAnsi="Palatino Linotype"/>
                <w:b w:val="0"/>
                <w:sz w:val="24"/>
                <w:szCs w:val="24"/>
              </w:rPr>
            </w:pPr>
          </w:p>
          <w:p w14:paraId="076AED78" w14:textId="77777777" w:rsidR="00616297" w:rsidRPr="00C63D99" w:rsidRDefault="00616297" w:rsidP="006556CB">
            <w:pPr>
              <w:tabs>
                <w:tab w:val="left" w:pos="284"/>
              </w:tabs>
              <w:spacing w:line="360" w:lineRule="auto"/>
              <w:jc w:val="both"/>
              <w:rPr>
                <w:rFonts w:ascii="Palatino Linotype" w:hAnsi="Palatino Linotype"/>
                <w:bCs w:val="0"/>
                <w:sz w:val="24"/>
                <w:szCs w:val="24"/>
              </w:rPr>
            </w:pPr>
            <w:r w:rsidRPr="00C63D99">
              <w:rPr>
                <w:rFonts w:ascii="Palatino Linotype" w:hAnsi="Palatino Linotype" w:cs="Arial"/>
                <w:bCs w:val="0"/>
                <w:color w:val="000000"/>
                <w:sz w:val="24"/>
                <w:szCs w:val="24"/>
              </w:rPr>
              <w:t xml:space="preserve">d) Requisitos de fondo del acuerdo de clasificación. </w:t>
            </w:r>
          </w:p>
        </w:tc>
        <w:tc>
          <w:tcPr>
            <w:tcW w:w="6990" w:type="dxa"/>
            <w:hideMark/>
          </w:tcPr>
          <w:p w14:paraId="2C24D6D5" w14:textId="77777777" w:rsidR="00616297" w:rsidRPr="00C63D99" w:rsidRDefault="00616297" w:rsidP="006556CB">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C63D99">
              <w:rPr>
                <w:rFonts w:ascii="Palatino Linotype" w:hAnsi="Palatino Linotype" w:cs="Arial"/>
                <w:color w:val="000000"/>
                <w:sz w:val="24"/>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w:t>
            </w:r>
            <w:r w:rsidRPr="00C63D99">
              <w:rPr>
                <w:rFonts w:ascii="Palatino Linotype" w:hAnsi="Palatino Linotype" w:cs="Arial"/>
                <w:color w:val="000000"/>
                <w:sz w:val="24"/>
                <w:szCs w:val="24"/>
              </w:rPr>
              <w:lastRenderedPageBreak/>
              <w:t xml:space="preserve">prueba, para justificar las restricciones, corresponde a los </w:t>
            </w:r>
            <w:r w:rsidRPr="00C63D99">
              <w:rPr>
                <w:rFonts w:ascii="Palatino Linotype" w:hAnsi="Palatino Linotype" w:cs="Arial"/>
                <w:b/>
                <w:color w:val="000000"/>
                <w:sz w:val="24"/>
                <w:szCs w:val="24"/>
              </w:rPr>
              <w:t>Sujetos Obligados</w:t>
            </w:r>
            <w:r w:rsidRPr="00C63D99">
              <w:rPr>
                <w:rFonts w:ascii="Palatino Linotype" w:hAnsi="Palatino Linotype" w:cs="Arial"/>
                <w:color w:val="000000"/>
                <w:sz w:val="24"/>
                <w:szCs w:val="24"/>
              </w:rPr>
              <w:t xml:space="preserve">, por lo que deberán fundar y motivar debidamente la clasificación. </w:t>
            </w:r>
          </w:p>
          <w:p w14:paraId="1C5272BC" w14:textId="77777777" w:rsidR="00616297" w:rsidRPr="00C63D99" w:rsidRDefault="00616297" w:rsidP="006556CB">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C63D99">
              <w:rPr>
                <w:rFonts w:ascii="Palatino Linotype" w:hAnsi="Palatino Linotype" w:cs="Arial"/>
                <w:color w:val="000000"/>
                <w:sz w:val="24"/>
                <w:szCs w:val="24"/>
              </w:rPr>
              <w:t xml:space="preserve">De lo anterior, se desprende </w:t>
            </w:r>
            <w:proofErr w:type="gramStart"/>
            <w:r w:rsidRPr="00C63D99">
              <w:rPr>
                <w:rFonts w:ascii="Palatino Linotype" w:hAnsi="Palatino Linotype" w:cs="Arial"/>
                <w:color w:val="000000"/>
                <w:sz w:val="24"/>
                <w:szCs w:val="24"/>
              </w:rPr>
              <w:t>que</w:t>
            </w:r>
            <w:proofErr w:type="gramEnd"/>
            <w:r w:rsidRPr="00C63D99">
              <w:rPr>
                <w:rFonts w:ascii="Palatino Linotype" w:hAnsi="Palatino Linotype" w:cs="Arial"/>
                <w:color w:val="000000"/>
                <w:sz w:val="24"/>
                <w:szCs w:val="24"/>
              </w:rPr>
              <w:t xml:space="preserve"> para una correcta </w:t>
            </w:r>
            <w:r w:rsidRPr="00C63D99">
              <w:rPr>
                <w:rFonts w:ascii="Palatino Linotype" w:hAnsi="Palatino Linotype" w:cs="Arial"/>
                <w:b/>
                <w:color w:val="000000"/>
                <w:sz w:val="24"/>
                <w:szCs w:val="24"/>
              </w:rPr>
              <w:t>clasificación total o parcial</w:t>
            </w:r>
            <w:r w:rsidRPr="00C63D99">
              <w:rPr>
                <w:rFonts w:ascii="Palatino Linotype" w:hAnsi="Palatino Linotype" w:cs="Arial"/>
                <w:color w:val="000000"/>
                <w:sz w:val="24"/>
                <w:szCs w:val="24"/>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2086978" w14:textId="77777777" w:rsidR="00616297" w:rsidRPr="00C63D99" w:rsidRDefault="00616297" w:rsidP="006556CB">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C63D99">
              <w:rPr>
                <w:rFonts w:ascii="Palatino Linotype" w:hAnsi="Palatino Linotype" w:cs="Arial"/>
                <w:color w:val="000000"/>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37C2EBE6" w14:textId="77777777" w:rsidR="00616297" w:rsidRPr="00C63D99" w:rsidRDefault="00616297" w:rsidP="006556CB">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C63D99">
              <w:rPr>
                <w:rFonts w:ascii="Palatino Linotype" w:hAnsi="Palatino Linotype" w:cs="Arial"/>
                <w:color w:val="000000"/>
                <w:sz w:val="24"/>
                <w:szCs w:val="24"/>
              </w:rPr>
              <w:t xml:space="preserve">En ese mismo sentido, el numeral trigésimo tercero fracción V de los Lineamientos Generales, precisa que para motivar la </w:t>
            </w:r>
            <w:r w:rsidRPr="00C63D99">
              <w:rPr>
                <w:rFonts w:ascii="Palatino Linotype" w:hAnsi="Palatino Linotype" w:cs="Arial"/>
                <w:color w:val="000000"/>
                <w:sz w:val="24"/>
                <w:szCs w:val="24"/>
              </w:rPr>
              <w:lastRenderedPageBreak/>
              <w:t>clasificación se deben acreditar las circunstancias de tiempo, modo y lugar.</w:t>
            </w:r>
          </w:p>
          <w:p w14:paraId="4BE09F16" w14:textId="77777777" w:rsidR="00616297" w:rsidRPr="00C63D99" w:rsidRDefault="00616297" w:rsidP="006556CB">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C63D99">
              <w:rPr>
                <w:rFonts w:ascii="Palatino Linotype" w:hAnsi="Palatino Linotype" w:cs="Arial"/>
                <w:color w:val="000000"/>
                <w:sz w:val="24"/>
                <w:szCs w:val="24"/>
              </w:rPr>
              <w:t xml:space="preserve">Ahora bien, </w:t>
            </w:r>
            <w:r w:rsidRPr="00C63D99">
              <w:rPr>
                <w:rFonts w:ascii="Palatino Linotype" w:hAnsi="Palatino Linotype" w:cs="Arial"/>
                <w:b/>
                <w:color w:val="000000"/>
                <w:sz w:val="24"/>
                <w:szCs w:val="24"/>
                <w:u w:val="single"/>
              </w:rPr>
              <w:t>para cada caso además de fundar y motivar</w:t>
            </w:r>
            <w:r w:rsidRPr="00C63D99">
              <w:rPr>
                <w:rFonts w:ascii="Palatino Linotype" w:hAnsi="Palatino Linotype" w:cs="Arial"/>
                <w:color w:val="000000"/>
                <w:sz w:val="24"/>
                <w:szCs w:val="24"/>
              </w:rPr>
              <w:t xml:space="preserve">, se debe identificar con claridad que datos contenidos en las documentales que son susceptibles de suprimirse, por ejemplo; </w:t>
            </w:r>
            <w:r w:rsidRPr="00C63D99">
              <w:rPr>
                <w:rFonts w:ascii="Palatino Linotype" w:hAnsi="Palatino Linotype" w:cs="Arial"/>
                <w:color w:val="000000"/>
                <w:sz w:val="24"/>
                <w:szCs w:val="24"/>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616297" w:rsidRPr="00C63D99" w14:paraId="7346F653" w14:textId="77777777" w:rsidTr="006556CB">
        <w:tc>
          <w:tcPr>
            <w:cnfStyle w:val="001000000000" w:firstRow="0" w:lastRow="0" w:firstColumn="1" w:lastColumn="0" w:oddVBand="0" w:evenVBand="0" w:oddHBand="0" w:evenHBand="0" w:firstRowFirstColumn="0" w:firstRowLastColumn="0" w:lastRowFirstColumn="0" w:lastRowLastColumn="0"/>
            <w:tcW w:w="1838" w:type="dxa"/>
          </w:tcPr>
          <w:p w14:paraId="5E4B106E" w14:textId="77777777" w:rsidR="00616297" w:rsidRPr="00C63D99" w:rsidRDefault="00616297" w:rsidP="006556CB">
            <w:pPr>
              <w:tabs>
                <w:tab w:val="left" w:pos="284"/>
              </w:tabs>
              <w:spacing w:line="360" w:lineRule="auto"/>
              <w:ind w:right="49"/>
              <w:jc w:val="both"/>
              <w:rPr>
                <w:rFonts w:ascii="Palatino Linotype" w:hAnsi="Palatino Linotype" w:cs="Arial"/>
                <w:bCs w:val="0"/>
                <w:sz w:val="24"/>
                <w:szCs w:val="24"/>
              </w:rPr>
            </w:pPr>
            <w:r w:rsidRPr="00C63D99">
              <w:rPr>
                <w:rFonts w:ascii="Palatino Linotype" w:eastAsia="MS Gothic" w:hAnsi="Palatino Linotype" w:cs="Times New Roman"/>
                <w:b w:val="0"/>
                <w:sz w:val="24"/>
                <w:szCs w:val="24"/>
              </w:rPr>
              <w:lastRenderedPageBreak/>
              <w:t>e</w:t>
            </w:r>
            <w:r w:rsidRPr="00C63D99">
              <w:rPr>
                <w:rFonts w:ascii="Palatino Linotype" w:eastAsia="MS Gothic" w:hAnsi="Palatino Linotype" w:cs="Times New Roman"/>
                <w:bCs w:val="0"/>
                <w:sz w:val="24"/>
                <w:szCs w:val="24"/>
              </w:rPr>
              <w:t xml:space="preserve">) Condiciones especiales de la clasificación de la información como confidencial. </w:t>
            </w:r>
          </w:p>
        </w:tc>
        <w:tc>
          <w:tcPr>
            <w:tcW w:w="6990" w:type="dxa"/>
            <w:hideMark/>
          </w:tcPr>
          <w:p w14:paraId="00C236BE" w14:textId="77777777" w:rsidR="00616297" w:rsidRPr="00C63D99" w:rsidRDefault="00616297" w:rsidP="006556CB">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C63D99">
              <w:rPr>
                <w:rFonts w:ascii="Palatino Linotype" w:hAnsi="Palatino Linotype" w:cs="Arial"/>
                <w:color w:val="000000"/>
                <w:sz w:val="24"/>
                <w:szCs w:val="24"/>
              </w:rPr>
              <w:t xml:space="preserve">Los artículos 148 y 120 de la Ley Estatal y de la Ley General, respectivamente, establecen </w:t>
            </w:r>
            <w:proofErr w:type="gramStart"/>
            <w:r w:rsidRPr="00C63D99">
              <w:rPr>
                <w:rFonts w:ascii="Palatino Linotype" w:hAnsi="Palatino Linotype" w:cs="Arial"/>
                <w:color w:val="000000"/>
                <w:sz w:val="24"/>
                <w:szCs w:val="24"/>
              </w:rPr>
              <w:t>que</w:t>
            </w:r>
            <w:proofErr w:type="gramEnd"/>
            <w:r w:rsidRPr="00C63D99">
              <w:rPr>
                <w:rFonts w:ascii="Palatino Linotype" w:hAnsi="Palatino Linotype" w:cs="Arial"/>
                <w:color w:val="000000"/>
                <w:sz w:val="24"/>
                <w:szCs w:val="24"/>
              </w:rPr>
              <w:t xml:space="preserve"> aun tratándose de datos personales, se podrán proporcionar, incluso sin solicitar el consentimiento de su titular. </w:t>
            </w:r>
          </w:p>
          <w:p w14:paraId="35BAB4EC" w14:textId="77777777" w:rsidR="00616297" w:rsidRPr="00C63D99" w:rsidRDefault="00616297" w:rsidP="006556CB">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C63D99">
              <w:rPr>
                <w:rFonts w:ascii="Palatino Linotype" w:hAnsi="Palatino Linotype" w:cs="Arial"/>
                <w:color w:val="000000"/>
                <w:sz w:val="24"/>
                <w:szCs w:val="24"/>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56BB876B" w14:textId="77777777" w:rsidR="00616297" w:rsidRPr="00C63D99" w:rsidRDefault="00616297" w:rsidP="006556CB">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C63D99">
              <w:rPr>
                <w:rFonts w:ascii="Palatino Linotype" w:hAnsi="Palatino Linotype" w:cs="Arial"/>
                <w:color w:val="000000"/>
                <w:sz w:val="24"/>
                <w:szCs w:val="24"/>
              </w:rPr>
              <w:lastRenderedPageBreak/>
              <w:t xml:space="preserve">Pero si la información que se pretende clasificar como confidencial no se encuentra en los supuestos de los artículos señalados y es posible, se deberá consultar al titular de los datos si permite o no el acceso. De no ser posible, la realización de la </w:t>
            </w:r>
            <w:proofErr w:type="gramStart"/>
            <w:r w:rsidRPr="00C63D99">
              <w:rPr>
                <w:rFonts w:ascii="Palatino Linotype" w:hAnsi="Palatino Linotype" w:cs="Arial"/>
                <w:color w:val="000000"/>
                <w:sz w:val="24"/>
                <w:szCs w:val="24"/>
              </w:rPr>
              <w:t>consulta,</w:t>
            </w:r>
            <w:proofErr w:type="gramEnd"/>
            <w:r w:rsidRPr="00C63D99">
              <w:rPr>
                <w:rFonts w:ascii="Palatino Linotype" w:hAnsi="Palatino Linotype" w:cs="Arial"/>
                <w:color w:val="000000"/>
                <w:sz w:val="24"/>
                <w:szCs w:val="24"/>
              </w:rPr>
              <w:t xml:space="preserve"> procede, fundando y motivando, la clasificación.</w:t>
            </w:r>
          </w:p>
        </w:tc>
      </w:tr>
    </w:tbl>
    <w:p w14:paraId="0464C1EC" w14:textId="77777777" w:rsidR="00616297" w:rsidRPr="00C63D99" w:rsidRDefault="00616297" w:rsidP="00616297">
      <w:pPr>
        <w:pStyle w:val="Prrafodelista"/>
        <w:tabs>
          <w:tab w:val="left" w:pos="284"/>
        </w:tabs>
        <w:ind w:left="0"/>
        <w:rPr>
          <w:rFonts w:ascii="Palatino Linotype" w:hAnsi="Palatino Linotype" w:cs="Arial"/>
          <w:color w:val="000000"/>
        </w:rPr>
      </w:pPr>
    </w:p>
    <w:p w14:paraId="22BC12F9" w14:textId="77777777" w:rsidR="00616297" w:rsidRPr="00C63D99" w:rsidRDefault="00616297" w:rsidP="00616297">
      <w:pPr>
        <w:pStyle w:val="Prrafodelista"/>
        <w:numPr>
          <w:ilvl w:val="0"/>
          <w:numId w:val="2"/>
        </w:numPr>
        <w:tabs>
          <w:tab w:val="left" w:pos="284"/>
        </w:tabs>
        <w:spacing w:line="360" w:lineRule="auto"/>
        <w:ind w:left="0" w:firstLine="0"/>
        <w:jc w:val="both"/>
        <w:rPr>
          <w:rFonts w:ascii="Palatino Linotype" w:hAnsi="Palatino Linotype" w:cs="Arial"/>
          <w:color w:val="000000"/>
          <w:sz w:val="24"/>
        </w:rPr>
      </w:pPr>
      <w:r w:rsidRPr="00C63D99">
        <w:rPr>
          <w:rFonts w:ascii="Palatino Linotype" w:hAnsi="Palatino Linotype" w:cs="Arial"/>
          <w:sz w:val="24"/>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5FED2FCB" w14:textId="77777777" w:rsidR="00855DD6" w:rsidRPr="00C63D99" w:rsidRDefault="00855DD6" w:rsidP="00855DD6">
      <w:pPr>
        <w:pStyle w:val="Prrafodelista"/>
        <w:rPr>
          <w:rFonts w:ascii="Palatino Linotype" w:eastAsia="Calibri" w:hAnsi="Palatino Linotype" w:cs="Arial"/>
          <w:sz w:val="24"/>
        </w:rPr>
      </w:pPr>
    </w:p>
    <w:bookmarkEnd w:id="15"/>
    <w:p w14:paraId="18814E0F" w14:textId="77777777" w:rsidR="005000AA" w:rsidRPr="00C63D99" w:rsidRDefault="005000AA" w:rsidP="005000AA">
      <w:pPr>
        <w:pStyle w:val="Prrafodelista"/>
        <w:numPr>
          <w:ilvl w:val="0"/>
          <w:numId w:val="3"/>
        </w:numPr>
        <w:tabs>
          <w:tab w:val="left" w:pos="567"/>
        </w:tabs>
        <w:spacing w:line="360" w:lineRule="auto"/>
        <w:ind w:left="0" w:firstLine="0"/>
        <w:jc w:val="both"/>
        <w:rPr>
          <w:rFonts w:ascii="Palatino Linotype" w:eastAsia="Calibri" w:hAnsi="Palatino Linotype" w:cs="Arial"/>
          <w:sz w:val="24"/>
        </w:rPr>
      </w:pPr>
      <w:r w:rsidRPr="00C63D99">
        <w:rPr>
          <w:rFonts w:ascii="Palatino Linotype" w:hAnsi="Palatino Linotype" w:cs="Arial"/>
          <w:color w:val="222222"/>
          <w:sz w:val="24"/>
          <w:lang w:eastAsia="es-MX"/>
        </w:rPr>
        <w:t xml:space="preserve">Por lo anteriormente expuesto y fundado, este </w:t>
      </w:r>
      <w:r w:rsidRPr="00C63D99">
        <w:rPr>
          <w:rFonts w:ascii="Palatino Linotype" w:hAnsi="Palatino Linotype" w:cs="Arial"/>
          <w:b/>
          <w:bCs/>
          <w:color w:val="222222"/>
          <w:sz w:val="24"/>
          <w:lang w:eastAsia="es-MX"/>
        </w:rPr>
        <w:t>ÓRGANO GARANTE</w:t>
      </w:r>
      <w:r w:rsidRPr="00C63D99">
        <w:rPr>
          <w:rFonts w:ascii="Palatino Linotype" w:hAnsi="Palatino Linotype" w:cs="Arial"/>
          <w:color w:val="222222"/>
          <w:sz w:val="24"/>
          <w:lang w:eastAsia="es-MX"/>
        </w:rPr>
        <w:t xml:space="preserve"> emite los siguientes:</w:t>
      </w:r>
    </w:p>
    <w:p w14:paraId="15F72B0A" w14:textId="77777777" w:rsidR="005000AA" w:rsidRPr="00C63D99" w:rsidRDefault="005000AA" w:rsidP="00DB2180">
      <w:pPr>
        <w:pStyle w:val="Ttulo1"/>
        <w:jc w:val="center"/>
        <w:rPr>
          <w:rFonts w:ascii="Palatino Linotype" w:hAnsi="Palatino Linotype"/>
          <w:b/>
          <w:color w:val="auto"/>
          <w:sz w:val="24"/>
          <w:szCs w:val="24"/>
        </w:rPr>
      </w:pPr>
      <w:bookmarkStart w:id="42" w:name="_Toc4061692"/>
      <w:bookmarkStart w:id="43" w:name="_Toc486525261"/>
      <w:bookmarkStart w:id="44" w:name="_Toc445745148"/>
      <w:bookmarkStart w:id="45" w:name="_Toc447699324"/>
      <w:bookmarkStart w:id="46" w:name="_Toc87549684"/>
      <w:r w:rsidRPr="00C63D99">
        <w:rPr>
          <w:rFonts w:ascii="Palatino Linotype" w:hAnsi="Palatino Linotype"/>
          <w:b/>
          <w:color w:val="auto"/>
          <w:sz w:val="24"/>
          <w:szCs w:val="24"/>
        </w:rPr>
        <w:t>R E S O L U T I V O S</w:t>
      </w:r>
      <w:bookmarkEnd w:id="42"/>
      <w:bookmarkEnd w:id="43"/>
      <w:bookmarkEnd w:id="44"/>
      <w:bookmarkEnd w:id="45"/>
      <w:bookmarkEnd w:id="46"/>
    </w:p>
    <w:p w14:paraId="463AEB82" w14:textId="77777777" w:rsidR="005000AA" w:rsidRPr="00C63D99" w:rsidRDefault="005000AA" w:rsidP="005000AA">
      <w:pPr>
        <w:keepNext/>
        <w:keepLines/>
        <w:spacing w:line="360" w:lineRule="auto"/>
        <w:jc w:val="center"/>
        <w:outlineLvl w:val="0"/>
        <w:rPr>
          <w:rFonts w:ascii="Palatino Linotype" w:hAnsi="Palatino Linotype" w:cstheme="majorBidi"/>
          <w:b/>
          <w:bCs/>
          <w:sz w:val="24"/>
          <w:szCs w:val="24"/>
        </w:rPr>
      </w:pPr>
    </w:p>
    <w:p w14:paraId="1EED9828" w14:textId="4F1667E5" w:rsidR="00616297" w:rsidRPr="00C63D99" w:rsidRDefault="00616297" w:rsidP="00616297">
      <w:pPr>
        <w:tabs>
          <w:tab w:val="left" w:pos="284"/>
        </w:tabs>
        <w:spacing w:line="360" w:lineRule="auto"/>
        <w:jc w:val="both"/>
        <w:rPr>
          <w:rFonts w:ascii="Palatino Linotype" w:eastAsiaTheme="minorEastAsia" w:hAnsi="Palatino Linotype" w:cs="Arial"/>
          <w:bCs/>
          <w:sz w:val="24"/>
          <w:szCs w:val="24"/>
          <w:lang w:val="es-ES_tradnl" w:eastAsia="es-MX"/>
        </w:rPr>
      </w:pPr>
      <w:r w:rsidRPr="00C63D99">
        <w:rPr>
          <w:rFonts w:ascii="Palatino Linotype" w:hAnsi="Palatino Linotype" w:cs="Arial"/>
          <w:b/>
          <w:sz w:val="24"/>
          <w:szCs w:val="24"/>
          <w:lang w:val="es-ES_tradnl"/>
        </w:rPr>
        <w:t xml:space="preserve">PRIMERO. </w:t>
      </w:r>
      <w:r w:rsidRPr="00C63D99">
        <w:rPr>
          <w:rFonts w:ascii="Palatino Linotype" w:hAnsi="Palatino Linotype" w:cs="Arial"/>
          <w:sz w:val="24"/>
          <w:szCs w:val="24"/>
          <w:lang w:val="es-ES_tradnl"/>
        </w:rPr>
        <w:t>Resultan fundadas las</w:t>
      </w:r>
      <w:r w:rsidRPr="00C63D99">
        <w:rPr>
          <w:rFonts w:ascii="Palatino Linotype" w:hAnsi="Palatino Linotype" w:cs="Arial"/>
          <w:b/>
          <w:sz w:val="24"/>
          <w:szCs w:val="24"/>
          <w:lang w:val="es-ES_tradnl"/>
        </w:rPr>
        <w:t xml:space="preserve"> </w:t>
      </w:r>
      <w:r w:rsidRPr="00C63D99">
        <w:rPr>
          <w:rFonts w:ascii="Palatino Linotype" w:hAnsi="Palatino Linotype" w:cs="Arial"/>
          <w:sz w:val="24"/>
          <w:szCs w:val="24"/>
          <w:lang w:val="es-ES"/>
        </w:rPr>
        <w:t xml:space="preserve">razones o motivos de inconformidad hechos valer en </w:t>
      </w:r>
      <w:r w:rsidR="00254BE7" w:rsidRPr="00C63D99">
        <w:rPr>
          <w:rFonts w:ascii="Palatino Linotype" w:hAnsi="Palatino Linotype" w:cs="Arial"/>
          <w:sz w:val="24"/>
          <w:szCs w:val="24"/>
          <w:lang w:val="es-ES"/>
        </w:rPr>
        <w:t>los</w:t>
      </w:r>
      <w:r w:rsidRPr="00C63D99">
        <w:rPr>
          <w:rFonts w:ascii="Palatino Linotype" w:hAnsi="Palatino Linotype" w:cs="Arial"/>
          <w:sz w:val="24"/>
          <w:szCs w:val="24"/>
          <w:lang w:val="es-ES"/>
        </w:rPr>
        <w:t xml:space="preserve"> recurso</w:t>
      </w:r>
      <w:r w:rsidR="00254BE7" w:rsidRPr="00C63D99">
        <w:rPr>
          <w:rFonts w:ascii="Palatino Linotype" w:hAnsi="Palatino Linotype" w:cs="Arial"/>
          <w:sz w:val="24"/>
          <w:szCs w:val="24"/>
          <w:lang w:val="es-ES"/>
        </w:rPr>
        <w:t>s</w:t>
      </w:r>
      <w:r w:rsidRPr="00C63D99">
        <w:rPr>
          <w:rFonts w:ascii="Palatino Linotype" w:hAnsi="Palatino Linotype" w:cs="Arial"/>
          <w:sz w:val="24"/>
          <w:szCs w:val="24"/>
          <w:lang w:val="es-ES"/>
        </w:rPr>
        <w:t xml:space="preserve"> de revisión </w:t>
      </w:r>
      <w:r w:rsidR="00254BE7" w:rsidRPr="00C63D99">
        <w:rPr>
          <w:rFonts w:ascii="Palatino Linotype" w:eastAsia="Calibri" w:hAnsi="Palatino Linotype" w:cs="Tahoma"/>
          <w:b/>
          <w:sz w:val="24"/>
          <w:lang w:eastAsia="en-US"/>
        </w:rPr>
        <w:t>01133/INFOEM/IP/RR/2022, 01134/INFOEM/IP/RR/2022, 01135/INFOEM/IP/RR/2022, 01136/INFOEM/IP/RR/2022 y 01137/INFOEM/IP/RR/2022</w:t>
      </w:r>
      <w:r w:rsidR="00254BE7" w:rsidRPr="00C63D99">
        <w:rPr>
          <w:rFonts w:ascii="Palatino Linotype" w:hAnsi="Palatino Linotype" w:cs="Arial"/>
          <w:b/>
          <w:bCs/>
          <w:sz w:val="24"/>
          <w:szCs w:val="24"/>
        </w:rPr>
        <w:t xml:space="preserve"> </w:t>
      </w:r>
      <w:r w:rsidRPr="00C63D99">
        <w:rPr>
          <w:rFonts w:ascii="Palatino Linotype" w:eastAsiaTheme="minorEastAsia" w:hAnsi="Palatino Linotype" w:cs="Arial"/>
          <w:bCs/>
          <w:sz w:val="24"/>
          <w:szCs w:val="24"/>
          <w:lang w:val="es-ES_tradnl" w:eastAsia="es-MX"/>
        </w:rPr>
        <w:t xml:space="preserve">en términos del </w:t>
      </w:r>
      <w:r w:rsidRPr="00C63D99">
        <w:rPr>
          <w:rFonts w:ascii="Palatino Linotype" w:eastAsiaTheme="minorEastAsia" w:hAnsi="Palatino Linotype" w:cs="Arial"/>
          <w:b/>
          <w:bCs/>
          <w:sz w:val="24"/>
          <w:szCs w:val="24"/>
          <w:lang w:val="es-ES_tradnl" w:eastAsia="es-MX"/>
        </w:rPr>
        <w:t xml:space="preserve">Considerando </w:t>
      </w:r>
      <w:r w:rsidR="00584F84" w:rsidRPr="00C63D99">
        <w:rPr>
          <w:rFonts w:ascii="Palatino Linotype" w:eastAsiaTheme="minorEastAsia" w:hAnsi="Palatino Linotype" w:cs="Arial"/>
          <w:b/>
          <w:bCs/>
          <w:sz w:val="24"/>
          <w:szCs w:val="24"/>
          <w:lang w:val="es-ES_tradnl" w:eastAsia="es-MX"/>
        </w:rPr>
        <w:t>CUARTO</w:t>
      </w:r>
      <w:r w:rsidRPr="00C63D99">
        <w:rPr>
          <w:rFonts w:ascii="Palatino Linotype" w:eastAsiaTheme="minorEastAsia" w:hAnsi="Palatino Linotype" w:cs="Arial"/>
          <w:b/>
          <w:bCs/>
          <w:sz w:val="24"/>
          <w:szCs w:val="24"/>
          <w:lang w:val="es-ES_tradnl" w:eastAsia="es-MX"/>
        </w:rPr>
        <w:t xml:space="preserve"> </w:t>
      </w:r>
      <w:r w:rsidRPr="00C63D99">
        <w:rPr>
          <w:rFonts w:ascii="Palatino Linotype" w:eastAsiaTheme="minorEastAsia" w:hAnsi="Palatino Linotype" w:cs="Arial"/>
          <w:bCs/>
          <w:sz w:val="24"/>
          <w:szCs w:val="24"/>
          <w:lang w:val="es-ES_tradnl" w:eastAsia="es-MX"/>
        </w:rPr>
        <w:t xml:space="preserve">de la presente resolución. </w:t>
      </w:r>
    </w:p>
    <w:p w14:paraId="1BF2EAD5" w14:textId="77777777" w:rsidR="00616297" w:rsidRPr="00C63D99" w:rsidRDefault="00616297" w:rsidP="00616297">
      <w:pPr>
        <w:tabs>
          <w:tab w:val="left" w:pos="284"/>
        </w:tabs>
        <w:spacing w:line="360" w:lineRule="auto"/>
        <w:jc w:val="both"/>
        <w:rPr>
          <w:rFonts w:ascii="Palatino Linotype" w:eastAsiaTheme="minorEastAsia" w:hAnsi="Palatino Linotype" w:cs="Arial"/>
          <w:bCs/>
          <w:sz w:val="24"/>
          <w:szCs w:val="24"/>
          <w:lang w:val="es-ES_tradnl" w:eastAsia="es-MX"/>
        </w:rPr>
      </w:pPr>
    </w:p>
    <w:p w14:paraId="5127BEFA" w14:textId="3778F3CD" w:rsidR="00616297" w:rsidRPr="00C63D99" w:rsidRDefault="00616297" w:rsidP="00616297">
      <w:pPr>
        <w:tabs>
          <w:tab w:val="left" w:pos="284"/>
        </w:tabs>
        <w:spacing w:line="360" w:lineRule="auto"/>
        <w:jc w:val="both"/>
        <w:rPr>
          <w:rFonts w:ascii="Palatino Linotype" w:eastAsia="Calibri" w:hAnsi="Palatino Linotype" w:cs="Arial"/>
          <w:sz w:val="24"/>
          <w:szCs w:val="24"/>
          <w:lang w:val="es-ES"/>
        </w:rPr>
      </w:pPr>
      <w:r w:rsidRPr="00C63D99">
        <w:rPr>
          <w:rFonts w:ascii="Palatino Linotype" w:eastAsia="Calibri" w:hAnsi="Palatino Linotype" w:cs="Arial"/>
          <w:b/>
          <w:bCs/>
          <w:sz w:val="24"/>
          <w:szCs w:val="24"/>
          <w:lang w:val="es-ES"/>
        </w:rPr>
        <w:lastRenderedPageBreak/>
        <w:t xml:space="preserve">SEGUNDO. </w:t>
      </w:r>
      <w:r w:rsidRPr="00C63D99">
        <w:rPr>
          <w:rFonts w:ascii="Palatino Linotype" w:eastAsia="Calibri" w:hAnsi="Palatino Linotype" w:cs="Arial"/>
          <w:sz w:val="24"/>
          <w:szCs w:val="24"/>
          <w:lang w:val="es-ES"/>
        </w:rPr>
        <w:t xml:space="preserve">Se </w:t>
      </w:r>
      <w:r w:rsidRPr="00C63D99">
        <w:rPr>
          <w:rFonts w:ascii="Palatino Linotype" w:eastAsia="Calibri" w:hAnsi="Palatino Linotype" w:cs="Arial"/>
          <w:b/>
          <w:sz w:val="24"/>
          <w:szCs w:val="24"/>
          <w:lang w:val="es-ES"/>
        </w:rPr>
        <w:t xml:space="preserve">ORDENA </w:t>
      </w:r>
      <w:r w:rsidRPr="00C63D99">
        <w:rPr>
          <w:rFonts w:ascii="Palatino Linotype" w:eastAsia="Calibri" w:hAnsi="Palatino Linotype" w:cs="Arial"/>
          <w:sz w:val="24"/>
          <w:szCs w:val="24"/>
          <w:lang w:val="es-ES"/>
        </w:rPr>
        <w:t xml:space="preserve">al </w:t>
      </w:r>
      <w:r w:rsidR="007441D8" w:rsidRPr="00C63D99">
        <w:rPr>
          <w:rFonts w:ascii="Palatino Linotype" w:eastAsia="Calibri" w:hAnsi="Palatino Linotype" w:cs="Tahoma"/>
          <w:b/>
          <w:sz w:val="24"/>
          <w:szCs w:val="28"/>
          <w:lang w:eastAsia="en-US"/>
        </w:rPr>
        <w:t>Ayuntamiento de Metepec</w:t>
      </w:r>
      <w:r w:rsidRPr="00C63D99">
        <w:rPr>
          <w:rFonts w:ascii="Palatino Linotype" w:eastAsia="Calibri" w:hAnsi="Palatino Linotype" w:cs="Arial"/>
          <w:b/>
          <w:bCs/>
          <w:sz w:val="24"/>
          <w:szCs w:val="24"/>
          <w:lang w:val="es-ES_tradnl"/>
        </w:rPr>
        <w:t xml:space="preserve"> </w:t>
      </w:r>
      <w:r w:rsidRPr="00C63D99">
        <w:rPr>
          <w:rFonts w:ascii="Palatino Linotype" w:eastAsia="Calibri" w:hAnsi="Palatino Linotype" w:cs="Arial"/>
          <w:sz w:val="24"/>
          <w:szCs w:val="24"/>
          <w:lang w:val="es-ES"/>
        </w:rPr>
        <w:t>dar atención a la</w:t>
      </w:r>
      <w:r w:rsidR="00254BE7" w:rsidRPr="00C63D99">
        <w:rPr>
          <w:rFonts w:ascii="Palatino Linotype" w:eastAsia="Calibri" w:hAnsi="Palatino Linotype" w:cs="Arial"/>
          <w:sz w:val="24"/>
          <w:szCs w:val="24"/>
          <w:lang w:val="es-ES"/>
        </w:rPr>
        <w:t>s</w:t>
      </w:r>
      <w:r w:rsidRPr="00C63D99">
        <w:rPr>
          <w:rFonts w:ascii="Palatino Linotype" w:eastAsia="Calibri" w:hAnsi="Palatino Linotype" w:cs="Arial"/>
          <w:sz w:val="24"/>
          <w:szCs w:val="24"/>
          <w:lang w:val="es-ES"/>
        </w:rPr>
        <w:t xml:space="preserve"> solicitud</w:t>
      </w:r>
      <w:r w:rsidR="00254BE7" w:rsidRPr="00C63D99">
        <w:rPr>
          <w:rFonts w:ascii="Palatino Linotype" w:eastAsia="Calibri" w:hAnsi="Palatino Linotype" w:cs="Arial"/>
          <w:sz w:val="24"/>
          <w:szCs w:val="24"/>
          <w:lang w:val="es-ES"/>
        </w:rPr>
        <w:t>es</w:t>
      </w:r>
      <w:r w:rsidRPr="00C63D99">
        <w:rPr>
          <w:rFonts w:ascii="Palatino Linotype" w:eastAsia="Calibri" w:hAnsi="Palatino Linotype" w:cs="Arial"/>
          <w:sz w:val="24"/>
          <w:szCs w:val="24"/>
          <w:lang w:val="es-ES"/>
        </w:rPr>
        <w:t xml:space="preserve"> de información </w:t>
      </w:r>
      <w:r w:rsidR="00254BE7" w:rsidRPr="00C63D99">
        <w:rPr>
          <w:rFonts w:ascii="Palatino Linotype" w:eastAsia="Calibri" w:hAnsi="Palatino Linotype" w:cs="Arial"/>
          <w:b/>
          <w:sz w:val="24"/>
          <w:lang w:val="es-ES"/>
        </w:rPr>
        <w:t>01720/METEPEC/IP/2022, 01721/METEPEC/IP/2022, 01722/METEPEC/IP/2022, 01723/METEPEC/IP/2022 y 01724/METEPEC/IP/2022</w:t>
      </w:r>
      <w:r w:rsidR="00254BE7" w:rsidRPr="00C63D99">
        <w:rPr>
          <w:rFonts w:ascii="Palatino Linotype" w:hAnsi="Palatino Linotype"/>
          <w:b/>
          <w:sz w:val="24"/>
          <w:lang w:val="es-ES"/>
        </w:rPr>
        <w:t xml:space="preserve"> </w:t>
      </w:r>
      <w:r w:rsidRPr="00C63D99">
        <w:rPr>
          <w:rFonts w:ascii="Palatino Linotype" w:eastAsia="Calibri" w:hAnsi="Palatino Linotype" w:cs="Arial"/>
          <w:sz w:val="24"/>
          <w:szCs w:val="24"/>
          <w:lang w:val="es-ES"/>
        </w:rPr>
        <w:t xml:space="preserve">y, en su caso, entregar la información en la modalidad </w:t>
      </w:r>
      <w:r w:rsidRPr="00C63D99">
        <w:rPr>
          <w:rFonts w:ascii="Palatino Linotype" w:eastAsia="Calibri" w:hAnsi="Palatino Linotype" w:cs="Arial"/>
          <w:sz w:val="24"/>
          <w:szCs w:val="24"/>
          <w:lang w:val="es-ES_tradnl"/>
        </w:rPr>
        <w:t>Sistema de Acceso a Información Mexiquense (</w:t>
      </w:r>
      <w:r w:rsidRPr="00C63D99">
        <w:rPr>
          <w:rFonts w:ascii="Palatino Linotype" w:eastAsia="Calibri" w:hAnsi="Palatino Linotype" w:cs="Arial"/>
          <w:b/>
          <w:sz w:val="24"/>
          <w:szCs w:val="24"/>
          <w:lang w:val="es-ES"/>
        </w:rPr>
        <w:t>SAIMEX).</w:t>
      </w:r>
    </w:p>
    <w:p w14:paraId="7CD64F3D" w14:textId="77777777" w:rsidR="00616297" w:rsidRPr="00C63D99" w:rsidRDefault="00616297" w:rsidP="00616297">
      <w:pPr>
        <w:tabs>
          <w:tab w:val="left" w:pos="284"/>
        </w:tabs>
        <w:spacing w:line="360" w:lineRule="auto"/>
        <w:jc w:val="both"/>
        <w:rPr>
          <w:rFonts w:ascii="Palatino Linotype" w:eastAsia="Calibri" w:hAnsi="Palatino Linotype" w:cs="Arial"/>
          <w:sz w:val="24"/>
          <w:szCs w:val="24"/>
          <w:lang w:val="es-ES"/>
        </w:rPr>
      </w:pPr>
    </w:p>
    <w:p w14:paraId="44AACFDF" w14:textId="77777777" w:rsidR="00616297" w:rsidRPr="00C63D99" w:rsidRDefault="00616297" w:rsidP="00616297">
      <w:pPr>
        <w:tabs>
          <w:tab w:val="left" w:pos="284"/>
          <w:tab w:val="left" w:pos="8080"/>
        </w:tabs>
        <w:spacing w:line="360" w:lineRule="auto"/>
        <w:ind w:right="49"/>
        <w:contextualSpacing/>
        <w:jc w:val="both"/>
        <w:rPr>
          <w:rFonts w:ascii="Palatino Linotype" w:eastAsia="Palatino Linotype" w:hAnsi="Palatino Linotype" w:cs="Palatino Linotype"/>
          <w:b/>
          <w:sz w:val="24"/>
          <w:szCs w:val="24"/>
          <w:lang w:val="es-ES_tradnl"/>
        </w:rPr>
      </w:pPr>
      <w:r w:rsidRPr="00C63D99">
        <w:rPr>
          <w:rFonts w:ascii="Palatino Linotype" w:eastAsia="Palatino Linotype" w:hAnsi="Palatino Linotype" w:cs="Palatino Linotype"/>
          <w:b/>
          <w:sz w:val="24"/>
          <w:szCs w:val="24"/>
          <w:lang w:val="es-ES_tradnl"/>
        </w:rPr>
        <w:t xml:space="preserve">TERCERO. Notifíquese </w:t>
      </w:r>
      <w:r w:rsidRPr="00C63D99">
        <w:rPr>
          <w:rFonts w:ascii="Palatino Linotype" w:eastAsia="Palatino Linotype" w:hAnsi="Palatino Linotype" w:cs="Palatino Linotype"/>
          <w:sz w:val="24"/>
          <w:szCs w:val="24"/>
          <w:lang w:val="es-ES_tradnl"/>
        </w:rPr>
        <w:t xml:space="preserve">al Titular de la Unidad de Transparencia del </w:t>
      </w:r>
      <w:r w:rsidRPr="00C63D99">
        <w:rPr>
          <w:rFonts w:ascii="Palatino Linotype" w:eastAsia="Palatino Linotype" w:hAnsi="Palatino Linotype" w:cs="Palatino Linotype"/>
          <w:b/>
          <w:sz w:val="24"/>
          <w:szCs w:val="24"/>
          <w:lang w:val="es-ES_tradnl"/>
        </w:rPr>
        <w:t>SUJETO OBLIGADO</w:t>
      </w:r>
      <w:r w:rsidRPr="00C63D99">
        <w:rPr>
          <w:rFonts w:ascii="Palatino Linotype" w:eastAsia="Palatino Linotype" w:hAnsi="Palatino Linotype" w:cs="Palatino Linotype"/>
          <w:sz w:val="24"/>
          <w:szCs w:val="24"/>
          <w:lang w:val="es-ES_tradnl"/>
        </w:rPr>
        <w:t xml:space="preserve">, para que conforme a los artículos 186 último párrafo, 189 párrafo segundo y 199 de la Ley de Transparencia y Acceso a la Información Pública del Estado de México y Municipios, </w:t>
      </w:r>
      <w:r w:rsidRPr="00C63D99">
        <w:rPr>
          <w:rFonts w:ascii="Palatino Linotype" w:eastAsiaTheme="minorEastAsia" w:hAnsi="Palatino Linotype"/>
          <w:color w:val="222222"/>
          <w:sz w:val="24"/>
          <w:szCs w:val="24"/>
          <w:shd w:val="clear" w:color="auto" w:fill="FFFFFF"/>
          <w:lang w:val="es-ES_tradnl"/>
        </w:rPr>
        <w:t>vigente, dé cumplimiento a lo ordenado dentro del plazo de diez días hábiles, debiendo rendir a este Instituto el informe de cumplimiento de la resolución en un plazo de tres días hábiles posteriores.</w:t>
      </w:r>
    </w:p>
    <w:p w14:paraId="67F56976" w14:textId="77777777" w:rsidR="00616297" w:rsidRPr="00C63D99" w:rsidRDefault="00616297" w:rsidP="00616297">
      <w:pPr>
        <w:shd w:val="clear" w:color="auto" w:fill="FFFFFF"/>
        <w:tabs>
          <w:tab w:val="left" w:pos="284"/>
        </w:tabs>
        <w:spacing w:line="360" w:lineRule="auto"/>
        <w:jc w:val="both"/>
        <w:rPr>
          <w:rFonts w:ascii="Palatino Linotype" w:hAnsi="Palatino Linotype" w:cs="Arial"/>
          <w:b/>
          <w:sz w:val="24"/>
          <w:szCs w:val="24"/>
          <w:lang w:val="es-ES_tradnl"/>
        </w:rPr>
      </w:pPr>
    </w:p>
    <w:p w14:paraId="4CDBD0B2" w14:textId="693A8A02" w:rsidR="00616297" w:rsidRPr="00C63D99" w:rsidRDefault="00616297" w:rsidP="00616297">
      <w:pPr>
        <w:shd w:val="clear" w:color="auto" w:fill="FFFFFF"/>
        <w:tabs>
          <w:tab w:val="left" w:pos="284"/>
        </w:tabs>
        <w:spacing w:line="360" w:lineRule="auto"/>
        <w:jc w:val="both"/>
        <w:rPr>
          <w:rFonts w:ascii="Palatino Linotype" w:eastAsia="MS Mincho" w:hAnsi="Palatino Linotype"/>
          <w:sz w:val="24"/>
          <w:szCs w:val="24"/>
          <w:lang w:val="es-ES_tradnl"/>
        </w:rPr>
      </w:pPr>
      <w:r w:rsidRPr="00C63D99">
        <w:rPr>
          <w:rFonts w:ascii="Palatino Linotype" w:hAnsi="Palatino Linotype" w:cs="Arial"/>
          <w:b/>
          <w:sz w:val="24"/>
          <w:szCs w:val="24"/>
          <w:lang w:val="es-ES_tradnl"/>
        </w:rPr>
        <w:t xml:space="preserve">CUARTO. </w:t>
      </w:r>
      <w:r w:rsidRPr="00C63D99">
        <w:rPr>
          <w:rFonts w:ascii="Palatino Linotype" w:hAnsi="Palatino Linotype"/>
          <w:b/>
          <w:bCs/>
          <w:color w:val="222222"/>
          <w:sz w:val="24"/>
          <w:szCs w:val="24"/>
          <w:lang w:val="es-ES"/>
        </w:rPr>
        <w:t xml:space="preserve">Notifíquese </w:t>
      </w:r>
      <w:r w:rsidRPr="00C63D99">
        <w:rPr>
          <w:rFonts w:ascii="Palatino Linotype" w:hAnsi="Palatino Linotype"/>
          <w:bCs/>
          <w:color w:val="222222"/>
          <w:sz w:val="24"/>
          <w:szCs w:val="24"/>
          <w:lang w:val="es-ES"/>
        </w:rPr>
        <w:t>a</w:t>
      </w:r>
      <w:r w:rsidR="00396CF5" w:rsidRPr="00C63D99">
        <w:rPr>
          <w:rFonts w:ascii="Palatino Linotype" w:hAnsi="Palatino Linotype"/>
          <w:bCs/>
          <w:color w:val="222222"/>
          <w:sz w:val="24"/>
          <w:szCs w:val="24"/>
          <w:lang w:val="es-ES"/>
        </w:rPr>
        <w:t>l</w:t>
      </w:r>
      <w:r w:rsidRPr="00C63D99">
        <w:rPr>
          <w:rFonts w:ascii="Palatino Linotype" w:hAnsi="Palatino Linotype"/>
          <w:bCs/>
          <w:color w:val="222222"/>
          <w:sz w:val="24"/>
          <w:szCs w:val="24"/>
          <w:lang w:val="es-ES"/>
        </w:rPr>
        <w:t xml:space="preserve"> </w:t>
      </w:r>
      <w:r w:rsidR="00396CF5" w:rsidRPr="00C63D99">
        <w:rPr>
          <w:rFonts w:ascii="Palatino Linotype" w:hAnsi="Palatino Linotype"/>
          <w:b/>
          <w:bCs/>
          <w:color w:val="222222"/>
          <w:sz w:val="24"/>
          <w:szCs w:val="24"/>
          <w:lang w:val="es-ES"/>
        </w:rPr>
        <w:t>RECURRENTE</w:t>
      </w:r>
      <w:r w:rsidRPr="00C63D99">
        <w:rPr>
          <w:rFonts w:ascii="Palatino Linotype" w:hAnsi="Palatino Linotype"/>
          <w:b/>
          <w:color w:val="222222"/>
          <w:sz w:val="24"/>
          <w:szCs w:val="24"/>
          <w:lang w:val="es-ES"/>
        </w:rPr>
        <w:t xml:space="preserve"> </w:t>
      </w:r>
      <w:r w:rsidRPr="00C63D99">
        <w:rPr>
          <w:rFonts w:ascii="Palatino Linotype" w:eastAsiaTheme="minorEastAsia" w:hAnsi="Palatino Linotype"/>
          <w:sz w:val="24"/>
          <w:szCs w:val="24"/>
          <w:lang w:val="es-ES_tradnl"/>
        </w:rPr>
        <w:t>la presente resolución</w:t>
      </w:r>
      <w:r w:rsidR="000C36A4" w:rsidRPr="00C63D99">
        <w:rPr>
          <w:rFonts w:ascii="Palatino Linotype" w:eastAsia="MS Mincho" w:hAnsi="Palatino Linotype"/>
          <w:sz w:val="24"/>
          <w:szCs w:val="24"/>
          <w:lang w:val="es-ES_tradnl"/>
        </w:rPr>
        <w:t xml:space="preserve"> a través del Sistema de Acceso a la Información Mexiquense (SAIMEX)</w:t>
      </w:r>
    </w:p>
    <w:p w14:paraId="27E22E08" w14:textId="77777777" w:rsidR="00616297" w:rsidRPr="00C63D99" w:rsidRDefault="00616297" w:rsidP="00616297">
      <w:pPr>
        <w:shd w:val="clear" w:color="auto" w:fill="FFFFFF"/>
        <w:tabs>
          <w:tab w:val="left" w:pos="284"/>
        </w:tabs>
        <w:spacing w:line="360" w:lineRule="auto"/>
        <w:jc w:val="both"/>
        <w:rPr>
          <w:rFonts w:ascii="Palatino Linotype" w:eastAsia="MS Mincho" w:hAnsi="Palatino Linotype"/>
          <w:sz w:val="24"/>
          <w:szCs w:val="24"/>
          <w:lang w:val="es-ES_tradnl"/>
        </w:rPr>
      </w:pPr>
    </w:p>
    <w:p w14:paraId="2B0CBBEE" w14:textId="2AB477B0" w:rsidR="00616297" w:rsidRPr="00C63D99" w:rsidRDefault="00616297" w:rsidP="00616297">
      <w:pPr>
        <w:shd w:val="clear" w:color="auto" w:fill="FFFFFF"/>
        <w:tabs>
          <w:tab w:val="left" w:pos="284"/>
        </w:tabs>
        <w:spacing w:line="360" w:lineRule="auto"/>
        <w:jc w:val="both"/>
        <w:rPr>
          <w:rFonts w:ascii="Palatino Linotype" w:eastAsia="MS Mincho" w:hAnsi="Palatino Linotype"/>
          <w:sz w:val="24"/>
          <w:szCs w:val="24"/>
          <w:lang w:val="es-ES"/>
        </w:rPr>
      </w:pPr>
      <w:r w:rsidRPr="00C63D99">
        <w:rPr>
          <w:rFonts w:ascii="Palatino Linotype" w:eastAsia="MS Mincho" w:hAnsi="Palatino Linotype"/>
          <w:b/>
          <w:sz w:val="24"/>
          <w:szCs w:val="24"/>
        </w:rPr>
        <w:t>QUINTO.</w:t>
      </w:r>
      <w:r w:rsidRPr="00C63D99">
        <w:rPr>
          <w:rFonts w:ascii="Palatino Linotype" w:eastAsia="MS Mincho" w:hAnsi="Palatino Linotype"/>
          <w:sz w:val="24"/>
          <w:szCs w:val="24"/>
        </w:rPr>
        <w:t xml:space="preserve"> </w:t>
      </w:r>
      <w:r w:rsidRPr="00C63D99">
        <w:rPr>
          <w:rFonts w:ascii="Palatino Linotype" w:eastAsia="MS Mincho" w:hAnsi="Palatino Linotype"/>
          <w:sz w:val="24"/>
          <w:szCs w:val="24"/>
          <w:lang w:val="es-ES"/>
        </w:rPr>
        <w:t>Se hace del conocimiento de</w:t>
      </w:r>
      <w:r w:rsidR="00396CF5" w:rsidRPr="00C63D99">
        <w:rPr>
          <w:rFonts w:ascii="Palatino Linotype" w:eastAsia="MS Mincho" w:hAnsi="Palatino Linotype"/>
          <w:sz w:val="24"/>
          <w:szCs w:val="24"/>
          <w:lang w:val="es-ES"/>
        </w:rPr>
        <w:t>l</w:t>
      </w:r>
      <w:r w:rsidRPr="00C63D99">
        <w:rPr>
          <w:rFonts w:ascii="Palatino Linotype" w:eastAsiaTheme="minorEastAsia" w:hAnsi="Palatino Linotype"/>
          <w:b/>
          <w:sz w:val="24"/>
          <w:szCs w:val="24"/>
          <w:lang w:val="es-ES_tradnl"/>
        </w:rPr>
        <w:t xml:space="preserve"> </w:t>
      </w:r>
      <w:r w:rsidR="00396CF5" w:rsidRPr="00C63D99">
        <w:rPr>
          <w:rFonts w:ascii="Palatino Linotype" w:eastAsiaTheme="minorEastAsia" w:hAnsi="Palatino Linotype"/>
          <w:b/>
          <w:sz w:val="24"/>
          <w:szCs w:val="24"/>
          <w:lang w:val="es-ES_tradnl"/>
        </w:rPr>
        <w:t>RECURRENTE</w:t>
      </w:r>
      <w:r w:rsidRPr="00C63D99">
        <w:rPr>
          <w:rFonts w:ascii="Palatino Linotype" w:eastAsiaTheme="minorEastAsia" w:hAnsi="Palatino Linotype"/>
          <w:b/>
          <w:sz w:val="24"/>
          <w:szCs w:val="24"/>
          <w:lang w:val="es-ES_tradnl"/>
        </w:rPr>
        <w:t xml:space="preserve"> </w:t>
      </w:r>
      <w:r w:rsidRPr="00C63D99">
        <w:rPr>
          <w:rFonts w:ascii="Palatino Linotype" w:eastAsia="MS Mincho" w:hAnsi="Palatino Linotype"/>
          <w:sz w:val="24"/>
          <w:szCs w:val="24"/>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C63D99">
        <w:rPr>
          <w:rFonts w:ascii="Palatino Linotype" w:eastAsia="MS Mincho" w:hAnsi="Palatino Linotype"/>
          <w:bCs/>
          <w:sz w:val="24"/>
          <w:szCs w:val="24"/>
          <w:lang w:val="es-ES"/>
        </w:rPr>
        <w:t>vía juicio de amparo</w:t>
      </w:r>
      <w:r w:rsidRPr="00C63D99">
        <w:rPr>
          <w:rFonts w:ascii="Palatino Linotype" w:eastAsia="MS Mincho" w:hAnsi="Palatino Linotype"/>
          <w:sz w:val="24"/>
          <w:szCs w:val="24"/>
          <w:lang w:val="es-ES"/>
        </w:rPr>
        <w:t> en los términos de las leyes aplicables.</w:t>
      </w:r>
    </w:p>
    <w:p w14:paraId="6319D3C9" w14:textId="77777777" w:rsidR="00616297" w:rsidRPr="00C63D99" w:rsidRDefault="00616297" w:rsidP="00616297">
      <w:pPr>
        <w:shd w:val="clear" w:color="auto" w:fill="FFFFFF"/>
        <w:tabs>
          <w:tab w:val="left" w:pos="284"/>
        </w:tabs>
        <w:spacing w:line="360" w:lineRule="auto"/>
        <w:jc w:val="both"/>
        <w:rPr>
          <w:rFonts w:ascii="Palatino Linotype" w:eastAsia="MS Mincho" w:hAnsi="Palatino Linotype"/>
          <w:sz w:val="24"/>
          <w:szCs w:val="24"/>
        </w:rPr>
      </w:pPr>
      <w:r w:rsidRPr="00C63D99">
        <w:rPr>
          <w:rFonts w:ascii="Palatino Linotype" w:eastAsia="MS Mincho" w:hAnsi="Palatino Linotype"/>
          <w:b/>
          <w:bCs/>
          <w:sz w:val="24"/>
          <w:szCs w:val="24"/>
        </w:rPr>
        <w:lastRenderedPageBreak/>
        <w:t>SEXTO.</w:t>
      </w:r>
      <w:r w:rsidRPr="00C63D99">
        <w:rPr>
          <w:rFonts w:ascii="Palatino Linotype" w:eastAsia="MS Mincho" w:hAnsi="Palatino Linotype"/>
          <w:bCs/>
          <w:sz w:val="24"/>
          <w:szCs w:val="24"/>
        </w:rPr>
        <w:t xml:space="preserve"> Hágase del conocimiento</w:t>
      </w:r>
      <w:r w:rsidRPr="00C63D99">
        <w:rPr>
          <w:rFonts w:ascii="Palatino Linotype" w:eastAsia="MS Mincho" w:hAnsi="Palatino Linotype"/>
          <w:b/>
          <w:bCs/>
          <w:sz w:val="24"/>
          <w:szCs w:val="24"/>
        </w:rPr>
        <w:t> </w:t>
      </w:r>
      <w:r w:rsidRPr="00C63D99">
        <w:rPr>
          <w:rFonts w:ascii="Palatino Linotype" w:eastAsia="MS Mincho" w:hAnsi="Palatino Linotype"/>
          <w:sz w:val="24"/>
          <w:szCs w:val="24"/>
        </w:rPr>
        <w:t>del </w:t>
      </w:r>
      <w:r w:rsidRPr="00C63D99">
        <w:rPr>
          <w:rFonts w:ascii="Palatino Linotype" w:hAnsi="Palatino Linotype"/>
          <w:b/>
          <w:color w:val="222222"/>
          <w:sz w:val="24"/>
          <w:szCs w:val="24"/>
          <w:lang w:val="es-ES"/>
        </w:rPr>
        <w:t>RECURRENTE</w:t>
      </w:r>
      <w:r w:rsidRPr="00C63D99">
        <w:rPr>
          <w:rFonts w:ascii="Palatino Linotype" w:eastAsia="MS Mincho" w:hAnsi="Palatino Linotype"/>
          <w:b/>
          <w:bCs/>
          <w:sz w:val="24"/>
          <w:szCs w:val="24"/>
        </w:rPr>
        <w:t> </w:t>
      </w:r>
      <w:r w:rsidRPr="00C63D99">
        <w:rPr>
          <w:rFonts w:ascii="Palatino Linotype" w:eastAsia="MS Mincho" w:hAnsi="Palatino Linotype"/>
          <w:sz w:val="24"/>
          <w:szCs w:val="24"/>
        </w:rPr>
        <w:t>que la respuesta que dé </w:t>
      </w:r>
      <w:r w:rsidRPr="00C63D99">
        <w:rPr>
          <w:rFonts w:ascii="Palatino Linotype" w:eastAsia="MS Mincho" w:hAnsi="Palatino Linotype"/>
          <w:b/>
          <w:bCs/>
          <w:sz w:val="24"/>
          <w:szCs w:val="24"/>
        </w:rPr>
        <w:t>EL SUJETO OBLIGADO</w:t>
      </w:r>
      <w:r w:rsidRPr="00C63D99">
        <w:rPr>
          <w:rFonts w:ascii="Palatino Linotype" w:eastAsia="MS Mincho" w:hAnsi="Palatino Linotype"/>
          <w:sz w:val="24"/>
          <w:szCs w:val="24"/>
        </w:rPr>
        <w:t>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70DEBEE0" w14:textId="77777777" w:rsidR="00616297" w:rsidRPr="00C63D99" w:rsidRDefault="00616297" w:rsidP="00616297">
      <w:pPr>
        <w:shd w:val="clear" w:color="auto" w:fill="FFFFFF"/>
        <w:tabs>
          <w:tab w:val="left" w:pos="284"/>
        </w:tabs>
        <w:spacing w:line="360" w:lineRule="auto"/>
        <w:jc w:val="both"/>
        <w:rPr>
          <w:rFonts w:ascii="Palatino Linotype" w:eastAsia="MS Mincho" w:hAnsi="Palatino Linotype"/>
          <w:sz w:val="24"/>
          <w:szCs w:val="24"/>
        </w:rPr>
      </w:pPr>
    </w:p>
    <w:p w14:paraId="2C4D970E" w14:textId="77777777" w:rsidR="00616297" w:rsidRPr="00C63D99" w:rsidRDefault="00616297" w:rsidP="00616297">
      <w:pPr>
        <w:shd w:val="clear" w:color="auto" w:fill="FFFFFF"/>
        <w:tabs>
          <w:tab w:val="left" w:pos="284"/>
        </w:tabs>
        <w:spacing w:line="360" w:lineRule="auto"/>
        <w:jc w:val="both"/>
        <w:rPr>
          <w:rFonts w:ascii="Palatino Linotype" w:eastAsia="MS Mincho" w:hAnsi="Palatino Linotype"/>
          <w:sz w:val="24"/>
          <w:szCs w:val="24"/>
        </w:rPr>
      </w:pPr>
      <w:r w:rsidRPr="00C63D99">
        <w:rPr>
          <w:rFonts w:ascii="Palatino Linotype" w:eastAsia="MS Mincho" w:hAnsi="Palatino Linotype"/>
          <w:b/>
          <w:sz w:val="24"/>
          <w:szCs w:val="24"/>
        </w:rPr>
        <w:t>SÉPTIMO</w:t>
      </w:r>
      <w:r w:rsidRPr="00C63D99">
        <w:rPr>
          <w:rFonts w:ascii="Palatino Linotype" w:eastAsia="MS Mincho" w:hAnsi="Palatino Linotype"/>
          <w:sz w:val="24"/>
          <w:szCs w:val="24"/>
        </w:rPr>
        <w:t xml:space="preserve">. Con fundamento en el artículo 198 de la Ley de Transparencia y Acceso a la Información Pública del Estado de México y Municipios, se apercibe </w:t>
      </w:r>
      <w:r w:rsidRPr="00C63D99">
        <w:rPr>
          <w:rFonts w:ascii="Palatino Linotype" w:eastAsia="MS Mincho" w:hAnsi="Palatino Linotype"/>
          <w:b/>
          <w:sz w:val="24"/>
          <w:szCs w:val="24"/>
        </w:rPr>
        <w:t xml:space="preserve">al SUJETO OBLIGADO </w:t>
      </w:r>
      <w:r w:rsidRPr="00C63D99">
        <w:rPr>
          <w:rFonts w:ascii="Palatino Linotype" w:eastAsia="MS Mincho" w:hAnsi="Palatino Linotype"/>
          <w:sz w:val="24"/>
          <w:szCs w:val="24"/>
        </w:rPr>
        <w:t>de que, en caso de incumplimiento total o parcial de la presente resolución, se actuará de conformidad con lo dispuesto en los artículos 213, 214, 215, 216 y 217 de la ley en cita.</w:t>
      </w:r>
    </w:p>
    <w:p w14:paraId="37A8BB58" w14:textId="77777777" w:rsidR="00616297" w:rsidRPr="00C63D99" w:rsidRDefault="00616297" w:rsidP="00616297">
      <w:pPr>
        <w:shd w:val="clear" w:color="auto" w:fill="FFFFFF"/>
        <w:tabs>
          <w:tab w:val="left" w:pos="284"/>
        </w:tabs>
        <w:spacing w:line="360" w:lineRule="auto"/>
        <w:jc w:val="both"/>
        <w:rPr>
          <w:rFonts w:ascii="Palatino Linotype" w:eastAsia="MS Mincho" w:hAnsi="Palatino Linotype"/>
          <w:sz w:val="24"/>
          <w:szCs w:val="24"/>
          <w:lang w:val="es-ES"/>
        </w:rPr>
      </w:pPr>
    </w:p>
    <w:p w14:paraId="5F27EED7" w14:textId="6ABAEC68" w:rsidR="00616297" w:rsidRPr="00C63D99" w:rsidRDefault="00616297" w:rsidP="00616297">
      <w:pPr>
        <w:tabs>
          <w:tab w:val="left" w:pos="284"/>
        </w:tabs>
        <w:spacing w:line="360" w:lineRule="auto"/>
        <w:jc w:val="both"/>
        <w:rPr>
          <w:rFonts w:ascii="Palatino Linotype" w:eastAsia="MS Mincho" w:hAnsi="Palatino Linotype"/>
          <w:b/>
          <w:sz w:val="24"/>
          <w:szCs w:val="24"/>
          <w:lang w:val="es-ES_tradnl"/>
        </w:rPr>
      </w:pPr>
      <w:r w:rsidRPr="00C63D99">
        <w:rPr>
          <w:rFonts w:ascii="Palatino Linotype" w:eastAsia="MS Mincho" w:hAnsi="Palatino Linotype"/>
          <w:b/>
          <w:sz w:val="24"/>
          <w:szCs w:val="24"/>
          <w:lang w:val="es-ES_tradnl"/>
        </w:rPr>
        <w:t xml:space="preserve">OCTAVO. </w:t>
      </w:r>
      <w:r w:rsidRPr="00C63D99">
        <w:rPr>
          <w:rFonts w:ascii="Palatino Linotype" w:eastAsia="MS Mincho" w:hAnsi="Palatino Linotype"/>
          <w:sz w:val="24"/>
          <w:szCs w:val="24"/>
          <w:lang w:val="es-ES_tradnl"/>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003C5753" w:rsidRPr="00C63D99">
        <w:rPr>
          <w:rFonts w:ascii="Palatino Linotype" w:eastAsia="MS Mincho" w:hAnsi="Palatino Linotype"/>
          <w:b/>
          <w:sz w:val="24"/>
          <w:szCs w:val="24"/>
          <w:lang w:val="es-ES_tradnl"/>
        </w:rPr>
        <w:t xml:space="preserve">Considerando </w:t>
      </w:r>
      <w:r w:rsidR="00022835" w:rsidRPr="00C63D99">
        <w:rPr>
          <w:rFonts w:ascii="Palatino Linotype" w:eastAsia="MS Mincho" w:hAnsi="Palatino Linotype"/>
          <w:b/>
          <w:sz w:val="24"/>
          <w:szCs w:val="24"/>
          <w:lang w:val="es-ES_tradnl"/>
        </w:rPr>
        <w:t>SEXTO</w:t>
      </w:r>
      <w:r w:rsidRPr="00C63D99">
        <w:rPr>
          <w:rFonts w:ascii="Palatino Linotype" w:eastAsia="MS Mincho" w:hAnsi="Palatino Linotype"/>
          <w:b/>
          <w:sz w:val="24"/>
          <w:szCs w:val="24"/>
          <w:lang w:val="es-ES_tradnl"/>
        </w:rPr>
        <w:t>.</w:t>
      </w:r>
    </w:p>
    <w:p w14:paraId="52B3459C" w14:textId="7E02CE9E" w:rsidR="00C63D99" w:rsidRPr="002A165B" w:rsidRDefault="00C63D99" w:rsidP="00C63D99">
      <w:pPr>
        <w:spacing w:before="240" w:after="240" w:line="360" w:lineRule="auto"/>
        <w:ind w:firstLine="1"/>
        <w:jc w:val="both"/>
        <w:rPr>
          <w:rFonts w:ascii="Palatino Linotype" w:hAnsi="Palatino Linotype"/>
          <w:sz w:val="23"/>
          <w:szCs w:val="23"/>
        </w:rPr>
      </w:pPr>
      <w:bookmarkStart w:id="47" w:name="_Hlk99014733"/>
      <w:r w:rsidRPr="002A165B">
        <w:rPr>
          <w:rFonts w:ascii="Palatino Linotype" w:hAnsi="Palatino Linotype"/>
          <w:sz w:val="23"/>
          <w:szCs w:val="23"/>
        </w:rPr>
        <w:t xml:space="preserve">ASÍ LO RESUELVE, POR UNANIMIDAD DE VOTOS, EL PLENO DEL INSTITUTO DE TRANSPARENCIA, ACCESO A LA INFORMACIÓN PÚBLICA Y PROTECCIÓN DE DATOS PERSONALES DEL ESTADO DE MÉXICO Y MUNICIPIOS, CONFORMADO </w:t>
      </w:r>
      <w:r w:rsidRPr="002A165B">
        <w:rPr>
          <w:rFonts w:ascii="Palatino Linotype" w:hAnsi="Palatino Linotype"/>
          <w:sz w:val="23"/>
          <w:szCs w:val="23"/>
        </w:rPr>
        <w:lastRenderedPageBreak/>
        <w:t>POR LOS COMISIONADOS JOSÉ MARTÍNEZ VILCHIS; MARÍA DEL ROSARIO MEJÍA AYALA; SHARON CRISTINA MORALES MARTÍNEZ; LUIS GUSTAVO PARRA NORIEGA</w:t>
      </w:r>
      <w:r w:rsidR="002A165B">
        <w:rPr>
          <w:rFonts w:ascii="Palatino Linotype" w:hAnsi="Palatino Linotype"/>
          <w:sz w:val="23"/>
          <w:szCs w:val="23"/>
        </w:rPr>
        <w:t xml:space="preserve"> </w:t>
      </w:r>
      <w:r w:rsidR="002A165B" w:rsidRPr="002A165B">
        <w:rPr>
          <w:rFonts w:ascii="Palatino Linotype" w:hAnsi="Palatino Linotype"/>
          <w:sz w:val="23"/>
          <w:szCs w:val="23"/>
        </w:rPr>
        <w:t>(AUSENCIA JUSTIFICADA)</w:t>
      </w:r>
      <w:r w:rsidRPr="002A165B">
        <w:rPr>
          <w:rFonts w:ascii="Palatino Linotype" w:hAnsi="Palatino Linotype"/>
          <w:sz w:val="23"/>
          <w:szCs w:val="23"/>
        </w:rPr>
        <w:t xml:space="preserve">; Y GUADALUPE RAMÍREZ PEÑA EN LA DÉCIMA PRIMERA SESIÓN ORDINARIA CELEBRADA EL VEINTICUATRO </w:t>
      </w:r>
      <w:r w:rsidR="002A165B" w:rsidRPr="002A165B">
        <w:rPr>
          <w:rFonts w:ascii="Palatino Linotype" w:hAnsi="Palatino Linotype"/>
          <w:sz w:val="23"/>
          <w:szCs w:val="23"/>
        </w:rPr>
        <w:t>(24)</w:t>
      </w:r>
      <w:r w:rsidR="002A165B" w:rsidRPr="002A165B">
        <w:rPr>
          <w:rFonts w:ascii="Palatino Linotype" w:hAnsi="Palatino Linotype"/>
          <w:sz w:val="23"/>
          <w:szCs w:val="23"/>
        </w:rPr>
        <w:t xml:space="preserve"> </w:t>
      </w:r>
      <w:r w:rsidRPr="002A165B">
        <w:rPr>
          <w:rFonts w:ascii="Palatino Linotype" w:hAnsi="Palatino Linotype"/>
          <w:sz w:val="23"/>
          <w:szCs w:val="23"/>
        </w:rPr>
        <w:t xml:space="preserve">DE MARZO DE DOS MIL VEINTIDÓS, ANTE EL SECRETARIO TÉCNICO DEL PLENO </w:t>
      </w:r>
      <w:r w:rsidR="002A165B">
        <w:rPr>
          <w:rFonts w:ascii="Palatino Linotype" w:hAnsi="Palatino Linotype"/>
          <w:noProof/>
          <w:sz w:val="23"/>
          <w:szCs w:val="23"/>
        </w:rPr>
        <mc:AlternateContent>
          <mc:Choice Requires="wps">
            <w:drawing>
              <wp:anchor distT="0" distB="0" distL="114300" distR="114300" simplePos="0" relativeHeight="251659264" behindDoc="0" locked="0" layoutInCell="1" allowOverlap="1" wp14:anchorId="4CBD87CC" wp14:editId="22FD3237">
                <wp:simplePos x="0" y="0"/>
                <wp:positionH relativeFrom="column">
                  <wp:posOffset>48524</wp:posOffset>
                </wp:positionH>
                <wp:positionV relativeFrom="paragraph">
                  <wp:posOffset>1734399</wp:posOffset>
                </wp:positionV>
                <wp:extent cx="5664530" cy="4750130"/>
                <wp:effectExtent l="0" t="0" r="31750" b="31750"/>
                <wp:wrapNone/>
                <wp:docPr id="6" name="Conector recto 6"/>
                <wp:cNvGraphicFramePr/>
                <a:graphic xmlns:a="http://schemas.openxmlformats.org/drawingml/2006/main">
                  <a:graphicData uri="http://schemas.microsoft.com/office/word/2010/wordprocessingShape">
                    <wps:wsp>
                      <wps:cNvCnPr/>
                      <wps:spPr>
                        <a:xfrm>
                          <a:off x="0" y="0"/>
                          <a:ext cx="5664530" cy="4750130"/>
                        </a:xfrm>
                        <a:prstGeom prst="line">
                          <a:avLst/>
                        </a:prstGeom>
                        <a:ln>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A37309" id="Conector recto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8pt,136.55pt" to="449.85pt,5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" strokecolor="#b4c6e7 [1300]" strokeweight=".5pt">
                <v:stroke joinstyle="miter"/>
              </v:line>
            </w:pict>
          </mc:Fallback>
        </mc:AlternateContent>
      </w:r>
      <w:r w:rsidRPr="002A165B">
        <w:rPr>
          <w:rFonts w:ascii="Palatino Linotype" w:hAnsi="Palatino Linotype"/>
          <w:sz w:val="23"/>
          <w:szCs w:val="23"/>
        </w:rPr>
        <w:t xml:space="preserve">ALEXIS TAPIA RAMÍREZ. </w:t>
      </w:r>
    </w:p>
    <w:bookmarkEnd w:id="47"/>
    <w:p w14:paraId="6D10D57F" w14:textId="77777777" w:rsidR="005000AA" w:rsidRDefault="005000AA" w:rsidP="005000AA">
      <w:pPr>
        <w:spacing w:before="240" w:after="360" w:line="360" w:lineRule="auto"/>
        <w:jc w:val="both"/>
        <w:rPr>
          <w:rFonts w:ascii="Palatino Linotype" w:hAnsi="Palatino Linotype"/>
          <w:color w:val="222222"/>
          <w:sz w:val="24"/>
          <w:szCs w:val="24"/>
          <w:lang w:val="es-ES" w:eastAsia="es-MX"/>
        </w:rPr>
      </w:pPr>
    </w:p>
    <w:p w14:paraId="613D5394"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08BC2E9C"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3654C1FB" w14:textId="667C3082"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455DE4D6" w14:textId="3E20B804" w:rsidR="002A165B" w:rsidRDefault="002A165B" w:rsidP="005000AA">
      <w:pPr>
        <w:spacing w:before="240" w:after="360" w:line="360" w:lineRule="auto"/>
        <w:jc w:val="both"/>
        <w:rPr>
          <w:rFonts w:ascii="Palatino Linotype" w:hAnsi="Palatino Linotype"/>
          <w:color w:val="222222"/>
          <w:sz w:val="24"/>
          <w:szCs w:val="24"/>
          <w:lang w:val="es-ES" w:eastAsia="es-MX"/>
        </w:rPr>
      </w:pPr>
    </w:p>
    <w:p w14:paraId="084035DE" w14:textId="225F32E8" w:rsidR="002A165B" w:rsidRDefault="002A165B" w:rsidP="005000AA">
      <w:pPr>
        <w:spacing w:before="240" w:after="360" w:line="360" w:lineRule="auto"/>
        <w:jc w:val="both"/>
        <w:rPr>
          <w:rFonts w:ascii="Palatino Linotype" w:hAnsi="Palatino Linotype"/>
          <w:color w:val="222222"/>
          <w:sz w:val="24"/>
          <w:szCs w:val="24"/>
          <w:lang w:val="es-ES" w:eastAsia="es-MX"/>
        </w:rPr>
      </w:pPr>
    </w:p>
    <w:p w14:paraId="3930BD08" w14:textId="1DD0B214" w:rsidR="002A165B" w:rsidRDefault="002A165B" w:rsidP="005000AA">
      <w:pPr>
        <w:spacing w:before="240" w:after="360" w:line="360" w:lineRule="auto"/>
        <w:jc w:val="both"/>
        <w:rPr>
          <w:rFonts w:ascii="Palatino Linotype" w:hAnsi="Palatino Linotype"/>
          <w:color w:val="222222"/>
          <w:sz w:val="24"/>
          <w:szCs w:val="24"/>
          <w:lang w:val="es-ES" w:eastAsia="es-MX"/>
        </w:rPr>
      </w:pPr>
    </w:p>
    <w:p w14:paraId="6A4C5865" w14:textId="0DE7FE33" w:rsidR="002A165B" w:rsidRDefault="002A165B" w:rsidP="005000AA">
      <w:pPr>
        <w:spacing w:before="240" w:after="360" w:line="360" w:lineRule="auto"/>
        <w:jc w:val="both"/>
        <w:rPr>
          <w:rFonts w:ascii="Palatino Linotype" w:hAnsi="Palatino Linotype"/>
          <w:color w:val="222222"/>
          <w:sz w:val="24"/>
          <w:szCs w:val="24"/>
          <w:lang w:val="es-ES" w:eastAsia="es-MX"/>
        </w:rPr>
      </w:pPr>
    </w:p>
    <w:p w14:paraId="180FA666" w14:textId="2B6F4F8D" w:rsidR="002A165B" w:rsidRDefault="002A165B" w:rsidP="005000AA">
      <w:pPr>
        <w:spacing w:before="240" w:after="360" w:line="360" w:lineRule="auto"/>
        <w:jc w:val="both"/>
        <w:rPr>
          <w:rFonts w:ascii="Palatino Linotype" w:hAnsi="Palatino Linotype"/>
          <w:color w:val="222222"/>
          <w:sz w:val="24"/>
          <w:szCs w:val="24"/>
          <w:lang w:val="es-ES" w:eastAsia="es-MX"/>
        </w:rPr>
      </w:pPr>
    </w:p>
    <w:p w14:paraId="684BAC69" w14:textId="77777777" w:rsidR="002A165B" w:rsidRDefault="002A165B" w:rsidP="005000AA">
      <w:pPr>
        <w:spacing w:before="240" w:after="360" w:line="360" w:lineRule="auto"/>
        <w:jc w:val="both"/>
        <w:rPr>
          <w:rFonts w:ascii="Palatino Linotype" w:hAnsi="Palatino Linotype"/>
          <w:color w:val="222222"/>
          <w:sz w:val="24"/>
          <w:szCs w:val="24"/>
          <w:lang w:val="es-ES" w:eastAsia="es-MX"/>
        </w:rPr>
      </w:pPr>
    </w:p>
    <w:p w14:paraId="6CA29392"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34043CA1"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2196B83E"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2E26EE81"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26988562"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sectPr w:rsidR="00DF54E4">
      <w:headerReference w:type="even" r:id="rId14"/>
      <w:headerReference w:type="default" r:id="rId15"/>
      <w:footerReference w:type="default" r:id="rId16"/>
      <w:headerReference w:type="first" r:id="rId17"/>
      <w:footerReference w:type="first" r:id="rId18"/>
      <w:type w:val="continuous"/>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D7F3E7" w14:textId="77777777" w:rsidR="00130A01" w:rsidRDefault="00130A01">
      <w:r>
        <w:separator/>
      </w:r>
    </w:p>
  </w:endnote>
  <w:endnote w:type="continuationSeparator" w:id="0">
    <w:p w14:paraId="75B08284" w14:textId="77777777" w:rsidR="00130A01" w:rsidRDefault="00130A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980448"/>
      <w:docPartObj>
        <w:docPartGallery w:val="AutoText"/>
      </w:docPartObj>
    </w:sdtPr>
    <w:sdtEndPr/>
    <w:sdtContent>
      <w:sdt>
        <w:sdtPr>
          <w:id w:val="935561987"/>
          <w:docPartObj>
            <w:docPartGallery w:val="AutoText"/>
          </w:docPartObj>
        </w:sdtPr>
        <w:sdtEndPr/>
        <w:sdtContent>
          <w:p w14:paraId="2020A581" w14:textId="42058121" w:rsidR="005D09C1" w:rsidRDefault="005D09C1">
            <w:pPr>
              <w:pStyle w:val="Piedepgina"/>
              <w:jc w:val="right"/>
            </w:pPr>
          </w:p>
          <w:p w14:paraId="1F7A191C" w14:textId="2A69F491" w:rsidR="005D09C1" w:rsidRDefault="005D09C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74D12">
              <w:rPr>
                <w:b/>
                <w:bCs/>
                <w:noProof/>
              </w:rPr>
              <w:t>46</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74D12">
              <w:rPr>
                <w:b/>
                <w:bCs/>
                <w:noProof/>
              </w:rPr>
              <w:t>46</w:t>
            </w:r>
            <w:r>
              <w:rPr>
                <w:b/>
                <w:bCs/>
                <w:sz w:val="24"/>
                <w:szCs w:val="24"/>
              </w:rPr>
              <w:fldChar w:fldCharType="end"/>
            </w:r>
          </w:p>
        </w:sdtContent>
      </w:sdt>
    </w:sdtContent>
  </w:sdt>
  <w:p w14:paraId="2A221972" w14:textId="77777777" w:rsidR="005D09C1" w:rsidRDefault="005D09C1">
    <w:pPr>
      <w:pStyle w:val="Piedepgina"/>
    </w:pPr>
  </w:p>
  <w:p w14:paraId="1D6FF208" w14:textId="77777777" w:rsidR="005D09C1" w:rsidRDefault="005D09C1"/>
  <w:p w14:paraId="70055CD7" w14:textId="77777777" w:rsidR="005D09C1" w:rsidRDefault="005D09C1"/>
  <w:p w14:paraId="5452645F" w14:textId="77777777" w:rsidR="005D09C1" w:rsidRDefault="005D09C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1533840"/>
      <w:docPartObj>
        <w:docPartGallery w:val="AutoText"/>
      </w:docPartObj>
    </w:sdtPr>
    <w:sdtEndPr/>
    <w:sdtContent>
      <w:sdt>
        <w:sdtPr>
          <w:id w:val="1068300638"/>
          <w:docPartObj>
            <w:docPartGallery w:val="AutoText"/>
          </w:docPartObj>
        </w:sdtPr>
        <w:sdtEndPr/>
        <w:sdtContent>
          <w:p w14:paraId="696399DD" w14:textId="598BCC50" w:rsidR="005D09C1" w:rsidRDefault="005D09C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74D12">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74D12">
              <w:rPr>
                <w:b/>
                <w:bCs/>
                <w:noProof/>
              </w:rPr>
              <w:t>45</w:t>
            </w:r>
            <w:r>
              <w:rPr>
                <w:b/>
                <w:bCs/>
                <w:sz w:val="24"/>
                <w:szCs w:val="24"/>
              </w:rPr>
              <w:fldChar w:fldCharType="end"/>
            </w:r>
          </w:p>
        </w:sdtContent>
      </w:sdt>
    </w:sdtContent>
  </w:sdt>
  <w:p w14:paraId="2D12AEB2" w14:textId="77777777" w:rsidR="005D09C1" w:rsidRDefault="005D09C1">
    <w:pPr>
      <w:pStyle w:val="Piedepgina"/>
    </w:pPr>
  </w:p>
  <w:p w14:paraId="54227169" w14:textId="77777777" w:rsidR="005D09C1" w:rsidRDefault="005D09C1"/>
  <w:p w14:paraId="7DE40FB1" w14:textId="77777777" w:rsidR="005D09C1" w:rsidRDefault="005D09C1"/>
  <w:p w14:paraId="33755E87" w14:textId="77777777" w:rsidR="005D09C1" w:rsidRDefault="005D09C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65B6B5" w14:textId="77777777" w:rsidR="00130A01" w:rsidRDefault="00130A01">
      <w:r>
        <w:separator/>
      </w:r>
    </w:p>
  </w:footnote>
  <w:footnote w:type="continuationSeparator" w:id="0">
    <w:p w14:paraId="7B846725" w14:textId="77777777" w:rsidR="00130A01" w:rsidRDefault="00130A01">
      <w:r>
        <w:continuationSeparator/>
      </w:r>
    </w:p>
  </w:footnote>
  <w:footnote w:id="1">
    <w:p w14:paraId="7D872842" w14:textId="77777777" w:rsidR="00043374" w:rsidRPr="00F75272" w:rsidRDefault="00043374" w:rsidP="00043374">
      <w:pPr>
        <w:pStyle w:val="Textonotapie1"/>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7D880D03" w14:textId="77777777" w:rsidR="00616297" w:rsidRDefault="00616297" w:rsidP="00616297">
      <w:pPr>
        <w:pStyle w:val="Textonotapie"/>
      </w:pPr>
      <w:r>
        <w:rPr>
          <w:rStyle w:val="Refdenotaalpie"/>
        </w:rPr>
        <w:footnoteRef/>
      </w:r>
      <w:r>
        <w:t xml:space="preserve"> Convención Americana sobre Derechos Humanos. Artículo 13.</w:t>
      </w:r>
    </w:p>
  </w:footnote>
  <w:footnote w:id="3">
    <w:p w14:paraId="67682805" w14:textId="77777777" w:rsidR="00616297" w:rsidRDefault="00616297" w:rsidP="00616297">
      <w:pPr>
        <w:pStyle w:val="Textonotapie"/>
      </w:pPr>
      <w:r>
        <w:rPr>
          <w:rStyle w:val="Refdenotaalpie"/>
        </w:rPr>
        <w:footnoteRef/>
      </w:r>
      <w:r>
        <w:t xml:space="preserve"> Constitución Política de los Estados Unidos Mexicanos. Artículo sexto, sección A, fracción I.</w:t>
      </w:r>
    </w:p>
  </w:footnote>
  <w:footnote w:id="4">
    <w:p w14:paraId="21D43271" w14:textId="77777777" w:rsidR="00616297" w:rsidRDefault="00616297" w:rsidP="00616297">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5">
    <w:p w14:paraId="649FDEBB" w14:textId="77777777" w:rsidR="00616297" w:rsidRDefault="00616297" w:rsidP="00616297">
      <w:pPr>
        <w:pStyle w:val="Textonotapie"/>
      </w:pPr>
      <w:r>
        <w:rPr>
          <w:rStyle w:val="Refdenotaalpie"/>
        </w:rPr>
        <w:footnoteRef/>
      </w:r>
      <w:r>
        <w:t xml:space="preserve"> Ibídem. Parr. 87.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70EE7" w14:textId="0AFD4CA4" w:rsidR="005D09C1" w:rsidRDefault="00130A01">
    <w:pPr>
      <w:pStyle w:val="Encabezado"/>
    </w:pPr>
    <w:r>
      <w:rPr>
        <w:noProof/>
        <w:lang w:eastAsia="es-MX"/>
      </w:rPr>
      <w:pict w14:anchorId="41E6CF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0" o:spid="_x0000_s1026" type="#_x0000_t75" style="position:absolute;margin-left:0;margin-top:0;width:663.5pt;height:12in;z-index:-251657216;mso-position-horizontal:center;mso-position-horizontal-relative:margin;mso-position-vertical:center;mso-position-vertical-relative:margin" o:allowincell="f">
          <v:imagedata r:id="rId1" o:title="marcaaguaINFOEM"/>
          <w10:wrap anchorx="margin" anchory="margin"/>
        </v:shape>
      </w:pict>
    </w:r>
  </w:p>
  <w:p w14:paraId="133C4830" w14:textId="77777777" w:rsidR="005D09C1" w:rsidRDefault="005D09C1"/>
  <w:p w14:paraId="77B719CE" w14:textId="77777777" w:rsidR="005D09C1" w:rsidRDefault="005D09C1"/>
  <w:p w14:paraId="50A3AAAA" w14:textId="77777777" w:rsidR="005D09C1" w:rsidRDefault="005D09C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Layout w:type="fixed"/>
      <w:tblLook w:val="04A0" w:firstRow="1" w:lastRow="0" w:firstColumn="1" w:lastColumn="0" w:noHBand="0" w:noVBand="1"/>
    </w:tblPr>
    <w:tblGrid>
      <w:gridCol w:w="1843"/>
      <w:gridCol w:w="7513"/>
    </w:tblGrid>
    <w:tr w:rsidR="005D09C1" w14:paraId="6255E3A4" w14:textId="77777777" w:rsidTr="00814079">
      <w:trPr>
        <w:trHeight w:val="1435"/>
      </w:trPr>
      <w:tc>
        <w:tcPr>
          <w:tcW w:w="1843" w:type="dxa"/>
          <w:shd w:val="clear" w:color="auto" w:fill="auto"/>
        </w:tcPr>
        <w:p w14:paraId="3E05202F" w14:textId="4A7C9DF8" w:rsidR="005D09C1" w:rsidRDefault="005D09C1">
          <w:pPr>
            <w:tabs>
              <w:tab w:val="right" w:pos="4273"/>
            </w:tabs>
            <w:rPr>
              <w:rFonts w:ascii="Garamond" w:eastAsia="Calibri" w:hAnsi="Garamond"/>
              <w:sz w:val="16"/>
              <w:szCs w:val="16"/>
              <w:lang w:eastAsia="en-US"/>
            </w:rPr>
          </w:pPr>
          <w:r>
            <w:rPr>
              <w:rFonts w:ascii="Garamond" w:eastAsia="Calibri" w:hAnsi="Garamond"/>
              <w:sz w:val="16"/>
              <w:szCs w:val="16"/>
              <w:lang w:eastAsia="en-US"/>
            </w:rPr>
            <w:t xml:space="preserve"> </w:t>
          </w:r>
        </w:p>
      </w:tc>
      <w:tc>
        <w:tcPr>
          <w:tcW w:w="7513" w:type="dxa"/>
          <w:shd w:val="clear" w:color="auto" w:fill="auto"/>
        </w:tcPr>
        <w:p w14:paraId="65B08C7B" w14:textId="77777777" w:rsidR="005D09C1" w:rsidRDefault="005D09C1"/>
        <w:tbl>
          <w:tblPr>
            <w:tblStyle w:val="Tablaconcuadrcula"/>
            <w:tblW w:w="5528" w:type="dxa"/>
            <w:tblInd w:w="1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2977"/>
          </w:tblGrid>
          <w:tr w:rsidR="005D09C1" w14:paraId="727F90BF" w14:textId="77777777" w:rsidTr="007441D8">
            <w:trPr>
              <w:trHeight w:val="338"/>
            </w:trPr>
            <w:tc>
              <w:tcPr>
                <w:tcW w:w="2551" w:type="dxa"/>
              </w:tcPr>
              <w:p w14:paraId="23087CD5" w14:textId="77777777" w:rsidR="005D09C1" w:rsidRDefault="005D09C1">
                <w:pPr>
                  <w:tabs>
                    <w:tab w:val="right" w:pos="8838"/>
                  </w:tabs>
                  <w:ind w:right="-105"/>
                  <w:rPr>
                    <w:rFonts w:ascii="Palatino Linotype" w:eastAsia="Calibri" w:hAnsi="Palatino Linotype" w:cs="Tahoma"/>
                    <w:b/>
                    <w:sz w:val="22"/>
                    <w:szCs w:val="22"/>
                    <w:lang w:eastAsia="en-US"/>
                  </w:rPr>
                </w:pPr>
              </w:p>
              <w:p w14:paraId="410A3741" w14:textId="535C9D39" w:rsidR="005D09C1" w:rsidRDefault="005D09C1">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Recurso de Revisión:</w:t>
                </w:r>
              </w:p>
            </w:tc>
            <w:tc>
              <w:tcPr>
                <w:tcW w:w="2977" w:type="dxa"/>
              </w:tcPr>
              <w:p w14:paraId="67E34D7D" w14:textId="77777777" w:rsidR="005D09C1" w:rsidRDefault="005D09C1" w:rsidP="00427B6E">
                <w:pPr>
                  <w:tabs>
                    <w:tab w:val="right" w:pos="8838"/>
                  </w:tabs>
                  <w:ind w:right="-105" w:hanging="101"/>
                  <w:jc w:val="both"/>
                  <w:rPr>
                    <w:rFonts w:ascii="Palatino Linotype" w:eastAsia="Calibri" w:hAnsi="Palatino Linotype" w:cs="Tahoma"/>
                    <w:bCs/>
                    <w:sz w:val="22"/>
                    <w:szCs w:val="22"/>
                    <w:lang w:eastAsia="en-US"/>
                  </w:rPr>
                </w:pPr>
              </w:p>
              <w:p w14:paraId="3FF69A05" w14:textId="1C10B049" w:rsidR="005D09C1" w:rsidRDefault="007441D8" w:rsidP="00CA3902">
                <w:pPr>
                  <w:tabs>
                    <w:tab w:val="right" w:pos="8838"/>
                  </w:tabs>
                  <w:ind w:right="-105" w:hanging="101"/>
                  <w:jc w:val="both"/>
                  <w:rPr>
                    <w:rFonts w:ascii="Palatino Linotype" w:eastAsia="Calibri" w:hAnsi="Palatino Linotype" w:cs="Tahoma"/>
                    <w:bCs/>
                    <w:sz w:val="22"/>
                    <w:szCs w:val="22"/>
                    <w:lang w:eastAsia="en-US"/>
                  </w:rPr>
                </w:pPr>
                <w:r w:rsidRPr="002B2042">
                  <w:rPr>
                    <w:rFonts w:ascii="Palatino Linotype" w:eastAsia="Calibri" w:hAnsi="Palatino Linotype" w:cs="Tahoma"/>
                    <w:sz w:val="22"/>
                    <w:lang w:eastAsia="en-US"/>
                  </w:rPr>
                  <w:t>0</w:t>
                </w:r>
                <w:r>
                  <w:rPr>
                    <w:rFonts w:ascii="Palatino Linotype" w:eastAsia="Calibri" w:hAnsi="Palatino Linotype" w:cs="Tahoma"/>
                    <w:sz w:val="22"/>
                    <w:lang w:eastAsia="en-US"/>
                  </w:rPr>
                  <w:t>1133</w:t>
                </w:r>
                <w:r w:rsidRPr="002B2042">
                  <w:rPr>
                    <w:rFonts w:ascii="Palatino Linotype" w:eastAsia="Calibri" w:hAnsi="Palatino Linotype" w:cs="Tahoma"/>
                    <w:sz w:val="22"/>
                    <w:lang w:eastAsia="en-US"/>
                  </w:rPr>
                  <w:t>/INFOEM/IP/RR/202</w:t>
                </w:r>
                <w:r>
                  <w:rPr>
                    <w:rFonts w:ascii="Palatino Linotype" w:eastAsia="Calibri" w:hAnsi="Palatino Linotype" w:cs="Tahoma"/>
                    <w:sz w:val="22"/>
                    <w:lang w:eastAsia="en-US"/>
                  </w:rPr>
                  <w:t>2 y acumulados</w:t>
                </w:r>
              </w:p>
            </w:tc>
          </w:tr>
          <w:tr w:rsidR="005D09C1" w14:paraId="1389436A" w14:textId="4EB800AC" w:rsidTr="007441D8">
            <w:trPr>
              <w:trHeight w:val="283"/>
            </w:trPr>
            <w:tc>
              <w:tcPr>
                <w:tcW w:w="2551" w:type="dxa"/>
              </w:tcPr>
              <w:p w14:paraId="22E0F4E9" w14:textId="77777777" w:rsidR="005D09C1" w:rsidRDefault="005D09C1">
                <w:pPr>
                  <w:tabs>
                    <w:tab w:val="right" w:pos="8838"/>
                  </w:tabs>
                  <w:ind w:right="-105"/>
                  <w:rPr>
                    <w:rFonts w:ascii="Palatino Linotype" w:eastAsia="Calibri" w:hAnsi="Palatino Linotype" w:cs="Tahoma"/>
                    <w:b/>
                    <w:sz w:val="22"/>
                    <w:szCs w:val="22"/>
                    <w:lang w:eastAsia="en-US"/>
                  </w:rPr>
                </w:pPr>
                <w:bookmarkStart w:id="48" w:name="_Hlk33010189"/>
                <w:r>
                  <w:rPr>
                    <w:rFonts w:ascii="Palatino Linotype" w:eastAsia="Calibri" w:hAnsi="Palatino Linotype" w:cs="Tahoma"/>
                    <w:b/>
                    <w:sz w:val="22"/>
                    <w:szCs w:val="22"/>
                    <w:lang w:eastAsia="en-US"/>
                  </w:rPr>
                  <w:t>Sujeto Obligado:</w:t>
                </w:r>
              </w:p>
            </w:tc>
            <w:tc>
              <w:tcPr>
                <w:tcW w:w="2977" w:type="dxa"/>
              </w:tcPr>
              <w:p w14:paraId="2B205C7F" w14:textId="5E91C9B3" w:rsidR="005D09C1" w:rsidRPr="005C5A57" w:rsidRDefault="00396CF5" w:rsidP="00806ABD">
                <w:pPr>
                  <w:tabs>
                    <w:tab w:val="left" w:pos="2834"/>
                    <w:tab w:val="right" w:pos="8838"/>
                  </w:tabs>
                  <w:ind w:left="-113" w:right="1318"/>
                  <w:jc w:val="both"/>
                  <w:rPr>
                    <w:rFonts w:ascii="Palatino Linotype" w:eastAsia="Calibri" w:hAnsi="Palatino Linotype" w:cs="Tahoma"/>
                    <w:sz w:val="22"/>
                    <w:szCs w:val="22"/>
                    <w:lang w:eastAsia="en-US"/>
                  </w:rPr>
                </w:pPr>
                <w:r w:rsidRPr="00396CF5">
                  <w:rPr>
                    <w:rFonts w:ascii="Palatino Linotype" w:eastAsia="Calibri" w:hAnsi="Palatino Linotype" w:cs="Tahoma"/>
                    <w:bCs/>
                    <w:sz w:val="22"/>
                    <w:szCs w:val="24"/>
                    <w:lang w:eastAsia="en-US"/>
                  </w:rPr>
                  <w:t xml:space="preserve">Ayuntamiento de </w:t>
                </w:r>
                <w:r w:rsidR="007441D8">
                  <w:rPr>
                    <w:rFonts w:ascii="Palatino Linotype" w:eastAsia="Calibri" w:hAnsi="Palatino Linotype" w:cs="Tahoma"/>
                    <w:bCs/>
                    <w:sz w:val="22"/>
                    <w:szCs w:val="24"/>
                    <w:lang w:eastAsia="en-US"/>
                  </w:rPr>
                  <w:t>Metepec</w:t>
                </w:r>
              </w:p>
            </w:tc>
          </w:tr>
          <w:bookmarkEnd w:id="48"/>
          <w:tr w:rsidR="005D09C1" w14:paraId="28CCE4E5" w14:textId="77777777" w:rsidTr="007441D8">
            <w:trPr>
              <w:trHeight w:val="283"/>
            </w:trPr>
            <w:tc>
              <w:tcPr>
                <w:tcW w:w="2551" w:type="dxa"/>
              </w:tcPr>
              <w:p w14:paraId="13EBF3BB" w14:textId="6E4ECE4B" w:rsidR="005D09C1" w:rsidRDefault="005D09C1">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Comisionada Ponente:</w:t>
                </w:r>
              </w:p>
            </w:tc>
            <w:tc>
              <w:tcPr>
                <w:tcW w:w="2977" w:type="dxa"/>
              </w:tcPr>
              <w:p w14:paraId="5DF20594" w14:textId="1A6CDEA4" w:rsidR="005D09C1" w:rsidRDefault="005D09C1" w:rsidP="00187E51">
                <w:pPr>
                  <w:tabs>
                    <w:tab w:val="right" w:pos="8838"/>
                  </w:tabs>
                  <w:ind w:left="-113" w:right="-105"/>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María del Rosario Mejía Ayala</w:t>
                </w:r>
              </w:p>
            </w:tc>
          </w:tr>
        </w:tbl>
        <w:p w14:paraId="5775EEC5" w14:textId="77777777" w:rsidR="005D09C1" w:rsidRDefault="005D09C1">
          <w:pPr>
            <w:tabs>
              <w:tab w:val="right" w:pos="8838"/>
            </w:tabs>
            <w:ind w:left="-28"/>
            <w:jc w:val="both"/>
            <w:rPr>
              <w:rFonts w:ascii="Arial" w:eastAsia="Calibri" w:hAnsi="Arial" w:cs="Arial"/>
              <w:b/>
              <w:sz w:val="22"/>
              <w:szCs w:val="22"/>
              <w:lang w:eastAsia="en-US"/>
            </w:rPr>
          </w:pPr>
        </w:p>
      </w:tc>
    </w:tr>
  </w:tbl>
  <w:p w14:paraId="07EF2D29" w14:textId="1620A8B4" w:rsidR="005D09C1" w:rsidRDefault="00130A01" w:rsidP="00814079">
    <w:pPr>
      <w:pStyle w:val="Encabezado"/>
      <w:rPr>
        <w:sz w:val="14"/>
      </w:rPr>
    </w:pPr>
    <w:r>
      <w:rPr>
        <w:noProof/>
        <w:sz w:val="14"/>
        <w:lang w:eastAsia="es-MX"/>
      </w:rPr>
      <w:pict w14:anchorId="32A1AE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1" o:spid="_x0000_s1027" type="#_x0000_t75" style="position:absolute;margin-left:-104.3pt;margin-top:-133.1pt;width:663.5pt;height:12in;z-index:-251656192;mso-position-horizontal-relative:margin;mso-position-vertical-relative:margin" o:allowincell="f">
          <v:imagedata r:id="rId1" o:title="marcaaguaINFOEM"/>
          <w10:wrap anchorx="margin" anchory="margin"/>
        </v:shape>
      </w:pict>
    </w:r>
  </w:p>
  <w:p w14:paraId="0AE465A1" w14:textId="77777777" w:rsidR="005D09C1" w:rsidRDefault="005D09C1"/>
  <w:p w14:paraId="104386EF" w14:textId="77777777" w:rsidR="005D09C1" w:rsidRDefault="005D09C1"/>
  <w:p w14:paraId="60A3E393" w14:textId="77777777" w:rsidR="005D09C1" w:rsidRDefault="005D09C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8" w:type="dxa"/>
      <w:tblLayout w:type="fixed"/>
      <w:tblLook w:val="04A0" w:firstRow="1" w:lastRow="0" w:firstColumn="1" w:lastColumn="0" w:noHBand="0" w:noVBand="1"/>
    </w:tblPr>
    <w:tblGrid>
      <w:gridCol w:w="1560"/>
      <w:gridCol w:w="7938"/>
    </w:tblGrid>
    <w:tr w:rsidR="005D09C1" w14:paraId="61517A1D" w14:textId="77777777" w:rsidTr="003A6126">
      <w:trPr>
        <w:trHeight w:val="1435"/>
      </w:trPr>
      <w:tc>
        <w:tcPr>
          <w:tcW w:w="1560" w:type="dxa"/>
          <w:shd w:val="clear" w:color="auto" w:fill="auto"/>
        </w:tcPr>
        <w:p w14:paraId="4B74E846" w14:textId="1E0D62B9" w:rsidR="005D09C1" w:rsidRDefault="005D09C1">
          <w:pPr>
            <w:tabs>
              <w:tab w:val="right" w:pos="4273"/>
            </w:tabs>
            <w:rPr>
              <w:rFonts w:ascii="Garamond" w:eastAsia="Calibri" w:hAnsi="Garamond"/>
              <w:sz w:val="22"/>
              <w:szCs w:val="22"/>
              <w:lang w:eastAsia="en-US"/>
            </w:rPr>
          </w:pPr>
        </w:p>
      </w:tc>
      <w:tc>
        <w:tcPr>
          <w:tcW w:w="7938" w:type="dxa"/>
          <w:shd w:val="clear" w:color="auto" w:fill="auto"/>
        </w:tcPr>
        <w:tbl>
          <w:tblPr>
            <w:tblStyle w:val="Tablaconcuadrcula"/>
            <w:tblW w:w="8930" w:type="dxa"/>
            <w:tblInd w:w="18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4"/>
            <w:gridCol w:w="3084"/>
            <w:gridCol w:w="3402"/>
          </w:tblGrid>
          <w:tr w:rsidR="005D09C1" w14:paraId="7F59E1EF" w14:textId="77777777" w:rsidTr="007441D8">
            <w:trPr>
              <w:trHeight w:val="144"/>
            </w:trPr>
            <w:tc>
              <w:tcPr>
                <w:tcW w:w="2444" w:type="dxa"/>
              </w:tcPr>
              <w:p w14:paraId="5EFF942E" w14:textId="77777777" w:rsidR="005D09C1" w:rsidRDefault="005D09C1" w:rsidP="000D485D">
                <w:pPr>
                  <w:tabs>
                    <w:tab w:val="right" w:pos="8838"/>
                  </w:tabs>
                  <w:ind w:left="-74" w:right="-105"/>
                  <w:rPr>
                    <w:rFonts w:ascii="Palatino Linotype" w:eastAsia="Calibri" w:hAnsi="Palatino Linotype" w:cs="Tahoma"/>
                    <w:b/>
                    <w:sz w:val="22"/>
                    <w:szCs w:val="22"/>
                    <w:lang w:eastAsia="en-US"/>
                  </w:rPr>
                </w:pPr>
                <w:bookmarkStart w:id="49" w:name="_Hlk12526980"/>
                <w:r>
                  <w:rPr>
                    <w:rFonts w:ascii="Palatino Linotype" w:eastAsia="Calibri" w:hAnsi="Palatino Linotype" w:cs="Tahoma"/>
                    <w:b/>
                    <w:sz w:val="22"/>
                    <w:szCs w:val="22"/>
                    <w:lang w:eastAsia="en-US"/>
                  </w:rPr>
                  <w:t>Recurso de Revisión:</w:t>
                </w:r>
              </w:p>
            </w:tc>
            <w:tc>
              <w:tcPr>
                <w:tcW w:w="3084" w:type="dxa"/>
              </w:tcPr>
              <w:p w14:paraId="0DE47EE2" w14:textId="775A4FA4" w:rsidR="005D09C1" w:rsidRPr="002B2042" w:rsidRDefault="002B2042" w:rsidP="00396CF5">
                <w:pPr>
                  <w:tabs>
                    <w:tab w:val="right" w:pos="8838"/>
                  </w:tabs>
                  <w:ind w:left="-3" w:right="-105"/>
                  <w:jc w:val="both"/>
                  <w:rPr>
                    <w:rFonts w:ascii="Palatino Linotype" w:eastAsia="Calibri" w:hAnsi="Palatino Linotype" w:cs="Tahoma"/>
                    <w:sz w:val="22"/>
                    <w:szCs w:val="22"/>
                    <w:lang w:eastAsia="en-US"/>
                  </w:rPr>
                </w:pPr>
                <w:r w:rsidRPr="002B2042">
                  <w:rPr>
                    <w:rFonts w:ascii="Palatino Linotype" w:eastAsia="Calibri" w:hAnsi="Palatino Linotype" w:cs="Tahoma"/>
                    <w:sz w:val="22"/>
                    <w:lang w:eastAsia="en-US"/>
                  </w:rPr>
                  <w:t>0</w:t>
                </w:r>
                <w:r w:rsidR="007441D8">
                  <w:rPr>
                    <w:rFonts w:ascii="Palatino Linotype" w:eastAsia="Calibri" w:hAnsi="Palatino Linotype" w:cs="Tahoma"/>
                    <w:sz w:val="22"/>
                    <w:lang w:eastAsia="en-US"/>
                  </w:rPr>
                  <w:t>1133</w:t>
                </w:r>
                <w:r w:rsidRPr="002B2042">
                  <w:rPr>
                    <w:rFonts w:ascii="Palatino Linotype" w:eastAsia="Calibri" w:hAnsi="Palatino Linotype" w:cs="Tahoma"/>
                    <w:sz w:val="22"/>
                    <w:lang w:eastAsia="en-US"/>
                  </w:rPr>
                  <w:t>/INFOEM/IP/RR/202</w:t>
                </w:r>
                <w:r w:rsidR="005C5A57">
                  <w:rPr>
                    <w:rFonts w:ascii="Palatino Linotype" w:eastAsia="Calibri" w:hAnsi="Palatino Linotype" w:cs="Tahoma"/>
                    <w:sz w:val="22"/>
                    <w:lang w:eastAsia="en-US"/>
                  </w:rPr>
                  <w:t>2</w:t>
                </w:r>
                <w:r w:rsidR="007441D8">
                  <w:rPr>
                    <w:rFonts w:ascii="Palatino Linotype" w:eastAsia="Calibri" w:hAnsi="Palatino Linotype" w:cs="Tahoma"/>
                    <w:sz w:val="22"/>
                    <w:lang w:eastAsia="en-US"/>
                  </w:rPr>
                  <w:t xml:space="preserve"> y acumulados</w:t>
                </w:r>
              </w:p>
            </w:tc>
            <w:tc>
              <w:tcPr>
                <w:tcW w:w="3402" w:type="dxa"/>
              </w:tcPr>
              <w:p w14:paraId="11E4533C" w14:textId="3B21362A" w:rsidR="005D09C1" w:rsidRDefault="005D09C1">
                <w:pPr>
                  <w:tabs>
                    <w:tab w:val="right" w:pos="8838"/>
                  </w:tabs>
                  <w:ind w:left="-74" w:right="-105"/>
                  <w:jc w:val="both"/>
                  <w:rPr>
                    <w:rFonts w:ascii="Palatino Linotype" w:eastAsia="Calibri" w:hAnsi="Palatino Linotype" w:cs="Tahoma"/>
                    <w:bCs/>
                    <w:sz w:val="22"/>
                    <w:szCs w:val="22"/>
                    <w:lang w:eastAsia="en-US"/>
                  </w:rPr>
                </w:pPr>
              </w:p>
            </w:tc>
          </w:tr>
          <w:tr w:rsidR="005D09C1" w14:paraId="3FC4FA7D" w14:textId="77777777" w:rsidTr="007441D8">
            <w:trPr>
              <w:trHeight w:val="144"/>
            </w:trPr>
            <w:tc>
              <w:tcPr>
                <w:tcW w:w="2444" w:type="dxa"/>
              </w:tcPr>
              <w:p w14:paraId="363D966B" w14:textId="77777777" w:rsidR="005D09C1" w:rsidRDefault="005D09C1" w:rsidP="000D485D">
                <w:pPr>
                  <w:tabs>
                    <w:tab w:val="right" w:pos="8838"/>
                  </w:tabs>
                  <w:ind w:left="-74" w:right="-105"/>
                  <w:rPr>
                    <w:rFonts w:ascii="Palatino Linotype" w:eastAsia="Calibri" w:hAnsi="Palatino Linotype" w:cs="Tahoma"/>
                    <w:b/>
                    <w:sz w:val="22"/>
                    <w:szCs w:val="22"/>
                    <w:lang w:eastAsia="en-US"/>
                  </w:rPr>
                </w:pPr>
                <w:bookmarkStart w:id="50" w:name="_Hlk10641523"/>
                <w:bookmarkEnd w:id="49"/>
                <w:r>
                  <w:rPr>
                    <w:rFonts w:ascii="Palatino Linotype" w:eastAsia="Calibri" w:hAnsi="Palatino Linotype" w:cs="Tahoma"/>
                    <w:b/>
                    <w:sz w:val="22"/>
                    <w:szCs w:val="22"/>
                    <w:lang w:eastAsia="en-US"/>
                  </w:rPr>
                  <w:t>Recurrente:</w:t>
                </w:r>
              </w:p>
            </w:tc>
            <w:tc>
              <w:tcPr>
                <w:tcW w:w="3084" w:type="dxa"/>
              </w:tcPr>
              <w:p w14:paraId="73C065CD" w14:textId="626DB155" w:rsidR="005D09C1" w:rsidRPr="000A7E5D" w:rsidRDefault="005D09C1" w:rsidP="00A36BE2">
                <w:pPr>
                  <w:tabs>
                    <w:tab w:val="left" w:pos="3122"/>
                    <w:tab w:val="right" w:pos="8838"/>
                  </w:tabs>
                  <w:ind w:right="1457"/>
                  <w:jc w:val="both"/>
                  <w:rPr>
                    <w:rFonts w:ascii="Palatino Linotype" w:eastAsia="Calibri" w:hAnsi="Palatino Linotype" w:cs="Tahoma"/>
                    <w:sz w:val="22"/>
                    <w:szCs w:val="22"/>
                    <w:lang w:eastAsia="en-US"/>
                  </w:rPr>
                </w:pPr>
              </w:p>
            </w:tc>
            <w:tc>
              <w:tcPr>
                <w:tcW w:w="3402" w:type="dxa"/>
              </w:tcPr>
              <w:p w14:paraId="370E6EFF" w14:textId="3B7EABB6" w:rsidR="005D09C1" w:rsidRDefault="005D09C1" w:rsidP="003037E1">
                <w:pPr>
                  <w:tabs>
                    <w:tab w:val="left" w:pos="3122"/>
                    <w:tab w:val="right" w:pos="8838"/>
                  </w:tabs>
                  <w:ind w:right="-105"/>
                  <w:jc w:val="both"/>
                  <w:rPr>
                    <w:rFonts w:ascii="Palatino Linotype" w:eastAsia="Calibri" w:hAnsi="Palatino Linotype" w:cs="Tahoma"/>
                    <w:sz w:val="22"/>
                    <w:szCs w:val="22"/>
                    <w:lang w:eastAsia="en-US"/>
                  </w:rPr>
                </w:pPr>
              </w:p>
            </w:tc>
          </w:tr>
          <w:bookmarkEnd w:id="50"/>
          <w:tr w:rsidR="005D09C1" w14:paraId="4D832A43" w14:textId="77777777" w:rsidTr="007441D8">
            <w:trPr>
              <w:trHeight w:val="283"/>
            </w:trPr>
            <w:tc>
              <w:tcPr>
                <w:tcW w:w="2444" w:type="dxa"/>
              </w:tcPr>
              <w:p w14:paraId="02CA5CB0" w14:textId="77777777" w:rsidR="005D09C1" w:rsidRDefault="005D09C1" w:rsidP="000D485D">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Sujeto Obligado:</w:t>
                </w:r>
              </w:p>
            </w:tc>
            <w:tc>
              <w:tcPr>
                <w:tcW w:w="3084" w:type="dxa"/>
              </w:tcPr>
              <w:p w14:paraId="28528629" w14:textId="1F8C62A1" w:rsidR="005D09C1" w:rsidRPr="00396CF5" w:rsidRDefault="00396CF5" w:rsidP="007441D8">
                <w:pPr>
                  <w:tabs>
                    <w:tab w:val="left" w:pos="2834"/>
                    <w:tab w:val="right" w:pos="8838"/>
                  </w:tabs>
                  <w:ind w:left="-3" w:right="891"/>
                  <w:jc w:val="both"/>
                  <w:rPr>
                    <w:rFonts w:ascii="Palatino Linotype" w:eastAsia="Calibri" w:hAnsi="Palatino Linotype" w:cs="Tahoma"/>
                    <w:sz w:val="22"/>
                    <w:szCs w:val="22"/>
                    <w:lang w:eastAsia="en-US"/>
                  </w:rPr>
                </w:pPr>
                <w:r w:rsidRPr="00396CF5">
                  <w:rPr>
                    <w:rFonts w:ascii="Palatino Linotype" w:eastAsia="Calibri" w:hAnsi="Palatino Linotype" w:cs="Tahoma"/>
                    <w:bCs/>
                    <w:sz w:val="22"/>
                    <w:szCs w:val="24"/>
                    <w:lang w:eastAsia="en-US"/>
                  </w:rPr>
                  <w:t xml:space="preserve">Ayuntamiento de </w:t>
                </w:r>
                <w:r w:rsidR="007441D8">
                  <w:rPr>
                    <w:rFonts w:ascii="Palatino Linotype" w:eastAsia="Calibri" w:hAnsi="Palatino Linotype" w:cs="Tahoma"/>
                    <w:bCs/>
                    <w:sz w:val="22"/>
                    <w:szCs w:val="24"/>
                    <w:lang w:eastAsia="en-US"/>
                  </w:rPr>
                  <w:t>Metepec</w:t>
                </w:r>
              </w:p>
            </w:tc>
            <w:tc>
              <w:tcPr>
                <w:tcW w:w="3402" w:type="dxa"/>
              </w:tcPr>
              <w:p w14:paraId="00F18B8C" w14:textId="77777777" w:rsidR="005D09C1" w:rsidRDefault="005D09C1">
                <w:pPr>
                  <w:tabs>
                    <w:tab w:val="left" w:pos="2834"/>
                    <w:tab w:val="right" w:pos="8838"/>
                  </w:tabs>
                  <w:ind w:left="-74" w:right="-105"/>
                  <w:jc w:val="both"/>
                  <w:rPr>
                    <w:rFonts w:ascii="Palatino Linotype" w:eastAsia="Calibri" w:hAnsi="Palatino Linotype" w:cs="Tahoma"/>
                    <w:sz w:val="22"/>
                    <w:szCs w:val="22"/>
                    <w:lang w:eastAsia="en-US"/>
                  </w:rPr>
                </w:pPr>
              </w:p>
            </w:tc>
          </w:tr>
          <w:tr w:rsidR="005D09C1" w14:paraId="7BC74D7A" w14:textId="77777777" w:rsidTr="007441D8">
            <w:trPr>
              <w:trHeight w:val="283"/>
            </w:trPr>
            <w:tc>
              <w:tcPr>
                <w:tcW w:w="2444" w:type="dxa"/>
              </w:tcPr>
              <w:p w14:paraId="3BF93338" w14:textId="01E84F2D" w:rsidR="005D09C1" w:rsidRDefault="005D09C1" w:rsidP="000D485D">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Comisionada Ponente:</w:t>
                </w:r>
              </w:p>
            </w:tc>
            <w:tc>
              <w:tcPr>
                <w:tcW w:w="3084" w:type="dxa"/>
              </w:tcPr>
              <w:p w14:paraId="3589422E" w14:textId="64278750" w:rsidR="005D09C1" w:rsidRPr="003037E1" w:rsidRDefault="005D09C1" w:rsidP="003037E1">
                <w:pPr>
                  <w:tabs>
                    <w:tab w:val="right" w:pos="8838"/>
                  </w:tabs>
                  <w:ind w:left="-3" w:right="-105"/>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María del Rosario Mejía Ayala</w:t>
                </w:r>
              </w:p>
            </w:tc>
            <w:tc>
              <w:tcPr>
                <w:tcW w:w="3402" w:type="dxa"/>
              </w:tcPr>
              <w:p w14:paraId="6DBCB70D" w14:textId="77777777" w:rsidR="005D09C1" w:rsidRDefault="005D09C1">
                <w:pPr>
                  <w:tabs>
                    <w:tab w:val="right" w:pos="8838"/>
                  </w:tabs>
                  <w:ind w:left="-74" w:right="-105"/>
                  <w:jc w:val="both"/>
                  <w:rPr>
                    <w:rFonts w:ascii="Palatino Linotype" w:eastAsia="Calibri" w:hAnsi="Palatino Linotype" w:cs="Tahoma"/>
                    <w:sz w:val="22"/>
                    <w:szCs w:val="22"/>
                    <w:lang w:eastAsia="en-US"/>
                  </w:rPr>
                </w:pPr>
              </w:p>
            </w:tc>
          </w:tr>
        </w:tbl>
        <w:p w14:paraId="27F446EB" w14:textId="77777777" w:rsidR="005D09C1" w:rsidRDefault="005D09C1">
          <w:pPr>
            <w:tabs>
              <w:tab w:val="right" w:pos="8838"/>
            </w:tabs>
            <w:ind w:left="-28"/>
            <w:jc w:val="both"/>
            <w:rPr>
              <w:rFonts w:ascii="Arial" w:eastAsia="Calibri" w:hAnsi="Arial" w:cs="Arial"/>
              <w:b/>
              <w:sz w:val="22"/>
              <w:szCs w:val="22"/>
              <w:lang w:eastAsia="en-US"/>
            </w:rPr>
          </w:pPr>
        </w:p>
      </w:tc>
    </w:tr>
  </w:tbl>
  <w:p w14:paraId="5F654A99" w14:textId="6CB7D4AE" w:rsidR="005D09C1" w:rsidRDefault="00130A01" w:rsidP="003A6126">
    <w:pPr>
      <w:pStyle w:val="Encabezado"/>
      <w:tabs>
        <w:tab w:val="clear" w:pos="4419"/>
        <w:tab w:val="clear" w:pos="8838"/>
        <w:tab w:val="center" w:pos="4522"/>
      </w:tabs>
    </w:pPr>
    <w:r>
      <w:rPr>
        <w:noProof/>
        <w:sz w:val="14"/>
        <w:szCs w:val="22"/>
        <w:lang w:eastAsia="es-MX"/>
      </w:rPr>
      <w:pict w14:anchorId="666F2B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09" o:spid="_x0000_s1025" type="#_x0000_t75" style="position:absolute;margin-left:-75.8pt;margin-top:-134.3pt;width:663.5pt;height:12in;z-index:-251658240;mso-position-horizontal-relative:margin;mso-position-vertical-relative:margin" o:allowincell="f">
          <v:imagedata r:id="rId1" o:title="marcaaguaINFOEM"/>
          <w10:wrap anchorx="margin" anchory="margin"/>
        </v:shape>
      </w:pict>
    </w:r>
  </w:p>
  <w:p w14:paraId="673BC59D" w14:textId="77777777" w:rsidR="005D09C1" w:rsidRDefault="005D09C1"/>
  <w:p w14:paraId="69AC6122" w14:textId="77777777" w:rsidR="005D09C1" w:rsidRDefault="005D09C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FFFFF83"/>
    <w:lvl w:ilvl="0">
      <w:start w:val="1"/>
      <w:numFmt w:val="bullet"/>
      <w:pStyle w:val="Listaconvietas2"/>
      <w:lvlText w:val=""/>
      <w:lvlJc w:val="left"/>
      <w:pPr>
        <w:tabs>
          <w:tab w:val="left" w:pos="643"/>
        </w:tabs>
        <w:ind w:left="643" w:hanging="360"/>
      </w:pPr>
      <w:rPr>
        <w:rFonts w:ascii="Symbol" w:hAnsi="Symbol" w:hint="default"/>
      </w:rPr>
    </w:lvl>
  </w:abstractNum>
  <w:abstractNum w:abstractNumId="1" w15:restartNumberingAfterBreak="0">
    <w:nsid w:val="000859FD"/>
    <w:multiLevelType w:val="hybridMultilevel"/>
    <w:tmpl w:val="CB4490F8"/>
    <w:lvl w:ilvl="0" w:tplc="21088A32">
      <w:start w:val="1"/>
      <w:numFmt w:val="decimal"/>
      <w:lvlText w:val="%1."/>
      <w:lvlJc w:val="left"/>
      <w:pPr>
        <w:ind w:left="1080" w:hanging="720"/>
      </w:pPr>
      <w:rPr>
        <w:rFonts w:ascii="Palatino Linotype" w:eastAsia="Times New Roman" w:hAnsi="Palatino Linotype" w:cs="Arial"/>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CF57E7"/>
    <w:multiLevelType w:val="hybridMultilevel"/>
    <w:tmpl w:val="1FCC1A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5F4D6F"/>
    <w:multiLevelType w:val="hybridMultilevel"/>
    <w:tmpl w:val="AED81494"/>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98266D9"/>
    <w:multiLevelType w:val="hybridMultilevel"/>
    <w:tmpl w:val="C63C7D8A"/>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37A53E6"/>
    <w:multiLevelType w:val="multilevel"/>
    <w:tmpl w:val="F01E3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0" w15:restartNumberingAfterBreak="0">
    <w:nsid w:val="13C3412C"/>
    <w:multiLevelType w:val="hybridMultilevel"/>
    <w:tmpl w:val="9814E382"/>
    <w:lvl w:ilvl="0" w:tplc="B1FCA7B0">
      <w:start w:val="1"/>
      <w:numFmt w:val="upp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57F619A"/>
    <w:multiLevelType w:val="hybridMultilevel"/>
    <w:tmpl w:val="BD062CA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15:restartNumberingAfterBreak="0">
    <w:nsid w:val="1844291F"/>
    <w:multiLevelType w:val="hybridMultilevel"/>
    <w:tmpl w:val="7D1E6D54"/>
    <w:lvl w:ilvl="0" w:tplc="080A0013">
      <w:start w:val="1"/>
      <w:numFmt w:val="upperRoman"/>
      <w:lvlText w:val="%1."/>
      <w:lvlJc w:val="right"/>
      <w:pPr>
        <w:ind w:left="1080" w:hanging="72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F9671CD"/>
    <w:multiLevelType w:val="hybridMultilevel"/>
    <w:tmpl w:val="169CCF94"/>
    <w:lvl w:ilvl="0" w:tplc="88CA20FE">
      <w:start w:val="2"/>
      <w:numFmt w:val="bullet"/>
      <w:lvlText w:val="-"/>
      <w:lvlJc w:val="left"/>
      <w:pPr>
        <w:ind w:left="720" w:hanging="360"/>
      </w:pPr>
      <w:rPr>
        <w:rFonts w:ascii="Palatino Linotype" w:eastAsia="Calibri" w:hAnsi="Palatino Linotype"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3C61CF9"/>
    <w:multiLevelType w:val="hybridMultilevel"/>
    <w:tmpl w:val="142C54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4871917"/>
    <w:multiLevelType w:val="hybridMultilevel"/>
    <w:tmpl w:val="0E74E816"/>
    <w:lvl w:ilvl="0" w:tplc="521A2B46">
      <w:start w:val="1"/>
      <w:numFmt w:val="upperLetter"/>
      <w:lvlText w:val="%1)"/>
      <w:lvlJc w:val="left"/>
      <w:pPr>
        <w:ind w:left="720"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A9C596E"/>
    <w:multiLevelType w:val="hybridMultilevel"/>
    <w:tmpl w:val="9852044C"/>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15:restartNumberingAfterBreak="0">
    <w:nsid w:val="306B32E2"/>
    <w:multiLevelType w:val="hybridMultilevel"/>
    <w:tmpl w:val="290C3C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4317490"/>
    <w:multiLevelType w:val="hybridMultilevel"/>
    <w:tmpl w:val="FD30DC42"/>
    <w:lvl w:ilvl="0" w:tplc="92BE0B36">
      <w:start w:val="1"/>
      <w:numFmt w:val="decimal"/>
      <w:lvlText w:val="%1."/>
      <w:lvlJc w:val="left"/>
      <w:pPr>
        <w:ind w:left="4613"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D245664"/>
    <w:multiLevelType w:val="hybridMultilevel"/>
    <w:tmpl w:val="E634172E"/>
    <w:lvl w:ilvl="0" w:tplc="C1FED1D8">
      <w:start w:val="1"/>
      <w:numFmt w:val="lowerLetter"/>
      <w:lvlText w:val="%1)"/>
      <w:lvlJc w:val="left"/>
      <w:pPr>
        <w:ind w:left="2346" w:hanging="360"/>
      </w:pPr>
      <w:rPr>
        <w:rFonts w:hint="default"/>
      </w:rPr>
    </w:lvl>
    <w:lvl w:ilvl="1" w:tplc="080A0019" w:tentative="1">
      <w:start w:val="1"/>
      <w:numFmt w:val="lowerLetter"/>
      <w:lvlText w:val="%2."/>
      <w:lvlJc w:val="left"/>
      <w:pPr>
        <w:ind w:left="3066" w:hanging="360"/>
      </w:pPr>
    </w:lvl>
    <w:lvl w:ilvl="2" w:tplc="080A001B" w:tentative="1">
      <w:start w:val="1"/>
      <w:numFmt w:val="lowerRoman"/>
      <w:lvlText w:val="%3."/>
      <w:lvlJc w:val="right"/>
      <w:pPr>
        <w:ind w:left="3786" w:hanging="180"/>
      </w:pPr>
    </w:lvl>
    <w:lvl w:ilvl="3" w:tplc="080A000F" w:tentative="1">
      <w:start w:val="1"/>
      <w:numFmt w:val="decimal"/>
      <w:lvlText w:val="%4."/>
      <w:lvlJc w:val="left"/>
      <w:pPr>
        <w:ind w:left="4506" w:hanging="360"/>
      </w:pPr>
    </w:lvl>
    <w:lvl w:ilvl="4" w:tplc="080A0019" w:tentative="1">
      <w:start w:val="1"/>
      <w:numFmt w:val="lowerLetter"/>
      <w:lvlText w:val="%5."/>
      <w:lvlJc w:val="left"/>
      <w:pPr>
        <w:ind w:left="5226" w:hanging="360"/>
      </w:pPr>
    </w:lvl>
    <w:lvl w:ilvl="5" w:tplc="080A001B" w:tentative="1">
      <w:start w:val="1"/>
      <w:numFmt w:val="lowerRoman"/>
      <w:lvlText w:val="%6."/>
      <w:lvlJc w:val="right"/>
      <w:pPr>
        <w:ind w:left="5946" w:hanging="180"/>
      </w:pPr>
    </w:lvl>
    <w:lvl w:ilvl="6" w:tplc="080A000F" w:tentative="1">
      <w:start w:val="1"/>
      <w:numFmt w:val="decimal"/>
      <w:lvlText w:val="%7."/>
      <w:lvlJc w:val="left"/>
      <w:pPr>
        <w:ind w:left="6666" w:hanging="360"/>
      </w:pPr>
    </w:lvl>
    <w:lvl w:ilvl="7" w:tplc="080A0019" w:tentative="1">
      <w:start w:val="1"/>
      <w:numFmt w:val="lowerLetter"/>
      <w:lvlText w:val="%8."/>
      <w:lvlJc w:val="left"/>
      <w:pPr>
        <w:ind w:left="7386" w:hanging="360"/>
      </w:pPr>
    </w:lvl>
    <w:lvl w:ilvl="8" w:tplc="080A001B" w:tentative="1">
      <w:start w:val="1"/>
      <w:numFmt w:val="lowerRoman"/>
      <w:lvlText w:val="%9."/>
      <w:lvlJc w:val="right"/>
      <w:pPr>
        <w:ind w:left="8106" w:hanging="180"/>
      </w:pPr>
    </w:lvl>
  </w:abstractNum>
  <w:abstractNum w:abstractNumId="23" w15:restartNumberingAfterBreak="0">
    <w:nsid w:val="3E686DB2"/>
    <w:multiLevelType w:val="hybridMultilevel"/>
    <w:tmpl w:val="4FA4A7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15:restartNumberingAfterBreak="0">
    <w:nsid w:val="402229FD"/>
    <w:multiLevelType w:val="hybridMultilevel"/>
    <w:tmpl w:val="931C32B8"/>
    <w:lvl w:ilvl="0" w:tplc="2C40DCDC">
      <w:start w:val="1"/>
      <w:numFmt w:val="upperLetter"/>
      <w:lvlText w:val="%1."/>
      <w:lvlJc w:val="left"/>
      <w:pPr>
        <w:ind w:left="720" w:hanging="360"/>
      </w:pPr>
      <w:rPr>
        <w:rFonts w:hint="default"/>
        <w:b/>
        <w:bCs/>
        <w:color w:val="auto"/>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03E53D4"/>
    <w:multiLevelType w:val="hybridMultilevel"/>
    <w:tmpl w:val="9FF059D0"/>
    <w:lvl w:ilvl="0" w:tplc="080A0001">
      <w:start w:val="1"/>
      <w:numFmt w:val="bullet"/>
      <w:lvlText w:val=""/>
      <w:lvlJc w:val="left"/>
      <w:pPr>
        <w:ind w:left="1287" w:hanging="360"/>
      </w:pPr>
      <w:rPr>
        <w:rFonts w:ascii="Symbol" w:hAnsi="Symbol" w:hint="default"/>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26" w15:restartNumberingAfterBreak="0">
    <w:nsid w:val="425B71D1"/>
    <w:multiLevelType w:val="hybridMultilevel"/>
    <w:tmpl w:val="63261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30F6334"/>
    <w:multiLevelType w:val="hybridMultilevel"/>
    <w:tmpl w:val="DD8251BE"/>
    <w:lvl w:ilvl="0" w:tplc="2334F88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879167B"/>
    <w:multiLevelType w:val="hybridMultilevel"/>
    <w:tmpl w:val="3CC4905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F9B26C9"/>
    <w:multiLevelType w:val="hybridMultilevel"/>
    <w:tmpl w:val="65B070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1" w15:restartNumberingAfterBreak="0">
    <w:nsid w:val="52CA5C14"/>
    <w:multiLevelType w:val="hybridMultilevel"/>
    <w:tmpl w:val="9F7039A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2" w15:restartNumberingAfterBreak="0">
    <w:nsid w:val="55270159"/>
    <w:multiLevelType w:val="hybridMultilevel"/>
    <w:tmpl w:val="B2A61C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C421270"/>
    <w:multiLevelType w:val="hybridMultilevel"/>
    <w:tmpl w:val="15B8B43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4" w15:restartNumberingAfterBreak="0">
    <w:nsid w:val="61205F02"/>
    <w:multiLevelType w:val="hybridMultilevel"/>
    <w:tmpl w:val="4AD2B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6" w15:restartNumberingAfterBreak="0">
    <w:nsid w:val="687F14CE"/>
    <w:multiLevelType w:val="hybridMultilevel"/>
    <w:tmpl w:val="FEE8D148"/>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F875C07"/>
    <w:multiLevelType w:val="hybridMultilevel"/>
    <w:tmpl w:val="A83C78D4"/>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8" w15:restartNumberingAfterBreak="0">
    <w:nsid w:val="752C7427"/>
    <w:multiLevelType w:val="hybridMultilevel"/>
    <w:tmpl w:val="8B8635B2"/>
    <w:lvl w:ilvl="0" w:tplc="080A0001">
      <w:start w:val="1"/>
      <w:numFmt w:val="bullet"/>
      <w:lvlText w:val=""/>
      <w:lvlJc w:val="left"/>
      <w:pPr>
        <w:ind w:left="2007" w:hanging="360"/>
      </w:pPr>
      <w:rPr>
        <w:rFonts w:ascii="Symbol" w:hAnsi="Symbol" w:hint="default"/>
      </w:rPr>
    </w:lvl>
    <w:lvl w:ilvl="1" w:tplc="080A0003" w:tentative="1">
      <w:start w:val="1"/>
      <w:numFmt w:val="bullet"/>
      <w:lvlText w:val="o"/>
      <w:lvlJc w:val="left"/>
      <w:pPr>
        <w:ind w:left="2727" w:hanging="360"/>
      </w:pPr>
      <w:rPr>
        <w:rFonts w:ascii="Courier New" w:hAnsi="Courier New" w:cs="Courier New" w:hint="default"/>
      </w:rPr>
    </w:lvl>
    <w:lvl w:ilvl="2" w:tplc="080A0005" w:tentative="1">
      <w:start w:val="1"/>
      <w:numFmt w:val="bullet"/>
      <w:lvlText w:val=""/>
      <w:lvlJc w:val="left"/>
      <w:pPr>
        <w:ind w:left="3447" w:hanging="360"/>
      </w:pPr>
      <w:rPr>
        <w:rFonts w:ascii="Wingdings" w:hAnsi="Wingdings" w:hint="default"/>
      </w:rPr>
    </w:lvl>
    <w:lvl w:ilvl="3" w:tplc="080A0001" w:tentative="1">
      <w:start w:val="1"/>
      <w:numFmt w:val="bullet"/>
      <w:lvlText w:val=""/>
      <w:lvlJc w:val="left"/>
      <w:pPr>
        <w:ind w:left="4167" w:hanging="360"/>
      </w:pPr>
      <w:rPr>
        <w:rFonts w:ascii="Symbol" w:hAnsi="Symbol" w:hint="default"/>
      </w:rPr>
    </w:lvl>
    <w:lvl w:ilvl="4" w:tplc="080A0003" w:tentative="1">
      <w:start w:val="1"/>
      <w:numFmt w:val="bullet"/>
      <w:lvlText w:val="o"/>
      <w:lvlJc w:val="left"/>
      <w:pPr>
        <w:ind w:left="4887" w:hanging="360"/>
      </w:pPr>
      <w:rPr>
        <w:rFonts w:ascii="Courier New" w:hAnsi="Courier New" w:cs="Courier New" w:hint="default"/>
      </w:rPr>
    </w:lvl>
    <w:lvl w:ilvl="5" w:tplc="080A0005" w:tentative="1">
      <w:start w:val="1"/>
      <w:numFmt w:val="bullet"/>
      <w:lvlText w:val=""/>
      <w:lvlJc w:val="left"/>
      <w:pPr>
        <w:ind w:left="5607" w:hanging="360"/>
      </w:pPr>
      <w:rPr>
        <w:rFonts w:ascii="Wingdings" w:hAnsi="Wingdings" w:hint="default"/>
      </w:rPr>
    </w:lvl>
    <w:lvl w:ilvl="6" w:tplc="080A0001" w:tentative="1">
      <w:start w:val="1"/>
      <w:numFmt w:val="bullet"/>
      <w:lvlText w:val=""/>
      <w:lvlJc w:val="left"/>
      <w:pPr>
        <w:ind w:left="6327" w:hanging="360"/>
      </w:pPr>
      <w:rPr>
        <w:rFonts w:ascii="Symbol" w:hAnsi="Symbol" w:hint="default"/>
      </w:rPr>
    </w:lvl>
    <w:lvl w:ilvl="7" w:tplc="080A0003" w:tentative="1">
      <w:start w:val="1"/>
      <w:numFmt w:val="bullet"/>
      <w:lvlText w:val="o"/>
      <w:lvlJc w:val="left"/>
      <w:pPr>
        <w:ind w:left="7047" w:hanging="360"/>
      </w:pPr>
      <w:rPr>
        <w:rFonts w:ascii="Courier New" w:hAnsi="Courier New" w:cs="Courier New" w:hint="default"/>
      </w:rPr>
    </w:lvl>
    <w:lvl w:ilvl="8" w:tplc="080A0005" w:tentative="1">
      <w:start w:val="1"/>
      <w:numFmt w:val="bullet"/>
      <w:lvlText w:val=""/>
      <w:lvlJc w:val="left"/>
      <w:pPr>
        <w:ind w:left="7767" w:hanging="360"/>
      </w:pPr>
      <w:rPr>
        <w:rFonts w:ascii="Wingdings" w:hAnsi="Wingdings" w:hint="default"/>
      </w:rPr>
    </w:lvl>
  </w:abstractNum>
  <w:abstractNum w:abstractNumId="39" w15:restartNumberingAfterBreak="0">
    <w:nsid w:val="75DF4CA0"/>
    <w:multiLevelType w:val="hybridMultilevel"/>
    <w:tmpl w:val="D7B836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70136A0"/>
    <w:multiLevelType w:val="hybridMultilevel"/>
    <w:tmpl w:val="49522088"/>
    <w:lvl w:ilvl="0" w:tplc="080A000F">
      <w:start w:val="1"/>
      <w:numFmt w:val="decimal"/>
      <w:lvlText w:val="%1."/>
      <w:lvlJc w:val="left"/>
      <w:pPr>
        <w:ind w:left="9008"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86C1AD9"/>
    <w:multiLevelType w:val="hybridMultilevel"/>
    <w:tmpl w:val="A2088FD6"/>
    <w:lvl w:ilvl="0" w:tplc="71DA3FCE">
      <w:start w:val="1"/>
      <w:numFmt w:val="upp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A8F08F5"/>
    <w:multiLevelType w:val="hybridMultilevel"/>
    <w:tmpl w:val="763EBD4A"/>
    <w:lvl w:ilvl="0" w:tplc="427E651A">
      <w:start w:val="1"/>
      <w:numFmt w:val="decimal"/>
      <w:lvlText w:val="%1."/>
      <w:lvlJc w:val="left"/>
      <w:pPr>
        <w:ind w:left="720" w:hanging="360"/>
      </w:pPr>
      <w:rPr>
        <w:rFonts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B5C56A3"/>
    <w:multiLevelType w:val="hybridMultilevel"/>
    <w:tmpl w:val="74F0A3C2"/>
    <w:lvl w:ilvl="0" w:tplc="73668F1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4" w15:restartNumberingAfterBreak="0">
    <w:nsid w:val="7C981D22"/>
    <w:multiLevelType w:val="hybridMultilevel"/>
    <w:tmpl w:val="719621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CDA0965"/>
    <w:multiLevelType w:val="hybridMultilevel"/>
    <w:tmpl w:val="BCBAC0E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1"/>
  </w:num>
  <w:num w:numId="3">
    <w:abstractNumId w:val="21"/>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8"/>
  </w:num>
  <w:num w:numId="6">
    <w:abstractNumId w:val="10"/>
  </w:num>
  <w:num w:numId="7">
    <w:abstractNumId w:val="1"/>
  </w:num>
  <w:num w:numId="8">
    <w:abstractNumId w:val="13"/>
  </w:num>
  <w:num w:numId="9">
    <w:abstractNumId w:val="29"/>
  </w:num>
  <w:num w:numId="10">
    <w:abstractNumId w:val="45"/>
  </w:num>
  <w:num w:numId="11">
    <w:abstractNumId w:val="43"/>
  </w:num>
  <w:num w:numId="12">
    <w:abstractNumId w:val="32"/>
  </w:num>
  <w:num w:numId="13">
    <w:abstractNumId w:val="14"/>
  </w:num>
  <w:num w:numId="14">
    <w:abstractNumId w:val="6"/>
  </w:num>
  <w:num w:numId="15">
    <w:abstractNumId w:val="28"/>
  </w:num>
  <w:num w:numId="16">
    <w:abstractNumId w:val="27"/>
  </w:num>
  <w:num w:numId="17">
    <w:abstractNumId w:val="7"/>
  </w:num>
  <w:num w:numId="18">
    <w:abstractNumId w:val="25"/>
  </w:num>
  <w:num w:numId="19">
    <w:abstractNumId w:val="23"/>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num>
  <w:num w:numId="22">
    <w:abstractNumId w:val="36"/>
  </w:num>
  <w:num w:numId="23">
    <w:abstractNumId w:val="44"/>
  </w:num>
  <w:num w:numId="24">
    <w:abstractNumId w:val="24"/>
  </w:num>
  <w:num w:numId="25">
    <w:abstractNumId w:val="8"/>
  </w:num>
  <w:num w:numId="2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5"/>
  </w:num>
  <w:num w:numId="28">
    <w:abstractNumId w:val="30"/>
  </w:num>
  <w:num w:numId="29">
    <w:abstractNumId w:val="9"/>
  </w:num>
  <w:num w:numId="30">
    <w:abstractNumId w:val="17"/>
  </w:num>
  <w:num w:numId="31">
    <w:abstractNumId w:val="37"/>
  </w:num>
  <w:num w:numId="32">
    <w:abstractNumId w:val="42"/>
  </w:num>
  <w:num w:numId="33">
    <w:abstractNumId w:val="3"/>
  </w:num>
  <w:num w:numId="34">
    <w:abstractNumId w:val="15"/>
  </w:num>
  <w:num w:numId="35">
    <w:abstractNumId w:val="39"/>
  </w:num>
  <w:num w:numId="36">
    <w:abstractNumId w:val="16"/>
  </w:num>
  <w:num w:numId="37">
    <w:abstractNumId w:val="40"/>
  </w:num>
  <w:num w:numId="38">
    <w:abstractNumId w:val="33"/>
  </w:num>
  <w:num w:numId="39">
    <w:abstractNumId w:val="2"/>
  </w:num>
  <w:num w:numId="40">
    <w:abstractNumId w:val="11"/>
  </w:num>
  <w:num w:numId="41">
    <w:abstractNumId w:val="34"/>
  </w:num>
  <w:num w:numId="42">
    <w:abstractNumId w:val="5"/>
  </w:num>
  <w:num w:numId="43">
    <w:abstractNumId w:val="26"/>
  </w:num>
  <w:num w:numId="44">
    <w:abstractNumId w:val="12"/>
  </w:num>
  <w:num w:numId="45">
    <w:abstractNumId w:val="22"/>
  </w:num>
  <w:num w:numId="46">
    <w:abstractNumId w:val="19"/>
  </w:num>
  <w:num w:numId="47">
    <w:abstractNumId w:val="38"/>
  </w:num>
  <w:num w:numId="48">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noPunctuationKerning/>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16AA"/>
    <w:rsid w:val="00001EA7"/>
    <w:rsid w:val="00002485"/>
    <w:rsid w:val="000027EB"/>
    <w:rsid w:val="00002B33"/>
    <w:rsid w:val="0000485A"/>
    <w:rsid w:val="000048DD"/>
    <w:rsid w:val="00006543"/>
    <w:rsid w:val="00006EB8"/>
    <w:rsid w:val="000077E8"/>
    <w:rsid w:val="00010B0D"/>
    <w:rsid w:val="00012CD0"/>
    <w:rsid w:val="00013A19"/>
    <w:rsid w:val="00013DD9"/>
    <w:rsid w:val="000143FA"/>
    <w:rsid w:val="00014465"/>
    <w:rsid w:val="000159F0"/>
    <w:rsid w:val="00015A4E"/>
    <w:rsid w:val="00017348"/>
    <w:rsid w:val="00017858"/>
    <w:rsid w:val="00017D26"/>
    <w:rsid w:val="00020818"/>
    <w:rsid w:val="00020CAE"/>
    <w:rsid w:val="00020CF1"/>
    <w:rsid w:val="000212E5"/>
    <w:rsid w:val="000217A4"/>
    <w:rsid w:val="00021C64"/>
    <w:rsid w:val="00022835"/>
    <w:rsid w:val="00024052"/>
    <w:rsid w:val="000241C5"/>
    <w:rsid w:val="00024D74"/>
    <w:rsid w:val="00025941"/>
    <w:rsid w:val="00025F1B"/>
    <w:rsid w:val="00025F5D"/>
    <w:rsid w:val="000313A7"/>
    <w:rsid w:val="000321C5"/>
    <w:rsid w:val="0003260C"/>
    <w:rsid w:val="00032F5B"/>
    <w:rsid w:val="00033079"/>
    <w:rsid w:val="00033881"/>
    <w:rsid w:val="00033BCA"/>
    <w:rsid w:val="00033BE7"/>
    <w:rsid w:val="00034777"/>
    <w:rsid w:val="00034E9D"/>
    <w:rsid w:val="00035F9E"/>
    <w:rsid w:val="0003659E"/>
    <w:rsid w:val="000373BC"/>
    <w:rsid w:val="000378BC"/>
    <w:rsid w:val="00037B34"/>
    <w:rsid w:val="00037F4B"/>
    <w:rsid w:val="0004017A"/>
    <w:rsid w:val="00041201"/>
    <w:rsid w:val="000415F1"/>
    <w:rsid w:val="00043374"/>
    <w:rsid w:val="00043C4B"/>
    <w:rsid w:val="000441A1"/>
    <w:rsid w:val="000441C4"/>
    <w:rsid w:val="000446B3"/>
    <w:rsid w:val="0004646B"/>
    <w:rsid w:val="00050224"/>
    <w:rsid w:val="000527B4"/>
    <w:rsid w:val="000528E6"/>
    <w:rsid w:val="00053EEF"/>
    <w:rsid w:val="000542F8"/>
    <w:rsid w:val="0005574A"/>
    <w:rsid w:val="00057250"/>
    <w:rsid w:val="00057E50"/>
    <w:rsid w:val="0006017B"/>
    <w:rsid w:val="00060323"/>
    <w:rsid w:val="000605D1"/>
    <w:rsid w:val="00060855"/>
    <w:rsid w:val="00061502"/>
    <w:rsid w:val="000620E1"/>
    <w:rsid w:val="00062CA2"/>
    <w:rsid w:val="00064855"/>
    <w:rsid w:val="00064EC4"/>
    <w:rsid w:val="00065B48"/>
    <w:rsid w:val="00066328"/>
    <w:rsid w:val="000663F6"/>
    <w:rsid w:val="00066AD8"/>
    <w:rsid w:val="00066BC3"/>
    <w:rsid w:val="000677C5"/>
    <w:rsid w:val="00071A4A"/>
    <w:rsid w:val="00071F02"/>
    <w:rsid w:val="00072BFF"/>
    <w:rsid w:val="000741E2"/>
    <w:rsid w:val="000758B2"/>
    <w:rsid w:val="0008033A"/>
    <w:rsid w:val="000813B0"/>
    <w:rsid w:val="0008148B"/>
    <w:rsid w:val="00082026"/>
    <w:rsid w:val="000827E1"/>
    <w:rsid w:val="00082B18"/>
    <w:rsid w:val="00084E6C"/>
    <w:rsid w:val="00085304"/>
    <w:rsid w:val="0009197A"/>
    <w:rsid w:val="00092475"/>
    <w:rsid w:val="00092518"/>
    <w:rsid w:val="00095E71"/>
    <w:rsid w:val="00097211"/>
    <w:rsid w:val="0009748A"/>
    <w:rsid w:val="000A0518"/>
    <w:rsid w:val="000A0861"/>
    <w:rsid w:val="000A0C91"/>
    <w:rsid w:val="000A2009"/>
    <w:rsid w:val="000A20A4"/>
    <w:rsid w:val="000A2577"/>
    <w:rsid w:val="000A2DB6"/>
    <w:rsid w:val="000A4AC7"/>
    <w:rsid w:val="000A5058"/>
    <w:rsid w:val="000A5C6A"/>
    <w:rsid w:val="000A60ED"/>
    <w:rsid w:val="000A7211"/>
    <w:rsid w:val="000A77A3"/>
    <w:rsid w:val="000A7E5D"/>
    <w:rsid w:val="000B12E2"/>
    <w:rsid w:val="000B1D37"/>
    <w:rsid w:val="000B2C93"/>
    <w:rsid w:val="000B36DD"/>
    <w:rsid w:val="000B5711"/>
    <w:rsid w:val="000B6020"/>
    <w:rsid w:val="000B6107"/>
    <w:rsid w:val="000B7F48"/>
    <w:rsid w:val="000C1986"/>
    <w:rsid w:val="000C2283"/>
    <w:rsid w:val="000C2347"/>
    <w:rsid w:val="000C27CA"/>
    <w:rsid w:val="000C2D70"/>
    <w:rsid w:val="000C36A4"/>
    <w:rsid w:val="000C469B"/>
    <w:rsid w:val="000C59CB"/>
    <w:rsid w:val="000D0B08"/>
    <w:rsid w:val="000D1A29"/>
    <w:rsid w:val="000D1DDF"/>
    <w:rsid w:val="000D2A27"/>
    <w:rsid w:val="000D485D"/>
    <w:rsid w:val="000D5156"/>
    <w:rsid w:val="000D5383"/>
    <w:rsid w:val="000D60B0"/>
    <w:rsid w:val="000D62EF"/>
    <w:rsid w:val="000D686E"/>
    <w:rsid w:val="000D68C7"/>
    <w:rsid w:val="000D6CF8"/>
    <w:rsid w:val="000D77A7"/>
    <w:rsid w:val="000E008A"/>
    <w:rsid w:val="000E0BEA"/>
    <w:rsid w:val="000E36AB"/>
    <w:rsid w:val="000E5550"/>
    <w:rsid w:val="000E7AB1"/>
    <w:rsid w:val="000E7E4F"/>
    <w:rsid w:val="000F0A30"/>
    <w:rsid w:val="000F0C82"/>
    <w:rsid w:val="000F178F"/>
    <w:rsid w:val="000F24C8"/>
    <w:rsid w:val="000F2580"/>
    <w:rsid w:val="000F2EBF"/>
    <w:rsid w:val="000F3DA0"/>
    <w:rsid w:val="000F4183"/>
    <w:rsid w:val="000F4876"/>
    <w:rsid w:val="000F555D"/>
    <w:rsid w:val="000F58ED"/>
    <w:rsid w:val="000F5E32"/>
    <w:rsid w:val="000F60AE"/>
    <w:rsid w:val="000F6834"/>
    <w:rsid w:val="000F6966"/>
    <w:rsid w:val="000F76AB"/>
    <w:rsid w:val="000F7A45"/>
    <w:rsid w:val="000F7FD8"/>
    <w:rsid w:val="00100BAC"/>
    <w:rsid w:val="001011E4"/>
    <w:rsid w:val="001017B7"/>
    <w:rsid w:val="00101865"/>
    <w:rsid w:val="001024F2"/>
    <w:rsid w:val="001028A2"/>
    <w:rsid w:val="001034C6"/>
    <w:rsid w:val="001036BF"/>
    <w:rsid w:val="0010415F"/>
    <w:rsid w:val="001049B0"/>
    <w:rsid w:val="00104ADB"/>
    <w:rsid w:val="001057BC"/>
    <w:rsid w:val="001058B8"/>
    <w:rsid w:val="0010687C"/>
    <w:rsid w:val="00106FD4"/>
    <w:rsid w:val="00107D2F"/>
    <w:rsid w:val="00107EB6"/>
    <w:rsid w:val="001112C9"/>
    <w:rsid w:val="001133D5"/>
    <w:rsid w:val="001139FD"/>
    <w:rsid w:val="00114068"/>
    <w:rsid w:val="00114BD2"/>
    <w:rsid w:val="001150E9"/>
    <w:rsid w:val="001166C8"/>
    <w:rsid w:val="001171BD"/>
    <w:rsid w:val="00117E18"/>
    <w:rsid w:val="001221B8"/>
    <w:rsid w:val="001237D5"/>
    <w:rsid w:val="00127757"/>
    <w:rsid w:val="001279BF"/>
    <w:rsid w:val="00127E43"/>
    <w:rsid w:val="00127FF6"/>
    <w:rsid w:val="001301F3"/>
    <w:rsid w:val="00130A01"/>
    <w:rsid w:val="001313F8"/>
    <w:rsid w:val="00132573"/>
    <w:rsid w:val="00132A80"/>
    <w:rsid w:val="00132F95"/>
    <w:rsid w:val="00132FE8"/>
    <w:rsid w:val="00134409"/>
    <w:rsid w:val="0013647C"/>
    <w:rsid w:val="00137147"/>
    <w:rsid w:val="0013791C"/>
    <w:rsid w:val="00137AE3"/>
    <w:rsid w:val="00137B8F"/>
    <w:rsid w:val="00141895"/>
    <w:rsid w:val="0014307A"/>
    <w:rsid w:val="00143189"/>
    <w:rsid w:val="001432BD"/>
    <w:rsid w:val="00144747"/>
    <w:rsid w:val="00144D0B"/>
    <w:rsid w:val="00145B37"/>
    <w:rsid w:val="00146558"/>
    <w:rsid w:val="00147566"/>
    <w:rsid w:val="00147666"/>
    <w:rsid w:val="00147887"/>
    <w:rsid w:val="00147955"/>
    <w:rsid w:val="00147A67"/>
    <w:rsid w:val="001500C2"/>
    <w:rsid w:val="00150E21"/>
    <w:rsid w:val="00151053"/>
    <w:rsid w:val="001519CC"/>
    <w:rsid w:val="00151DCA"/>
    <w:rsid w:val="00151FBB"/>
    <w:rsid w:val="00153143"/>
    <w:rsid w:val="0015381E"/>
    <w:rsid w:val="00155F96"/>
    <w:rsid w:val="001561CB"/>
    <w:rsid w:val="00156408"/>
    <w:rsid w:val="00156A6B"/>
    <w:rsid w:val="00156BFA"/>
    <w:rsid w:val="001605E6"/>
    <w:rsid w:val="00160677"/>
    <w:rsid w:val="00161C05"/>
    <w:rsid w:val="00161DF9"/>
    <w:rsid w:val="00162383"/>
    <w:rsid w:val="00162CCE"/>
    <w:rsid w:val="0016457B"/>
    <w:rsid w:val="00165221"/>
    <w:rsid w:val="00165253"/>
    <w:rsid w:val="00165891"/>
    <w:rsid w:val="00166286"/>
    <w:rsid w:val="001679B4"/>
    <w:rsid w:val="00170545"/>
    <w:rsid w:val="00171ADD"/>
    <w:rsid w:val="00172D4F"/>
    <w:rsid w:val="0017459B"/>
    <w:rsid w:val="00174A74"/>
    <w:rsid w:val="00175428"/>
    <w:rsid w:val="00175BB6"/>
    <w:rsid w:val="00175CEB"/>
    <w:rsid w:val="00176367"/>
    <w:rsid w:val="00176773"/>
    <w:rsid w:val="00176E8E"/>
    <w:rsid w:val="00180118"/>
    <w:rsid w:val="001807FF"/>
    <w:rsid w:val="0018081B"/>
    <w:rsid w:val="00182D6C"/>
    <w:rsid w:val="00182DCE"/>
    <w:rsid w:val="00182F0F"/>
    <w:rsid w:val="00183D24"/>
    <w:rsid w:val="00184C8A"/>
    <w:rsid w:val="001851A6"/>
    <w:rsid w:val="001875A7"/>
    <w:rsid w:val="001879E1"/>
    <w:rsid w:val="00187E51"/>
    <w:rsid w:val="0019070D"/>
    <w:rsid w:val="0019151D"/>
    <w:rsid w:val="00192AE6"/>
    <w:rsid w:val="0019361B"/>
    <w:rsid w:val="0019375E"/>
    <w:rsid w:val="0019389B"/>
    <w:rsid w:val="00194CDF"/>
    <w:rsid w:val="00194FF3"/>
    <w:rsid w:val="00195BA5"/>
    <w:rsid w:val="00196522"/>
    <w:rsid w:val="001A0C96"/>
    <w:rsid w:val="001A1B94"/>
    <w:rsid w:val="001A22F5"/>
    <w:rsid w:val="001A32CB"/>
    <w:rsid w:val="001A3EA6"/>
    <w:rsid w:val="001A3EE2"/>
    <w:rsid w:val="001A4B83"/>
    <w:rsid w:val="001A7FD2"/>
    <w:rsid w:val="001B0041"/>
    <w:rsid w:val="001B01AD"/>
    <w:rsid w:val="001B107D"/>
    <w:rsid w:val="001B1108"/>
    <w:rsid w:val="001B1E95"/>
    <w:rsid w:val="001B20A8"/>
    <w:rsid w:val="001B2CD9"/>
    <w:rsid w:val="001B38FF"/>
    <w:rsid w:val="001B39C2"/>
    <w:rsid w:val="001B62A0"/>
    <w:rsid w:val="001B7973"/>
    <w:rsid w:val="001C066E"/>
    <w:rsid w:val="001C17B0"/>
    <w:rsid w:val="001C2357"/>
    <w:rsid w:val="001C282F"/>
    <w:rsid w:val="001C2D8D"/>
    <w:rsid w:val="001C2F9F"/>
    <w:rsid w:val="001C3087"/>
    <w:rsid w:val="001C62E6"/>
    <w:rsid w:val="001C6A89"/>
    <w:rsid w:val="001C7F97"/>
    <w:rsid w:val="001D0086"/>
    <w:rsid w:val="001D0094"/>
    <w:rsid w:val="001D00D6"/>
    <w:rsid w:val="001D10E0"/>
    <w:rsid w:val="001D230D"/>
    <w:rsid w:val="001D43DB"/>
    <w:rsid w:val="001D4965"/>
    <w:rsid w:val="001D4A5C"/>
    <w:rsid w:val="001D51A3"/>
    <w:rsid w:val="001D67AC"/>
    <w:rsid w:val="001D6F55"/>
    <w:rsid w:val="001D7012"/>
    <w:rsid w:val="001D7BD2"/>
    <w:rsid w:val="001E0C62"/>
    <w:rsid w:val="001E2A4D"/>
    <w:rsid w:val="001E53C2"/>
    <w:rsid w:val="001E57C1"/>
    <w:rsid w:val="001E6927"/>
    <w:rsid w:val="001E6FC5"/>
    <w:rsid w:val="001F0E9C"/>
    <w:rsid w:val="001F0EB8"/>
    <w:rsid w:val="001F1540"/>
    <w:rsid w:val="001F176D"/>
    <w:rsid w:val="001F2768"/>
    <w:rsid w:val="001F2DB2"/>
    <w:rsid w:val="001F2FF9"/>
    <w:rsid w:val="001F3D1A"/>
    <w:rsid w:val="001F652C"/>
    <w:rsid w:val="001F67A1"/>
    <w:rsid w:val="001F7690"/>
    <w:rsid w:val="001F78D9"/>
    <w:rsid w:val="0020044B"/>
    <w:rsid w:val="00201349"/>
    <w:rsid w:val="00202DB8"/>
    <w:rsid w:val="00204265"/>
    <w:rsid w:val="00205934"/>
    <w:rsid w:val="00205F0B"/>
    <w:rsid w:val="002060B4"/>
    <w:rsid w:val="0020681A"/>
    <w:rsid w:val="00206E74"/>
    <w:rsid w:val="00207736"/>
    <w:rsid w:val="00207CD6"/>
    <w:rsid w:val="00210A50"/>
    <w:rsid w:val="002122CB"/>
    <w:rsid w:val="00212460"/>
    <w:rsid w:val="002127CA"/>
    <w:rsid w:val="002127E0"/>
    <w:rsid w:val="00213D51"/>
    <w:rsid w:val="0021453D"/>
    <w:rsid w:val="00215D0D"/>
    <w:rsid w:val="00215E41"/>
    <w:rsid w:val="00217551"/>
    <w:rsid w:val="00217AEF"/>
    <w:rsid w:val="00217ED8"/>
    <w:rsid w:val="00221EC9"/>
    <w:rsid w:val="00222731"/>
    <w:rsid w:val="002229C6"/>
    <w:rsid w:val="002232D9"/>
    <w:rsid w:val="00223C6D"/>
    <w:rsid w:val="00223ECD"/>
    <w:rsid w:val="002241A6"/>
    <w:rsid w:val="002241E8"/>
    <w:rsid w:val="002244D2"/>
    <w:rsid w:val="00224774"/>
    <w:rsid w:val="002247B0"/>
    <w:rsid w:val="00224F7A"/>
    <w:rsid w:val="00225152"/>
    <w:rsid w:val="002260D8"/>
    <w:rsid w:val="002275FF"/>
    <w:rsid w:val="00230E81"/>
    <w:rsid w:val="002312EA"/>
    <w:rsid w:val="00231D7C"/>
    <w:rsid w:val="00232673"/>
    <w:rsid w:val="0023301D"/>
    <w:rsid w:val="002348E4"/>
    <w:rsid w:val="00236863"/>
    <w:rsid w:val="00236B3F"/>
    <w:rsid w:val="00237C1F"/>
    <w:rsid w:val="00237D0D"/>
    <w:rsid w:val="00241116"/>
    <w:rsid w:val="002417D7"/>
    <w:rsid w:val="00242711"/>
    <w:rsid w:val="002432D8"/>
    <w:rsid w:val="002433A4"/>
    <w:rsid w:val="002435DC"/>
    <w:rsid w:val="0024366B"/>
    <w:rsid w:val="00243EAA"/>
    <w:rsid w:val="00246501"/>
    <w:rsid w:val="002475C7"/>
    <w:rsid w:val="00247B17"/>
    <w:rsid w:val="00250389"/>
    <w:rsid w:val="00251FF7"/>
    <w:rsid w:val="00252669"/>
    <w:rsid w:val="00254209"/>
    <w:rsid w:val="00254288"/>
    <w:rsid w:val="0025469C"/>
    <w:rsid w:val="00254BE7"/>
    <w:rsid w:val="0025667F"/>
    <w:rsid w:val="00256ED9"/>
    <w:rsid w:val="002579CE"/>
    <w:rsid w:val="00260FEC"/>
    <w:rsid w:val="002613A0"/>
    <w:rsid w:val="00261DD6"/>
    <w:rsid w:val="002657E2"/>
    <w:rsid w:val="00267FAA"/>
    <w:rsid w:val="00271D68"/>
    <w:rsid w:val="00271E0B"/>
    <w:rsid w:val="002727CC"/>
    <w:rsid w:val="00273679"/>
    <w:rsid w:val="00275CC4"/>
    <w:rsid w:val="002767EE"/>
    <w:rsid w:val="00281A35"/>
    <w:rsid w:val="00281AD9"/>
    <w:rsid w:val="00281DA5"/>
    <w:rsid w:val="00282956"/>
    <w:rsid w:val="00283568"/>
    <w:rsid w:val="00284486"/>
    <w:rsid w:val="00285118"/>
    <w:rsid w:val="00285644"/>
    <w:rsid w:val="0028581E"/>
    <w:rsid w:val="00287034"/>
    <w:rsid w:val="00287DB9"/>
    <w:rsid w:val="00291497"/>
    <w:rsid w:val="00291D61"/>
    <w:rsid w:val="0029209D"/>
    <w:rsid w:val="00293491"/>
    <w:rsid w:val="002934DF"/>
    <w:rsid w:val="00294301"/>
    <w:rsid w:val="00295F53"/>
    <w:rsid w:val="00296AE5"/>
    <w:rsid w:val="00296D46"/>
    <w:rsid w:val="00297D7D"/>
    <w:rsid w:val="002A0FB8"/>
    <w:rsid w:val="002A165B"/>
    <w:rsid w:val="002A19D4"/>
    <w:rsid w:val="002A1B97"/>
    <w:rsid w:val="002A1FC1"/>
    <w:rsid w:val="002A3A25"/>
    <w:rsid w:val="002A42EA"/>
    <w:rsid w:val="002A5191"/>
    <w:rsid w:val="002A57D2"/>
    <w:rsid w:val="002A6193"/>
    <w:rsid w:val="002A66CD"/>
    <w:rsid w:val="002A7BD4"/>
    <w:rsid w:val="002A7F32"/>
    <w:rsid w:val="002B1648"/>
    <w:rsid w:val="002B2042"/>
    <w:rsid w:val="002B20A1"/>
    <w:rsid w:val="002B226E"/>
    <w:rsid w:val="002B3E72"/>
    <w:rsid w:val="002B41E5"/>
    <w:rsid w:val="002B46D4"/>
    <w:rsid w:val="002B531B"/>
    <w:rsid w:val="002B54CF"/>
    <w:rsid w:val="002B592B"/>
    <w:rsid w:val="002B61C0"/>
    <w:rsid w:val="002B6533"/>
    <w:rsid w:val="002B68BD"/>
    <w:rsid w:val="002C02B9"/>
    <w:rsid w:val="002C0440"/>
    <w:rsid w:val="002C06E4"/>
    <w:rsid w:val="002C0DC2"/>
    <w:rsid w:val="002C255D"/>
    <w:rsid w:val="002C2EA7"/>
    <w:rsid w:val="002C33B4"/>
    <w:rsid w:val="002C4046"/>
    <w:rsid w:val="002C458A"/>
    <w:rsid w:val="002C51B6"/>
    <w:rsid w:val="002C711A"/>
    <w:rsid w:val="002D15E8"/>
    <w:rsid w:val="002D1819"/>
    <w:rsid w:val="002D1BE4"/>
    <w:rsid w:val="002D1D6C"/>
    <w:rsid w:val="002D4AE8"/>
    <w:rsid w:val="002D7463"/>
    <w:rsid w:val="002E1C06"/>
    <w:rsid w:val="002E1E21"/>
    <w:rsid w:val="002E2418"/>
    <w:rsid w:val="002E4F9B"/>
    <w:rsid w:val="002E5015"/>
    <w:rsid w:val="002E55B9"/>
    <w:rsid w:val="002E5C3A"/>
    <w:rsid w:val="002E647A"/>
    <w:rsid w:val="002E6AD8"/>
    <w:rsid w:val="002E6BF7"/>
    <w:rsid w:val="002E78B1"/>
    <w:rsid w:val="002E7ACF"/>
    <w:rsid w:val="002F02B9"/>
    <w:rsid w:val="002F0C1A"/>
    <w:rsid w:val="002F0CE9"/>
    <w:rsid w:val="002F0FC5"/>
    <w:rsid w:val="002F3BD0"/>
    <w:rsid w:val="002F3DBF"/>
    <w:rsid w:val="002F58D8"/>
    <w:rsid w:val="002F5FCB"/>
    <w:rsid w:val="002F69C1"/>
    <w:rsid w:val="002F6F44"/>
    <w:rsid w:val="002F77DA"/>
    <w:rsid w:val="0030032A"/>
    <w:rsid w:val="003005D5"/>
    <w:rsid w:val="003007B1"/>
    <w:rsid w:val="00300A0B"/>
    <w:rsid w:val="003014A1"/>
    <w:rsid w:val="00301F46"/>
    <w:rsid w:val="003026E8"/>
    <w:rsid w:val="003037E1"/>
    <w:rsid w:val="00303CAD"/>
    <w:rsid w:val="00303CD6"/>
    <w:rsid w:val="00303E71"/>
    <w:rsid w:val="00304E7C"/>
    <w:rsid w:val="00306418"/>
    <w:rsid w:val="003074B3"/>
    <w:rsid w:val="003100F3"/>
    <w:rsid w:val="003107D9"/>
    <w:rsid w:val="00310B76"/>
    <w:rsid w:val="00310C11"/>
    <w:rsid w:val="00310FA6"/>
    <w:rsid w:val="00311D8B"/>
    <w:rsid w:val="00312456"/>
    <w:rsid w:val="00315604"/>
    <w:rsid w:val="00315651"/>
    <w:rsid w:val="00316600"/>
    <w:rsid w:val="0031664C"/>
    <w:rsid w:val="00316EEE"/>
    <w:rsid w:val="003172EC"/>
    <w:rsid w:val="00320F16"/>
    <w:rsid w:val="0032170B"/>
    <w:rsid w:val="00321C43"/>
    <w:rsid w:val="003225B5"/>
    <w:rsid w:val="00322AF7"/>
    <w:rsid w:val="00323325"/>
    <w:rsid w:val="00323F56"/>
    <w:rsid w:val="00324372"/>
    <w:rsid w:val="003243B0"/>
    <w:rsid w:val="00325EC0"/>
    <w:rsid w:val="0032692F"/>
    <w:rsid w:val="00326A39"/>
    <w:rsid w:val="00330729"/>
    <w:rsid w:val="00330DA7"/>
    <w:rsid w:val="00332F55"/>
    <w:rsid w:val="00333116"/>
    <w:rsid w:val="003340EC"/>
    <w:rsid w:val="00334F60"/>
    <w:rsid w:val="003350FF"/>
    <w:rsid w:val="0033581B"/>
    <w:rsid w:val="00335E24"/>
    <w:rsid w:val="0034057C"/>
    <w:rsid w:val="003407FA"/>
    <w:rsid w:val="00341DA8"/>
    <w:rsid w:val="00342BF2"/>
    <w:rsid w:val="00343417"/>
    <w:rsid w:val="00345880"/>
    <w:rsid w:val="00346926"/>
    <w:rsid w:val="003472DE"/>
    <w:rsid w:val="00350142"/>
    <w:rsid w:val="00350D3D"/>
    <w:rsid w:val="00352BAE"/>
    <w:rsid w:val="003535F4"/>
    <w:rsid w:val="00353724"/>
    <w:rsid w:val="00353B6D"/>
    <w:rsid w:val="00354920"/>
    <w:rsid w:val="00355DC6"/>
    <w:rsid w:val="00357700"/>
    <w:rsid w:val="003604D7"/>
    <w:rsid w:val="00360D94"/>
    <w:rsid w:val="00361176"/>
    <w:rsid w:val="0036164E"/>
    <w:rsid w:val="0036194F"/>
    <w:rsid w:val="003627C6"/>
    <w:rsid w:val="0036351E"/>
    <w:rsid w:val="00363615"/>
    <w:rsid w:val="00364521"/>
    <w:rsid w:val="00365026"/>
    <w:rsid w:val="0036506C"/>
    <w:rsid w:val="00366353"/>
    <w:rsid w:val="00367F82"/>
    <w:rsid w:val="00370CB0"/>
    <w:rsid w:val="003717CF"/>
    <w:rsid w:val="00372798"/>
    <w:rsid w:val="00372803"/>
    <w:rsid w:val="00373387"/>
    <w:rsid w:val="003749EC"/>
    <w:rsid w:val="003756AF"/>
    <w:rsid w:val="00375815"/>
    <w:rsid w:val="003758FD"/>
    <w:rsid w:val="00375E9B"/>
    <w:rsid w:val="00377383"/>
    <w:rsid w:val="003778BD"/>
    <w:rsid w:val="00380441"/>
    <w:rsid w:val="00380BDB"/>
    <w:rsid w:val="003811BA"/>
    <w:rsid w:val="00381447"/>
    <w:rsid w:val="00382696"/>
    <w:rsid w:val="00382E61"/>
    <w:rsid w:val="0038358D"/>
    <w:rsid w:val="00383D33"/>
    <w:rsid w:val="0038438A"/>
    <w:rsid w:val="003864D2"/>
    <w:rsid w:val="00390249"/>
    <w:rsid w:val="00390BF8"/>
    <w:rsid w:val="00390D40"/>
    <w:rsid w:val="0039109D"/>
    <w:rsid w:val="00392877"/>
    <w:rsid w:val="00392E12"/>
    <w:rsid w:val="0039353B"/>
    <w:rsid w:val="003942BA"/>
    <w:rsid w:val="00394B72"/>
    <w:rsid w:val="00394D7E"/>
    <w:rsid w:val="003956E9"/>
    <w:rsid w:val="00395809"/>
    <w:rsid w:val="00395EB4"/>
    <w:rsid w:val="003963CA"/>
    <w:rsid w:val="003965EC"/>
    <w:rsid w:val="00396BA0"/>
    <w:rsid w:val="00396CF5"/>
    <w:rsid w:val="00397543"/>
    <w:rsid w:val="00397BC9"/>
    <w:rsid w:val="003A0927"/>
    <w:rsid w:val="003A0E17"/>
    <w:rsid w:val="003A0EBA"/>
    <w:rsid w:val="003A24F5"/>
    <w:rsid w:val="003A357E"/>
    <w:rsid w:val="003A461D"/>
    <w:rsid w:val="003A6126"/>
    <w:rsid w:val="003A6663"/>
    <w:rsid w:val="003A6E62"/>
    <w:rsid w:val="003A6E68"/>
    <w:rsid w:val="003A78B5"/>
    <w:rsid w:val="003A7B37"/>
    <w:rsid w:val="003A7BE8"/>
    <w:rsid w:val="003A7C85"/>
    <w:rsid w:val="003A7FBE"/>
    <w:rsid w:val="003B0074"/>
    <w:rsid w:val="003B0B01"/>
    <w:rsid w:val="003B0D09"/>
    <w:rsid w:val="003B0EDD"/>
    <w:rsid w:val="003B14CB"/>
    <w:rsid w:val="003B165A"/>
    <w:rsid w:val="003B1A7B"/>
    <w:rsid w:val="003B2140"/>
    <w:rsid w:val="003B5897"/>
    <w:rsid w:val="003B5AD4"/>
    <w:rsid w:val="003B5D41"/>
    <w:rsid w:val="003B6BEF"/>
    <w:rsid w:val="003B794E"/>
    <w:rsid w:val="003C0AFA"/>
    <w:rsid w:val="003C1B21"/>
    <w:rsid w:val="003C28B8"/>
    <w:rsid w:val="003C497F"/>
    <w:rsid w:val="003C52A2"/>
    <w:rsid w:val="003C5327"/>
    <w:rsid w:val="003C5753"/>
    <w:rsid w:val="003C5C01"/>
    <w:rsid w:val="003C6934"/>
    <w:rsid w:val="003C798E"/>
    <w:rsid w:val="003C7FD0"/>
    <w:rsid w:val="003D0268"/>
    <w:rsid w:val="003D118A"/>
    <w:rsid w:val="003D1A43"/>
    <w:rsid w:val="003D1A64"/>
    <w:rsid w:val="003D1BFF"/>
    <w:rsid w:val="003D5FF4"/>
    <w:rsid w:val="003D624F"/>
    <w:rsid w:val="003D75E8"/>
    <w:rsid w:val="003D778F"/>
    <w:rsid w:val="003E1166"/>
    <w:rsid w:val="003E31E5"/>
    <w:rsid w:val="003E32ED"/>
    <w:rsid w:val="003E3A39"/>
    <w:rsid w:val="003E47E0"/>
    <w:rsid w:val="003E58C9"/>
    <w:rsid w:val="003E5AD4"/>
    <w:rsid w:val="003E61DD"/>
    <w:rsid w:val="003E655E"/>
    <w:rsid w:val="003E68B5"/>
    <w:rsid w:val="003F0DFC"/>
    <w:rsid w:val="003F164F"/>
    <w:rsid w:val="003F1A16"/>
    <w:rsid w:val="003F5558"/>
    <w:rsid w:val="003F5B65"/>
    <w:rsid w:val="003F650B"/>
    <w:rsid w:val="003F7D12"/>
    <w:rsid w:val="003F7E89"/>
    <w:rsid w:val="004004E9"/>
    <w:rsid w:val="004005A1"/>
    <w:rsid w:val="004011BD"/>
    <w:rsid w:val="0040185F"/>
    <w:rsid w:val="00401E7C"/>
    <w:rsid w:val="004030F5"/>
    <w:rsid w:val="004052C5"/>
    <w:rsid w:val="004059FB"/>
    <w:rsid w:val="00406B9B"/>
    <w:rsid w:val="00407715"/>
    <w:rsid w:val="00407A93"/>
    <w:rsid w:val="004100AA"/>
    <w:rsid w:val="00410CD2"/>
    <w:rsid w:val="00412203"/>
    <w:rsid w:val="004134C9"/>
    <w:rsid w:val="00413D17"/>
    <w:rsid w:val="00414814"/>
    <w:rsid w:val="00414F9B"/>
    <w:rsid w:val="004153E3"/>
    <w:rsid w:val="00415D63"/>
    <w:rsid w:val="00416D4C"/>
    <w:rsid w:val="00417C10"/>
    <w:rsid w:val="00417DE3"/>
    <w:rsid w:val="00420B07"/>
    <w:rsid w:val="00420BF3"/>
    <w:rsid w:val="00421BA5"/>
    <w:rsid w:val="00422869"/>
    <w:rsid w:val="00423D2F"/>
    <w:rsid w:val="00423DC3"/>
    <w:rsid w:val="00423F48"/>
    <w:rsid w:val="004247D0"/>
    <w:rsid w:val="0042519C"/>
    <w:rsid w:val="004259BA"/>
    <w:rsid w:val="00426448"/>
    <w:rsid w:val="00426613"/>
    <w:rsid w:val="00427457"/>
    <w:rsid w:val="00427B6E"/>
    <w:rsid w:val="00427B9F"/>
    <w:rsid w:val="00430482"/>
    <w:rsid w:val="0043142A"/>
    <w:rsid w:val="00431C6D"/>
    <w:rsid w:val="00431CE3"/>
    <w:rsid w:val="004321C5"/>
    <w:rsid w:val="004324CF"/>
    <w:rsid w:val="0043257A"/>
    <w:rsid w:val="00432FB6"/>
    <w:rsid w:val="00433645"/>
    <w:rsid w:val="004339FC"/>
    <w:rsid w:val="00433B88"/>
    <w:rsid w:val="00434202"/>
    <w:rsid w:val="004344E2"/>
    <w:rsid w:val="00435661"/>
    <w:rsid w:val="004356F7"/>
    <w:rsid w:val="00436FD3"/>
    <w:rsid w:val="00437789"/>
    <w:rsid w:val="004406CF"/>
    <w:rsid w:val="00441804"/>
    <w:rsid w:val="004435B4"/>
    <w:rsid w:val="00443A63"/>
    <w:rsid w:val="004448B0"/>
    <w:rsid w:val="00444B20"/>
    <w:rsid w:val="0044550A"/>
    <w:rsid w:val="00447F7D"/>
    <w:rsid w:val="00451065"/>
    <w:rsid w:val="0045504F"/>
    <w:rsid w:val="00456223"/>
    <w:rsid w:val="00460032"/>
    <w:rsid w:val="0046048A"/>
    <w:rsid w:val="00460BA0"/>
    <w:rsid w:val="00463AE9"/>
    <w:rsid w:val="00463D81"/>
    <w:rsid w:val="004641EB"/>
    <w:rsid w:val="00465C75"/>
    <w:rsid w:val="00466346"/>
    <w:rsid w:val="00466604"/>
    <w:rsid w:val="004702B0"/>
    <w:rsid w:val="00472003"/>
    <w:rsid w:val="0047317B"/>
    <w:rsid w:val="004751D6"/>
    <w:rsid w:val="00475E6B"/>
    <w:rsid w:val="00476BA1"/>
    <w:rsid w:val="00476E2C"/>
    <w:rsid w:val="004777D3"/>
    <w:rsid w:val="00477DBA"/>
    <w:rsid w:val="00477E20"/>
    <w:rsid w:val="00480707"/>
    <w:rsid w:val="00480BB8"/>
    <w:rsid w:val="00481D51"/>
    <w:rsid w:val="00483482"/>
    <w:rsid w:val="00483936"/>
    <w:rsid w:val="00483AAE"/>
    <w:rsid w:val="0048519E"/>
    <w:rsid w:val="004851D5"/>
    <w:rsid w:val="00485C4A"/>
    <w:rsid w:val="00485E3E"/>
    <w:rsid w:val="00485EC7"/>
    <w:rsid w:val="004860BD"/>
    <w:rsid w:val="00487430"/>
    <w:rsid w:val="00490CC6"/>
    <w:rsid w:val="00492B02"/>
    <w:rsid w:val="00492B6A"/>
    <w:rsid w:val="00495DAC"/>
    <w:rsid w:val="00496768"/>
    <w:rsid w:val="00497C24"/>
    <w:rsid w:val="004A071D"/>
    <w:rsid w:val="004A0A7B"/>
    <w:rsid w:val="004A0BB0"/>
    <w:rsid w:val="004A1646"/>
    <w:rsid w:val="004A260B"/>
    <w:rsid w:val="004A26CD"/>
    <w:rsid w:val="004A2C97"/>
    <w:rsid w:val="004A300B"/>
    <w:rsid w:val="004A3584"/>
    <w:rsid w:val="004A466C"/>
    <w:rsid w:val="004A5121"/>
    <w:rsid w:val="004A577A"/>
    <w:rsid w:val="004A5780"/>
    <w:rsid w:val="004A61D0"/>
    <w:rsid w:val="004A6ECB"/>
    <w:rsid w:val="004A76C5"/>
    <w:rsid w:val="004A7990"/>
    <w:rsid w:val="004B1796"/>
    <w:rsid w:val="004B1CC2"/>
    <w:rsid w:val="004B1DF4"/>
    <w:rsid w:val="004B372C"/>
    <w:rsid w:val="004B591D"/>
    <w:rsid w:val="004B63BD"/>
    <w:rsid w:val="004B7542"/>
    <w:rsid w:val="004B769A"/>
    <w:rsid w:val="004B7DB2"/>
    <w:rsid w:val="004C14AC"/>
    <w:rsid w:val="004C201C"/>
    <w:rsid w:val="004C3224"/>
    <w:rsid w:val="004C36E5"/>
    <w:rsid w:val="004C4ACC"/>
    <w:rsid w:val="004C6B28"/>
    <w:rsid w:val="004C6F68"/>
    <w:rsid w:val="004C74C3"/>
    <w:rsid w:val="004C7AA9"/>
    <w:rsid w:val="004C7E83"/>
    <w:rsid w:val="004D0A3B"/>
    <w:rsid w:val="004D1C06"/>
    <w:rsid w:val="004D2B43"/>
    <w:rsid w:val="004D2D1A"/>
    <w:rsid w:val="004D2F08"/>
    <w:rsid w:val="004D452E"/>
    <w:rsid w:val="004D45DF"/>
    <w:rsid w:val="004D583C"/>
    <w:rsid w:val="004D5DB3"/>
    <w:rsid w:val="004D7B0B"/>
    <w:rsid w:val="004E1DCE"/>
    <w:rsid w:val="004E2126"/>
    <w:rsid w:val="004E345F"/>
    <w:rsid w:val="004E3BBA"/>
    <w:rsid w:val="004E401B"/>
    <w:rsid w:val="004E41C7"/>
    <w:rsid w:val="004E4274"/>
    <w:rsid w:val="004E4726"/>
    <w:rsid w:val="004E59B8"/>
    <w:rsid w:val="004E5EAD"/>
    <w:rsid w:val="004E6A3B"/>
    <w:rsid w:val="004E7DB7"/>
    <w:rsid w:val="004F1A6A"/>
    <w:rsid w:val="004F1E2D"/>
    <w:rsid w:val="004F2D88"/>
    <w:rsid w:val="004F3D21"/>
    <w:rsid w:val="004F44D0"/>
    <w:rsid w:val="004F583D"/>
    <w:rsid w:val="004F60EF"/>
    <w:rsid w:val="004F66B6"/>
    <w:rsid w:val="004F7B6E"/>
    <w:rsid w:val="005000AA"/>
    <w:rsid w:val="005034EE"/>
    <w:rsid w:val="00506429"/>
    <w:rsid w:val="00506E71"/>
    <w:rsid w:val="005070C3"/>
    <w:rsid w:val="00507A11"/>
    <w:rsid w:val="00507C00"/>
    <w:rsid w:val="0051276F"/>
    <w:rsid w:val="00512D06"/>
    <w:rsid w:val="005130AC"/>
    <w:rsid w:val="005130CC"/>
    <w:rsid w:val="0051676E"/>
    <w:rsid w:val="005178F8"/>
    <w:rsid w:val="00520212"/>
    <w:rsid w:val="005220BE"/>
    <w:rsid w:val="00522CC8"/>
    <w:rsid w:val="005244D0"/>
    <w:rsid w:val="005248FB"/>
    <w:rsid w:val="00526575"/>
    <w:rsid w:val="00531DFA"/>
    <w:rsid w:val="00532546"/>
    <w:rsid w:val="005334E8"/>
    <w:rsid w:val="00533B79"/>
    <w:rsid w:val="00533FD4"/>
    <w:rsid w:val="00534258"/>
    <w:rsid w:val="00534815"/>
    <w:rsid w:val="00536006"/>
    <w:rsid w:val="005370F3"/>
    <w:rsid w:val="005411EA"/>
    <w:rsid w:val="00541AD6"/>
    <w:rsid w:val="00542B5F"/>
    <w:rsid w:val="00542D5F"/>
    <w:rsid w:val="005435DE"/>
    <w:rsid w:val="00543AD3"/>
    <w:rsid w:val="005441AD"/>
    <w:rsid w:val="00544916"/>
    <w:rsid w:val="00544C28"/>
    <w:rsid w:val="005452AA"/>
    <w:rsid w:val="0054589F"/>
    <w:rsid w:val="00546769"/>
    <w:rsid w:val="00546998"/>
    <w:rsid w:val="00546BAE"/>
    <w:rsid w:val="00546C4E"/>
    <w:rsid w:val="00547C2B"/>
    <w:rsid w:val="005502D2"/>
    <w:rsid w:val="00550C2F"/>
    <w:rsid w:val="005525C5"/>
    <w:rsid w:val="00552623"/>
    <w:rsid w:val="00552EBD"/>
    <w:rsid w:val="00553108"/>
    <w:rsid w:val="00553827"/>
    <w:rsid w:val="00553943"/>
    <w:rsid w:val="00553988"/>
    <w:rsid w:val="00554A04"/>
    <w:rsid w:val="00554B85"/>
    <w:rsid w:val="00555F71"/>
    <w:rsid w:val="00563BEB"/>
    <w:rsid w:val="00566849"/>
    <w:rsid w:val="00566F49"/>
    <w:rsid w:val="00570981"/>
    <w:rsid w:val="00571CE1"/>
    <w:rsid w:val="00571D56"/>
    <w:rsid w:val="0057318B"/>
    <w:rsid w:val="005740F6"/>
    <w:rsid w:val="005743D2"/>
    <w:rsid w:val="00575905"/>
    <w:rsid w:val="00577102"/>
    <w:rsid w:val="005774D1"/>
    <w:rsid w:val="005802BD"/>
    <w:rsid w:val="00580BBC"/>
    <w:rsid w:val="00581A10"/>
    <w:rsid w:val="00581ABD"/>
    <w:rsid w:val="00583D42"/>
    <w:rsid w:val="00584F84"/>
    <w:rsid w:val="0058655A"/>
    <w:rsid w:val="00586586"/>
    <w:rsid w:val="00586C18"/>
    <w:rsid w:val="00586FA8"/>
    <w:rsid w:val="00587A4C"/>
    <w:rsid w:val="00587F23"/>
    <w:rsid w:val="0059068D"/>
    <w:rsid w:val="00591E3A"/>
    <w:rsid w:val="00592977"/>
    <w:rsid w:val="00593CB4"/>
    <w:rsid w:val="00593E68"/>
    <w:rsid w:val="00594652"/>
    <w:rsid w:val="005948CA"/>
    <w:rsid w:val="0059552A"/>
    <w:rsid w:val="00597B3C"/>
    <w:rsid w:val="005A0362"/>
    <w:rsid w:val="005A11E2"/>
    <w:rsid w:val="005A184C"/>
    <w:rsid w:val="005A237B"/>
    <w:rsid w:val="005A474A"/>
    <w:rsid w:val="005A52AC"/>
    <w:rsid w:val="005A5F83"/>
    <w:rsid w:val="005A62BE"/>
    <w:rsid w:val="005A7188"/>
    <w:rsid w:val="005B0028"/>
    <w:rsid w:val="005B08E6"/>
    <w:rsid w:val="005B0D7C"/>
    <w:rsid w:val="005B0E86"/>
    <w:rsid w:val="005B1914"/>
    <w:rsid w:val="005B1ADD"/>
    <w:rsid w:val="005B290B"/>
    <w:rsid w:val="005B3306"/>
    <w:rsid w:val="005B34BE"/>
    <w:rsid w:val="005B5CB1"/>
    <w:rsid w:val="005B5CC4"/>
    <w:rsid w:val="005B6585"/>
    <w:rsid w:val="005B6854"/>
    <w:rsid w:val="005B7D18"/>
    <w:rsid w:val="005B7EA6"/>
    <w:rsid w:val="005C1943"/>
    <w:rsid w:val="005C2452"/>
    <w:rsid w:val="005C2FFD"/>
    <w:rsid w:val="005C37A0"/>
    <w:rsid w:val="005C3851"/>
    <w:rsid w:val="005C4034"/>
    <w:rsid w:val="005C483A"/>
    <w:rsid w:val="005C5A57"/>
    <w:rsid w:val="005C5FED"/>
    <w:rsid w:val="005C651C"/>
    <w:rsid w:val="005C656A"/>
    <w:rsid w:val="005C7FA3"/>
    <w:rsid w:val="005D09C1"/>
    <w:rsid w:val="005D120B"/>
    <w:rsid w:val="005D1427"/>
    <w:rsid w:val="005D2178"/>
    <w:rsid w:val="005D22D3"/>
    <w:rsid w:val="005D2411"/>
    <w:rsid w:val="005D457F"/>
    <w:rsid w:val="005D49C8"/>
    <w:rsid w:val="005D5607"/>
    <w:rsid w:val="005D5DA0"/>
    <w:rsid w:val="005D602C"/>
    <w:rsid w:val="005D63F4"/>
    <w:rsid w:val="005D6A2B"/>
    <w:rsid w:val="005D6AD9"/>
    <w:rsid w:val="005D72F9"/>
    <w:rsid w:val="005D7A98"/>
    <w:rsid w:val="005E1EE5"/>
    <w:rsid w:val="005E37E9"/>
    <w:rsid w:val="005E4B8C"/>
    <w:rsid w:val="005E50A8"/>
    <w:rsid w:val="005E512C"/>
    <w:rsid w:val="005E750A"/>
    <w:rsid w:val="005F001D"/>
    <w:rsid w:val="005F03DB"/>
    <w:rsid w:val="005F2C8A"/>
    <w:rsid w:val="005F3B37"/>
    <w:rsid w:val="005F48F1"/>
    <w:rsid w:val="005F605D"/>
    <w:rsid w:val="005F71AB"/>
    <w:rsid w:val="005F761F"/>
    <w:rsid w:val="0060008D"/>
    <w:rsid w:val="0060077A"/>
    <w:rsid w:val="00601011"/>
    <w:rsid w:val="00601DEF"/>
    <w:rsid w:val="00601E59"/>
    <w:rsid w:val="00602CC0"/>
    <w:rsid w:val="006034C1"/>
    <w:rsid w:val="00603A46"/>
    <w:rsid w:val="00604E52"/>
    <w:rsid w:val="00606194"/>
    <w:rsid w:val="0061115C"/>
    <w:rsid w:val="00611550"/>
    <w:rsid w:val="00611A49"/>
    <w:rsid w:val="00613017"/>
    <w:rsid w:val="00613A54"/>
    <w:rsid w:val="00614EBF"/>
    <w:rsid w:val="00615C0E"/>
    <w:rsid w:val="00616189"/>
    <w:rsid w:val="00616297"/>
    <w:rsid w:val="006170EF"/>
    <w:rsid w:val="006172A0"/>
    <w:rsid w:val="006174B6"/>
    <w:rsid w:val="00617E7B"/>
    <w:rsid w:val="0062078C"/>
    <w:rsid w:val="00620868"/>
    <w:rsid w:val="00620C3E"/>
    <w:rsid w:val="00620E8F"/>
    <w:rsid w:val="00621760"/>
    <w:rsid w:val="006217BB"/>
    <w:rsid w:val="00623CC7"/>
    <w:rsid w:val="0062404F"/>
    <w:rsid w:val="00624AAD"/>
    <w:rsid w:val="00625BD5"/>
    <w:rsid w:val="00625DFB"/>
    <w:rsid w:val="006277B7"/>
    <w:rsid w:val="00627A01"/>
    <w:rsid w:val="00630438"/>
    <w:rsid w:val="00632139"/>
    <w:rsid w:val="006325E4"/>
    <w:rsid w:val="006342A2"/>
    <w:rsid w:val="00634D1A"/>
    <w:rsid w:val="00637179"/>
    <w:rsid w:val="00637D3A"/>
    <w:rsid w:val="006407AA"/>
    <w:rsid w:val="00640BD8"/>
    <w:rsid w:val="00640EF8"/>
    <w:rsid w:val="00641804"/>
    <w:rsid w:val="006418ED"/>
    <w:rsid w:val="00641C5F"/>
    <w:rsid w:val="00642A9E"/>
    <w:rsid w:val="00642B13"/>
    <w:rsid w:val="006431FF"/>
    <w:rsid w:val="0064345F"/>
    <w:rsid w:val="00643C2B"/>
    <w:rsid w:val="00645F7D"/>
    <w:rsid w:val="00646100"/>
    <w:rsid w:val="006476CA"/>
    <w:rsid w:val="006544EC"/>
    <w:rsid w:val="00654967"/>
    <w:rsid w:val="006552AE"/>
    <w:rsid w:val="00655773"/>
    <w:rsid w:val="00656364"/>
    <w:rsid w:val="006563CA"/>
    <w:rsid w:val="0065686E"/>
    <w:rsid w:val="00656A7B"/>
    <w:rsid w:val="006578FC"/>
    <w:rsid w:val="00657AAB"/>
    <w:rsid w:val="006608AB"/>
    <w:rsid w:val="0066143F"/>
    <w:rsid w:val="006620DA"/>
    <w:rsid w:val="00662C42"/>
    <w:rsid w:val="0066370E"/>
    <w:rsid w:val="00664587"/>
    <w:rsid w:val="00666F25"/>
    <w:rsid w:val="00667C1C"/>
    <w:rsid w:val="0067001F"/>
    <w:rsid w:val="00670A43"/>
    <w:rsid w:val="00671495"/>
    <w:rsid w:val="006725FC"/>
    <w:rsid w:val="0067273A"/>
    <w:rsid w:val="00673510"/>
    <w:rsid w:val="00673A41"/>
    <w:rsid w:val="00673B95"/>
    <w:rsid w:val="00673DD4"/>
    <w:rsid w:val="00674AEB"/>
    <w:rsid w:val="0067655A"/>
    <w:rsid w:val="0067785F"/>
    <w:rsid w:val="006811F2"/>
    <w:rsid w:val="00681785"/>
    <w:rsid w:val="006828D8"/>
    <w:rsid w:val="00682AD1"/>
    <w:rsid w:val="0068455C"/>
    <w:rsid w:val="00684887"/>
    <w:rsid w:val="006850CE"/>
    <w:rsid w:val="006867FA"/>
    <w:rsid w:val="00687C4D"/>
    <w:rsid w:val="00691804"/>
    <w:rsid w:val="00691B69"/>
    <w:rsid w:val="00692778"/>
    <w:rsid w:val="00692F47"/>
    <w:rsid w:val="00693AAD"/>
    <w:rsid w:val="00693BD3"/>
    <w:rsid w:val="00693C8E"/>
    <w:rsid w:val="006969BA"/>
    <w:rsid w:val="00696C0F"/>
    <w:rsid w:val="00697FF1"/>
    <w:rsid w:val="006A026A"/>
    <w:rsid w:val="006A0425"/>
    <w:rsid w:val="006A1D62"/>
    <w:rsid w:val="006A2CD8"/>
    <w:rsid w:val="006A4B87"/>
    <w:rsid w:val="006A4EAE"/>
    <w:rsid w:val="006A56C3"/>
    <w:rsid w:val="006A59BC"/>
    <w:rsid w:val="006A5A3A"/>
    <w:rsid w:val="006A6B88"/>
    <w:rsid w:val="006A6D7F"/>
    <w:rsid w:val="006A7A69"/>
    <w:rsid w:val="006B0298"/>
    <w:rsid w:val="006B0E83"/>
    <w:rsid w:val="006B2A0C"/>
    <w:rsid w:val="006B490F"/>
    <w:rsid w:val="006B49BC"/>
    <w:rsid w:val="006B4CDA"/>
    <w:rsid w:val="006B5493"/>
    <w:rsid w:val="006B72E4"/>
    <w:rsid w:val="006B7584"/>
    <w:rsid w:val="006B77E2"/>
    <w:rsid w:val="006C10C0"/>
    <w:rsid w:val="006C1136"/>
    <w:rsid w:val="006C1B1D"/>
    <w:rsid w:val="006C32BB"/>
    <w:rsid w:val="006C3747"/>
    <w:rsid w:val="006C3DED"/>
    <w:rsid w:val="006C41A8"/>
    <w:rsid w:val="006C6AD3"/>
    <w:rsid w:val="006C7015"/>
    <w:rsid w:val="006C7760"/>
    <w:rsid w:val="006C7776"/>
    <w:rsid w:val="006C79C0"/>
    <w:rsid w:val="006C7EEA"/>
    <w:rsid w:val="006D052F"/>
    <w:rsid w:val="006D07CA"/>
    <w:rsid w:val="006D1DEB"/>
    <w:rsid w:val="006D1F0C"/>
    <w:rsid w:val="006D233A"/>
    <w:rsid w:val="006D3563"/>
    <w:rsid w:val="006D522C"/>
    <w:rsid w:val="006D56AA"/>
    <w:rsid w:val="006D6D9B"/>
    <w:rsid w:val="006D7795"/>
    <w:rsid w:val="006D7ACB"/>
    <w:rsid w:val="006E00EF"/>
    <w:rsid w:val="006E06BB"/>
    <w:rsid w:val="006E190A"/>
    <w:rsid w:val="006E1A7A"/>
    <w:rsid w:val="006E4723"/>
    <w:rsid w:val="006E477D"/>
    <w:rsid w:val="006E5844"/>
    <w:rsid w:val="006E695D"/>
    <w:rsid w:val="006E716F"/>
    <w:rsid w:val="006E7D89"/>
    <w:rsid w:val="006E7DA9"/>
    <w:rsid w:val="006E7DEE"/>
    <w:rsid w:val="006F01E7"/>
    <w:rsid w:val="006F07D9"/>
    <w:rsid w:val="006F13AA"/>
    <w:rsid w:val="006F1F3A"/>
    <w:rsid w:val="006F20CD"/>
    <w:rsid w:val="006F3C5E"/>
    <w:rsid w:val="006F70DE"/>
    <w:rsid w:val="006F785E"/>
    <w:rsid w:val="006F7EB8"/>
    <w:rsid w:val="007003A9"/>
    <w:rsid w:val="0070094A"/>
    <w:rsid w:val="00700AA4"/>
    <w:rsid w:val="00702DD7"/>
    <w:rsid w:val="007047D3"/>
    <w:rsid w:val="00705663"/>
    <w:rsid w:val="00705C40"/>
    <w:rsid w:val="007102EC"/>
    <w:rsid w:val="00710757"/>
    <w:rsid w:val="0071087E"/>
    <w:rsid w:val="00710E1B"/>
    <w:rsid w:val="00714066"/>
    <w:rsid w:val="007147C2"/>
    <w:rsid w:val="00716894"/>
    <w:rsid w:val="007169A8"/>
    <w:rsid w:val="00717A74"/>
    <w:rsid w:val="00720311"/>
    <w:rsid w:val="00721648"/>
    <w:rsid w:val="007218DF"/>
    <w:rsid w:val="007229A1"/>
    <w:rsid w:val="00722F18"/>
    <w:rsid w:val="0072347B"/>
    <w:rsid w:val="007235AA"/>
    <w:rsid w:val="00725AEB"/>
    <w:rsid w:val="00725B49"/>
    <w:rsid w:val="00725E35"/>
    <w:rsid w:val="00730151"/>
    <w:rsid w:val="00730D35"/>
    <w:rsid w:val="00732289"/>
    <w:rsid w:val="00732BBB"/>
    <w:rsid w:val="00734267"/>
    <w:rsid w:val="007343FD"/>
    <w:rsid w:val="0073449B"/>
    <w:rsid w:val="0073473F"/>
    <w:rsid w:val="00734C8F"/>
    <w:rsid w:val="00735915"/>
    <w:rsid w:val="00735C21"/>
    <w:rsid w:val="0073614A"/>
    <w:rsid w:val="00736158"/>
    <w:rsid w:val="007365D5"/>
    <w:rsid w:val="00736E5B"/>
    <w:rsid w:val="00736FF2"/>
    <w:rsid w:val="00736FF9"/>
    <w:rsid w:val="007372A8"/>
    <w:rsid w:val="00740927"/>
    <w:rsid w:val="00740C8C"/>
    <w:rsid w:val="00740E16"/>
    <w:rsid w:val="00741683"/>
    <w:rsid w:val="00741AC4"/>
    <w:rsid w:val="007421DC"/>
    <w:rsid w:val="00742CA5"/>
    <w:rsid w:val="007441D8"/>
    <w:rsid w:val="00744DE1"/>
    <w:rsid w:val="007460D7"/>
    <w:rsid w:val="00750566"/>
    <w:rsid w:val="007513F0"/>
    <w:rsid w:val="007515BC"/>
    <w:rsid w:val="00752606"/>
    <w:rsid w:val="0075402E"/>
    <w:rsid w:val="00756B83"/>
    <w:rsid w:val="00756D3D"/>
    <w:rsid w:val="007573B2"/>
    <w:rsid w:val="007574BB"/>
    <w:rsid w:val="0075764C"/>
    <w:rsid w:val="00757897"/>
    <w:rsid w:val="007616E5"/>
    <w:rsid w:val="0076204C"/>
    <w:rsid w:val="00762198"/>
    <w:rsid w:val="00762D65"/>
    <w:rsid w:val="00763CE8"/>
    <w:rsid w:val="00765E5E"/>
    <w:rsid w:val="007705F9"/>
    <w:rsid w:val="00770792"/>
    <w:rsid w:val="007709DD"/>
    <w:rsid w:val="007737B5"/>
    <w:rsid w:val="00774FFE"/>
    <w:rsid w:val="00775638"/>
    <w:rsid w:val="00775677"/>
    <w:rsid w:val="0077599A"/>
    <w:rsid w:val="00776811"/>
    <w:rsid w:val="0077724D"/>
    <w:rsid w:val="00777353"/>
    <w:rsid w:val="00780CD6"/>
    <w:rsid w:val="00781A64"/>
    <w:rsid w:val="00782EA4"/>
    <w:rsid w:val="00782F1B"/>
    <w:rsid w:val="00785461"/>
    <w:rsid w:val="00785985"/>
    <w:rsid w:val="00786FF3"/>
    <w:rsid w:val="007876CF"/>
    <w:rsid w:val="00787B77"/>
    <w:rsid w:val="00791665"/>
    <w:rsid w:val="00792298"/>
    <w:rsid w:val="00793090"/>
    <w:rsid w:val="00795BA7"/>
    <w:rsid w:val="00796C9B"/>
    <w:rsid w:val="00796F2A"/>
    <w:rsid w:val="0079788B"/>
    <w:rsid w:val="007A0176"/>
    <w:rsid w:val="007A0314"/>
    <w:rsid w:val="007A0390"/>
    <w:rsid w:val="007A0F2A"/>
    <w:rsid w:val="007A2F67"/>
    <w:rsid w:val="007A323F"/>
    <w:rsid w:val="007A3918"/>
    <w:rsid w:val="007A5398"/>
    <w:rsid w:val="007A5B6E"/>
    <w:rsid w:val="007A5D0E"/>
    <w:rsid w:val="007A5D9B"/>
    <w:rsid w:val="007A5E69"/>
    <w:rsid w:val="007A75DF"/>
    <w:rsid w:val="007B0CD9"/>
    <w:rsid w:val="007B0E33"/>
    <w:rsid w:val="007B0E89"/>
    <w:rsid w:val="007B2C38"/>
    <w:rsid w:val="007B2E54"/>
    <w:rsid w:val="007B56A8"/>
    <w:rsid w:val="007B66A9"/>
    <w:rsid w:val="007B7498"/>
    <w:rsid w:val="007B7AEE"/>
    <w:rsid w:val="007C1D65"/>
    <w:rsid w:val="007C1FD9"/>
    <w:rsid w:val="007C28D5"/>
    <w:rsid w:val="007C3593"/>
    <w:rsid w:val="007C500F"/>
    <w:rsid w:val="007C5B51"/>
    <w:rsid w:val="007C5C9B"/>
    <w:rsid w:val="007C5F5E"/>
    <w:rsid w:val="007C6C24"/>
    <w:rsid w:val="007C751E"/>
    <w:rsid w:val="007C7EB6"/>
    <w:rsid w:val="007D1E16"/>
    <w:rsid w:val="007D2F75"/>
    <w:rsid w:val="007D3839"/>
    <w:rsid w:val="007D3967"/>
    <w:rsid w:val="007D3DAA"/>
    <w:rsid w:val="007D5424"/>
    <w:rsid w:val="007D710E"/>
    <w:rsid w:val="007D7952"/>
    <w:rsid w:val="007D7E3A"/>
    <w:rsid w:val="007E1177"/>
    <w:rsid w:val="007E1CCA"/>
    <w:rsid w:val="007E21DA"/>
    <w:rsid w:val="007E22E7"/>
    <w:rsid w:val="007E2893"/>
    <w:rsid w:val="007E3507"/>
    <w:rsid w:val="007E4078"/>
    <w:rsid w:val="007E4232"/>
    <w:rsid w:val="007E5C74"/>
    <w:rsid w:val="007E5F16"/>
    <w:rsid w:val="007E69BB"/>
    <w:rsid w:val="007E6AB8"/>
    <w:rsid w:val="007E6B23"/>
    <w:rsid w:val="007E7E96"/>
    <w:rsid w:val="007F0DF4"/>
    <w:rsid w:val="007F2109"/>
    <w:rsid w:val="007F21C5"/>
    <w:rsid w:val="007F2562"/>
    <w:rsid w:val="007F26EE"/>
    <w:rsid w:val="007F324F"/>
    <w:rsid w:val="007F366D"/>
    <w:rsid w:val="007F3849"/>
    <w:rsid w:val="007F3EF1"/>
    <w:rsid w:val="007F5179"/>
    <w:rsid w:val="007F56C5"/>
    <w:rsid w:val="007F7004"/>
    <w:rsid w:val="0080056E"/>
    <w:rsid w:val="00801457"/>
    <w:rsid w:val="00801BCE"/>
    <w:rsid w:val="00801E7D"/>
    <w:rsid w:val="00802515"/>
    <w:rsid w:val="00803BFF"/>
    <w:rsid w:val="008051F8"/>
    <w:rsid w:val="008057BD"/>
    <w:rsid w:val="00805BE2"/>
    <w:rsid w:val="00806A8E"/>
    <w:rsid w:val="00806ABD"/>
    <w:rsid w:val="00807232"/>
    <w:rsid w:val="00810F06"/>
    <w:rsid w:val="0081144C"/>
    <w:rsid w:val="008115EE"/>
    <w:rsid w:val="0081283F"/>
    <w:rsid w:val="00812C0C"/>
    <w:rsid w:val="00813194"/>
    <w:rsid w:val="00813257"/>
    <w:rsid w:val="0081347B"/>
    <w:rsid w:val="008139F1"/>
    <w:rsid w:val="00814079"/>
    <w:rsid w:val="0081480A"/>
    <w:rsid w:val="00814EAD"/>
    <w:rsid w:val="008169C5"/>
    <w:rsid w:val="00817774"/>
    <w:rsid w:val="008202EB"/>
    <w:rsid w:val="008205C0"/>
    <w:rsid w:val="00820F86"/>
    <w:rsid w:val="008233F6"/>
    <w:rsid w:val="008242C5"/>
    <w:rsid w:val="00824600"/>
    <w:rsid w:val="0082664E"/>
    <w:rsid w:val="00827F88"/>
    <w:rsid w:val="008315CE"/>
    <w:rsid w:val="008336A5"/>
    <w:rsid w:val="00833DE9"/>
    <w:rsid w:val="00835474"/>
    <w:rsid w:val="00836DF1"/>
    <w:rsid w:val="008373C0"/>
    <w:rsid w:val="0084105A"/>
    <w:rsid w:val="0084145F"/>
    <w:rsid w:val="00841DA2"/>
    <w:rsid w:val="00843890"/>
    <w:rsid w:val="00844AE0"/>
    <w:rsid w:val="00844CB5"/>
    <w:rsid w:val="00844F78"/>
    <w:rsid w:val="008450BE"/>
    <w:rsid w:val="008458F6"/>
    <w:rsid w:val="00845AED"/>
    <w:rsid w:val="0084708E"/>
    <w:rsid w:val="00851AE4"/>
    <w:rsid w:val="00852697"/>
    <w:rsid w:val="008528FF"/>
    <w:rsid w:val="008531E9"/>
    <w:rsid w:val="00853E98"/>
    <w:rsid w:val="00855019"/>
    <w:rsid w:val="008554B6"/>
    <w:rsid w:val="008554E1"/>
    <w:rsid w:val="0085598D"/>
    <w:rsid w:val="00855DD6"/>
    <w:rsid w:val="00856919"/>
    <w:rsid w:val="00857E1C"/>
    <w:rsid w:val="00857FF2"/>
    <w:rsid w:val="00860941"/>
    <w:rsid w:val="00860B59"/>
    <w:rsid w:val="0086155C"/>
    <w:rsid w:val="00861AD3"/>
    <w:rsid w:val="00862771"/>
    <w:rsid w:val="008633B1"/>
    <w:rsid w:val="00863A1C"/>
    <w:rsid w:val="0086682F"/>
    <w:rsid w:val="008675BF"/>
    <w:rsid w:val="00867687"/>
    <w:rsid w:val="008704DF"/>
    <w:rsid w:val="00870B07"/>
    <w:rsid w:val="00871738"/>
    <w:rsid w:val="00871E32"/>
    <w:rsid w:val="008721EF"/>
    <w:rsid w:val="00872370"/>
    <w:rsid w:val="0087247B"/>
    <w:rsid w:val="0087268B"/>
    <w:rsid w:val="0087300C"/>
    <w:rsid w:val="00874175"/>
    <w:rsid w:val="00874748"/>
    <w:rsid w:val="00874894"/>
    <w:rsid w:val="00876017"/>
    <w:rsid w:val="00876F54"/>
    <w:rsid w:val="00877292"/>
    <w:rsid w:val="0087754A"/>
    <w:rsid w:val="0087766C"/>
    <w:rsid w:val="00880552"/>
    <w:rsid w:val="00880C7E"/>
    <w:rsid w:val="008839DA"/>
    <w:rsid w:val="00884EE8"/>
    <w:rsid w:val="00885168"/>
    <w:rsid w:val="0089048E"/>
    <w:rsid w:val="0089173B"/>
    <w:rsid w:val="00891E76"/>
    <w:rsid w:val="0089220F"/>
    <w:rsid w:val="008924C1"/>
    <w:rsid w:val="008935AA"/>
    <w:rsid w:val="0089384F"/>
    <w:rsid w:val="00894E66"/>
    <w:rsid w:val="008951CA"/>
    <w:rsid w:val="008963F0"/>
    <w:rsid w:val="00896BD5"/>
    <w:rsid w:val="00897444"/>
    <w:rsid w:val="008978CF"/>
    <w:rsid w:val="008A03A5"/>
    <w:rsid w:val="008A0DF3"/>
    <w:rsid w:val="008A12E2"/>
    <w:rsid w:val="008A1919"/>
    <w:rsid w:val="008A1B76"/>
    <w:rsid w:val="008A282C"/>
    <w:rsid w:val="008A3765"/>
    <w:rsid w:val="008A4138"/>
    <w:rsid w:val="008A44D6"/>
    <w:rsid w:val="008A4DB1"/>
    <w:rsid w:val="008A5D96"/>
    <w:rsid w:val="008A6E96"/>
    <w:rsid w:val="008A7BB5"/>
    <w:rsid w:val="008B0922"/>
    <w:rsid w:val="008B1DF8"/>
    <w:rsid w:val="008B2357"/>
    <w:rsid w:val="008B4826"/>
    <w:rsid w:val="008B5AB3"/>
    <w:rsid w:val="008B5CCB"/>
    <w:rsid w:val="008B666C"/>
    <w:rsid w:val="008B6765"/>
    <w:rsid w:val="008B6848"/>
    <w:rsid w:val="008C2BBC"/>
    <w:rsid w:val="008C2FA1"/>
    <w:rsid w:val="008C3245"/>
    <w:rsid w:val="008C37E5"/>
    <w:rsid w:val="008C3F59"/>
    <w:rsid w:val="008C57C2"/>
    <w:rsid w:val="008C58DF"/>
    <w:rsid w:val="008D0090"/>
    <w:rsid w:val="008D1369"/>
    <w:rsid w:val="008D189A"/>
    <w:rsid w:val="008D2C4C"/>
    <w:rsid w:val="008D36ED"/>
    <w:rsid w:val="008D41B3"/>
    <w:rsid w:val="008D60EF"/>
    <w:rsid w:val="008D7C6E"/>
    <w:rsid w:val="008D7E0D"/>
    <w:rsid w:val="008D7EDB"/>
    <w:rsid w:val="008E019E"/>
    <w:rsid w:val="008E0927"/>
    <w:rsid w:val="008E1829"/>
    <w:rsid w:val="008E1A61"/>
    <w:rsid w:val="008E2327"/>
    <w:rsid w:val="008E2D66"/>
    <w:rsid w:val="008E35D2"/>
    <w:rsid w:val="008E3CA2"/>
    <w:rsid w:val="008E412A"/>
    <w:rsid w:val="008E48CE"/>
    <w:rsid w:val="008E4C9B"/>
    <w:rsid w:val="008E5077"/>
    <w:rsid w:val="008E54AD"/>
    <w:rsid w:val="008E554C"/>
    <w:rsid w:val="008E57B1"/>
    <w:rsid w:val="008E6432"/>
    <w:rsid w:val="008E64F0"/>
    <w:rsid w:val="008E69F1"/>
    <w:rsid w:val="008E6FF3"/>
    <w:rsid w:val="008E799F"/>
    <w:rsid w:val="008E7B05"/>
    <w:rsid w:val="008E7EF3"/>
    <w:rsid w:val="008F0A29"/>
    <w:rsid w:val="008F18ED"/>
    <w:rsid w:val="008F23E5"/>
    <w:rsid w:val="008F35BB"/>
    <w:rsid w:val="008F4298"/>
    <w:rsid w:val="008F46C2"/>
    <w:rsid w:val="008F5209"/>
    <w:rsid w:val="008F6F29"/>
    <w:rsid w:val="008F7068"/>
    <w:rsid w:val="009021B9"/>
    <w:rsid w:val="00902912"/>
    <w:rsid w:val="00902D00"/>
    <w:rsid w:val="0090360E"/>
    <w:rsid w:val="00903D37"/>
    <w:rsid w:val="00906F91"/>
    <w:rsid w:val="009079D1"/>
    <w:rsid w:val="0091055D"/>
    <w:rsid w:val="00911958"/>
    <w:rsid w:val="00912F1D"/>
    <w:rsid w:val="009141C6"/>
    <w:rsid w:val="0091468B"/>
    <w:rsid w:val="00914C61"/>
    <w:rsid w:val="00916923"/>
    <w:rsid w:val="00917B3F"/>
    <w:rsid w:val="00917D6F"/>
    <w:rsid w:val="0092007F"/>
    <w:rsid w:val="0092073B"/>
    <w:rsid w:val="00920E85"/>
    <w:rsid w:val="00921B1A"/>
    <w:rsid w:val="00921B7F"/>
    <w:rsid w:val="00921DDA"/>
    <w:rsid w:val="00921EBC"/>
    <w:rsid w:val="00922DE1"/>
    <w:rsid w:val="00923A73"/>
    <w:rsid w:val="0092411C"/>
    <w:rsid w:val="00925941"/>
    <w:rsid w:val="0092600D"/>
    <w:rsid w:val="009264D6"/>
    <w:rsid w:val="009276AD"/>
    <w:rsid w:val="00930345"/>
    <w:rsid w:val="0093039D"/>
    <w:rsid w:val="00931E4F"/>
    <w:rsid w:val="0093364D"/>
    <w:rsid w:val="009337E6"/>
    <w:rsid w:val="009340E4"/>
    <w:rsid w:val="0093429F"/>
    <w:rsid w:val="009347EC"/>
    <w:rsid w:val="00935ED9"/>
    <w:rsid w:val="00936574"/>
    <w:rsid w:val="00937EC5"/>
    <w:rsid w:val="00937EE1"/>
    <w:rsid w:val="00943BCE"/>
    <w:rsid w:val="00945DBE"/>
    <w:rsid w:val="009508A0"/>
    <w:rsid w:val="00953EDC"/>
    <w:rsid w:val="00953FF0"/>
    <w:rsid w:val="00954950"/>
    <w:rsid w:val="009566A5"/>
    <w:rsid w:val="00960346"/>
    <w:rsid w:val="009617D3"/>
    <w:rsid w:val="009629BE"/>
    <w:rsid w:val="00962C63"/>
    <w:rsid w:val="00964061"/>
    <w:rsid w:val="0096463B"/>
    <w:rsid w:val="00967869"/>
    <w:rsid w:val="0096796E"/>
    <w:rsid w:val="00967DA5"/>
    <w:rsid w:val="00971A46"/>
    <w:rsid w:val="00971BF7"/>
    <w:rsid w:val="00971F24"/>
    <w:rsid w:val="00971F54"/>
    <w:rsid w:val="009725C5"/>
    <w:rsid w:val="00972AEA"/>
    <w:rsid w:val="00972B4E"/>
    <w:rsid w:val="00973F40"/>
    <w:rsid w:val="00976F59"/>
    <w:rsid w:val="00977299"/>
    <w:rsid w:val="0097736F"/>
    <w:rsid w:val="00977520"/>
    <w:rsid w:val="0098056C"/>
    <w:rsid w:val="00980900"/>
    <w:rsid w:val="009823AF"/>
    <w:rsid w:val="009831DB"/>
    <w:rsid w:val="00983D6A"/>
    <w:rsid w:val="00983EDC"/>
    <w:rsid w:val="00983EED"/>
    <w:rsid w:val="009849EF"/>
    <w:rsid w:val="009850C9"/>
    <w:rsid w:val="00986909"/>
    <w:rsid w:val="00986DB7"/>
    <w:rsid w:val="009870A5"/>
    <w:rsid w:val="00987252"/>
    <w:rsid w:val="00987465"/>
    <w:rsid w:val="00987917"/>
    <w:rsid w:val="00990B6C"/>
    <w:rsid w:val="00990C3A"/>
    <w:rsid w:val="00991FA0"/>
    <w:rsid w:val="009934CF"/>
    <w:rsid w:val="00994396"/>
    <w:rsid w:val="00994FB1"/>
    <w:rsid w:val="0099730E"/>
    <w:rsid w:val="009A0031"/>
    <w:rsid w:val="009A0D75"/>
    <w:rsid w:val="009A2459"/>
    <w:rsid w:val="009A306D"/>
    <w:rsid w:val="009A323E"/>
    <w:rsid w:val="009A33E6"/>
    <w:rsid w:val="009A347A"/>
    <w:rsid w:val="009A3F45"/>
    <w:rsid w:val="009A54B4"/>
    <w:rsid w:val="009A620E"/>
    <w:rsid w:val="009A6606"/>
    <w:rsid w:val="009A6658"/>
    <w:rsid w:val="009B1289"/>
    <w:rsid w:val="009B33A1"/>
    <w:rsid w:val="009B3DF9"/>
    <w:rsid w:val="009B610E"/>
    <w:rsid w:val="009B6452"/>
    <w:rsid w:val="009B662C"/>
    <w:rsid w:val="009B6A6F"/>
    <w:rsid w:val="009C031C"/>
    <w:rsid w:val="009C0B58"/>
    <w:rsid w:val="009C0CAA"/>
    <w:rsid w:val="009C1AFE"/>
    <w:rsid w:val="009C295D"/>
    <w:rsid w:val="009C3E33"/>
    <w:rsid w:val="009C447D"/>
    <w:rsid w:val="009C5F24"/>
    <w:rsid w:val="009D00D2"/>
    <w:rsid w:val="009D047D"/>
    <w:rsid w:val="009D048B"/>
    <w:rsid w:val="009D1B5C"/>
    <w:rsid w:val="009D1B5D"/>
    <w:rsid w:val="009D22C8"/>
    <w:rsid w:val="009D36A4"/>
    <w:rsid w:val="009D43FE"/>
    <w:rsid w:val="009D4856"/>
    <w:rsid w:val="009D4A04"/>
    <w:rsid w:val="009D5C33"/>
    <w:rsid w:val="009D6197"/>
    <w:rsid w:val="009D6634"/>
    <w:rsid w:val="009D69C6"/>
    <w:rsid w:val="009D6F70"/>
    <w:rsid w:val="009E10E1"/>
    <w:rsid w:val="009E110C"/>
    <w:rsid w:val="009E49AA"/>
    <w:rsid w:val="009E5419"/>
    <w:rsid w:val="009E5A6E"/>
    <w:rsid w:val="009E70E7"/>
    <w:rsid w:val="009F2492"/>
    <w:rsid w:val="009F25A8"/>
    <w:rsid w:val="009F3A6A"/>
    <w:rsid w:val="009F46DC"/>
    <w:rsid w:val="009F4C58"/>
    <w:rsid w:val="009F58BE"/>
    <w:rsid w:val="009F65AF"/>
    <w:rsid w:val="00A01666"/>
    <w:rsid w:val="00A01C00"/>
    <w:rsid w:val="00A02488"/>
    <w:rsid w:val="00A025B1"/>
    <w:rsid w:val="00A03A1B"/>
    <w:rsid w:val="00A05E6F"/>
    <w:rsid w:val="00A06A67"/>
    <w:rsid w:val="00A06CC5"/>
    <w:rsid w:val="00A07EDA"/>
    <w:rsid w:val="00A07F30"/>
    <w:rsid w:val="00A07F71"/>
    <w:rsid w:val="00A10699"/>
    <w:rsid w:val="00A11CAD"/>
    <w:rsid w:val="00A13224"/>
    <w:rsid w:val="00A15DB7"/>
    <w:rsid w:val="00A1620D"/>
    <w:rsid w:val="00A16AC0"/>
    <w:rsid w:val="00A16DC1"/>
    <w:rsid w:val="00A2035C"/>
    <w:rsid w:val="00A2054B"/>
    <w:rsid w:val="00A228D6"/>
    <w:rsid w:val="00A22D45"/>
    <w:rsid w:val="00A23D31"/>
    <w:rsid w:val="00A24C9B"/>
    <w:rsid w:val="00A25083"/>
    <w:rsid w:val="00A26ECD"/>
    <w:rsid w:val="00A275DE"/>
    <w:rsid w:val="00A27D2B"/>
    <w:rsid w:val="00A30176"/>
    <w:rsid w:val="00A301A7"/>
    <w:rsid w:val="00A30545"/>
    <w:rsid w:val="00A30C34"/>
    <w:rsid w:val="00A30FD3"/>
    <w:rsid w:val="00A32266"/>
    <w:rsid w:val="00A33434"/>
    <w:rsid w:val="00A34223"/>
    <w:rsid w:val="00A344F1"/>
    <w:rsid w:val="00A349AA"/>
    <w:rsid w:val="00A34F11"/>
    <w:rsid w:val="00A35E2F"/>
    <w:rsid w:val="00A36013"/>
    <w:rsid w:val="00A36977"/>
    <w:rsid w:val="00A36BE2"/>
    <w:rsid w:val="00A37891"/>
    <w:rsid w:val="00A37A88"/>
    <w:rsid w:val="00A40503"/>
    <w:rsid w:val="00A40A51"/>
    <w:rsid w:val="00A415BA"/>
    <w:rsid w:val="00A43816"/>
    <w:rsid w:val="00A43CD2"/>
    <w:rsid w:val="00A4594F"/>
    <w:rsid w:val="00A47054"/>
    <w:rsid w:val="00A47916"/>
    <w:rsid w:val="00A47B0A"/>
    <w:rsid w:val="00A5088B"/>
    <w:rsid w:val="00A536DA"/>
    <w:rsid w:val="00A53E11"/>
    <w:rsid w:val="00A5406C"/>
    <w:rsid w:val="00A54720"/>
    <w:rsid w:val="00A54801"/>
    <w:rsid w:val="00A55271"/>
    <w:rsid w:val="00A5596D"/>
    <w:rsid w:val="00A56F39"/>
    <w:rsid w:val="00A571CD"/>
    <w:rsid w:val="00A57C3D"/>
    <w:rsid w:val="00A60A2E"/>
    <w:rsid w:val="00A64F18"/>
    <w:rsid w:val="00A66808"/>
    <w:rsid w:val="00A6697B"/>
    <w:rsid w:val="00A67022"/>
    <w:rsid w:val="00A67F68"/>
    <w:rsid w:val="00A719AA"/>
    <w:rsid w:val="00A73DE3"/>
    <w:rsid w:val="00A74C2D"/>
    <w:rsid w:val="00A74D33"/>
    <w:rsid w:val="00A7564A"/>
    <w:rsid w:val="00A75BBA"/>
    <w:rsid w:val="00A76B34"/>
    <w:rsid w:val="00A8015B"/>
    <w:rsid w:val="00A83487"/>
    <w:rsid w:val="00A84A8E"/>
    <w:rsid w:val="00A84E9E"/>
    <w:rsid w:val="00A852AC"/>
    <w:rsid w:val="00A854FF"/>
    <w:rsid w:val="00A86DF4"/>
    <w:rsid w:val="00A86E30"/>
    <w:rsid w:val="00A87035"/>
    <w:rsid w:val="00A8745D"/>
    <w:rsid w:val="00A90573"/>
    <w:rsid w:val="00A908DA"/>
    <w:rsid w:val="00A90B7A"/>
    <w:rsid w:val="00A90F9B"/>
    <w:rsid w:val="00A918FA"/>
    <w:rsid w:val="00A92694"/>
    <w:rsid w:val="00A93072"/>
    <w:rsid w:val="00A9629C"/>
    <w:rsid w:val="00A96514"/>
    <w:rsid w:val="00A966F6"/>
    <w:rsid w:val="00A96E80"/>
    <w:rsid w:val="00A97448"/>
    <w:rsid w:val="00AA04D2"/>
    <w:rsid w:val="00AA2289"/>
    <w:rsid w:val="00AA2AFF"/>
    <w:rsid w:val="00AA2E00"/>
    <w:rsid w:val="00AA35D5"/>
    <w:rsid w:val="00AA417B"/>
    <w:rsid w:val="00AA533F"/>
    <w:rsid w:val="00AA58C8"/>
    <w:rsid w:val="00AA5A86"/>
    <w:rsid w:val="00AA6CCD"/>
    <w:rsid w:val="00AA7F48"/>
    <w:rsid w:val="00AB0073"/>
    <w:rsid w:val="00AB010D"/>
    <w:rsid w:val="00AB0749"/>
    <w:rsid w:val="00AB273B"/>
    <w:rsid w:val="00AB51B1"/>
    <w:rsid w:val="00AB5239"/>
    <w:rsid w:val="00AB61AD"/>
    <w:rsid w:val="00AB75E2"/>
    <w:rsid w:val="00AB76D8"/>
    <w:rsid w:val="00AB76F6"/>
    <w:rsid w:val="00AB7A1A"/>
    <w:rsid w:val="00AB7ABB"/>
    <w:rsid w:val="00AB7E6A"/>
    <w:rsid w:val="00AC1B50"/>
    <w:rsid w:val="00AC1B61"/>
    <w:rsid w:val="00AC2C6E"/>
    <w:rsid w:val="00AC3DB7"/>
    <w:rsid w:val="00AC5EE6"/>
    <w:rsid w:val="00AC5F9E"/>
    <w:rsid w:val="00AC7DC1"/>
    <w:rsid w:val="00AC7E1F"/>
    <w:rsid w:val="00AD0D24"/>
    <w:rsid w:val="00AD0E38"/>
    <w:rsid w:val="00AD1923"/>
    <w:rsid w:val="00AD1F60"/>
    <w:rsid w:val="00AD2195"/>
    <w:rsid w:val="00AD2611"/>
    <w:rsid w:val="00AD27D6"/>
    <w:rsid w:val="00AD38FD"/>
    <w:rsid w:val="00AD3AC5"/>
    <w:rsid w:val="00AD3D57"/>
    <w:rsid w:val="00AD43A4"/>
    <w:rsid w:val="00AD497C"/>
    <w:rsid w:val="00AD4A8A"/>
    <w:rsid w:val="00AD50F9"/>
    <w:rsid w:val="00AE0B4B"/>
    <w:rsid w:val="00AE0CDB"/>
    <w:rsid w:val="00AE3BE3"/>
    <w:rsid w:val="00AE47BF"/>
    <w:rsid w:val="00AE489D"/>
    <w:rsid w:val="00AE4BD1"/>
    <w:rsid w:val="00AE552E"/>
    <w:rsid w:val="00AF08DA"/>
    <w:rsid w:val="00AF0A77"/>
    <w:rsid w:val="00AF19F2"/>
    <w:rsid w:val="00AF28C8"/>
    <w:rsid w:val="00AF3B03"/>
    <w:rsid w:val="00AF3DDB"/>
    <w:rsid w:val="00AF4C29"/>
    <w:rsid w:val="00AF51A8"/>
    <w:rsid w:val="00AF6432"/>
    <w:rsid w:val="00AF6D3D"/>
    <w:rsid w:val="00AF6DED"/>
    <w:rsid w:val="00AF7502"/>
    <w:rsid w:val="00AF79BD"/>
    <w:rsid w:val="00AF7DB8"/>
    <w:rsid w:val="00B007F7"/>
    <w:rsid w:val="00B01191"/>
    <w:rsid w:val="00B01BB6"/>
    <w:rsid w:val="00B04CD6"/>
    <w:rsid w:val="00B06882"/>
    <w:rsid w:val="00B077ED"/>
    <w:rsid w:val="00B07F12"/>
    <w:rsid w:val="00B07FE3"/>
    <w:rsid w:val="00B103D7"/>
    <w:rsid w:val="00B10BAE"/>
    <w:rsid w:val="00B116CC"/>
    <w:rsid w:val="00B1369F"/>
    <w:rsid w:val="00B14154"/>
    <w:rsid w:val="00B1415B"/>
    <w:rsid w:val="00B15278"/>
    <w:rsid w:val="00B15525"/>
    <w:rsid w:val="00B16975"/>
    <w:rsid w:val="00B200CA"/>
    <w:rsid w:val="00B222A2"/>
    <w:rsid w:val="00B234EC"/>
    <w:rsid w:val="00B235FB"/>
    <w:rsid w:val="00B2564D"/>
    <w:rsid w:val="00B274AE"/>
    <w:rsid w:val="00B274BF"/>
    <w:rsid w:val="00B27BE1"/>
    <w:rsid w:val="00B31222"/>
    <w:rsid w:val="00B318C9"/>
    <w:rsid w:val="00B31FDB"/>
    <w:rsid w:val="00B330C9"/>
    <w:rsid w:val="00B33258"/>
    <w:rsid w:val="00B37DE4"/>
    <w:rsid w:val="00B40EE4"/>
    <w:rsid w:val="00B4114B"/>
    <w:rsid w:val="00B41DF3"/>
    <w:rsid w:val="00B42006"/>
    <w:rsid w:val="00B4291A"/>
    <w:rsid w:val="00B42C7F"/>
    <w:rsid w:val="00B42E81"/>
    <w:rsid w:val="00B4329D"/>
    <w:rsid w:val="00B44FF5"/>
    <w:rsid w:val="00B45BEE"/>
    <w:rsid w:val="00B46F7A"/>
    <w:rsid w:val="00B5076A"/>
    <w:rsid w:val="00B520F9"/>
    <w:rsid w:val="00B52812"/>
    <w:rsid w:val="00B5495A"/>
    <w:rsid w:val="00B54A9C"/>
    <w:rsid w:val="00B568D8"/>
    <w:rsid w:val="00B56994"/>
    <w:rsid w:val="00B56F24"/>
    <w:rsid w:val="00B577A3"/>
    <w:rsid w:val="00B5785F"/>
    <w:rsid w:val="00B60C10"/>
    <w:rsid w:val="00B6144B"/>
    <w:rsid w:val="00B6170F"/>
    <w:rsid w:val="00B643AF"/>
    <w:rsid w:val="00B64641"/>
    <w:rsid w:val="00B647DE"/>
    <w:rsid w:val="00B65BCE"/>
    <w:rsid w:val="00B7262F"/>
    <w:rsid w:val="00B727C5"/>
    <w:rsid w:val="00B73267"/>
    <w:rsid w:val="00B7364D"/>
    <w:rsid w:val="00B73FD4"/>
    <w:rsid w:val="00B74FC5"/>
    <w:rsid w:val="00B750FC"/>
    <w:rsid w:val="00B75A6C"/>
    <w:rsid w:val="00B7795B"/>
    <w:rsid w:val="00B80C3D"/>
    <w:rsid w:val="00B80E90"/>
    <w:rsid w:val="00B82F2D"/>
    <w:rsid w:val="00B83E2A"/>
    <w:rsid w:val="00B83E38"/>
    <w:rsid w:val="00B8408A"/>
    <w:rsid w:val="00B84F85"/>
    <w:rsid w:val="00B85DF3"/>
    <w:rsid w:val="00B86C19"/>
    <w:rsid w:val="00B87167"/>
    <w:rsid w:val="00B90737"/>
    <w:rsid w:val="00B9113E"/>
    <w:rsid w:val="00B91CE1"/>
    <w:rsid w:val="00B92EDF"/>
    <w:rsid w:val="00B9316E"/>
    <w:rsid w:val="00B93510"/>
    <w:rsid w:val="00B93640"/>
    <w:rsid w:val="00B93E33"/>
    <w:rsid w:val="00B93FFB"/>
    <w:rsid w:val="00B94957"/>
    <w:rsid w:val="00B94B67"/>
    <w:rsid w:val="00B954F3"/>
    <w:rsid w:val="00B95BCD"/>
    <w:rsid w:val="00B95CDC"/>
    <w:rsid w:val="00B95CE5"/>
    <w:rsid w:val="00B96107"/>
    <w:rsid w:val="00B9614C"/>
    <w:rsid w:val="00B96F60"/>
    <w:rsid w:val="00B97BD4"/>
    <w:rsid w:val="00BA0D0B"/>
    <w:rsid w:val="00BA0D3C"/>
    <w:rsid w:val="00BA1099"/>
    <w:rsid w:val="00BA10DC"/>
    <w:rsid w:val="00BA1732"/>
    <w:rsid w:val="00BA4CE5"/>
    <w:rsid w:val="00BA688A"/>
    <w:rsid w:val="00BB18B8"/>
    <w:rsid w:val="00BB1B3C"/>
    <w:rsid w:val="00BB375D"/>
    <w:rsid w:val="00BB391B"/>
    <w:rsid w:val="00BB3D85"/>
    <w:rsid w:val="00BB40A3"/>
    <w:rsid w:val="00BB49A0"/>
    <w:rsid w:val="00BB515F"/>
    <w:rsid w:val="00BB532B"/>
    <w:rsid w:val="00BB545D"/>
    <w:rsid w:val="00BC0924"/>
    <w:rsid w:val="00BC1FA5"/>
    <w:rsid w:val="00BC2592"/>
    <w:rsid w:val="00BC2C0C"/>
    <w:rsid w:val="00BC4DAC"/>
    <w:rsid w:val="00BC6FDD"/>
    <w:rsid w:val="00BC732A"/>
    <w:rsid w:val="00BC758B"/>
    <w:rsid w:val="00BD2EAC"/>
    <w:rsid w:val="00BD4059"/>
    <w:rsid w:val="00BD455F"/>
    <w:rsid w:val="00BD4617"/>
    <w:rsid w:val="00BD4BB3"/>
    <w:rsid w:val="00BD782A"/>
    <w:rsid w:val="00BD798E"/>
    <w:rsid w:val="00BE17C6"/>
    <w:rsid w:val="00BE183F"/>
    <w:rsid w:val="00BE2BD3"/>
    <w:rsid w:val="00BE47E2"/>
    <w:rsid w:val="00BE4843"/>
    <w:rsid w:val="00BE4865"/>
    <w:rsid w:val="00BE5595"/>
    <w:rsid w:val="00BE5735"/>
    <w:rsid w:val="00BE69BF"/>
    <w:rsid w:val="00BE6E79"/>
    <w:rsid w:val="00BE725A"/>
    <w:rsid w:val="00BE73C1"/>
    <w:rsid w:val="00BE7430"/>
    <w:rsid w:val="00BE7B48"/>
    <w:rsid w:val="00BE7C6B"/>
    <w:rsid w:val="00BF03EB"/>
    <w:rsid w:val="00BF1B9F"/>
    <w:rsid w:val="00BF28E7"/>
    <w:rsid w:val="00BF3381"/>
    <w:rsid w:val="00BF3AEA"/>
    <w:rsid w:val="00BF45F2"/>
    <w:rsid w:val="00BF475C"/>
    <w:rsid w:val="00BF48AB"/>
    <w:rsid w:val="00BF5322"/>
    <w:rsid w:val="00BF667D"/>
    <w:rsid w:val="00BF75D9"/>
    <w:rsid w:val="00BF799D"/>
    <w:rsid w:val="00C004B6"/>
    <w:rsid w:val="00C01579"/>
    <w:rsid w:val="00C03922"/>
    <w:rsid w:val="00C03AA9"/>
    <w:rsid w:val="00C076CE"/>
    <w:rsid w:val="00C10FCF"/>
    <w:rsid w:val="00C12810"/>
    <w:rsid w:val="00C145CF"/>
    <w:rsid w:val="00C14B76"/>
    <w:rsid w:val="00C14EE1"/>
    <w:rsid w:val="00C15903"/>
    <w:rsid w:val="00C16B4B"/>
    <w:rsid w:val="00C16D1C"/>
    <w:rsid w:val="00C16E51"/>
    <w:rsid w:val="00C17427"/>
    <w:rsid w:val="00C20A16"/>
    <w:rsid w:val="00C20C00"/>
    <w:rsid w:val="00C210FD"/>
    <w:rsid w:val="00C22183"/>
    <w:rsid w:val="00C22901"/>
    <w:rsid w:val="00C25238"/>
    <w:rsid w:val="00C26B6F"/>
    <w:rsid w:val="00C2734F"/>
    <w:rsid w:val="00C305F2"/>
    <w:rsid w:val="00C31AF4"/>
    <w:rsid w:val="00C32A89"/>
    <w:rsid w:val="00C3345C"/>
    <w:rsid w:val="00C3426A"/>
    <w:rsid w:val="00C36BB3"/>
    <w:rsid w:val="00C40653"/>
    <w:rsid w:val="00C407E5"/>
    <w:rsid w:val="00C41F64"/>
    <w:rsid w:val="00C42DAC"/>
    <w:rsid w:val="00C4342B"/>
    <w:rsid w:val="00C436E3"/>
    <w:rsid w:val="00C443B2"/>
    <w:rsid w:val="00C44666"/>
    <w:rsid w:val="00C44A1F"/>
    <w:rsid w:val="00C459A9"/>
    <w:rsid w:val="00C4752A"/>
    <w:rsid w:val="00C477E7"/>
    <w:rsid w:val="00C502A5"/>
    <w:rsid w:val="00C521F7"/>
    <w:rsid w:val="00C53008"/>
    <w:rsid w:val="00C5413A"/>
    <w:rsid w:val="00C54600"/>
    <w:rsid w:val="00C5509C"/>
    <w:rsid w:val="00C55151"/>
    <w:rsid w:val="00C5575D"/>
    <w:rsid w:val="00C558FF"/>
    <w:rsid w:val="00C560FA"/>
    <w:rsid w:val="00C56772"/>
    <w:rsid w:val="00C57C74"/>
    <w:rsid w:val="00C57FF9"/>
    <w:rsid w:val="00C60B87"/>
    <w:rsid w:val="00C6187E"/>
    <w:rsid w:val="00C61D80"/>
    <w:rsid w:val="00C62178"/>
    <w:rsid w:val="00C62694"/>
    <w:rsid w:val="00C63D99"/>
    <w:rsid w:val="00C64434"/>
    <w:rsid w:val="00C64A51"/>
    <w:rsid w:val="00C64B27"/>
    <w:rsid w:val="00C65C4D"/>
    <w:rsid w:val="00C65FED"/>
    <w:rsid w:val="00C66EEB"/>
    <w:rsid w:val="00C67AC2"/>
    <w:rsid w:val="00C700DA"/>
    <w:rsid w:val="00C7063C"/>
    <w:rsid w:val="00C714C9"/>
    <w:rsid w:val="00C71F4C"/>
    <w:rsid w:val="00C73C57"/>
    <w:rsid w:val="00C746D9"/>
    <w:rsid w:val="00C74D12"/>
    <w:rsid w:val="00C74D43"/>
    <w:rsid w:val="00C75CA7"/>
    <w:rsid w:val="00C7683D"/>
    <w:rsid w:val="00C772A0"/>
    <w:rsid w:val="00C80751"/>
    <w:rsid w:val="00C80BC9"/>
    <w:rsid w:val="00C81EB6"/>
    <w:rsid w:val="00C8257A"/>
    <w:rsid w:val="00C83CDA"/>
    <w:rsid w:val="00C83F2A"/>
    <w:rsid w:val="00C8485E"/>
    <w:rsid w:val="00C84D57"/>
    <w:rsid w:val="00C860A8"/>
    <w:rsid w:val="00C86432"/>
    <w:rsid w:val="00C86478"/>
    <w:rsid w:val="00C86FC6"/>
    <w:rsid w:val="00C901BB"/>
    <w:rsid w:val="00C9024D"/>
    <w:rsid w:val="00C90CD3"/>
    <w:rsid w:val="00C9116A"/>
    <w:rsid w:val="00C92552"/>
    <w:rsid w:val="00C92C27"/>
    <w:rsid w:val="00C939E8"/>
    <w:rsid w:val="00C93F1B"/>
    <w:rsid w:val="00C94EF0"/>
    <w:rsid w:val="00C95093"/>
    <w:rsid w:val="00C95AB0"/>
    <w:rsid w:val="00C96DFE"/>
    <w:rsid w:val="00C976D1"/>
    <w:rsid w:val="00C97851"/>
    <w:rsid w:val="00CA123D"/>
    <w:rsid w:val="00CA2DFC"/>
    <w:rsid w:val="00CA308F"/>
    <w:rsid w:val="00CA3902"/>
    <w:rsid w:val="00CA6F0D"/>
    <w:rsid w:val="00CA71D4"/>
    <w:rsid w:val="00CA7CCC"/>
    <w:rsid w:val="00CA7D7D"/>
    <w:rsid w:val="00CB1A0D"/>
    <w:rsid w:val="00CB5D29"/>
    <w:rsid w:val="00CB675A"/>
    <w:rsid w:val="00CB6EC8"/>
    <w:rsid w:val="00CB782B"/>
    <w:rsid w:val="00CC082B"/>
    <w:rsid w:val="00CC0E77"/>
    <w:rsid w:val="00CC2092"/>
    <w:rsid w:val="00CC285C"/>
    <w:rsid w:val="00CC29E8"/>
    <w:rsid w:val="00CC327E"/>
    <w:rsid w:val="00CC34C5"/>
    <w:rsid w:val="00CC4C0B"/>
    <w:rsid w:val="00CC5595"/>
    <w:rsid w:val="00CC5E76"/>
    <w:rsid w:val="00CC6730"/>
    <w:rsid w:val="00CC69E7"/>
    <w:rsid w:val="00CC6C08"/>
    <w:rsid w:val="00CC7D3E"/>
    <w:rsid w:val="00CD0214"/>
    <w:rsid w:val="00CD049D"/>
    <w:rsid w:val="00CD1770"/>
    <w:rsid w:val="00CD3A5D"/>
    <w:rsid w:val="00CD51ED"/>
    <w:rsid w:val="00CD5FD4"/>
    <w:rsid w:val="00CD6A36"/>
    <w:rsid w:val="00CE0A60"/>
    <w:rsid w:val="00CE0DCE"/>
    <w:rsid w:val="00CE1B6A"/>
    <w:rsid w:val="00CE1BC9"/>
    <w:rsid w:val="00CE321D"/>
    <w:rsid w:val="00CE33C1"/>
    <w:rsid w:val="00CE4DD6"/>
    <w:rsid w:val="00CE597A"/>
    <w:rsid w:val="00CE6763"/>
    <w:rsid w:val="00CE7442"/>
    <w:rsid w:val="00CE76FF"/>
    <w:rsid w:val="00CF1CF7"/>
    <w:rsid w:val="00CF2954"/>
    <w:rsid w:val="00CF3BFD"/>
    <w:rsid w:val="00CF3C35"/>
    <w:rsid w:val="00CF4012"/>
    <w:rsid w:val="00CF43D5"/>
    <w:rsid w:val="00CF474E"/>
    <w:rsid w:val="00CF5EC7"/>
    <w:rsid w:val="00CF76A8"/>
    <w:rsid w:val="00CF7D0F"/>
    <w:rsid w:val="00D01836"/>
    <w:rsid w:val="00D01F75"/>
    <w:rsid w:val="00D02BC6"/>
    <w:rsid w:val="00D02CFC"/>
    <w:rsid w:val="00D0310D"/>
    <w:rsid w:val="00D04099"/>
    <w:rsid w:val="00D041C8"/>
    <w:rsid w:val="00D047A7"/>
    <w:rsid w:val="00D051FE"/>
    <w:rsid w:val="00D05803"/>
    <w:rsid w:val="00D05C7C"/>
    <w:rsid w:val="00D05CA7"/>
    <w:rsid w:val="00D06906"/>
    <w:rsid w:val="00D07742"/>
    <w:rsid w:val="00D10A0F"/>
    <w:rsid w:val="00D10F9D"/>
    <w:rsid w:val="00D1202D"/>
    <w:rsid w:val="00D1276A"/>
    <w:rsid w:val="00D131D5"/>
    <w:rsid w:val="00D14DB7"/>
    <w:rsid w:val="00D14F18"/>
    <w:rsid w:val="00D15ED5"/>
    <w:rsid w:val="00D15F1A"/>
    <w:rsid w:val="00D16656"/>
    <w:rsid w:val="00D172C9"/>
    <w:rsid w:val="00D200AB"/>
    <w:rsid w:val="00D20B81"/>
    <w:rsid w:val="00D22AD2"/>
    <w:rsid w:val="00D23ACA"/>
    <w:rsid w:val="00D244BD"/>
    <w:rsid w:val="00D2465A"/>
    <w:rsid w:val="00D24EFC"/>
    <w:rsid w:val="00D24F48"/>
    <w:rsid w:val="00D26C9C"/>
    <w:rsid w:val="00D30834"/>
    <w:rsid w:val="00D31521"/>
    <w:rsid w:val="00D31CD5"/>
    <w:rsid w:val="00D31DC6"/>
    <w:rsid w:val="00D32B96"/>
    <w:rsid w:val="00D32E24"/>
    <w:rsid w:val="00D3354D"/>
    <w:rsid w:val="00D340C6"/>
    <w:rsid w:val="00D34402"/>
    <w:rsid w:val="00D348F7"/>
    <w:rsid w:val="00D3564E"/>
    <w:rsid w:val="00D36EF4"/>
    <w:rsid w:val="00D371D0"/>
    <w:rsid w:val="00D403A3"/>
    <w:rsid w:val="00D4062A"/>
    <w:rsid w:val="00D407D3"/>
    <w:rsid w:val="00D40BC3"/>
    <w:rsid w:val="00D41A35"/>
    <w:rsid w:val="00D42F2E"/>
    <w:rsid w:val="00D431F4"/>
    <w:rsid w:val="00D434EC"/>
    <w:rsid w:val="00D43E69"/>
    <w:rsid w:val="00D44E9D"/>
    <w:rsid w:val="00D454A6"/>
    <w:rsid w:val="00D466D0"/>
    <w:rsid w:val="00D472A7"/>
    <w:rsid w:val="00D51515"/>
    <w:rsid w:val="00D53731"/>
    <w:rsid w:val="00D538C7"/>
    <w:rsid w:val="00D54BD5"/>
    <w:rsid w:val="00D575F0"/>
    <w:rsid w:val="00D575F1"/>
    <w:rsid w:val="00D57A95"/>
    <w:rsid w:val="00D603BA"/>
    <w:rsid w:val="00D60578"/>
    <w:rsid w:val="00D61A0E"/>
    <w:rsid w:val="00D62B63"/>
    <w:rsid w:val="00D634BD"/>
    <w:rsid w:val="00D63FD4"/>
    <w:rsid w:val="00D64F30"/>
    <w:rsid w:val="00D71685"/>
    <w:rsid w:val="00D71CF9"/>
    <w:rsid w:val="00D72264"/>
    <w:rsid w:val="00D731A8"/>
    <w:rsid w:val="00D73603"/>
    <w:rsid w:val="00D7675E"/>
    <w:rsid w:val="00D768D8"/>
    <w:rsid w:val="00D80080"/>
    <w:rsid w:val="00D809E2"/>
    <w:rsid w:val="00D80F9D"/>
    <w:rsid w:val="00D80FFB"/>
    <w:rsid w:val="00D8189D"/>
    <w:rsid w:val="00D81BAE"/>
    <w:rsid w:val="00D8237E"/>
    <w:rsid w:val="00D83774"/>
    <w:rsid w:val="00D848E9"/>
    <w:rsid w:val="00D84B17"/>
    <w:rsid w:val="00D8507D"/>
    <w:rsid w:val="00D86735"/>
    <w:rsid w:val="00D8718E"/>
    <w:rsid w:val="00D871FB"/>
    <w:rsid w:val="00D87AA2"/>
    <w:rsid w:val="00D90C9D"/>
    <w:rsid w:val="00D90E57"/>
    <w:rsid w:val="00D91910"/>
    <w:rsid w:val="00D91AA8"/>
    <w:rsid w:val="00D944A6"/>
    <w:rsid w:val="00D949A3"/>
    <w:rsid w:val="00D95B5F"/>
    <w:rsid w:val="00D96FC3"/>
    <w:rsid w:val="00DA0839"/>
    <w:rsid w:val="00DA0FE1"/>
    <w:rsid w:val="00DA12C3"/>
    <w:rsid w:val="00DA22B5"/>
    <w:rsid w:val="00DA267B"/>
    <w:rsid w:val="00DA495D"/>
    <w:rsid w:val="00DA4F15"/>
    <w:rsid w:val="00DA5512"/>
    <w:rsid w:val="00DA57BE"/>
    <w:rsid w:val="00DA5DCA"/>
    <w:rsid w:val="00DA7095"/>
    <w:rsid w:val="00DA70B4"/>
    <w:rsid w:val="00DA7BA0"/>
    <w:rsid w:val="00DB2180"/>
    <w:rsid w:val="00DB42F5"/>
    <w:rsid w:val="00DB469A"/>
    <w:rsid w:val="00DB4B8A"/>
    <w:rsid w:val="00DB52C3"/>
    <w:rsid w:val="00DB5454"/>
    <w:rsid w:val="00DB5DA3"/>
    <w:rsid w:val="00DB7E5F"/>
    <w:rsid w:val="00DC10B0"/>
    <w:rsid w:val="00DC1246"/>
    <w:rsid w:val="00DC1594"/>
    <w:rsid w:val="00DC2884"/>
    <w:rsid w:val="00DC2B02"/>
    <w:rsid w:val="00DC4770"/>
    <w:rsid w:val="00DC4BCD"/>
    <w:rsid w:val="00DC6770"/>
    <w:rsid w:val="00DC68D6"/>
    <w:rsid w:val="00DC770A"/>
    <w:rsid w:val="00DC7ECE"/>
    <w:rsid w:val="00DD086D"/>
    <w:rsid w:val="00DD0FEA"/>
    <w:rsid w:val="00DD1107"/>
    <w:rsid w:val="00DD11AC"/>
    <w:rsid w:val="00DD178F"/>
    <w:rsid w:val="00DD1A82"/>
    <w:rsid w:val="00DD1FE4"/>
    <w:rsid w:val="00DD2332"/>
    <w:rsid w:val="00DD30C6"/>
    <w:rsid w:val="00DD5221"/>
    <w:rsid w:val="00DD7DC3"/>
    <w:rsid w:val="00DE0808"/>
    <w:rsid w:val="00DE1C03"/>
    <w:rsid w:val="00DE2065"/>
    <w:rsid w:val="00DE2966"/>
    <w:rsid w:val="00DE3A0C"/>
    <w:rsid w:val="00DE3AF1"/>
    <w:rsid w:val="00DE40E0"/>
    <w:rsid w:val="00DE4107"/>
    <w:rsid w:val="00DE4F8D"/>
    <w:rsid w:val="00DE70AE"/>
    <w:rsid w:val="00DE7D92"/>
    <w:rsid w:val="00DF0353"/>
    <w:rsid w:val="00DF04ED"/>
    <w:rsid w:val="00DF06B6"/>
    <w:rsid w:val="00DF0B5E"/>
    <w:rsid w:val="00DF0ED5"/>
    <w:rsid w:val="00DF140A"/>
    <w:rsid w:val="00DF18E0"/>
    <w:rsid w:val="00DF54E4"/>
    <w:rsid w:val="00DF6537"/>
    <w:rsid w:val="00DF6A00"/>
    <w:rsid w:val="00DF72D9"/>
    <w:rsid w:val="00DF7C06"/>
    <w:rsid w:val="00DF7DF3"/>
    <w:rsid w:val="00DF7EC8"/>
    <w:rsid w:val="00E00EC3"/>
    <w:rsid w:val="00E028ED"/>
    <w:rsid w:val="00E02A5D"/>
    <w:rsid w:val="00E0499F"/>
    <w:rsid w:val="00E0682E"/>
    <w:rsid w:val="00E06E31"/>
    <w:rsid w:val="00E104F6"/>
    <w:rsid w:val="00E10748"/>
    <w:rsid w:val="00E109BD"/>
    <w:rsid w:val="00E11282"/>
    <w:rsid w:val="00E123CC"/>
    <w:rsid w:val="00E12ED3"/>
    <w:rsid w:val="00E12F57"/>
    <w:rsid w:val="00E14282"/>
    <w:rsid w:val="00E155D8"/>
    <w:rsid w:val="00E156F2"/>
    <w:rsid w:val="00E17436"/>
    <w:rsid w:val="00E17728"/>
    <w:rsid w:val="00E17D55"/>
    <w:rsid w:val="00E17FA7"/>
    <w:rsid w:val="00E2250E"/>
    <w:rsid w:val="00E22FE4"/>
    <w:rsid w:val="00E24BF5"/>
    <w:rsid w:val="00E25494"/>
    <w:rsid w:val="00E256C4"/>
    <w:rsid w:val="00E25982"/>
    <w:rsid w:val="00E2674B"/>
    <w:rsid w:val="00E272DC"/>
    <w:rsid w:val="00E27DDF"/>
    <w:rsid w:val="00E27E01"/>
    <w:rsid w:val="00E30469"/>
    <w:rsid w:val="00E30A90"/>
    <w:rsid w:val="00E32C71"/>
    <w:rsid w:val="00E32DBA"/>
    <w:rsid w:val="00E34B25"/>
    <w:rsid w:val="00E3553C"/>
    <w:rsid w:val="00E35655"/>
    <w:rsid w:val="00E401D4"/>
    <w:rsid w:val="00E40B85"/>
    <w:rsid w:val="00E4236F"/>
    <w:rsid w:val="00E433BE"/>
    <w:rsid w:val="00E43469"/>
    <w:rsid w:val="00E4369C"/>
    <w:rsid w:val="00E43A0F"/>
    <w:rsid w:val="00E445DA"/>
    <w:rsid w:val="00E45379"/>
    <w:rsid w:val="00E465CB"/>
    <w:rsid w:val="00E47C0D"/>
    <w:rsid w:val="00E47D4C"/>
    <w:rsid w:val="00E50B22"/>
    <w:rsid w:val="00E51263"/>
    <w:rsid w:val="00E51E18"/>
    <w:rsid w:val="00E5287B"/>
    <w:rsid w:val="00E52F9B"/>
    <w:rsid w:val="00E533BD"/>
    <w:rsid w:val="00E53706"/>
    <w:rsid w:val="00E56FE1"/>
    <w:rsid w:val="00E57CE2"/>
    <w:rsid w:val="00E60E5A"/>
    <w:rsid w:val="00E617BD"/>
    <w:rsid w:val="00E61CA8"/>
    <w:rsid w:val="00E61E05"/>
    <w:rsid w:val="00E64BD9"/>
    <w:rsid w:val="00E6519C"/>
    <w:rsid w:val="00E65B7C"/>
    <w:rsid w:val="00E660AA"/>
    <w:rsid w:val="00E661F3"/>
    <w:rsid w:val="00E67E50"/>
    <w:rsid w:val="00E705B4"/>
    <w:rsid w:val="00E71C8B"/>
    <w:rsid w:val="00E7233D"/>
    <w:rsid w:val="00E72967"/>
    <w:rsid w:val="00E75472"/>
    <w:rsid w:val="00E77E5E"/>
    <w:rsid w:val="00E80DA7"/>
    <w:rsid w:val="00E8155D"/>
    <w:rsid w:val="00E82615"/>
    <w:rsid w:val="00E84132"/>
    <w:rsid w:val="00E84A66"/>
    <w:rsid w:val="00E84AD7"/>
    <w:rsid w:val="00E85CC0"/>
    <w:rsid w:val="00E861B4"/>
    <w:rsid w:val="00E905B8"/>
    <w:rsid w:val="00E90627"/>
    <w:rsid w:val="00E9193D"/>
    <w:rsid w:val="00E958AD"/>
    <w:rsid w:val="00E96E1A"/>
    <w:rsid w:val="00EA0E04"/>
    <w:rsid w:val="00EA1A98"/>
    <w:rsid w:val="00EA200D"/>
    <w:rsid w:val="00EA220D"/>
    <w:rsid w:val="00EA3156"/>
    <w:rsid w:val="00EA34A1"/>
    <w:rsid w:val="00EA40A2"/>
    <w:rsid w:val="00EA4CD5"/>
    <w:rsid w:val="00EA5D2C"/>
    <w:rsid w:val="00EA5D8E"/>
    <w:rsid w:val="00EA5D9F"/>
    <w:rsid w:val="00EA7E07"/>
    <w:rsid w:val="00EB07CF"/>
    <w:rsid w:val="00EB0D0E"/>
    <w:rsid w:val="00EB1363"/>
    <w:rsid w:val="00EB266C"/>
    <w:rsid w:val="00EB3337"/>
    <w:rsid w:val="00EB36EC"/>
    <w:rsid w:val="00EB3B88"/>
    <w:rsid w:val="00EB3BB1"/>
    <w:rsid w:val="00EB4A02"/>
    <w:rsid w:val="00EC0928"/>
    <w:rsid w:val="00EC0C14"/>
    <w:rsid w:val="00EC2B42"/>
    <w:rsid w:val="00EC3B8F"/>
    <w:rsid w:val="00EC5CA0"/>
    <w:rsid w:val="00EC7372"/>
    <w:rsid w:val="00ED00D7"/>
    <w:rsid w:val="00ED0ADC"/>
    <w:rsid w:val="00ED107F"/>
    <w:rsid w:val="00ED19D1"/>
    <w:rsid w:val="00ED2AC0"/>
    <w:rsid w:val="00ED30E8"/>
    <w:rsid w:val="00ED36D0"/>
    <w:rsid w:val="00ED3B69"/>
    <w:rsid w:val="00ED3CF9"/>
    <w:rsid w:val="00ED3ECA"/>
    <w:rsid w:val="00ED3F39"/>
    <w:rsid w:val="00ED4492"/>
    <w:rsid w:val="00ED63AE"/>
    <w:rsid w:val="00ED646D"/>
    <w:rsid w:val="00ED6CD1"/>
    <w:rsid w:val="00ED6EE7"/>
    <w:rsid w:val="00ED76D1"/>
    <w:rsid w:val="00ED7A42"/>
    <w:rsid w:val="00EE0395"/>
    <w:rsid w:val="00EE1D80"/>
    <w:rsid w:val="00EE1EE0"/>
    <w:rsid w:val="00EE2BFB"/>
    <w:rsid w:val="00EE2EEA"/>
    <w:rsid w:val="00EE5F2E"/>
    <w:rsid w:val="00EF07AB"/>
    <w:rsid w:val="00EF16DB"/>
    <w:rsid w:val="00EF1F54"/>
    <w:rsid w:val="00EF2C2D"/>
    <w:rsid w:val="00EF4537"/>
    <w:rsid w:val="00EF4A64"/>
    <w:rsid w:val="00EF4D52"/>
    <w:rsid w:val="00EF54EA"/>
    <w:rsid w:val="00F016F0"/>
    <w:rsid w:val="00F02171"/>
    <w:rsid w:val="00F0260C"/>
    <w:rsid w:val="00F03228"/>
    <w:rsid w:val="00F033EF"/>
    <w:rsid w:val="00F04076"/>
    <w:rsid w:val="00F04B15"/>
    <w:rsid w:val="00F0528B"/>
    <w:rsid w:val="00F061A6"/>
    <w:rsid w:val="00F06B3A"/>
    <w:rsid w:val="00F0710C"/>
    <w:rsid w:val="00F07A3A"/>
    <w:rsid w:val="00F07A69"/>
    <w:rsid w:val="00F07C58"/>
    <w:rsid w:val="00F11AB3"/>
    <w:rsid w:val="00F11E70"/>
    <w:rsid w:val="00F1286E"/>
    <w:rsid w:val="00F12B32"/>
    <w:rsid w:val="00F14017"/>
    <w:rsid w:val="00F14D17"/>
    <w:rsid w:val="00F1608F"/>
    <w:rsid w:val="00F1684C"/>
    <w:rsid w:val="00F16DC0"/>
    <w:rsid w:val="00F16EA7"/>
    <w:rsid w:val="00F20633"/>
    <w:rsid w:val="00F21A93"/>
    <w:rsid w:val="00F21DD6"/>
    <w:rsid w:val="00F225C9"/>
    <w:rsid w:val="00F24372"/>
    <w:rsid w:val="00F249E5"/>
    <w:rsid w:val="00F24CE9"/>
    <w:rsid w:val="00F251E7"/>
    <w:rsid w:val="00F25CFE"/>
    <w:rsid w:val="00F26CC2"/>
    <w:rsid w:val="00F302FE"/>
    <w:rsid w:val="00F31CC8"/>
    <w:rsid w:val="00F321B1"/>
    <w:rsid w:val="00F33758"/>
    <w:rsid w:val="00F346C1"/>
    <w:rsid w:val="00F35243"/>
    <w:rsid w:val="00F36E9F"/>
    <w:rsid w:val="00F41B19"/>
    <w:rsid w:val="00F41BBB"/>
    <w:rsid w:val="00F41BDB"/>
    <w:rsid w:val="00F425D5"/>
    <w:rsid w:val="00F42AB5"/>
    <w:rsid w:val="00F42F01"/>
    <w:rsid w:val="00F43E6E"/>
    <w:rsid w:val="00F43EBF"/>
    <w:rsid w:val="00F44423"/>
    <w:rsid w:val="00F454F8"/>
    <w:rsid w:val="00F4653F"/>
    <w:rsid w:val="00F466DE"/>
    <w:rsid w:val="00F50BE6"/>
    <w:rsid w:val="00F51236"/>
    <w:rsid w:val="00F51438"/>
    <w:rsid w:val="00F516D0"/>
    <w:rsid w:val="00F51CBF"/>
    <w:rsid w:val="00F533AB"/>
    <w:rsid w:val="00F5374C"/>
    <w:rsid w:val="00F541B8"/>
    <w:rsid w:val="00F55329"/>
    <w:rsid w:val="00F55D63"/>
    <w:rsid w:val="00F56368"/>
    <w:rsid w:val="00F56B6D"/>
    <w:rsid w:val="00F56CC2"/>
    <w:rsid w:val="00F57689"/>
    <w:rsid w:val="00F57CD4"/>
    <w:rsid w:val="00F60105"/>
    <w:rsid w:val="00F60B07"/>
    <w:rsid w:val="00F60BC0"/>
    <w:rsid w:val="00F615A8"/>
    <w:rsid w:val="00F61B7F"/>
    <w:rsid w:val="00F62370"/>
    <w:rsid w:val="00F62750"/>
    <w:rsid w:val="00F628D3"/>
    <w:rsid w:val="00F62EF2"/>
    <w:rsid w:val="00F638C3"/>
    <w:rsid w:val="00F6497E"/>
    <w:rsid w:val="00F65227"/>
    <w:rsid w:val="00F65512"/>
    <w:rsid w:val="00F66B06"/>
    <w:rsid w:val="00F671D1"/>
    <w:rsid w:val="00F677E2"/>
    <w:rsid w:val="00F67B74"/>
    <w:rsid w:val="00F70830"/>
    <w:rsid w:val="00F70C89"/>
    <w:rsid w:val="00F70FBD"/>
    <w:rsid w:val="00F71320"/>
    <w:rsid w:val="00F714A9"/>
    <w:rsid w:val="00F717E6"/>
    <w:rsid w:val="00F73751"/>
    <w:rsid w:val="00F73DC5"/>
    <w:rsid w:val="00F75EAD"/>
    <w:rsid w:val="00F76073"/>
    <w:rsid w:val="00F77154"/>
    <w:rsid w:val="00F772D5"/>
    <w:rsid w:val="00F779B0"/>
    <w:rsid w:val="00F77E2E"/>
    <w:rsid w:val="00F80243"/>
    <w:rsid w:val="00F80F33"/>
    <w:rsid w:val="00F84001"/>
    <w:rsid w:val="00F846D6"/>
    <w:rsid w:val="00F86059"/>
    <w:rsid w:val="00F86997"/>
    <w:rsid w:val="00F86C20"/>
    <w:rsid w:val="00F871D7"/>
    <w:rsid w:val="00F9173A"/>
    <w:rsid w:val="00F91800"/>
    <w:rsid w:val="00F93469"/>
    <w:rsid w:val="00F93AF9"/>
    <w:rsid w:val="00F942BD"/>
    <w:rsid w:val="00F94E99"/>
    <w:rsid w:val="00F9540C"/>
    <w:rsid w:val="00F960D5"/>
    <w:rsid w:val="00F9650A"/>
    <w:rsid w:val="00F967C7"/>
    <w:rsid w:val="00FA0437"/>
    <w:rsid w:val="00FA1166"/>
    <w:rsid w:val="00FA206B"/>
    <w:rsid w:val="00FA233F"/>
    <w:rsid w:val="00FA2E05"/>
    <w:rsid w:val="00FA3DF0"/>
    <w:rsid w:val="00FA7547"/>
    <w:rsid w:val="00FA7D57"/>
    <w:rsid w:val="00FB0008"/>
    <w:rsid w:val="00FB029E"/>
    <w:rsid w:val="00FB071C"/>
    <w:rsid w:val="00FB1030"/>
    <w:rsid w:val="00FB1ACE"/>
    <w:rsid w:val="00FB1B08"/>
    <w:rsid w:val="00FB2A36"/>
    <w:rsid w:val="00FB3EA0"/>
    <w:rsid w:val="00FB55F4"/>
    <w:rsid w:val="00FB58D8"/>
    <w:rsid w:val="00FB5C1A"/>
    <w:rsid w:val="00FB5E6F"/>
    <w:rsid w:val="00FB677F"/>
    <w:rsid w:val="00FB7115"/>
    <w:rsid w:val="00FB7140"/>
    <w:rsid w:val="00FC0B63"/>
    <w:rsid w:val="00FC12ED"/>
    <w:rsid w:val="00FC1748"/>
    <w:rsid w:val="00FC1EEB"/>
    <w:rsid w:val="00FC2209"/>
    <w:rsid w:val="00FC4367"/>
    <w:rsid w:val="00FC6F8C"/>
    <w:rsid w:val="00FC7531"/>
    <w:rsid w:val="00FC7EAA"/>
    <w:rsid w:val="00FD05F2"/>
    <w:rsid w:val="00FD3C34"/>
    <w:rsid w:val="00FD49A2"/>
    <w:rsid w:val="00FD4FA5"/>
    <w:rsid w:val="00FD5166"/>
    <w:rsid w:val="00FD6CDE"/>
    <w:rsid w:val="00FD758C"/>
    <w:rsid w:val="00FE19D5"/>
    <w:rsid w:val="00FE3D58"/>
    <w:rsid w:val="00FE62DC"/>
    <w:rsid w:val="00FE731D"/>
    <w:rsid w:val="00FF05B9"/>
    <w:rsid w:val="00FF0EB1"/>
    <w:rsid w:val="00FF30DE"/>
    <w:rsid w:val="00FF456A"/>
    <w:rsid w:val="00FF46FD"/>
    <w:rsid w:val="00FF6204"/>
    <w:rsid w:val="00FF634D"/>
    <w:rsid w:val="6E0A5F70"/>
    <w:rsid w:val="78FB70C1"/>
  </w:rsids>
  <m:mathPr>
    <m:mathFont m:val="Cambria Math"/>
    <m:brkBin m:val="before"/>
    <m:brkBinSub m:val="--"/>
    <m:smallFrac/>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1C92F87A"/>
  <w15:docId w15:val="{A6048244-DB7A-4924-BD1D-0929A02DB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unhideWhenUsed="1" w:qFormat="1"/>
    <w:lsdException w:name="List 5" w:semiHidden="1" w:unhideWhenUsed="1"/>
    <w:lsdException w:name="List Bullet 2"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nhideWhenUsed="1" w:qFormat="1"/>
    <w:lsdException w:name="Date" w:semiHidden="1" w:unhideWhenUsed="1"/>
    <w:lsdException w:name="Body Text First Indent" w:semiHidden="1" w:unhideWhenUsed="1"/>
    <w:lsdException w:name="Body Text First Indent 2"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rFonts w:eastAsia="Times New Roman"/>
      <w:lang w:eastAsia="es-ES"/>
    </w:rPr>
  </w:style>
  <w:style w:type="paragraph" w:styleId="Ttulo1">
    <w:name w:val="heading 1"/>
    <w:basedOn w:val="Normal"/>
    <w:next w:val="Normal"/>
    <w:link w:val="Ttulo1C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E643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8E6432"/>
    <w:pPr>
      <w:keepNext/>
      <w:keepLines/>
      <w:spacing w:before="40"/>
      <w:outlineLvl w:val="2"/>
    </w:pPr>
    <w:rPr>
      <w:rFonts w:asciiTheme="majorHAnsi" w:eastAsiaTheme="majorEastAsia" w:hAnsiTheme="majorHAnsi" w:cstheme="majorBidi"/>
      <w:color w:val="1F3763" w:themeColor="accent1" w:themeShade="7F"/>
      <w:sz w:val="24"/>
      <w:szCs w:val="24"/>
      <w:lang w:val="es-ES_tradnl"/>
    </w:rPr>
  </w:style>
  <w:style w:type="paragraph" w:styleId="Ttulo4">
    <w:name w:val="heading 4"/>
    <w:basedOn w:val="Normal"/>
    <w:next w:val="Normal"/>
    <w:link w:val="Ttulo4Car"/>
    <w:uiPriority w:val="9"/>
    <w:unhideWhenUsed/>
    <w:qFormat/>
    <w:rsid w:val="008E6432"/>
    <w:pPr>
      <w:keepNext/>
      <w:keepLines/>
      <w:spacing w:before="40"/>
      <w:outlineLvl w:val="3"/>
    </w:pPr>
    <w:rPr>
      <w:rFonts w:asciiTheme="majorHAnsi" w:eastAsiaTheme="majorEastAsia" w:hAnsiTheme="majorHAnsi" w:cstheme="majorBidi"/>
      <w:i/>
      <w:iCs/>
      <w:color w:val="2F5496" w:themeColor="accent1" w:themeShade="B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Pr>
      <w:rFonts w:ascii="Calibri" w:eastAsia="Calibri" w:hAnsi="Calibri"/>
      <w:lang w:eastAsia="en-US"/>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style>
  <w:style w:type="paragraph" w:styleId="Textodeglobo">
    <w:name w:val="Balloon Text"/>
    <w:basedOn w:val="Normal"/>
    <w:link w:val="TextodegloboCar"/>
    <w:uiPriority w:val="99"/>
    <w:semiHidden/>
    <w:unhideWhenUsed/>
    <w:qFormat/>
    <w:rPr>
      <w:rFonts w:ascii="Segoe UI" w:hAnsi="Segoe UI" w:cs="Segoe UI"/>
      <w:sz w:val="18"/>
      <w:szCs w:val="18"/>
    </w:rPr>
  </w:style>
  <w:style w:type="paragraph" w:styleId="Lista3">
    <w:name w:val="List 3"/>
    <w:basedOn w:val="Normal"/>
    <w:uiPriority w:val="99"/>
    <w:unhideWhenUsed/>
    <w:qFormat/>
    <w:pPr>
      <w:ind w:left="849" w:hanging="283"/>
      <w:contextualSpacing/>
    </w:pPr>
  </w:style>
  <w:style w:type="paragraph" w:styleId="Encabezado">
    <w:name w:val="header"/>
    <w:basedOn w:val="Normal"/>
    <w:link w:val="EncabezadoCar"/>
    <w:uiPriority w:val="99"/>
    <w:unhideWhenUsed/>
    <w:qFormat/>
    <w:pPr>
      <w:tabs>
        <w:tab w:val="center" w:pos="4419"/>
        <w:tab w:val="right" w:pos="8838"/>
      </w:tabs>
    </w:pPr>
  </w:style>
  <w:style w:type="paragraph" w:styleId="HTMLconformatoprevio">
    <w:name w:val="HTML Preformatted"/>
    <w:basedOn w:val="Normal"/>
    <w:link w:val="HTMLconformatoprevioC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paragraph" w:styleId="Sangradetextonormal">
    <w:name w:val="Body Text Indent"/>
    <w:basedOn w:val="Normal"/>
    <w:link w:val="SangradetextonormalCar"/>
    <w:uiPriority w:val="99"/>
    <w:unhideWhenUsed/>
    <w:qFormat/>
    <w:pPr>
      <w:spacing w:after="120"/>
      <w:ind w:left="283"/>
    </w:pPr>
  </w:style>
  <w:style w:type="paragraph" w:styleId="Lista2">
    <w:name w:val="List 2"/>
    <w:basedOn w:val="Normal"/>
    <w:uiPriority w:val="99"/>
    <w:unhideWhenUsed/>
    <w:qFormat/>
    <w:pPr>
      <w:ind w:left="566" w:hanging="283"/>
      <w:contextualSpacing/>
    </w:pPr>
  </w:style>
  <w:style w:type="paragraph" w:styleId="Lista">
    <w:name w:val="List"/>
    <w:basedOn w:val="Normal"/>
    <w:uiPriority w:val="99"/>
    <w:unhideWhenUsed/>
    <w:qFormat/>
    <w:pPr>
      <w:ind w:left="283" w:hanging="283"/>
      <w:contextualSpacing/>
    </w:pPr>
  </w:style>
  <w:style w:type="paragraph" w:styleId="Lista4">
    <w:name w:val="List 4"/>
    <w:basedOn w:val="Normal"/>
    <w:uiPriority w:val="99"/>
    <w:unhideWhenUsed/>
    <w:qFormat/>
    <w:pPr>
      <w:ind w:left="1132" w:hanging="283"/>
      <w:contextualSpacing/>
    </w:pPr>
  </w:style>
  <w:style w:type="paragraph" w:styleId="Listaconvietas2">
    <w:name w:val="List Bullet 2"/>
    <w:basedOn w:val="Normal"/>
    <w:uiPriority w:val="99"/>
    <w:unhideWhenUsed/>
    <w:qFormat/>
    <w:pPr>
      <w:numPr>
        <w:numId w:val="1"/>
      </w:numPr>
      <w:contextualSpacing/>
    </w:pPr>
  </w:style>
  <w:style w:type="paragraph" w:styleId="Piedepgina">
    <w:name w:val="footer"/>
    <w:basedOn w:val="Normal"/>
    <w:link w:val="PiedepginaCar"/>
    <w:uiPriority w:val="99"/>
    <w:unhideWhenUsed/>
    <w:qFormat/>
    <w:pPr>
      <w:tabs>
        <w:tab w:val="center" w:pos="4419"/>
        <w:tab w:val="right" w:pos="8838"/>
      </w:tabs>
    </w:pPr>
  </w:style>
  <w:style w:type="paragraph" w:styleId="Saludo">
    <w:name w:val="Salutation"/>
    <w:basedOn w:val="Normal"/>
    <w:next w:val="Normal"/>
    <w:link w:val="SaludoCar"/>
    <w:uiPriority w:val="99"/>
    <w:unhideWhenUsed/>
    <w:qFormat/>
  </w:style>
  <w:style w:type="paragraph" w:styleId="Textoindependiente">
    <w:name w:val="Body Text"/>
    <w:basedOn w:val="Normal"/>
    <w:link w:val="TextoindependienteCar"/>
    <w:uiPriority w:val="99"/>
    <w:unhideWhenUsed/>
    <w:qFormat/>
    <w:pPr>
      <w:spacing w:after="120"/>
    </w:pPr>
  </w:style>
  <w:style w:type="paragraph" w:styleId="Textoindependienteprimerasangra2">
    <w:name w:val="Body Text First Indent 2"/>
    <w:basedOn w:val="Sangradetextonormal"/>
    <w:link w:val="Textoindependienteprimerasangra2Car"/>
    <w:uiPriority w:val="99"/>
    <w:unhideWhenUsed/>
    <w:qFormat/>
    <w:pPr>
      <w:spacing w:after="0"/>
      <w:ind w:left="360" w:firstLine="360"/>
    </w:pPr>
  </w:style>
  <w:style w:type="paragraph" w:styleId="Ttulo">
    <w:name w:val="Title"/>
    <w:basedOn w:val="Normal"/>
    <w:next w:val="Normal"/>
    <w:link w:val="TtuloCar"/>
    <w:uiPriority w:val="10"/>
    <w:qFormat/>
    <w:pPr>
      <w:contextualSpacing/>
    </w:pPr>
    <w:rPr>
      <w:rFonts w:asciiTheme="majorHAnsi" w:eastAsiaTheme="majorEastAsia" w:hAnsiTheme="majorHAnsi" w:cstheme="majorBidi"/>
      <w:spacing w:val="-10"/>
      <w:kern w:val="28"/>
      <w:sz w:val="56"/>
      <w:szCs w:val="56"/>
    </w:rPr>
  </w:style>
  <w:style w:type="character" w:styleId="Refdecomentario">
    <w:name w:val="annotation reference"/>
    <w:basedOn w:val="Fuentedeprrafopredeter"/>
    <w:uiPriority w:val="99"/>
    <w:semiHidden/>
    <w:unhideWhenUsed/>
    <w:qFormat/>
    <w:rPr>
      <w:sz w:val="16"/>
      <w:szCs w:val="16"/>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Pr>
      <w:color w:val="0563C1" w:themeColor="hyperlink"/>
      <w:u w:val="single"/>
    </w:rPr>
  </w:style>
  <w:style w:type="character" w:styleId="Hipervnculovisitado">
    <w:name w:val="FollowedHyperlink"/>
    <w:basedOn w:val="Fuentedeprrafopredeter"/>
    <w:uiPriority w:val="99"/>
    <w:semiHidden/>
    <w:unhideWhenUsed/>
    <w:qFormat/>
    <w:rPr>
      <w:color w:val="954F72" w:themeColor="followedHyperlink"/>
      <w:u w:val="single"/>
    </w:rPr>
  </w:style>
  <w:style w:type="character" w:styleId="Textoennegrita">
    <w:name w:val="Strong"/>
    <w:uiPriority w:val="22"/>
    <w:qFormat/>
    <w:rPr>
      <w:b/>
      <w:bCs/>
    </w:rPr>
  </w:style>
  <w:style w:type="table" w:styleId="Tablaconcuadrcula">
    <w:name w:val="Table Grid"/>
    <w:basedOn w:val="Tablanormal"/>
    <w:uiPriority w:val="39"/>
    <w:qFormat/>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Pr>
      <w:rFonts w:asciiTheme="majorHAnsi" w:eastAsiaTheme="majorEastAsia" w:hAnsiTheme="majorHAnsi" w:cstheme="majorBidi"/>
      <w:color w:val="2F5496" w:themeColor="accent1" w:themeShade="BF"/>
      <w:sz w:val="32"/>
      <w:szCs w:val="32"/>
      <w:lang w:val="es-ES" w:eastAsia="es-ES"/>
    </w:rPr>
  </w:style>
  <w:style w:type="character" w:customStyle="1" w:styleId="EncabezadoCar">
    <w:name w:val="Encabezado Car"/>
    <w:basedOn w:val="Fuentedeprrafopredeter"/>
    <w:link w:val="Encabezado"/>
    <w:uiPriority w:val="99"/>
    <w:qFormat/>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qFormat/>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Pr>
      <w:rFonts w:ascii="Century Gothic" w:eastAsia="Times New Roman" w:hAnsi="Century Gothic" w:cs="Times New Roman"/>
      <w:szCs w:val="24"/>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Pr>
      <w:rFonts w:ascii="Calibri" w:eastAsia="Calibri" w:hAnsi="Calibri" w:cs="Times New Roman"/>
      <w:sz w:val="20"/>
      <w:szCs w:val="20"/>
    </w:rPr>
  </w:style>
  <w:style w:type="character" w:customStyle="1" w:styleId="TextodegloboCar">
    <w:name w:val="Texto de globo Car"/>
    <w:basedOn w:val="Fuentedeprrafopredeter"/>
    <w:link w:val="Textodeglobo"/>
    <w:uiPriority w:val="99"/>
    <w:semiHidden/>
    <w:qFormat/>
    <w:rPr>
      <w:rFonts w:ascii="Segoe UI" w:eastAsia="Times New Roman" w:hAnsi="Segoe UI" w:cs="Segoe UI"/>
      <w:sz w:val="18"/>
      <w:szCs w:val="18"/>
      <w:lang w:val="es-ES" w:eastAsia="es-ES"/>
    </w:rPr>
  </w:style>
  <w:style w:type="character" w:customStyle="1" w:styleId="TextocomentarioCar">
    <w:name w:val="Texto comentario Car"/>
    <w:basedOn w:val="Fuentedeprrafopredeter"/>
    <w:link w:val="Textocomentario"/>
    <w:uiPriority w:val="99"/>
    <w:semiHidden/>
    <w:qFormat/>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qFormat/>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qFormat/>
    <w:rPr>
      <w:color w:val="2B579A"/>
      <w:shd w:val="clear" w:color="auto" w:fill="E6E6E6"/>
    </w:rPr>
  </w:style>
  <w:style w:type="character" w:customStyle="1" w:styleId="Mencionar2">
    <w:name w:val="Mencionar2"/>
    <w:basedOn w:val="Fuentedeprrafopredeter"/>
    <w:uiPriority w:val="99"/>
    <w:semiHidden/>
    <w:unhideWhenUsed/>
    <w:qFormat/>
    <w:rPr>
      <w:color w:val="2B579A"/>
      <w:shd w:val="clear" w:color="auto" w:fill="E6E6E6"/>
    </w:rPr>
  </w:style>
  <w:style w:type="character" w:customStyle="1" w:styleId="maestrofonttexto">
    <w:name w:val="maestro_fonttexto"/>
    <w:basedOn w:val="Fuentedeprrafopredeter"/>
    <w:qFormat/>
  </w:style>
  <w:style w:type="character" w:customStyle="1" w:styleId="HTMLconformatoprevioCar">
    <w:name w:val="HTML con formato previo Car"/>
    <w:basedOn w:val="Fuentedeprrafopredeter"/>
    <w:link w:val="HTMLconformatoprevio"/>
    <w:uiPriority w:val="99"/>
    <w:semiHidden/>
    <w:qFormat/>
    <w:rPr>
      <w:rFonts w:ascii="Courier New" w:eastAsia="Times New Roman" w:hAnsi="Courier New" w:cs="Courier New"/>
      <w:sz w:val="20"/>
      <w:szCs w:val="20"/>
      <w:lang w:eastAsia="es-MX"/>
    </w:rPr>
  </w:style>
  <w:style w:type="paragraph" w:customStyle="1" w:styleId="Default">
    <w:name w:val="Default"/>
    <w:qFormat/>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CharacterStyle1">
    <w:name w:val="Character Style 1"/>
    <w:uiPriority w:val="99"/>
    <w:qFormat/>
    <w:rPr>
      <w:sz w:val="20"/>
      <w:szCs w:val="20"/>
    </w:rPr>
  </w:style>
  <w:style w:type="paragraph" w:customStyle="1" w:styleId="Estilo1">
    <w:name w:val="Estilo1"/>
    <w:basedOn w:val="Textoindependiente"/>
    <w:qFormat/>
  </w:style>
  <w:style w:type="character" w:customStyle="1" w:styleId="TextoindependienteCar">
    <w:name w:val="Texto independiente Car"/>
    <w:basedOn w:val="Fuentedeprrafopredeter"/>
    <w:link w:val="Textoindependiente"/>
    <w:uiPriority w:val="99"/>
    <w:qFormat/>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pPr>
      <w:spacing w:after="0" w:line="240" w:lineRule="auto"/>
      <w:ind w:left="567" w:right="567"/>
      <w:jc w:val="both"/>
    </w:pPr>
    <w:rPr>
      <w:rFonts w:ascii="Arial" w:eastAsia="Batang" w:hAnsi="Arial"/>
      <w:szCs w:val="24"/>
      <w:lang w:eastAsia="es-ES"/>
    </w:rPr>
  </w:style>
  <w:style w:type="character" w:customStyle="1" w:styleId="SinespaciadoCar">
    <w:name w:val="Sin espaciado Car"/>
    <w:aliases w:val="Francesa Car,INAI Car"/>
    <w:basedOn w:val="Fuentedeprrafopredeter"/>
    <w:link w:val="Sinespaciado"/>
    <w:uiPriority w:val="1"/>
    <w:qFormat/>
    <w:rPr>
      <w:rFonts w:ascii="Arial" w:eastAsia="Batang" w:hAnsi="Arial" w:cs="Times New Roman"/>
      <w:sz w:val="20"/>
      <w:szCs w:val="24"/>
      <w:lang w:eastAsia="es-ES"/>
    </w:rPr>
  </w:style>
  <w:style w:type="character" w:customStyle="1" w:styleId="SaludoCar">
    <w:name w:val="Saludo Car"/>
    <w:basedOn w:val="Fuentedeprrafopredeter"/>
    <w:link w:val="Saludo"/>
    <w:uiPriority w:val="99"/>
    <w:qFormat/>
    <w:rPr>
      <w:rFonts w:ascii="Times New Roman" w:eastAsia="Times New Roman" w:hAnsi="Times New Roman" w:cs="Times New Roman"/>
      <w:sz w:val="20"/>
      <w:szCs w:val="20"/>
      <w:lang w:val="es-ES" w:eastAsia="es-ES"/>
    </w:rPr>
  </w:style>
  <w:style w:type="character" w:customStyle="1" w:styleId="TtuloCar">
    <w:name w:val="Título Car"/>
    <w:basedOn w:val="Fuentedeprrafopredeter"/>
    <w:link w:val="Ttulo"/>
    <w:uiPriority w:val="10"/>
    <w:qFormat/>
    <w:rPr>
      <w:rFonts w:asciiTheme="majorHAnsi" w:eastAsiaTheme="majorEastAsia" w:hAnsiTheme="majorHAnsi" w:cstheme="majorBidi"/>
      <w:spacing w:val="-10"/>
      <w:kern w:val="28"/>
      <w:sz w:val="56"/>
      <w:szCs w:val="56"/>
      <w:lang w:val="es-ES" w:eastAsia="es-ES"/>
    </w:rPr>
  </w:style>
  <w:style w:type="character" w:customStyle="1" w:styleId="SangradetextonormalCar">
    <w:name w:val="Sangría de texto normal Car"/>
    <w:basedOn w:val="Fuentedeprrafopredeter"/>
    <w:link w:val="Sangradetextonormal"/>
    <w:uiPriority w:val="99"/>
    <w:qFormat/>
    <w:rPr>
      <w:rFonts w:ascii="Times New Roman" w:eastAsia="Times New Roman" w:hAnsi="Times New Roman" w:cs="Times New Roman"/>
      <w:sz w:val="20"/>
      <w:szCs w:val="20"/>
      <w:lang w:val="es-ES" w:eastAsia="es-ES"/>
    </w:rPr>
  </w:style>
  <w:style w:type="character" w:customStyle="1" w:styleId="Textoindependienteprimerasangra2Car">
    <w:name w:val="Texto independiente primera sangría 2 Car"/>
    <w:basedOn w:val="SangradetextonormalCar"/>
    <w:link w:val="Textoindependienteprimerasangra2"/>
    <w:uiPriority w:val="99"/>
    <w:qFormat/>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qFormat/>
    <w:rPr>
      <w:color w:val="2B579A"/>
      <w:shd w:val="clear" w:color="auto" w:fill="E6E6E6"/>
    </w:rPr>
  </w:style>
  <w:style w:type="character" w:customStyle="1" w:styleId="Mencionar4">
    <w:name w:val="Mencionar4"/>
    <w:basedOn w:val="Fuentedeprrafopredeter"/>
    <w:uiPriority w:val="99"/>
    <w:semiHidden/>
    <w:unhideWhenUsed/>
    <w:qFormat/>
    <w:rPr>
      <w:color w:val="2B579A"/>
      <w:shd w:val="clear" w:color="auto" w:fill="E6E6E6"/>
    </w:rPr>
  </w:style>
  <w:style w:type="character" w:customStyle="1" w:styleId="maestrofonttexto1">
    <w:name w:val="maestro_fonttexto1"/>
    <w:basedOn w:val="Fuentedeprrafopredeter"/>
    <w:qFormat/>
    <w:rPr>
      <w:rFonts w:ascii="Arial" w:hAnsi="Arial" w:cs="Arial" w:hint="default"/>
      <w:sz w:val="15"/>
      <w:szCs w:val="15"/>
    </w:rPr>
  </w:style>
  <w:style w:type="character" w:customStyle="1" w:styleId="apple-converted-space">
    <w:name w:val="apple-converted-space"/>
    <w:basedOn w:val="Fuentedeprrafopredeter"/>
    <w:qFormat/>
  </w:style>
  <w:style w:type="table" w:customStyle="1" w:styleId="Tablaconcuadrcula1">
    <w:name w:val="Tabla con cuadrícula1"/>
    <w:basedOn w:val="Tablanormal"/>
    <w:uiPriority w:val="59"/>
    <w:qFormat/>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8E6432"/>
    <w:rPr>
      <w:rFonts w:asciiTheme="majorHAnsi" w:eastAsiaTheme="majorEastAsia" w:hAnsiTheme="majorHAnsi" w:cstheme="majorBidi"/>
      <w:color w:val="2F5496" w:themeColor="accent1" w:themeShade="BF"/>
      <w:sz w:val="26"/>
      <w:szCs w:val="26"/>
      <w:lang w:eastAsia="es-ES"/>
    </w:rPr>
  </w:style>
  <w:style w:type="character" w:customStyle="1" w:styleId="Ttulo3Car">
    <w:name w:val="Título 3 Car"/>
    <w:basedOn w:val="Fuentedeprrafopredeter"/>
    <w:link w:val="Ttulo3"/>
    <w:uiPriority w:val="9"/>
    <w:rsid w:val="008E6432"/>
    <w:rPr>
      <w:rFonts w:asciiTheme="majorHAnsi" w:eastAsiaTheme="majorEastAsia" w:hAnsiTheme="majorHAnsi" w:cstheme="majorBidi"/>
      <w:color w:val="1F3763" w:themeColor="accent1" w:themeShade="7F"/>
      <w:sz w:val="24"/>
      <w:szCs w:val="24"/>
      <w:lang w:val="es-ES_tradnl" w:eastAsia="es-ES"/>
    </w:rPr>
  </w:style>
  <w:style w:type="character" w:customStyle="1" w:styleId="Ttulo4Car">
    <w:name w:val="Título 4 Car"/>
    <w:basedOn w:val="Fuentedeprrafopredeter"/>
    <w:link w:val="Ttulo4"/>
    <w:uiPriority w:val="9"/>
    <w:rsid w:val="008E6432"/>
    <w:rPr>
      <w:rFonts w:asciiTheme="majorHAnsi" w:eastAsiaTheme="majorEastAsia" w:hAnsiTheme="majorHAnsi" w:cstheme="majorBidi"/>
      <w:i/>
      <w:iCs/>
      <w:color w:val="2F5496" w:themeColor="accent1" w:themeShade="BF"/>
      <w:sz w:val="24"/>
      <w:szCs w:val="24"/>
      <w:lang w:val="es-ES_tradnl" w:eastAsia="es-ES"/>
    </w:rPr>
  </w:style>
  <w:style w:type="paragraph" w:styleId="TDC1">
    <w:name w:val="toc 1"/>
    <w:basedOn w:val="Normal"/>
    <w:next w:val="Normal"/>
    <w:autoRedefine/>
    <w:uiPriority w:val="39"/>
    <w:unhideWhenUsed/>
    <w:rsid w:val="008E6432"/>
    <w:pPr>
      <w:tabs>
        <w:tab w:val="right" w:leader="dot" w:pos="8779"/>
      </w:tabs>
      <w:spacing w:after="100"/>
      <w:ind w:left="142"/>
    </w:pPr>
    <w:rPr>
      <w:rFonts w:ascii="Palatino Linotype" w:eastAsiaTheme="minorEastAsia" w:hAnsi="Palatino Linotype" w:cstheme="minorBidi"/>
      <w:b/>
      <w:bCs/>
      <w:noProof/>
      <w:sz w:val="24"/>
      <w:szCs w:val="24"/>
      <w:lang w:val="es-ES_tradnl"/>
    </w:rPr>
  </w:style>
  <w:style w:type="paragraph" w:styleId="TDC2">
    <w:name w:val="toc 2"/>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styleId="TtuloTDC">
    <w:name w:val="TOC Heading"/>
    <w:basedOn w:val="Ttulo1"/>
    <w:next w:val="Normal"/>
    <w:uiPriority w:val="39"/>
    <w:unhideWhenUsed/>
    <w:qFormat/>
    <w:rsid w:val="008E6432"/>
    <w:pPr>
      <w:spacing w:line="259" w:lineRule="auto"/>
      <w:outlineLvl w:val="9"/>
    </w:pPr>
    <w:rPr>
      <w:rFonts w:ascii="Palatino Linotype" w:hAnsi="Palatino Linotype"/>
      <w:b/>
      <w:color w:val="auto"/>
      <w:sz w:val="24"/>
      <w:lang w:eastAsia="es-MX"/>
    </w:rPr>
  </w:style>
  <w:style w:type="paragraph" w:styleId="Textoindependiente2">
    <w:name w:val="Body Text 2"/>
    <w:basedOn w:val="Normal"/>
    <w:link w:val="Textoindependiente2Car"/>
    <w:uiPriority w:val="99"/>
    <w:semiHidden/>
    <w:unhideWhenUsed/>
    <w:rsid w:val="008E6432"/>
    <w:pPr>
      <w:spacing w:after="120" w:line="480" w:lineRule="auto"/>
    </w:pPr>
    <w:rPr>
      <w:rFonts w:asciiTheme="minorHAnsi" w:eastAsiaTheme="minorEastAsia" w:hAnsiTheme="minorHAnsi" w:cstheme="minorBidi"/>
      <w:sz w:val="24"/>
      <w:szCs w:val="24"/>
      <w:lang w:val="es-ES_tradnl"/>
    </w:rPr>
  </w:style>
  <w:style w:type="character" w:customStyle="1" w:styleId="Textoindependiente2Car">
    <w:name w:val="Texto independiente 2 Car"/>
    <w:basedOn w:val="Fuentedeprrafopredeter"/>
    <w:link w:val="Textoindependiente2"/>
    <w:uiPriority w:val="99"/>
    <w:semiHidden/>
    <w:rsid w:val="008E6432"/>
    <w:rPr>
      <w:rFonts w:asciiTheme="minorHAnsi" w:eastAsiaTheme="minorEastAsia" w:hAnsiTheme="minorHAnsi" w:cstheme="minorBidi"/>
      <w:sz w:val="24"/>
      <w:szCs w:val="24"/>
      <w:lang w:val="es-ES_tradnl" w:eastAsia="es-ES"/>
    </w:rPr>
  </w:style>
  <w:style w:type="paragraph" w:customStyle="1" w:styleId="Textonotapie1">
    <w:name w:val="Texto nota pie1"/>
    <w:basedOn w:val="Normal"/>
    <w:next w:val="Textonotapie"/>
    <w:unhideWhenUsed/>
    <w:rsid w:val="008E6432"/>
    <w:rPr>
      <w:rFonts w:asciiTheme="minorHAnsi" w:eastAsia="Cambria" w:hAnsiTheme="minorHAnsi" w:cstheme="minorBidi"/>
      <w:lang w:eastAsia="en-US"/>
    </w:rPr>
  </w:style>
  <w:style w:type="paragraph" w:styleId="TDC3">
    <w:name w:val="toc 3"/>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customStyle="1" w:styleId="m1609377113336227858gmail-msonormal">
    <w:name w:val="m_1609377113336227858gmail-msonormal"/>
    <w:basedOn w:val="Normal"/>
    <w:rsid w:val="008E6432"/>
    <w:pPr>
      <w:spacing w:before="100" w:beforeAutospacing="1" w:after="100" w:afterAutospacing="1"/>
    </w:pPr>
    <w:rPr>
      <w:sz w:val="24"/>
      <w:szCs w:val="24"/>
      <w:lang w:val="es-ES"/>
    </w:rPr>
  </w:style>
  <w:style w:type="paragraph" w:customStyle="1" w:styleId="m3527742037047551335gmail-msolistparagraph">
    <w:name w:val="m_3527742037047551335gmail-msolistparagraph"/>
    <w:basedOn w:val="Normal"/>
    <w:rsid w:val="008E6432"/>
    <w:pPr>
      <w:spacing w:before="100" w:beforeAutospacing="1" w:after="100" w:afterAutospacing="1"/>
    </w:pPr>
    <w:rPr>
      <w:sz w:val="24"/>
      <w:szCs w:val="24"/>
      <w:lang w:eastAsia="es-MX"/>
    </w:rPr>
  </w:style>
  <w:style w:type="paragraph" w:customStyle="1" w:styleId="m-698976158124685028gmail-msolistparagraph">
    <w:name w:val="m_-698976158124685028gmail-msolistparagraph"/>
    <w:basedOn w:val="Normal"/>
    <w:rsid w:val="008E6432"/>
    <w:pPr>
      <w:spacing w:before="100" w:beforeAutospacing="1" w:after="100" w:afterAutospacing="1"/>
    </w:pPr>
    <w:rPr>
      <w:sz w:val="24"/>
      <w:szCs w:val="24"/>
      <w:lang w:eastAsia="es-MX"/>
    </w:rPr>
  </w:style>
  <w:style w:type="paragraph" w:customStyle="1" w:styleId="m-698976158124685028gmail-default">
    <w:name w:val="m_-698976158124685028gmail-default"/>
    <w:basedOn w:val="Normal"/>
    <w:rsid w:val="008E6432"/>
    <w:pPr>
      <w:spacing w:before="100" w:beforeAutospacing="1" w:after="100" w:afterAutospacing="1"/>
    </w:pPr>
    <w:rPr>
      <w:sz w:val="24"/>
      <w:szCs w:val="24"/>
      <w:lang w:eastAsia="es-MX"/>
    </w:rPr>
  </w:style>
  <w:style w:type="paragraph" w:customStyle="1" w:styleId="m-698976158124685028gmail-m483811427706604298gmail-msolistparagraph">
    <w:name w:val="m_-698976158124685028gmail-m483811427706604298gmail-msolistparagraph"/>
    <w:basedOn w:val="Normal"/>
    <w:rsid w:val="008E6432"/>
    <w:pPr>
      <w:spacing w:before="100" w:beforeAutospacing="1" w:after="100" w:afterAutospacing="1"/>
    </w:pPr>
    <w:rPr>
      <w:sz w:val="24"/>
      <w:szCs w:val="24"/>
      <w:lang w:eastAsia="es-MX"/>
    </w:rPr>
  </w:style>
  <w:style w:type="paragraph" w:customStyle="1" w:styleId="m-698976158124685028gmail-msonormal">
    <w:name w:val="m_-698976158124685028gmail-msonormal"/>
    <w:basedOn w:val="Normal"/>
    <w:rsid w:val="008E6432"/>
    <w:pPr>
      <w:spacing w:before="100" w:beforeAutospacing="1" w:after="100" w:afterAutospacing="1"/>
    </w:pPr>
    <w:rPr>
      <w:sz w:val="24"/>
      <w:szCs w:val="24"/>
      <w:lang w:eastAsia="es-MX"/>
    </w:rPr>
  </w:style>
  <w:style w:type="character" w:customStyle="1" w:styleId="m-698976158124685028gmail-apple-converted-space">
    <w:name w:val="m_-698976158124685028gmail-apple-converted-space"/>
    <w:basedOn w:val="Fuentedeprrafopredeter"/>
    <w:rsid w:val="008E6432"/>
  </w:style>
  <w:style w:type="character" w:customStyle="1" w:styleId="apple-style-span">
    <w:name w:val="apple-style-span"/>
    <w:rsid w:val="008E6432"/>
  </w:style>
  <w:style w:type="table" w:customStyle="1" w:styleId="Tablaconcuadrcula2">
    <w:name w:val="Tabla con cuadrícula2"/>
    <w:basedOn w:val="Tablanormal"/>
    <w:next w:val="Tablaconcuadrcula"/>
    <w:uiPriority w:val="39"/>
    <w:rsid w:val="008E6432"/>
    <w:pPr>
      <w:spacing w:after="0" w:line="240" w:lineRule="auto"/>
    </w:pPr>
    <w:rPr>
      <w:rFonts w:asciiTheme="minorHAnsi" w:eastAsiaTheme="minorEastAsia" w:hAnsiTheme="minorHAnsi" w:cstheme="minorBidi"/>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8E6432"/>
    <w:pPr>
      <w:spacing w:before="100" w:beforeAutospacing="1" w:after="100" w:afterAutospacing="1"/>
    </w:pPr>
    <w:rPr>
      <w:sz w:val="24"/>
      <w:szCs w:val="24"/>
      <w:lang w:eastAsia="es-MX"/>
    </w:rPr>
  </w:style>
  <w:style w:type="table" w:styleId="Tablaconcuadrcula6concolores">
    <w:name w:val="Grid Table 6 Colorful"/>
    <w:basedOn w:val="Tablanormal"/>
    <w:uiPriority w:val="51"/>
    <w:rsid w:val="008E6432"/>
    <w:pPr>
      <w:spacing w:after="0" w:line="240" w:lineRule="auto"/>
    </w:pPr>
    <w:rPr>
      <w:rFonts w:asciiTheme="minorHAnsi" w:eastAsiaTheme="minorEastAsia" w:hAnsiTheme="minorHAnsi" w:cstheme="minorBidi"/>
      <w:color w:val="000000" w:themeColor="text1"/>
      <w:sz w:val="24"/>
      <w:szCs w:val="24"/>
      <w:lang w:val="es-ES_tradnl" w:eastAsia="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E6432"/>
    <w:rPr>
      <w:rFonts w:asciiTheme="minorHAnsi" w:eastAsia="Cambria" w:hAnsiTheme="minorHAnsi" w:cstheme="minorBidi"/>
      <w:lang w:eastAsia="en-US"/>
    </w:rPr>
  </w:style>
  <w:style w:type="character" w:customStyle="1" w:styleId="Mencinsinresolver1">
    <w:name w:val="Mención sin resolver1"/>
    <w:basedOn w:val="Fuentedeprrafopredeter"/>
    <w:uiPriority w:val="99"/>
    <w:semiHidden/>
    <w:unhideWhenUsed/>
    <w:rsid w:val="008E6432"/>
    <w:rPr>
      <w:color w:val="605E5C"/>
      <w:shd w:val="clear" w:color="auto" w:fill="E1DFDD"/>
    </w:rPr>
  </w:style>
  <w:style w:type="table" w:customStyle="1" w:styleId="Tablaconcuadrcula11">
    <w:name w:val="Tabla con cuadrícula11"/>
    <w:basedOn w:val="Tablanormal"/>
    <w:next w:val="Tablaconcuadrcula"/>
    <w:uiPriority w:val="59"/>
    <w:rsid w:val="008E6432"/>
    <w:pPr>
      <w:spacing w:after="0" w:line="240" w:lineRule="auto"/>
    </w:pPr>
    <w:rPr>
      <w:rFonts w:asciiTheme="minorHAnsi" w:eastAsia="Times New Roman" w:hAnsiTheme="minorHAnsi" w:cstheme="minorBidi"/>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ar"/>
    <w:rsid w:val="008E6432"/>
    <w:pPr>
      <w:spacing w:after="101" w:line="216" w:lineRule="exact"/>
      <w:ind w:firstLine="288"/>
      <w:jc w:val="both"/>
    </w:pPr>
    <w:rPr>
      <w:rFonts w:ascii="Arial" w:hAnsi="Arial" w:cs="Arial"/>
      <w:sz w:val="18"/>
      <w:lang w:val="es-ES"/>
    </w:rPr>
  </w:style>
  <w:style w:type="character" w:customStyle="1" w:styleId="TextoCar">
    <w:name w:val="Texto Car"/>
    <w:link w:val="Texto"/>
    <w:locked/>
    <w:rsid w:val="008E6432"/>
    <w:rPr>
      <w:rFonts w:ascii="Arial" w:eastAsia="Times New Roman" w:hAnsi="Arial" w:cs="Arial"/>
      <w:sz w:val="18"/>
      <w:lang w:val="es-ES" w:eastAsia="es-ES"/>
    </w:rPr>
  </w:style>
  <w:style w:type="paragraph" w:customStyle="1" w:styleId="m5907675151158779931gmail-msolistparagraph">
    <w:name w:val="m_5907675151158779931gmail-msolistparagraph"/>
    <w:basedOn w:val="Normal"/>
    <w:rsid w:val="00427B9F"/>
    <w:pPr>
      <w:spacing w:before="100" w:beforeAutospacing="1" w:after="100" w:afterAutospacing="1"/>
    </w:pPr>
    <w:rPr>
      <w:sz w:val="24"/>
      <w:szCs w:val="24"/>
      <w:lang w:eastAsia="es-MX"/>
    </w:rPr>
  </w:style>
  <w:style w:type="paragraph" w:customStyle="1" w:styleId="j">
    <w:name w:val="j"/>
    <w:basedOn w:val="Normal"/>
    <w:rsid w:val="005502D2"/>
    <w:pPr>
      <w:spacing w:before="100" w:beforeAutospacing="1" w:after="100" w:afterAutospacing="1"/>
    </w:pPr>
    <w:rPr>
      <w:rFonts w:eastAsiaTheme="minorHAnsi"/>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4204">
      <w:bodyDiv w:val="1"/>
      <w:marLeft w:val="0"/>
      <w:marRight w:val="0"/>
      <w:marTop w:val="0"/>
      <w:marBottom w:val="0"/>
      <w:divBdr>
        <w:top w:val="none" w:sz="0" w:space="0" w:color="auto"/>
        <w:left w:val="none" w:sz="0" w:space="0" w:color="auto"/>
        <w:bottom w:val="none" w:sz="0" w:space="0" w:color="auto"/>
        <w:right w:val="none" w:sz="0" w:space="0" w:color="auto"/>
      </w:divBdr>
      <w:divsChild>
        <w:div w:id="346755064">
          <w:marLeft w:val="0"/>
          <w:marRight w:val="0"/>
          <w:marTop w:val="0"/>
          <w:marBottom w:val="0"/>
          <w:divBdr>
            <w:top w:val="none" w:sz="0" w:space="0" w:color="auto"/>
            <w:left w:val="none" w:sz="0" w:space="0" w:color="auto"/>
            <w:bottom w:val="none" w:sz="0" w:space="0" w:color="auto"/>
            <w:right w:val="none" w:sz="0" w:space="0" w:color="auto"/>
          </w:divBdr>
        </w:div>
      </w:divsChild>
    </w:div>
    <w:div w:id="15429451">
      <w:bodyDiv w:val="1"/>
      <w:marLeft w:val="0"/>
      <w:marRight w:val="0"/>
      <w:marTop w:val="0"/>
      <w:marBottom w:val="0"/>
      <w:divBdr>
        <w:top w:val="none" w:sz="0" w:space="0" w:color="auto"/>
        <w:left w:val="none" w:sz="0" w:space="0" w:color="auto"/>
        <w:bottom w:val="none" w:sz="0" w:space="0" w:color="auto"/>
        <w:right w:val="none" w:sz="0" w:space="0" w:color="auto"/>
      </w:divBdr>
    </w:div>
    <w:div w:id="39017932">
      <w:bodyDiv w:val="1"/>
      <w:marLeft w:val="0"/>
      <w:marRight w:val="0"/>
      <w:marTop w:val="0"/>
      <w:marBottom w:val="0"/>
      <w:divBdr>
        <w:top w:val="none" w:sz="0" w:space="0" w:color="auto"/>
        <w:left w:val="none" w:sz="0" w:space="0" w:color="auto"/>
        <w:bottom w:val="none" w:sz="0" w:space="0" w:color="auto"/>
        <w:right w:val="none" w:sz="0" w:space="0" w:color="auto"/>
      </w:divBdr>
    </w:div>
    <w:div w:id="49573316">
      <w:bodyDiv w:val="1"/>
      <w:marLeft w:val="0"/>
      <w:marRight w:val="0"/>
      <w:marTop w:val="0"/>
      <w:marBottom w:val="0"/>
      <w:divBdr>
        <w:top w:val="none" w:sz="0" w:space="0" w:color="auto"/>
        <w:left w:val="none" w:sz="0" w:space="0" w:color="auto"/>
        <w:bottom w:val="none" w:sz="0" w:space="0" w:color="auto"/>
        <w:right w:val="none" w:sz="0" w:space="0" w:color="auto"/>
      </w:divBdr>
    </w:div>
    <w:div w:id="62727166">
      <w:bodyDiv w:val="1"/>
      <w:marLeft w:val="0"/>
      <w:marRight w:val="0"/>
      <w:marTop w:val="0"/>
      <w:marBottom w:val="0"/>
      <w:divBdr>
        <w:top w:val="none" w:sz="0" w:space="0" w:color="auto"/>
        <w:left w:val="none" w:sz="0" w:space="0" w:color="auto"/>
        <w:bottom w:val="none" w:sz="0" w:space="0" w:color="auto"/>
        <w:right w:val="none" w:sz="0" w:space="0" w:color="auto"/>
      </w:divBdr>
    </w:div>
    <w:div w:id="69037247">
      <w:bodyDiv w:val="1"/>
      <w:marLeft w:val="0"/>
      <w:marRight w:val="0"/>
      <w:marTop w:val="0"/>
      <w:marBottom w:val="0"/>
      <w:divBdr>
        <w:top w:val="none" w:sz="0" w:space="0" w:color="auto"/>
        <w:left w:val="none" w:sz="0" w:space="0" w:color="auto"/>
        <w:bottom w:val="none" w:sz="0" w:space="0" w:color="auto"/>
        <w:right w:val="none" w:sz="0" w:space="0" w:color="auto"/>
      </w:divBdr>
    </w:div>
    <w:div w:id="80875594">
      <w:bodyDiv w:val="1"/>
      <w:marLeft w:val="0"/>
      <w:marRight w:val="0"/>
      <w:marTop w:val="0"/>
      <w:marBottom w:val="0"/>
      <w:divBdr>
        <w:top w:val="none" w:sz="0" w:space="0" w:color="auto"/>
        <w:left w:val="none" w:sz="0" w:space="0" w:color="auto"/>
        <w:bottom w:val="none" w:sz="0" w:space="0" w:color="auto"/>
        <w:right w:val="none" w:sz="0" w:space="0" w:color="auto"/>
      </w:divBdr>
    </w:div>
    <w:div w:id="112674043">
      <w:bodyDiv w:val="1"/>
      <w:marLeft w:val="0"/>
      <w:marRight w:val="0"/>
      <w:marTop w:val="0"/>
      <w:marBottom w:val="0"/>
      <w:divBdr>
        <w:top w:val="none" w:sz="0" w:space="0" w:color="auto"/>
        <w:left w:val="none" w:sz="0" w:space="0" w:color="auto"/>
        <w:bottom w:val="none" w:sz="0" w:space="0" w:color="auto"/>
        <w:right w:val="none" w:sz="0" w:space="0" w:color="auto"/>
      </w:divBdr>
    </w:div>
    <w:div w:id="115999151">
      <w:bodyDiv w:val="1"/>
      <w:marLeft w:val="0"/>
      <w:marRight w:val="0"/>
      <w:marTop w:val="0"/>
      <w:marBottom w:val="0"/>
      <w:divBdr>
        <w:top w:val="none" w:sz="0" w:space="0" w:color="auto"/>
        <w:left w:val="none" w:sz="0" w:space="0" w:color="auto"/>
        <w:bottom w:val="none" w:sz="0" w:space="0" w:color="auto"/>
        <w:right w:val="none" w:sz="0" w:space="0" w:color="auto"/>
      </w:divBdr>
    </w:div>
    <w:div w:id="125130487">
      <w:bodyDiv w:val="1"/>
      <w:marLeft w:val="0"/>
      <w:marRight w:val="0"/>
      <w:marTop w:val="0"/>
      <w:marBottom w:val="0"/>
      <w:divBdr>
        <w:top w:val="none" w:sz="0" w:space="0" w:color="auto"/>
        <w:left w:val="none" w:sz="0" w:space="0" w:color="auto"/>
        <w:bottom w:val="none" w:sz="0" w:space="0" w:color="auto"/>
        <w:right w:val="none" w:sz="0" w:space="0" w:color="auto"/>
      </w:divBdr>
    </w:div>
    <w:div w:id="129639936">
      <w:bodyDiv w:val="1"/>
      <w:marLeft w:val="0"/>
      <w:marRight w:val="0"/>
      <w:marTop w:val="0"/>
      <w:marBottom w:val="0"/>
      <w:divBdr>
        <w:top w:val="none" w:sz="0" w:space="0" w:color="auto"/>
        <w:left w:val="none" w:sz="0" w:space="0" w:color="auto"/>
        <w:bottom w:val="none" w:sz="0" w:space="0" w:color="auto"/>
        <w:right w:val="none" w:sz="0" w:space="0" w:color="auto"/>
      </w:divBdr>
    </w:div>
    <w:div w:id="131295755">
      <w:bodyDiv w:val="1"/>
      <w:marLeft w:val="0"/>
      <w:marRight w:val="0"/>
      <w:marTop w:val="0"/>
      <w:marBottom w:val="0"/>
      <w:divBdr>
        <w:top w:val="none" w:sz="0" w:space="0" w:color="auto"/>
        <w:left w:val="none" w:sz="0" w:space="0" w:color="auto"/>
        <w:bottom w:val="none" w:sz="0" w:space="0" w:color="auto"/>
        <w:right w:val="none" w:sz="0" w:space="0" w:color="auto"/>
      </w:divBdr>
    </w:div>
    <w:div w:id="144779992">
      <w:bodyDiv w:val="1"/>
      <w:marLeft w:val="0"/>
      <w:marRight w:val="0"/>
      <w:marTop w:val="0"/>
      <w:marBottom w:val="0"/>
      <w:divBdr>
        <w:top w:val="none" w:sz="0" w:space="0" w:color="auto"/>
        <w:left w:val="none" w:sz="0" w:space="0" w:color="auto"/>
        <w:bottom w:val="none" w:sz="0" w:space="0" w:color="auto"/>
        <w:right w:val="none" w:sz="0" w:space="0" w:color="auto"/>
      </w:divBdr>
    </w:div>
    <w:div w:id="157549671">
      <w:bodyDiv w:val="1"/>
      <w:marLeft w:val="0"/>
      <w:marRight w:val="0"/>
      <w:marTop w:val="0"/>
      <w:marBottom w:val="0"/>
      <w:divBdr>
        <w:top w:val="none" w:sz="0" w:space="0" w:color="auto"/>
        <w:left w:val="none" w:sz="0" w:space="0" w:color="auto"/>
        <w:bottom w:val="none" w:sz="0" w:space="0" w:color="auto"/>
        <w:right w:val="none" w:sz="0" w:space="0" w:color="auto"/>
      </w:divBdr>
    </w:div>
    <w:div w:id="177276154">
      <w:bodyDiv w:val="1"/>
      <w:marLeft w:val="0"/>
      <w:marRight w:val="0"/>
      <w:marTop w:val="0"/>
      <w:marBottom w:val="0"/>
      <w:divBdr>
        <w:top w:val="none" w:sz="0" w:space="0" w:color="auto"/>
        <w:left w:val="none" w:sz="0" w:space="0" w:color="auto"/>
        <w:bottom w:val="none" w:sz="0" w:space="0" w:color="auto"/>
        <w:right w:val="none" w:sz="0" w:space="0" w:color="auto"/>
      </w:divBdr>
    </w:div>
    <w:div w:id="190075990">
      <w:bodyDiv w:val="1"/>
      <w:marLeft w:val="0"/>
      <w:marRight w:val="0"/>
      <w:marTop w:val="0"/>
      <w:marBottom w:val="0"/>
      <w:divBdr>
        <w:top w:val="none" w:sz="0" w:space="0" w:color="auto"/>
        <w:left w:val="none" w:sz="0" w:space="0" w:color="auto"/>
        <w:bottom w:val="none" w:sz="0" w:space="0" w:color="auto"/>
        <w:right w:val="none" w:sz="0" w:space="0" w:color="auto"/>
      </w:divBdr>
    </w:div>
    <w:div w:id="190919084">
      <w:bodyDiv w:val="1"/>
      <w:marLeft w:val="0"/>
      <w:marRight w:val="0"/>
      <w:marTop w:val="0"/>
      <w:marBottom w:val="0"/>
      <w:divBdr>
        <w:top w:val="none" w:sz="0" w:space="0" w:color="auto"/>
        <w:left w:val="none" w:sz="0" w:space="0" w:color="auto"/>
        <w:bottom w:val="none" w:sz="0" w:space="0" w:color="auto"/>
        <w:right w:val="none" w:sz="0" w:space="0" w:color="auto"/>
      </w:divBdr>
    </w:div>
    <w:div w:id="194468249">
      <w:bodyDiv w:val="1"/>
      <w:marLeft w:val="0"/>
      <w:marRight w:val="0"/>
      <w:marTop w:val="0"/>
      <w:marBottom w:val="0"/>
      <w:divBdr>
        <w:top w:val="none" w:sz="0" w:space="0" w:color="auto"/>
        <w:left w:val="none" w:sz="0" w:space="0" w:color="auto"/>
        <w:bottom w:val="none" w:sz="0" w:space="0" w:color="auto"/>
        <w:right w:val="none" w:sz="0" w:space="0" w:color="auto"/>
      </w:divBdr>
    </w:div>
    <w:div w:id="230846437">
      <w:bodyDiv w:val="1"/>
      <w:marLeft w:val="0"/>
      <w:marRight w:val="0"/>
      <w:marTop w:val="0"/>
      <w:marBottom w:val="0"/>
      <w:divBdr>
        <w:top w:val="none" w:sz="0" w:space="0" w:color="auto"/>
        <w:left w:val="none" w:sz="0" w:space="0" w:color="auto"/>
        <w:bottom w:val="none" w:sz="0" w:space="0" w:color="auto"/>
        <w:right w:val="none" w:sz="0" w:space="0" w:color="auto"/>
      </w:divBdr>
    </w:div>
    <w:div w:id="235550228">
      <w:bodyDiv w:val="1"/>
      <w:marLeft w:val="0"/>
      <w:marRight w:val="0"/>
      <w:marTop w:val="0"/>
      <w:marBottom w:val="0"/>
      <w:divBdr>
        <w:top w:val="none" w:sz="0" w:space="0" w:color="auto"/>
        <w:left w:val="none" w:sz="0" w:space="0" w:color="auto"/>
        <w:bottom w:val="none" w:sz="0" w:space="0" w:color="auto"/>
        <w:right w:val="none" w:sz="0" w:space="0" w:color="auto"/>
      </w:divBdr>
    </w:div>
    <w:div w:id="247541361">
      <w:bodyDiv w:val="1"/>
      <w:marLeft w:val="0"/>
      <w:marRight w:val="0"/>
      <w:marTop w:val="0"/>
      <w:marBottom w:val="0"/>
      <w:divBdr>
        <w:top w:val="none" w:sz="0" w:space="0" w:color="auto"/>
        <w:left w:val="none" w:sz="0" w:space="0" w:color="auto"/>
        <w:bottom w:val="none" w:sz="0" w:space="0" w:color="auto"/>
        <w:right w:val="none" w:sz="0" w:space="0" w:color="auto"/>
      </w:divBdr>
    </w:div>
    <w:div w:id="271281598">
      <w:bodyDiv w:val="1"/>
      <w:marLeft w:val="0"/>
      <w:marRight w:val="0"/>
      <w:marTop w:val="0"/>
      <w:marBottom w:val="0"/>
      <w:divBdr>
        <w:top w:val="none" w:sz="0" w:space="0" w:color="auto"/>
        <w:left w:val="none" w:sz="0" w:space="0" w:color="auto"/>
        <w:bottom w:val="none" w:sz="0" w:space="0" w:color="auto"/>
        <w:right w:val="none" w:sz="0" w:space="0" w:color="auto"/>
      </w:divBdr>
    </w:div>
    <w:div w:id="301740936">
      <w:bodyDiv w:val="1"/>
      <w:marLeft w:val="0"/>
      <w:marRight w:val="0"/>
      <w:marTop w:val="0"/>
      <w:marBottom w:val="0"/>
      <w:divBdr>
        <w:top w:val="none" w:sz="0" w:space="0" w:color="auto"/>
        <w:left w:val="none" w:sz="0" w:space="0" w:color="auto"/>
        <w:bottom w:val="none" w:sz="0" w:space="0" w:color="auto"/>
        <w:right w:val="none" w:sz="0" w:space="0" w:color="auto"/>
      </w:divBdr>
    </w:div>
    <w:div w:id="308245836">
      <w:bodyDiv w:val="1"/>
      <w:marLeft w:val="0"/>
      <w:marRight w:val="0"/>
      <w:marTop w:val="0"/>
      <w:marBottom w:val="0"/>
      <w:divBdr>
        <w:top w:val="none" w:sz="0" w:space="0" w:color="auto"/>
        <w:left w:val="none" w:sz="0" w:space="0" w:color="auto"/>
        <w:bottom w:val="none" w:sz="0" w:space="0" w:color="auto"/>
        <w:right w:val="none" w:sz="0" w:space="0" w:color="auto"/>
      </w:divBdr>
    </w:div>
    <w:div w:id="310211995">
      <w:bodyDiv w:val="1"/>
      <w:marLeft w:val="0"/>
      <w:marRight w:val="0"/>
      <w:marTop w:val="0"/>
      <w:marBottom w:val="0"/>
      <w:divBdr>
        <w:top w:val="none" w:sz="0" w:space="0" w:color="auto"/>
        <w:left w:val="none" w:sz="0" w:space="0" w:color="auto"/>
        <w:bottom w:val="none" w:sz="0" w:space="0" w:color="auto"/>
        <w:right w:val="none" w:sz="0" w:space="0" w:color="auto"/>
      </w:divBdr>
    </w:div>
    <w:div w:id="325520571">
      <w:bodyDiv w:val="1"/>
      <w:marLeft w:val="0"/>
      <w:marRight w:val="0"/>
      <w:marTop w:val="0"/>
      <w:marBottom w:val="0"/>
      <w:divBdr>
        <w:top w:val="none" w:sz="0" w:space="0" w:color="auto"/>
        <w:left w:val="none" w:sz="0" w:space="0" w:color="auto"/>
        <w:bottom w:val="none" w:sz="0" w:space="0" w:color="auto"/>
        <w:right w:val="none" w:sz="0" w:space="0" w:color="auto"/>
      </w:divBdr>
    </w:div>
    <w:div w:id="349378182">
      <w:bodyDiv w:val="1"/>
      <w:marLeft w:val="0"/>
      <w:marRight w:val="0"/>
      <w:marTop w:val="0"/>
      <w:marBottom w:val="0"/>
      <w:divBdr>
        <w:top w:val="none" w:sz="0" w:space="0" w:color="auto"/>
        <w:left w:val="none" w:sz="0" w:space="0" w:color="auto"/>
        <w:bottom w:val="none" w:sz="0" w:space="0" w:color="auto"/>
        <w:right w:val="none" w:sz="0" w:space="0" w:color="auto"/>
      </w:divBdr>
    </w:div>
    <w:div w:id="369844929">
      <w:bodyDiv w:val="1"/>
      <w:marLeft w:val="0"/>
      <w:marRight w:val="0"/>
      <w:marTop w:val="0"/>
      <w:marBottom w:val="0"/>
      <w:divBdr>
        <w:top w:val="none" w:sz="0" w:space="0" w:color="auto"/>
        <w:left w:val="none" w:sz="0" w:space="0" w:color="auto"/>
        <w:bottom w:val="none" w:sz="0" w:space="0" w:color="auto"/>
        <w:right w:val="none" w:sz="0" w:space="0" w:color="auto"/>
      </w:divBdr>
    </w:div>
    <w:div w:id="413864414">
      <w:bodyDiv w:val="1"/>
      <w:marLeft w:val="0"/>
      <w:marRight w:val="0"/>
      <w:marTop w:val="0"/>
      <w:marBottom w:val="0"/>
      <w:divBdr>
        <w:top w:val="none" w:sz="0" w:space="0" w:color="auto"/>
        <w:left w:val="none" w:sz="0" w:space="0" w:color="auto"/>
        <w:bottom w:val="none" w:sz="0" w:space="0" w:color="auto"/>
        <w:right w:val="none" w:sz="0" w:space="0" w:color="auto"/>
      </w:divBdr>
    </w:div>
    <w:div w:id="425810479">
      <w:bodyDiv w:val="1"/>
      <w:marLeft w:val="0"/>
      <w:marRight w:val="0"/>
      <w:marTop w:val="0"/>
      <w:marBottom w:val="0"/>
      <w:divBdr>
        <w:top w:val="none" w:sz="0" w:space="0" w:color="auto"/>
        <w:left w:val="none" w:sz="0" w:space="0" w:color="auto"/>
        <w:bottom w:val="none" w:sz="0" w:space="0" w:color="auto"/>
        <w:right w:val="none" w:sz="0" w:space="0" w:color="auto"/>
      </w:divBdr>
    </w:div>
    <w:div w:id="435517771">
      <w:bodyDiv w:val="1"/>
      <w:marLeft w:val="0"/>
      <w:marRight w:val="0"/>
      <w:marTop w:val="0"/>
      <w:marBottom w:val="0"/>
      <w:divBdr>
        <w:top w:val="none" w:sz="0" w:space="0" w:color="auto"/>
        <w:left w:val="none" w:sz="0" w:space="0" w:color="auto"/>
        <w:bottom w:val="none" w:sz="0" w:space="0" w:color="auto"/>
        <w:right w:val="none" w:sz="0" w:space="0" w:color="auto"/>
      </w:divBdr>
    </w:div>
    <w:div w:id="488788351">
      <w:bodyDiv w:val="1"/>
      <w:marLeft w:val="0"/>
      <w:marRight w:val="0"/>
      <w:marTop w:val="0"/>
      <w:marBottom w:val="0"/>
      <w:divBdr>
        <w:top w:val="none" w:sz="0" w:space="0" w:color="auto"/>
        <w:left w:val="none" w:sz="0" w:space="0" w:color="auto"/>
        <w:bottom w:val="none" w:sz="0" w:space="0" w:color="auto"/>
        <w:right w:val="none" w:sz="0" w:space="0" w:color="auto"/>
      </w:divBdr>
    </w:div>
    <w:div w:id="491140161">
      <w:bodyDiv w:val="1"/>
      <w:marLeft w:val="0"/>
      <w:marRight w:val="0"/>
      <w:marTop w:val="0"/>
      <w:marBottom w:val="0"/>
      <w:divBdr>
        <w:top w:val="none" w:sz="0" w:space="0" w:color="auto"/>
        <w:left w:val="none" w:sz="0" w:space="0" w:color="auto"/>
        <w:bottom w:val="none" w:sz="0" w:space="0" w:color="auto"/>
        <w:right w:val="none" w:sz="0" w:space="0" w:color="auto"/>
      </w:divBdr>
    </w:div>
    <w:div w:id="532351346">
      <w:bodyDiv w:val="1"/>
      <w:marLeft w:val="0"/>
      <w:marRight w:val="0"/>
      <w:marTop w:val="0"/>
      <w:marBottom w:val="0"/>
      <w:divBdr>
        <w:top w:val="none" w:sz="0" w:space="0" w:color="auto"/>
        <w:left w:val="none" w:sz="0" w:space="0" w:color="auto"/>
        <w:bottom w:val="none" w:sz="0" w:space="0" w:color="auto"/>
        <w:right w:val="none" w:sz="0" w:space="0" w:color="auto"/>
      </w:divBdr>
    </w:div>
    <w:div w:id="536430139">
      <w:bodyDiv w:val="1"/>
      <w:marLeft w:val="0"/>
      <w:marRight w:val="0"/>
      <w:marTop w:val="0"/>
      <w:marBottom w:val="0"/>
      <w:divBdr>
        <w:top w:val="none" w:sz="0" w:space="0" w:color="auto"/>
        <w:left w:val="none" w:sz="0" w:space="0" w:color="auto"/>
        <w:bottom w:val="none" w:sz="0" w:space="0" w:color="auto"/>
        <w:right w:val="none" w:sz="0" w:space="0" w:color="auto"/>
      </w:divBdr>
    </w:div>
    <w:div w:id="549921223">
      <w:bodyDiv w:val="1"/>
      <w:marLeft w:val="0"/>
      <w:marRight w:val="0"/>
      <w:marTop w:val="0"/>
      <w:marBottom w:val="0"/>
      <w:divBdr>
        <w:top w:val="none" w:sz="0" w:space="0" w:color="auto"/>
        <w:left w:val="none" w:sz="0" w:space="0" w:color="auto"/>
        <w:bottom w:val="none" w:sz="0" w:space="0" w:color="auto"/>
        <w:right w:val="none" w:sz="0" w:space="0" w:color="auto"/>
      </w:divBdr>
    </w:div>
    <w:div w:id="549994479">
      <w:bodyDiv w:val="1"/>
      <w:marLeft w:val="0"/>
      <w:marRight w:val="0"/>
      <w:marTop w:val="0"/>
      <w:marBottom w:val="0"/>
      <w:divBdr>
        <w:top w:val="none" w:sz="0" w:space="0" w:color="auto"/>
        <w:left w:val="none" w:sz="0" w:space="0" w:color="auto"/>
        <w:bottom w:val="none" w:sz="0" w:space="0" w:color="auto"/>
        <w:right w:val="none" w:sz="0" w:space="0" w:color="auto"/>
      </w:divBdr>
    </w:div>
    <w:div w:id="558783783">
      <w:bodyDiv w:val="1"/>
      <w:marLeft w:val="0"/>
      <w:marRight w:val="0"/>
      <w:marTop w:val="0"/>
      <w:marBottom w:val="0"/>
      <w:divBdr>
        <w:top w:val="none" w:sz="0" w:space="0" w:color="auto"/>
        <w:left w:val="none" w:sz="0" w:space="0" w:color="auto"/>
        <w:bottom w:val="none" w:sz="0" w:space="0" w:color="auto"/>
        <w:right w:val="none" w:sz="0" w:space="0" w:color="auto"/>
      </w:divBdr>
    </w:div>
    <w:div w:id="565409672">
      <w:bodyDiv w:val="1"/>
      <w:marLeft w:val="0"/>
      <w:marRight w:val="0"/>
      <w:marTop w:val="0"/>
      <w:marBottom w:val="0"/>
      <w:divBdr>
        <w:top w:val="none" w:sz="0" w:space="0" w:color="auto"/>
        <w:left w:val="none" w:sz="0" w:space="0" w:color="auto"/>
        <w:bottom w:val="none" w:sz="0" w:space="0" w:color="auto"/>
        <w:right w:val="none" w:sz="0" w:space="0" w:color="auto"/>
      </w:divBdr>
    </w:div>
    <w:div w:id="570164580">
      <w:bodyDiv w:val="1"/>
      <w:marLeft w:val="0"/>
      <w:marRight w:val="0"/>
      <w:marTop w:val="0"/>
      <w:marBottom w:val="0"/>
      <w:divBdr>
        <w:top w:val="none" w:sz="0" w:space="0" w:color="auto"/>
        <w:left w:val="none" w:sz="0" w:space="0" w:color="auto"/>
        <w:bottom w:val="none" w:sz="0" w:space="0" w:color="auto"/>
        <w:right w:val="none" w:sz="0" w:space="0" w:color="auto"/>
      </w:divBdr>
    </w:div>
    <w:div w:id="570777781">
      <w:bodyDiv w:val="1"/>
      <w:marLeft w:val="0"/>
      <w:marRight w:val="0"/>
      <w:marTop w:val="0"/>
      <w:marBottom w:val="0"/>
      <w:divBdr>
        <w:top w:val="none" w:sz="0" w:space="0" w:color="auto"/>
        <w:left w:val="none" w:sz="0" w:space="0" w:color="auto"/>
        <w:bottom w:val="none" w:sz="0" w:space="0" w:color="auto"/>
        <w:right w:val="none" w:sz="0" w:space="0" w:color="auto"/>
      </w:divBdr>
      <w:divsChild>
        <w:div w:id="1622303985">
          <w:marLeft w:val="0"/>
          <w:marRight w:val="0"/>
          <w:marTop w:val="0"/>
          <w:marBottom w:val="0"/>
          <w:divBdr>
            <w:top w:val="none" w:sz="0" w:space="0" w:color="auto"/>
            <w:left w:val="none" w:sz="0" w:space="0" w:color="auto"/>
            <w:bottom w:val="none" w:sz="0" w:space="0" w:color="auto"/>
            <w:right w:val="none" w:sz="0" w:space="0" w:color="auto"/>
          </w:divBdr>
        </w:div>
      </w:divsChild>
    </w:div>
    <w:div w:id="576478720">
      <w:bodyDiv w:val="1"/>
      <w:marLeft w:val="0"/>
      <w:marRight w:val="0"/>
      <w:marTop w:val="0"/>
      <w:marBottom w:val="0"/>
      <w:divBdr>
        <w:top w:val="none" w:sz="0" w:space="0" w:color="auto"/>
        <w:left w:val="none" w:sz="0" w:space="0" w:color="auto"/>
        <w:bottom w:val="none" w:sz="0" w:space="0" w:color="auto"/>
        <w:right w:val="none" w:sz="0" w:space="0" w:color="auto"/>
      </w:divBdr>
    </w:div>
    <w:div w:id="664629813">
      <w:bodyDiv w:val="1"/>
      <w:marLeft w:val="0"/>
      <w:marRight w:val="0"/>
      <w:marTop w:val="0"/>
      <w:marBottom w:val="0"/>
      <w:divBdr>
        <w:top w:val="none" w:sz="0" w:space="0" w:color="auto"/>
        <w:left w:val="none" w:sz="0" w:space="0" w:color="auto"/>
        <w:bottom w:val="none" w:sz="0" w:space="0" w:color="auto"/>
        <w:right w:val="none" w:sz="0" w:space="0" w:color="auto"/>
      </w:divBdr>
    </w:div>
    <w:div w:id="707681860">
      <w:bodyDiv w:val="1"/>
      <w:marLeft w:val="0"/>
      <w:marRight w:val="0"/>
      <w:marTop w:val="0"/>
      <w:marBottom w:val="0"/>
      <w:divBdr>
        <w:top w:val="none" w:sz="0" w:space="0" w:color="auto"/>
        <w:left w:val="none" w:sz="0" w:space="0" w:color="auto"/>
        <w:bottom w:val="none" w:sz="0" w:space="0" w:color="auto"/>
        <w:right w:val="none" w:sz="0" w:space="0" w:color="auto"/>
      </w:divBdr>
    </w:div>
    <w:div w:id="719207465">
      <w:bodyDiv w:val="1"/>
      <w:marLeft w:val="0"/>
      <w:marRight w:val="0"/>
      <w:marTop w:val="0"/>
      <w:marBottom w:val="0"/>
      <w:divBdr>
        <w:top w:val="none" w:sz="0" w:space="0" w:color="auto"/>
        <w:left w:val="none" w:sz="0" w:space="0" w:color="auto"/>
        <w:bottom w:val="none" w:sz="0" w:space="0" w:color="auto"/>
        <w:right w:val="none" w:sz="0" w:space="0" w:color="auto"/>
      </w:divBdr>
      <w:divsChild>
        <w:div w:id="471336215">
          <w:marLeft w:val="0"/>
          <w:marRight w:val="0"/>
          <w:marTop w:val="0"/>
          <w:marBottom w:val="101"/>
          <w:divBdr>
            <w:top w:val="none" w:sz="0" w:space="0" w:color="auto"/>
            <w:left w:val="none" w:sz="0" w:space="0" w:color="auto"/>
            <w:bottom w:val="none" w:sz="0" w:space="0" w:color="auto"/>
            <w:right w:val="none" w:sz="0" w:space="0" w:color="auto"/>
          </w:divBdr>
        </w:div>
        <w:div w:id="1136795023">
          <w:marLeft w:val="0"/>
          <w:marRight w:val="0"/>
          <w:marTop w:val="0"/>
          <w:marBottom w:val="101"/>
          <w:divBdr>
            <w:top w:val="none" w:sz="0" w:space="0" w:color="auto"/>
            <w:left w:val="none" w:sz="0" w:space="0" w:color="auto"/>
            <w:bottom w:val="none" w:sz="0" w:space="0" w:color="auto"/>
            <w:right w:val="none" w:sz="0" w:space="0" w:color="auto"/>
          </w:divBdr>
        </w:div>
        <w:div w:id="206570758">
          <w:marLeft w:val="864"/>
          <w:marRight w:val="0"/>
          <w:marTop w:val="0"/>
          <w:marBottom w:val="101"/>
          <w:divBdr>
            <w:top w:val="none" w:sz="0" w:space="0" w:color="auto"/>
            <w:left w:val="none" w:sz="0" w:space="0" w:color="auto"/>
            <w:bottom w:val="none" w:sz="0" w:space="0" w:color="auto"/>
            <w:right w:val="none" w:sz="0" w:space="0" w:color="auto"/>
          </w:divBdr>
        </w:div>
        <w:div w:id="913852647">
          <w:marLeft w:val="864"/>
          <w:marRight w:val="0"/>
          <w:marTop w:val="0"/>
          <w:marBottom w:val="101"/>
          <w:divBdr>
            <w:top w:val="none" w:sz="0" w:space="0" w:color="auto"/>
            <w:left w:val="none" w:sz="0" w:space="0" w:color="auto"/>
            <w:bottom w:val="none" w:sz="0" w:space="0" w:color="auto"/>
            <w:right w:val="none" w:sz="0" w:space="0" w:color="auto"/>
          </w:divBdr>
        </w:div>
        <w:div w:id="1932616041">
          <w:marLeft w:val="864"/>
          <w:marRight w:val="0"/>
          <w:marTop w:val="0"/>
          <w:marBottom w:val="101"/>
          <w:divBdr>
            <w:top w:val="none" w:sz="0" w:space="0" w:color="auto"/>
            <w:left w:val="none" w:sz="0" w:space="0" w:color="auto"/>
            <w:bottom w:val="none" w:sz="0" w:space="0" w:color="auto"/>
            <w:right w:val="none" w:sz="0" w:space="0" w:color="auto"/>
          </w:divBdr>
        </w:div>
        <w:div w:id="300157043">
          <w:marLeft w:val="864"/>
          <w:marRight w:val="0"/>
          <w:marTop w:val="0"/>
          <w:marBottom w:val="101"/>
          <w:divBdr>
            <w:top w:val="none" w:sz="0" w:space="0" w:color="auto"/>
            <w:left w:val="none" w:sz="0" w:space="0" w:color="auto"/>
            <w:bottom w:val="none" w:sz="0" w:space="0" w:color="auto"/>
            <w:right w:val="none" w:sz="0" w:space="0" w:color="auto"/>
          </w:divBdr>
        </w:div>
      </w:divsChild>
    </w:div>
    <w:div w:id="781002080">
      <w:bodyDiv w:val="1"/>
      <w:marLeft w:val="0"/>
      <w:marRight w:val="0"/>
      <w:marTop w:val="0"/>
      <w:marBottom w:val="0"/>
      <w:divBdr>
        <w:top w:val="none" w:sz="0" w:space="0" w:color="auto"/>
        <w:left w:val="none" w:sz="0" w:space="0" w:color="auto"/>
        <w:bottom w:val="none" w:sz="0" w:space="0" w:color="auto"/>
        <w:right w:val="none" w:sz="0" w:space="0" w:color="auto"/>
      </w:divBdr>
      <w:divsChild>
        <w:div w:id="2057773598">
          <w:marLeft w:val="0"/>
          <w:marRight w:val="0"/>
          <w:marTop w:val="0"/>
          <w:marBottom w:val="82"/>
          <w:divBdr>
            <w:top w:val="none" w:sz="0" w:space="0" w:color="auto"/>
            <w:left w:val="none" w:sz="0" w:space="0" w:color="auto"/>
            <w:bottom w:val="none" w:sz="0" w:space="0" w:color="auto"/>
            <w:right w:val="none" w:sz="0" w:space="0" w:color="auto"/>
          </w:divBdr>
        </w:div>
        <w:div w:id="1837259677">
          <w:marLeft w:val="0"/>
          <w:marRight w:val="0"/>
          <w:marTop w:val="0"/>
          <w:marBottom w:val="82"/>
          <w:divBdr>
            <w:top w:val="none" w:sz="0" w:space="0" w:color="auto"/>
            <w:left w:val="none" w:sz="0" w:space="0" w:color="auto"/>
            <w:bottom w:val="none" w:sz="0" w:space="0" w:color="auto"/>
            <w:right w:val="none" w:sz="0" w:space="0" w:color="auto"/>
          </w:divBdr>
        </w:div>
        <w:div w:id="1006520419">
          <w:marLeft w:val="0"/>
          <w:marRight w:val="0"/>
          <w:marTop w:val="0"/>
          <w:marBottom w:val="82"/>
          <w:divBdr>
            <w:top w:val="none" w:sz="0" w:space="0" w:color="auto"/>
            <w:left w:val="none" w:sz="0" w:space="0" w:color="auto"/>
            <w:bottom w:val="none" w:sz="0" w:space="0" w:color="auto"/>
            <w:right w:val="none" w:sz="0" w:space="0" w:color="auto"/>
          </w:divBdr>
        </w:div>
      </w:divsChild>
    </w:div>
    <w:div w:id="805857505">
      <w:bodyDiv w:val="1"/>
      <w:marLeft w:val="0"/>
      <w:marRight w:val="0"/>
      <w:marTop w:val="0"/>
      <w:marBottom w:val="0"/>
      <w:divBdr>
        <w:top w:val="none" w:sz="0" w:space="0" w:color="auto"/>
        <w:left w:val="none" w:sz="0" w:space="0" w:color="auto"/>
        <w:bottom w:val="none" w:sz="0" w:space="0" w:color="auto"/>
        <w:right w:val="none" w:sz="0" w:space="0" w:color="auto"/>
      </w:divBdr>
    </w:div>
    <w:div w:id="821695453">
      <w:bodyDiv w:val="1"/>
      <w:marLeft w:val="0"/>
      <w:marRight w:val="0"/>
      <w:marTop w:val="0"/>
      <w:marBottom w:val="0"/>
      <w:divBdr>
        <w:top w:val="none" w:sz="0" w:space="0" w:color="auto"/>
        <w:left w:val="none" w:sz="0" w:space="0" w:color="auto"/>
        <w:bottom w:val="none" w:sz="0" w:space="0" w:color="auto"/>
        <w:right w:val="none" w:sz="0" w:space="0" w:color="auto"/>
      </w:divBdr>
    </w:div>
    <w:div w:id="822813506">
      <w:bodyDiv w:val="1"/>
      <w:marLeft w:val="0"/>
      <w:marRight w:val="0"/>
      <w:marTop w:val="0"/>
      <w:marBottom w:val="0"/>
      <w:divBdr>
        <w:top w:val="none" w:sz="0" w:space="0" w:color="auto"/>
        <w:left w:val="none" w:sz="0" w:space="0" w:color="auto"/>
        <w:bottom w:val="none" w:sz="0" w:space="0" w:color="auto"/>
        <w:right w:val="none" w:sz="0" w:space="0" w:color="auto"/>
      </w:divBdr>
    </w:div>
    <w:div w:id="836960406">
      <w:bodyDiv w:val="1"/>
      <w:marLeft w:val="0"/>
      <w:marRight w:val="0"/>
      <w:marTop w:val="0"/>
      <w:marBottom w:val="0"/>
      <w:divBdr>
        <w:top w:val="none" w:sz="0" w:space="0" w:color="auto"/>
        <w:left w:val="none" w:sz="0" w:space="0" w:color="auto"/>
        <w:bottom w:val="none" w:sz="0" w:space="0" w:color="auto"/>
        <w:right w:val="none" w:sz="0" w:space="0" w:color="auto"/>
      </w:divBdr>
    </w:div>
    <w:div w:id="898132658">
      <w:bodyDiv w:val="1"/>
      <w:marLeft w:val="0"/>
      <w:marRight w:val="0"/>
      <w:marTop w:val="0"/>
      <w:marBottom w:val="0"/>
      <w:divBdr>
        <w:top w:val="none" w:sz="0" w:space="0" w:color="auto"/>
        <w:left w:val="none" w:sz="0" w:space="0" w:color="auto"/>
        <w:bottom w:val="none" w:sz="0" w:space="0" w:color="auto"/>
        <w:right w:val="none" w:sz="0" w:space="0" w:color="auto"/>
      </w:divBdr>
    </w:div>
    <w:div w:id="967665999">
      <w:bodyDiv w:val="1"/>
      <w:marLeft w:val="0"/>
      <w:marRight w:val="0"/>
      <w:marTop w:val="0"/>
      <w:marBottom w:val="0"/>
      <w:divBdr>
        <w:top w:val="none" w:sz="0" w:space="0" w:color="auto"/>
        <w:left w:val="none" w:sz="0" w:space="0" w:color="auto"/>
        <w:bottom w:val="none" w:sz="0" w:space="0" w:color="auto"/>
        <w:right w:val="none" w:sz="0" w:space="0" w:color="auto"/>
      </w:divBdr>
    </w:div>
    <w:div w:id="971718265">
      <w:bodyDiv w:val="1"/>
      <w:marLeft w:val="0"/>
      <w:marRight w:val="0"/>
      <w:marTop w:val="0"/>
      <w:marBottom w:val="0"/>
      <w:divBdr>
        <w:top w:val="none" w:sz="0" w:space="0" w:color="auto"/>
        <w:left w:val="none" w:sz="0" w:space="0" w:color="auto"/>
        <w:bottom w:val="none" w:sz="0" w:space="0" w:color="auto"/>
        <w:right w:val="none" w:sz="0" w:space="0" w:color="auto"/>
      </w:divBdr>
    </w:div>
    <w:div w:id="995570247">
      <w:bodyDiv w:val="1"/>
      <w:marLeft w:val="0"/>
      <w:marRight w:val="0"/>
      <w:marTop w:val="0"/>
      <w:marBottom w:val="0"/>
      <w:divBdr>
        <w:top w:val="none" w:sz="0" w:space="0" w:color="auto"/>
        <w:left w:val="none" w:sz="0" w:space="0" w:color="auto"/>
        <w:bottom w:val="none" w:sz="0" w:space="0" w:color="auto"/>
        <w:right w:val="none" w:sz="0" w:space="0" w:color="auto"/>
      </w:divBdr>
    </w:div>
    <w:div w:id="1006178008">
      <w:bodyDiv w:val="1"/>
      <w:marLeft w:val="0"/>
      <w:marRight w:val="0"/>
      <w:marTop w:val="0"/>
      <w:marBottom w:val="0"/>
      <w:divBdr>
        <w:top w:val="none" w:sz="0" w:space="0" w:color="auto"/>
        <w:left w:val="none" w:sz="0" w:space="0" w:color="auto"/>
        <w:bottom w:val="none" w:sz="0" w:space="0" w:color="auto"/>
        <w:right w:val="none" w:sz="0" w:space="0" w:color="auto"/>
      </w:divBdr>
    </w:div>
    <w:div w:id="1051079652">
      <w:bodyDiv w:val="1"/>
      <w:marLeft w:val="0"/>
      <w:marRight w:val="0"/>
      <w:marTop w:val="0"/>
      <w:marBottom w:val="0"/>
      <w:divBdr>
        <w:top w:val="none" w:sz="0" w:space="0" w:color="auto"/>
        <w:left w:val="none" w:sz="0" w:space="0" w:color="auto"/>
        <w:bottom w:val="none" w:sz="0" w:space="0" w:color="auto"/>
        <w:right w:val="none" w:sz="0" w:space="0" w:color="auto"/>
      </w:divBdr>
    </w:div>
    <w:div w:id="1057389729">
      <w:bodyDiv w:val="1"/>
      <w:marLeft w:val="0"/>
      <w:marRight w:val="0"/>
      <w:marTop w:val="0"/>
      <w:marBottom w:val="0"/>
      <w:divBdr>
        <w:top w:val="none" w:sz="0" w:space="0" w:color="auto"/>
        <w:left w:val="none" w:sz="0" w:space="0" w:color="auto"/>
        <w:bottom w:val="none" w:sz="0" w:space="0" w:color="auto"/>
        <w:right w:val="none" w:sz="0" w:space="0" w:color="auto"/>
      </w:divBdr>
    </w:div>
    <w:div w:id="1064066917">
      <w:bodyDiv w:val="1"/>
      <w:marLeft w:val="0"/>
      <w:marRight w:val="0"/>
      <w:marTop w:val="0"/>
      <w:marBottom w:val="0"/>
      <w:divBdr>
        <w:top w:val="none" w:sz="0" w:space="0" w:color="auto"/>
        <w:left w:val="none" w:sz="0" w:space="0" w:color="auto"/>
        <w:bottom w:val="none" w:sz="0" w:space="0" w:color="auto"/>
        <w:right w:val="none" w:sz="0" w:space="0" w:color="auto"/>
      </w:divBdr>
    </w:div>
    <w:div w:id="1105492631">
      <w:bodyDiv w:val="1"/>
      <w:marLeft w:val="0"/>
      <w:marRight w:val="0"/>
      <w:marTop w:val="0"/>
      <w:marBottom w:val="0"/>
      <w:divBdr>
        <w:top w:val="none" w:sz="0" w:space="0" w:color="auto"/>
        <w:left w:val="none" w:sz="0" w:space="0" w:color="auto"/>
        <w:bottom w:val="none" w:sz="0" w:space="0" w:color="auto"/>
        <w:right w:val="none" w:sz="0" w:space="0" w:color="auto"/>
      </w:divBdr>
    </w:div>
    <w:div w:id="1120687603">
      <w:bodyDiv w:val="1"/>
      <w:marLeft w:val="0"/>
      <w:marRight w:val="0"/>
      <w:marTop w:val="0"/>
      <w:marBottom w:val="0"/>
      <w:divBdr>
        <w:top w:val="none" w:sz="0" w:space="0" w:color="auto"/>
        <w:left w:val="none" w:sz="0" w:space="0" w:color="auto"/>
        <w:bottom w:val="none" w:sz="0" w:space="0" w:color="auto"/>
        <w:right w:val="none" w:sz="0" w:space="0" w:color="auto"/>
      </w:divBdr>
    </w:div>
    <w:div w:id="1127508920">
      <w:bodyDiv w:val="1"/>
      <w:marLeft w:val="0"/>
      <w:marRight w:val="0"/>
      <w:marTop w:val="0"/>
      <w:marBottom w:val="0"/>
      <w:divBdr>
        <w:top w:val="none" w:sz="0" w:space="0" w:color="auto"/>
        <w:left w:val="none" w:sz="0" w:space="0" w:color="auto"/>
        <w:bottom w:val="none" w:sz="0" w:space="0" w:color="auto"/>
        <w:right w:val="none" w:sz="0" w:space="0" w:color="auto"/>
      </w:divBdr>
    </w:div>
    <w:div w:id="1172600720">
      <w:bodyDiv w:val="1"/>
      <w:marLeft w:val="0"/>
      <w:marRight w:val="0"/>
      <w:marTop w:val="0"/>
      <w:marBottom w:val="0"/>
      <w:divBdr>
        <w:top w:val="none" w:sz="0" w:space="0" w:color="auto"/>
        <w:left w:val="none" w:sz="0" w:space="0" w:color="auto"/>
        <w:bottom w:val="none" w:sz="0" w:space="0" w:color="auto"/>
        <w:right w:val="none" w:sz="0" w:space="0" w:color="auto"/>
      </w:divBdr>
    </w:div>
    <w:div w:id="1192182570">
      <w:bodyDiv w:val="1"/>
      <w:marLeft w:val="0"/>
      <w:marRight w:val="0"/>
      <w:marTop w:val="0"/>
      <w:marBottom w:val="0"/>
      <w:divBdr>
        <w:top w:val="none" w:sz="0" w:space="0" w:color="auto"/>
        <w:left w:val="none" w:sz="0" w:space="0" w:color="auto"/>
        <w:bottom w:val="none" w:sz="0" w:space="0" w:color="auto"/>
        <w:right w:val="none" w:sz="0" w:space="0" w:color="auto"/>
      </w:divBdr>
    </w:div>
    <w:div w:id="1196428752">
      <w:bodyDiv w:val="1"/>
      <w:marLeft w:val="0"/>
      <w:marRight w:val="0"/>
      <w:marTop w:val="0"/>
      <w:marBottom w:val="0"/>
      <w:divBdr>
        <w:top w:val="none" w:sz="0" w:space="0" w:color="auto"/>
        <w:left w:val="none" w:sz="0" w:space="0" w:color="auto"/>
        <w:bottom w:val="none" w:sz="0" w:space="0" w:color="auto"/>
        <w:right w:val="none" w:sz="0" w:space="0" w:color="auto"/>
      </w:divBdr>
    </w:div>
    <w:div w:id="1204559646">
      <w:bodyDiv w:val="1"/>
      <w:marLeft w:val="0"/>
      <w:marRight w:val="0"/>
      <w:marTop w:val="0"/>
      <w:marBottom w:val="0"/>
      <w:divBdr>
        <w:top w:val="none" w:sz="0" w:space="0" w:color="auto"/>
        <w:left w:val="none" w:sz="0" w:space="0" w:color="auto"/>
        <w:bottom w:val="none" w:sz="0" w:space="0" w:color="auto"/>
        <w:right w:val="none" w:sz="0" w:space="0" w:color="auto"/>
      </w:divBdr>
    </w:div>
    <w:div w:id="1246770568">
      <w:bodyDiv w:val="1"/>
      <w:marLeft w:val="0"/>
      <w:marRight w:val="0"/>
      <w:marTop w:val="0"/>
      <w:marBottom w:val="0"/>
      <w:divBdr>
        <w:top w:val="none" w:sz="0" w:space="0" w:color="auto"/>
        <w:left w:val="none" w:sz="0" w:space="0" w:color="auto"/>
        <w:bottom w:val="none" w:sz="0" w:space="0" w:color="auto"/>
        <w:right w:val="none" w:sz="0" w:space="0" w:color="auto"/>
      </w:divBdr>
    </w:div>
    <w:div w:id="1275363284">
      <w:bodyDiv w:val="1"/>
      <w:marLeft w:val="0"/>
      <w:marRight w:val="0"/>
      <w:marTop w:val="0"/>
      <w:marBottom w:val="0"/>
      <w:divBdr>
        <w:top w:val="none" w:sz="0" w:space="0" w:color="auto"/>
        <w:left w:val="none" w:sz="0" w:space="0" w:color="auto"/>
        <w:bottom w:val="none" w:sz="0" w:space="0" w:color="auto"/>
        <w:right w:val="none" w:sz="0" w:space="0" w:color="auto"/>
      </w:divBdr>
    </w:div>
    <w:div w:id="1281764780">
      <w:bodyDiv w:val="1"/>
      <w:marLeft w:val="0"/>
      <w:marRight w:val="0"/>
      <w:marTop w:val="0"/>
      <w:marBottom w:val="0"/>
      <w:divBdr>
        <w:top w:val="none" w:sz="0" w:space="0" w:color="auto"/>
        <w:left w:val="none" w:sz="0" w:space="0" w:color="auto"/>
        <w:bottom w:val="none" w:sz="0" w:space="0" w:color="auto"/>
        <w:right w:val="none" w:sz="0" w:space="0" w:color="auto"/>
      </w:divBdr>
    </w:div>
    <w:div w:id="1295597826">
      <w:bodyDiv w:val="1"/>
      <w:marLeft w:val="0"/>
      <w:marRight w:val="0"/>
      <w:marTop w:val="0"/>
      <w:marBottom w:val="0"/>
      <w:divBdr>
        <w:top w:val="none" w:sz="0" w:space="0" w:color="auto"/>
        <w:left w:val="none" w:sz="0" w:space="0" w:color="auto"/>
        <w:bottom w:val="none" w:sz="0" w:space="0" w:color="auto"/>
        <w:right w:val="none" w:sz="0" w:space="0" w:color="auto"/>
      </w:divBdr>
    </w:div>
    <w:div w:id="1300763708">
      <w:bodyDiv w:val="1"/>
      <w:marLeft w:val="0"/>
      <w:marRight w:val="0"/>
      <w:marTop w:val="0"/>
      <w:marBottom w:val="0"/>
      <w:divBdr>
        <w:top w:val="none" w:sz="0" w:space="0" w:color="auto"/>
        <w:left w:val="none" w:sz="0" w:space="0" w:color="auto"/>
        <w:bottom w:val="none" w:sz="0" w:space="0" w:color="auto"/>
        <w:right w:val="none" w:sz="0" w:space="0" w:color="auto"/>
      </w:divBdr>
      <w:divsChild>
        <w:div w:id="1492062123">
          <w:marLeft w:val="0"/>
          <w:marRight w:val="0"/>
          <w:marTop w:val="0"/>
          <w:marBottom w:val="0"/>
          <w:divBdr>
            <w:top w:val="none" w:sz="0" w:space="0" w:color="auto"/>
            <w:left w:val="none" w:sz="0" w:space="0" w:color="auto"/>
            <w:bottom w:val="none" w:sz="0" w:space="0" w:color="auto"/>
            <w:right w:val="none" w:sz="0" w:space="0" w:color="auto"/>
          </w:divBdr>
        </w:div>
      </w:divsChild>
    </w:div>
    <w:div w:id="1313289894">
      <w:bodyDiv w:val="1"/>
      <w:marLeft w:val="0"/>
      <w:marRight w:val="0"/>
      <w:marTop w:val="0"/>
      <w:marBottom w:val="0"/>
      <w:divBdr>
        <w:top w:val="none" w:sz="0" w:space="0" w:color="auto"/>
        <w:left w:val="none" w:sz="0" w:space="0" w:color="auto"/>
        <w:bottom w:val="none" w:sz="0" w:space="0" w:color="auto"/>
        <w:right w:val="none" w:sz="0" w:space="0" w:color="auto"/>
      </w:divBdr>
    </w:div>
    <w:div w:id="1369984909">
      <w:bodyDiv w:val="1"/>
      <w:marLeft w:val="0"/>
      <w:marRight w:val="0"/>
      <w:marTop w:val="0"/>
      <w:marBottom w:val="0"/>
      <w:divBdr>
        <w:top w:val="none" w:sz="0" w:space="0" w:color="auto"/>
        <w:left w:val="none" w:sz="0" w:space="0" w:color="auto"/>
        <w:bottom w:val="none" w:sz="0" w:space="0" w:color="auto"/>
        <w:right w:val="none" w:sz="0" w:space="0" w:color="auto"/>
      </w:divBdr>
    </w:div>
    <w:div w:id="1439526493">
      <w:bodyDiv w:val="1"/>
      <w:marLeft w:val="0"/>
      <w:marRight w:val="0"/>
      <w:marTop w:val="0"/>
      <w:marBottom w:val="0"/>
      <w:divBdr>
        <w:top w:val="none" w:sz="0" w:space="0" w:color="auto"/>
        <w:left w:val="none" w:sz="0" w:space="0" w:color="auto"/>
        <w:bottom w:val="none" w:sz="0" w:space="0" w:color="auto"/>
        <w:right w:val="none" w:sz="0" w:space="0" w:color="auto"/>
      </w:divBdr>
    </w:div>
    <w:div w:id="1471633634">
      <w:bodyDiv w:val="1"/>
      <w:marLeft w:val="0"/>
      <w:marRight w:val="0"/>
      <w:marTop w:val="0"/>
      <w:marBottom w:val="0"/>
      <w:divBdr>
        <w:top w:val="none" w:sz="0" w:space="0" w:color="auto"/>
        <w:left w:val="none" w:sz="0" w:space="0" w:color="auto"/>
        <w:bottom w:val="none" w:sz="0" w:space="0" w:color="auto"/>
        <w:right w:val="none" w:sz="0" w:space="0" w:color="auto"/>
      </w:divBdr>
    </w:div>
    <w:div w:id="1490902426">
      <w:bodyDiv w:val="1"/>
      <w:marLeft w:val="0"/>
      <w:marRight w:val="0"/>
      <w:marTop w:val="0"/>
      <w:marBottom w:val="0"/>
      <w:divBdr>
        <w:top w:val="none" w:sz="0" w:space="0" w:color="auto"/>
        <w:left w:val="none" w:sz="0" w:space="0" w:color="auto"/>
        <w:bottom w:val="none" w:sz="0" w:space="0" w:color="auto"/>
        <w:right w:val="none" w:sz="0" w:space="0" w:color="auto"/>
      </w:divBdr>
    </w:div>
    <w:div w:id="1491867372">
      <w:bodyDiv w:val="1"/>
      <w:marLeft w:val="0"/>
      <w:marRight w:val="0"/>
      <w:marTop w:val="0"/>
      <w:marBottom w:val="0"/>
      <w:divBdr>
        <w:top w:val="none" w:sz="0" w:space="0" w:color="auto"/>
        <w:left w:val="none" w:sz="0" w:space="0" w:color="auto"/>
        <w:bottom w:val="none" w:sz="0" w:space="0" w:color="auto"/>
        <w:right w:val="none" w:sz="0" w:space="0" w:color="auto"/>
      </w:divBdr>
    </w:div>
    <w:div w:id="1498573636">
      <w:bodyDiv w:val="1"/>
      <w:marLeft w:val="0"/>
      <w:marRight w:val="0"/>
      <w:marTop w:val="0"/>
      <w:marBottom w:val="0"/>
      <w:divBdr>
        <w:top w:val="none" w:sz="0" w:space="0" w:color="auto"/>
        <w:left w:val="none" w:sz="0" w:space="0" w:color="auto"/>
        <w:bottom w:val="none" w:sz="0" w:space="0" w:color="auto"/>
        <w:right w:val="none" w:sz="0" w:space="0" w:color="auto"/>
      </w:divBdr>
    </w:div>
    <w:div w:id="1501003471">
      <w:bodyDiv w:val="1"/>
      <w:marLeft w:val="0"/>
      <w:marRight w:val="0"/>
      <w:marTop w:val="0"/>
      <w:marBottom w:val="0"/>
      <w:divBdr>
        <w:top w:val="none" w:sz="0" w:space="0" w:color="auto"/>
        <w:left w:val="none" w:sz="0" w:space="0" w:color="auto"/>
        <w:bottom w:val="none" w:sz="0" w:space="0" w:color="auto"/>
        <w:right w:val="none" w:sz="0" w:space="0" w:color="auto"/>
      </w:divBdr>
    </w:div>
    <w:div w:id="1544051412">
      <w:bodyDiv w:val="1"/>
      <w:marLeft w:val="0"/>
      <w:marRight w:val="0"/>
      <w:marTop w:val="0"/>
      <w:marBottom w:val="0"/>
      <w:divBdr>
        <w:top w:val="none" w:sz="0" w:space="0" w:color="auto"/>
        <w:left w:val="none" w:sz="0" w:space="0" w:color="auto"/>
        <w:bottom w:val="none" w:sz="0" w:space="0" w:color="auto"/>
        <w:right w:val="none" w:sz="0" w:space="0" w:color="auto"/>
      </w:divBdr>
    </w:div>
    <w:div w:id="1545675350">
      <w:bodyDiv w:val="1"/>
      <w:marLeft w:val="0"/>
      <w:marRight w:val="0"/>
      <w:marTop w:val="0"/>
      <w:marBottom w:val="0"/>
      <w:divBdr>
        <w:top w:val="none" w:sz="0" w:space="0" w:color="auto"/>
        <w:left w:val="none" w:sz="0" w:space="0" w:color="auto"/>
        <w:bottom w:val="none" w:sz="0" w:space="0" w:color="auto"/>
        <w:right w:val="none" w:sz="0" w:space="0" w:color="auto"/>
      </w:divBdr>
    </w:div>
    <w:div w:id="1600259596">
      <w:bodyDiv w:val="1"/>
      <w:marLeft w:val="0"/>
      <w:marRight w:val="0"/>
      <w:marTop w:val="0"/>
      <w:marBottom w:val="0"/>
      <w:divBdr>
        <w:top w:val="none" w:sz="0" w:space="0" w:color="auto"/>
        <w:left w:val="none" w:sz="0" w:space="0" w:color="auto"/>
        <w:bottom w:val="none" w:sz="0" w:space="0" w:color="auto"/>
        <w:right w:val="none" w:sz="0" w:space="0" w:color="auto"/>
      </w:divBdr>
    </w:div>
    <w:div w:id="1607272135">
      <w:bodyDiv w:val="1"/>
      <w:marLeft w:val="0"/>
      <w:marRight w:val="0"/>
      <w:marTop w:val="0"/>
      <w:marBottom w:val="0"/>
      <w:divBdr>
        <w:top w:val="none" w:sz="0" w:space="0" w:color="auto"/>
        <w:left w:val="none" w:sz="0" w:space="0" w:color="auto"/>
        <w:bottom w:val="none" w:sz="0" w:space="0" w:color="auto"/>
        <w:right w:val="none" w:sz="0" w:space="0" w:color="auto"/>
      </w:divBdr>
    </w:div>
    <w:div w:id="1635865652">
      <w:bodyDiv w:val="1"/>
      <w:marLeft w:val="0"/>
      <w:marRight w:val="0"/>
      <w:marTop w:val="0"/>
      <w:marBottom w:val="0"/>
      <w:divBdr>
        <w:top w:val="none" w:sz="0" w:space="0" w:color="auto"/>
        <w:left w:val="none" w:sz="0" w:space="0" w:color="auto"/>
        <w:bottom w:val="none" w:sz="0" w:space="0" w:color="auto"/>
        <w:right w:val="none" w:sz="0" w:space="0" w:color="auto"/>
      </w:divBdr>
    </w:div>
    <w:div w:id="1710034656">
      <w:bodyDiv w:val="1"/>
      <w:marLeft w:val="0"/>
      <w:marRight w:val="0"/>
      <w:marTop w:val="0"/>
      <w:marBottom w:val="0"/>
      <w:divBdr>
        <w:top w:val="none" w:sz="0" w:space="0" w:color="auto"/>
        <w:left w:val="none" w:sz="0" w:space="0" w:color="auto"/>
        <w:bottom w:val="none" w:sz="0" w:space="0" w:color="auto"/>
        <w:right w:val="none" w:sz="0" w:space="0" w:color="auto"/>
      </w:divBdr>
    </w:div>
    <w:div w:id="1715347226">
      <w:bodyDiv w:val="1"/>
      <w:marLeft w:val="0"/>
      <w:marRight w:val="0"/>
      <w:marTop w:val="0"/>
      <w:marBottom w:val="0"/>
      <w:divBdr>
        <w:top w:val="none" w:sz="0" w:space="0" w:color="auto"/>
        <w:left w:val="none" w:sz="0" w:space="0" w:color="auto"/>
        <w:bottom w:val="none" w:sz="0" w:space="0" w:color="auto"/>
        <w:right w:val="none" w:sz="0" w:space="0" w:color="auto"/>
      </w:divBdr>
    </w:div>
    <w:div w:id="1736539415">
      <w:bodyDiv w:val="1"/>
      <w:marLeft w:val="0"/>
      <w:marRight w:val="0"/>
      <w:marTop w:val="0"/>
      <w:marBottom w:val="0"/>
      <w:divBdr>
        <w:top w:val="none" w:sz="0" w:space="0" w:color="auto"/>
        <w:left w:val="none" w:sz="0" w:space="0" w:color="auto"/>
        <w:bottom w:val="none" w:sz="0" w:space="0" w:color="auto"/>
        <w:right w:val="none" w:sz="0" w:space="0" w:color="auto"/>
      </w:divBdr>
    </w:div>
    <w:div w:id="1767841432">
      <w:bodyDiv w:val="1"/>
      <w:marLeft w:val="0"/>
      <w:marRight w:val="0"/>
      <w:marTop w:val="0"/>
      <w:marBottom w:val="0"/>
      <w:divBdr>
        <w:top w:val="none" w:sz="0" w:space="0" w:color="auto"/>
        <w:left w:val="none" w:sz="0" w:space="0" w:color="auto"/>
        <w:bottom w:val="none" w:sz="0" w:space="0" w:color="auto"/>
        <w:right w:val="none" w:sz="0" w:space="0" w:color="auto"/>
      </w:divBdr>
    </w:div>
    <w:div w:id="1772555358">
      <w:bodyDiv w:val="1"/>
      <w:marLeft w:val="0"/>
      <w:marRight w:val="0"/>
      <w:marTop w:val="0"/>
      <w:marBottom w:val="0"/>
      <w:divBdr>
        <w:top w:val="none" w:sz="0" w:space="0" w:color="auto"/>
        <w:left w:val="none" w:sz="0" w:space="0" w:color="auto"/>
        <w:bottom w:val="none" w:sz="0" w:space="0" w:color="auto"/>
        <w:right w:val="none" w:sz="0" w:space="0" w:color="auto"/>
      </w:divBdr>
    </w:div>
    <w:div w:id="1773738902">
      <w:bodyDiv w:val="1"/>
      <w:marLeft w:val="0"/>
      <w:marRight w:val="0"/>
      <w:marTop w:val="0"/>
      <w:marBottom w:val="0"/>
      <w:divBdr>
        <w:top w:val="none" w:sz="0" w:space="0" w:color="auto"/>
        <w:left w:val="none" w:sz="0" w:space="0" w:color="auto"/>
        <w:bottom w:val="none" w:sz="0" w:space="0" w:color="auto"/>
        <w:right w:val="none" w:sz="0" w:space="0" w:color="auto"/>
      </w:divBdr>
    </w:div>
    <w:div w:id="1774938336">
      <w:bodyDiv w:val="1"/>
      <w:marLeft w:val="0"/>
      <w:marRight w:val="0"/>
      <w:marTop w:val="0"/>
      <w:marBottom w:val="0"/>
      <w:divBdr>
        <w:top w:val="none" w:sz="0" w:space="0" w:color="auto"/>
        <w:left w:val="none" w:sz="0" w:space="0" w:color="auto"/>
        <w:bottom w:val="none" w:sz="0" w:space="0" w:color="auto"/>
        <w:right w:val="none" w:sz="0" w:space="0" w:color="auto"/>
      </w:divBdr>
    </w:div>
    <w:div w:id="1811433288">
      <w:bodyDiv w:val="1"/>
      <w:marLeft w:val="0"/>
      <w:marRight w:val="0"/>
      <w:marTop w:val="0"/>
      <w:marBottom w:val="0"/>
      <w:divBdr>
        <w:top w:val="none" w:sz="0" w:space="0" w:color="auto"/>
        <w:left w:val="none" w:sz="0" w:space="0" w:color="auto"/>
        <w:bottom w:val="none" w:sz="0" w:space="0" w:color="auto"/>
        <w:right w:val="none" w:sz="0" w:space="0" w:color="auto"/>
      </w:divBdr>
    </w:div>
    <w:div w:id="1816331152">
      <w:bodyDiv w:val="1"/>
      <w:marLeft w:val="0"/>
      <w:marRight w:val="0"/>
      <w:marTop w:val="0"/>
      <w:marBottom w:val="0"/>
      <w:divBdr>
        <w:top w:val="none" w:sz="0" w:space="0" w:color="auto"/>
        <w:left w:val="none" w:sz="0" w:space="0" w:color="auto"/>
        <w:bottom w:val="none" w:sz="0" w:space="0" w:color="auto"/>
        <w:right w:val="none" w:sz="0" w:space="0" w:color="auto"/>
      </w:divBdr>
    </w:div>
    <w:div w:id="1817255574">
      <w:bodyDiv w:val="1"/>
      <w:marLeft w:val="0"/>
      <w:marRight w:val="0"/>
      <w:marTop w:val="0"/>
      <w:marBottom w:val="0"/>
      <w:divBdr>
        <w:top w:val="none" w:sz="0" w:space="0" w:color="auto"/>
        <w:left w:val="none" w:sz="0" w:space="0" w:color="auto"/>
        <w:bottom w:val="none" w:sz="0" w:space="0" w:color="auto"/>
        <w:right w:val="none" w:sz="0" w:space="0" w:color="auto"/>
      </w:divBdr>
    </w:div>
    <w:div w:id="1910992747">
      <w:bodyDiv w:val="1"/>
      <w:marLeft w:val="0"/>
      <w:marRight w:val="0"/>
      <w:marTop w:val="0"/>
      <w:marBottom w:val="0"/>
      <w:divBdr>
        <w:top w:val="none" w:sz="0" w:space="0" w:color="auto"/>
        <w:left w:val="none" w:sz="0" w:space="0" w:color="auto"/>
        <w:bottom w:val="none" w:sz="0" w:space="0" w:color="auto"/>
        <w:right w:val="none" w:sz="0" w:space="0" w:color="auto"/>
      </w:divBdr>
    </w:div>
    <w:div w:id="1933319251">
      <w:bodyDiv w:val="1"/>
      <w:marLeft w:val="0"/>
      <w:marRight w:val="0"/>
      <w:marTop w:val="0"/>
      <w:marBottom w:val="0"/>
      <w:divBdr>
        <w:top w:val="none" w:sz="0" w:space="0" w:color="auto"/>
        <w:left w:val="none" w:sz="0" w:space="0" w:color="auto"/>
        <w:bottom w:val="none" w:sz="0" w:space="0" w:color="auto"/>
        <w:right w:val="none" w:sz="0" w:space="0" w:color="auto"/>
      </w:divBdr>
    </w:div>
    <w:div w:id="1935435357">
      <w:bodyDiv w:val="1"/>
      <w:marLeft w:val="0"/>
      <w:marRight w:val="0"/>
      <w:marTop w:val="0"/>
      <w:marBottom w:val="0"/>
      <w:divBdr>
        <w:top w:val="none" w:sz="0" w:space="0" w:color="auto"/>
        <w:left w:val="none" w:sz="0" w:space="0" w:color="auto"/>
        <w:bottom w:val="none" w:sz="0" w:space="0" w:color="auto"/>
        <w:right w:val="none" w:sz="0" w:space="0" w:color="auto"/>
      </w:divBdr>
    </w:div>
    <w:div w:id="1968970854">
      <w:bodyDiv w:val="1"/>
      <w:marLeft w:val="0"/>
      <w:marRight w:val="0"/>
      <w:marTop w:val="0"/>
      <w:marBottom w:val="0"/>
      <w:divBdr>
        <w:top w:val="none" w:sz="0" w:space="0" w:color="auto"/>
        <w:left w:val="none" w:sz="0" w:space="0" w:color="auto"/>
        <w:bottom w:val="none" w:sz="0" w:space="0" w:color="auto"/>
        <w:right w:val="none" w:sz="0" w:space="0" w:color="auto"/>
      </w:divBdr>
    </w:div>
    <w:div w:id="1988435493">
      <w:bodyDiv w:val="1"/>
      <w:marLeft w:val="0"/>
      <w:marRight w:val="0"/>
      <w:marTop w:val="0"/>
      <w:marBottom w:val="0"/>
      <w:divBdr>
        <w:top w:val="none" w:sz="0" w:space="0" w:color="auto"/>
        <w:left w:val="none" w:sz="0" w:space="0" w:color="auto"/>
        <w:bottom w:val="none" w:sz="0" w:space="0" w:color="auto"/>
        <w:right w:val="none" w:sz="0" w:space="0" w:color="auto"/>
      </w:divBdr>
    </w:div>
    <w:div w:id="2038919612">
      <w:bodyDiv w:val="1"/>
      <w:marLeft w:val="0"/>
      <w:marRight w:val="0"/>
      <w:marTop w:val="0"/>
      <w:marBottom w:val="0"/>
      <w:divBdr>
        <w:top w:val="none" w:sz="0" w:space="0" w:color="auto"/>
        <w:left w:val="none" w:sz="0" w:space="0" w:color="auto"/>
        <w:bottom w:val="none" w:sz="0" w:space="0" w:color="auto"/>
        <w:right w:val="none" w:sz="0" w:space="0" w:color="auto"/>
      </w:divBdr>
    </w:div>
    <w:div w:id="2039894004">
      <w:bodyDiv w:val="1"/>
      <w:marLeft w:val="0"/>
      <w:marRight w:val="0"/>
      <w:marTop w:val="0"/>
      <w:marBottom w:val="0"/>
      <w:divBdr>
        <w:top w:val="none" w:sz="0" w:space="0" w:color="auto"/>
        <w:left w:val="none" w:sz="0" w:space="0" w:color="auto"/>
        <w:bottom w:val="none" w:sz="0" w:space="0" w:color="auto"/>
        <w:right w:val="none" w:sz="0" w:space="0" w:color="auto"/>
      </w:divBdr>
    </w:div>
    <w:div w:id="2079280638">
      <w:bodyDiv w:val="1"/>
      <w:marLeft w:val="0"/>
      <w:marRight w:val="0"/>
      <w:marTop w:val="0"/>
      <w:marBottom w:val="0"/>
      <w:divBdr>
        <w:top w:val="none" w:sz="0" w:space="0" w:color="auto"/>
        <w:left w:val="none" w:sz="0" w:space="0" w:color="auto"/>
        <w:bottom w:val="none" w:sz="0" w:space="0" w:color="auto"/>
        <w:right w:val="none" w:sz="0" w:space="0" w:color="auto"/>
      </w:divBdr>
    </w:div>
    <w:div w:id="21359028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6E285C8-5C01-485E-9166-877445E92C7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Pages>
  <Words>10366</Words>
  <Characters>57015</Characters>
  <Application>Microsoft Office Word</Application>
  <DocSecurity>0</DocSecurity>
  <Lines>475</Lines>
  <Paragraphs>134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67247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José Fernado Lobato Rodríguez</dc:creator>
  <cp:lastModifiedBy>SGC Sáenz</cp:lastModifiedBy>
  <cp:revision>8</cp:revision>
  <cp:lastPrinted>2022-03-25T00:46:00Z</cp:lastPrinted>
  <dcterms:created xsi:type="dcterms:W3CDTF">2022-03-16T18:27:00Z</dcterms:created>
  <dcterms:modified xsi:type="dcterms:W3CDTF">2022-03-25T00:46:00Z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2058-11.2.0.9150</vt:lpwstr>
  </property>
</Properties>
</file>