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D508801" w:rsidR="00662C69" w:rsidRPr="00A30BAC" w:rsidRDefault="009B11D6" w:rsidP="00B31E90">
      <w:pPr>
        <w:tabs>
          <w:tab w:val="left" w:pos="3465"/>
        </w:tabs>
        <w:spacing w:line="360" w:lineRule="auto"/>
        <w:jc w:val="both"/>
        <w:rPr>
          <w:rFonts w:ascii="Palatino Linotype" w:hAnsi="Palatino Linotype"/>
          <w:color w:val="000000" w:themeColor="text1"/>
        </w:rPr>
      </w:pPr>
      <w:r w:rsidRPr="00A30BAC">
        <w:rPr>
          <w:rFonts w:ascii="Palatino Linotype" w:hAnsi="Palatino Linotype"/>
          <w:color w:val="000000" w:themeColor="text1"/>
        </w:rPr>
        <w:t>R</w:t>
      </w:r>
      <w:r w:rsidR="00662C69" w:rsidRPr="00A30BAC">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30BAC">
        <w:rPr>
          <w:rFonts w:ascii="Palatino Linotype" w:hAnsi="Palatino Linotype"/>
          <w:color w:val="000000" w:themeColor="text1"/>
        </w:rPr>
        <w:t>icipios, con</w:t>
      </w:r>
      <w:r w:rsidR="00662C69" w:rsidRPr="00A30BAC">
        <w:rPr>
          <w:rFonts w:ascii="Palatino Linotype" w:hAnsi="Palatino Linotype"/>
          <w:color w:val="000000" w:themeColor="text1"/>
        </w:rPr>
        <w:t xml:space="preserve"> </w:t>
      </w:r>
      <w:r w:rsidR="00485DB6" w:rsidRPr="00A30BAC">
        <w:rPr>
          <w:rFonts w:ascii="Palatino Linotype" w:hAnsi="Palatino Linotype"/>
          <w:color w:val="000000" w:themeColor="text1"/>
        </w:rPr>
        <w:t xml:space="preserve">domicilio </w:t>
      </w:r>
      <w:r w:rsidR="00662C69" w:rsidRPr="00A30BAC">
        <w:rPr>
          <w:rFonts w:ascii="Palatino Linotype" w:hAnsi="Palatino Linotype"/>
          <w:color w:val="000000" w:themeColor="text1"/>
        </w:rPr>
        <w:t xml:space="preserve">en Metepec, Estado de México; de </w:t>
      </w:r>
      <w:r w:rsidR="00D8175A" w:rsidRPr="00A30BAC">
        <w:rPr>
          <w:rFonts w:ascii="Palatino Linotype" w:hAnsi="Palatino Linotype"/>
          <w:color w:val="000000" w:themeColor="text1"/>
        </w:rPr>
        <w:t>diez</w:t>
      </w:r>
      <w:r w:rsidR="005003CF" w:rsidRPr="00A30BAC">
        <w:rPr>
          <w:rFonts w:ascii="Palatino Linotype" w:hAnsi="Palatino Linotype"/>
          <w:color w:val="000000" w:themeColor="text1"/>
        </w:rPr>
        <w:t xml:space="preserve"> (</w:t>
      </w:r>
      <w:r w:rsidR="00D8175A" w:rsidRPr="00A30BAC">
        <w:rPr>
          <w:rFonts w:ascii="Palatino Linotype" w:hAnsi="Palatino Linotype"/>
          <w:color w:val="000000" w:themeColor="text1"/>
        </w:rPr>
        <w:t>10</w:t>
      </w:r>
      <w:r w:rsidR="006458C0" w:rsidRPr="00A30BAC">
        <w:rPr>
          <w:rFonts w:ascii="Palatino Linotype" w:hAnsi="Palatino Linotype"/>
          <w:color w:val="000000" w:themeColor="text1"/>
        </w:rPr>
        <w:t>) de a</w:t>
      </w:r>
      <w:r w:rsidR="00D8175A" w:rsidRPr="00A30BAC">
        <w:rPr>
          <w:rFonts w:ascii="Palatino Linotype" w:hAnsi="Palatino Linotype"/>
          <w:color w:val="000000" w:themeColor="text1"/>
        </w:rPr>
        <w:t>gosto</w:t>
      </w:r>
      <w:r w:rsidR="00270A67" w:rsidRPr="00A30BAC">
        <w:rPr>
          <w:rFonts w:ascii="Palatino Linotype" w:hAnsi="Palatino Linotype"/>
          <w:color w:val="000000" w:themeColor="text1"/>
        </w:rPr>
        <w:t xml:space="preserve"> de dos mil veintidós</w:t>
      </w:r>
      <w:r w:rsidR="00662C69" w:rsidRPr="00A30BAC">
        <w:rPr>
          <w:rFonts w:ascii="Palatino Linotype" w:hAnsi="Palatino Linotype"/>
          <w:color w:val="000000" w:themeColor="text1"/>
        </w:rPr>
        <w:t>.</w:t>
      </w:r>
    </w:p>
    <w:p w14:paraId="1181C59D" w14:textId="77777777" w:rsidR="00B31E90" w:rsidRPr="00A30BAC" w:rsidRDefault="00B31E90" w:rsidP="00B31E90">
      <w:pPr>
        <w:tabs>
          <w:tab w:val="left" w:pos="3465"/>
        </w:tabs>
        <w:spacing w:line="360" w:lineRule="auto"/>
        <w:jc w:val="both"/>
        <w:rPr>
          <w:rFonts w:ascii="Palatino Linotype" w:hAnsi="Palatino Linotype"/>
          <w:color w:val="000000" w:themeColor="text1"/>
        </w:rPr>
      </w:pPr>
    </w:p>
    <w:p w14:paraId="04F87235" w14:textId="289D29F6" w:rsidR="005F0007" w:rsidRPr="00A30BAC" w:rsidRDefault="00662C69" w:rsidP="00B31E90">
      <w:pPr>
        <w:spacing w:line="360" w:lineRule="auto"/>
        <w:jc w:val="both"/>
        <w:rPr>
          <w:rFonts w:ascii="Palatino Linotype" w:eastAsia="Times New Roman" w:hAnsi="Palatino Linotype" w:cs="Times New Roman"/>
          <w:color w:val="000000" w:themeColor="text1"/>
        </w:rPr>
      </w:pPr>
      <w:r w:rsidRPr="00A30BAC">
        <w:rPr>
          <w:rFonts w:ascii="Palatino Linotype" w:hAnsi="Palatino Linotype"/>
          <w:b/>
          <w:color w:val="000000" w:themeColor="text1"/>
        </w:rPr>
        <w:t>VISTO</w:t>
      </w:r>
      <w:r w:rsidRPr="00A30BAC">
        <w:rPr>
          <w:rFonts w:ascii="Palatino Linotype" w:hAnsi="Palatino Linotype"/>
          <w:color w:val="000000" w:themeColor="text1"/>
        </w:rPr>
        <w:t xml:space="preserve"> el expediente electrónico for</w:t>
      </w:r>
      <w:r w:rsidR="00D37494" w:rsidRPr="00A30BAC">
        <w:rPr>
          <w:rFonts w:ascii="Palatino Linotype" w:hAnsi="Palatino Linotype"/>
          <w:color w:val="000000" w:themeColor="text1"/>
        </w:rPr>
        <w:t>mado con motivo del</w:t>
      </w:r>
      <w:r w:rsidRPr="00A30BAC">
        <w:rPr>
          <w:rFonts w:ascii="Palatino Linotype" w:hAnsi="Palatino Linotype"/>
          <w:color w:val="000000" w:themeColor="text1"/>
        </w:rPr>
        <w:t xml:space="preserve"> recurso de revisión </w:t>
      </w:r>
      <w:r w:rsidR="00A66149" w:rsidRPr="00A30BAC">
        <w:rPr>
          <w:rFonts w:ascii="Palatino Linotype" w:hAnsi="Palatino Linotype"/>
          <w:b/>
          <w:bCs/>
          <w:color w:val="000000" w:themeColor="text1"/>
        </w:rPr>
        <w:t>005</w:t>
      </w:r>
      <w:r w:rsidR="00D8175A" w:rsidRPr="00A30BAC">
        <w:rPr>
          <w:rFonts w:ascii="Palatino Linotype" w:hAnsi="Palatino Linotype"/>
          <w:b/>
          <w:bCs/>
          <w:color w:val="000000" w:themeColor="text1"/>
        </w:rPr>
        <w:t>23</w:t>
      </w:r>
      <w:r w:rsidR="00A66149" w:rsidRPr="00A30BAC">
        <w:rPr>
          <w:rFonts w:ascii="Palatino Linotype" w:hAnsi="Palatino Linotype"/>
          <w:b/>
          <w:bCs/>
          <w:color w:val="000000" w:themeColor="text1"/>
        </w:rPr>
        <w:t>/INFOEM/IP/RR/2022</w:t>
      </w:r>
      <w:r w:rsidR="005F1362" w:rsidRPr="00A30BAC">
        <w:rPr>
          <w:rFonts w:ascii="Palatino Linotype" w:eastAsia="Times New Roman" w:hAnsi="Palatino Linotype" w:cs="Arial"/>
          <w:bCs/>
          <w:color w:val="000000" w:themeColor="text1"/>
        </w:rPr>
        <w:t xml:space="preserve">, </w:t>
      </w:r>
      <w:r w:rsidR="006B31E7" w:rsidRPr="00A30BAC">
        <w:rPr>
          <w:rFonts w:ascii="Palatino Linotype" w:eastAsia="Times New Roman" w:hAnsi="Palatino Linotype" w:cs="Times New Roman"/>
          <w:color w:val="000000" w:themeColor="text1"/>
        </w:rPr>
        <w:t>interpuesto por</w:t>
      </w:r>
      <w:r w:rsidR="0078249C" w:rsidRPr="00A30BAC">
        <w:rPr>
          <w:rFonts w:ascii="Palatino Linotype" w:eastAsia="Times New Roman" w:hAnsi="Palatino Linotype" w:cs="Times New Roman"/>
          <w:color w:val="000000" w:themeColor="text1"/>
        </w:rPr>
        <w:t xml:space="preserve"> </w:t>
      </w:r>
      <w:r w:rsidR="007532F4" w:rsidRPr="00A30BAC">
        <w:rPr>
          <w:rFonts w:ascii="Palatino Linotype" w:eastAsia="Times New Roman" w:hAnsi="Palatino Linotype" w:cs="Times New Roman"/>
          <w:b/>
          <w:bCs/>
          <w:iCs/>
          <w:color w:val="000000" w:themeColor="text1"/>
        </w:rPr>
        <w:t xml:space="preserve">XXXXX </w:t>
      </w:r>
      <w:proofErr w:type="spellStart"/>
      <w:r w:rsidR="007532F4" w:rsidRPr="00A30BAC">
        <w:rPr>
          <w:rFonts w:ascii="Palatino Linotype" w:eastAsia="Times New Roman" w:hAnsi="Palatino Linotype" w:cs="Times New Roman"/>
          <w:b/>
          <w:bCs/>
          <w:iCs/>
          <w:color w:val="000000" w:themeColor="text1"/>
        </w:rPr>
        <w:t>XXXXX</w:t>
      </w:r>
      <w:proofErr w:type="spellEnd"/>
      <w:r w:rsidR="007532F4" w:rsidRPr="00A30BAC">
        <w:rPr>
          <w:rFonts w:ascii="Palatino Linotype" w:eastAsia="Times New Roman" w:hAnsi="Palatino Linotype" w:cs="Times New Roman"/>
          <w:b/>
          <w:bCs/>
          <w:iCs/>
          <w:color w:val="000000" w:themeColor="text1"/>
        </w:rPr>
        <w:t xml:space="preserve"> XXXX</w:t>
      </w:r>
      <w:r w:rsidR="00E647FF" w:rsidRPr="00A30BAC">
        <w:rPr>
          <w:rFonts w:ascii="Palatino Linotype" w:eastAsia="Times New Roman" w:hAnsi="Palatino Linotype" w:cs="Times New Roman"/>
          <w:color w:val="000000" w:themeColor="text1"/>
        </w:rPr>
        <w:t>,</w:t>
      </w:r>
      <w:r w:rsidR="0078249C" w:rsidRPr="00A30BAC">
        <w:rPr>
          <w:rFonts w:ascii="Palatino Linotype" w:eastAsia="Times New Roman" w:hAnsi="Palatino Linotype" w:cs="Times New Roman"/>
          <w:color w:val="000000" w:themeColor="text1"/>
        </w:rPr>
        <w:t xml:space="preserve"> </w:t>
      </w:r>
      <w:r w:rsidR="002B4277" w:rsidRPr="00A30BAC">
        <w:rPr>
          <w:rFonts w:ascii="Palatino Linotype" w:eastAsia="Times New Roman" w:hAnsi="Palatino Linotype" w:cs="Times New Roman"/>
          <w:color w:val="000000" w:themeColor="text1"/>
        </w:rPr>
        <w:t>en</w:t>
      </w:r>
      <w:r w:rsidR="0078249C" w:rsidRPr="00A30BAC">
        <w:rPr>
          <w:rFonts w:ascii="Palatino Linotype" w:eastAsia="Times New Roman" w:hAnsi="Palatino Linotype" w:cs="Times New Roman"/>
          <w:color w:val="000000" w:themeColor="text1"/>
        </w:rPr>
        <w:t xml:space="preserve"> </w:t>
      </w:r>
      <w:r w:rsidR="00E647FF" w:rsidRPr="00A30BAC">
        <w:rPr>
          <w:rFonts w:ascii="Palatino Linotype" w:eastAsia="Times New Roman" w:hAnsi="Palatino Linotype" w:cs="Times New Roman"/>
          <w:color w:val="000000" w:themeColor="text1"/>
        </w:rPr>
        <w:t>lo</w:t>
      </w:r>
      <w:r w:rsidR="0078249C" w:rsidRPr="00A30BAC">
        <w:rPr>
          <w:rFonts w:ascii="Palatino Linotype" w:eastAsia="Times New Roman" w:hAnsi="Palatino Linotype" w:cs="Times New Roman"/>
          <w:color w:val="000000" w:themeColor="text1"/>
        </w:rPr>
        <w:t xml:space="preserve"> </w:t>
      </w:r>
      <w:r w:rsidR="00E647FF" w:rsidRPr="00A30BAC">
        <w:rPr>
          <w:rFonts w:ascii="Palatino Linotype" w:eastAsia="Times New Roman" w:hAnsi="Palatino Linotype" w:cs="Times New Roman"/>
          <w:color w:val="000000" w:themeColor="text1"/>
        </w:rPr>
        <w:t>sucesivo</w:t>
      </w:r>
      <w:r w:rsidR="002B4277" w:rsidRPr="00A30BAC">
        <w:rPr>
          <w:rFonts w:ascii="Palatino Linotype" w:eastAsia="Times New Roman" w:hAnsi="Palatino Linotype" w:cs="Times New Roman"/>
          <w:color w:val="000000" w:themeColor="text1"/>
        </w:rPr>
        <w:t>,</w:t>
      </w:r>
      <w:r w:rsidR="00396F5D" w:rsidRPr="00A30BAC">
        <w:rPr>
          <w:rFonts w:ascii="Palatino Linotype" w:eastAsia="Times New Roman" w:hAnsi="Palatino Linotype" w:cs="Times New Roman"/>
          <w:color w:val="000000" w:themeColor="text1"/>
        </w:rPr>
        <w:t xml:space="preserve"> </w:t>
      </w:r>
      <w:r w:rsidR="00AF31FE" w:rsidRPr="00A30BAC">
        <w:rPr>
          <w:rFonts w:ascii="Palatino Linotype" w:eastAsia="Times New Roman" w:hAnsi="Palatino Linotype" w:cs="Times New Roman"/>
          <w:color w:val="000000" w:themeColor="text1"/>
        </w:rPr>
        <w:t>el</w:t>
      </w:r>
      <w:r w:rsidR="002B4277" w:rsidRPr="00A30BAC">
        <w:rPr>
          <w:rFonts w:ascii="Palatino Linotype" w:eastAsia="Times New Roman" w:hAnsi="Palatino Linotype" w:cs="Times New Roman"/>
          <w:color w:val="000000" w:themeColor="text1"/>
        </w:rPr>
        <w:t xml:space="preserve"> </w:t>
      </w:r>
      <w:r w:rsidR="006B31E7" w:rsidRPr="00A30BAC">
        <w:rPr>
          <w:rFonts w:ascii="Palatino Linotype" w:eastAsia="Times New Roman" w:hAnsi="Palatino Linotype" w:cs="Times New Roman"/>
          <w:b/>
          <w:bCs/>
          <w:color w:val="000000" w:themeColor="text1"/>
        </w:rPr>
        <w:t>RECURRENTE</w:t>
      </w:r>
      <w:r w:rsidR="00E647FF" w:rsidRPr="00A30BAC">
        <w:rPr>
          <w:rFonts w:ascii="Palatino Linotype" w:eastAsia="Times New Roman" w:hAnsi="Palatino Linotype" w:cs="Arial"/>
          <w:color w:val="000000" w:themeColor="text1"/>
        </w:rPr>
        <w:t>;</w:t>
      </w:r>
      <w:r w:rsidR="005F1362" w:rsidRPr="00A30BAC">
        <w:rPr>
          <w:rFonts w:ascii="Palatino Linotype" w:eastAsia="Times New Roman" w:hAnsi="Palatino Linotype" w:cs="Arial"/>
          <w:color w:val="000000" w:themeColor="text1"/>
        </w:rPr>
        <w:t xml:space="preserve"> en contra de la respuesta del</w:t>
      </w:r>
      <w:r w:rsidR="002C1007" w:rsidRPr="00A30BAC">
        <w:rPr>
          <w:rFonts w:ascii="Palatino Linotype" w:eastAsia="Times New Roman" w:hAnsi="Palatino Linotype" w:cs="Arial"/>
          <w:color w:val="000000" w:themeColor="text1"/>
        </w:rPr>
        <w:t xml:space="preserve"> </w:t>
      </w:r>
      <w:r w:rsidR="00A66149" w:rsidRPr="00A30BAC">
        <w:rPr>
          <w:rFonts w:ascii="Palatino Linotype" w:eastAsia="Times New Roman" w:hAnsi="Palatino Linotype" w:cs="Arial"/>
          <w:b/>
          <w:color w:val="000000" w:themeColor="text1"/>
        </w:rPr>
        <w:t xml:space="preserve">Ayuntamiento de </w:t>
      </w:r>
      <w:r w:rsidR="00D8175A" w:rsidRPr="00A30BAC">
        <w:rPr>
          <w:rFonts w:ascii="Palatino Linotype" w:eastAsia="Times New Roman" w:hAnsi="Palatino Linotype" w:cs="Arial"/>
          <w:b/>
          <w:color w:val="000000" w:themeColor="text1"/>
        </w:rPr>
        <w:t>Villa del Carbón</w:t>
      </w:r>
      <w:r w:rsidR="009572EE" w:rsidRPr="00A30BAC">
        <w:rPr>
          <w:rFonts w:ascii="Palatino Linotype" w:eastAsia="Calibri" w:hAnsi="Palatino Linotype" w:cs="Arial"/>
          <w:color w:val="000000" w:themeColor="text1"/>
          <w:lang w:val="es-ES"/>
        </w:rPr>
        <w:t>,</w:t>
      </w:r>
      <w:r w:rsidR="005F1362" w:rsidRPr="00A30BAC">
        <w:rPr>
          <w:rFonts w:ascii="Palatino Linotype" w:eastAsia="Calibri" w:hAnsi="Palatino Linotype" w:cs="Arial"/>
          <w:color w:val="000000" w:themeColor="text1"/>
          <w:lang w:val="es-ES"/>
        </w:rPr>
        <w:t xml:space="preserve"> </w:t>
      </w:r>
      <w:r w:rsidR="005F1362" w:rsidRPr="00A30BAC">
        <w:rPr>
          <w:rFonts w:ascii="Palatino Linotype" w:eastAsia="Times New Roman" w:hAnsi="Palatino Linotype" w:cs="Times New Roman"/>
          <w:color w:val="000000" w:themeColor="text1"/>
        </w:rPr>
        <w:t xml:space="preserve">en </w:t>
      </w:r>
      <w:r w:rsidR="00C31E8F" w:rsidRPr="00A30BAC">
        <w:rPr>
          <w:rFonts w:ascii="Palatino Linotype" w:eastAsia="Times New Roman" w:hAnsi="Palatino Linotype" w:cs="Times New Roman"/>
          <w:color w:val="000000" w:themeColor="text1"/>
        </w:rPr>
        <w:t>adelante</w:t>
      </w:r>
      <w:r w:rsidR="005F1362" w:rsidRPr="00A30BAC">
        <w:rPr>
          <w:rFonts w:ascii="Palatino Linotype" w:eastAsia="Times New Roman" w:hAnsi="Palatino Linotype" w:cs="Times New Roman"/>
          <w:color w:val="000000" w:themeColor="text1"/>
        </w:rPr>
        <w:t xml:space="preserve"> el</w:t>
      </w:r>
      <w:r w:rsidR="005F1362" w:rsidRPr="00A30BAC">
        <w:rPr>
          <w:rFonts w:ascii="Palatino Linotype" w:eastAsia="Times New Roman" w:hAnsi="Palatino Linotype" w:cs="Times New Roman"/>
          <w:b/>
          <w:color w:val="000000" w:themeColor="text1"/>
        </w:rPr>
        <w:t xml:space="preserve"> SUJETO OBLIGADO</w:t>
      </w:r>
      <w:r w:rsidR="005F1362" w:rsidRPr="00A30BAC">
        <w:rPr>
          <w:rFonts w:ascii="Palatino Linotype" w:eastAsia="Times New Roman" w:hAnsi="Palatino Linotype" w:cs="Times New Roman"/>
          <w:bCs/>
          <w:color w:val="000000" w:themeColor="text1"/>
        </w:rPr>
        <w:t>,</w:t>
      </w:r>
      <w:r w:rsidR="005F1362" w:rsidRPr="00A30BAC">
        <w:rPr>
          <w:rFonts w:ascii="Palatino Linotype" w:eastAsia="Times New Roman" w:hAnsi="Palatino Linotype" w:cs="Times New Roman"/>
          <w:b/>
          <w:color w:val="000000" w:themeColor="text1"/>
        </w:rPr>
        <w:t xml:space="preserve"> </w:t>
      </w:r>
      <w:r w:rsidR="005F1362" w:rsidRPr="00A30BAC">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30BAC" w:rsidRDefault="009A593A" w:rsidP="00B31E90">
      <w:pPr>
        <w:spacing w:line="360" w:lineRule="auto"/>
        <w:jc w:val="both"/>
        <w:rPr>
          <w:rFonts w:ascii="Palatino Linotype" w:hAnsi="Palatino Linotype"/>
          <w:b/>
          <w:color w:val="000000" w:themeColor="text1"/>
        </w:rPr>
      </w:pPr>
    </w:p>
    <w:p w14:paraId="769E1410" w14:textId="5740327F" w:rsidR="00587366" w:rsidRPr="00A30BAC"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A30BAC">
        <w:rPr>
          <w:b/>
          <w:color w:val="000000" w:themeColor="text1"/>
        </w:rPr>
        <w:t>ANTECEDENTES</w:t>
      </w:r>
      <w:bookmarkEnd w:id="0"/>
      <w:bookmarkEnd w:id="1"/>
      <w:bookmarkEnd w:id="2"/>
    </w:p>
    <w:p w14:paraId="5672105D" w14:textId="77777777" w:rsidR="00B31E90" w:rsidRPr="00A30BAC"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9695D48" w:rsidR="00D9392E" w:rsidRPr="00A30BAC"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30BAC">
        <w:rPr>
          <w:rFonts w:ascii="Palatino Linotype" w:eastAsia="Calibri" w:hAnsi="Palatino Linotype" w:cs="Arial"/>
          <w:color w:val="000000" w:themeColor="text1"/>
          <w:lang w:val="es-ES"/>
        </w:rPr>
        <w:t>El</w:t>
      </w:r>
      <w:r w:rsidR="00D9392E" w:rsidRPr="00A30BAC">
        <w:rPr>
          <w:rFonts w:ascii="Palatino Linotype" w:eastAsia="Calibri" w:hAnsi="Palatino Linotype" w:cs="Arial"/>
          <w:color w:val="000000" w:themeColor="text1"/>
          <w:lang w:val="es-ES"/>
        </w:rPr>
        <w:t xml:space="preserve"> </w:t>
      </w:r>
      <w:r w:rsidR="00597651" w:rsidRPr="00A30BAC">
        <w:rPr>
          <w:rFonts w:ascii="Palatino Linotype" w:eastAsia="Calibri" w:hAnsi="Palatino Linotype" w:cs="Arial"/>
          <w:color w:val="000000" w:themeColor="text1"/>
          <w:lang w:val="es-ES"/>
        </w:rPr>
        <w:t>treinta y uno (31</w:t>
      </w:r>
      <w:r w:rsidR="00AF31FE" w:rsidRPr="00A30BAC">
        <w:rPr>
          <w:rFonts w:ascii="Palatino Linotype" w:eastAsia="Calibri" w:hAnsi="Palatino Linotype" w:cs="Arial"/>
          <w:color w:val="000000" w:themeColor="text1"/>
          <w:lang w:val="es-ES"/>
        </w:rPr>
        <w:t>) de enero de dos mil veintidós</w:t>
      </w:r>
      <w:r w:rsidR="005F1362" w:rsidRPr="00A30BAC">
        <w:rPr>
          <w:rFonts w:ascii="Palatino Linotype" w:eastAsia="Calibri" w:hAnsi="Palatino Linotype" w:cs="Arial"/>
          <w:color w:val="000000" w:themeColor="text1"/>
          <w:lang w:val="es-ES"/>
        </w:rPr>
        <w:t xml:space="preserve">, </w:t>
      </w:r>
      <w:r w:rsidR="00396F5D" w:rsidRPr="00A30BAC">
        <w:rPr>
          <w:rFonts w:ascii="Palatino Linotype" w:hAnsi="Palatino Linotype"/>
          <w:color w:val="000000" w:themeColor="text1"/>
        </w:rPr>
        <w:t>se</w:t>
      </w:r>
      <w:r w:rsidR="005F1362" w:rsidRPr="00A30BAC">
        <w:rPr>
          <w:rFonts w:ascii="Palatino Linotype" w:hAnsi="Palatino Linotype"/>
          <w:color w:val="000000" w:themeColor="text1"/>
        </w:rPr>
        <w:t xml:space="preserve"> presentó</w:t>
      </w:r>
      <w:r w:rsidR="002B4277" w:rsidRPr="00A30BAC">
        <w:rPr>
          <w:rFonts w:ascii="Palatino Linotype" w:hAnsi="Palatino Linotype"/>
          <w:color w:val="000000" w:themeColor="text1"/>
        </w:rPr>
        <w:t xml:space="preserve"> a través de</w:t>
      </w:r>
      <w:r w:rsidR="00AF31FE" w:rsidRPr="00A30BAC">
        <w:rPr>
          <w:rFonts w:ascii="Palatino Linotype" w:hAnsi="Palatino Linotype"/>
          <w:color w:val="000000" w:themeColor="text1"/>
        </w:rPr>
        <w:t xml:space="preserve"> </w:t>
      </w:r>
      <w:r w:rsidR="002B4277" w:rsidRPr="00A30BAC">
        <w:rPr>
          <w:rFonts w:ascii="Palatino Linotype" w:hAnsi="Palatino Linotype"/>
          <w:color w:val="000000" w:themeColor="text1"/>
        </w:rPr>
        <w:t>l</w:t>
      </w:r>
      <w:r w:rsidR="00AF31FE" w:rsidRPr="00A30BAC">
        <w:rPr>
          <w:rFonts w:ascii="Palatino Linotype" w:hAnsi="Palatino Linotype"/>
          <w:color w:val="000000" w:themeColor="text1"/>
        </w:rPr>
        <w:t>a Plataforma Nacional de Transparencia (PNT), vinculada al</w:t>
      </w:r>
      <w:r w:rsidR="002B4277" w:rsidRPr="00A30BAC">
        <w:rPr>
          <w:rFonts w:ascii="Palatino Linotype" w:hAnsi="Palatino Linotype"/>
          <w:color w:val="000000" w:themeColor="text1"/>
        </w:rPr>
        <w:t xml:space="preserve"> Sistema de Acceso a la Información Mexiquense</w:t>
      </w:r>
      <w:r w:rsidR="005F1362" w:rsidRPr="00A30BAC">
        <w:rPr>
          <w:rFonts w:ascii="Palatino Linotype" w:hAnsi="Palatino Linotype"/>
          <w:color w:val="000000" w:themeColor="text1"/>
        </w:rPr>
        <w:t xml:space="preserve"> </w:t>
      </w:r>
      <w:r w:rsidR="002B4277" w:rsidRPr="00A30BAC">
        <w:rPr>
          <w:rFonts w:ascii="Palatino Linotype" w:hAnsi="Palatino Linotype"/>
          <w:color w:val="000000" w:themeColor="text1"/>
        </w:rPr>
        <w:t>(</w:t>
      </w:r>
      <w:r w:rsidR="00396F5D" w:rsidRPr="00A30BAC">
        <w:rPr>
          <w:rFonts w:ascii="Palatino Linotype" w:hAnsi="Palatino Linotype"/>
          <w:bCs/>
          <w:color w:val="000000" w:themeColor="text1"/>
        </w:rPr>
        <w:t>SAIMEX</w:t>
      </w:r>
      <w:r w:rsidR="002B4277" w:rsidRPr="00A30BAC">
        <w:rPr>
          <w:rFonts w:ascii="Palatino Linotype" w:hAnsi="Palatino Linotype"/>
          <w:bCs/>
          <w:color w:val="000000" w:themeColor="text1"/>
        </w:rPr>
        <w:t>)</w:t>
      </w:r>
      <w:r w:rsidR="00AF31FE" w:rsidRPr="00A30BAC">
        <w:rPr>
          <w:rFonts w:ascii="Palatino Linotype" w:hAnsi="Palatino Linotype"/>
          <w:bCs/>
          <w:color w:val="000000" w:themeColor="text1"/>
        </w:rPr>
        <w:t>,</w:t>
      </w:r>
      <w:r w:rsidR="005F1362" w:rsidRPr="00A30BAC">
        <w:rPr>
          <w:rFonts w:ascii="Palatino Linotype" w:eastAsia="Calibri" w:hAnsi="Palatino Linotype" w:cs="Arial"/>
          <w:color w:val="000000" w:themeColor="text1"/>
          <w:lang w:val="es-ES"/>
        </w:rPr>
        <w:t xml:space="preserve"> la solicitud de información pública registrada con el número</w:t>
      </w:r>
      <w:r w:rsidR="005F1362" w:rsidRPr="00A30BAC">
        <w:rPr>
          <w:rFonts w:ascii="Palatino Linotype" w:hAnsi="Palatino Linotype"/>
          <w:b/>
          <w:bCs/>
          <w:color w:val="000000" w:themeColor="text1"/>
        </w:rPr>
        <w:t xml:space="preserve"> </w:t>
      </w:r>
      <w:r w:rsidR="00A66149" w:rsidRPr="00A30BAC">
        <w:rPr>
          <w:rFonts w:ascii="Palatino Linotype" w:hAnsi="Palatino Linotype"/>
          <w:b/>
          <w:bCs/>
          <w:color w:val="000000" w:themeColor="text1"/>
        </w:rPr>
        <w:t>000</w:t>
      </w:r>
      <w:r w:rsidR="00D8175A" w:rsidRPr="00A30BAC">
        <w:rPr>
          <w:rFonts w:ascii="Palatino Linotype" w:hAnsi="Palatino Linotype"/>
          <w:b/>
          <w:bCs/>
          <w:color w:val="000000" w:themeColor="text1"/>
        </w:rPr>
        <w:t>42</w:t>
      </w:r>
      <w:r w:rsidR="00A66149" w:rsidRPr="00A30BAC">
        <w:rPr>
          <w:rFonts w:ascii="Palatino Linotype" w:hAnsi="Palatino Linotype"/>
          <w:b/>
          <w:bCs/>
          <w:color w:val="000000" w:themeColor="text1"/>
        </w:rPr>
        <w:t>/</w:t>
      </w:r>
      <w:r w:rsidR="00D8175A" w:rsidRPr="00A30BAC">
        <w:rPr>
          <w:rFonts w:ascii="Palatino Linotype" w:hAnsi="Palatino Linotype"/>
          <w:b/>
          <w:bCs/>
          <w:color w:val="000000" w:themeColor="text1"/>
        </w:rPr>
        <w:t>VICARBO</w:t>
      </w:r>
      <w:r w:rsidR="00A66149" w:rsidRPr="00A30BAC">
        <w:rPr>
          <w:rFonts w:ascii="Palatino Linotype" w:hAnsi="Palatino Linotype"/>
          <w:b/>
          <w:bCs/>
          <w:color w:val="000000" w:themeColor="text1"/>
        </w:rPr>
        <w:t>/IP/2022</w:t>
      </w:r>
      <w:r w:rsidR="005F1362" w:rsidRPr="00A30BAC">
        <w:rPr>
          <w:rFonts w:ascii="Palatino Linotype" w:hAnsi="Palatino Linotype"/>
          <w:b/>
          <w:bCs/>
          <w:color w:val="000000" w:themeColor="text1"/>
        </w:rPr>
        <w:t>,</w:t>
      </w:r>
      <w:r w:rsidR="005F1362" w:rsidRPr="00A30BAC">
        <w:rPr>
          <w:rFonts w:ascii="Palatino Linotype" w:eastAsia="Calibri" w:hAnsi="Palatino Linotype" w:cs="Arial"/>
          <w:color w:val="000000" w:themeColor="text1"/>
          <w:lang w:val="es-ES"/>
        </w:rPr>
        <w:t xml:space="preserve"> mediante la cual </w:t>
      </w:r>
      <w:r w:rsidR="00396F5D" w:rsidRPr="00A30BAC">
        <w:rPr>
          <w:rFonts w:ascii="Palatino Linotype" w:eastAsia="Calibri" w:hAnsi="Palatino Linotype" w:cs="Arial"/>
          <w:color w:val="000000" w:themeColor="text1"/>
          <w:lang w:val="es-ES"/>
        </w:rPr>
        <w:t xml:space="preserve">se </w:t>
      </w:r>
      <w:r w:rsidR="005F1362" w:rsidRPr="00A30BAC">
        <w:rPr>
          <w:rFonts w:ascii="Palatino Linotype" w:eastAsia="Calibri" w:hAnsi="Palatino Linotype" w:cs="Arial"/>
          <w:color w:val="000000" w:themeColor="text1"/>
          <w:lang w:val="es-ES"/>
        </w:rPr>
        <w:t>requirió</w:t>
      </w:r>
      <w:r w:rsidR="00022D89" w:rsidRPr="00A30BAC">
        <w:rPr>
          <w:rFonts w:ascii="Palatino Linotype" w:eastAsia="Calibri" w:hAnsi="Palatino Linotype" w:cs="Arial"/>
          <w:color w:val="000000" w:themeColor="text1"/>
          <w:lang w:val="es-ES"/>
        </w:rPr>
        <w:t xml:space="preserve"> lo siguiente</w:t>
      </w:r>
      <w:r w:rsidR="005F1362" w:rsidRPr="00A30BAC">
        <w:rPr>
          <w:rFonts w:ascii="Palatino Linotype" w:eastAsia="Calibri" w:hAnsi="Palatino Linotype" w:cs="Arial"/>
          <w:color w:val="000000" w:themeColor="text1"/>
          <w:lang w:val="es-ES"/>
        </w:rPr>
        <w:t>:</w:t>
      </w:r>
    </w:p>
    <w:p w14:paraId="76EB7490" w14:textId="77777777" w:rsidR="00B31E90" w:rsidRPr="00A30BAC"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42CBFEAC" w14:textId="77777777" w:rsidR="00597651" w:rsidRPr="00A30BAC" w:rsidRDefault="005F1362"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i/>
          <w:color w:val="000000" w:themeColor="text1"/>
          <w:sz w:val="22"/>
          <w:szCs w:val="22"/>
        </w:rPr>
        <w:t>“</w:t>
      </w:r>
      <w:r w:rsidR="00597651" w:rsidRPr="00A30BAC">
        <w:rPr>
          <w:rFonts w:ascii="Palatino Linotype" w:hAnsi="Palatino Linotype"/>
          <w:i/>
          <w:color w:val="000000" w:themeColor="text1"/>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sidR="00597651" w:rsidRPr="00A30BAC">
        <w:rPr>
          <w:rFonts w:ascii="Palatino Linotype" w:hAnsi="Palatino Linotype"/>
          <w:i/>
          <w:color w:val="000000" w:themeColor="text1"/>
          <w:sz w:val="22"/>
          <w:szCs w:val="22"/>
        </w:rPr>
        <w:t>etc</w:t>
      </w:r>
      <w:proofErr w:type="spellEnd"/>
      <w:r w:rsidR="00597651" w:rsidRPr="00A30BAC">
        <w:rPr>
          <w:rFonts w:ascii="Palatino Linotype" w:hAnsi="Palatino Linotype"/>
          <w:i/>
          <w:color w:val="000000" w:themeColor="text1"/>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w:t>
      </w:r>
    </w:p>
    <w:p w14:paraId="45241235"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I.</w:t>
      </w:r>
      <w:r w:rsidRPr="00A30BAC">
        <w:rPr>
          <w:rFonts w:ascii="Palatino Linotype" w:hAnsi="Palatino Linotype"/>
          <w:i/>
          <w:color w:val="000000" w:themeColor="text1"/>
          <w:sz w:val="22"/>
          <w:szCs w:val="22"/>
        </w:rPr>
        <w:t xml:space="preserve"> Reportes del aplicativo “Visor de nómina del SAT” por los años 2018, 2019, 2020, y 2021 en sus tres presentaciones: </w:t>
      </w:r>
    </w:p>
    <w:p w14:paraId="629851A7"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 xml:space="preserve">a) </w:t>
      </w:r>
      <w:r w:rsidRPr="00A30BAC">
        <w:rPr>
          <w:rFonts w:ascii="Palatino Linotype" w:hAnsi="Palatino Linotype"/>
          <w:i/>
          <w:color w:val="000000" w:themeColor="text1"/>
          <w:sz w:val="22"/>
          <w:szCs w:val="22"/>
        </w:rPr>
        <w:t xml:space="preserve">Vista anual acumulada. </w:t>
      </w:r>
    </w:p>
    <w:p w14:paraId="670AFD6B"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b)</w:t>
      </w:r>
      <w:r w:rsidRPr="00A30BAC">
        <w:rPr>
          <w:rFonts w:ascii="Palatino Linotype" w:hAnsi="Palatino Linotype"/>
          <w:i/>
          <w:color w:val="000000" w:themeColor="text1"/>
          <w:sz w:val="22"/>
          <w:szCs w:val="22"/>
        </w:rPr>
        <w:t xml:space="preserve"> Detalle mensual. </w:t>
      </w:r>
    </w:p>
    <w:p w14:paraId="07B55E9C"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c)</w:t>
      </w:r>
      <w:r w:rsidRPr="00A30BAC">
        <w:rPr>
          <w:rFonts w:ascii="Palatino Linotype" w:hAnsi="Palatino Linotype"/>
          <w:i/>
          <w:color w:val="000000" w:themeColor="text1"/>
          <w:sz w:val="22"/>
          <w:szCs w:val="22"/>
        </w:rPr>
        <w:t xml:space="preserve"> Detalle diferencias sueldos y salarios. </w:t>
      </w:r>
    </w:p>
    <w:p w14:paraId="675FFC12"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II.</w:t>
      </w:r>
      <w:r w:rsidRPr="00A30BAC">
        <w:rPr>
          <w:rFonts w:ascii="Palatino Linotype" w:hAnsi="Palatino Linotype"/>
          <w:i/>
          <w:color w:val="000000" w:themeColor="text1"/>
          <w:sz w:val="22"/>
          <w:szCs w:val="22"/>
        </w:rPr>
        <w:t xml:space="preserve"> La constancia de situación fiscal de no adeudo emitida por el INFONAVIT, generada desde el portal empresarial de esa Institución, a través de internet. </w:t>
      </w:r>
    </w:p>
    <w:p w14:paraId="4CA11400"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lastRenderedPageBreak/>
        <w:t>III.</w:t>
      </w:r>
      <w:r w:rsidRPr="00A30BAC">
        <w:rPr>
          <w:rFonts w:ascii="Palatino Linotype" w:hAnsi="Palatino Linotype"/>
          <w:i/>
          <w:color w:val="000000" w:themeColor="text1"/>
          <w:sz w:val="22"/>
          <w:szCs w:val="22"/>
        </w:rPr>
        <w:t xml:space="preserve"> La opinión de no adeudo en el cumplimiento de obligaciones fiscales en materia de seguridad social emitida x el IMSS, generada desde el portal de esa Institución, a través de internet. </w:t>
      </w:r>
    </w:p>
    <w:p w14:paraId="5B195DF4"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IV.</w:t>
      </w:r>
      <w:r w:rsidRPr="00A30BAC">
        <w:rPr>
          <w:rFonts w:ascii="Palatino Linotype" w:hAnsi="Palatino Linotype"/>
          <w:i/>
          <w:color w:val="000000" w:themeColor="text1"/>
          <w:sz w:val="22"/>
          <w:szCs w:val="22"/>
        </w:rPr>
        <w:t xml:space="preserve"> La opinión de no adeudo en el cumplimiento de obligaciones fiscales estatales emitida por el SATEM, generada desde el portal de esa Institución, a través de internet. </w:t>
      </w:r>
    </w:p>
    <w:p w14:paraId="795E3971"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V.</w:t>
      </w:r>
      <w:r w:rsidRPr="00A30BAC">
        <w:rPr>
          <w:rFonts w:ascii="Palatino Linotype" w:hAnsi="Palatino Linotype"/>
          <w:i/>
          <w:color w:val="000000" w:themeColor="text1"/>
          <w:sz w:val="22"/>
          <w:szCs w:val="22"/>
        </w:rPr>
        <w:t xml:space="preserve">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14:paraId="47AB6CEE"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A)</w:t>
      </w:r>
      <w:r w:rsidRPr="00A30BAC">
        <w:rPr>
          <w:rFonts w:ascii="Palatino Linotype" w:hAnsi="Palatino Linotype"/>
          <w:i/>
          <w:color w:val="000000" w:themeColor="text1"/>
          <w:sz w:val="22"/>
          <w:szCs w:val="22"/>
        </w:rPr>
        <w:t xml:space="preserve"> En la columna A “Mes”. </w:t>
      </w:r>
    </w:p>
    <w:p w14:paraId="185373C2"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B)</w:t>
      </w:r>
      <w:r w:rsidRPr="00A30BAC">
        <w:rPr>
          <w:rFonts w:ascii="Palatino Linotype" w:hAnsi="Palatino Linotype"/>
          <w:i/>
          <w:color w:val="000000" w:themeColor="text1"/>
          <w:sz w:val="22"/>
          <w:szCs w:val="22"/>
        </w:rPr>
        <w:t xml:space="preserve"> En la columna B “Año”. </w:t>
      </w:r>
    </w:p>
    <w:p w14:paraId="31894179"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C)</w:t>
      </w:r>
      <w:r w:rsidRPr="00A30BAC">
        <w:rPr>
          <w:rFonts w:ascii="Palatino Linotype" w:hAnsi="Palatino Linotype"/>
          <w:i/>
          <w:color w:val="000000" w:themeColor="text1"/>
          <w:sz w:val="22"/>
          <w:szCs w:val="22"/>
        </w:rPr>
        <w:t xml:space="preserve"> En la columna C “ISR salarios retenido”. </w:t>
      </w:r>
    </w:p>
    <w:p w14:paraId="47A07995"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D)</w:t>
      </w:r>
      <w:r w:rsidRPr="00A30BAC">
        <w:rPr>
          <w:rFonts w:ascii="Palatino Linotype" w:hAnsi="Palatino Linotype"/>
          <w:i/>
          <w:color w:val="000000" w:themeColor="text1"/>
          <w:sz w:val="22"/>
          <w:szCs w:val="22"/>
        </w:rPr>
        <w:t xml:space="preserve"> En la columna D “ISR salarios enterado”. </w:t>
      </w:r>
    </w:p>
    <w:p w14:paraId="2DECCAE7"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E)</w:t>
      </w:r>
      <w:r w:rsidRPr="00A30BAC">
        <w:rPr>
          <w:rFonts w:ascii="Palatino Linotype" w:hAnsi="Palatino Linotype"/>
          <w:i/>
          <w:color w:val="000000" w:themeColor="text1"/>
          <w:sz w:val="22"/>
          <w:szCs w:val="22"/>
        </w:rPr>
        <w:t xml:space="preserve"> En la columna E “ISR asimilados retenido”. </w:t>
      </w:r>
    </w:p>
    <w:p w14:paraId="1CF0BB38"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F)</w:t>
      </w:r>
      <w:r w:rsidRPr="00A30BAC">
        <w:rPr>
          <w:rFonts w:ascii="Palatino Linotype" w:hAnsi="Palatino Linotype"/>
          <w:i/>
          <w:color w:val="000000" w:themeColor="text1"/>
          <w:sz w:val="22"/>
          <w:szCs w:val="22"/>
        </w:rPr>
        <w:t xml:space="preserve"> En la columna F “ISR asimilados enterado”. </w:t>
      </w:r>
    </w:p>
    <w:p w14:paraId="0F67C8E4"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G)</w:t>
      </w:r>
      <w:r w:rsidRPr="00A30BAC">
        <w:rPr>
          <w:rFonts w:ascii="Palatino Linotype" w:hAnsi="Palatino Linotype"/>
          <w:i/>
          <w:color w:val="000000" w:themeColor="text1"/>
          <w:sz w:val="22"/>
          <w:szCs w:val="22"/>
        </w:rPr>
        <w:t xml:space="preserve"> En la columna G “ISR honorarios y arrendamiento retenido”. </w:t>
      </w:r>
    </w:p>
    <w:p w14:paraId="5E907782"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H)</w:t>
      </w:r>
      <w:r w:rsidRPr="00A30BAC">
        <w:rPr>
          <w:rFonts w:ascii="Palatino Linotype" w:hAnsi="Palatino Linotype"/>
          <w:i/>
          <w:color w:val="000000" w:themeColor="text1"/>
          <w:sz w:val="22"/>
          <w:szCs w:val="22"/>
        </w:rPr>
        <w:t xml:space="preserve"> En la columna H “ISR honorarios y arrendamiento enterado”. </w:t>
      </w:r>
    </w:p>
    <w:p w14:paraId="73F69F5C"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I)</w:t>
      </w:r>
      <w:r w:rsidRPr="00A30BAC">
        <w:rPr>
          <w:rFonts w:ascii="Palatino Linotype" w:hAnsi="Palatino Linotype"/>
          <w:i/>
          <w:color w:val="000000" w:themeColor="text1"/>
          <w:sz w:val="22"/>
          <w:szCs w:val="22"/>
        </w:rPr>
        <w:t xml:space="preserve"> En la columna I “ISR participable recuperado a valor histórico”. </w:t>
      </w:r>
    </w:p>
    <w:p w14:paraId="2E7C6AB8" w14:textId="77777777" w:rsidR="00597651"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J)</w:t>
      </w:r>
      <w:r w:rsidRPr="00A30BAC">
        <w:rPr>
          <w:rFonts w:ascii="Palatino Linotype" w:hAnsi="Palatino Linotype"/>
          <w:i/>
          <w:color w:val="000000" w:themeColor="text1"/>
          <w:sz w:val="22"/>
          <w:szCs w:val="22"/>
        </w:rPr>
        <w:t xml:space="preserve"> En la columna J “Subsidio para el empleo entregado en el mes al trabajador”. </w:t>
      </w:r>
    </w:p>
    <w:p w14:paraId="30BD950C" w14:textId="77777777" w:rsidR="00921DA5"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K)</w:t>
      </w:r>
      <w:r w:rsidRPr="00A30BAC">
        <w:rPr>
          <w:rFonts w:ascii="Palatino Linotype" w:hAnsi="Palatino Linotype"/>
          <w:i/>
          <w:color w:val="000000" w:themeColor="text1"/>
          <w:sz w:val="22"/>
          <w:szCs w:val="22"/>
        </w:rPr>
        <w:t xml:space="preserve">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01A98F6E" w14:textId="77777777" w:rsidR="00921DA5"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VI.</w:t>
      </w:r>
      <w:r w:rsidRPr="00A30BAC">
        <w:rPr>
          <w:rFonts w:ascii="Palatino Linotype" w:hAnsi="Palatino Linotype"/>
          <w:i/>
          <w:color w:val="000000" w:themeColor="text1"/>
          <w:sz w:val="22"/>
          <w:szCs w:val="22"/>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sidRPr="00A30BAC">
        <w:rPr>
          <w:rFonts w:ascii="Palatino Linotype" w:hAnsi="Palatino Linotype"/>
          <w:i/>
          <w:color w:val="000000" w:themeColor="text1"/>
          <w:sz w:val="22"/>
          <w:szCs w:val="22"/>
        </w:rPr>
        <w:t>les</w:t>
      </w:r>
      <w:proofErr w:type="gramEnd"/>
      <w:r w:rsidRPr="00A30BAC">
        <w:rPr>
          <w:rFonts w:ascii="Palatino Linotype" w:hAnsi="Palatino Linotype"/>
          <w:i/>
          <w:color w:val="000000" w:themeColor="text1"/>
          <w:sz w:val="22"/>
          <w:szCs w:val="22"/>
        </w:rPr>
        <w:t xml:space="preserve"> calcularán el impuesto anual por los años 2017, 2018, 2019, y 2020, con base en los datos precargados en el expediente fiscal del trabajador. Para guardar la confidencialidad, a </w:t>
      </w:r>
      <w:proofErr w:type="spellStart"/>
      <w:r w:rsidRPr="00A30BAC">
        <w:rPr>
          <w:rFonts w:ascii="Palatino Linotype" w:hAnsi="Palatino Linotype"/>
          <w:i/>
          <w:color w:val="000000" w:themeColor="text1"/>
          <w:sz w:val="22"/>
          <w:szCs w:val="22"/>
        </w:rPr>
        <w:t>mi</w:t>
      </w:r>
      <w:proofErr w:type="spellEnd"/>
      <w:r w:rsidRPr="00A30BAC">
        <w:rPr>
          <w:rFonts w:ascii="Palatino Linotype" w:hAnsi="Palatino Linotype"/>
          <w:i/>
          <w:color w:val="000000" w:themeColor="text1"/>
          <w:sz w:val="22"/>
          <w:szCs w:val="22"/>
        </w:rPr>
        <w:t xml:space="preserve"> solo me entregarán un papel de trabajo con los siguientes encabezados: </w:t>
      </w:r>
    </w:p>
    <w:p w14:paraId="7646814A" w14:textId="77777777" w:rsidR="00921DA5"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A)</w:t>
      </w:r>
      <w:r w:rsidRPr="00A30BAC">
        <w:rPr>
          <w:rFonts w:ascii="Palatino Linotype" w:hAnsi="Palatino Linotype"/>
          <w:i/>
          <w:color w:val="000000" w:themeColor="text1"/>
          <w:sz w:val="22"/>
          <w:szCs w:val="22"/>
        </w:rPr>
        <w:t xml:space="preserve"> En la columna A “Nombre del trabajador”, pudiendo identificarlos como: trabajador 1, trabajador 2, trabajador 3 </w:t>
      </w:r>
    </w:p>
    <w:p w14:paraId="2FFDDFE0" w14:textId="77777777" w:rsidR="00921DA5"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B)</w:t>
      </w:r>
      <w:r w:rsidRPr="00A30BAC">
        <w:rPr>
          <w:rFonts w:ascii="Palatino Linotype" w:hAnsi="Palatino Linotype"/>
          <w:i/>
          <w:color w:val="000000" w:themeColor="text1"/>
          <w:sz w:val="22"/>
          <w:szCs w:val="22"/>
        </w:rPr>
        <w:t xml:space="preserve"> En la columna B “Año”. </w:t>
      </w:r>
    </w:p>
    <w:p w14:paraId="5A4CB6DA" w14:textId="77777777" w:rsidR="00921DA5"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C)</w:t>
      </w:r>
      <w:r w:rsidRPr="00A30BAC">
        <w:rPr>
          <w:rFonts w:ascii="Palatino Linotype" w:hAnsi="Palatino Linotype"/>
          <w:i/>
          <w:color w:val="000000" w:themeColor="text1"/>
          <w:sz w:val="22"/>
          <w:szCs w:val="22"/>
        </w:rPr>
        <w:t xml:space="preserve"> En la columna C “Saldo a favor de ISR”. </w:t>
      </w:r>
    </w:p>
    <w:p w14:paraId="1083AFB6" w14:textId="77777777" w:rsidR="00921DA5" w:rsidRPr="00A30BAC" w:rsidRDefault="00597651" w:rsidP="00D8175A">
      <w:pPr>
        <w:pStyle w:val="Prrafodelista"/>
        <w:ind w:left="567" w:right="474"/>
        <w:jc w:val="both"/>
        <w:rPr>
          <w:rFonts w:ascii="Palatino Linotype" w:hAnsi="Palatino Linotype"/>
          <w:i/>
          <w:color w:val="000000" w:themeColor="text1"/>
          <w:sz w:val="22"/>
          <w:szCs w:val="22"/>
        </w:rPr>
      </w:pPr>
      <w:r w:rsidRPr="00A30BAC">
        <w:rPr>
          <w:rFonts w:ascii="Palatino Linotype" w:hAnsi="Palatino Linotype"/>
          <w:b/>
          <w:bCs/>
          <w:i/>
          <w:color w:val="000000" w:themeColor="text1"/>
          <w:sz w:val="22"/>
          <w:szCs w:val="22"/>
        </w:rPr>
        <w:t>D)</w:t>
      </w:r>
      <w:r w:rsidRPr="00A30BAC">
        <w:rPr>
          <w:rFonts w:ascii="Palatino Linotype" w:hAnsi="Palatino Linotype"/>
          <w:i/>
          <w:color w:val="000000" w:themeColor="text1"/>
          <w:sz w:val="22"/>
          <w:szCs w:val="22"/>
        </w:rPr>
        <w:t xml:space="preserve"> En la columna D “Saldo a cargo en el ISR”. </w:t>
      </w:r>
    </w:p>
    <w:p w14:paraId="65A03C8D" w14:textId="31F9BF97" w:rsidR="005F1362" w:rsidRPr="00A30BAC" w:rsidRDefault="00597651" w:rsidP="00D8175A">
      <w:pPr>
        <w:pStyle w:val="Prrafodelista"/>
        <w:ind w:left="567" w:right="474"/>
        <w:jc w:val="both"/>
        <w:rPr>
          <w:rFonts w:ascii="Palatino Linotype" w:hAnsi="Palatino Linotype"/>
          <w:color w:val="000000" w:themeColor="text1"/>
          <w:sz w:val="22"/>
          <w:szCs w:val="22"/>
        </w:rPr>
      </w:pPr>
      <w:r w:rsidRPr="00A30BAC">
        <w:rPr>
          <w:rFonts w:ascii="Palatino Linotype" w:hAnsi="Palatino Linotype"/>
          <w:b/>
          <w:bCs/>
          <w:i/>
          <w:color w:val="000000" w:themeColor="text1"/>
          <w:sz w:val="22"/>
          <w:szCs w:val="22"/>
        </w:rPr>
        <w:t>E)</w:t>
      </w:r>
      <w:r w:rsidRPr="00A30BAC">
        <w:rPr>
          <w:rFonts w:ascii="Palatino Linotype" w:hAnsi="Palatino Linotype"/>
          <w:i/>
          <w:color w:val="000000" w:themeColor="text1"/>
          <w:sz w:val="22"/>
          <w:szCs w:val="22"/>
        </w:rPr>
        <w:t xml:space="preserv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5F1362" w:rsidRPr="00A30BAC">
        <w:rPr>
          <w:rFonts w:ascii="Palatino Linotype" w:hAnsi="Palatino Linotype"/>
          <w:i/>
          <w:color w:val="000000" w:themeColor="text1"/>
          <w:sz w:val="22"/>
          <w:szCs w:val="22"/>
        </w:rPr>
        <w:t xml:space="preserve">” </w:t>
      </w:r>
      <w:r w:rsidR="005F1362" w:rsidRPr="00A30BAC">
        <w:rPr>
          <w:rFonts w:ascii="Palatino Linotype" w:hAnsi="Palatino Linotype"/>
          <w:color w:val="000000" w:themeColor="text1"/>
          <w:sz w:val="22"/>
          <w:szCs w:val="22"/>
        </w:rPr>
        <w:t>(Sic).</w:t>
      </w:r>
    </w:p>
    <w:p w14:paraId="49C21E77" w14:textId="43B8FC63" w:rsidR="0039142B" w:rsidRPr="00A30BAC"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30BAC">
        <w:rPr>
          <w:rFonts w:ascii="Palatino Linotype" w:hAnsi="Palatino Linotype" w:cs="Arial"/>
          <w:color w:val="000000" w:themeColor="text1"/>
        </w:rPr>
        <w:lastRenderedPageBreak/>
        <w:t xml:space="preserve">Se hace constar que </w:t>
      </w:r>
      <w:r w:rsidR="00AF31FE" w:rsidRPr="00A30BAC">
        <w:rPr>
          <w:rFonts w:ascii="Palatino Linotype" w:eastAsia="Times New Roman" w:hAnsi="Palatino Linotype" w:cs="Arial"/>
          <w:color w:val="000000" w:themeColor="text1"/>
          <w:lang w:val="es-ES"/>
        </w:rPr>
        <w:t>el</w:t>
      </w:r>
      <w:r w:rsidR="00025127" w:rsidRPr="00A30BAC">
        <w:rPr>
          <w:rFonts w:ascii="Palatino Linotype" w:eastAsia="Times New Roman" w:hAnsi="Palatino Linotype" w:cs="Arial"/>
          <w:color w:val="000000" w:themeColor="text1"/>
          <w:lang w:val="es-ES"/>
        </w:rPr>
        <w:t xml:space="preserve"> entonces</w:t>
      </w:r>
      <w:r w:rsidR="00FD7996" w:rsidRPr="00A30BAC">
        <w:rPr>
          <w:rFonts w:ascii="Palatino Linotype" w:eastAsia="Times New Roman" w:hAnsi="Palatino Linotype" w:cs="Arial"/>
          <w:color w:val="000000" w:themeColor="text1"/>
          <w:lang w:val="es-ES"/>
        </w:rPr>
        <w:t xml:space="preserve"> </w:t>
      </w:r>
      <w:r w:rsidR="00FD7996" w:rsidRPr="00A30BAC">
        <w:rPr>
          <w:rFonts w:ascii="Palatino Linotype" w:eastAsia="Times New Roman" w:hAnsi="Palatino Linotype" w:cs="Arial"/>
          <w:b/>
          <w:color w:val="000000" w:themeColor="text1"/>
          <w:lang w:val="es-ES"/>
        </w:rPr>
        <w:t>SOLICITANTE</w:t>
      </w:r>
      <w:r w:rsidRPr="00A30BAC">
        <w:rPr>
          <w:rFonts w:ascii="Palatino Linotype" w:eastAsia="Times New Roman" w:hAnsi="Palatino Linotype" w:cs="Arial"/>
          <w:color w:val="000000" w:themeColor="text1"/>
          <w:lang w:val="es-ES"/>
        </w:rPr>
        <w:t xml:space="preserve"> señaló como modalidad de entrega de la información</w:t>
      </w:r>
      <w:r w:rsidRPr="00A30BAC">
        <w:rPr>
          <w:rFonts w:ascii="Palatino Linotype" w:eastAsia="Times New Roman" w:hAnsi="Palatino Linotype" w:cs="Arial"/>
          <w:b/>
          <w:color w:val="000000" w:themeColor="text1"/>
          <w:lang w:val="es-ES"/>
        </w:rPr>
        <w:t>:</w:t>
      </w:r>
      <w:r w:rsidR="001E4152" w:rsidRPr="00A30BAC">
        <w:rPr>
          <w:rFonts w:ascii="Palatino Linotype" w:eastAsia="Times New Roman" w:hAnsi="Palatino Linotype" w:cs="Arial"/>
          <w:b/>
          <w:color w:val="000000" w:themeColor="text1"/>
          <w:lang w:val="es-ES"/>
        </w:rPr>
        <w:t xml:space="preserve"> </w:t>
      </w:r>
      <w:r w:rsidR="001E4152" w:rsidRPr="00A30BAC">
        <w:rPr>
          <w:rFonts w:ascii="Palatino Linotype" w:eastAsia="Times New Roman" w:hAnsi="Palatino Linotype" w:cs="Arial"/>
          <w:b/>
          <w:i/>
          <w:iCs/>
          <w:color w:val="000000" w:themeColor="text1"/>
          <w:lang w:val="es-ES"/>
        </w:rPr>
        <w:t>A través del SAIMEX</w:t>
      </w:r>
      <w:r w:rsidR="00921DA5" w:rsidRPr="00A30BAC">
        <w:rPr>
          <w:rFonts w:ascii="Palatino Linotype" w:eastAsia="Times New Roman" w:hAnsi="Palatino Linotype" w:cs="Arial"/>
          <w:bCs/>
          <w:color w:val="000000" w:themeColor="text1"/>
          <w:lang w:val="es-ES"/>
        </w:rPr>
        <w:t xml:space="preserve"> y,</w:t>
      </w:r>
      <w:r w:rsidR="00AF31FE" w:rsidRPr="00A30BAC">
        <w:rPr>
          <w:rFonts w:ascii="Palatino Linotype" w:eastAsia="Calibri" w:hAnsi="Palatino Linotype" w:cs="Arial"/>
          <w:color w:val="000000" w:themeColor="text1"/>
          <w:lang w:val="es-AR"/>
        </w:rPr>
        <w:t xml:space="preserve"> </w:t>
      </w:r>
      <w:r w:rsidR="00AF31FE" w:rsidRPr="00A30BAC">
        <w:rPr>
          <w:rFonts w:ascii="Palatino Linotype" w:eastAsia="Calibri" w:hAnsi="Palatino Linotype" w:cs="Arial"/>
          <w:b/>
          <w:i/>
          <w:color w:val="000000" w:themeColor="text1"/>
          <w:lang w:val="es-AR"/>
        </w:rPr>
        <w:t>correo electrónico</w:t>
      </w:r>
      <w:r w:rsidR="002E1E5D" w:rsidRPr="00A30BAC">
        <w:rPr>
          <w:rFonts w:ascii="Palatino Linotype" w:eastAsia="Calibri" w:hAnsi="Palatino Linotype" w:cs="Arial"/>
          <w:color w:val="000000" w:themeColor="text1"/>
          <w:lang w:val="es-AR"/>
        </w:rPr>
        <w:t xml:space="preserve"> </w:t>
      </w:r>
      <w:r w:rsidR="00921DA5" w:rsidRPr="00A30BAC">
        <w:rPr>
          <w:rFonts w:ascii="Palatino Linotype" w:eastAsia="Calibri" w:hAnsi="Palatino Linotype" w:cs="Arial"/>
          <w:color w:val="000000" w:themeColor="text1"/>
          <w:lang w:val="es-AR"/>
        </w:rPr>
        <w:t>o</w:t>
      </w:r>
      <w:r w:rsidR="002E1E5D" w:rsidRPr="00A30BAC">
        <w:rPr>
          <w:rFonts w:ascii="Palatino Linotype" w:eastAsia="Calibri" w:hAnsi="Palatino Linotype" w:cs="Arial"/>
          <w:color w:val="000000" w:themeColor="text1"/>
          <w:lang w:val="es-AR"/>
        </w:rPr>
        <w:t xml:space="preserve"> </w:t>
      </w:r>
      <w:r w:rsidR="002E1E5D" w:rsidRPr="00A30BAC">
        <w:rPr>
          <w:rFonts w:ascii="Palatino Linotype" w:eastAsia="Calibri" w:hAnsi="Palatino Linotype" w:cs="Arial"/>
          <w:b/>
          <w:i/>
          <w:color w:val="000000" w:themeColor="text1"/>
          <w:lang w:val="es-AR"/>
        </w:rPr>
        <w:t>cualquier otro medio incluido los electrónicos.</w:t>
      </w:r>
    </w:p>
    <w:p w14:paraId="35BA18A9" w14:textId="77777777" w:rsidR="0039142B" w:rsidRPr="00A30BAC" w:rsidRDefault="0039142B" w:rsidP="002E1E5D">
      <w:pPr>
        <w:spacing w:line="360" w:lineRule="auto"/>
        <w:jc w:val="both"/>
        <w:rPr>
          <w:rFonts w:ascii="Palatino Linotype" w:eastAsia="MS Mincho" w:hAnsi="Palatino Linotype" w:cs="Times New Roman"/>
          <w:color w:val="000000" w:themeColor="text1"/>
        </w:rPr>
      </w:pPr>
    </w:p>
    <w:p w14:paraId="60DCDA4B" w14:textId="7C6A2292" w:rsidR="0022448D" w:rsidRPr="00A30BAC"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30BAC">
        <w:rPr>
          <w:rFonts w:ascii="Palatino Linotype" w:eastAsia="MS Mincho" w:hAnsi="Palatino Linotype" w:cs="Times New Roman"/>
          <w:color w:val="000000" w:themeColor="text1"/>
        </w:rPr>
        <w:t>E</w:t>
      </w:r>
      <w:r w:rsidR="00B31E90" w:rsidRPr="00A30BAC">
        <w:rPr>
          <w:rFonts w:ascii="Palatino Linotype" w:eastAsia="MS Mincho" w:hAnsi="Palatino Linotype" w:cs="Times New Roman"/>
          <w:color w:val="000000" w:themeColor="text1"/>
        </w:rPr>
        <w:t xml:space="preserve">l </w:t>
      </w:r>
      <w:r w:rsidR="00D8175A" w:rsidRPr="00A30BAC">
        <w:rPr>
          <w:rFonts w:ascii="Palatino Linotype" w:eastAsia="MS Mincho" w:hAnsi="Palatino Linotype" w:cs="Times New Roman"/>
          <w:color w:val="000000" w:themeColor="text1"/>
        </w:rPr>
        <w:t>treinta y uno</w:t>
      </w:r>
      <w:r w:rsidR="00921DA5" w:rsidRPr="00A30BAC">
        <w:rPr>
          <w:rFonts w:ascii="Palatino Linotype" w:eastAsia="MS Mincho" w:hAnsi="Palatino Linotype" w:cs="Times New Roman"/>
          <w:color w:val="000000" w:themeColor="text1"/>
        </w:rPr>
        <w:t xml:space="preserve"> (</w:t>
      </w:r>
      <w:r w:rsidR="00D8175A" w:rsidRPr="00A30BAC">
        <w:rPr>
          <w:rFonts w:ascii="Palatino Linotype" w:eastAsia="MS Mincho" w:hAnsi="Palatino Linotype" w:cs="Times New Roman"/>
          <w:color w:val="000000" w:themeColor="text1"/>
        </w:rPr>
        <w:t>31</w:t>
      </w:r>
      <w:r w:rsidR="00921DA5" w:rsidRPr="00A30BAC">
        <w:rPr>
          <w:rFonts w:ascii="Palatino Linotype" w:eastAsia="MS Mincho" w:hAnsi="Palatino Linotype" w:cs="Times New Roman"/>
          <w:color w:val="000000" w:themeColor="text1"/>
        </w:rPr>
        <w:t xml:space="preserve">) de </w:t>
      </w:r>
      <w:r w:rsidR="00D8175A" w:rsidRPr="00A30BAC">
        <w:rPr>
          <w:rFonts w:ascii="Palatino Linotype" w:eastAsia="MS Mincho" w:hAnsi="Palatino Linotype" w:cs="Times New Roman"/>
          <w:color w:val="000000" w:themeColor="text1"/>
        </w:rPr>
        <w:t>enero</w:t>
      </w:r>
      <w:r w:rsidR="00AF31FE" w:rsidRPr="00A30BAC">
        <w:rPr>
          <w:rFonts w:ascii="Palatino Linotype" w:eastAsia="MS Mincho" w:hAnsi="Palatino Linotype" w:cs="Times New Roman"/>
          <w:color w:val="000000" w:themeColor="text1"/>
        </w:rPr>
        <w:t xml:space="preserve"> de dos mil veintidós</w:t>
      </w:r>
      <w:r w:rsidR="00762697" w:rsidRPr="00A30BAC">
        <w:rPr>
          <w:rFonts w:ascii="Palatino Linotype" w:eastAsia="MS Mincho" w:hAnsi="Palatino Linotype" w:cs="Times New Roman"/>
          <w:color w:val="000000" w:themeColor="text1"/>
        </w:rPr>
        <w:t xml:space="preserve">, </w:t>
      </w:r>
      <w:r w:rsidR="005F1362" w:rsidRPr="00A30BAC">
        <w:rPr>
          <w:rFonts w:ascii="Palatino Linotype" w:hAnsi="Palatino Linotype"/>
          <w:color w:val="000000" w:themeColor="text1"/>
          <w:szCs w:val="14"/>
        </w:rPr>
        <w:t xml:space="preserve">el </w:t>
      </w:r>
      <w:r w:rsidR="005F1362" w:rsidRPr="00A30BAC">
        <w:rPr>
          <w:rFonts w:ascii="Palatino Linotype" w:hAnsi="Palatino Linotype"/>
          <w:b/>
          <w:color w:val="000000" w:themeColor="text1"/>
          <w:szCs w:val="14"/>
        </w:rPr>
        <w:t>SUJETO OBLIGADO</w:t>
      </w:r>
      <w:r w:rsidR="005F1362" w:rsidRPr="00A30BAC">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A30BAC" w:rsidRDefault="009A593A" w:rsidP="00B31E90">
      <w:pPr>
        <w:pStyle w:val="Sinespaciado"/>
        <w:ind w:left="567" w:right="567"/>
        <w:jc w:val="right"/>
        <w:rPr>
          <w:rFonts w:ascii="Palatino Linotype" w:hAnsi="Palatino Linotype"/>
          <w:i/>
          <w:noProof/>
          <w:color w:val="000000" w:themeColor="text1"/>
          <w:lang w:eastAsia="es-MX"/>
        </w:rPr>
      </w:pPr>
    </w:p>
    <w:p w14:paraId="0ABE3D0F" w14:textId="0D1F22B4" w:rsidR="00D8175A" w:rsidRPr="00A30BAC" w:rsidRDefault="005F1362" w:rsidP="00D8175A">
      <w:pPr>
        <w:ind w:left="567"/>
        <w:jc w:val="both"/>
        <w:rPr>
          <w:rFonts w:ascii="Palatino Linotype" w:eastAsia="Times New Roman" w:hAnsi="Palatino Linotype" w:cs="Times New Roman"/>
          <w:i/>
          <w:sz w:val="22"/>
          <w:szCs w:val="22"/>
          <w:lang w:eastAsia="es-MX"/>
        </w:rPr>
      </w:pPr>
      <w:r w:rsidRPr="00A30BAC">
        <w:rPr>
          <w:rFonts w:ascii="Palatino Linotype" w:hAnsi="Palatino Linotype"/>
          <w:i/>
          <w:noProof/>
          <w:color w:val="000000" w:themeColor="text1"/>
          <w:sz w:val="22"/>
          <w:szCs w:val="22"/>
          <w:lang w:eastAsia="es-MX"/>
        </w:rPr>
        <w:t>“</w:t>
      </w:r>
      <w:r w:rsidR="00D8175A" w:rsidRPr="00A30BAC">
        <w:rPr>
          <w:rFonts w:ascii="Palatino Linotype" w:hAnsi="Palatino Linotype"/>
          <w:i/>
          <w:noProof/>
          <w:color w:val="000000" w:themeColor="text1"/>
          <w:sz w:val="22"/>
          <w:szCs w:val="22"/>
          <w:lang w:eastAsia="es-MX"/>
        </w:rPr>
        <w:t>E</w:t>
      </w:r>
      <w:r w:rsidR="00D8175A" w:rsidRPr="00A30BAC">
        <w:rPr>
          <w:rFonts w:ascii="Palatino Linotype" w:eastAsia="Times New Roman" w:hAnsi="Palatino Linotype" w:cs="Times New Roman"/>
          <w:i/>
          <w:color w:val="000000"/>
          <w:sz w:val="22"/>
          <w:szCs w:val="22"/>
          <w:lang w:eastAsia="es-MX"/>
        </w:rPr>
        <w:t>n atención a su solicitud, le respondemos que: Se adjunta PDF…” (Sic)</w:t>
      </w:r>
    </w:p>
    <w:p w14:paraId="7E831134" w14:textId="0537F27A" w:rsidR="00D8175A" w:rsidRPr="00A30BAC" w:rsidRDefault="00D8175A" w:rsidP="00D8175A">
      <w:pPr>
        <w:jc w:val="both"/>
        <w:rPr>
          <w:rFonts w:ascii="Palatino Linotype" w:hAnsi="Palatino Linotype"/>
          <w:i/>
          <w:noProof/>
          <w:color w:val="000000" w:themeColor="text1"/>
          <w:sz w:val="22"/>
          <w:szCs w:val="22"/>
          <w:lang w:eastAsia="es-MX"/>
        </w:rPr>
      </w:pPr>
    </w:p>
    <w:p w14:paraId="4E5DEC17" w14:textId="2EC3ABEF" w:rsidR="00D8175A" w:rsidRPr="00A30BAC" w:rsidRDefault="00D8175A" w:rsidP="00D8175A">
      <w:pPr>
        <w:jc w:val="both"/>
        <w:rPr>
          <w:rFonts w:ascii="Palatino Linotype" w:hAnsi="Palatino Linotype"/>
          <w:iCs/>
          <w:noProof/>
          <w:color w:val="000000" w:themeColor="text1"/>
          <w:sz w:val="22"/>
          <w:szCs w:val="22"/>
          <w:lang w:eastAsia="es-MX"/>
        </w:rPr>
      </w:pPr>
      <w:r w:rsidRPr="00A30BAC">
        <w:rPr>
          <w:rFonts w:ascii="Palatino Linotype" w:hAnsi="Palatino Linotype"/>
          <w:iCs/>
          <w:noProof/>
          <w:color w:val="000000" w:themeColor="text1"/>
          <w:sz w:val="22"/>
          <w:szCs w:val="22"/>
          <w:lang w:eastAsia="es-MX"/>
        </w:rPr>
        <w:t>Archivo adjunto:</w:t>
      </w:r>
    </w:p>
    <w:p w14:paraId="23A7BD87" w14:textId="77777777" w:rsidR="00D8175A" w:rsidRPr="00A30BAC" w:rsidRDefault="00D8175A" w:rsidP="00D8175A">
      <w:pPr>
        <w:jc w:val="both"/>
        <w:rPr>
          <w:rFonts w:ascii="Palatino Linotype" w:eastAsia="Times New Roman" w:hAnsi="Palatino Linotype" w:cs="Times New Roman"/>
          <w:i/>
          <w:sz w:val="22"/>
          <w:szCs w:val="22"/>
          <w:lang w:eastAsia="es-MX"/>
        </w:rPr>
      </w:pPr>
    </w:p>
    <w:p w14:paraId="58FF91AC" w14:textId="04388BD4" w:rsidR="00D07816" w:rsidRPr="00A30BAC" w:rsidRDefault="005C0905" w:rsidP="005C0905">
      <w:pPr>
        <w:pStyle w:val="Prrafodelista"/>
        <w:numPr>
          <w:ilvl w:val="0"/>
          <w:numId w:val="40"/>
        </w:numPr>
        <w:ind w:right="616"/>
        <w:jc w:val="both"/>
        <w:rPr>
          <w:rFonts w:ascii="Palatino Linotype" w:hAnsi="Palatino Linotype" w:cs="Arial"/>
          <w:sz w:val="22"/>
          <w:szCs w:val="22"/>
        </w:rPr>
      </w:pPr>
      <w:r w:rsidRPr="00A30BAC">
        <w:rPr>
          <w:rFonts w:ascii="Palatino Linotype" w:hAnsi="Palatino Linotype" w:cs="Arial"/>
          <w:b/>
          <w:iCs/>
          <w:sz w:val="22"/>
          <w:szCs w:val="22"/>
        </w:rPr>
        <w:t>INCOMPETENCIA 00042VICARBOIP2022</w:t>
      </w:r>
      <w:r w:rsidR="00D07816" w:rsidRPr="00A30BAC">
        <w:rPr>
          <w:rFonts w:ascii="Palatino Linotype" w:hAnsi="Palatino Linotype" w:cs="Arial"/>
          <w:b/>
          <w:iCs/>
          <w:sz w:val="22"/>
          <w:szCs w:val="22"/>
        </w:rPr>
        <w:t>.pdf</w:t>
      </w:r>
      <w:r w:rsidR="00D07816" w:rsidRPr="00A30BAC">
        <w:rPr>
          <w:rFonts w:ascii="Palatino Linotype" w:hAnsi="Palatino Linotype" w:cs="Arial"/>
          <w:iCs/>
          <w:sz w:val="22"/>
          <w:szCs w:val="22"/>
        </w:rPr>
        <w:t>:</w:t>
      </w:r>
      <w:r w:rsidR="00D07816" w:rsidRPr="00A30BAC">
        <w:rPr>
          <w:rFonts w:ascii="Palatino Linotype" w:hAnsi="Palatino Linotype" w:cs="Arial"/>
          <w:sz w:val="22"/>
          <w:szCs w:val="22"/>
        </w:rPr>
        <w:t xml:space="preserve"> </w:t>
      </w:r>
      <w:r w:rsidR="00AF31FE" w:rsidRPr="00A30BAC">
        <w:rPr>
          <w:rFonts w:ascii="Palatino Linotype" w:hAnsi="Palatino Linotype" w:cs="Arial"/>
          <w:sz w:val="22"/>
          <w:szCs w:val="22"/>
        </w:rPr>
        <w:t>Documento de</w:t>
      </w:r>
      <w:r w:rsidR="00921DA5" w:rsidRPr="00A30BAC">
        <w:rPr>
          <w:rFonts w:ascii="Palatino Linotype" w:hAnsi="Palatino Linotype" w:cs="Arial"/>
          <w:sz w:val="22"/>
          <w:szCs w:val="22"/>
        </w:rPr>
        <w:t xml:space="preserve"> dos fojas consistente en el oficio </w:t>
      </w:r>
      <w:r w:rsidRPr="00A30BAC">
        <w:rPr>
          <w:rFonts w:ascii="Palatino Linotype" w:hAnsi="Palatino Linotype" w:cs="Arial"/>
          <w:sz w:val="22"/>
          <w:szCs w:val="22"/>
        </w:rPr>
        <w:t>UT</w:t>
      </w:r>
      <w:r w:rsidR="00921DA5" w:rsidRPr="00A30BAC">
        <w:rPr>
          <w:rFonts w:ascii="Palatino Linotype" w:hAnsi="Palatino Linotype" w:cs="Arial"/>
          <w:sz w:val="22"/>
          <w:szCs w:val="22"/>
        </w:rPr>
        <w:t>/</w:t>
      </w:r>
      <w:r w:rsidRPr="00A30BAC">
        <w:rPr>
          <w:rFonts w:ascii="Palatino Linotype" w:hAnsi="Palatino Linotype" w:cs="Arial"/>
          <w:sz w:val="22"/>
          <w:szCs w:val="22"/>
        </w:rPr>
        <w:t>DGM</w:t>
      </w:r>
      <w:r w:rsidR="00921DA5" w:rsidRPr="00A30BAC">
        <w:rPr>
          <w:rFonts w:ascii="Palatino Linotype" w:hAnsi="Palatino Linotype" w:cs="Arial"/>
          <w:sz w:val="22"/>
          <w:szCs w:val="22"/>
        </w:rPr>
        <w:t>/</w:t>
      </w:r>
      <w:r w:rsidRPr="00A30BAC">
        <w:rPr>
          <w:rFonts w:ascii="Palatino Linotype" w:hAnsi="Palatino Linotype" w:cs="Arial"/>
          <w:sz w:val="22"/>
          <w:szCs w:val="22"/>
        </w:rPr>
        <w:t>000</w:t>
      </w:r>
      <w:r w:rsidR="00921DA5" w:rsidRPr="00A30BAC">
        <w:rPr>
          <w:rFonts w:ascii="Palatino Linotype" w:hAnsi="Palatino Linotype" w:cs="Arial"/>
          <w:sz w:val="22"/>
          <w:szCs w:val="22"/>
        </w:rPr>
        <w:t>2</w:t>
      </w:r>
      <w:r w:rsidRPr="00A30BAC">
        <w:rPr>
          <w:rFonts w:ascii="Palatino Linotype" w:hAnsi="Palatino Linotype" w:cs="Arial"/>
          <w:sz w:val="22"/>
          <w:szCs w:val="22"/>
        </w:rPr>
        <w:t>/2022</w:t>
      </w:r>
      <w:r w:rsidR="00921DA5" w:rsidRPr="00A30BAC">
        <w:rPr>
          <w:rFonts w:ascii="Palatino Linotype" w:hAnsi="Palatino Linotype" w:cs="Arial"/>
          <w:sz w:val="22"/>
          <w:szCs w:val="22"/>
        </w:rPr>
        <w:t>, de</w:t>
      </w:r>
      <w:r w:rsidRPr="00A30BAC">
        <w:rPr>
          <w:rFonts w:ascii="Palatino Linotype" w:hAnsi="Palatino Linotype" w:cs="Arial"/>
          <w:sz w:val="22"/>
          <w:szCs w:val="22"/>
        </w:rPr>
        <w:t>l</w:t>
      </w:r>
      <w:r w:rsidR="00921DA5" w:rsidRPr="00A30BAC">
        <w:rPr>
          <w:rFonts w:ascii="Palatino Linotype" w:hAnsi="Palatino Linotype" w:cs="Arial"/>
          <w:sz w:val="22"/>
          <w:szCs w:val="22"/>
        </w:rPr>
        <w:t xml:space="preserve"> </w:t>
      </w:r>
      <w:r w:rsidRPr="00A30BAC">
        <w:rPr>
          <w:rFonts w:ascii="Palatino Linotype" w:hAnsi="Palatino Linotype" w:cs="Arial"/>
          <w:sz w:val="22"/>
          <w:szCs w:val="22"/>
        </w:rPr>
        <w:t>treinta y uno</w:t>
      </w:r>
      <w:r w:rsidR="00921DA5" w:rsidRPr="00A30BAC">
        <w:rPr>
          <w:rFonts w:ascii="Palatino Linotype" w:hAnsi="Palatino Linotype" w:cs="Arial"/>
          <w:sz w:val="22"/>
          <w:szCs w:val="22"/>
        </w:rPr>
        <w:t xml:space="preserve"> (</w:t>
      </w:r>
      <w:r w:rsidRPr="00A30BAC">
        <w:rPr>
          <w:rFonts w:ascii="Palatino Linotype" w:hAnsi="Palatino Linotype" w:cs="Arial"/>
          <w:sz w:val="22"/>
          <w:szCs w:val="22"/>
        </w:rPr>
        <w:t>31</w:t>
      </w:r>
      <w:r w:rsidR="00921DA5" w:rsidRPr="00A30BAC">
        <w:rPr>
          <w:rFonts w:ascii="Palatino Linotype" w:hAnsi="Palatino Linotype" w:cs="Arial"/>
          <w:sz w:val="22"/>
          <w:szCs w:val="22"/>
        </w:rPr>
        <w:t xml:space="preserve">) de </w:t>
      </w:r>
      <w:r w:rsidRPr="00A30BAC">
        <w:rPr>
          <w:rFonts w:ascii="Palatino Linotype" w:hAnsi="Palatino Linotype" w:cs="Arial"/>
          <w:sz w:val="22"/>
          <w:szCs w:val="22"/>
        </w:rPr>
        <w:t>enero</w:t>
      </w:r>
      <w:r w:rsidR="00921DA5" w:rsidRPr="00A30BAC">
        <w:rPr>
          <w:rFonts w:ascii="Palatino Linotype" w:hAnsi="Palatino Linotype" w:cs="Arial"/>
          <w:sz w:val="22"/>
          <w:szCs w:val="22"/>
        </w:rPr>
        <w:t xml:space="preserve"> de dos mil veintidós, emitido por la </w:t>
      </w:r>
      <w:r w:rsidRPr="00A30BAC">
        <w:rPr>
          <w:rFonts w:ascii="Palatino Linotype" w:hAnsi="Palatino Linotype" w:cs="Arial"/>
          <w:sz w:val="22"/>
          <w:szCs w:val="22"/>
        </w:rPr>
        <w:t>Titular de la Unidad de Transparencia</w:t>
      </w:r>
      <w:r w:rsidR="00921DA5" w:rsidRPr="00A30BAC">
        <w:rPr>
          <w:rFonts w:ascii="Palatino Linotype" w:hAnsi="Palatino Linotype" w:cs="Arial"/>
          <w:sz w:val="22"/>
          <w:szCs w:val="22"/>
        </w:rPr>
        <w:t xml:space="preserve">; por medio del cual, </w:t>
      </w:r>
      <w:proofErr w:type="spellStart"/>
      <w:r w:rsidR="00921DA5" w:rsidRPr="00A30BAC">
        <w:rPr>
          <w:rFonts w:ascii="Palatino Linotype" w:hAnsi="Palatino Linotype" w:cs="Arial"/>
          <w:sz w:val="22"/>
          <w:szCs w:val="22"/>
        </w:rPr>
        <w:t>refi</w:t>
      </w:r>
      <w:r w:rsidRPr="00A30BAC">
        <w:rPr>
          <w:rFonts w:ascii="Palatino Linotype" w:hAnsi="Palatino Linotype" w:cs="Arial"/>
          <w:sz w:val="22"/>
          <w:szCs w:val="22"/>
        </w:rPr>
        <w:t>ró</w:t>
      </w:r>
      <w:proofErr w:type="spellEnd"/>
      <w:r w:rsidR="00921DA5" w:rsidRPr="00A30BAC">
        <w:rPr>
          <w:rFonts w:ascii="Palatino Linotype" w:hAnsi="Palatino Linotype" w:cs="Arial"/>
          <w:sz w:val="22"/>
          <w:szCs w:val="22"/>
        </w:rPr>
        <w:t xml:space="preserve"> que la información requerida no es competencia del Ayuntamiento de </w:t>
      </w:r>
      <w:r w:rsidR="00A156D0" w:rsidRPr="00A30BAC">
        <w:rPr>
          <w:rFonts w:ascii="Palatino Linotype" w:hAnsi="Palatino Linotype" w:cs="Arial"/>
          <w:sz w:val="22"/>
          <w:szCs w:val="22"/>
        </w:rPr>
        <w:t>Villa del Carbón</w:t>
      </w:r>
      <w:r w:rsidR="00921DA5" w:rsidRPr="00A30BAC">
        <w:rPr>
          <w:rFonts w:ascii="Palatino Linotype" w:hAnsi="Palatino Linotype" w:cs="Arial"/>
          <w:sz w:val="22"/>
          <w:szCs w:val="22"/>
        </w:rPr>
        <w:t>, y orient</w:t>
      </w:r>
      <w:r w:rsidR="00A156D0" w:rsidRPr="00A30BAC">
        <w:rPr>
          <w:rFonts w:ascii="Palatino Linotype" w:hAnsi="Palatino Linotype" w:cs="Arial"/>
          <w:sz w:val="22"/>
          <w:szCs w:val="22"/>
        </w:rPr>
        <w:t>ó</w:t>
      </w:r>
      <w:r w:rsidR="00921DA5" w:rsidRPr="00A30BAC">
        <w:rPr>
          <w:rFonts w:ascii="Palatino Linotype" w:hAnsi="Palatino Linotype" w:cs="Arial"/>
          <w:sz w:val="22"/>
          <w:szCs w:val="22"/>
        </w:rPr>
        <w:t xml:space="preserve"> al entonces </w:t>
      </w:r>
      <w:r w:rsidR="00921DA5" w:rsidRPr="00A30BAC">
        <w:rPr>
          <w:rFonts w:ascii="Palatino Linotype" w:hAnsi="Palatino Linotype" w:cs="Arial"/>
          <w:b/>
          <w:bCs/>
          <w:sz w:val="22"/>
          <w:szCs w:val="22"/>
        </w:rPr>
        <w:t>S</w:t>
      </w:r>
      <w:r w:rsidR="00A156D0" w:rsidRPr="00A30BAC">
        <w:rPr>
          <w:rFonts w:ascii="Palatino Linotype" w:hAnsi="Palatino Linotype" w:cs="Arial"/>
          <w:b/>
          <w:bCs/>
          <w:sz w:val="22"/>
          <w:szCs w:val="22"/>
        </w:rPr>
        <w:t>olicitante</w:t>
      </w:r>
      <w:r w:rsidR="00921DA5" w:rsidRPr="00A30BAC">
        <w:rPr>
          <w:rFonts w:ascii="Palatino Linotype" w:hAnsi="Palatino Linotype" w:cs="Arial"/>
          <w:sz w:val="22"/>
          <w:szCs w:val="22"/>
        </w:rPr>
        <w:t xml:space="preserve"> a dirigir su solicitud a</w:t>
      </w:r>
      <w:r w:rsidR="0041472A" w:rsidRPr="00A30BAC">
        <w:rPr>
          <w:rFonts w:ascii="Palatino Linotype" w:hAnsi="Palatino Linotype" w:cs="Arial"/>
          <w:sz w:val="22"/>
          <w:szCs w:val="22"/>
        </w:rPr>
        <w:t xml:space="preserve"> </w:t>
      </w:r>
      <w:r w:rsidR="00921DA5" w:rsidRPr="00A30BAC">
        <w:rPr>
          <w:rFonts w:ascii="Palatino Linotype" w:hAnsi="Palatino Linotype" w:cs="Arial"/>
          <w:sz w:val="22"/>
          <w:szCs w:val="22"/>
        </w:rPr>
        <w:t>Servicio de Administración Tributaria</w:t>
      </w:r>
      <w:r w:rsidRPr="00A30BAC">
        <w:rPr>
          <w:rFonts w:ascii="Palatino Linotype" w:hAnsi="Palatino Linotype" w:cs="Arial"/>
          <w:sz w:val="22"/>
          <w:szCs w:val="22"/>
        </w:rPr>
        <w:t xml:space="preserve"> (SAT)</w:t>
      </w:r>
      <w:r w:rsidR="00921DA5" w:rsidRPr="00A30BAC">
        <w:rPr>
          <w:rFonts w:ascii="Palatino Linotype" w:hAnsi="Palatino Linotype" w:cs="Arial"/>
          <w:sz w:val="22"/>
          <w:szCs w:val="22"/>
        </w:rPr>
        <w:t>.</w:t>
      </w:r>
    </w:p>
    <w:p w14:paraId="775BBCA3" w14:textId="77777777" w:rsidR="006A19EF" w:rsidRPr="00A30BAC" w:rsidRDefault="006A19EF" w:rsidP="006A19EF">
      <w:pPr>
        <w:spacing w:line="360" w:lineRule="auto"/>
        <w:jc w:val="both"/>
        <w:rPr>
          <w:rFonts w:ascii="Palatino Linotype" w:hAnsi="Palatino Linotype"/>
          <w:color w:val="000000" w:themeColor="text1"/>
          <w:szCs w:val="22"/>
        </w:rPr>
      </w:pPr>
    </w:p>
    <w:p w14:paraId="272B63B3" w14:textId="4FF3AB1B" w:rsidR="000D5A1D" w:rsidRPr="00A30BAC"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30BAC">
        <w:rPr>
          <w:rFonts w:ascii="Palatino Linotype" w:eastAsia="Times New Roman" w:hAnsi="Palatino Linotype" w:cs="Arial"/>
          <w:color w:val="000000" w:themeColor="text1"/>
          <w:lang w:val="es-ES"/>
        </w:rPr>
        <w:t>D</w:t>
      </w:r>
      <w:r w:rsidR="00561ED1" w:rsidRPr="00A30BAC">
        <w:rPr>
          <w:rFonts w:ascii="Palatino Linotype" w:eastAsia="Times New Roman" w:hAnsi="Palatino Linotype" w:cs="Arial"/>
          <w:color w:val="000000" w:themeColor="text1"/>
          <w:lang w:val="es-ES"/>
        </w:rPr>
        <w:t xml:space="preserve">erivado de la respuesta emitida por el </w:t>
      </w:r>
      <w:r w:rsidR="00561ED1" w:rsidRPr="00A30BAC">
        <w:rPr>
          <w:rFonts w:ascii="Palatino Linotype" w:eastAsia="Times New Roman" w:hAnsi="Palatino Linotype" w:cs="Arial"/>
          <w:b/>
          <w:color w:val="000000" w:themeColor="text1"/>
          <w:lang w:val="es-ES"/>
        </w:rPr>
        <w:t>SUJETO OBLIGADO</w:t>
      </w:r>
      <w:r w:rsidR="00561ED1" w:rsidRPr="00A30BAC">
        <w:rPr>
          <w:rFonts w:ascii="Palatino Linotype" w:eastAsia="Times New Roman" w:hAnsi="Palatino Linotype" w:cs="Arial"/>
          <w:color w:val="000000" w:themeColor="text1"/>
          <w:lang w:val="es-ES"/>
        </w:rPr>
        <w:t>, e</w:t>
      </w:r>
      <w:r w:rsidR="00DB4BEF" w:rsidRPr="00A30BAC">
        <w:rPr>
          <w:rFonts w:ascii="Palatino Linotype" w:eastAsia="Times New Roman" w:hAnsi="Palatino Linotype" w:cs="Arial"/>
          <w:color w:val="000000" w:themeColor="text1"/>
          <w:lang w:val="es-ES"/>
        </w:rPr>
        <w:t xml:space="preserve">l </w:t>
      </w:r>
      <w:r w:rsidR="007909AE" w:rsidRPr="00A30BAC">
        <w:rPr>
          <w:rFonts w:ascii="Palatino Linotype" w:eastAsia="Times New Roman" w:hAnsi="Palatino Linotype" w:cs="Arial"/>
          <w:color w:val="000000" w:themeColor="text1"/>
          <w:lang w:val="es-ES"/>
        </w:rPr>
        <w:t>dos (02</w:t>
      </w:r>
      <w:r w:rsidR="0016161C" w:rsidRPr="00A30BAC">
        <w:rPr>
          <w:rFonts w:ascii="Palatino Linotype" w:eastAsia="Times New Roman" w:hAnsi="Palatino Linotype" w:cs="Arial"/>
          <w:color w:val="000000" w:themeColor="text1"/>
          <w:lang w:val="es-ES"/>
        </w:rPr>
        <w:t>) de febrero de dos mil veintidós</w:t>
      </w:r>
      <w:r w:rsidR="00FE49E3" w:rsidRPr="00A30BAC">
        <w:rPr>
          <w:rFonts w:ascii="Palatino Linotype" w:eastAsia="Times New Roman" w:hAnsi="Palatino Linotype" w:cs="Arial"/>
          <w:color w:val="000000" w:themeColor="text1"/>
          <w:lang w:val="es-ES"/>
        </w:rPr>
        <w:t xml:space="preserve">, </w:t>
      </w:r>
      <w:r w:rsidR="0016161C" w:rsidRPr="00A30BAC">
        <w:rPr>
          <w:rFonts w:ascii="Palatino Linotype" w:eastAsia="Times New Roman" w:hAnsi="Palatino Linotype" w:cs="Arial"/>
          <w:color w:val="000000" w:themeColor="text1"/>
          <w:lang w:val="es-ES"/>
        </w:rPr>
        <w:t>el</w:t>
      </w:r>
      <w:r w:rsidR="005F1362" w:rsidRPr="00A30BAC">
        <w:rPr>
          <w:rFonts w:ascii="Palatino Linotype" w:eastAsia="Times New Roman" w:hAnsi="Palatino Linotype" w:cs="Arial"/>
          <w:color w:val="000000" w:themeColor="text1"/>
          <w:lang w:val="es-ES"/>
        </w:rPr>
        <w:t xml:space="preserve"> particular</w:t>
      </w:r>
      <w:r w:rsidR="00DB4BEF" w:rsidRPr="00A30BAC">
        <w:rPr>
          <w:rFonts w:ascii="Palatino Linotype" w:eastAsia="Times New Roman" w:hAnsi="Palatino Linotype" w:cs="Arial"/>
          <w:color w:val="000000" w:themeColor="text1"/>
          <w:lang w:val="es-ES"/>
        </w:rPr>
        <w:t xml:space="preserve"> interpuso</w:t>
      </w:r>
      <w:r w:rsidR="009316E9" w:rsidRPr="00A30BAC">
        <w:rPr>
          <w:rFonts w:ascii="Palatino Linotype" w:eastAsia="Times New Roman" w:hAnsi="Palatino Linotype" w:cs="Arial"/>
          <w:color w:val="000000" w:themeColor="text1"/>
          <w:lang w:val="es-ES"/>
        </w:rPr>
        <w:t xml:space="preserve"> </w:t>
      </w:r>
      <w:r w:rsidR="00102D65" w:rsidRPr="00A30BAC">
        <w:rPr>
          <w:rFonts w:ascii="Palatino Linotype" w:eastAsia="Times New Roman" w:hAnsi="Palatino Linotype" w:cs="Arial"/>
          <w:color w:val="000000" w:themeColor="text1"/>
          <w:lang w:val="es-ES"/>
        </w:rPr>
        <w:t>el</w:t>
      </w:r>
      <w:r w:rsidR="004D68F8" w:rsidRPr="00A30BAC">
        <w:rPr>
          <w:rFonts w:ascii="Palatino Linotype" w:eastAsia="Times New Roman" w:hAnsi="Palatino Linotype" w:cs="Arial"/>
          <w:color w:val="000000" w:themeColor="text1"/>
          <w:lang w:val="es-ES"/>
        </w:rPr>
        <w:t xml:space="preserve"> recurso de revisión </w:t>
      </w:r>
      <w:r w:rsidR="00A66149" w:rsidRPr="00A30BAC">
        <w:rPr>
          <w:rFonts w:ascii="Palatino Linotype" w:eastAsia="Calibri" w:hAnsi="Palatino Linotype" w:cs="Arial"/>
          <w:b/>
          <w:color w:val="000000" w:themeColor="text1"/>
          <w:lang w:val="es-ES"/>
        </w:rPr>
        <w:t>005</w:t>
      </w:r>
      <w:r w:rsidR="00D63C47" w:rsidRPr="00A30BAC">
        <w:rPr>
          <w:rFonts w:ascii="Palatino Linotype" w:eastAsia="Calibri" w:hAnsi="Palatino Linotype" w:cs="Arial"/>
          <w:b/>
          <w:color w:val="000000" w:themeColor="text1"/>
          <w:lang w:val="es-ES"/>
        </w:rPr>
        <w:t>23</w:t>
      </w:r>
      <w:r w:rsidR="00A66149" w:rsidRPr="00A30BAC">
        <w:rPr>
          <w:rFonts w:ascii="Palatino Linotype" w:eastAsia="Calibri" w:hAnsi="Palatino Linotype" w:cs="Arial"/>
          <w:b/>
          <w:color w:val="000000" w:themeColor="text1"/>
          <w:lang w:val="es-ES"/>
        </w:rPr>
        <w:t>/INFOEM/IP/RR/2022</w:t>
      </w:r>
      <w:r w:rsidR="009A0461" w:rsidRPr="00A30BAC">
        <w:rPr>
          <w:rFonts w:ascii="Palatino Linotype" w:eastAsia="Calibri" w:hAnsi="Palatino Linotype" w:cs="Arial"/>
          <w:b/>
          <w:color w:val="000000" w:themeColor="text1"/>
          <w:lang w:val="es-ES"/>
        </w:rPr>
        <w:t>;</w:t>
      </w:r>
      <w:r w:rsidR="00102D65" w:rsidRPr="00A30BAC">
        <w:rPr>
          <w:rFonts w:ascii="Palatino Linotype" w:eastAsia="Times New Roman" w:hAnsi="Palatino Linotype" w:cs="Arial"/>
          <w:color w:val="000000" w:themeColor="text1"/>
          <w:lang w:val="es-ES"/>
        </w:rPr>
        <w:t xml:space="preserve"> impugnación</w:t>
      </w:r>
      <w:r w:rsidR="004D68F8" w:rsidRPr="00A30BAC">
        <w:rPr>
          <w:rFonts w:ascii="Palatino Linotype" w:eastAsia="Times New Roman" w:hAnsi="Palatino Linotype" w:cs="Arial"/>
          <w:color w:val="000000" w:themeColor="text1"/>
          <w:lang w:val="es-ES"/>
        </w:rPr>
        <w:t xml:space="preserve"> </w:t>
      </w:r>
      <w:r w:rsidR="00A45546" w:rsidRPr="00A30BAC">
        <w:rPr>
          <w:rFonts w:ascii="Palatino Linotype" w:eastAsia="Times New Roman" w:hAnsi="Palatino Linotype" w:cs="Arial"/>
          <w:color w:val="000000" w:themeColor="text1"/>
          <w:lang w:val="es-ES"/>
        </w:rPr>
        <w:t xml:space="preserve">en </w:t>
      </w:r>
      <w:r w:rsidR="00977D37" w:rsidRPr="00A30BAC">
        <w:rPr>
          <w:rFonts w:ascii="Palatino Linotype" w:eastAsia="Times New Roman" w:hAnsi="Palatino Linotype" w:cs="Arial"/>
          <w:color w:val="000000" w:themeColor="text1"/>
          <w:lang w:val="es-ES"/>
        </w:rPr>
        <w:t>la</w:t>
      </w:r>
      <w:r w:rsidR="00A45546" w:rsidRPr="00A30BAC">
        <w:rPr>
          <w:rFonts w:ascii="Palatino Linotype" w:eastAsia="Times New Roman" w:hAnsi="Palatino Linotype" w:cs="Arial"/>
          <w:color w:val="000000" w:themeColor="text1"/>
          <w:lang w:val="es-ES"/>
        </w:rPr>
        <w:t xml:space="preserve"> que refirió </w:t>
      </w:r>
      <w:r w:rsidR="004D68F8" w:rsidRPr="00A30BAC">
        <w:rPr>
          <w:rFonts w:ascii="Palatino Linotype" w:eastAsia="Times New Roman" w:hAnsi="Palatino Linotype" w:cs="Arial"/>
          <w:color w:val="000000" w:themeColor="text1"/>
          <w:lang w:val="es-ES"/>
        </w:rPr>
        <w:t>lo siguiente:</w:t>
      </w:r>
    </w:p>
    <w:p w14:paraId="054906C6" w14:textId="77777777" w:rsidR="00E34622" w:rsidRPr="00A30BAC" w:rsidRDefault="00E34622" w:rsidP="00D63C47">
      <w:pPr>
        <w:pStyle w:val="Prrafodelista"/>
        <w:tabs>
          <w:tab w:val="left" w:pos="426"/>
        </w:tabs>
        <w:ind w:left="567" w:right="616"/>
        <w:jc w:val="both"/>
        <w:rPr>
          <w:rFonts w:ascii="Palatino Linotype" w:eastAsia="Times New Roman" w:hAnsi="Palatino Linotype" w:cs="Arial"/>
          <w:color w:val="000000" w:themeColor="text1"/>
        </w:rPr>
      </w:pPr>
    </w:p>
    <w:p w14:paraId="7CADF887" w14:textId="77777777" w:rsidR="00D63C47" w:rsidRPr="00A30BAC" w:rsidRDefault="00E34622" w:rsidP="00B773F9">
      <w:pPr>
        <w:pStyle w:val="Prrafodelista"/>
        <w:numPr>
          <w:ilvl w:val="0"/>
          <w:numId w:val="40"/>
        </w:numPr>
        <w:tabs>
          <w:tab w:val="left" w:pos="426"/>
        </w:tabs>
        <w:ind w:left="567" w:right="616" w:firstLine="0"/>
        <w:jc w:val="both"/>
        <w:rPr>
          <w:rFonts w:ascii="Palatino Linotype" w:eastAsia="Times New Roman" w:hAnsi="Palatino Linotype" w:cs="Arial"/>
          <w:color w:val="000000" w:themeColor="text1"/>
          <w:sz w:val="22"/>
          <w:szCs w:val="22"/>
          <w:lang w:val="es-ES"/>
        </w:rPr>
      </w:pPr>
      <w:r w:rsidRPr="00A30BAC">
        <w:rPr>
          <w:rFonts w:ascii="Palatino Linotype" w:eastAsia="Times New Roman" w:hAnsi="Palatino Linotype" w:cs="Arial"/>
          <w:b/>
          <w:color w:val="000000" w:themeColor="text1"/>
          <w:sz w:val="22"/>
          <w:szCs w:val="22"/>
          <w:lang w:val="es-ES"/>
        </w:rPr>
        <w:t>Acto impugnado:</w:t>
      </w:r>
      <w:r w:rsidRPr="00A30BAC">
        <w:rPr>
          <w:rFonts w:ascii="Palatino Linotype" w:eastAsia="Times New Roman" w:hAnsi="Palatino Linotype" w:cs="Arial"/>
          <w:color w:val="000000" w:themeColor="text1"/>
          <w:sz w:val="22"/>
          <w:szCs w:val="22"/>
          <w:lang w:val="es-ES"/>
        </w:rPr>
        <w:t xml:space="preserve"> </w:t>
      </w:r>
    </w:p>
    <w:p w14:paraId="5D958B88" w14:textId="6F2E0F99" w:rsidR="00E34622" w:rsidRPr="00A30BAC" w:rsidRDefault="00E34622" w:rsidP="00B773F9">
      <w:pPr>
        <w:ind w:left="567" w:right="616"/>
        <w:jc w:val="both"/>
        <w:rPr>
          <w:rFonts w:ascii="Times New Roman" w:eastAsia="Times New Roman" w:hAnsi="Times New Roman" w:cs="Times New Roman"/>
          <w:i/>
          <w:iCs/>
          <w:lang w:eastAsia="es-MX"/>
        </w:rPr>
      </w:pPr>
      <w:r w:rsidRPr="00A30BAC">
        <w:rPr>
          <w:rFonts w:ascii="Palatino Linotype" w:eastAsia="Times New Roman" w:hAnsi="Palatino Linotype" w:cs="Arial"/>
          <w:i/>
          <w:iCs/>
          <w:color w:val="000000" w:themeColor="text1"/>
          <w:sz w:val="22"/>
          <w:szCs w:val="22"/>
          <w:lang w:val="es-ES"/>
        </w:rPr>
        <w:t>“</w:t>
      </w:r>
      <w:r w:rsidR="00D63C47" w:rsidRPr="00A30BAC">
        <w:rPr>
          <w:rFonts w:ascii="Palatino Linotype" w:hAnsi="Palatino Linotype"/>
          <w:i/>
          <w:iCs/>
          <w:color w:val="000000"/>
          <w:sz w:val="22"/>
          <w:szCs w:val="22"/>
        </w:rPr>
        <w:t xml:space="preserve">el </w:t>
      </w:r>
      <w:r w:rsidR="00D63C47" w:rsidRPr="00A30BAC">
        <w:rPr>
          <w:rFonts w:ascii="Palatino Linotype" w:eastAsia="Times New Roman" w:hAnsi="Palatino Linotype" w:cs="Times New Roman"/>
          <w:i/>
          <w:iCs/>
          <w:color w:val="000000"/>
          <w:sz w:val="22"/>
          <w:szCs w:val="22"/>
          <w:lang w:eastAsia="es-MX"/>
        </w:rPr>
        <w:t>Oficio INCOMPETENCIA 00042VICARBOIP2022</w:t>
      </w:r>
      <w:r w:rsidRPr="00A30BAC">
        <w:rPr>
          <w:rFonts w:ascii="Palatino Linotype" w:eastAsia="Times New Roman" w:hAnsi="Palatino Linotype" w:cs="Arial"/>
          <w:i/>
          <w:iCs/>
          <w:color w:val="000000" w:themeColor="text1"/>
          <w:sz w:val="22"/>
          <w:szCs w:val="22"/>
          <w:lang w:val="es-ES"/>
        </w:rPr>
        <w:t>” (Sic)</w:t>
      </w:r>
    </w:p>
    <w:p w14:paraId="076F1F5D" w14:textId="77777777" w:rsidR="00D63C47" w:rsidRPr="00A30BAC" w:rsidRDefault="00D63C47" w:rsidP="00D63C47">
      <w:pPr>
        <w:tabs>
          <w:tab w:val="left" w:pos="426"/>
        </w:tabs>
        <w:ind w:left="567" w:right="616"/>
        <w:jc w:val="both"/>
        <w:rPr>
          <w:rFonts w:ascii="Palatino Linotype" w:eastAsia="Times New Roman" w:hAnsi="Palatino Linotype" w:cs="Arial"/>
          <w:color w:val="000000" w:themeColor="text1"/>
          <w:sz w:val="22"/>
          <w:szCs w:val="22"/>
          <w:lang w:val="es-ES"/>
        </w:rPr>
      </w:pPr>
    </w:p>
    <w:p w14:paraId="40AD8F96" w14:textId="77777777" w:rsidR="00D63C47" w:rsidRPr="00A30BAC" w:rsidRDefault="00E34622" w:rsidP="00D63C47">
      <w:pPr>
        <w:pStyle w:val="Prrafodelista"/>
        <w:numPr>
          <w:ilvl w:val="0"/>
          <w:numId w:val="40"/>
        </w:numPr>
        <w:tabs>
          <w:tab w:val="left" w:pos="426"/>
          <w:tab w:val="left" w:pos="567"/>
        </w:tabs>
        <w:ind w:left="567" w:right="616" w:firstLine="0"/>
        <w:jc w:val="both"/>
        <w:rPr>
          <w:rFonts w:ascii="Palatino Linotype" w:eastAsia="Times New Roman" w:hAnsi="Palatino Linotype" w:cs="Arial"/>
          <w:color w:val="000000" w:themeColor="text1"/>
          <w:sz w:val="22"/>
          <w:szCs w:val="22"/>
          <w:lang w:val="es-ES"/>
        </w:rPr>
      </w:pPr>
      <w:r w:rsidRPr="00A30BAC">
        <w:rPr>
          <w:rFonts w:ascii="Palatino Linotype" w:eastAsia="Times New Roman" w:hAnsi="Palatino Linotype" w:cs="Arial"/>
          <w:b/>
          <w:color w:val="000000" w:themeColor="text1"/>
          <w:sz w:val="22"/>
          <w:szCs w:val="22"/>
          <w:lang w:val="es-ES"/>
        </w:rPr>
        <w:t>Razones o motivos de inconformidad:</w:t>
      </w:r>
      <w:r w:rsidRPr="00A30BAC">
        <w:rPr>
          <w:rFonts w:ascii="Palatino Linotype" w:eastAsia="Times New Roman" w:hAnsi="Palatino Linotype" w:cs="Arial"/>
          <w:color w:val="000000" w:themeColor="text1"/>
          <w:sz w:val="22"/>
          <w:szCs w:val="22"/>
          <w:lang w:val="es-ES"/>
        </w:rPr>
        <w:t xml:space="preserve"> </w:t>
      </w:r>
    </w:p>
    <w:p w14:paraId="4E73B63B" w14:textId="69B03BEF" w:rsidR="00E34622" w:rsidRPr="00A30BAC" w:rsidRDefault="007909AE" w:rsidP="00D63C47">
      <w:pPr>
        <w:tabs>
          <w:tab w:val="left" w:pos="567"/>
        </w:tabs>
        <w:ind w:left="567" w:right="616"/>
        <w:jc w:val="both"/>
        <w:rPr>
          <w:rFonts w:ascii="Palatino Linotype" w:eastAsia="Times New Roman" w:hAnsi="Palatino Linotype" w:cs="Times New Roman"/>
          <w:i/>
          <w:iCs/>
          <w:sz w:val="22"/>
          <w:szCs w:val="22"/>
          <w:lang w:eastAsia="es-MX"/>
        </w:rPr>
      </w:pPr>
      <w:r w:rsidRPr="00A30BAC">
        <w:rPr>
          <w:rFonts w:ascii="Palatino Linotype" w:eastAsia="Times New Roman" w:hAnsi="Palatino Linotype" w:cs="Arial"/>
          <w:i/>
          <w:iCs/>
          <w:color w:val="000000" w:themeColor="text1"/>
          <w:sz w:val="22"/>
          <w:szCs w:val="22"/>
          <w:lang w:val="es-ES"/>
        </w:rPr>
        <w:t>“</w:t>
      </w:r>
      <w:r w:rsidR="00D63C47" w:rsidRPr="00A30BAC">
        <w:rPr>
          <w:rFonts w:ascii="Palatino Linotype" w:eastAsia="Times New Roman" w:hAnsi="Palatino Linotype" w:cs="Times New Roman"/>
          <w:i/>
          <w:iCs/>
          <w:color w:val="000000"/>
          <w:sz w:val="22"/>
          <w:szCs w:val="22"/>
          <w:lang w:eastAsia="es-MX"/>
        </w:rPr>
        <w:t xml:space="preserve">Por medio de la presente hoy 02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Villa del Carbón con número de folio 425719 de la solicitud de Información Pública realizada en la Plataforma Nacional de Transparencia, ya que su respuesta; oficio: INCOMPETENCIA 00042VICARBOIP2022 a mi petición de </w:t>
      </w:r>
      <w:r w:rsidR="00D63C47" w:rsidRPr="00A30BAC">
        <w:rPr>
          <w:rFonts w:ascii="Palatino Linotype" w:eastAsia="Times New Roman" w:hAnsi="Palatino Linotype" w:cs="Times New Roman"/>
          <w:i/>
          <w:iCs/>
          <w:color w:val="000000"/>
          <w:sz w:val="22"/>
          <w:szCs w:val="22"/>
          <w:lang w:eastAsia="es-MX"/>
        </w:rPr>
        <w:lastRenderedPageBreak/>
        <w:t xml:space="preserve">información recae en los supuestos establecidos por las fracciones III, V, X, XI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información fácil que ya tiene el Ente Obligado, directamente de su portal del SAT ya que son simples REPORTES reitero REPORTES que ya hizo y entregó el Ayuntamiento de Villa del Carbón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D63C47" w:rsidRPr="00A30BAC">
        <w:rPr>
          <w:rFonts w:ascii="Palatino Linotype" w:eastAsia="Times New Roman" w:hAnsi="Palatino Linotype" w:cs="Times New Roman"/>
          <w:i/>
          <w:iCs/>
          <w:color w:val="000000"/>
          <w:sz w:val="22"/>
          <w:szCs w:val="22"/>
          <w:lang w:eastAsia="es-MX"/>
        </w:rPr>
        <w:t>pdf</w:t>
      </w:r>
      <w:proofErr w:type="spellEnd"/>
      <w:r w:rsidR="00D63C47" w:rsidRPr="00A30BAC">
        <w:rPr>
          <w:rFonts w:ascii="Palatino Linotype" w:eastAsia="Times New Roman" w:hAnsi="Palatino Linotype" w:cs="Times New Roman"/>
          <w:i/>
          <w:iCs/>
          <w:color w:val="000000"/>
          <w:sz w:val="22"/>
          <w:szCs w:val="22"/>
          <w:lang w:eastAsia="es-MX"/>
        </w:rPr>
        <w:t xml:space="preserve">, se envían y listo. Respecto a las otras dos presentaciones del visor de nóminas del SAT (Vista anual acumulada y detalle mensual) solo tiene que descargar los </w:t>
      </w:r>
      <w:proofErr w:type="spellStart"/>
      <w:r w:rsidR="00D63C47" w:rsidRPr="00A30BAC">
        <w:rPr>
          <w:rFonts w:ascii="Palatino Linotype" w:eastAsia="Times New Roman" w:hAnsi="Palatino Linotype" w:cs="Times New Roman"/>
          <w:i/>
          <w:iCs/>
          <w:color w:val="000000"/>
          <w:sz w:val="22"/>
          <w:szCs w:val="22"/>
          <w:lang w:eastAsia="es-MX"/>
        </w:rPr>
        <w:t>pdf</w:t>
      </w:r>
      <w:proofErr w:type="spellEnd"/>
      <w:r w:rsidR="00D63C47" w:rsidRPr="00A30BAC">
        <w:rPr>
          <w:rFonts w:ascii="Palatino Linotype" w:eastAsia="Times New Roman" w:hAnsi="Palatino Linotype" w:cs="Times New Roman"/>
          <w:i/>
          <w:iCs/>
          <w:color w:val="000000"/>
          <w:sz w:val="22"/>
          <w:szCs w:val="22"/>
          <w:lang w:eastAsia="es-MX"/>
        </w:rPr>
        <w:t xml:space="preserve">. </w:t>
      </w:r>
      <w:proofErr w:type="gramStart"/>
      <w:r w:rsidR="00D63C47" w:rsidRPr="00A30BAC">
        <w:rPr>
          <w:rFonts w:ascii="Palatino Linotype" w:eastAsia="Times New Roman" w:hAnsi="Palatino Linotype" w:cs="Times New Roman"/>
          <w:i/>
          <w:iCs/>
          <w:color w:val="000000"/>
          <w:sz w:val="22"/>
          <w:szCs w:val="22"/>
          <w:lang w:eastAsia="es-MX"/>
        </w:rPr>
        <w:t>de</w:t>
      </w:r>
      <w:proofErr w:type="gramEnd"/>
      <w:r w:rsidR="00D63C47" w:rsidRPr="00A30BAC">
        <w:rPr>
          <w:rFonts w:ascii="Palatino Linotype" w:eastAsia="Times New Roman" w:hAnsi="Palatino Linotype" w:cs="Times New Roman"/>
          <w:i/>
          <w:iCs/>
          <w:color w:val="000000"/>
          <w:sz w:val="22"/>
          <w:szCs w:val="22"/>
          <w:lang w:eastAsia="es-MX"/>
        </w:rPr>
        <w:t xml:space="preserve"> su portal del SAT. Dando solo dos </w:t>
      </w:r>
      <w:proofErr w:type="spellStart"/>
      <w:r w:rsidR="00D63C47" w:rsidRPr="00A30BAC">
        <w:rPr>
          <w:rFonts w:ascii="Palatino Linotype" w:eastAsia="Times New Roman" w:hAnsi="Palatino Linotype" w:cs="Times New Roman"/>
          <w:i/>
          <w:iCs/>
          <w:color w:val="000000"/>
          <w:sz w:val="22"/>
          <w:szCs w:val="22"/>
          <w:lang w:eastAsia="es-MX"/>
        </w:rPr>
        <w:t>clicks</w:t>
      </w:r>
      <w:proofErr w:type="spellEnd"/>
      <w:r w:rsidR="00D63C47" w:rsidRPr="00A30BAC">
        <w:rPr>
          <w:rFonts w:ascii="Palatino Linotype" w:eastAsia="Times New Roman" w:hAnsi="Palatino Linotype" w:cs="Times New Roman"/>
          <w:i/>
          <w:iCs/>
          <w:color w:val="000000"/>
          <w:sz w:val="22"/>
          <w:szCs w:val="22"/>
          <w:lang w:eastAsia="es-MX"/>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la respuesta pero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w:t>
      </w:r>
      <w:r w:rsidR="00D63C47" w:rsidRPr="00A30BAC">
        <w:rPr>
          <w:rFonts w:ascii="Palatino Linotype" w:eastAsia="Times New Roman" w:hAnsi="Palatino Linotype" w:cs="Times New Roman"/>
          <w:i/>
          <w:iCs/>
          <w:color w:val="000000"/>
          <w:sz w:val="22"/>
          <w:szCs w:val="22"/>
          <w:lang w:eastAsia="es-MX"/>
        </w:rPr>
        <w:lastRenderedPageBreak/>
        <w:t xml:space="preserve">Datos Personales del Estado de México y Municipios) actué eficiente y eficazmente con el tema. Saludos cordiales. Gracias. Atte. Polo </w:t>
      </w:r>
      <w:proofErr w:type="spellStart"/>
      <w:r w:rsidR="00D63C47" w:rsidRPr="00A30BAC">
        <w:rPr>
          <w:rFonts w:ascii="Palatino Linotype" w:eastAsia="Times New Roman" w:hAnsi="Palatino Linotype" w:cs="Times New Roman"/>
          <w:i/>
          <w:iCs/>
          <w:color w:val="000000"/>
          <w:sz w:val="22"/>
          <w:szCs w:val="22"/>
          <w:lang w:eastAsia="es-MX"/>
        </w:rPr>
        <w:t>Alvarez</w:t>
      </w:r>
      <w:proofErr w:type="spellEnd"/>
      <w:r w:rsidRPr="00A30BAC">
        <w:rPr>
          <w:rFonts w:ascii="Palatino Linotype" w:eastAsia="Times New Roman" w:hAnsi="Palatino Linotype" w:cs="Arial"/>
          <w:i/>
          <w:iCs/>
          <w:color w:val="000000" w:themeColor="text1"/>
          <w:sz w:val="22"/>
          <w:szCs w:val="22"/>
        </w:rPr>
        <w:t xml:space="preserve">” </w:t>
      </w:r>
      <w:r w:rsidRPr="00A30BAC">
        <w:rPr>
          <w:rFonts w:ascii="Palatino Linotype" w:hAnsi="Palatino Linotype"/>
          <w:i/>
          <w:iCs/>
          <w:sz w:val="22"/>
          <w:szCs w:val="22"/>
        </w:rPr>
        <w:t>(Sic)</w:t>
      </w:r>
    </w:p>
    <w:p w14:paraId="21222FF6" w14:textId="77777777" w:rsidR="007D274E" w:rsidRPr="00A30BAC" w:rsidRDefault="007D274E" w:rsidP="007D274E">
      <w:pPr>
        <w:pStyle w:val="Prrafodelista"/>
        <w:tabs>
          <w:tab w:val="left" w:pos="426"/>
        </w:tabs>
        <w:spacing w:line="360" w:lineRule="auto"/>
        <w:ind w:left="0"/>
        <w:jc w:val="both"/>
        <w:rPr>
          <w:rFonts w:ascii="Palatino Linotype" w:hAnsi="Palatino Linotype"/>
          <w:i/>
          <w:iCs/>
          <w:color w:val="000000" w:themeColor="text1"/>
          <w:sz w:val="22"/>
          <w:szCs w:val="22"/>
        </w:rPr>
      </w:pPr>
    </w:p>
    <w:p w14:paraId="0013B1C9" w14:textId="77777777" w:rsidR="007D274E" w:rsidRPr="00A30BAC" w:rsidRDefault="007D274E" w:rsidP="007D274E">
      <w:pPr>
        <w:pStyle w:val="Prrafodelista"/>
        <w:tabs>
          <w:tab w:val="left" w:pos="426"/>
        </w:tabs>
        <w:spacing w:line="360" w:lineRule="auto"/>
        <w:ind w:left="0"/>
        <w:jc w:val="both"/>
        <w:rPr>
          <w:rFonts w:ascii="Palatino Linotype" w:eastAsia="Times New Roman" w:hAnsi="Palatino Linotype" w:cs="Arial"/>
          <w:color w:val="000000" w:themeColor="text1"/>
          <w:sz w:val="22"/>
          <w:szCs w:val="22"/>
          <w:lang w:val="es-ES"/>
        </w:rPr>
      </w:pPr>
      <w:r w:rsidRPr="00A30BAC">
        <w:rPr>
          <w:rFonts w:ascii="Palatino Linotype" w:hAnsi="Palatino Linotype"/>
          <w:color w:val="000000" w:themeColor="text1"/>
          <w:sz w:val="22"/>
          <w:szCs w:val="22"/>
        </w:rPr>
        <w:t xml:space="preserve">Archivo </w:t>
      </w:r>
      <w:r w:rsidR="007909AE" w:rsidRPr="00A30BAC">
        <w:rPr>
          <w:rFonts w:ascii="Palatino Linotype" w:eastAsia="Times New Roman" w:hAnsi="Palatino Linotype" w:cs="Arial"/>
          <w:color w:val="000000" w:themeColor="text1"/>
          <w:sz w:val="22"/>
          <w:szCs w:val="22"/>
          <w:lang w:val="es-ES"/>
        </w:rPr>
        <w:t>adjunto</w:t>
      </w:r>
      <w:r w:rsidRPr="00A30BAC">
        <w:rPr>
          <w:rFonts w:ascii="Palatino Linotype" w:eastAsia="Times New Roman" w:hAnsi="Palatino Linotype" w:cs="Arial"/>
          <w:color w:val="000000" w:themeColor="text1"/>
          <w:sz w:val="22"/>
          <w:szCs w:val="22"/>
          <w:lang w:val="es-ES"/>
        </w:rPr>
        <w:t>:</w:t>
      </w:r>
    </w:p>
    <w:p w14:paraId="2EE02710" w14:textId="77777777" w:rsidR="007D274E" w:rsidRPr="00A30BAC" w:rsidRDefault="007D274E" w:rsidP="007D274E">
      <w:pPr>
        <w:tabs>
          <w:tab w:val="left" w:pos="426"/>
        </w:tabs>
        <w:jc w:val="both"/>
        <w:rPr>
          <w:rFonts w:ascii="Palatino Linotype" w:eastAsia="Times New Roman" w:hAnsi="Palatino Linotype" w:cs="Arial"/>
          <w:color w:val="000000" w:themeColor="text1"/>
          <w:sz w:val="22"/>
          <w:szCs w:val="22"/>
          <w:lang w:val="es-ES"/>
        </w:rPr>
      </w:pPr>
    </w:p>
    <w:p w14:paraId="576FB28C" w14:textId="33589430" w:rsidR="0016161C" w:rsidRPr="00A30BAC" w:rsidRDefault="0098370C" w:rsidP="007D274E">
      <w:pPr>
        <w:pStyle w:val="Prrafodelista"/>
        <w:numPr>
          <w:ilvl w:val="0"/>
          <w:numId w:val="40"/>
        </w:numPr>
        <w:tabs>
          <w:tab w:val="left" w:pos="426"/>
        </w:tabs>
        <w:ind w:left="567" w:right="616" w:firstLine="0"/>
        <w:jc w:val="both"/>
        <w:rPr>
          <w:rFonts w:ascii="Palatino Linotype" w:eastAsia="Calibri" w:hAnsi="Palatino Linotype" w:cs="Arial"/>
          <w:color w:val="000000" w:themeColor="text1"/>
          <w:sz w:val="22"/>
          <w:szCs w:val="22"/>
          <w:lang w:val="es-ES"/>
        </w:rPr>
      </w:pPr>
      <w:r w:rsidRPr="00A30BAC">
        <w:rPr>
          <w:rFonts w:ascii="Palatino Linotype" w:eastAsia="Times New Roman" w:hAnsi="Palatino Linotype" w:cs="Arial"/>
          <w:b/>
          <w:bCs/>
          <w:color w:val="000000" w:themeColor="text1"/>
          <w:sz w:val="22"/>
          <w:szCs w:val="22"/>
          <w:lang w:val="es-ES"/>
        </w:rPr>
        <w:t>INCOMPETENCIA 00042VICARBOIP2022</w:t>
      </w:r>
      <w:r w:rsidR="007D274E" w:rsidRPr="00A30BAC">
        <w:rPr>
          <w:rFonts w:ascii="Palatino Linotype" w:eastAsia="Times New Roman" w:hAnsi="Palatino Linotype" w:cs="Arial"/>
          <w:color w:val="000000" w:themeColor="text1"/>
          <w:sz w:val="22"/>
          <w:szCs w:val="22"/>
          <w:lang w:val="es-ES"/>
        </w:rPr>
        <w:t>: C</w:t>
      </w:r>
      <w:r w:rsidR="007909AE" w:rsidRPr="00A30BAC">
        <w:rPr>
          <w:rFonts w:ascii="Palatino Linotype" w:eastAsia="Times New Roman" w:hAnsi="Palatino Linotype" w:cs="Arial"/>
          <w:color w:val="000000" w:themeColor="text1"/>
          <w:sz w:val="22"/>
          <w:szCs w:val="22"/>
          <w:lang w:val="es-ES"/>
        </w:rPr>
        <w:t>opia digitalizada del oficio</w:t>
      </w:r>
      <w:r w:rsidR="007D274E" w:rsidRPr="00A30BAC">
        <w:rPr>
          <w:rFonts w:ascii="Palatino Linotype" w:eastAsia="Times New Roman" w:hAnsi="Palatino Linotype" w:cs="Arial"/>
          <w:color w:val="000000" w:themeColor="text1"/>
          <w:sz w:val="22"/>
          <w:szCs w:val="22"/>
          <w:lang w:val="es-ES"/>
        </w:rPr>
        <w:t xml:space="preserve"> </w:t>
      </w:r>
      <w:r w:rsidR="0079427C" w:rsidRPr="00A30BAC">
        <w:rPr>
          <w:rFonts w:ascii="Palatino Linotype" w:eastAsia="Times New Roman" w:hAnsi="Palatino Linotype" w:cs="Arial"/>
          <w:color w:val="000000" w:themeColor="text1"/>
          <w:sz w:val="22"/>
          <w:szCs w:val="22"/>
          <w:lang w:val="es-ES"/>
        </w:rPr>
        <w:t xml:space="preserve">originalmente entregado por el </w:t>
      </w:r>
      <w:r w:rsidR="0079427C" w:rsidRPr="00A30BAC">
        <w:rPr>
          <w:rFonts w:ascii="Palatino Linotype" w:eastAsia="Times New Roman" w:hAnsi="Palatino Linotype" w:cs="Arial"/>
          <w:b/>
          <w:bCs/>
          <w:color w:val="000000" w:themeColor="text1"/>
          <w:sz w:val="22"/>
          <w:szCs w:val="22"/>
          <w:lang w:val="es-ES"/>
        </w:rPr>
        <w:t>SUJETO OBLIGADO</w:t>
      </w:r>
      <w:r w:rsidR="0079427C" w:rsidRPr="00A30BAC">
        <w:rPr>
          <w:rFonts w:ascii="Palatino Linotype" w:eastAsia="Times New Roman" w:hAnsi="Palatino Linotype" w:cs="Arial"/>
          <w:color w:val="000000" w:themeColor="text1"/>
          <w:sz w:val="22"/>
          <w:szCs w:val="22"/>
          <w:lang w:val="es-ES"/>
        </w:rPr>
        <w:t xml:space="preserve"> en respuesta a su solicitud de información.</w:t>
      </w:r>
    </w:p>
    <w:p w14:paraId="5E3B7453" w14:textId="77777777" w:rsidR="0016161C" w:rsidRPr="00A30BAC" w:rsidRDefault="0016161C" w:rsidP="0016161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3D77F2F5" w:rsidR="005F1362" w:rsidRPr="00A30BAC"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30BAC">
        <w:rPr>
          <w:rFonts w:ascii="Palatino Linotype" w:eastAsia="Times New Roman" w:hAnsi="Palatino Linotype" w:cs="Arial"/>
          <w:color w:val="000000" w:themeColor="text1"/>
          <w:lang w:val="es-ES"/>
        </w:rPr>
        <w:t>S</w:t>
      </w:r>
      <w:r w:rsidR="005F1362" w:rsidRPr="00A30BAC">
        <w:rPr>
          <w:rFonts w:ascii="Palatino Linotype" w:eastAsia="Times New Roman" w:hAnsi="Palatino Linotype" w:cs="Arial"/>
          <w:color w:val="000000" w:themeColor="text1"/>
          <w:lang w:val="es-ES"/>
        </w:rPr>
        <w:t xml:space="preserve">e registró el recurso de revisión bajo el número de expediente </w:t>
      </w:r>
      <w:r w:rsidR="004F785F" w:rsidRPr="00A30BAC">
        <w:rPr>
          <w:rFonts w:ascii="Palatino Linotype" w:hAnsi="Palatino Linotype" w:cs="Arial"/>
          <w:bCs/>
          <w:color w:val="000000" w:themeColor="text1"/>
        </w:rPr>
        <w:t>al rubro indicado, asi</w:t>
      </w:r>
      <w:r w:rsidR="005F1362" w:rsidRPr="00A30BAC">
        <w:rPr>
          <w:rFonts w:ascii="Palatino Linotype" w:hAnsi="Palatino Linotype" w:cs="Arial"/>
          <w:bCs/>
          <w:color w:val="000000" w:themeColor="text1"/>
        </w:rPr>
        <w:t xml:space="preserve">mismo, con fundamento en lo dispuesto por el </w:t>
      </w:r>
      <w:r w:rsidR="005F1362" w:rsidRPr="00A30BAC">
        <w:rPr>
          <w:rFonts w:ascii="Palatino Linotype" w:eastAsia="Calibri" w:hAnsi="Palatino Linotype" w:cs="Arial"/>
          <w:bCs/>
          <w:color w:val="000000" w:themeColor="text1"/>
          <w:lang w:val="es-ES"/>
        </w:rPr>
        <w:t>artículo 185</w:t>
      </w:r>
      <w:r w:rsidR="000125A8" w:rsidRPr="00A30BAC">
        <w:rPr>
          <w:rFonts w:ascii="Palatino Linotype" w:eastAsia="Calibri" w:hAnsi="Palatino Linotype" w:cs="Arial"/>
          <w:bCs/>
          <w:color w:val="000000" w:themeColor="text1"/>
          <w:lang w:val="es-ES"/>
        </w:rPr>
        <w:t>,</w:t>
      </w:r>
      <w:r w:rsidR="005F1362" w:rsidRPr="00A30BAC">
        <w:rPr>
          <w:rFonts w:ascii="Palatino Linotype" w:eastAsia="Calibri" w:hAnsi="Palatino Linotype" w:cs="Arial"/>
          <w:bCs/>
          <w:color w:val="000000" w:themeColor="text1"/>
          <w:lang w:val="es-ES"/>
        </w:rPr>
        <w:t xml:space="preserve"> fracción I</w:t>
      </w:r>
      <w:r w:rsidR="000125A8" w:rsidRPr="00A30BAC">
        <w:rPr>
          <w:rFonts w:ascii="Palatino Linotype" w:eastAsia="Calibri" w:hAnsi="Palatino Linotype" w:cs="Arial"/>
          <w:bCs/>
          <w:color w:val="000000" w:themeColor="text1"/>
          <w:lang w:val="es-ES"/>
        </w:rPr>
        <w:t>,</w:t>
      </w:r>
      <w:r w:rsidR="005F1362" w:rsidRPr="00A30BAC">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A30BAC">
        <w:rPr>
          <w:rFonts w:ascii="Palatino Linotype" w:eastAsia="Times New Roman" w:hAnsi="Palatino Linotype" w:cs="Arial"/>
          <w:bCs/>
          <w:color w:val="000000" w:themeColor="text1"/>
          <w:lang w:val="es-ES"/>
        </w:rPr>
        <w:t xml:space="preserve">se turnó </w:t>
      </w:r>
      <w:r w:rsidR="0096234B" w:rsidRPr="00A30BAC">
        <w:rPr>
          <w:rFonts w:ascii="Palatino Linotype" w:eastAsia="Times New Roman" w:hAnsi="Palatino Linotype" w:cs="Arial"/>
          <w:bCs/>
          <w:color w:val="000000" w:themeColor="text1"/>
          <w:lang w:val="es-ES"/>
        </w:rPr>
        <w:t xml:space="preserve">a la </w:t>
      </w:r>
      <w:r w:rsidR="0096234B" w:rsidRPr="00A30BAC">
        <w:rPr>
          <w:rFonts w:ascii="Palatino Linotype" w:eastAsia="Times New Roman" w:hAnsi="Palatino Linotype" w:cs="Arial"/>
          <w:b/>
          <w:bCs/>
          <w:color w:val="000000" w:themeColor="text1"/>
          <w:lang w:val="es-ES"/>
        </w:rPr>
        <w:t xml:space="preserve">Comisionada </w:t>
      </w:r>
      <w:r w:rsidR="00C44847" w:rsidRPr="00A30BAC">
        <w:rPr>
          <w:rFonts w:ascii="Palatino Linotype" w:eastAsia="Times New Roman" w:hAnsi="Palatino Linotype" w:cs="Arial"/>
          <w:b/>
          <w:bCs/>
          <w:color w:val="000000" w:themeColor="text1"/>
          <w:lang w:val="es-ES"/>
        </w:rPr>
        <w:t>María del Rosario Mejía Ayala</w:t>
      </w:r>
      <w:r w:rsidR="005F1362" w:rsidRPr="00A30BAC">
        <w:rPr>
          <w:rFonts w:ascii="Palatino Linotype" w:eastAsia="Times New Roman" w:hAnsi="Palatino Linotype" w:cs="Arial"/>
          <w:bCs/>
          <w:color w:val="000000" w:themeColor="text1"/>
          <w:lang w:val="es-ES"/>
        </w:rPr>
        <w:t xml:space="preserve">, con el objeto de </w:t>
      </w:r>
      <w:r w:rsidR="005F1362" w:rsidRPr="00A30BAC">
        <w:rPr>
          <w:rFonts w:ascii="Palatino Linotype" w:eastAsia="Times New Roman" w:hAnsi="Palatino Linotype" w:cs="Arial"/>
          <w:bCs/>
          <w:color w:val="000000" w:themeColor="text1"/>
        </w:rPr>
        <w:t>su análisis.</w:t>
      </w:r>
    </w:p>
    <w:p w14:paraId="2BDE682E" w14:textId="77777777" w:rsidR="005F1362" w:rsidRPr="00A30BAC"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E6AB03F" w:rsidR="007446C2" w:rsidRPr="00A30BAC"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30BAC">
        <w:rPr>
          <w:rFonts w:ascii="Palatino Linotype" w:eastAsia="Times New Roman" w:hAnsi="Palatino Linotype" w:cs="Arial"/>
          <w:color w:val="000000" w:themeColor="text1"/>
          <w:lang w:val="es-ES"/>
        </w:rPr>
        <w:t>La</w:t>
      </w:r>
      <w:r w:rsidR="00E647FF" w:rsidRPr="00A30BAC">
        <w:rPr>
          <w:rFonts w:ascii="Palatino Linotype" w:eastAsia="Times New Roman" w:hAnsi="Palatino Linotype" w:cs="Arial"/>
          <w:color w:val="000000" w:themeColor="text1"/>
          <w:lang w:val="es-ES"/>
        </w:rPr>
        <w:t xml:space="preserve"> </w:t>
      </w:r>
      <w:r w:rsidR="0004686A" w:rsidRPr="00A30BAC">
        <w:rPr>
          <w:rFonts w:ascii="Palatino Linotype" w:eastAsia="Calibri" w:hAnsi="Palatino Linotype" w:cs="Arial"/>
          <w:color w:val="000000" w:themeColor="text1"/>
          <w:lang w:val="es-ES"/>
        </w:rPr>
        <w:t>Comisionad</w:t>
      </w:r>
      <w:r w:rsidRPr="00A30BAC">
        <w:rPr>
          <w:rFonts w:ascii="Palatino Linotype" w:eastAsia="Calibri" w:hAnsi="Palatino Linotype" w:cs="Arial"/>
          <w:color w:val="000000" w:themeColor="text1"/>
          <w:lang w:val="es-ES"/>
        </w:rPr>
        <w:t>a</w:t>
      </w:r>
      <w:r w:rsidR="0004686A" w:rsidRPr="00A30BAC">
        <w:rPr>
          <w:rFonts w:ascii="Palatino Linotype" w:eastAsia="Calibri" w:hAnsi="Palatino Linotype" w:cs="Arial"/>
          <w:color w:val="000000" w:themeColor="text1"/>
          <w:lang w:val="es-ES"/>
        </w:rPr>
        <w:t xml:space="preserve"> Ponente</w:t>
      </w:r>
      <w:r w:rsidR="006B31E7" w:rsidRPr="00A30BAC">
        <w:rPr>
          <w:rFonts w:ascii="Palatino Linotype" w:eastAsia="Calibri" w:hAnsi="Palatino Linotype" w:cs="Arial"/>
          <w:color w:val="000000" w:themeColor="text1"/>
          <w:lang w:val="es-ES"/>
        </w:rPr>
        <w:t>,</w:t>
      </w:r>
      <w:r w:rsidR="0004686A" w:rsidRPr="00A30BAC">
        <w:rPr>
          <w:rFonts w:ascii="Palatino Linotype" w:eastAsia="Calibri" w:hAnsi="Palatino Linotype" w:cs="Arial"/>
          <w:color w:val="000000" w:themeColor="text1"/>
          <w:lang w:val="es-ES"/>
        </w:rPr>
        <w:t xml:space="preserve"> con fundamento en lo dispuesto por el artículo 185</w:t>
      </w:r>
      <w:r w:rsidR="0079427C" w:rsidRPr="00A30BAC">
        <w:rPr>
          <w:rFonts w:ascii="Palatino Linotype" w:eastAsia="Calibri" w:hAnsi="Palatino Linotype" w:cs="Arial"/>
          <w:color w:val="000000" w:themeColor="text1"/>
          <w:lang w:val="es-ES"/>
        </w:rPr>
        <w:t>,</w:t>
      </w:r>
      <w:r w:rsidR="0004686A" w:rsidRPr="00A30BAC">
        <w:rPr>
          <w:rFonts w:ascii="Palatino Linotype" w:eastAsia="Calibri" w:hAnsi="Palatino Linotype" w:cs="Arial"/>
          <w:color w:val="000000" w:themeColor="text1"/>
          <w:lang w:val="es-ES"/>
        </w:rPr>
        <w:t xml:space="preserve"> fracción II</w:t>
      </w:r>
      <w:r w:rsidR="0079427C" w:rsidRPr="00A30BAC">
        <w:rPr>
          <w:rFonts w:ascii="Palatino Linotype" w:eastAsia="Calibri" w:hAnsi="Palatino Linotype" w:cs="Arial"/>
          <w:color w:val="000000" w:themeColor="text1"/>
          <w:lang w:val="es-ES"/>
        </w:rPr>
        <w:t>,</w:t>
      </w:r>
      <w:r w:rsidR="0004686A" w:rsidRPr="00A30BAC">
        <w:rPr>
          <w:rFonts w:ascii="Palatino Linotype" w:eastAsia="Calibri" w:hAnsi="Palatino Linotype" w:cs="Arial"/>
          <w:color w:val="000000" w:themeColor="text1"/>
          <w:lang w:val="es-ES"/>
        </w:rPr>
        <w:t xml:space="preserve"> de la </w:t>
      </w:r>
      <w:r w:rsidR="00613655" w:rsidRPr="00A30BAC">
        <w:rPr>
          <w:rFonts w:ascii="Palatino Linotype" w:eastAsia="Calibri" w:hAnsi="Palatino Linotype" w:cs="Arial"/>
          <w:color w:val="000000" w:themeColor="text1"/>
          <w:lang w:val="es-ES"/>
        </w:rPr>
        <w:t>Ley de Transparencia y Acceso a la Información Pública del Estado de México y Municipios</w:t>
      </w:r>
      <w:r w:rsidR="0004686A" w:rsidRPr="00A30BAC">
        <w:rPr>
          <w:rFonts w:ascii="Palatino Linotype" w:eastAsia="Calibri" w:hAnsi="Palatino Linotype" w:cs="Arial"/>
          <w:color w:val="000000" w:themeColor="text1"/>
          <w:lang w:val="es-ES"/>
        </w:rPr>
        <w:t xml:space="preserve">, a través </w:t>
      </w:r>
      <w:r w:rsidR="006E4E2A" w:rsidRPr="00A30BAC">
        <w:rPr>
          <w:rFonts w:ascii="Palatino Linotype" w:eastAsia="Calibri" w:hAnsi="Palatino Linotype" w:cs="Arial"/>
          <w:color w:val="000000" w:themeColor="text1"/>
          <w:lang w:val="es-ES"/>
        </w:rPr>
        <w:t>del</w:t>
      </w:r>
      <w:r w:rsidR="0004686A" w:rsidRPr="00A30BAC">
        <w:rPr>
          <w:rFonts w:ascii="Palatino Linotype" w:eastAsia="Calibri" w:hAnsi="Palatino Linotype" w:cs="Arial"/>
          <w:color w:val="000000" w:themeColor="text1"/>
          <w:lang w:val="es-ES"/>
        </w:rPr>
        <w:t xml:space="preserve"> </w:t>
      </w:r>
      <w:r w:rsidR="00B81371" w:rsidRPr="00A30BAC">
        <w:rPr>
          <w:rFonts w:ascii="Palatino Linotype" w:eastAsia="Calibri" w:hAnsi="Palatino Linotype" w:cs="Arial"/>
          <w:color w:val="000000" w:themeColor="text1"/>
          <w:lang w:val="es-ES"/>
        </w:rPr>
        <w:t xml:space="preserve">acuerdo </w:t>
      </w:r>
      <w:r w:rsidR="00F147C6" w:rsidRPr="00A30BAC">
        <w:rPr>
          <w:rFonts w:ascii="Palatino Linotype" w:eastAsia="Calibri" w:hAnsi="Palatino Linotype" w:cs="Arial"/>
          <w:color w:val="000000" w:themeColor="text1"/>
          <w:lang w:val="es-ES"/>
        </w:rPr>
        <w:t xml:space="preserve">de admisión </w:t>
      </w:r>
      <w:r w:rsidR="00B81371" w:rsidRPr="00A30BAC">
        <w:rPr>
          <w:rFonts w:ascii="Palatino Linotype" w:eastAsia="Calibri" w:hAnsi="Palatino Linotype" w:cs="Arial"/>
          <w:color w:val="000000" w:themeColor="text1"/>
          <w:lang w:val="es-ES"/>
        </w:rPr>
        <w:t xml:space="preserve">de </w:t>
      </w:r>
      <w:r w:rsidR="007D274E" w:rsidRPr="00A30BAC">
        <w:rPr>
          <w:rFonts w:ascii="Palatino Linotype" w:eastAsia="Calibri" w:hAnsi="Palatino Linotype" w:cs="Arial"/>
          <w:color w:val="000000" w:themeColor="text1"/>
          <w:lang w:val="es-ES"/>
        </w:rPr>
        <w:t>dieciséis</w:t>
      </w:r>
      <w:r w:rsidR="0079427C" w:rsidRPr="00A30BAC">
        <w:rPr>
          <w:rFonts w:ascii="Palatino Linotype" w:eastAsia="Calibri" w:hAnsi="Palatino Linotype" w:cs="Arial"/>
          <w:color w:val="000000" w:themeColor="text1"/>
          <w:lang w:val="es-ES"/>
        </w:rPr>
        <w:t xml:space="preserve"> (</w:t>
      </w:r>
      <w:r w:rsidR="007D274E" w:rsidRPr="00A30BAC">
        <w:rPr>
          <w:rFonts w:ascii="Palatino Linotype" w:eastAsia="Calibri" w:hAnsi="Palatino Linotype" w:cs="Arial"/>
          <w:color w:val="000000" w:themeColor="text1"/>
          <w:lang w:val="es-ES"/>
        </w:rPr>
        <w:t>16</w:t>
      </w:r>
      <w:r w:rsidR="0079427C" w:rsidRPr="00A30BAC">
        <w:rPr>
          <w:rFonts w:ascii="Palatino Linotype" w:eastAsia="Calibri" w:hAnsi="Palatino Linotype" w:cs="Arial"/>
          <w:color w:val="000000" w:themeColor="text1"/>
          <w:lang w:val="es-ES"/>
        </w:rPr>
        <w:t>)</w:t>
      </w:r>
      <w:r w:rsidR="000125A8" w:rsidRPr="00A30BAC">
        <w:rPr>
          <w:rFonts w:ascii="Palatino Linotype" w:eastAsia="Calibri" w:hAnsi="Palatino Linotype" w:cs="Arial"/>
          <w:color w:val="000000" w:themeColor="text1"/>
          <w:lang w:val="es-ES"/>
        </w:rPr>
        <w:t xml:space="preserve"> de febrero de dos mil veintidós</w:t>
      </w:r>
      <w:r w:rsidR="006A1047" w:rsidRPr="00A30BAC">
        <w:rPr>
          <w:rFonts w:ascii="Palatino Linotype" w:eastAsia="Calibri" w:hAnsi="Palatino Linotype" w:cs="Arial"/>
          <w:color w:val="000000" w:themeColor="text1"/>
          <w:lang w:val="es-ES"/>
        </w:rPr>
        <w:t xml:space="preserve">, </w:t>
      </w:r>
      <w:r w:rsidR="00B81371" w:rsidRPr="00A30BAC">
        <w:rPr>
          <w:rFonts w:ascii="Palatino Linotype" w:eastAsia="Calibri" w:hAnsi="Palatino Linotype" w:cs="Arial"/>
          <w:color w:val="000000" w:themeColor="text1"/>
          <w:lang w:val="es-ES"/>
        </w:rPr>
        <w:t xml:space="preserve">puso a </w:t>
      </w:r>
      <w:r w:rsidR="00875167" w:rsidRPr="00A30BAC">
        <w:rPr>
          <w:rFonts w:ascii="Palatino Linotype" w:eastAsia="Calibri" w:hAnsi="Palatino Linotype" w:cs="Arial"/>
          <w:color w:val="000000" w:themeColor="text1"/>
          <w:lang w:val="es-ES"/>
        </w:rPr>
        <w:t>disposición</w:t>
      </w:r>
      <w:r w:rsidR="00B81371" w:rsidRPr="00A30BAC">
        <w:rPr>
          <w:rFonts w:ascii="Palatino Linotype" w:eastAsia="Calibri" w:hAnsi="Palatino Linotype" w:cs="Arial"/>
          <w:color w:val="000000" w:themeColor="text1"/>
          <w:lang w:val="es-ES"/>
        </w:rPr>
        <w:t xml:space="preserve"> de las partes el expediente electrónico </w:t>
      </w:r>
      <w:r w:rsidR="00B81371" w:rsidRPr="00A30BAC">
        <w:rPr>
          <w:rFonts w:ascii="Palatino Linotype" w:eastAsia="Calibri" w:hAnsi="Palatino Linotype" w:cs="Arial"/>
          <w:color w:val="000000" w:themeColor="text1"/>
        </w:rPr>
        <w:t>vía</w:t>
      </w:r>
      <w:r w:rsidR="00C44847" w:rsidRPr="00A30BAC">
        <w:rPr>
          <w:rFonts w:ascii="Palatino Linotype" w:eastAsia="Calibri" w:hAnsi="Palatino Linotype" w:cs="Arial"/>
          <w:color w:val="000000" w:themeColor="text1"/>
        </w:rPr>
        <w:t xml:space="preserve"> SAIMEX</w:t>
      </w:r>
      <w:r w:rsidR="00B81371" w:rsidRPr="00A30BAC">
        <w:rPr>
          <w:rFonts w:ascii="Palatino Linotype" w:eastAsia="Calibri" w:hAnsi="Palatino Linotype" w:cs="Arial"/>
          <w:b/>
          <w:color w:val="000000" w:themeColor="text1"/>
          <w:lang w:val="es-ES"/>
        </w:rPr>
        <w:t xml:space="preserve"> </w:t>
      </w:r>
      <w:r w:rsidR="00B81371" w:rsidRPr="00A30BAC">
        <w:rPr>
          <w:rFonts w:ascii="Palatino Linotype" w:eastAsia="Calibri" w:hAnsi="Palatino Linotype" w:cs="Arial"/>
          <w:color w:val="000000" w:themeColor="text1"/>
          <w:lang w:val="es-ES"/>
        </w:rPr>
        <w:t xml:space="preserve">a efecto de que en un plazo máximo de siete días </w:t>
      </w:r>
      <w:r w:rsidR="00875167" w:rsidRPr="00A30BAC">
        <w:rPr>
          <w:rFonts w:ascii="Palatino Linotype" w:eastAsia="Calibri" w:hAnsi="Palatino Linotype" w:cs="Arial"/>
          <w:color w:val="000000" w:themeColor="text1"/>
          <w:lang w:val="es-ES"/>
        </w:rPr>
        <w:t>manifestaran</w:t>
      </w:r>
      <w:r w:rsidR="00B81371" w:rsidRPr="00A30BAC">
        <w:rPr>
          <w:rFonts w:ascii="Palatino Linotype" w:eastAsia="Calibri" w:hAnsi="Palatino Linotype" w:cs="Arial"/>
          <w:color w:val="000000" w:themeColor="text1"/>
          <w:lang w:val="es-ES"/>
        </w:rPr>
        <w:t xml:space="preserve"> lo que a</w:t>
      </w:r>
      <w:r w:rsidR="003A2029" w:rsidRPr="00A30BAC">
        <w:rPr>
          <w:rFonts w:ascii="Palatino Linotype" w:eastAsia="Calibri" w:hAnsi="Palatino Linotype" w:cs="Arial"/>
          <w:color w:val="000000" w:themeColor="text1"/>
          <w:lang w:val="es-ES"/>
        </w:rPr>
        <w:t xml:space="preserve"> su</w:t>
      </w:r>
      <w:r w:rsidR="00B81371" w:rsidRPr="00A30BAC">
        <w:rPr>
          <w:rFonts w:ascii="Palatino Linotype" w:eastAsia="Calibri" w:hAnsi="Palatino Linotype" w:cs="Arial"/>
          <w:color w:val="000000" w:themeColor="text1"/>
          <w:lang w:val="es-ES"/>
        </w:rPr>
        <w:t xml:space="preserve"> derecho conviniera</w:t>
      </w:r>
      <w:r w:rsidR="00875167" w:rsidRPr="00A30BAC">
        <w:rPr>
          <w:rFonts w:ascii="Palatino Linotype" w:eastAsia="Calibri" w:hAnsi="Palatino Linotype" w:cs="Arial"/>
          <w:color w:val="000000" w:themeColor="text1"/>
          <w:lang w:val="es-ES"/>
        </w:rPr>
        <w:t>n</w:t>
      </w:r>
      <w:r w:rsidR="00032493" w:rsidRPr="00A30BAC">
        <w:rPr>
          <w:rFonts w:ascii="Palatino Linotype" w:eastAsia="Calibri" w:hAnsi="Palatino Linotype" w:cs="Arial"/>
          <w:color w:val="000000" w:themeColor="text1"/>
          <w:lang w:val="es-ES"/>
        </w:rPr>
        <w:t>,</w:t>
      </w:r>
      <w:r w:rsidR="00B81371" w:rsidRPr="00A30BAC">
        <w:rPr>
          <w:rFonts w:ascii="Palatino Linotype" w:eastAsia="Calibri" w:hAnsi="Palatino Linotype" w:cs="Arial"/>
          <w:color w:val="000000" w:themeColor="text1"/>
          <w:lang w:val="es-ES"/>
        </w:rPr>
        <w:t xml:space="preserve"> </w:t>
      </w:r>
      <w:r w:rsidR="00875167" w:rsidRPr="00A30BAC">
        <w:rPr>
          <w:rFonts w:ascii="Palatino Linotype" w:eastAsia="Calibri" w:hAnsi="Palatino Linotype" w:cs="Arial"/>
          <w:color w:val="000000" w:themeColor="text1"/>
          <w:lang w:val="es-ES"/>
        </w:rPr>
        <w:t>ofrecieran pruebas y</w:t>
      </w:r>
      <w:r w:rsidR="00132C06" w:rsidRPr="00A30BAC">
        <w:rPr>
          <w:rFonts w:ascii="Palatino Linotype" w:eastAsia="Calibri" w:hAnsi="Palatino Linotype" w:cs="Arial"/>
          <w:color w:val="000000" w:themeColor="text1"/>
          <w:lang w:val="es-ES"/>
        </w:rPr>
        <w:t xml:space="preserve"> </w:t>
      </w:r>
      <w:r w:rsidR="00875167" w:rsidRPr="00A30BAC">
        <w:rPr>
          <w:rFonts w:ascii="Palatino Linotype" w:eastAsia="Calibri" w:hAnsi="Palatino Linotype" w:cs="Arial"/>
          <w:color w:val="000000" w:themeColor="text1"/>
          <w:lang w:val="es-ES"/>
        </w:rPr>
        <w:t>alegatos según corresponda a</w:t>
      </w:r>
      <w:r w:rsidR="004C20F2" w:rsidRPr="00A30BAC">
        <w:rPr>
          <w:rFonts w:ascii="Palatino Linotype" w:eastAsia="Calibri" w:hAnsi="Palatino Linotype" w:cs="Arial"/>
          <w:color w:val="000000" w:themeColor="text1"/>
          <w:lang w:val="es-ES"/>
        </w:rPr>
        <w:t xml:space="preserve"> </w:t>
      </w:r>
      <w:r w:rsidR="00875167" w:rsidRPr="00A30BAC">
        <w:rPr>
          <w:rFonts w:ascii="Palatino Linotype" w:eastAsia="Calibri" w:hAnsi="Palatino Linotype" w:cs="Arial"/>
          <w:color w:val="000000" w:themeColor="text1"/>
          <w:lang w:val="es-ES"/>
        </w:rPr>
        <w:t>l</w:t>
      </w:r>
      <w:r w:rsidR="004C20F2" w:rsidRPr="00A30BAC">
        <w:rPr>
          <w:rFonts w:ascii="Palatino Linotype" w:eastAsia="Calibri" w:hAnsi="Palatino Linotype" w:cs="Arial"/>
          <w:color w:val="000000" w:themeColor="text1"/>
          <w:lang w:val="es-ES"/>
        </w:rPr>
        <w:t>os</w:t>
      </w:r>
      <w:r w:rsidR="00875167" w:rsidRPr="00A30BAC">
        <w:rPr>
          <w:rFonts w:ascii="Palatino Linotype" w:eastAsia="Calibri" w:hAnsi="Palatino Linotype" w:cs="Arial"/>
          <w:color w:val="000000" w:themeColor="text1"/>
          <w:lang w:val="es-ES"/>
        </w:rPr>
        <w:t xml:space="preserve"> caso</w:t>
      </w:r>
      <w:r w:rsidR="004C20F2" w:rsidRPr="00A30BAC">
        <w:rPr>
          <w:rFonts w:ascii="Palatino Linotype" w:eastAsia="Calibri" w:hAnsi="Palatino Linotype" w:cs="Arial"/>
          <w:color w:val="000000" w:themeColor="text1"/>
          <w:lang w:val="es-ES"/>
        </w:rPr>
        <w:t>s</w:t>
      </w:r>
      <w:r w:rsidR="00875167" w:rsidRPr="00A30BAC">
        <w:rPr>
          <w:rFonts w:ascii="Palatino Linotype" w:eastAsia="Calibri" w:hAnsi="Palatino Linotype" w:cs="Arial"/>
          <w:color w:val="000000" w:themeColor="text1"/>
          <w:lang w:val="es-ES"/>
        </w:rPr>
        <w:t xml:space="preserve"> concreto</w:t>
      </w:r>
      <w:r w:rsidR="004C20F2" w:rsidRPr="00A30BAC">
        <w:rPr>
          <w:rFonts w:ascii="Palatino Linotype" w:eastAsia="Calibri" w:hAnsi="Palatino Linotype" w:cs="Arial"/>
          <w:color w:val="000000" w:themeColor="text1"/>
          <w:lang w:val="es-ES"/>
        </w:rPr>
        <w:t>s</w:t>
      </w:r>
      <w:r w:rsidR="00875167" w:rsidRPr="00A30BAC">
        <w:rPr>
          <w:rFonts w:ascii="Palatino Linotype" w:eastAsia="Calibri" w:hAnsi="Palatino Linotype" w:cs="Arial"/>
          <w:color w:val="000000" w:themeColor="text1"/>
          <w:lang w:val="es-ES"/>
        </w:rPr>
        <w:t xml:space="preserve">, </w:t>
      </w:r>
      <w:r w:rsidR="00F147C6" w:rsidRPr="00A30BAC">
        <w:rPr>
          <w:rFonts w:ascii="Palatino Linotype" w:eastAsia="Calibri" w:hAnsi="Palatino Linotype" w:cs="Arial"/>
          <w:color w:val="000000" w:themeColor="text1"/>
          <w:lang w:val="es-ES"/>
        </w:rPr>
        <w:t>de esta forma</w:t>
      </w:r>
      <w:r w:rsidR="00875167" w:rsidRPr="00A30BAC">
        <w:rPr>
          <w:rFonts w:ascii="Palatino Linotype" w:eastAsia="Calibri" w:hAnsi="Palatino Linotype" w:cs="Arial"/>
          <w:color w:val="000000" w:themeColor="text1"/>
          <w:lang w:val="es-ES"/>
        </w:rPr>
        <w:t xml:space="preserve"> para que el </w:t>
      </w:r>
      <w:r w:rsidR="00875167" w:rsidRPr="00A30BAC">
        <w:rPr>
          <w:rFonts w:ascii="Palatino Linotype" w:eastAsia="Calibri" w:hAnsi="Palatino Linotype" w:cs="Arial"/>
          <w:b/>
          <w:color w:val="000000" w:themeColor="text1"/>
          <w:lang w:val="es-ES"/>
        </w:rPr>
        <w:t>SUJETO OBLIGADO</w:t>
      </w:r>
      <w:r w:rsidR="00875167" w:rsidRPr="00A30BAC">
        <w:rPr>
          <w:rFonts w:ascii="Palatino Linotype" w:eastAsia="Calibri" w:hAnsi="Palatino Linotype" w:cs="Arial"/>
          <w:color w:val="000000" w:themeColor="text1"/>
          <w:lang w:val="es-ES"/>
        </w:rPr>
        <w:t xml:space="preserve"> </w:t>
      </w:r>
      <w:r w:rsidR="00B81371" w:rsidRPr="00A30BAC">
        <w:rPr>
          <w:rFonts w:ascii="Palatino Linotype" w:eastAsia="Calibri" w:hAnsi="Palatino Linotype" w:cs="Arial"/>
          <w:color w:val="000000" w:themeColor="text1"/>
          <w:lang w:val="es-ES"/>
        </w:rPr>
        <w:t>presentar</w:t>
      </w:r>
      <w:r w:rsidR="003A03D0" w:rsidRPr="00A30BAC">
        <w:rPr>
          <w:rFonts w:ascii="Palatino Linotype" w:eastAsia="Calibri" w:hAnsi="Palatino Linotype" w:cs="Arial"/>
          <w:color w:val="000000" w:themeColor="text1"/>
          <w:lang w:val="es-ES"/>
        </w:rPr>
        <w:t>a</w:t>
      </w:r>
      <w:r w:rsidR="00B81371" w:rsidRPr="00A30BAC">
        <w:rPr>
          <w:rFonts w:ascii="Palatino Linotype" w:eastAsia="Calibri" w:hAnsi="Palatino Linotype" w:cs="Arial"/>
          <w:color w:val="000000" w:themeColor="text1"/>
          <w:lang w:val="es-ES"/>
        </w:rPr>
        <w:t xml:space="preserve"> el </w:t>
      </w:r>
      <w:r w:rsidR="00556F72" w:rsidRPr="00A30BAC">
        <w:rPr>
          <w:rFonts w:ascii="Palatino Linotype" w:eastAsia="Calibri" w:hAnsi="Palatino Linotype" w:cs="Arial"/>
          <w:color w:val="000000" w:themeColor="text1"/>
          <w:lang w:val="es-ES"/>
        </w:rPr>
        <w:t xml:space="preserve">informe justificado </w:t>
      </w:r>
      <w:r w:rsidR="00875167" w:rsidRPr="00A30BAC">
        <w:rPr>
          <w:rFonts w:ascii="Palatino Linotype" w:eastAsia="Calibri" w:hAnsi="Palatino Linotype" w:cs="Arial"/>
          <w:color w:val="000000" w:themeColor="text1"/>
          <w:lang w:val="es-ES"/>
        </w:rPr>
        <w:t>procedente</w:t>
      </w:r>
      <w:r w:rsidR="00787184" w:rsidRPr="00A30BAC">
        <w:rPr>
          <w:rFonts w:ascii="Palatino Linotype" w:eastAsia="Calibri" w:hAnsi="Palatino Linotype" w:cs="Arial"/>
          <w:color w:val="000000" w:themeColor="text1"/>
          <w:lang w:val="es-ES"/>
        </w:rPr>
        <w:t>.</w:t>
      </w:r>
    </w:p>
    <w:p w14:paraId="455C196B" w14:textId="77777777" w:rsidR="003F0DDA" w:rsidRPr="00A30BAC"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47452451" w:rsidR="00C44847" w:rsidRPr="00A30BAC"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sidRPr="00A30BAC">
        <w:rPr>
          <w:rFonts w:ascii="Palatino Linotype" w:eastAsia="Calibri" w:hAnsi="Palatino Linotype" w:cs="Arial"/>
          <w:color w:val="000000" w:themeColor="text1"/>
          <w:lang w:val="es-ES"/>
        </w:rPr>
        <w:t xml:space="preserve">El </w:t>
      </w:r>
      <w:r w:rsidR="007D274E" w:rsidRPr="00A30BAC">
        <w:rPr>
          <w:rFonts w:ascii="Palatino Linotype" w:eastAsia="Calibri" w:hAnsi="Palatino Linotype" w:cs="Arial"/>
          <w:color w:val="000000" w:themeColor="text1"/>
          <w:lang w:val="es-ES"/>
        </w:rPr>
        <w:t>veinticuatro</w:t>
      </w:r>
      <w:r w:rsidR="0079427C" w:rsidRPr="00A30BAC">
        <w:rPr>
          <w:rFonts w:ascii="Palatino Linotype" w:eastAsia="Calibri" w:hAnsi="Palatino Linotype" w:cs="Arial"/>
          <w:color w:val="000000" w:themeColor="text1"/>
          <w:lang w:val="es-ES"/>
        </w:rPr>
        <w:t xml:space="preserve"> (</w:t>
      </w:r>
      <w:r w:rsidR="007D274E" w:rsidRPr="00A30BAC">
        <w:rPr>
          <w:rFonts w:ascii="Palatino Linotype" w:eastAsia="Calibri" w:hAnsi="Palatino Linotype" w:cs="Arial"/>
          <w:color w:val="000000" w:themeColor="text1"/>
          <w:lang w:val="es-ES"/>
        </w:rPr>
        <w:t>24</w:t>
      </w:r>
      <w:r w:rsidR="000125A8" w:rsidRPr="00A30BAC">
        <w:rPr>
          <w:rFonts w:ascii="Palatino Linotype" w:eastAsia="Calibri" w:hAnsi="Palatino Linotype" w:cs="Arial"/>
          <w:color w:val="000000" w:themeColor="text1"/>
          <w:lang w:val="es-ES"/>
        </w:rPr>
        <w:t>) de febrero de dos mil veintidós</w:t>
      </w:r>
      <w:r w:rsidRPr="00A30BAC">
        <w:rPr>
          <w:rFonts w:ascii="Palatino Linotype" w:eastAsia="Calibri" w:hAnsi="Palatino Linotype" w:cs="Arial"/>
          <w:color w:val="000000" w:themeColor="text1"/>
          <w:lang w:val="es-ES"/>
        </w:rPr>
        <w:t xml:space="preserve">, el </w:t>
      </w:r>
      <w:r w:rsidRPr="00A30BAC">
        <w:rPr>
          <w:rFonts w:ascii="Palatino Linotype" w:eastAsia="Calibri" w:hAnsi="Palatino Linotype" w:cs="Arial"/>
          <w:b/>
          <w:color w:val="000000" w:themeColor="text1"/>
          <w:lang w:val="es-ES"/>
        </w:rPr>
        <w:t>SUJETO OBLIGADO</w:t>
      </w:r>
      <w:r w:rsidRPr="00A30BAC">
        <w:rPr>
          <w:rFonts w:ascii="Palatino Linotype" w:eastAsia="Calibri" w:hAnsi="Palatino Linotype" w:cs="Arial"/>
          <w:color w:val="000000" w:themeColor="text1"/>
          <w:lang w:val="es-ES"/>
        </w:rPr>
        <w:t xml:space="preserve"> presentó su informe justificado a través del archivo electrónico cuyo contenido se describe a continuación:</w:t>
      </w:r>
    </w:p>
    <w:p w14:paraId="6D1E26AE" w14:textId="718B642D" w:rsidR="00700B9B" w:rsidRPr="00A30BAC" w:rsidRDefault="00896D9E" w:rsidP="00A4262E">
      <w:pPr>
        <w:pStyle w:val="Prrafodelista"/>
        <w:numPr>
          <w:ilvl w:val="0"/>
          <w:numId w:val="40"/>
        </w:numPr>
        <w:tabs>
          <w:tab w:val="left" w:pos="567"/>
        </w:tabs>
        <w:ind w:left="567" w:right="616" w:firstLine="0"/>
        <w:jc w:val="both"/>
        <w:rPr>
          <w:rFonts w:ascii="Palatino Linotype" w:hAnsi="Palatino Linotype"/>
          <w:color w:val="000000" w:themeColor="text1"/>
          <w:sz w:val="22"/>
          <w:szCs w:val="22"/>
        </w:rPr>
      </w:pPr>
      <w:r w:rsidRPr="00A30BAC">
        <w:rPr>
          <w:rFonts w:ascii="Palatino Linotype" w:eastAsia="Calibri" w:hAnsi="Palatino Linotype" w:cs="Arial"/>
          <w:b/>
          <w:bCs/>
          <w:color w:val="000000" w:themeColor="text1"/>
          <w:sz w:val="22"/>
          <w:szCs w:val="22"/>
          <w:lang w:val="es-ES"/>
        </w:rPr>
        <w:lastRenderedPageBreak/>
        <w:t>RESPUESTA RR 00042.pdf:</w:t>
      </w:r>
      <w:r w:rsidRPr="00A30BAC">
        <w:rPr>
          <w:rFonts w:ascii="Palatino Linotype" w:eastAsia="Calibri" w:hAnsi="Palatino Linotype" w:cs="Arial"/>
          <w:color w:val="000000" w:themeColor="text1"/>
          <w:sz w:val="22"/>
          <w:szCs w:val="22"/>
          <w:lang w:val="es-ES"/>
        </w:rPr>
        <w:t xml:space="preserve"> </w:t>
      </w:r>
      <w:r w:rsidR="00C44847" w:rsidRPr="00A30BAC">
        <w:rPr>
          <w:rFonts w:ascii="Palatino Linotype" w:eastAsia="Calibri" w:hAnsi="Palatino Linotype" w:cs="Arial"/>
          <w:color w:val="000000" w:themeColor="text1"/>
          <w:sz w:val="22"/>
          <w:szCs w:val="22"/>
          <w:lang w:val="es-ES"/>
        </w:rPr>
        <w:t xml:space="preserve">Documento de </w:t>
      </w:r>
      <w:r w:rsidRPr="00A30BAC">
        <w:rPr>
          <w:rFonts w:ascii="Palatino Linotype" w:eastAsia="Calibri" w:hAnsi="Palatino Linotype" w:cs="Arial"/>
          <w:color w:val="000000" w:themeColor="text1"/>
          <w:sz w:val="22"/>
          <w:szCs w:val="22"/>
          <w:lang w:val="es-ES"/>
        </w:rPr>
        <w:t>cuatro</w:t>
      </w:r>
      <w:r w:rsidR="0079427C" w:rsidRPr="00A30BAC">
        <w:rPr>
          <w:rFonts w:ascii="Palatino Linotype" w:eastAsia="Calibri" w:hAnsi="Palatino Linotype" w:cs="Arial"/>
          <w:color w:val="000000" w:themeColor="text1"/>
          <w:sz w:val="22"/>
          <w:szCs w:val="22"/>
          <w:lang w:val="es-ES"/>
        </w:rPr>
        <w:t xml:space="preserve"> fojas consistente en </w:t>
      </w:r>
      <w:r w:rsidRPr="00A30BAC">
        <w:rPr>
          <w:rFonts w:ascii="Palatino Linotype" w:eastAsia="Calibri" w:hAnsi="Palatino Linotype" w:cs="Arial"/>
          <w:color w:val="000000" w:themeColor="text1"/>
          <w:sz w:val="22"/>
          <w:szCs w:val="22"/>
          <w:lang w:val="es-ES"/>
        </w:rPr>
        <w:t>un</w:t>
      </w:r>
      <w:r w:rsidR="0079427C" w:rsidRPr="00A30BAC">
        <w:rPr>
          <w:rFonts w:ascii="Palatino Linotype" w:eastAsia="Calibri" w:hAnsi="Palatino Linotype" w:cs="Arial"/>
          <w:color w:val="000000" w:themeColor="text1"/>
          <w:sz w:val="22"/>
          <w:szCs w:val="22"/>
          <w:lang w:val="es-ES"/>
        </w:rPr>
        <w:t xml:space="preserve"> oficio emitido por la </w:t>
      </w:r>
      <w:r w:rsidRPr="00A30BAC">
        <w:rPr>
          <w:rFonts w:ascii="Palatino Linotype" w:eastAsia="Calibri" w:hAnsi="Palatino Linotype" w:cs="Arial"/>
          <w:color w:val="000000" w:themeColor="text1"/>
          <w:sz w:val="22"/>
          <w:szCs w:val="22"/>
          <w:lang w:val="es-ES"/>
        </w:rPr>
        <w:t>Titular de la Unidad de Transparencia, dirigido al Recurrente</w:t>
      </w:r>
      <w:r w:rsidR="0079427C" w:rsidRPr="00A30BAC">
        <w:rPr>
          <w:rFonts w:ascii="Palatino Linotype" w:eastAsia="Calibri" w:hAnsi="Palatino Linotype" w:cs="Arial"/>
          <w:color w:val="000000" w:themeColor="text1"/>
          <w:sz w:val="22"/>
          <w:szCs w:val="22"/>
          <w:lang w:val="es-ES"/>
        </w:rPr>
        <w:t xml:space="preserve">; por </w:t>
      </w:r>
      <w:r w:rsidRPr="00A30BAC">
        <w:rPr>
          <w:rFonts w:ascii="Palatino Linotype" w:eastAsia="Calibri" w:hAnsi="Palatino Linotype" w:cs="Arial"/>
          <w:color w:val="000000" w:themeColor="text1"/>
          <w:sz w:val="22"/>
          <w:szCs w:val="22"/>
          <w:lang w:val="es-ES"/>
        </w:rPr>
        <w:t>medio del cual</w:t>
      </w:r>
      <w:r w:rsidR="0079427C" w:rsidRPr="00A30BAC">
        <w:rPr>
          <w:rFonts w:ascii="Palatino Linotype" w:eastAsia="Calibri" w:hAnsi="Palatino Linotype" w:cs="Arial"/>
          <w:color w:val="000000" w:themeColor="text1"/>
          <w:sz w:val="22"/>
          <w:szCs w:val="22"/>
          <w:lang w:val="es-ES"/>
        </w:rPr>
        <w:t>, reiter</w:t>
      </w:r>
      <w:r w:rsidRPr="00A30BAC">
        <w:rPr>
          <w:rFonts w:ascii="Palatino Linotype" w:eastAsia="Calibri" w:hAnsi="Palatino Linotype" w:cs="Arial"/>
          <w:color w:val="000000" w:themeColor="text1"/>
          <w:sz w:val="22"/>
          <w:szCs w:val="22"/>
          <w:lang w:val="es-ES"/>
        </w:rPr>
        <w:t>ó</w:t>
      </w:r>
      <w:r w:rsidR="0079427C" w:rsidRPr="00A30BAC">
        <w:rPr>
          <w:rFonts w:ascii="Palatino Linotype" w:eastAsia="Calibri" w:hAnsi="Palatino Linotype" w:cs="Arial"/>
          <w:color w:val="000000" w:themeColor="text1"/>
          <w:sz w:val="22"/>
          <w:szCs w:val="22"/>
          <w:lang w:val="es-ES"/>
        </w:rPr>
        <w:t xml:space="preserve"> su respuesta inicial.</w:t>
      </w:r>
      <w:bookmarkStart w:id="3" w:name="_Toc461555889"/>
      <w:bookmarkStart w:id="4" w:name="_Toc466371858"/>
    </w:p>
    <w:p w14:paraId="07CDBF52" w14:textId="77777777" w:rsidR="00A4262E" w:rsidRPr="00A30BAC"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21B76ECA" w14:textId="4DB2B50D" w:rsidR="00A4262E" w:rsidRPr="00A30BAC"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A30BAC">
        <w:rPr>
          <w:rFonts w:ascii="Palatino Linotype" w:hAnsi="Palatino Linotype" w:cs="Arial"/>
          <w:color w:val="000000" w:themeColor="text1"/>
        </w:rPr>
        <w:t>El</w:t>
      </w:r>
      <w:r w:rsidR="00C85A48" w:rsidRPr="00A30BAC">
        <w:rPr>
          <w:rFonts w:ascii="Palatino Linotype" w:hAnsi="Palatino Linotype" w:cs="Arial"/>
          <w:color w:val="000000" w:themeColor="text1"/>
        </w:rPr>
        <w:t xml:space="preserve"> </w:t>
      </w:r>
      <w:r w:rsidRPr="00A30BAC">
        <w:rPr>
          <w:rFonts w:ascii="Palatino Linotype" w:hAnsi="Palatino Linotype" w:cs="Arial"/>
          <w:color w:val="000000" w:themeColor="text1"/>
        </w:rPr>
        <w:t xml:space="preserve">dos </w:t>
      </w:r>
      <w:r w:rsidR="00C85A48" w:rsidRPr="00A30BAC">
        <w:rPr>
          <w:rFonts w:ascii="Palatino Linotype" w:hAnsi="Palatino Linotype" w:cs="Arial"/>
          <w:color w:val="000000" w:themeColor="text1"/>
        </w:rPr>
        <w:t>(0</w:t>
      </w:r>
      <w:r w:rsidRPr="00A30BAC">
        <w:rPr>
          <w:rFonts w:ascii="Palatino Linotype" w:hAnsi="Palatino Linotype" w:cs="Arial"/>
          <w:color w:val="000000" w:themeColor="text1"/>
        </w:rPr>
        <w:t>2</w:t>
      </w:r>
      <w:r w:rsidR="00C85A48" w:rsidRPr="00A30BAC">
        <w:rPr>
          <w:rFonts w:ascii="Palatino Linotype" w:hAnsi="Palatino Linotype" w:cs="Arial"/>
          <w:color w:val="000000" w:themeColor="text1"/>
        </w:rPr>
        <w:t xml:space="preserve">) de </w:t>
      </w:r>
      <w:r w:rsidRPr="00A30BAC">
        <w:rPr>
          <w:rFonts w:ascii="Palatino Linotype" w:hAnsi="Palatino Linotype" w:cs="Arial"/>
          <w:color w:val="000000" w:themeColor="text1"/>
        </w:rPr>
        <w:t>junio</w:t>
      </w:r>
      <w:r w:rsidR="00700B9B" w:rsidRPr="00A30BAC">
        <w:rPr>
          <w:rFonts w:ascii="Palatino Linotype" w:hAnsi="Palatino Linotype" w:cs="Arial"/>
          <w:color w:val="000000" w:themeColor="text1"/>
        </w:rPr>
        <w:t xml:space="preserve"> de dos mil veintidós</w:t>
      </w:r>
      <w:r w:rsidR="00B23EFA" w:rsidRPr="00A30BAC">
        <w:rPr>
          <w:rFonts w:ascii="Palatino Linotype" w:hAnsi="Palatino Linotype" w:cs="Arial"/>
          <w:color w:val="000000" w:themeColor="text1"/>
        </w:rPr>
        <w:t xml:space="preserve">, </w:t>
      </w:r>
      <w:r w:rsidR="003522BF" w:rsidRPr="00A30BAC">
        <w:rPr>
          <w:rFonts w:ascii="Palatino Linotype" w:hAnsi="Palatino Linotype" w:cs="Arial"/>
          <w:color w:val="000000" w:themeColor="text1"/>
          <w:lang w:val="es-ES"/>
        </w:rPr>
        <w:t>con fundamento en el artículo 181</w:t>
      </w:r>
      <w:r w:rsidR="00B23EFA" w:rsidRPr="00A30BAC">
        <w:rPr>
          <w:rFonts w:ascii="Palatino Linotype" w:hAnsi="Palatino Linotype" w:cs="Arial"/>
          <w:color w:val="000000" w:themeColor="text1"/>
          <w:lang w:val="es-ES"/>
        </w:rPr>
        <w:t>,</w:t>
      </w:r>
      <w:r w:rsidR="003522BF" w:rsidRPr="00A30BAC">
        <w:rPr>
          <w:rFonts w:ascii="Palatino Linotype" w:hAnsi="Palatino Linotype" w:cs="Arial"/>
          <w:color w:val="000000" w:themeColor="text1"/>
          <w:lang w:val="es-ES"/>
        </w:rPr>
        <w:t xml:space="preserve"> tercer párrafo</w:t>
      </w:r>
      <w:r w:rsidR="00B23EFA" w:rsidRPr="00A30BAC">
        <w:rPr>
          <w:rFonts w:ascii="Palatino Linotype" w:hAnsi="Palatino Linotype" w:cs="Arial"/>
          <w:color w:val="000000" w:themeColor="text1"/>
          <w:lang w:val="es-ES"/>
        </w:rPr>
        <w:t>,</w:t>
      </w:r>
      <w:r w:rsidR="003522BF" w:rsidRPr="00A30BAC">
        <w:rPr>
          <w:rFonts w:ascii="Palatino Linotype" w:hAnsi="Palatino Linotype" w:cs="Arial"/>
          <w:color w:val="000000" w:themeColor="text1"/>
          <w:lang w:val="es-ES"/>
        </w:rPr>
        <w:t xml:space="preserve"> de la Ley de Transparencia y Acceso a la Información Pública del Estado de México y Municipios</w:t>
      </w:r>
      <w:r w:rsidR="003522BF" w:rsidRPr="00A30BAC">
        <w:rPr>
          <w:rFonts w:ascii="Palatino Linotype" w:hAnsi="Palatino Linotype" w:cs="Arial"/>
          <w:bCs/>
          <w:color w:val="000000" w:themeColor="text1"/>
          <w:lang w:val="es-ES"/>
        </w:rPr>
        <w:t xml:space="preserve"> </w:t>
      </w:r>
      <w:r w:rsidR="003522BF" w:rsidRPr="00A30BAC">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Pr="00A30BAC">
        <w:rPr>
          <w:rFonts w:ascii="Palatino Linotype" w:hAnsi="Palatino Linotype" w:cs="Arial"/>
          <w:color w:val="000000" w:themeColor="text1"/>
          <w:lang w:val="es-ES"/>
        </w:rPr>
        <w:t>.</w:t>
      </w:r>
    </w:p>
    <w:p w14:paraId="5BD89F78" w14:textId="77777777" w:rsidR="00452169" w:rsidRPr="00A30BAC" w:rsidRDefault="00452169" w:rsidP="00452169">
      <w:pPr>
        <w:pStyle w:val="Prrafodelista"/>
        <w:tabs>
          <w:tab w:val="left" w:pos="426"/>
        </w:tabs>
        <w:spacing w:line="360" w:lineRule="auto"/>
        <w:ind w:left="0"/>
        <w:jc w:val="both"/>
        <w:rPr>
          <w:rFonts w:ascii="Palatino Linotype" w:hAnsi="Palatino Linotype"/>
          <w:color w:val="000000" w:themeColor="text1"/>
        </w:rPr>
      </w:pPr>
    </w:p>
    <w:p w14:paraId="4E77D5AB"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color w:val="000000" w:themeColor="text1"/>
        </w:rPr>
        <w:t xml:space="preserve">Este </w:t>
      </w:r>
      <w:r w:rsidRPr="00A30BAC">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64CD99C"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D45235E"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6AA3FD"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6220EC2"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9CE6E5"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35529E6F"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94C77D"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FB5E4F9"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01DE0C6"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rPr>
      </w:pPr>
    </w:p>
    <w:p w14:paraId="2544EE3D" w14:textId="77777777" w:rsidR="00452169" w:rsidRPr="00A30BAC" w:rsidRDefault="00452169" w:rsidP="00452169">
      <w:pPr>
        <w:pStyle w:val="Prrafodelista"/>
        <w:numPr>
          <w:ilvl w:val="0"/>
          <w:numId w:val="43"/>
        </w:numPr>
        <w:ind w:left="851" w:right="616" w:hanging="284"/>
        <w:jc w:val="both"/>
        <w:rPr>
          <w:rFonts w:ascii="Palatino Linotype" w:hAnsi="Palatino Linotype"/>
          <w:sz w:val="22"/>
          <w:szCs w:val="22"/>
        </w:rPr>
      </w:pPr>
      <w:r w:rsidRPr="00A30BAC">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6074599F" w14:textId="77777777" w:rsidR="00452169" w:rsidRPr="00A30BAC" w:rsidRDefault="00452169" w:rsidP="00452169">
      <w:pPr>
        <w:pStyle w:val="Prrafodelista"/>
        <w:ind w:left="851" w:right="616" w:hanging="284"/>
        <w:jc w:val="both"/>
        <w:rPr>
          <w:rFonts w:ascii="Palatino Linotype" w:hAnsi="Palatino Linotype"/>
          <w:sz w:val="22"/>
          <w:szCs w:val="22"/>
        </w:rPr>
      </w:pPr>
    </w:p>
    <w:p w14:paraId="6A9F2331" w14:textId="77777777" w:rsidR="00452169" w:rsidRPr="00A30BAC" w:rsidRDefault="00452169" w:rsidP="00452169">
      <w:pPr>
        <w:pStyle w:val="Prrafodelista"/>
        <w:numPr>
          <w:ilvl w:val="0"/>
          <w:numId w:val="43"/>
        </w:numPr>
        <w:ind w:left="851" w:right="616" w:hanging="284"/>
        <w:jc w:val="both"/>
        <w:rPr>
          <w:rFonts w:ascii="Palatino Linotype" w:hAnsi="Palatino Linotype"/>
          <w:sz w:val="22"/>
          <w:szCs w:val="22"/>
        </w:rPr>
      </w:pPr>
      <w:r w:rsidRPr="00A30BAC">
        <w:rPr>
          <w:rFonts w:ascii="Palatino Linotype" w:hAnsi="Palatino Linotype"/>
          <w:sz w:val="22"/>
          <w:szCs w:val="22"/>
        </w:rPr>
        <w:t>Actividad Procesal del interesado. Acciones u omisiones del interesado.</w:t>
      </w:r>
    </w:p>
    <w:p w14:paraId="7616075C" w14:textId="77777777" w:rsidR="00452169" w:rsidRPr="00A30BAC" w:rsidRDefault="00452169" w:rsidP="00452169">
      <w:pPr>
        <w:ind w:left="851" w:right="616" w:hanging="284"/>
        <w:jc w:val="both"/>
        <w:rPr>
          <w:rFonts w:ascii="Palatino Linotype" w:hAnsi="Palatino Linotype"/>
          <w:sz w:val="22"/>
          <w:szCs w:val="22"/>
        </w:rPr>
      </w:pPr>
    </w:p>
    <w:p w14:paraId="4625383A" w14:textId="77777777" w:rsidR="00452169" w:rsidRPr="00A30BAC" w:rsidRDefault="00452169" w:rsidP="00452169">
      <w:pPr>
        <w:pStyle w:val="Prrafodelista"/>
        <w:numPr>
          <w:ilvl w:val="0"/>
          <w:numId w:val="43"/>
        </w:numPr>
        <w:ind w:left="851" w:right="616" w:hanging="284"/>
        <w:jc w:val="both"/>
        <w:rPr>
          <w:rFonts w:ascii="Palatino Linotype" w:hAnsi="Palatino Linotype"/>
          <w:sz w:val="22"/>
          <w:szCs w:val="22"/>
        </w:rPr>
      </w:pPr>
      <w:r w:rsidRPr="00A30BAC">
        <w:rPr>
          <w:rFonts w:ascii="Palatino Linotype" w:hAnsi="Palatino Linotype"/>
          <w:sz w:val="22"/>
          <w:szCs w:val="22"/>
        </w:rPr>
        <w:t>Conducta de la Autoridad: Las Acciones u omisiones realizadas en el procedimiento. Así como si la autoridad actuó con la debida diligencia.</w:t>
      </w:r>
    </w:p>
    <w:p w14:paraId="1CEAE0D0" w14:textId="77777777" w:rsidR="00452169" w:rsidRPr="00A30BAC" w:rsidRDefault="00452169" w:rsidP="00452169">
      <w:pPr>
        <w:pStyle w:val="Prrafodelista"/>
        <w:ind w:left="851" w:right="616" w:hanging="284"/>
        <w:rPr>
          <w:rFonts w:ascii="Palatino Linotype" w:hAnsi="Palatino Linotype"/>
          <w:sz w:val="22"/>
          <w:szCs w:val="22"/>
        </w:rPr>
      </w:pPr>
    </w:p>
    <w:p w14:paraId="79BF59EF" w14:textId="77777777" w:rsidR="00452169" w:rsidRPr="00A30BAC" w:rsidRDefault="00452169" w:rsidP="00452169">
      <w:pPr>
        <w:ind w:left="851" w:right="616" w:hanging="284"/>
        <w:jc w:val="both"/>
        <w:rPr>
          <w:rFonts w:ascii="Palatino Linotype" w:hAnsi="Palatino Linotype"/>
          <w:sz w:val="22"/>
          <w:szCs w:val="22"/>
        </w:rPr>
      </w:pPr>
      <w:r w:rsidRPr="00A30BAC">
        <w:rPr>
          <w:rFonts w:ascii="Palatino Linotype" w:hAnsi="Palatino Linotype"/>
          <w:sz w:val="22"/>
          <w:szCs w:val="22"/>
        </w:rPr>
        <w:t>d) La afectación generada en la situación jurídica de la persona involucrada en el proceso: Violación a sus derechos humanos.</w:t>
      </w:r>
    </w:p>
    <w:p w14:paraId="3CEA25E1"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BBEC8C"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A30BAC">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2D6E9F76"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7E83B3A"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t>Argumento que encuentra sustento en la jurisprudencia P</w:t>
      </w:r>
      <w:proofErr w:type="gramStart"/>
      <w:r w:rsidRPr="00A30BAC">
        <w:rPr>
          <w:rFonts w:ascii="Palatino Linotype" w:hAnsi="Palatino Linotype"/>
        </w:rPr>
        <w:t>./</w:t>
      </w:r>
      <w:proofErr w:type="gramEnd"/>
      <w:r w:rsidRPr="00A30BAC">
        <w:rPr>
          <w:rFonts w:ascii="Palatino Linotype" w:hAnsi="Palatino Linotype"/>
        </w:rPr>
        <w:t xml:space="preserve">J. 32/92 emitida por el Pleno de la Suprema Corte de Justicia de la Nación de rubro </w:t>
      </w:r>
      <w:r w:rsidRPr="00A30BA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30BAC">
        <w:rPr>
          <w:rFonts w:ascii="Palatino Linotype" w:hAnsi="Palatino Linotype"/>
        </w:rPr>
        <w:t>, visible en la Gaceta del Seminario Judicial de la Federación con el registro digital 205635.</w:t>
      </w:r>
    </w:p>
    <w:p w14:paraId="7334CCE0"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4BA49F0A"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6319B"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259BB29"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676DE20B" w14:textId="77777777" w:rsidR="00452169" w:rsidRPr="00A30BAC"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85AB24" w14:textId="77777777"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C037A8B" w14:textId="77777777" w:rsidR="00452169" w:rsidRPr="00A30BAC" w:rsidRDefault="00452169" w:rsidP="00452169">
      <w:pPr>
        <w:ind w:left="851" w:right="822"/>
        <w:jc w:val="both"/>
        <w:rPr>
          <w:rFonts w:ascii="Palatino Linotype" w:hAnsi="Palatino Linotype"/>
          <w:sz w:val="22"/>
        </w:rPr>
      </w:pPr>
      <w:r w:rsidRPr="00A30BAC">
        <w:rPr>
          <w:rFonts w:ascii="Palatino Linotype" w:hAnsi="Palatino Linotype"/>
          <w:i/>
          <w:sz w:val="22"/>
        </w:rPr>
        <w:t>“PLAZO RAZONABLE PARA RESOLVER. DIMENSIÓN Y EFECTOS DE ESTE CONCEPTO CUANDO SE ADUCE EXCESIVA CARGA DE TRABAJO.”</w:t>
      </w:r>
      <w:r w:rsidRPr="00A30BAC">
        <w:rPr>
          <w:rFonts w:ascii="Palatino Linotype" w:hAnsi="Palatino Linotype"/>
          <w:sz w:val="22"/>
        </w:rPr>
        <w:t xml:space="preserve"> consultable en el Seminario Judicial de la Federación y su gaceta, con el registro digital 2002351.</w:t>
      </w:r>
    </w:p>
    <w:p w14:paraId="7C80E0B6" w14:textId="77777777" w:rsidR="00452169" w:rsidRPr="00A30BAC" w:rsidRDefault="00452169" w:rsidP="00452169">
      <w:pPr>
        <w:tabs>
          <w:tab w:val="left" w:pos="2070"/>
        </w:tabs>
        <w:ind w:left="851" w:right="822"/>
        <w:jc w:val="both"/>
        <w:rPr>
          <w:rFonts w:ascii="Palatino Linotype" w:hAnsi="Palatino Linotype"/>
          <w:b/>
          <w:sz w:val="22"/>
        </w:rPr>
      </w:pPr>
      <w:r w:rsidRPr="00A30BAC">
        <w:rPr>
          <w:rFonts w:ascii="Palatino Linotype" w:hAnsi="Palatino Linotype"/>
          <w:b/>
          <w:sz w:val="22"/>
        </w:rPr>
        <w:tab/>
      </w:r>
    </w:p>
    <w:p w14:paraId="7739AB7D" w14:textId="77777777" w:rsidR="00452169" w:rsidRPr="00A30BAC" w:rsidRDefault="00452169" w:rsidP="00452169">
      <w:pPr>
        <w:ind w:left="851" w:right="822"/>
        <w:jc w:val="both"/>
        <w:rPr>
          <w:rFonts w:ascii="Palatino Linotype" w:hAnsi="Palatino Linotype"/>
          <w:sz w:val="22"/>
        </w:rPr>
      </w:pPr>
      <w:r w:rsidRPr="00A30BAC">
        <w:rPr>
          <w:rFonts w:ascii="Palatino Linotype" w:hAnsi="Palatino Linotype"/>
          <w:i/>
          <w:sz w:val="22"/>
        </w:rPr>
        <w:t>“PLAZO RAZONABLE PARA RESOLVER. CONCEPTO Y ELEMENTOS QUE LO INTEGRAN A LA LUZ DEL DERECHO INTERNACIONAL DE LOS DERECHOS HUMANOS.”</w:t>
      </w:r>
      <w:r w:rsidRPr="00A30BAC">
        <w:rPr>
          <w:rFonts w:ascii="Palatino Linotype" w:hAnsi="Palatino Linotype"/>
          <w:sz w:val="22"/>
        </w:rPr>
        <w:t>, visible en el Seminario Judicial de la Federación y su gaceta, con el registro digital 2002350.</w:t>
      </w:r>
    </w:p>
    <w:p w14:paraId="7A74C089" w14:textId="77777777" w:rsidR="00452169" w:rsidRPr="00A30BAC" w:rsidRDefault="00452169" w:rsidP="00452169">
      <w:pPr>
        <w:rPr>
          <w:rFonts w:ascii="Palatino Linotype" w:hAnsi="Palatino Linotype"/>
        </w:rPr>
      </w:pPr>
    </w:p>
    <w:p w14:paraId="2071ED8B" w14:textId="3AA9A393" w:rsidR="00452169" w:rsidRPr="00A30BAC"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6159E2F4" w14:textId="77777777" w:rsidR="00A4262E" w:rsidRPr="00A30BAC"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3001AA57" w14:textId="3FCF30B8" w:rsidR="008965EF" w:rsidRPr="00A30BAC"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A30BAC">
        <w:rPr>
          <w:rFonts w:ascii="Palatino Linotype" w:eastAsia="Calibri" w:hAnsi="Palatino Linotype" w:cs="Arial"/>
          <w:color w:val="000000" w:themeColor="text1"/>
          <w:lang w:val="es-ES"/>
        </w:rPr>
        <w:t>El nueve (09) de agosto de dos mil veintidós</w:t>
      </w:r>
      <w:r w:rsidRPr="00A30BAC">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3522BF" w:rsidRPr="00A30BAC">
        <w:rPr>
          <w:rFonts w:ascii="Palatino Linotype" w:hAnsi="Palatino Linotype" w:cs="Arial"/>
          <w:color w:val="000000" w:themeColor="text1"/>
          <w:lang w:val="es-ES"/>
        </w:rPr>
        <w:t xml:space="preserve"> y --------------------------------------------------</w:t>
      </w:r>
    </w:p>
    <w:p w14:paraId="40AE03B9" w14:textId="77777777" w:rsidR="0098370C" w:rsidRPr="00A30BAC" w:rsidRDefault="0098370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30BAC" w:rsidRDefault="007C0013" w:rsidP="00B31E90">
      <w:pPr>
        <w:pStyle w:val="Ttulo1"/>
        <w:spacing w:before="0"/>
        <w:jc w:val="center"/>
        <w:rPr>
          <w:b/>
          <w:color w:val="000000" w:themeColor="text1"/>
        </w:rPr>
      </w:pPr>
      <w:bookmarkStart w:id="5" w:name="_Toc96002400"/>
      <w:r w:rsidRPr="00A30BAC">
        <w:rPr>
          <w:b/>
          <w:color w:val="000000" w:themeColor="text1"/>
        </w:rPr>
        <w:t>CONSIDERANDO</w:t>
      </w:r>
      <w:bookmarkEnd w:id="3"/>
      <w:bookmarkEnd w:id="4"/>
      <w:bookmarkEnd w:id="5"/>
    </w:p>
    <w:p w14:paraId="435CF9A4" w14:textId="77777777" w:rsidR="00FC1DA7" w:rsidRPr="00A30BAC" w:rsidRDefault="00FC1DA7" w:rsidP="00B31E90">
      <w:pPr>
        <w:rPr>
          <w:color w:val="000000" w:themeColor="text1"/>
          <w:lang w:eastAsia="en-US"/>
        </w:rPr>
      </w:pPr>
    </w:p>
    <w:p w14:paraId="629A5BE2" w14:textId="56C3E7D5" w:rsidR="007C0013" w:rsidRPr="00A30BAC"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A30BAC">
        <w:rPr>
          <w:rFonts w:ascii="Palatino Linotype" w:hAnsi="Palatino Linotype"/>
          <w:b/>
          <w:color w:val="000000" w:themeColor="text1"/>
          <w:sz w:val="24"/>
        </w:rPr>
        <w:t>PRIMERO. De la competencia</w:t>
      </w:r>
      <w:bookmarkEnd w:id="6"/>
      <w:bookmarkEnd w:id="7"/>
      <w:bookmarkEnd w:id="8"/>
    </w:p>
    <w:p w14:paraId="60FBD8C7" w14:textId="77777777" w:rsidR="00FC1DA7" w:rsidRPr="00A30BAC" w:rsidRDefault="00FC1DA7" w:rsidP="00B31E90">
      <w:pPr>
        <w:rPr>
          <w:rFonts w:ascii="Palatino Linotype" w:hAnsi="Palatino Linotype"/>
          <w:color w:val="000000" w:themeColor="text1"/>
          <w:lang w:eastAsia="en-US"/>
        </w:rPr>
      </w:pPr>
    </w:p>
    <w:p w14:paraId="0BF52B18" w14:textId="515C3AEB" w:rsidR="005A228F" w:rsidRPr="00A30BAC"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color w:val="000000" w:themeColor="text1"/>
          <w:lang w:val="es-ES"/>
        </w:rPr>
      </w:pPr>
      <w:r w:rsidRPr="00A30BAC">
        <w:rPr>
          <w:rFonts w:ascii="Palatino Linotype" w:eastAsia="Calibri" w:hAnsi="Palatino Linotype" w:cs="Times New Roman"/>
          <w:color w:val="000000" w:themeColor="text1"/>
          <w:lang w:val="es-ES"/>
        </w:rPr>
        <w:lastRenderedPageBreak/>
        <w:t>Este Instituto de Transparencia, Acceso a la Información Pública y Protección de Datos Personales del Estado de México y Municipios, es comp</w:t>
      </w:r>
      <w:r w:rsidR="00D10AB0" w:rsidRPr="00A30BAC">
        <w:rPr>
          <w:rFonts w:ascii="Palatino Linotype" w:eastAsia="Calibri" w:hAnsi="Palatino Linotype" w:cs="Times New Roman"/>
          <w:color w:val="000000" w:themeColor="text1"/>
          <w:lang w:val="es-ES"/>
        </w:rPr>
        <w:t xml:space="preserve">etente para conocer y resolver </w:t>
      </w:r>
      <w:r w:rsidRPr="00A30BAC">
        <w:rPr>
          <w:rFonts w:ascii="Palatino Linotype" w:eastAsia="Calibri" w:hAnsi="Palatino Linotype" w:cs="Times New Roman"/>
          <w:color w:val="000000" w:themeColor="text1"/>
          <w:lang w:val="es-ES"/>
        </w:rPr>
        <w:t xml:space="preserve">el presente recurso de conformidad con el artículo: 6, apartado A, fracción IV de la Constitución Política de los Estados Unidos Mexicanos; 5, párrafos </w:t>
      </w:r>
      <w:r w:rsidR="000B7C4F" w:rsidRPr="00A30BAC">
        <w:rPr>
          <w:rFonts w:ascii="Palatino Linotype" w:eastAsia="Calibri" w:hAnsi="Palatino Linotype" w:cs="Times New Roman"/>
          <w:color w:val="000000" w:themeColor="text1"/>
          <w:lang w:val="es-ES"/>
        </w:rPr>
        <w:t>trigésimo, trigésimo primero y trigésimo segundo</w:t>
      </w:r>
      <w:r w:rsidR="004F785F" w:rsidRPr="00A30BAC">
        <w:rPr>
          <w:rFonts w:ascii="Palatino Linotype" w:eastAsia="Calibri" w:hAnsi="Palatino Linotype" w:cs="Times New Roman"/>
          <w:color w:val="000000" w:themeColor="text1"/>
          <w:lang w:val="es-ES"/>
        </w:rPr>
        <w:t>,</w:t>
      </w:r>
      <w:r w:rsidRPr="00A30BAC">
        <w:rPr>
          <w:rFonts w:ascii="Palatino Linotype" w:eastAsia="Calibri" w:hAnsi="Palatino Linotype" w:cs="Times New Roman"/>
          <w:color w:val="000000" w:themeColor="text1"/>
          <w:lang w:val="es-ES"/>
        </w:rPr>
        <w:t xml:space="preserve"> fracciones IV y V</w:t>
      </w:r>
      <w:r w:rsidR="004F785F" w:rsidRPr="00A30BAC">
        <w:rPr>
          <w:rFonts w:ascii="Palatino Linotype" w:eastAsia="Calibri" w:hAnsi="Palatino Linotype" w:cs="Times New Roman"/>
          <w:color w:val="000000" w:themeColor="text1"/>
          <w:lang w:val="es-ES"/>
        </w:rPr>
        <w:t>,</w:t>
      </w:r>
      <w:r w:rsidRPr="00A30BAC">
        <w:rPr>
          <w:rFonts w:ascii="Palatino Linotype" w:eastAsia="Calibri" w:hAnsi="Palatino Linotype" w:cs="Times New Roman"/>
          <w:color w:val="000000" w:themeColor="text1"/>
          <w:lang w:val="es-ES"/>
        </w:rPr>
        <w:t xml:space="preserve"> de la Constitución Política del Estado Libre y Soberano de México; artículos 1, 2 fracción II, 13, 29, 36 fracciones I y II, 176, 178, 179, 181 párrafo tercero y 185 </w:t>
      </w:r>
      <w:r w:rsidRPr="00A30BAC">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F56872D" w14:textId="77777777" w:rsidR="00751061" w:rsidRPr="00A30BAC"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30BAC"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A30BAC">
        <w:rPr>
          <w:rFonts w:ascii="Palatino Linotype" w:hAnsi="Palatino Linotype"/>
          <w:b/>
          <w:color w:val="000000" w:themeColor="text1"/>
          <w:sz w:val="24"/>
        </w:rPr>
        <w:t>SEGUNDO. De la oportunidad y proced</w:t>
      </w:r>
      <w:r w:rsidR="00F35C44" w:rsidRPr="00A30BAC">
        <w:rPr>
          <w:rFonts w:ascii="Palatino Linotype" w:hAnsi="Palatino Linotype"/>
          <w:b/>
          <w:color w:val="000000" w:themeColor="text1"/>
          <w:sz w:val="24"/>
        </w:rPr>
        <w:t>encia</w:t>
      </w:r>
      <w:r w:rsidRPr="00A30BAC">
        <w:rPr>
          <w:rFonts w:ascii="Palatino Linotype" w:hAnsi="Palatino Linotype"/>
          <w:b/>
          <w:color w:val="000000" w:themeColor="text1"/>
          <w:sz w:val="24"/>
        </w:rPr>
        <w:t>.</w:t>
      </w:r>
      <w:bookmarkEnd w:id="9"/>
      <w:bookmarkEnd w:id="10"/>
      <w:bookmarkEnd w:id="11"/>
    </w:p>
    <w:p w14:paraId="18E22450" w14:textId="77777777" w:rsidR="00C6440A" w:rsidRPr="00A30BAC" w:rsidRDefault="00C6440A" w:rsidP="00B31E90">
      <w:pPr>
        <w:rPr>
          <w:color w:val="000000" w:themeColor="text1"/>
          <w:lang w:eastAsia="en-US"/>
        </w:rPr>
      </w:pPr>
    </w:p>
    <w:p w14:paraId="0E1A890D" w14:textId="11957C4A" w:rsidR="00FE19DB" w:rsidRPr="00A30BAC" w:rsidRDefault="003E6D0F" w:rsidP="00FE19D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30BAC">
        <w:rPr>
          <w:rFonts w:ascii="Palatino Linotype" w:eastAsia="Calibri" w:hAnsi="Palatino Linotype" w:cs="Arial"/>
          <w:color w:val="000000" w:themeColor="text1"/>
        </w:rPr>
        <w:t xml:space="preserve">El </w:t>
      </w:r>
      <w:r w:rsidR="00740BA4" w:rsidRPr="00A30BAC">
        <w:rPr>
          <w:rFonts w:ascii="Palatino Linotype" w:eastAsia="Calibri" w:hAnsi="Palatino Linotype" w:cs="Arial"/>
          <w:color w:val="000000" w:themeColor="text1"/>
        </w:rPr>
        <w:t xml:space="preserve">medio de impugnación fue presentado a través del </w:t>
      </w:r>
      <w:r w:rsidR="00740BA4" w:rsidRPr="00A30BAC">
        <w:rPr>
          <w:rFonts w:ascii="Palatino Linotype" w:eastAsia="Calibri" w:hAnsi="Palatino Linotype" w:cs="Arial"/>
          <w:bCs/>
          <w:iCs/>
          <w:color w:val="000000" w:themeColor="text1"/>
        </w:rPr>
        <w:t>SAIMEX</w:t>
      </w:r>
      <w:r w:rsidR="00740BA4" w:rsidRPr="00A30BAC">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30BAC">
        <w:rPr>
          <w:rFonts w:ascii="Palatino Linotype" w:eastAsia="Calibri" w:hAnsi="Palatino Linotype" w:cs="Arial"/>
          <w:b/>
          <w:color w:val="000000" w:themeColor="text1"/>
        </w:rPr>
        <w:t>SUJETO OBLIGADO</w:t>
      </w:r>
      <w:r w:rsidR="00740BA4" w:rsidRPr="00A30BAC">
        <w:rPr>
          <w:rFonts w:ascii="Palatino Linotype" w:eastAsia="Calibri" w:hAnsi="Palatino Linotype" w:cs="Arial"/>
          <w:color w:val="000000" w:themeColor="text1"/>
        </w:rPr>
        <w:t xml:space="preserve"> entregó respuesta el </w:t>
      </w:r>
      <w:r w:rsidR="00C85A48" w:rsidRPr="00A30BAC">
        <w:rPr>
          <w:rFonts w:ascii="Palatino Linotype" w:eastAsia="Calibri" w:hAnsi="Palatino Linotype" w:cs="Arial"/>
          <w:color w:val="000000" w:themeColor="text1"/>
        </w:rPr>
        <w:t xml:space="preserve">treinta y </w:t>
      </w:r>
      <w:r w:rsidR="00FE19DB" w:rsidRPr="00A30BAC">
        <w:rPr>
          <w:rFonts w:ascii="Palatino Linotype" w:eastAsia="Calibri" w:hAnsi="Palatino Linotype" w:cs="Arial"/>
          <w:color w:val="000000" w:themeColor="text1"/>
        </w:rPr>
        <w:t>uno</w:t>
      </w:r>
      <w:r w:rsidR="00B92605" w:rsidRPr="00A30BAC">
        <w:rPr>
          <w:rFonts w:ascii="Palatino Linotype" w:eastAsia="Calibri" w:hAnsi="Palatino Linotype" w:cs="Arial"/>
          <w:color w:val="000000" w:themeColor="text1"/>
        </w:rPr>
        <w:t xml:space="preserve"> (</w:t>
      </w:r>
      <w:r w:rsidR="00FE19DB" w:rsidRPr="00A30BAC">
        <w:rPr>
          <w:rFonts w:ascii="Palatino Linotype" w:eastAsia="Calibri" w:hAnsi="Palatino Linotype" w:cs="Arial"/>
          <w:color w:val="000000" w:themeColor="text1"/>
        </w:rPr>
        <w:t>31</w:t>
      </w:r>
      <w:r w:rsidR="00B92605" w:rsidRPr="00A30BAC">
        <w:rPr>
          <w:rFonts w:ascii="Palatino Linotype" w:eastAsia="Calibri" w:hAnsi="Palatino Linotype" w:cs="Arial"/>
          <w:color w:val="000000" w:themeColor="text1"/>
        </w:rPr>
        <w:t xml:space="preserve">) de </w:t>
      </w:r>
      <w:r w:rsidR="00FE19DB" w:rsidRPr="00A30BAC">
        <w:rPr>
          <w:rFonts w:ascii="Palatino Linotype" w:eastAsia="Calibri" w:hAnsi="Palatino Linotype" w:cs="Arial"/>
          <w:color w:val="000000" w:themeColor="text1"/>
        </w:rPr>
        <w:t>enero</w:t>
      </w:r>
      <w:r w:rsidR="00C85A48" w:rsidRPr="00A30BAC">
        <w:rPr>
          <w:rFonts w:ascii="Palatino Linotype" w:eastAsia="Calibri" w:hAnsi="Palatino Linotype" w:cs="Arial"/>
          <w:color w:val="000000" w:themeColor="text1"/>
        </w:rPr>
        <w:t xml:space="preserve"> de dos mil veintidós</w:t>
      </w:r>
      <w:r w:rsidR="00740BA4" w:rsidRPr="00A30BAC">
        <w:rPr>
          <w:rFonts w:ascii="Palatino Linotype" w:eastAsia="Calibri" w:hAnsi="Palatino Linotype" w:cs="Arial"/>
          <w:color w:val="000000" w:themeColor="text1"/>
        </w:rPr>
        <w:t xml:space="preserve">, de tal forma que el plazo para interponer el recurso de revisión transcurrió del </w:t>
      </w:r>
      <w:r w:rsidR="00FE19DB" w:rsidRPr="00A30BAC">
        <w:rPr>
          <w:rFonts w:ascii="Palatino Linotype" w:eastAsia="Calibri" w:hAnsi="Palatino Linotype" w:cs="Arial"/>
          <w:color w:val="000000" w:themeColor="text1"/>
        </w:rPr>
        <w:t>uno</w:t>
      </w:r>
      <w:r w:rsidR="00C85A48" w:rsidRPr="00A30BAC">
        <w:rPr>
          <w:rFonts w:ascii="Palatino Linotype" w:eastAsia="Calibri" w:hAnsi="Palatino Linotype" w:cs="Arial"/>
          <w:color w:val="000000" w:themeColor="text1"/>
        </w:rPr>
        <w:t xml:space="preserve"> (0</w:t>
      </w:r>
      <w:r w:rsidR="00FE19DB" w:rsidRPr="00A30BAC">
        <w:rPr>
          <w:rFonts w:ascii="Palatino Linotype" w:eastAsia="Calibri" w:hAnsi="Palatino Linotype" w:cs="Arial"/>
          <w:color w:val="000000" w:themeColor="text1"/>
        </w:rPr>
        <w:t>1</w:t>
      </w:r>
      <w:r w:rsidR="00C85A48" w:rsidRPr="00A30BAC">
        <w:rPr>
          <w:rFonts w:ascii="Palatino Linotype" w:eastAsia="Calibri" w:hAnsi="Palatino Linotype" w:cs="Arial"/>
          <w:color w:val="000000" w:themeColor="text1"/>
        </w:rPr>
        <w:t xml:space="preserve">) al </w:t>
      </w:r>
      <w:r w:rsidR="00B92605" w:rsidRPr="00A30BAC">
        <w:rPr>
          <w:rFonts w:ascii="Palatino Linotype" w:eastAsia="Calibri" w:hAnsi="Palatino Linotype" w:cs="Arial"/>
          <w:color w:val="000000" w:themeColor="text1"/>
        </w:rPr>
        <w:t>veinti</w:t>
      </w:r>
      <w:r w:rsidR="00FE19DB" w:rsidRPr="00A30BAC">
        <w:rPr>
          <w:rFonts w:ascii="Palatino Linotype" w:eastAsia="Calibri" w:hAnsi="Palatino Linotype" w:cs="Arial"/>
          <w:color w:val="000000" w:themeColor="text1"/>
        </w:rPr>
        <w:t>dós</w:t>
      </w:r>
      <w:r w:rsidR="00B92605" w:rsidRPr="00A30BAC">
        <w:rPr>
          <w:rFonts w:ascii="Palatino Linotype" w:eastAsia="Calibri" w:hAnsi="Palatino Linotype" w:cs="Arial"/>
          <w:color w:val="000000" w:themeColor="text1"/>
        </w:rPr>
        <w:t xml:space="preserve"> (</w:t>
      </w:r>
      <w:r w:rsidR="00FE19DB" w:rsidRPr="00A30BAC">
        <w:rPr>
          <w:rFonts w:ascii="Palatino Linotype" w:eastAsia="Calibri" w:hAnsi="Palatino Linotype" w:cs="Arial"/>
          <w:color w:val="000000" w:themeColor="text1"/>
        </w:rPr>
        <w:t>22</w:t>
      </w:r>
      <w:r w:rsidR="00C85A48" w:rsidRPr="00A30BAC">
        <w:rPr>
          <w:rFonts w:ascii="Palatino Linotype" w:eastAsia="Calibri" w:hAnsi="Palatino Linotype" w:cs="Arial"/>
          <w:color w:val="000000" w:themeColor="text1"/>
        </w:rPr>
        <w:t>) de febrero</w:t>
      </w:r>
      <w:r w:rsidR="00740BA4" w:rsidRPr="00A30BAC">
        <w:rPr>
          <w:rFonts w:ascii="Palatino Linotype" w:eastAsia="Calibri" w:hAnsi="Palatino Linotype" w:cs="Arial"/>
          <w:color w:val="000000" w:themeColor="text1"/>
        </w:rPr>
        <w:t xml:space="preserve"> de dos mil </w:t>
      </w:r>
      <w:r w:rsidR="00C85A48" w:rsidRPr="00A30BAC">
        <w:rPr>
          <w:rFonts w:ascii="Palatino Linotype" w:eastAsia="Calibri" w:hAnsi="Palatino Linotype" w:cs="Arial"/>
          <w:color w:val="000000" w:themeColor="text1"/>
        </w:rPr>
        <w:t>veintidós</w:t>
      </w:r>
      <w:r w:rsidR="00740BA4" w:rsidRPr="00A30BAC">
        <w:rPr>
          <w:rFonts w:ascii="Palatino Linotype" w:eastAsia="Calibri" w:hAnsi="Palatino Linotype" w:cs="Arial"/>
          <w:color w:val="000000" w:themeColor="text1"/>
        </w:rPr>
        <w:t>, en</w:t>
      </w:r>
      <w:r w:rsidR="00FE19DB" w:rsidRPr="00A30BAC">
        <w:rPr>
          <w:rFonts w:ascii="Palatino Linotype" w:eastAsia="Calibri" w:hAnsi="Palatino Linotype" w:cs="Arial"/>
          <w:color w:val="000000" w:themeColor="text1"/>
        </w:rPr>
        <w:t xml:space="preserve"> consecuencia, </w:t>
      </w:r>
      <w:r w:rsidR="00FE19DB" w:rsidRPr="00A30BAC">
        <w:rPr>
          <w:rFonts w:ascii="Palatino Linotype" w:eastAsia="Times New Roman" w:hAnsi="Palatino Linotype" w:cs="Arial"/>
          <w:bCs/>
          <w:color w:val="000000" w:themeColor="text1"/>
          <w:lang w:eastAsia="es-MX"/>
        </w:rPr>
        <w:t>si la parte RECURRENTE presentó su inconformidad el dos (02) de febrero de dos mil veintidós, se encuentra dentro de los márgenes temporales previstos en el artículo 178 de la Ley de Transparencia y Acceso a la Información Pública del Estado de México y Municipios.</w:t>
      </w:r>
    </w:p>
    <w:p w14:paraId="21903286" w14:textId="77777777" w:rsidR="00740BA4" w:rsidRPr="00A30BAC"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A30BAC"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30BAC">
        <w:rPr>
          <w:rFonts w:ascii="Palatino Linotype" w:eastAsia="Calibri" w:hAnsi="Palatino Linotype" w:cs="Arial"/>
          <w:color w:val="000000" w:themeColor="text1"/>
        </w:rPr>
        <w:t xml:space="preserve">Consecuencia de lo anterior, esta Ponencia </w:t>
      </w:r>
      <w:proofErr w:type="spellStart"/>
      <w:r w:rsidRPr="00A30BAC">
        <w:rPr>
          <w:rFonts w:ascii="Palatino Linotype" w:eastAsia="Calibri" w:hAnsi="Palatino Linotype" w:cs="Arial"/>
          <w:color w:val="000000" w:themeColor="text1"/>
        </w:rPr>
        <w:t>Resolutora</w:t>
      </w:r>
      <w:proofErr w:type="spellEnd"/>
      <w:r w:rsidRPr="00A30BAC">
        <w:rPr>
          <w:rFonts w:ascii="Palatino Linotype" w:eastAsia="Calibri" w:hAnsi="Palatino Linotype" w:cs="Arial"/>
          <w:color w:val="000000" w:themeColor="text1"/>
        </w:rPr>
        <w:t xml:space="preserve"> advierte que </w:t>
      </w:r>
      <w:r w:rsidR="00540208" w:rsidRPr="00A30BAC">
        <w:rPr>
          <w:rFonts w:ascii="Palatino Linotype" w:eastAsia="Calibri" w:hAnsi="Palatino Linotype" w:cs="Arial"/>
          <w:color w:val="000000" w:themeColor="text1"/>
        </w:rPr>
        <w:t xml:space="preserve">el escrito contiene las formalidades previstas por el artículo 180 último párrafo de la Ley </w:t>
      </w:r>
      <w:r w:rsidR="004911B6" w:rsidRPr="00A30BAC">
        <w:rPr>
          <w:rFonts w:ascii="Palatino Linotype" w:eastAsia="Calibri" w:hAnsi="Palatino Linotype" w:cs="Arial"/>
          <w:color w:val="000000" w:themeColor="text1"/>
        </w:rPr>
        <w:t xml:space="preserve">de </w:t>
      </w:r>
      <w:r w:rsidR="004911B6" w:rsidRPr="00A30BAC">
        <w:rPr>
          <w:rFonts w:ascii="Palatino Linotype" w:eastAsia="Calibri" w:hAnsi="Palatino Linotype" w:cs="Arial"/>
          <w:color w:val="000000" w:themeColor="text1"/>
        </w:rPr>
        <w:lastRenderedPageBreak/>
        <w:t>Transparencia y Acceso a la Información Pública del Estado de México y Municipios</w:t>
      </w:r>
      <w:r w:rsidR="00540208" w:rsidRPr="00A30BAC">
        <w:rPr>
          <w:rFonts w:ascii="Palatino Linotype" w:eastAsia="Calibri" w:hAnsi="Palatino Linotype" w:cs="Arial"/>
          <w:color w:val="000000" w:themeColor="text1"/>
        </w:rPr>
        <w:t xml:space="preserve">, por lo que es procedente que </w:t>
      </w:r>
      <w:r w:rsidR="004911B6" w:rsidRPr="00A30BAC">
        <w:rPr>
          <w:rFonts w:ascii="Palatino Linotype" w:eastAsia="Calibri" w:hAnsi="Palatino Linotype" w:cs="Arial"/>
          <w:color w:val="000000" w:themeColor="text1"/>
        </w:rPr>
        <w:t>e</w:t>
      </w:r>
      <w:r w:rsidR="00540208" w:rsidRPr="00A30BAC">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67545DB" w14:textId="77777777" w:rsidR="00A339DE" w:rsidRPr="00A30BAC"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2" w:name="_Toc459174366"/>
      <w:bookmarkStart w:id="13" w:name="_Toc459659884"/>
      <w:bookmarkStart w:id="14" w:name="_Toc461687280"/>
      <w:bookmarkStart w:id="15" w:name="_Toc462771051"/>
      <w:bookmarkStart w:id="16" w:name="_Toc464139201"/>
    </w:p>
    <w:p w14:paraId="779C8BA9" w14:textId="4EA03B09" w:rsidR="00AB2CAA" w:rsidRPr="00A30BAC" w:rsidRDefault="00452169" w:rsidP="00AB2CAA">
      <w:pPr>
        <w:pStyle w:val="Ttulo2"/>
        <w:spacing w:before="0"/>
        <w:rPr>
          <w:rFonts w:ascii="Palatino Linotype" w:hAnsi="Palatino Linotype"/>
          <w:b/>
          <w:color w:val="000000" w:themeColor="text1"/>
          <w:sz w:val="24"/>
          <w:szCs w:val="24"/>
        </w:rPr>
      </w:pPr>
      <w:r w:rsidRPr="00A30BAC">
        <w:rPr>
          <w:rFonts w:ascii="Palatino Linotype" w:hAnsi="Palatino Linotype"/>
          <w:b/>
          <w:color w:val="000000" w:themeColor="text1"/>
          <w:sz w:val="24"/>
          <w:szCs w:val="24"/>
        </w:rPr>
        <w:t>TERCERO</w:t>
      </w:r>
      <w:r w:rsidR="00AB2CAA" w:rsidRPr="00A30BAC">
        <w:rPr>
          <w:rFonts w:ascii="Palatino Linotype" w:hAnsi="Palatino Linotype"/>
          <w:b/>
          <w:color w:val="000000" w:themeColor="text1"/>
          <w:sz w:val="24"/>
          <w:szCs w:val="24"/>
        </w:rPr>
        <w:t xml:space="preserve">. Del planteamiento de la </w:t>
      </w:r>
      <w:r w:rsidR="00AB2CAA" w:rsidRPr="00A30BAC">
        <w:rPr>
          <w:rFonts w:ascii="Palatino Linotype" w:hAnsi="Palatino Linotype"/>
          <w:b/>
          <w:i/>
          <w:color w:val="000000" w:themeColor="text1"/>
          <w:sz w:val="24"/>
          <w:szCs w:val="24"/>
        </w:rPr>
        <w:t>Litis</w:t>
      </w:r>
      <w:r w:rsidR="00AB2CAA" w:rsidRPr="00A30BAC">
        <w:rPr>
          <w:rFonts w:ascii="Palatino Linotype" w:hAnsi="Palatino Linotype"/>
          <w:b/>
          <w:color w:val="000000" w:themeColor="text1"/>
          <w:sz w:val="24"/>
          <w:szCs w:val="24"/>
        </w:rPr>
        <w:t>.</w:t>
      </w:r>
    </w:p>
    <w:p w14:paraId="47759DD0" w14:textId="77777777" w:rsidR="00AB2CAA" w:rsidRPr="00A30BAC" w:rsidRDefault="00AB2CAA" w:rsidP="00AB2CAA">
      <w:pPr>
        <w:tabs>
          <w:tab w:val="left" w:pos="426"/>
        </w:tabs>
        <w:spacing w:line="360" w:lineRule="auto"/>
        <w:ind w:right="49"/>
        <w:jc w:val="both"/>
        <w:rPr>
          <w:rFonts w:ascii="Palatino Linotype" w:hAnsi="Palatino Linotype" w:cs="Arial"/>
          <w:color w:val="000000" w:themeColor="text1"/>
        </w:rPr>
      </w:pPr>
    </w:p>
    <w:p w14:paraId="26137E4C" w14:textId="45AE36B5" w:rsidR="0056788F" w:rsidRPr="00A30BAC" w:rsidRDefault="00F46B41" w:rsidP="0003638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cs="Arial"/>
          <w:color w:val="000000" w:themeColor="text1"/>
        </w:rPr>
        <w:t xml:space="preserve">Se requirió </w:t>
      </w:r>
      <w:r w:rsidR="00667F62" w:rsidRPr="00A30BAC">
        <w:rPr>
          <w:rFonts w:ascii="Palatino Linotype" w:hAnsi="Palatino Linotype" w:cs="Arial"/>
          <w:color w:val="000000" w:themeColor="text1"/>
        </w:rPr>
        <w:t>obtener</w:t>
      </w:r>
      <w:r w:rsidR="007E6DA4" w:rsidRPr="00A30BAC">
        <w:rPr>
          <w:rFonts w:ascii="Palatino Linotype" w:hAnsi="Palatino Linotype" w:cs="Arial"/>
          <w:color w:val="000000" w:themeColor="text1"/>
        </w:rPr>
        <w:t xml:space="preserve"> diversa información relacionada con el pago de obligaciones fiscales del </w:t>
      </w:r>
      <w:r w:rsidR="007E6DA4" w:rsidRPr="00A30BAC">
        <w:rPr>
          <w:rFonts w:ascii="Palatino Linotype" w:hAnsi="Palatino Linotype" w:cs="Arial"/>
          <w:b/>
          <w:bCs/>
          <w:color w:val="000000" w:themeColor="text1"/>
        </w:rPr>
        <w:t>SUJETO OBLIGADO</w:t>
      </w:r>
      <w:r w:rsidR="007E6DA4" w:rsidRPr="00A30BAC">
        <w:rPr>
          <w:rFonts w:ascii="Palatino Linotype" w:hAnsi="Palatino Linotype" w:cs="Arial"/>
          <w:color w:val="000000" w:themeColor="text1"/>
        </w:rPr>
        <w:t xml:space="preserve">, a saber: </w:t>
      </w:r>
      <w:r w:rsidR="007E6DA4" w:rsidRPr="00A30BAC">
        <w:rPr>
          <w:rFonts w:ascii="Palatino Linotype" w:hAnsi="Palatino Linotype" w:cs="Arial"/>
          <w:b/>
          <w:bCs/>
          <w:color w:val="000000" w:themeColor="text1"/>
        </w:rPr>
        <w:t>a)</w:t>
      </w:r>
      <w:r w:rsidR="007E6DA4" w:rsidRPr="00A30BAC">
        <w:rPr>
          <w:rFonts w:ascii="Palatino Linotype" w:hAnsi="Palatino Linotype" w:cs="Arial"/>
          <w:color w:val="000000" w:themeColor="text1"/>
        </w:rPr>
        <w:t xml:space="preserve"> Opinión de cumplimiento proporcionada por el SAT, IMSS, INFONAVIT y SATEM; </w:t>
      </w:r>
      <w:r w:rsidR="007E6DA4" w:rsidRPr="00A30BAC">
        <w:rPr>
          <w:rFonts w:ascii="Palatino Linotype" w:hAnsi="Palatino Linotype" w:cs="Arial"/>
          <w:b/>
          <w:bCs/>
          <w:color w:val="000000" w:themeColor="text1"/>
        </w:rPr>
        <w:t>b)</w:t>
      </w:r>
      <w:r w:rsidR="007E6DA4" w:rsidRPr="00A30BAC">
        <w:rPr>
          <w:rFonts w:ascii="Palatino Linotype" w:hAnsi="Palatino Linotype" w:cs="Arial"/>
          <w:color w:val="000000" w:themeColor="text1"/>
        </w:rPr>
        <w:t xml:space="preserve"> Reportes del aplicativo “Visor de nómina del SAT”, del dos mil dieciocho al dos mil veintiuno, en sus presentaciones ‘Vista anual acumulada’, ‘Detalle mensual’ y ‘Detalle diferencias sueldos y salarios’; </w:t>
      </w:r>
      <w:r w:rsidR="007E6DA4" w:rsidRPr="00A30BAC">
        <w:rPr>
          <w:rFonts w:ascii="Palatino Linotype" w:hAnsi="Palatino Linotype" w:cs="Arial"/>
          <w:b/>
          <w:bCs/>
          <w:color w:val="000000" w:themeColor="text1"/>
        </w:rPr>
        <w:t>c)</w:t>
      </w:r>
      <w:r w:rsidR="007E6DA4" w:rsidRPr="00A30BAC">
        <w:rPr>
          <w:rFonts w:ascii="Palatino Linotype" w:hAnsi="Palatino Linotype" w:cs="Arial"/>
          <w:color w:val="000000" w:themeColor="text1"/>
        </w:rPr>
        <w:t xml:space="preserve"> Constancias de situación fiscal de no adeudo emitida por el INFONAVIT, IMSS y SATEM; </w:t>
      </w:r>
      <w:r w:rsidR="007E6DA4" w:rsidRPr="00A30BAC">
        <w:rPr>
          <w:rFonts w:ascii="Palatino Linotype" w:hAnsi="Palatino Linotype" w:cs="Arial"/>
          <w:b/>
          <w:bCs/>
          <w:color w:val="000000" w:themeColor="text1"/>
        </w:rPr>
        <w:t>d)</w:t>
      </w:r>
      <w:r w:rsidR="007E6DA4" w:rsidRPr="00A30BAC">
        <w:rPr>
          <w:rFonts w:ascii="Palatino Linotype" w:hAnsi="Palatino Linotype" w:cs="Arial"/>
          <w:color w:val="000000" w:themeColor="text1"/>
        </w:rPr>
        <w:t xml:space="preserve"> </w:t>
      </w:r>
      <w:r w:rsidR="00E36C79" w:rsidRPr="00A30BAC">
        <w:rPr>
          <w:rFonts w:ascii="Palatino Linotype" w:hAnsi="Palatino Linotype" w:cs="Arial"/>
          <w:color w:val="000000" w:themeColor="text1"/>
        </w:rPr>
        <w:t>Se genere un documento</w:t>
      </w:r>
      <w:r w:rsidR="007E6DA4" w:rsidRPr="00A30BAC">
        <w:rPr>
          <w:rFonts w:ascii="Palatino Linotype" w:hAnsi="Palatino Linotype" w:cs="Arial"/>
          <w:color w:val="000000" w:themeColor="text1"/>
        </w:rPr>
        <w:t xml:space="preserve"> donde se desarrolle </w:t>
      </w:r>
      <w:r w:rsidR="00E36C79" w:rsidRPr="00A30BAC">
        <w:rPr>
          <w:rFonts w:ascii="Palatino Linotype" w:hAnsi="Palatino Linotype" w:cs="Arial"/>
          <w:color w:val="000000" w:themeColor="text1"/>
        </w:rPr>
        <w:t>diversa información</w:t>
      </w:r>
      <w:r w:rsidR="007E6DA4" w:rsidRPr="00A30BAC">
        <w:rPr>
          <w:rFonts w:ascii="Palatino Linotype" w:hAnsi="Palatino Linotype" w:cs="Arial"/>
          <w:color w:val="000000" w:themeColor="text1"/>
        </w:rPr>
        <w:t xml:space="preserve"> relacionada con el pago del ISR.</w:t>
      </w:r>
    </w:p>
    <w:p w14:paraId="52493E42" w14:textId="77777777" w:rsidR="0056788F" w:rsidRPr="00A30BAC"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02AA7C26" w14:textId="31C50A17" w:rsidR="007E6DA4" w:rsidRPr="00A30BAC" w:rsidRDefault="006F500E"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cs="Arial"/>
          <w:color w:val="000000" w:themeColor="text1"/>
        </w:rPr>
        <w:t>E</w:t>
      </w:r>
      <w:r w:rsidR="00E36C79" w:rsidRPr="00A30BAC">
        <w:rPr>
          <w:rFonts w:ascii="Palatino Linotype" w:hAnsi="Palatino Linotype" w:cs="Arial"/>
          <w:color w:val="000000" w:themeColor="text1"/>
        </w:rPr>
        <w:t xml:space="preserve">l </w:t>
      </w:r>
      <w:r w:rsidR="00E36C79" w:rsidRPr="00A30BAC">
        <w:rPr>
          <w:rFonts w:ascii="Palatino Linotype" w:hAnsi="Palatino Linotype" w:cs="Arial"/>
          <w:b/>
          <w:color w:val="000000" w:themeColor="text1"/>
        </w:rPr>
        <w:t>SUJETO OBLIGADO</w:t>
      </w:r>
      <w:r w:rsidRPr="00A30BAC">
        <w:rPr>
          <w:rFonts w:ascii="Palatino Linotype" w:hAnsi="Palatino Linotype" w:cs="Arial"/>
          <w:bCs/>
          <w:color w:val="000000" w:themeColor="text1"/>
        </w:rPr>
        <w:t xml:space="preserve"> se manifestó incompetente para poseer, generar o administrar la información solicitada y orientó a</w:t>
      </w:r>
      <w:r w:rsidR="00036385" w:rsidRPr="00A30BAC">
        <w:rPr>
          <w:rFonts w:ascii="Palatino Linotype" w:hAnsi="Palatino Linotype" w:cs="Arial"/>
          <w:bCs/>
          <w:color w:val="000000" w:themeColor="text1"/>
        </w:rPr>
        <w:t xml:space="preserve"> </w:t>
      </w:r>
      <w:r w:rsidRPr="00A30BAC">
        <w:rPr>
          <w:rFonts w:ascii="Palatino Linotype" w:hAnsi="Palatino Linotype" w:cs="Arial"/>
          <w:bCs/>
          <w:color w:val="000000" w:themeColor="text1"/>
        </w:rPr>
        <w:t>l</w:t>
      </w:r>
      <w:r w:rsidR="00036385" w:rsidRPr="00A30BAC">
        <w:rPr>
          <w:rFonts w:ascii="Palatino Linotype" w:hAnsi="Palatino Linotype" w:cs="Arial"/>
          <w:bCs/>
          <w:color w:val="000000" w:themeColor="text1"/>
        </w:rPr>
        <w:t>a</w:t>
      </w:r>
      <w:r w:rsidRPr="00A30BAC">
        <w:rPr>
          <w:rFonts w:ascii="Palatino Linotype" w:hAnsi="Palatino Linotype" w:cs="Arial"/>
          <w:bCs/>
          <w:color w:val="000000" w:themeColor="text1"/>
        </w:rPr>
        <w:t xml:space="preserve"> </w:t>
      </w:r>
      <w:r w:rsidR="00036385" w:rsidRPr="00A30BAC">
        <w:rPr>
          <w:rFonts w:ascii="Palatino Linotype" w:hAnsi="Palatino Linotype" w:cs="Arial"/>
          <w:bCs/>
          <w:color w:val="000000" w:themeColor="text1"/>
        </w:rPr>
        <w:t>parte Recurrente</w:t>
      </w:r>
      <w:r w:rsidRPr="00A30BAC">
        <w:rPr>
          <w:rFonts w:ascii="Palatino Linotype" w:hAnsi="Palatino Linotype" w:cs="Arial"/>
          <w:bCs/>
          <w:color w:val="000000" w:themeColor="text1"/>
        </w:rPr>
        <w:t xml:space="preserve"> a dirigir sus </w:t>
      </w:r>
      <w:proofErr w:type="spellStart"/>
      <w:r w:rsidR="00036385" w:rsidRPr="00A30BAC">
        <w:rPr>
          <w:rFonts w:ascii="Palatino Linotype" w:hAnsi="Palatino Linotype" w:cs="Arial"/>
          <w:bCs/>
          <w:color w:val="000000" w:themeColor="text1"/>
        </w:rPr>
        <w:t>solicitus</w:t>
      </w:r>
      <w:proofErr w:type="spellEnd"/>
      <w:r w:rsidRPr="00A30BAC">
        <w:rPr>
          <w:rFonts w:ascii="Palatino Linotype" w:hAnsi="Palatino Linotype" w:cs="Arial"/>
          <w:bCs/>
          <w:color w:val="000000" w:themeColor="text1"/>
        </w:rPr>
        <w:t xml:space="preserve"> al Servicio de Administración Tributaria</w:t>
      </w:r>
      <w:r w:rsidR="00036385" w:rsidRPr="00A30BAC">
        <w:rPr>
          <w:rFonts w:ascii="Palatino Linotype" w:hAnsi="Palatino Linotype" w:cs="Arial"/>
          <w:bCs/>
          <w:color w:val="000000" w:themeColor="text1"/>
        </w:rPr>
        <w:t xml:space="preserve"> (SAT)</w:t>
      </w:r>
      <w:r w:rsidRPr="00A30BAC">
        <w:rPr>
          <w:rFonts w:ascii="Palatino Linotype" w:hAnsi="Palatino Linotype" w:cs="Arial"/>
          <w:bCs/>
          <w:color w:val="000000" w:themeColor="text1"/>
        </w:rPr>
        <w:t xml:space="preserve">; asimismo, informó que el </w:t>
      </w:r>
      <w:r w:rsidR="00036385" w:rsidRPr="00A30BAC">
        <w:rPr>
          <w:rFonts w:ascii="Palatino Linotype" w:hAnsi="Palatino Linotype" w:cs="Arial"/>
          <w:bCs/>
          <w:color w:val="000000" w:themeColor="text1"/>
        </w:rPr>
        <w:t>A</w:t>
      </w:r>
      <w:r w:rsidRPr="00A30BAC">
        <w:rPr>
          <w:rFonts w:ascii="Palatino Linotype" w:hAnsi="Palatino Linotype" w:cs="Arial"/>
          <w:bCs/>
          <w:color w:val="000000" w:themeColor="text1"/>
        </w:rPr>
        <w:t>yuntamiento no generaba información relacionada con el pago de impuestos relacionados con el IMSS, INFONAVIT y SATEM.</w:t>
      </w:r>
    </w:p>
    <w:p w14:paraId="75877B49" w14:textId="77777777" w:rsidR="007E6DA4" w:rsidRPr="00A30BAC" w:rsidRDefault="007E6DA4"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25975721" w:rsidR="00F46B41" w:rsidRPr="00A30BAC"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cs="Arial"/>
          <w:color w:val="000000" w:themeColor="text1"/>
        </w:rPr>
        <w:t>El</w:t>
      </w:r>
      <w:r w:rsidR="00826F38" w:rsidRPr="00A30BAC">
        <w:rPr>
          <w:rFonts w:ascii="Palatino Linotype" w:hAnsi="Palatino Linotype" w:cs="Arial"/>
          <w:color w:val="000000" w:themeColor="text1"/>
        </w:rPr>
        <w:t xml:space="preserve"> particular impugnó </w:t>
      </w:r>
      <w:r w:rsidR="006A2EFB" w:rsidRPr="00A30BAC">
        <w:rPr>
          <w:rFonts w:ascii="Palatino Linotype" w:hAnsi="Palatino Linotype" w:cs="Arial"/>
          <w:color w:val="000000" w:themeColor="text1"/>
        </w:rPr>
        <w:t>la respuesta</w:t>
      </w:r>
      <w:r w:rsidR="00826F38" w:rsidRPr="00A30BAC">
        <w:rPr>
          <w:rFonts w:ascii="Palatino Linotype" w:hAnsi="Palatino Linotype" w:cs="Arial"/>
          <w:color w:val="000000" w:themeColor="text1"/>
        </w:rPr>
        <w:t xml:space="preserve"> mediante recurso de revisión, </w:t>
      </w:r>
      <w:r w:rsidR="006A2EFB" w:rsidRPr="00A30BAC">
        <w:rPr>
          <w:rFonts w:ascii="Palatino Linotype" w:hAnsi="Palatino Linotype" w:cs="Arial"/>
          <w:color w:val="000000" w:themeColor="text1"/>
        </w:rPr>
        <w:t>en el que señaló</w:t>
      </w:r>
      <w:r w:rsidR="00826F38" w:rsidRPr="00A30BAC">
        <w:rPr>
          <w:rFonts w:ascii="Palatino Linotype" w:hAnsi="Palatino Linotype" w:cs="Arial"/>
          <w:color w:val="000000" w:themeColor="text1"/>
        </w:rPr>
        <w:t xml:space="preserve"> por agravios</w:t>
      </w:r>
      <w:r w:rsidR="00910076" w:rsidRPr="00A30BAC">
        <w:rPr>
          <w:rFonts w:ascii="Palatino Linotype" w:hAnsi="Palatino Linotype" w:cs="Arial"/>
          <w:color w:val="000000" w:themeColor="text1"/>
        </w:rPr>
        <w:t xml:space="preserve"> que</w:t>
      </w:r>
      <w:r w:rsidR="00826F38" w:rsidRPr="00A30BAC">
        <w:rPr>
          <w:rFonts w:ascii="Palatino Linotype" w:hAnsi="Palatino Linotype" w:cs="Arial"/>
          <w:color w:val="000000" w:themeColor="text1"/>
        </w:rPr>
        <w:t xml:space="preserve"> </w:t>
      </w:r>
      <w:r w:rsidR="00EB0909" w:rsidRPr="00A30BAC">
        <w:rPr>
          <w:rFonts w:ascii="Palatino Linotype" w:hAnsi="Palatino Linotype" w:cs="Arial"/>
          <w:color w:val="000000" w:themeColor="text1"/>
        </w:rPr>
        <w:t xml:space="preserve">la respuesta del </w:t>
      </w:r>
      <w:r w:rsidR="00EB0909" w:rsidRPr="00A30BAC">
        <w:rPr>
          <w:rFonts w:ascii="Palatino Linotype" w:hAnsi="Palatino Linotype" w:cs="Arial"/>
          <w:b/>
          <w:color w:val="000000" w:themeColor="text1"/>
        </w:rPr>
        <w:t>SUJETO OBLIGADO</w:t>
      </w:r>
      <w:r w:rsidR="00EB0909" w:rsidRPr="00A30BAC">
        <w:rPr>
          <w:rFonts w:ascii="Palatino Linotype" w:hAnsi="Palatino Linotype" w:cs="Arial"/>
          <w:color w:val="000000" w:themeColor="text1"/>
        </w:rPr>
        <w:t xml:space="preserve"> actualizaba las causales de procedencia del recurso establecidas en el artículo 179, fracciones I, IV, </w:t>
      </w:r>
      <w:r w:rsidR="00EB0909" w:rsidRPr="00A30BAC">
        <w:rPr>
          <w:rFonts w:ascii="Palatino Linotype" w:hAnsi="Palatino Linotype" w:cs="Arial"/>
          <w:color w:val="000000" w:themeColor="text1"/>
        </w:rPr>
        <w:lastRenderedPageBreak/>
        <w:t xml:space="preserve">XI y XII, de la Ley de Transparencia y Acceso a la Información Pública del Estado de México y Municipios; asimismo, </w:t>
      </w:r>
      <w:r w:rsidR="00457FBC" w:rsidRPr="00A30BAC">
        <w:rPr>
          <w:rFonts w:ascii="Palatino Linotype" w:hAnsi="Palatino Linotype" w:cs="Arial"/>
          <w:color w:val="000000" w:themeColor="text1"/>
        </w:rPr>
        <w:t xml:space="preserve">manifestó que el Ayuntamiento de </w:t>
      </w:r>
      <w:r w:rsidR="00036385" w:rsidRPr="00A30BAC">
        <w:rPr>
          <w:rFonts w:ascii="Palatino Linotype" w:hAnsi="Palatino Linotype" w:cs="Arial"/>
          <w:color w:val="000000" w:themeColor="text1"/>
        </w:rPr>
        <w:t>Villa del Carbón</w:t>
      </w:r>
      <w:r w:rsidR="00457FBC" w:rsidRPr="00A30BAC">
        <w:rPr>
          <w:rFonts w:ascii="Palatino Linotype" w:hAnsi="Palatino Linotype" w:cs="Arial"/>
          <w:color w:val="000000" w:themeColor="text1"/>
        </w:rPr>
        <w:t xml:space="preserve"> sí tenía competencia para poseer, generar y administrar los reportes relacionados con el ‘Visor de nómina’ del SAT, e indicó la forma en que aquél podía hacerse de los formatos requeridos para su entrega.</w:t>
      </w:r>
    </w:p>
    <w:p w14:paraId="2B665942" w14:textId="77777777" w:rsidR="00C83EF5" w:rsidRPr="00A30BAC"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822C019" w:rsidR="001A032D" w:rsidRPr="00A30BAC"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cs="Arial"/>
          <w:color w:val="000000" w:themeColor="text1"/>
        </w:rPr>
        <w:t xml:space="preserve">En ese sentido, </w:t>
      </w:r>
      <w:r w:rsidR="002E160F" w:rsidRPr="00A30BAC">
        <w:rPr>
          <w:rFonts w:ascii="Palatino Linotype" w:hAnsi="Palatino Linotype" w:cs="Arial"/>
          <w:color w:val="000000" w:themeColor="text1"/>
        </w:rPr>
        <w:t xml:space="preserve">esta Ponencia </w:t>
      </w:r>
      <w:proofErr w:type="spellStart"/>
      <w:r w:rsidR="002E160F" w:rsidRPr="00A30BAC">
        <w:rPr>
          <w:rFonts w:ascii="Palatino Linotype" w:hAnsi="Palatino Linotype" w:cs="Arial"/>
          <w:color w:val="000000" w:themeColor="text1"/>
        </w:rPr>
        <w:t>Resolutora</w:t>
      </w:r>
      <w:proofErr w:type="spellEnd"/>
      <w:r w:rsidR="002E160F" w:rsidRPr="00A30BAC">
        <w:rPr>
          <w:rFonts w:ascii="Palatino Linotype" w:hAnsi="Palatino Linotype" w:cs="Arial"/>
          <w:color w:val="000000" w:themeColor="text1"/>
        </w:rPr>
        <w:t xml:space="preserve"> advierte que las razones o motivos de inconformidad manifestados por el </w:t>
      </w:r>
      <w:r w:rsidRPr="00A30BAC">
        <w:rPr>
          <w:rFonts w:ascii="Palatino Linotype" w:hAnsi="Palatino Linotype" w:cs="Arial"/>
          <w:b/>
          <w:bCs/>
          <w:color w:val="000000" w:themeColor="text1"/>
        </w:rPr>
        <w:t>RECURRENTE</w:t>
      </w:r>
      <w:r w:rsidRPr="00A30BAC">
        <w:rPr>
          <w:rFonts w:ascii="Palatino Linotype" w:hAnsi="Palatino Linotype" w:cs="Arial"/>
          <w:color w:val="000000" w:themeColor="text1"/>
        </w:rPr>
        <w:t xml:space="preserve"> </w:t>
      </w:r>
      <w:r w:rsidR="002E160F" w:rsidRPr="00A30BAC">
        <w:rPr>
          <w:rFonts w:ascii="Palatino Linotype" w:hAnsi="Palatino Linotype" w:cs="Arial"/>
          <w:color w:val="000000" w:themeColor="text1"/>
        </w:rPr>
        <w:t>sugieren que la respuesta proporcionada</w:t>
      </w:r>
      <w:r w:rsidR="00B855AA" w:rsidRPr="00A30BAC">
        <w:rPr>
          <w:rFonts w:ascii="Palatino Linotype" w:hAnsi="Palatino Linotype" w:cs="Arial"/>
          <w:color w:val="000000" w:themeColor="text1"/>
        </w:rPr>
        <w:t xml:space="preserve"> por el </w:t>
      </w:r>
      <w:r w:rsidR="00B855AA" w:rsidRPr="00A30BAC">
        <w:rPr>
          <w:rFonts w:ascii="Palatino Linotype" w:hAnsi="Palatino Linotype" w:cs="Arial"/>
          <w:b/>
          <w:bCs/>
          <w:color w:val="000000" w:themeColor="text1"/>
        </w:rPr>
        <w:t>SUJETO OBLIGADO</w:t>
      </w:r>
      <w:r w:rsidR="00B855AA" w:rsidRPr="00A30BAC">
        <w:rPr>
          <w:rFonts w:ascii="Palatino Linotype" w:hAnsi="Palatino Linotype" w:cs="Arial"/>
          <w:color w:val="000000" w:themeColor="text1"/>
        </w:rPr>
        <w:t xml:space="preserve"> no cumplió con </w:t>
      </w:r>
      <w:r w:rsidR="008F7752" w:rsidRPr="00A30BAC">
        <w:rPr>
          <w:rFonts w:ascii="Palatino Linotype" w:hAnsi="Palatino Linotype" w:cs="Arial"/>
          <w:color w:val="000000" w:themeColor="text1"/>
        </w:rPr>
        <w:t>los</w:t>
      </w:r>
      <w:r w:rsidR="00B855AA" w:rsidRPr="00A30BAC">
        <w:rPr>
          <w:rFonts w:ascii="Palatino Linotype" w:hAnsi="Palatino Linotype" w:cs="Arial"/>
          <w:color w:val="000000" w:themeColor="text1"/>
        </w:rPr>
        <w:t xml:space="preserve"> principio</w:t>
      </w:r>
      <w:r w:rsidR="008F7752" w:rsidRPr="00A30BAC">
        <w:rPr>
          <w:rFonts w:ascii="Palatino Linotype" w:hAnsi="Palatino Linotype" w:cs="Arial"/>
          <w:color w:val="000000" w:themeColor="text1"/>
        </w:rPr>
        <w:t>s</w:t>
      </w:r>
      <w:r w:rsidR="00B855AA" w:rsidRPr="00A30BAC">
        <w:rPr>
          <w:rFonts w:ascii="Palatino Linotype" w:hAnsi="Palatino Linotype" w:cs="Arial"/>
          <w:color w:val="000000" w:themeColor="text1"/>
        </w:rPr>
        <w:t xml:space="preserve"> contendido</w:t>
      </w:r>
      <w:r w:rsidR="008F7752" w:rsidRPr="00A30BAC">
        <w:rPr>
          <w:rFonts w:ascii="Palatino Linotype" w:hAnsi="Palatino Linotype" w:cs="Arial"/>
          <w:color w:val="000000" w:themeColor="text1"/>
        </w:rPr>
        <w:t>s</w:t>
      </w:r>
      <w:r w:rsidR="00B855AA" w:rsidRPr="00A30BAC">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A30BAC">
        <w:rPr>
          <w:rFonts w:ascii="Palatino Linotype" w:hAnsi="Palatino Linotype" w:cs="Arial"/>
          <w:color w:val="000000" w:themeColor="text1"/>
        </w:rPr>
        <w:t>os</w:t>
      </w:r>
      <w:r w:rsidR="00B855AA" w:rsidRPr="00A30BAC">
        <w:rPr>
          <w:rFonts w:ascii="Palatino Linotype" w:hAnsi="Palatino Linotype" w:cs="Arial"/>
          <w:color w:val="000000" w:themeColor="text1"/>
        </w:rPr>
        <w:t xml:space="preserve"> cual</w:t>
      </w:r>
      <w:r w:rsidR="008F7752" w:rsidRPr="00A30BAC">
        <w:rPr>
          <w:rFonts w:ascii="Palatino Linotype" w:hAnsi="Palatino Linotype" w:cs="Arial"/>
          <w:color w:val="000000" w:themeColor="text1"/>
        </w:rPr>
        <w:t>es</w:t>
      </w:r>
      <w:r w:rsidR="00B855AA" w:rsidRPr="00A30BAC">
        <w:rPr>
          <w:rFonts w:ascii="Palatino Linotype" w:hAnsi="Palatino Linotype" w:cs="Arial"/>
          <w:color w:val="000000" w:themeColor="text1"/>
        </w:rPr>
        <w:t xml:space="preserve"> señala</w:t>
      </w:r>
      <w:r w:rsidR="008F7752" w:rsidRPr="00A30BAC">
        <w:rPr>
          <w:rFonts w:ascii="Palatino Linotype" w:hAnsi="Palatino Linotype" w:cs="Arial"/>
          <w:color w:val="000000" w:themeColor="text1"/>
        </w:rPr>
        <w:t>n</w:t>
      </w:r>
      <w:r w:rsidR="00B855AA" w:rsidRPr="00A30BAC">
        <w:rPr>
          <w:rFonts w:ascii="Palatino Linotype" w:hAnsi="Palatino Linotype" w:cs="Arial"/>
          <w:color w:val="000000" w:themeColor="text1"/>
        </w:rPr>
        <w:t xml:space="preserve"> que en la generación, publicación y entrega de información se deberá garantizar que ésta </w:t>
      </w:r>
      <w:r w:rsidR="00C51671" w:rsidRPr="00A30BAC">
        <w:rPr>
          <w:rFonts w:ascii="Palatino Linotype" w:hAnsi="Palatino Linotype" w:cs="Arial"/>
          <w:color w:val="000000" w:themeColor="text1"/>
        </w:rPr>
        <w:t>sea</w:t>
      </w:r>
      <w:r w:rsidR="00B855AA" w:rsidRPr="00A30BAC">
        <w:rPr>
          <w:rFonts w:ascii="Palatino Linotype" w:hAnsi="Palatino Linotype" w:cs="Arial"/>
          <w:color w:val="000000" w:themeColor="text1"/>
        </w:rPr>
        <w:t xml:space="preserve"> </w:t>
      </w:r>
      <w:r w:rsidR="00C83EF5" w:rsidRPr="00A30BAC">
        <w:rPr>
          <w:rFonts w:ascii="Palatino Linotype" w:hAnsi="Palatino Linotype" w:cs="Arial"/>
          <w:b/>
          <w:bCs/>
          <w:color w:val="000000" w:themeColor="text1"/>
        </w:rPr>
        <w:t>accesible</w:t>
      </w:r>
      <w:r w:rsidR="00EB0909" w:rsidRPr="00A30BAC">
        <w:rPr>
          <w:rFonts w:ascii="Palatino Linotype" w:hAnsi="Palatino Linotype" w:cs="Arial"/>
          <w:b/>
          <w:bCs/>
          <w:color w:val="000000" w:themeColor="text1"/>
        </w:rPr>
        <w:t xml:space="preserve"> </w:t>
      </w:r>
      <w:r w:rsidR="00EB0909" w:rsidRPr="00A30BAC">
        <w:rPr>
          <w:rFonts w:ascii="Palatino Linotype" w:hAnsi="Palatino Linotype" w:cs="Arial"/>
          <w:bCs/>
          <w:color w:val="000000" w:themeColor="text1"/>
        </w:rPr>
        <w:t>y</w:t>
      </w:r>
      <w:r w:rsidR="00EB0909" w:rsidRPr="00A30BAC">
        <w:rPr>
          <w:rFonts w:ascii="Palatino Linotype" w:hAnsi="Palatino Linotype" w:cs="Arial"/>
          <w:b/>
          <w:bCs/>
          <w:color w:val="000000" w:themeColor="text1"/>
        </w:rPr>
        <w:t xml:space="preserve"> </w:t>
      </w:r>
      <w:r w:rsidR="00457FBC" w:rsidRPr="00A30BAC">
        <w:rPr>
          <w:rFonts w:ascii="Palatino Linotype" w:hAnsi="Palatino Linotype" w:cs="Arial"/>
          <w:b/>
          <w:bCs/>
          <w:color w:val="000000" w:themeColor="text1"/>
        </w:rPr>
        <w:t>congruente</w:t>
      </w:r>
      <w:r w:rsidR="00B855AA" w:rsidRPr="00A30BAC">
        <w:rPr>
          <w:rFonts w:ascii="Palatino Linotype" w:hAnsi="Palatino Linotype" w:cs="Arial"/>
          <w:color w:val="000000" w:themeColor="text1"/>
        </w:rPr>
        <w:t>.</w:t>
      </w:r>
    </w:p>
    <w:p w14:paraId="026A3A70" w14:textId="77777777" w:rsidR="00197091" w:rsidRPr="00A30BAC"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98A565E" w:rsidR="00AD76A1" w:rsidRPr="00A30BAC"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30BAC">
        <w:rPr>
          <w:rFonts w:ascii="Palatino Linotype" w:hAnsi="Palatino Linotype" w:cs="Arial"/>
          <w:color w:val="000000" w:themeColor="text1"/>
          <w:szCs w:val="23"/>
        </w:rPr>
        <w:t xml:space="preserve">Por lo anterior, la </w:t>
      </w:r>
      <w:r w:rsidRPr="00A30BAC">
        <w:rPr>
          <w:rFonts w:ascii="Palatino Linotype" w:hAnsi="Palatino Linotype" w:cs="Arial"/>
          <w:i/>
          <w:color w:val="000000" w:themeColor="text1"/>
          <w:szCs w:val="23"/>
        </w:rPr>
        <w:t>Litis</w:t>
      </w:r>
      <w:r w:rsidRPr="00A30BAC">
        <w:rPr>
          <w:rFonts w:ascii="Palatino Linotype" w:hAnsi="Palatino Linotype" w:cs="Arial"/>
          <w:color w:val="000000" w:themeColor="text1"/>
          <w:szCs w:val="23"/>
        </w:rPr>
        <w:t xml:space="preserve"> a resolver en el presente recurso se circunscribe en determinar si</w:t>
      </w:r>
      <w:r w:rsidR="002C6561" w:rsidRPr="00A30BAC">
        <w:rPr>
          <w:rFonts w:ascii="Palatino Linotype" w:hAnsi="Palatino Linotype" w:cs="Arial"/>
          <w:color w:val="000000" w:themeColor="text1"/>
          <w:szCs w:val="23"/>
        </w:rPr>
        <w:t xml:space="preserve"> </w:t>
      </w:r>
      <w:r w:rsidR="00F2227E" w:rsidRPr="00A30BAC">
        <w:rPr>
          <w:rFonts w:ascii="Palatino Linotype" w:hAnsi="Palatino Linotype" w:cs="Arial"/>
          <w:color w:val="000000" w:themeColor="text1"/>
          <w:szCs w:val="23"/>
        </w:rPr>
        <w:t xml:space="preserve">la respuesta </w:t>
      </w:r>
      <w:r w:rsidR="004B0EB6" w:rsidRPr="00A30BAC">
        <w:rPr>
          <w:rFonts w:ascii="Palatino Linotype" w:hAnsi="Palatino Linotype" w:cs="Arial"/>
          <w:color w:val="000000" w:themeColor="text1"/>
          <w:szCs w:val="23"/>
        </w:rPr>
        <w:t>del</w:t>
      </w:r>
      <w:r w:rsidR="002C6561" w:rsidRPr="00A30BAC">
        <w:rPr>
          <w:rFonts w:ascii="Palatino Linotype" w:hAnsi="Palatino Linotype" w:cs="Arial"/>
          <w:color w:val="000000" w:themeColor="text1"/>
          <w:szCs w:val="23"/>
        </w:rPr>
        <w:t xml:space="preserve"> </w:t>
      </w:r>
      <w:r w:rsidR="002C6561" w:rsidRPr="00A30BAC">
        <w:rPr>
          <w:rFonts w:ascii="Palatino Linotype" w:hAnsi="Palatino Linotype" w:cs="Arial"/>
          <w:b/>
          <w:bCs/>
          <w:color w:val="000000" w:themeColor="text1"/>
          <w:szCs w:val="23"/>
        </w:rPr>
        <w:t>SUJETO OBLIGADO</w:t>
      </w:r>
      <w:r w:rsidR="002C6561" w:rsidRPr="00A30BAC">
        <w:rPr>
          <w:rFonts w:ascii="Palatino Linotype" w:hAnsi="Palatino Linotype" w:cs="Arial"/>
          <w:color w:val="000000" w:themeColor="text1"/>
          <w:szCs w:val="23"/>
        </w:rPr>
        <w:t xml:space="preserve"> </w:t>
      </w:r>
      <w:r w:rsidR="004B0EB6" w:rsidRPr="00A30BAC">
        <w:rPr>
          <w:rFonts w:ascii="Palatino Linotype" w:hAnsi="Palatino Linotype" w:cs="Arial"/>
          <w:color w:val="000000" w:themeColor="text1"/>
          <w:szCs w:val="23"/>
        </w:rPr>
        <w:t xml:space="preserve">colma el derecho de acceso a la información ejercido por </w:t>
      </w:r>
      <w:r w:rsidR="00EB0909" w:rsidRPr="00A30BAC">
        <w:rPr>
          <w:rFonts w:ascii="Palatino Linotype" w:hAnsi="Palatino Linotype" w:cs="Arial"/>
          <w:color w:val="000000" w:themeColor="text1"/>
          <w:szCs w:val="23"/>
        </w:rPr>
        <w:t>el</w:t>
      </w:r>
      <w:r w:rsidR="004B0EB6" w:rsidRPr="00A30BAC">
        <w:rPr>
          <w:rFonts w:ascii="Palatino Linotype" w:hAnsi="Palatino Linotype" w:cs="Arial"/>
          <w:color w:val="000000" w:themeColor="text1"/>
          <w:szCs w:val="23"/>
        </w:rPr>
        <w:t xml:space="preserve"> </w:t>
      </w:r>
      <w:r w:rsidR="004B0EB6" w:rsidRPr="00A30BAC">
        <w:rPr>
          <w:rFonts w:ascii="Palatino Linotype" w:hAnsi="Palatino Linotype" w:cs="Arial"/>
          <w:b/>
          <w:bCs/>
          <w:color w:val="000000" w:themeColor="text1"/>
          <w:szCs w:val="23"/>
        </w:rPr>
        <w:t>RECURRENTE</w:t>
      </w:r>
      <w:r w:rsidR="002C6561" w:rsidRPr="00A30BAC">
        <w:rPr>
          <w:rFonts w:ascii="Palatino Linotype" w:hAnsi="Palatino Linotype" w:cs="Arial"/>
          <w:color w:val="000000" w:themeColor="text1"/>
          <w:szCs w:val="23"/>
        </w:rPr>
        <w:t>; o</w:t>
      </w:r>
      <w:r w:rsidR="00F2227E" w:rsidRPr="00A30BAC">
        <w:rPr>
          <w:rFonts w:ascii="Palatino Linotype" w:hAnsi="Palatino Linotype" w:cs="Arial"/>
          <w:color w:val="000000" w:themeColor="text1"/>
          <w:szCs w:val="23"/>
        </w:rPr>
        <w:t>,</w:t>
      </w:r>
      <w:r w:rsidR="002C6561" w:rsidRPr="00A30BAC">
        <w:rPr>
          <w:rFonts w:ascii="Palatino Linotype" w:hAnsi="Palatino Linotype" w:cs="Arial"/>
          <w:color w:val="000000" w:themeColor="text1"/>
          <w:szCs w:val="23"/>
        </w:rPr>
        <w:t xml:space="preserve"> si por el contrario, se</w:t>
      </w:r>
      <w:r w:rsidR="00E32652" w:rsidRPr="00A30BAC">
        <w:rPr>
          <w:rFonts w:ascii="Palatino Linotype" w:hAnsi="Palatino Linotype" w:cs="Arial"/>
          <w:color w:val="000000" w:themeColor="text1"/>
          <w:szCs w:val="23"/>
        </w:rPr>
        <w:t xml:space="preserve"> </w:t>
      </w:r>
      <w:r w:rsidR="0028248C" w:rsidRPr="00A30BAC">
        <w:rPr>
          <w:rFonts w:ascii="Palatino Linotype" w:hAnsi="Palatino Linotype"/>
          <w:color w:val="000000" w:themeColor="text1"/>
        </w:rPr>
        <w:t>actualiza</w:t>
      </w:r>
      <w:r w:rsidR="00C51671" w:rsidRPr="00A30BAC">
        <w:rPr>
          <w:rFonts w:ascii="Palatino Linotype" w:hAnsi="Palatino Linotype"/>
          <w:color w:val="000000" w:themeColor="text1"/>
        </w:rPr>
        <w:t>n</w:t>
      </w:r>
      <w:r w:rsidR="0028248C" w:rsidRPr="00A30BAC">
        <w:rPr>
          <w:rFonts w:ascii="Palatino Linotype" w:hAnsi="Palatino Linotype"/>
          <w:color w:val="000000" w:themeColor="text1"/>
        </w:rPr>
        <w:t xml:space="preserve"> la</w:t>
      </w:r>
      <w:r w:rsidR="00C51671" w:rsidRPr="00A30BAC">
        <w:rPr>
          <w:rFonts w:ascii="Palatino Linotype" w:hAnsi="Palatino Linotype"/>
          <w:color w:val="000000" w:themeColor="text1"/>
        </w:rPr>
        <w:t>s</w:t>
      </w:r>
      <w:r w:rsidR="0028248C" w:rsidRPr="00A30BAC">
        <w:rPr>
          <w:rFonts w:ascii="Palatino Linotype" w:hAnsi="Palatino Linotype"/>
          <w:color w:val="000000" w:themeColor="text1"/>
        </w:rPr>
        <w:t xml:space="preserve"> causal</w:t>
      </w:r>
      <w:r w:rsidR="00C51671" w:rsidRPr="00A30BAC">
        <w:rPr>
          <w:rFonts w:ascii="Palatino Linotype" w:hAnsi="Palatino Linotype"/>
          <w:color w:val="000000" w:themeColor="text1"/>
        </w:rPr>
        <w:t>es</w:t>
      </w:r>
      <w:r w:rsidR="0028248C" w:rsidRPr="00A30BAC">
        <w:rPr>
          <w:rFonts w:ascii="Palatino Linotype" w:hAnsi="Palatino Linotype"/>
          <w:color w:val="000000" w:themeColor="text1"/>
        </w:rPr>
        <w:t xml:space="preserve"> de procedencia</w:t>
      </w:r>
      <w:r w:rsidR="00E66A80" w:rsidRPr="00A30BAC">
        <w:rPr>
          <w:rFonts w:ascii="Palatino Linotype" w:hAnsi="Palatino Linotype" w:cs="Arial"/>
          <w:color w:val="000000" w:themeColor="text1"/>
          <w:szCs w:val="23"/>
        </w:rPr>
        <w:t xml:space="preserve"> del recurso de revisión establecida</w:t>
      </w:r>
      <w:r w:rsidR="00C51671" w:rsidRPr="00A30BAC">
        <w:rPr>
          <w:rFonts w:ascii="Palatino Linotype" w:hAnsi="Palatino Linotype" w:cs="Arial"/>
          <w:color w:val="000000" w:themeColor="text1"/>
          <w:szCs w:val="23"/>
        </w:rPr>
        <w:t>s</w:t>
      </w:r>
      <w:r w:rsidR="00E66A80" w:rsidRPr="00A30BAC">
        <w:rPr>
          <w:rFonts w:ascii="Palatino Linotype" w:hAnsi="Palatino Linotype" w:cs="Arial"/>
          <w:color w:val="000000" w:themeColor="text1"/>
          <w:szCs w:val="23"/>
        </w:rPr>
        <w:t xml:space="preserve"> en el artículo 179 </w:t>
      </w:r>
      <w:r w:rsidR="00C51671" w:rsidRPr="00A30BAC">
        <w:rPr>
          <w:rFonts w:ascii="Palatino Linotype" w:hAnsi="Palatino Linotype" w:cs="Arial"/>
          <w:color w:val="000000" w:themeColor="text1"/>
          <w:szCs w:val="23"/>
        </w:rPr>
        <w:t>fracciones</w:t>
      </w:r>
      <w:r w:rsidR="00E66A80" w:rsidRPr="00A30BAC">
        <w:rPr>
          <w:rFonts w:ascii="Palatino Linotype" w:hAnsi="Palatino Linotype" w:cs="Arial"/>
          <w:color w:val="000000" w:themeColor="text1"/>
          <w:szCs w:val="23"/>
        </w:rPr>
        <w:t xml:space="preserve"> </w:t>
      </w:r>
      <w:r w:rsidR="002C6561" w:rsidRPr="00A30BAC">
        <w:rPr>
          <w:rFonts w:ascii="Palatino Linotype" w:hAnsi="Palatino Linotype" w:cs="Arial"/>
          <w:color w:val="000000" w:themeColor="text1"/>
          <w:szCs w:val="23"/>
        </w:rPr>
        <w:t>I</w:t>
      </w:r>
      <w:r w:rsidR="00EB0909" w:rsidRPr="00A30BAC">
        <w:rPr>
          <w:rFonts w:ascii="Palatino Linotype" w:hAnsi="Palatino Linotype" w:cs="Arial"/>
          <w:color w:val="000000" w:themeColor="text1"/>
          <w:szCs w:val="23"/>
        </w:rPr>
        <w:t xml:space="preserve">, IV, V, XI y/o XII </w:t>
      </w:r>
      <w:r w:rsidR="00E66A80" w:rsidRPr="00A30BAC">
        <w:rPr>
          <w:rFonts w:ascii="Palatino Linotype" w:hAnsi="Palatino Linotype" w:cs="Arial"/>
          <w:color w:val="000000" w:themeColor="text1"/>
          <w:szCs w:val="23"/>
        </w:rPr>
        <w:t xml:space="preserve">de la Ley de Transparencia y Acceso a la Información Pública del Estado de México y Municipios, </w:t>
      </w:r>
      <w:r w:rsidR="00C51671" w:rsidRPr="00A30BAC">
        <w:rPr>
          <w:rFonts w:ascii="Palatino Linotype" w:hAnsi="Palatino Linotype" w:cs="Arial"/>
          <w:color w:val="000000" w:themeColor="text1"/>
          <w:szCs w:val="23"/>
        </w:rPr>
        <w:t xml:space="preserve">y </w:t>
      </w:r>
      <w:r w:rsidR="00E66A80" w:rsidRPr="00A30BAC">
        <w:rPr>
          <w:rFonts w:ascii="Palatino Linotype" w:hAnsi="Palatino Linotype" w:cs="Arial"/>
          <w:color w:val="000000" w:themeColor="text1"/>
          <w:szCs w:val="23"/>
        </w:rPr>
        <w:t>que se transcribe</w:t>
      </w:r>
      <w:r w:rsidR="00C51671" w:rsidRPr="00A30BAC">
        <w:rPr>
          <w:rFonts w:ascii="Palatino Linotype" w:hAnsi="Palatino Linotype" w:cs="Arial"/>
          <w:color w:val="000000" w:themeColor="text1"/>
          <w:szCs w:val="23"/>
        </w:rPr>
        <w:t>n</w:t>
      </w:r>
      <w:r w:rsidR="00E66A80" w:rsidRPr="00A30BAC">
        <w:rPr>
          <w:rFonts w:ascii="Palatino Linotype" w:hAnsi="Palatino Linotype" w:cs="Arial"/>
          <w:color w:val="000000" w:themeColor="text1"/>
          <w:szCs w:val="23"/>
        </w:rPr>
        <w:t xml:space="preserve"> a continuación:</w:t>
      </w:r>
    </w:p>
    <w:p w14:paraId="74369366" w14:textId="77777777" w:rsidR="00B8600A" w:rsidRPr="00A30BAC"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30BAC" w:rsidRDefault="00E66A80" w:rsidP="00A339DE">
      <w:pPr>
        <w:pStyle w:val="Sinespaciado"/>
        <w:tabs>
          <w:tab w:val="left" w:pos="426"/>
        </w:tabs>
        <w:ind w:left="851" w:right="567"/>
        <w:jc w:val="both"/>
        <w:rPr>
          <w:rFonts w:ascii="Palatino Linotype" w:hAnsi="Palatino Linotype"/>
          <w:i/>
          <w:color w:val="000000" w:themeColor="text1"/>
          <w:sz w:val="22"/>
        </w:rPr>
      </w:pPr>
      <w:r w:rsidRPr="00A30BAC">
        <w:rPr>
          <w:rFonts w:ascii="Palatino Linotype" w:hAnsi="Palatino Linotype"/>
          <w:i/>
          <w:color w:val="000000" w:themeColor="text1"/>
          <w:sz w:val="22"/>
        </w:rPr>
        <w:t>“</w:t>
      </w:r>
      <w:r w:rsidRPr="00A30BAC">
        <w:rPr>
          <w:rFonts w:ascii="Palatino Linotype" w:hAnsi="Palatino Linotype"/>
          <w:b/>
          <w:i/>
          <w:color w:val="000000" w:themeColor="text1"/>
          <w:sz w:val="22"/>
        </w:rPr>
        <w:t>Artículo 179.</w:t>
      </w:r>
      <w:r w:rsidRPr="00A30BAC">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A30BAC" w:rsidRDefault="00515DEC" w:rsidP="00A339DE">
      <w:pPr>
        <w:pStyle w:val="Sinespaciado"/>
        <w:tabs>
          <w:tab w:val="left" w:pos="426"/>
        </w:tabs>
        <w:ind w:left="851" w:right="567"/>
        <w:jc w:val="both"/>
        <w:rPr>
          <w:rFonts w:ascii="Palatino Linotype" w:hAnsi="Palatino Linotype"/>
          <w:i/>
          <w:color w:val="000000" w:themeColor="text1"/>
          <w:sz w:val="22"/>
        </w:rPr>
      </w:pPr>
      <w:r w:rsidRPr="00A30BAC">
        <w:rPr>
          <w:rFonts w:ascii="Palatino Linotype" w:hAnsi="Palatino Linotype"/>
          <w:i/>
          <w:color w:val="000000" w:themeColor="text1"/>
          <w:sz w:val="22"/>
        </w:rPr>
        <w:t>(…)</w:t>
      </w:r>
    </w:p>
    <w:p w14:paraId="42FB990E" w14:textId="520D06BD" w:rsidR="00457FBC" w:rsidRPr="00A30BAC" w:rsidRDefault="00457FBC" w:rsidP="00A339DE">
      <w:pPr>
        <w:pStyle w:val="Sinespaciado"/>
        <w:tabs>
          <w:tab w:val="left" w:pos="426"/>
        </w:tabs>
        <w:ind w:left="851" w:right="567"/>
        <w:jc w:val="both"/>
        <w:rPr>
          <w:rFonts w:ascii="Palatino Linotype" w:hAnsi="Palatino Linotype"/>
          <w:b/>
          <w:bCs/>
          <w:i/>
          <w:color w:val="000000" w:themeColor="text1"/>
          <w:sz w:val="22"/>
          <w:lang w:val="es-MX"/>
        </w:rPr>
      </w:pPr>
      <w:r w:rsidRPr="00A30BAC">
        <w:rPr>
          <w:rFonts w:ascii="Palatino Linotype" w:hAnsi="Palatino Linotype"/>
          <w:b/>
          <w:bCs/>
          <w:i/>
          <w:color w:val="000000" w:themeColor="text1"/>
          <w:sz w:val="22"/>
          <w:lang w:val="es-MX"/>
        </w:rPr>
        <w:t xml:space="preserve">III. </w:t>
      </w:r>
      <w:r w:rsidRPr="00A30BAC">
        <w:rPr>
          <w:rFonts w:ascii="Palatino Linotype" w:hAnsi="Palatino Linotype"/>
          <w:i/>
          <w:color w:val="000000" w:themeColor="text1"/>
          <w:sz w:val="22"/>
          <w:lang w:val="es-MX"/>
        </w:rPr>
        <w:t>La declaración de inexistencia de la información;</w:t>
      </w:r>
    </w:p>
    <w:p w14:paraId="776325E0" w14:textId="06AB5D49" w:rsidR="00EB0909" w:rsidRPr="00A30BAC" w:rsidRDefault="00EB0909" w:rsidP="00A339DE">
      <w:pPr>
        <w:pStyle w:val="Sinespaciado"/>
        <w:tabs>
          <w:tab w:val="left" w:pos="426"/>
        </w:tabs>
        <w:ind w:left="851" w:right="567"/>
        <w:jc w:val="both"/>
        <w:rPr>
          <w:rFonts w:ascii="Palatino Linotype" w:hAnsi="Palatino Linotype"/>
          <w:bCs/>
          <w:i/>
          <w:color w:val="000000" w:themeColor="text1"/>
          <w:sz w:val="22"/>
          <w:lang w:val="es-MX"/>
        </w:rPr>
      </w:pPr>
      <w:r w:rsidRPr="00A30BAC">
        <w:rPr>
          <w:rFonts w:ascii="Palatino Linotype" w:hAnsi="Palatino Linotype"/>
          <w:b/>
          <w:bCs/>
          <w:i/>
          <w:color w:val="000000" w:themeColor="text1"/>
          <w:sz w:val="22"/>
          <w:lang w:val="es-MX"/>
        </w:rPr>
        <w:t xml:space="preserve">IV. </w:t>
      </w:r>
      <w:r w:rsidRPr="00A30BAC">
        <w:rPr>
          <w:rFonts w:ascii="Palatino Linotype" w:hAnsi="Palatino Linotype"/>
          <w:bCs/>
          <w:i/>
          <w:color w:val="000000" w:themeColor="text1"/>
          <w:sz w:val="22"/>
          <w:lang w:val="es-MX"/>
        </w:rPr>
        <w:t xml:space="preserve">La declaración de incompetencia por el sujeto obligado; </w:t>
      </w:r>
    </w:p>
    <w:p w14:paraId="77266041" w14:textId="6E875F78" w:rsidR="00457FBC" w:rsidRPr="00A30BAC" w:rsidRDefault="00457FBC" w:rsidP="00A339DE">
      <w:pPr>
        <w:pStyle w:val="Sinespaciado"/>
        <w:tabs>
          <w:tab w:val="left" w:pos="426"/>
        </w:tabs>
        <w:ind w:left="851" w:right="567"/>
        <w:jc w:val="both"/>
        <w:rPr>
          <w:rFonts w:ascii="Palatino Linotype" w:hAnsi="Palatino Linotype"/>
          <w:bCs/>
          <w:i/>
          <w:color w:val="000000" w:themeColor="text1"/>
          <w:sz w:val="22"/>
          <w:lang w:val="es-MX"/>
        </w:rPr>
      </w:pPr>
      <w:r w:rsidRPr="00A30BAC">
        <w:rPr>
          <w:rFonts w:ascii="Palatino Linotype" w:hAnsi="Palatino Linotype"/>
          <w:b/>
          <w:i/>
          <w:color w:val="000000" w:themeColor="text1"/>
          <w:sz w:val="22"/>
          <w:lang w:val="es-MX"/>
        </w:rPr>
        <w:t>V.</w:t>
      </w:r>
      <w:r w:rsidRPr="00A30BAC">
        <w:rPr>
          <w:rFonts w:ascii="Palatino Linotype" w:hAnsi="Palatino Linotype"/>
          <w:bCs/>
          <w:i/>
          <w:color w:val="000000" w:themeColor="text1"/>
          <w:sz w:val="22"/>
          <w:lang w:val="es-MX"/>
        </w:rPr>
        <w:t xml:space="preserve"> La entrega de información incompleta;</w:t>
      </w:r>
    </w:p>
    <w:p w14:paraId="7F58B725" w14:textId="5A6662FF" w:rsidR="00EB0909" w:rsidRPr="00A30BAC" w:rsidRDefault="008F7752" w:rsidP="00A339DE">
      <w:pPr>
        <w:pStyle w:val="Sinespaciado"/>
        <w:tabs>
          <w:tab w:val="left" w:pos="426"/>
        </w:tabs>
        <w:ind w:left="851" w:right="567"/>
        <w:jc w:val="both"/>
        <w:rPr>
          <w:rFonts w:ascii="Palatino Linotype" w:hAnsi="Palatino Linotype"/>
          <w:i/>
          <w:color w:val="000000" w:themeColor="text1"/>
          <w:sz w:val="22"/>
        </w:rPr>
      </w:pPr>
      <w:r w:rsidRPr="00A30BAC">
        <w:rPr>
          <w:rFonts w:ascii="Palatino Linotype" w:hAnsi="Palatino Linotype"/>
          <w:i/>
          <w:color w:val="000000" w:themeColor="text1"/>
          <w:sz w:val="22"/>
        </w:rPr>
        <w:lastRenderedPageBreak/>
        <w:t>(…)</w:t>
      </w:r>
    </w:p>
    <w:p w14:paraId="24F0B9C3" w14:textId="3484A94D" w:rsidR="00457FBC" w:rsidRPr="00A30BAC" w:rsidRDefault="00457FBC" w:rsidP="00A339DE">
      <w:pPr>
        <w:pStyle w:val="Sinespaciado"/>
        <w:tabs>
          <w:tab w:val="left" w:pos="426"/>
        </w:tabs>
        <w:ind w:left="851" w:right="567"/>
        <w:jc w:val="both"/>
        <w:rPr>
          <w:rFonts w:ascii="Palatino Linotype" w:hAnsi="Palatino Linotype"/>
          <w:i/>
          <w:color w:val="000000" w:themeColor="text1"/>
          <w:sz w:val="22"/>
        </w:rPr>
      </w:pPr>
      <w:r w:rsidRPr="00A30BAC">
        <w:rPr>
          <w:rFonts w:ascii="Palatino Linotype" w:hAnsi="Palatino Linotype"/>
          <w:b/>
          <w:bCs/>
          <w:i/>
          <w:color w:val="000000" w:themeColor="text1"/>
          <w:sz w:val="22"/>
        </w:rPr>
        <w:t>X.</w:t>
      </w:r>
      <w:r w:rsidRPr="00A30BAC">
        <w:rPr>
          <w:rFonts w:ascii="Palatino Linotype" w:hAnsi="Palatino Linotype"/>
          <w:i/>
          <w:color w:val="000000" w:themeColor="text1"/>
          <w:sz w:val="22"/>
        </w:rPr>
        <w:t xml:space="preserve"> Los costos o tiempos de entrega de la información;</w:t>
      </w:r>
    </w:p>
    <w:p w14:paraId="35180D60" w14:textId="56ABE6F7" w:rsidR="00EB0909" w:rsidRPr="00A30BAC" w:rsidRDefault="00EB0909" w:rsidP="00A339DE">
      <w:pPr>
        <w:pStyle w:val="Sinespaciado"/>
        <w:tabs>
          <w:tab w:val="left" w:pos="426"/>
        </w:tabs>
        <w:ind w:left="851" w:right="567"/>
        <w:jc w:val="both"/>
        <w:rPr>
          <w:rFonts w:ascii="Palatino Linotype" w:hAnsi="Palatino Linotype"/>
          <w:i/>
          <w:color w:val="000000" w:themeColor="text1"/>
          <w:sz w:val="22"/>
          <w:lang w:val="es-MX"/>
        </w:rPr>
      </w:pPr>
      <w:r w:rsidRPr="00A30BAC">
        <w:rPr>
          <w:rFonts w:ascii="Palatino Linotype" w:hAnsi="Palatino Linotype"/>
          <w:b/>
          <w:i/>
          <w:color w:val="000000" w:themeColor="text1"/>
          <w:sz w:val="22"/>
          <w:lang w:val="es-MX"/>
        </w:rPr>
        <w:t>XI.</w:t>
      </w:r>
      <w:r w:rsidRPr="00A30BAC">
        <w:rPr>
          <w:rFonts w:ascii="Palatino Linotype" w:hAnsi="Palatino Linotype"/>
          <w:i/>
          <w:color w:val="000000" w:themeColor="text1"/>
          <w:sz w:val="22"/>
          <w:lang w:val="es-MX"/>
        </w:rPr>
        <w:t xml:space="preserve"> La falta de trámite a una solicitud;</w:t>
      </w:r>
    </w:p>
    <w:p w14:paraId="343E712C" w14:textId="76C5DBC9" w:rsidR="00EB0909" w:rsidRPr="00A30BAC" w:rsidRDefault="00EB0909" w:rsidP="00A339DE">
      <w:pPr>
        <w:pStyle w:val="Sinespaciado"/>
        <w:tabs>
          <w:tab w:val="left" w:pos="426"/>
        </w:tabs>
        <w:ind w:left="851" w:right="567"/>
        <w:jc w:val="both"/>
        <w:rPr>
          <w:rFonts w:ascii="Palatino Linotype" w:hAnsi="Palatino Linotype"/>
          <w:i/>
          <w:color w:val="000000" w:themeColor="text1"/>
          <w:sz w:val="22"/>
        </w:rPr>
      </w:pPr>
      <w:r w:rsidRPr="00A30BAC">
        <w:rPr>
          <w:rFonts w:ascii="Palatino Linotype" w:hAnsi="Palatino Linotype"/>
          <w:b/>
          <w:i/>
          <w:color w:val="000000" w:themeColor="text1"/>
          <w:sz w:val="22"/>
          <w:lang w:val="es-MX"/>
        </w:rPr>
        <w:t>XII.</w:t>
      </w:r>
      <w:r w:rsidRPr="00A30BAC">
        <w:rPr>
          <w:rFonts w:ascii="Palatino Linotype" w:hAnsi="Palatino Linotype"/>
          <w:i/>
          <w:color w:val="000000" w:themeColor="text1"/>
          <w:sz w:val="22"/>
          <w:lang w:val="es-MX"/>
        </w:rPr>
        <w:t xml:space="preserve"> La negativa a permitir la consulta directa de la información;</w:t>
      </w:r>
    </w:p>
    <w:p w14:paraId="1C5AB6B5" w14:textId="1C2D9728" w:rsidR="009F1566" w:rsidRPr="00A30BAC" w:rsidRDefault="00EB0909" w:rsidP="00A339DE">
      <w:pPr>
        <w:pStyle w:val="Sinespaciado"/>
        <w:tabs>
          <w:tab w:val="left" w:pos="426"/>
        </w:tabs>
        <w:ind w:left="851" w:right="567"/>
        <w:jc w:val="both"/>
        <w:rPr>
          <w:rFonts w:ascii="Palatino Linotype" w:hAnsi="Palatino Linotype"/>
          <w:i/>
          <w:color w:val="000000" w:themeColor="text1"/>
          <w:sz w:val="22"/>
        </w:rPr>
      </w:pPr>
      <w:r w:rsidRPr="00A30BAC">
        <w:rPr>
          <w:rFonts w:ascii="Palatino Linotype" w:hAnsi="Palatino Linotype"/>
          <w:i/>
          <w:color w:val="000000" w:themeColor="text1"/>
          <w:sz w:val="22"/>
        </w:rPr>
        <w:t>(…)</w:t>
      </w:r>
      <w:r w:rsidR="00A073A0" w:rsidRPr="00A30BAC">
        <w:rPr>
          <w:rFonts w:ascii="Palatino Linotype" w:hAnsi="Palatino Linotype"/>
          <w:i/>
          <w:color w:val="000000" w:themeColor="text1"/>
          <w:sz w:val="22"/>
        </w:rPr>
        <w:t>”</w:t>
      </w:r>
    </w:p>
    <w:p w14:paraId="1C0C8EE2" w14:textId="77777777" w:rsidR="00036385" w:rsidRPr="00A30BAC"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A30BAC" w:rsidRDefault="00452169" w:rsidP="00F96156">
      <w:pPr>
        <w:pStyle w:val="Ttulo2"/>
        <w:tabs>
          <w:tab w:val="left" w:pos="426"/>
        </w:tabs>
        <w:rPr>
          <w:rFonts w:ascii="Palatino Linotype" w:hAnsi="Palatino Linotype" w:cs="Arial"/>
          <w:b/>
          <w:color w:val="000000" w:themeColor="text1"/>
          <w:sz w:val="24"/>
        </w:rPr>
      </w:pPr>
      <w:bookmarkStart w:id="17" w:name="_Toc96002404"/>
      <w:r w:rsidRPr="00A30BAC">
        <w:rPr>
          <w:rFonts w:ascii="Palatino Linotype" w:hAnsi="Palatino Linotype" w:cs="Arial"/>
          <w:b/>
          <w:color w:val="000000" w:themeColor="text1"/>
          <w:sz w:val="24"/>
        </w:rPr>
        <w:t>CUARTO</w:t>
      </w:r>
      <w:r w:rsidR="00EF014A" w:rsidRPr="00A30BAC">
        <w:rPr>
          <w:rFonts w:ascii="Palatino Linotype" w:hAnsi="Palatino Linotype" w:cs="Arial"/>
          <w:b/>
          <w:color w:val="000000" w:themeColor="text1"/>
          <w:sz w:val="24"/>
        </w:rPr>
        <w:t>. Estudio y Resolución del asunto.</w:t>
      </w:r>
      <w:bookmarkEnd w:id="17"/>
    </w:p>
    <w:p w14:paraId="556E27D2" w14:textId="6F8C8856" w:rsidR="00457FBC" w:rsidRPr="00A30BAC"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2"/>
      <w:bookmarkEnd w:id="13"/>
      <w:bookmarkEnd w:id="14"/>
      <w:bookmarkEnd w:id="15"/>
      <w:bookmarkEnd w:id="16"/>
      <w:r w:rsidRPr="00A30BAC">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A30BAC"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A30BAC"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Es menester precisar</w:t>
      </w:r>
      <w:r w:rsidRPr="00A30BAC">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30BAC">
        <w:rPr>
          <w:rFonts w:ascii="Palatino Linotype" w:hAnsi="Palatino Linotype"/>
          <w:b/>
          <w:bCs/>
          <w:color w:val="000000" w:themeColor="text1"/>
        </w:rPr>
        <w:t>SUJETO OBLIGADO</w:t>
      </w:r>
      <w:r w:rsidRPr="00A30BAC">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30BAC">
        <w:rPr>
          <w:rFonts w:ascii="Palatino Linotype" w:hAnsi="Palatino Linotype"/>
          <w:b/>
          <w:bCs/>
          <w:color w:val="000000" w:themeColor="text1"/>
        </w:rPr>
        <w:t>Constitución Política de los Estados Unidos Mexicanos</w:t>
      </w:r>
      <w:r w:rsidRPr="00A30BAC">
        <w:rPr>
          <w:rFonts w:ascii="Palatino Linotype" w:hAnsi="Palatino Linotype"/>
          <w:bCs/>
          <w:color w:val="000000" w:themeColor="text1"/>
        </w:rPr>
        <w:t>, tienen</w:t>
      </w:r>
      <w:r w:rsidRPr="00A30BAC">
        <w:rPr>
          <w:rFonts w:ascii="Palatino Linotype" w:hAnsi="Palatino Linotype"/>
          <w:b/>
          <w:bCs/>
          <w:color w:val="000000" w:themeColor="text1"/>
        </w:rPr>
        <w:t xml:space="preserve"> </w:t>
      </w:r>
      <w:r w:rsidRPr="00A30BAC">
        <w:rPr>
          <w:rFonts w:ascii="Palatino Linotype" w:hAnsi="Palatino Linotype"/>
          <w:bCs/>
          <w:color w:val="000000" w:themeColor="text1"/>
        </w:rPr>
        <w:t xml:space="preserve">la obligación de “promover, </w:t>
      </w:r>
      <w:r w:rsidRPr="00A30BAC">
        <w:rPr>
          <w:rFonts w:ascii="Palatino Linotype" w:hAnsi="Palatino Linotype"/>
          <w:b/>
          <w:bCs/>
          <w:color w:val="000000" w:themeColor="text1"/>
        </w:rPr>
        <w:t>respetar</w:t>
      </w:r>
      <w:r w:rsidRPr="00A30BAC">
        <w:rPr>
          <w:rFonts w:ascii="Palatino Linotype" w:hAnsi="Palatino Linotype"/>
          <w:bCs/>
          <w:color w:val="000000" w:themeColor="text1"/>
        </w:rPr>
        <w:t xml:space="preserve">, proteger y </w:t>
      </w:r>
      <w:r w:rsidRPr="00A30BAC">
        <w:rPr>
          <w:rFonts w:ascii="Palatino Linotype" w:hAnsi="Palatino Linotype"/>
          <w:b/>
          <w:bCs/>
          <w:color w:val="000000" w:themeColor="text1"/>
        </w:rPr>
        <w:t>garantizar</w:t>
      </w:r>
      <w:r w:rsidRPr="00A30BAC">
        <w:rPr>
          <w:rFonts w:ascii="Palatino Linotype" w:hAnsi="Palatino Linotype"/>
          <w:bCs/>
          <w:color w:val="000000" w:themeColor="text1"/>
        </w:rPr>
        <w:t xml:space="preserve"> los derechos humanos”, entre los cuales se encuentra dicho derecho.</w:t>
      </w:r>
    </w:p>
    <w:p w14:paraId="13491635" w14:textId="77777777" w:rsidR="00457FBC" w:rsidRPr="00A30BAC"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2BA74A83" w:rsidR="00457FBC" w:rsidRPr="00A30BAC"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975C4AF" w14:textId="77777777" w:rsidR="00457FBC" w:rsidRPr="00A30BAC"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 xml:space="preserve">Así las cosas, podemos definir el Derecho de Acceso a la Información Pública como: </w:t>
      </w:r>
      <w:r w:rsidRPr="00A30BAC">
        <w:rPr>
          <w:rFonts w:ascii="Palatino Linotype" w:hAnsi="Palatino Linotype"/>
          <w:i/>
          <w:color w:val="000000" w:themeColor="text1"/>
        </w:rPr>
        <w:t>La igualdad de oportunidades para recibir, buscar e impartir información</w:t>
      </w:r>
      <w:r w:rsidRPr="00A30BAC">
        <w:rPr>
          <w:rFonts w:ascii="Palatino Linotype" w:hAnsi="Palatino Linotype"/>
          <w:i/>
          <w:color w:val="000000" w:themeColor="text1"/>
          <w:vertAlign w:val="superscript"/>
        </w:rPr>
        <w:footnoteReference w:id="1"/>
      </w:r>
      <w:r w:rsidRPr="00A30BAC">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30BAC">
        <w:rPr>
          <w:rFonts w:ascii="Palatino Linotype" w:hAnsi="Palatino Linotype"/>
          <w:i/>
          <w:color w:val="000000" w:themeColor="text1"/>
          <w:vertAlign w:val="superscript"/>
        </w:rPr>
        <w:footnoteReference w:id="2"/>
      </w:r>
      <w:r w:rsidRPr="00A30BAC">
        <w:rPr>
          <w:rFonts w:ascii="Palatino Linotype" w:hAnsi="Palatino Linotype"/>
          <w:color w:val="000000" w:themeColor="text1"/>
        </w:rPr>
        <w:t>que se constituye como una herramienta fundamental para ejercer</w:t>
      </w:r>
      <w:r w:rsidRPr="00A30BAC">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A30BAC">
        <w:rPr>
          <w:rFonts w:ascii="Palatino Linotype" w:hAnsi="Palatino Linotype"/>
          <w:i/>
          <w:color w:val="000000" w:themeColor="text1"/>
          <w:vertAlign w:val="superscript"/>
        </w:rPr>
        <w:footnoteReference w:id="3"/>
      </w:r>
      <w:r w:rsidRPr="00A30BAC">
        <w:rPr>
          <w:rFonts w:ascii="Palatino Linotype" w:hAnsi="Palatino Linotype"/>
          <w:i/>
          <w:color w:val="000000" w:themeColor="text1"/>
        </w:rPr>
        <w:t xml:space="preserve"> </w:t>
      </w:r>
      <w:r w:rsidRPr="00A30BAC">
        <w:rPr>
          <w:rFonts w:ascii="Palatino Linotype" w:hAnsi="Palatino Linotype"/>
          <w:color w:val="000000" w:themeColor="text1"/>
        </w:rPr>
        <w:t>fomentando</w:t>
      </w:r>
      <w:r w:rsidRPr="00A30BAC">
        <w:rPr>
          <w:rFonts w:ascii="Palatino Linotype" w:hAnsi="Palatino Linotype"/>
          <w:i/>
          <w:color w:val="000000" w:themeColor="text1"/>
        </w:rPr>
        <w:t xml:space="preserve"> la transparencia de las actividades estatales y </w:t>
      </w:r>
      <w:r w:rsidRPr="00A30BAC">
        <w:rPr>
          <w:rFonts w:ascii="Palatino Linotype" w:hAnsi="Palatino Linotype"/>
          <w:color w:val="000000" w:themeColor="text1"/>
        </w:rPr>
        <w:t>promoviendo</w:t>
      </w:r>
      <w:r w:rsidRPr="00A30BAC">
        <w:rPr>
          <w:rFonts w:ascii="Palatino Linotype" w:hAnsi="Palatino Linotype"/>
          <w:i/>
          <w:color w:val="000000" w:themeColor="text1"/>
        </w:rPr>
        <w:t xml:space="preserve"> la responsabilidad de los funcionarios sobre su gestión pública,</w:t>
      </w:r>
      <w:r w:rsidRPr="00A30BAC">
        <w:rPr>
          <w:rFonts w:ascii="Palatino Linotype" w:hAnsi="Palatino Linotype"/>
          <w:i/>
          <w:color w:val="000000" w:themeColor="text1"/>
          <w:vertAlign w:val="superscript"/>
        </w:rPr>
        <w:footnoteReference w:id="4"/>
      </w:r>
      <w:r w:rsidRPr="00A30BAC">
        <w:rPr>
          <w:rFonts w:ascii="Palatino Linotype" w:hAnsi="Palatino Linotype"/>
          <w:color w:val="000000" w:themeColor="text1"/>
        </w:rPr>
        <w:t>que permite</w:t>
      </w:r>
      <w:r w:rsidRPr="00A30BAC">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A30BAC"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A30BAC"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Pr="00A30BAC">
        <w:rPr>
          <w:rFonts w:ascii="Palatino Linotype" w:hAnsi="Palatino Linotype"/>
          <w:color w:val="000000" w:themeColor="text1"/>
        </w:rPr>
        <w:lastRenderedPageBreak/>
        <w:t>determinar la posible afectación y, de ser el caso, ordenar la reparación a la violación del derecho en cuestión.</w:t>
      </w:r>
    </w:p>
    <w:p w14:paraId="32A99B49" w14:textId="77777777" w:rsidR="00EB0909" w:rsidRPr="00A30BAC"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2838494C" w:rsidR="00DA2D95" w:rsidRPr="00A30BAC"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0" w:name="_Toc96002406"/>
      <w:r w:rsidRPr="00A30BAC">
        <w:rPr>
          <w:rFonts w:ascii="Palatino Linotype" w:hAnsi="Palatino Linotype"/>
          <w:b/>
          <w:bCs/>
          <w:color w:val="000000" w:themeColor="text1"/>
        </w:rPr>
        <w:t>II</w:t>
      </w:r>
      <w:r w:rsidR="00DA2D95" w:rsidRPr="00A30BAC">
        <w:rPr>
          <w:rFonts w:ascii="Palatino Linotype" w:hAnsi="Palatino Linotype"/>
          <w:b/>
          <w:bCs/>
          <w:color w:val="000000" w:themeColor="text1"/>
        </w:rPr>
        <w:t xml:space="preserve">. De la </w:t>
      </w:r>
      <w:r w:rsidR="00294CC2" w:rsidRPr="00A30BAC">
        <w:rPr>
          <w:rFonts w:ascii="Palatino Linotype" w:hAnsi="Palatino Linotype"/>
          <w:b/>
          <w:bCs/>
          <w:color w:val="000000" w:themeColor="text1"/>
        </w:rPr>
        <w:t>atención a la solicitud de información</w:t>
      </w:r>
      <w:bookmarkEnd w:id="20"/>
      <w:r w:rsidR="00021913" w:rsidRPr="00A30BAC">
        <w:rPr>
          <w:rFonts w:ascii="Palatino Linotype" w:hAnsi="Palatino Linotype"/>
          <w:b/>
          <w:bCs/>
          <w:color w:val="000000" w:themeColor="text1"/>
        </w:rPr>
        <w:t>.</w:t>
      </w:r>
    </w:p>
    <w:p w14:paraId="1CF74961" w14:textId="77777777" w:rsidR="002226FB" w:rsidRPr="00A30BAC"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7FD068BF" w:rsidR="00C83EF5" w:rsidRPr="00A30BAC"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Una </w:t>
      </w:r>
      <w:r w:rsidR="00910076" w:rsidRPr="00A30BAC">
        <w:rPr>
          <w:rFonts w:ascii="Palatino Linotype" w:hAnsi="Palatino Linotype"/>
        </w:rPr>
        <w:t xml:space="preserve">vez expuesto lo anterior, de la lectura a la solicitud de información </w:t>
      </w:r>
      <w:r w:rsidR="00A66149" w:rsidRPr="00A30BAC">
        <w:rPr>
          <w:rFonts w:ascii="Palatino Linotype" w:hAnsi="Palatino Linotype"/>
          <w:b/>
          <w:bCs/>
        </w:rPr>
        <w:t>000</w:t>
      </w:r>
      <w:r w:rsidR="00A339DE" w:rsidRPr="00A30BAC">
        <w:rPr>
          <w:rFonts w:ascii="Palatino Linotype" w:hAnsi="Palatino Linotype"/>
          <w:b/>
          <w:bCs/>
        </w:rPr>
        <w:t>42</w:t>
      </w:r>
      <w:r w:rsidR="00A66149" w:rsidRPr="00A30BAC">
        <w:rPr>
          <w:rFonts w:ascii="Palatino Linotype" w:hAnsi="Palatino Linotype"/>
          <w:b/>
          <w:bCs/>
        </w:rPr>
        <w:t>/</w:t>
      </w:r>
      <w:r w:rsidR="00A339DE" w:rsidRPr="00A30BAC">
        <w:rPr>
          <w:rFonts w:ascii="Palatino Linotype" w:hAnsi="Palatino Linotype"/>
          <w:b/>
          <w:bCs/>
        </w:rPr>
        <w:t>VICARBO</w:t>
      </w:r>
      <w:r w:rsidR="00A66149" w:rsidRPr="00A30BAC">
        <w:rPr>
          <w:rFonts w:ascii="Palatino Linotype" w:hAnsi="Palatino Linotype"/>
          <w:b/>
          <w:bCs/>
        </w:rPr>
        <w:t>/IP/2022</w:t>
      </w:r>
      <w:r w:rsidR="00910076" w:rsidRPr="00A30BAC">
        <w:rPr>
          <w:rFonts w:ascii="Palatino Linotype" w:hAnsi="Palatino Linotype"/>
        </w:rPr>
        <w:t xml:space="preserve">, y como fuera señalado en el </w:t>
      </w:r>
      <w:r w:rsidR="00910076" w:rsidRPr="00A30BAC">
        <w:rPr>
          <w:rFonts w:ascii="Palatino Linotype" w:hAnsi="Palatino Linotype"/>
          <w:i/>
          <w:iCs/>
        </w:rPr>
        <w:t>Planteamiento de la Litis</w:t>
      </w:r>
      <w:r w:rsidR="00910076" w:rsidRPr="00A30BAC">
        <w:rPr>
          <w:rFonts w:ascii="Palatino Linotype" w:hAnsi="Palatino Linotype"/>
        </w:rPr>
        <w:t xml:space="preserve"> de esta resolución, se advierte que </w:t>
      </w:r>
      <w:r w:rsidRPr="00A30BAC">
        <w:rPr>
          <w:rFonts w:ascii="Palatino Linotype" w:hAnsi="Palatino Linotype"/>
        </w:rPr>
        <w:t>el</w:t>
      </w:r>
      <w:r w:rsidR="00910076" w:rsidRPr="00A30BAC">
        <w:rPr>
          <w:rFonts w:ascii="Palatino Linotype" w:hAnsi="Palatino Linotype"/>
        </w:rPr>
        <w:t xml:space="preserve"> particular requirió al </w:t>
      </w:r>
      <w:r w:rsidR="00A66149" w:rsidRPr="00A30BAC">
        <w:rPr>
          <w:rFonts w:ascii="Palatino Linotype" w:hAnsi="Palatino Linotype"/>
        </w:rPr>
        <w:t xml:space="preserve">Ayuntamiento de </w:t>
      </w:r>
      <w:r w:rsidR="00A156D0" w:rsidRPr="00A30BAC">
        <w:rPr>
          <w:rFonts w:ascii="Palatino Linotype" w:hAnsi="Palatino Linotype"/>
        </w:rPr>
        <w:t>Villa del Carbón</w:t>
      </w:r>
      <w:r w:rsidR="00910076" w:rsidRPr="00A30BAC">
        <w:rPr>
          <w:rFonts w:ascii="Palatino Linotype" w:hAnsi="Palatino Linotype"/>
        </w:rPr>
        <w:t xml:space="preserve"> </w:t>
      </w:r>
      <w:r w:rsidR="00C83EF5" w:rsidRPr="00A30BAC">
        <w:rPr>
          <w:rFonts w:ascii="Palatino Linotype" w:hAnsi="Palatino Linotype" w:cs="Arial"/>
          <w:color w:val="000000" w:themeColor="text1"/>
        </w:rPr>
        <w:t>acceder a la siguiente información:</w:t>
      </w:r>
    </w:p>
    <w:p w14:paraId="5016AEB3" w14:textId="77777777" w:rsidR="00AB2CAA" w:rsidRPr="00A30BAC"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6AC59CB0" w14:textId="77777777" w:rsidR="00EE7726" w:rsidRPr="00A30BAC"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cs="Arial"/>
          <w:color w:val="000000" w:themeColor="text1"/>
          <w:sz w:val="22"/>
          <w:szCs w:val="22"/>
        </w:rPr>
        <w:t xml:space="preserve">Opinión de cumplimiento proporcionada por el SAT, IMSS, INFONAVIT y SATEM; </w:t>
      </w:r>
    </w:p>
    <w:p w14:paraId="3803D9EF" w14:textId="77777777" w:rsidR="00EE7726" w:rsidRPr="00A30BAC"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cs="Arial"/>
          <w:color w:val="000000" w:themeColor="text1"/>
          <w:sz w:val="22"/>
          <w:szCs w:val="22"/>
        </w:rPr>
        <w:t xml:space="preserve">Reportes del aplicativo “Visor de nómina del SAT”, del dos mil dieciocho al dos mil veintiuno, en sus presentaciones ‘Vista anual acumulada’, ‘Detalle mensual’ y ‘Detalle diferencias sueldos y salarios’; </w:t>
      </w:r>
    </w:p>
    <w:p w14:paraId="06B2F6BF" w14:textId="77777777" w:rsidR="00EE7726" w:rsidRPr="00A30BAC"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cs="Arial"/>
          <w:color w:val="000000" w:themeColor="text1"/>
          <w:sz w:val="22"/>
          <w:szCs w:val="22"/>
        </w:rPr>
        <w:t xml:space="preserve">Constancias de situación fiscal de no adeudo emitida por el INFONAVIT, IMSS y SATEM; </w:t>
      </w:r>
    </w:p>
    <w:p w14:paraId="0F8F7B4B" w14:textId="41B4D66A" w:rsidR="00910076" w:rsidRPr="00A30BAC"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cs="Arial"/>
          <w:color w:val="000000" w:themeColor="text1"/>
          <w:sz w:val="22"/>
          <w:szCs w:val="22"/>
        </w:rPr>
        <w:t>Se entregue un documento donde se desarrolle diversa información relacionada con el pago del ISR.</w:t>
      </w:r>
    </w:p>
    <w:p w14:paraId="000E4D37" w14:textId="77777777" w:rsidR="00D524E2" w:rsidRPr="00A30BAC"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6B453D29" w14:textId="1260AA1A" w:rsidR="0041472A" w:rsidRPr="00A30BAC" w:rsidRDefault="00A82A2F" w:rsidP="000219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En</w:t>
      </w:r>
      <w:r w:rsidR="00D524E2" w:rsidRPr="00A30BAC">
        <w:rPr>
          <w:rFonts w:ascii="Palatino Linotype" w:hAnsi="Palatino Linotype"/>
          <w:color w:val="000000" w:themeColor="text1"/>
        </w:rPr>
        <w:t xml:space="preserve"> respuesta a la solicitud de información,</w:t>
      </w:r>
      <w:r w:rsidRPr="00A30BAC">
        <w:rPr>
          <w:rFonts w:ascii="Palatino Linotype" w:hAnsi="Palatino Linotype"/>
          <w:color w:val="000000" w:themeColor="text1"/>
        </w:rPr>
        <w:t xml:space="preserve"> </w:t>
      </w:r>
      <w:r w:rsidR="00EE7726" w:rsidRPr="00A30BAC">
        <w:rPr>
          <w:rFonts w:ascii="Palatino Linotype" w:hAnsi="Palatino Linotype"/>
          <w:color w:val="000000" w:themeColor="text1"/>
        </w:rPr>
        <w:t xml:space="preserve">el </w:t>
      </w:r>
      <w:r w:rsidR="00EE7726" w:rsidRPr="00A30BAC">
        <w:rPr>
          <w:rFonts w:ascii="Palatino Linotype" w:hAnsi="Palatino Linotype"/>
          <w:b/>
          <w:color w:val="000000" w:themeColor="text1"/>
        </w:rPr>
        <w:t>SUJETO OBLIGADO</w:t>
      </w:r>
      <w:r w:rsidR="00EE7726" w:rsidRPr="00A30BAC">
        <w:rPr>
          <w:rFonts w:ascii="Palatino Linotype" w:hAnsi="Palatino Linotype"/>
          <w:color w:val="000000" w:themeColor="text1"/>
        </w:rPr>
        <w:t xml:space="preserve"> entregó el </w:t>
      </w:r>
      <w:proofErr w:type="spellStart"/>
      <w:r w:rsidR="00A156D0" w:rsidRPr="00A30BAC">
        <w:rPr>
          <w:rFonts w:ascii="Palatino Linotype" w:hAnsi="Palatino Linotype" w:cs="Arial"/>
        </w:rPr>
        <w:t>el</w:t>
      </w:r>
      <w:proofErr w:type="spellEnd"/>
      <w:r w:rsidR="00A156D0" w:rsidRPr="00A30BAC">
        <w:rPr>
          <w:rFonts w:ascii="Palatino Linotype" w:hAnsi="Palatino Linotype" w:cs="Arial"/>
        </w:rPr>
        <w:t xml:space="preserve"> oficio UT/DGM/0002/2022, del treinta y uno (31) de enero de dos mil veintidós, emitido por la Titular de la Unidad de Transparencia; por medio del cual, </w:t>
      </w:r>
      <w:proofErr w:type="spellStart"/>
      <w:r w:rsidR="00A156D0" w:rsidRPr="00A30BAC">
        <w:rPr>
          <w:rFonts w:ascii="Palatino Linotype" w:hAnsi="Palatino Linotype" w:cs="Arial"/>
        </w:rPr>
        <w:t>refiró</w:t>
      </w:r>
      <w:proofErr w:type="spellEnd"/>
      <w:r w:rsidR="00A156D0" w:rsidRPr="00A30BAC">
        <w:rPr>
          <w:rFonts w:ascii="Palatino Linotype" w:hAnsi="Palatino Linotype" w:cs="Arial"/>
        </w:rPr>
        <w:t xml:space="preserve"> que la información requerida no es competencia del Ayuntamiento de Villa del Carbón, y orientó al entonces Solicitante a dirigir su solicitud a</w:t>
      </w:r>
      <w:r w:rsidR="0041472A" w:rsidRPr="00A30BAC">
        <w:rPr>
          <w:rFonts w:ascii="Palatino Linotype" w:hAnsi="Palatino Linotype" w:cs="Arial"/>
        </w:rPr>
        <w:t xml:space="preserve"> </w:t>
      </w:r>
      <w:r w:rsidR="00A156D0" w:rsidRPr="00A30BAC">
        <w:rPr>
          <w:rFonts w:ascii="Palatino Linotype" w:hAnsi="Palatino Linotype" w:cs="Arial"/>
        </w:rPr>
        <w:t>Servicio de Administración Tributaria (SAT)</w:t>
      </w:r>
      <w:r w:rsidR="0041472A" w:rsidRPr="00A30BAC">
        <w:rPr>
          <w:rFonts w:ascii="Palatino Linotype" w:hAnsi="Palatino Linotype" w:cs="Arial"/>
        </w:rPr>
        <w:t xml:space="preserve">, asimismo, </w:t>
      </w:r>
      <w:r w:rsidR="0041472A" w:rsidRPr="00A30BAC">
        <w:rPr>
          <w:rFonts w:ascii="Palatino Linotype" w:hAnsi="Palatino Linotype" w:cs="Arial"/>
          <w:bCs/>
          <w:color w:val="000000" w:themeColor="text1"/>
        </w:rPr>
        <w:t>informó que no generaba información relacionada con el pago de impuestos relacionados con el IMSS, INFONAVIT y SATEM; como a continuación se observa:</w:t>
      </w:r>
    </w:p>
    <w:p w14:paraId="7C1B3899" w14:textId="3B574543" w:rsidR="0041472A" w:rsidRPr="00A30BAC" w:rsidRDefault="0041472A"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1E08E299" w14:textId="3DA6DFAE" w:rsidR="0041472A" w:rsidRPr="00A30BAC" w:rsidRDefault="00A30BAC" w:rsidP="00EE7726">
      <w:pPr>
        <w:pStyle w:val="Prrafodelista"/>
        <w:tabs>
          <w:tab w:val="left" w:pos="426"/>
        </w:tabs>
        <w:spacing w:before="240" w:after="240" w:line="360" w:lineRule="auto"/>
        <w:ind w:left="0" w:right="51"/>
        <w:jc w:val="both"/>
        <w:rPr>
          <w:rFonts w:ascii="Palatino Linotype" w:hAnsi="Palatino Linotype"/>
          <w:color w:val="000000" w:themeColor="text1"/>
        </w:rPr>
      </w:pPr>
      <w:r w:rsidRPr="00A30BAC">
        <w:rPr>
          <w:noProof/>
          <w:lang w:eastAsia="es-MX"/>
        </w:rPr>
        <w:lastRenderedPageBreak/>
        <w:drawing>
          <wp:inline distT="0" distB="0" distL="0" distR="0" wp14:anchorId="10871E82" wp14:editId="7DDEE091">
            <wp:extent cx="6075470" cy="7389628"/>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202" t="20215" r="14335" b="11748"/>
                    <a:stretch/>
                  </pic:blipFill>
                  <pic:spPr bwMode="auto">
                    <a:xfrm>
                      <a:off x="0" y="0"/>
                      <a:ext cx="6094752" cy="7413081"/>
                    </a:xfrm>
                    <a:prstGeom prst="rect">
                      <a:avLst/>
                    </a:prstGeom>
                    <a:ln>
                      <a:noFill/>
                    </a:ln>
                    <a:extLst>
                      <a:ext uri="{53640926-AAD7-44D8-BBD7-CCE9431645EC}">
                        <a14:shadowObscured xmlns:a14="http://schemas.microsoft.com/office/drawing/2010/main"/>
                      </a:ext>
                    </a:extLst>
                  </pic:spPr>
                </pic:pic>
              </a:graphicData>
            </a:graphic>
          </wp:inline>
        </w:drawing>
      </w:r>
      <w:r w:rsidRPr="00A30BAC">
        <w:rPr>
          <w:rFonts w:ascii="Palatino Linotype" w:hAnsi="Palatino Linotype"/>
          <w:noProof/>
          <w:color w:val="000000" w:themeColor="text1"/>
          <w:lang w:eastAsia="es-MX"/>
        </w:rPr>
        <w:t xml:space="preserve"> </w:t>
      </w:r>
    </w:p>
    <w:p w14:paraId="48A1BFBE" w14:textId="64444885" w:rsidR="006B0170" w:rsidRPr="00A30BAC" w:rsidRDefault="0041472A" w:rsidP="00021913">
      <w:pPr>
        <w:pStyle w:val="Prrafodelista"/>
        <w:tabs>
          <w:tab w:val="left" w:pos="426"/>
        </w:tabs>
        <w:spacing w:before="240" w:after="240" w:line="360" w:lineRule="auto"/>
        <w:ind w:left="0" w:right="51"/>
        <w:rPr>
          <w:rFonts w:ascii="Palatino Linotype" w:hAnsi="Palatino Linotype"/>
          <w:color w:val="000000" w:themeColor="text1"/>
        </w:rPr>
      </w:pPr>
      <w:r w:rsidRPr="00A30BAC">
        <w:rPr>
          <w:rFonts w:ascii="Palatino Linotype" w:hAnsi="Palatino Linotype"/>
          <w:noProof/>
          <w:color w:val="000000" w:themeColor="text1"/>
          <w:lang w:eastAsia="es-MX"/>
        </w:rPr>
        <w:lastRenderedPageBreak/>
        <mc:AlternateContent>
          <mc:Choice Requires="wps">
            <w:drawing>
              <wp:anchor distT="0" distB="0" distL="114300" distR="114300" simplePos="0" relativeHeight="251659264" behindDoc="0" locked="0" layoutInCell="1" allowOverlap="1" wp14:anchorId="5B77D8AF" wp14:editId="788A0155">
                <wp:simplePos x="0" y="0"/>
                <wp:positionH relativeFrom="column">
                  <wp:posOffset>-209550</wp:posOffset>
                </wp:positionH>
                <wp:positionV relativeFrom="paragraph">
                  <wp:posOffset>1187628</wp:posOffset>
                </wp:positionV>
                <wp:extent cx="5998870" cy="731520"/>
                <wp:effectExtent l="50800" t="25400" r="59055" b="81280"/>
                <wp:wrapNone/>
                <wp:docPr id="102" name="Rectángulo 102"/>
                <wp:cNvGraphicFramePr/>
                <a:graphic xmlns:a="http://schemas.openxmlformats.org/drawingml/2006/main">
                  <a:graphicData uri="http://schemas.microsoft.com/office/word/2010/wordprocessingShape">
                    <wps:wsp>
                      <wps:cNvSpPr/>
                      <wps:spPr>
                        <a:xfrm>
                          <a:off x="0" y="0"/>
                          <a:ext cx="5998870" cy="73152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E496A2" id="Rectángulo 102" o:spid="_x0000_s1026" style="position:absolute;margin-left:-16.5pt;margin-top:93.5pt;width:472.35pt;height:57.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" filled="f" strokecolor="red">
                <v:shadow on="t" color="black" opacity="22937f" origin=",.5" offset="0,.63889mm"/>
              </v:rect>
            </w:pict>
          </mc:Fallback>
        </mc:AlternateContent>
      </w:r>
      <w:r w:rsidRPr="00A30BAC">
        <w:rPr>
          <w:rFonts w:ascii="Palatino Linotype" w:hAnsi="Palatino Linotype"/>
          <w:noProof/>
          <w:color w:val="000000" w:themeColor="text1"/>
          <w:lang w:eastAsia="es-MX"/>
        </w:rPr>
        <w:drawing>
          <wp:inline distT="0" distB="0" distL="0" distR="0" wp14:anchorId="46447016" wp14:editId="489B9F41">
            <wp:extent cx="5612130" cy="7854950"/>
            <wp:effectExtent l="12700" t="12700" r="13970" b="1905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pic:nvPicPr>
                  <pic:blipFill>
                    <a:blip r:embed="rId9"/>
                    <a:stretch>
                      <a:fillRect/>
                    </a:stretch>
                  </pic:blipFill>
                  <pic:spPr>
                    <a:xfrm>
                      <a:off x="0" y="0"/>
                      <a:ext cx="5612130" cy="7854950"/>
                    </a:xfrm>
                    <a:prstGeom prst="rect">
                      <a:avLst/>
                    </a:prstGeom>
                    <a:ln>
                      <a:solidFill>
                        <a:schemeClr val="tx1"/>
                      </a:solidFill>
                    </a:ln>
                  </pic:spPr>
                </pic:pic>
              </a:graphicData>
            </a:graphic>
          </wp:inline>
        </w:drawing>
      </w:r>
    </w:p>
    <w:p w14:paraId="65CF587E" w14:textId="234A836A" w:rsidR="00565210" w:rsidRPr="00A30BAC"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El</w:t>
      </w:r>
      <w:r w:rsidR="00565210" w:rsidRPr="00A30BAC">
        <w:rPr>
          <w:rFonts w:ascii="Palatino Linotype" w:hAnsi="Palatino Linotype"/>
          <w:color w:val="000000" w:themeColor="text1"/>
        </w:rPr>
        <w:t xml:space="preserve"> </w:t>
      </w:r>
      <w:r w:rsidR="00565210" w:rsidRPr="00A30BAC">
        <w:rPr>
          <w:rFonts w:ascii="Palatino Linotype" w:hAnsi="Palatino Linotype"/>
          <w:b/>
          <w:color w:val="000000" w:themeColor="text1"/>
        </w:rPr>
        <w:t>R</w:t>
      </w:r>
      <w:r w:rsidR="00730E96" w:rsidRPr="00A30BAC">
        <w:rPr>
          <w:rFonts w:ascii="Palatino Linotype" w:hAnsi="Palatino Linotype"/>
          <w:b/>
          <w:color w:val="000000" w:themeColor="text1"/>
        </w:rPr>
        <w:t>ecurrente</w:t>
      </w:r>
      <w:r w:rsidR="00565210" w:rsidRPr="00A30BAC">
        <w:rPr>
          <w:rFonts w:ascii="Palatino Linotype" w:hAnsi="Palatino Linotype"/>
          <w:color w:val="000000" w:themeColor="text1"/>
        </w:rPr>
        <w:t xml:space="preserve"> impugnó la respuesta del </w:t>
      </w:r>
      <w:r w:rsidR="00565210" w:rsidRPr="00A30BAC">
        <w:rPr>
          <w:rFonts w:ascii="Palatino Linotype" w:hAnsi="Palatino Linotype"/>
          <w:b/>
          <w:color w:val="000000" w:themeColor="text1"/>
        </w:rPr>
        <w:t>SUJETO OBLIGADO</w:t>
      </w:r>
      <w:r w:rsidR="00565210" w:rsidRPr="00A30BAC">
        <w:rPr>
          <w:rFonts w:ascii="Palatino Linotype" w:hAnsi="Palatino Linotype"/>
          <w:color w:val="000000" w:themeColor="text1"/>
        </w:rPr>
        <w:t xml:space="preserve"> mediante el recurso de revisión </w:t>
      </w:r>
      <w:r w:rsidR="00A66149" w:rsidRPr="00A30BAC">
        <w:rPr>
          <w:rFonts w:ascii="Palatino Linotype" w:hAnsi="Palatino Linotype"/>
          <w:b/>
          <w:color w:val="000000" w:themeColor="text1"/>
        </w:rPr>
        <w:t>005</w:t>
      </w:r>
      <w:r w:rsidR="00730E96" w:rsidRPr="00A30BAC">
        <w:rPr>
          <w:rFonts w:ascii="Palatino Linotype" w:hAnsi="Palatino Linotype"/>
          <w:b/>
          <w:color w:val="000000" w:themeColor="text1"/>
        </w:rPr>
        <w:t>23</w:t>
      </w:r>
      <w:r w:rsidR="00A66149" w:rsidRPr="00A30BAC">
        <w:rPr>
          <w:rFonts w:ascii="Palatino Linotype" w:hAnsi="Palatino Linotype"/>
          <w:b/>
          <w:color w:val="000000" w:themeColor="text1"/>
        </w:rPr>
        <w:t>/INFOEM/IP/RR/2022</w:t>
      </w:r>
      <w:r w:rsidRPr="00A30BAC">
        <w:rPr>
          <w:rFonts w:ascii="Palatino Linotype" w:hAnsi="Palatino Linotype"/>
          <w:color w:val="000000" w:themeColor="text1"/>
        </w:rPr>
        <w:t>, y en el que señaló por agravios</w:t>
      </w:r>
      <w:r w:rsidR="006B6ECB" w:rsidRPr="00A30BAC">
        <w:rPr>
          <w:rFonts w:ascii="Palatino Linotype" w:hAnsi="Palatino Linotype"/>
          <w:color w:val="000000" w:themeColor="text1"/>
        </w:rPr>
        <w:t xml:space="preserve">, </w:t>
      </w:r>
      <w:r w:rsidR="000117A3" w:rsidRPr="00A30BAC">
        <w:rPr>
          <w:rFonts w:ascii="Palatino Linotype" w:hAnsi="Palatino Linotype"/>
          <w:color w:val="000000" w:themeColor="text1"/>
        </w:rPr>
        <w:t>esencialmente</w:t>
      </w:r>
      <w:r w:rsidR="006B6ECB" w:rsidRPr="00A30BAC">
        <w:rPr>
          <w:rFonts w:ascii="Palatino Linotype" w:hAnsi="Palatino Linotype"/>
          <w:color w:val="000000" w:themeColor="text1"/>
        </w:rPr>
        <w:t>,</w:t>
      </w:r>
      <w:r w:rsidRPr="00A30BAC">
        <w:rPr>
          <w:rFonts w:ascii="Palatino Linotype" w:hAnsi="Palatino Linotype"/>
          <w:color w:val="000000" w:themeColor="text1"/>
        </w:rPr>
        <w:t xml:space="preserve"> lo siguiente:</w:t>
      </w:r>
    </w:p>
    <w:p w14:paraId="21F09762" w14:textId="77777777" w:rsidR="00AB2CAA" w:rsidRPr="00A30BAC" w:rsidRDefault="00AB2CAA" w:rsidP="00AB2CAA">
      <w:pPr>
        <w:pStyle w:val="Prrafodelista"/>
        <w:tabs>
          <w:tab w:val="left" w:pos="426"/>
        </w:tabs>
        <w:spacing w:before="240" w:after="240" w:line="360" w:lineRule="auto"/>
        <w:ind w:left="851" w:right="616" w:hanging="284"/>
        <w:jc w:val="both"/>
        <w:rPr>
          <w:rFonts w:ascii="Palatino Linotype" w:hAnsi="Palatino Linotype"/>
          <w:color w:val="000000" w:themeColor="text1"/>
        </w:rPr>
      </w:pPr>
    </w:p>
    <w:p w14:paraId="323548C8" w14:textId="7CA035AC" w:rsidR="006B0170" w:rsidRPr="00A30BAC" w:rsidRDefault="006B0170" w:rsidP="00AB2CAA">
      <w:pPr>
        <w:pStyle w:val="Prrafodelista"/>
        <w:numPr>
          <w:ilvl w:val="1"/>
          <w:numId w:val="1"/>
        </w:numPr>
        <w:tabs>
          <w:tab w:val="left" w:pos="426"/>
        </w:tabs>
        <w:spacing w:before="240" w:after="240"/>
        <w:ind w:left="851" w:right="616" w:hanging="284"/>
        <w:jc w:val="both"/>
        <w:rPr>
          <w:rFonts w:ascii="Palatino Linotype" w:hAnsi="Palatino Linotype"/>
          <w:color w:val="000000" w:themeColor="text1"/>
        </w:rPr>
      </w:pPr>
      <w:r w:rsidRPr="00A30BAC">
        <w:rPr>
          <w:rFonts w:ascii="Palatino Linotype" w:hAnsi="Palatino Linotype"/>
          <w:color w:val="000000" w:themeColor="text1"/>
        </w:rPr>
        <w:t xml:space="preserve">Que </w:t>
      </w:r>
      <w:r w:rsidRPr="00A30BAC">
        <w:rPr>
          <w:rFonts w:ascii="Palatino Linotype" w:hAnsi="Palatino Linotype" w:cs="Arial"/>
          <w:color w:val="000000" w:themeColor="text1"/>
        </w:rPr>
        <w:t xml:space="preserve">la respuesta del </w:t>
      </w:r>
      <w:r w:rsidRPr="00A30BAC">
        <w:rPr>
          <w:rFonts w:ascii="Palatino Linotype" w:hAnsi="Palatino Linotype" w:cs="Arial"/>
          <w:b/>
          <w:color w:val="000000" w:themeColor="text1"/>
        </w:rPr>
        <w:t>SUJETO OBLIGADO</w:t>
      </w:r>
      <w:r w:rsidRPr="00A30BAC">
        <w:rPr>
          <w:rFonts w:ascii="Palatino Linotype" w:hAnsi="Palatino Linotype" w:cs="Arial"/>
          <w:color w:val="000000" w:themeColor="text1"/>
        </w:rPr>
        <w:t xml:space="preserve"> actualizaba las causales de procedencia del recurso establecidas en el artículo 179, fracciones </w:t>
      </w:r>
      <w:r w:rsidR="006B6ECB" w:rsidRPr="00A30BAC">
        <w:rPr>
          <w:rFonts w:ascii="Palatino Linotype" w:hAnsi="Palatino Linotype" w:cs="Arial"/>
          <w:color w:val="000000" w:themeColor="text1"/>
        </w:rPr>
        <w:t>III, V, X</w:t>
      </w:r>
      <w:r w:rsidRPr="00A30BAC">
        <w:rPr>
          <w:rFonts w:ascii="Palatino Linotype" w:hAnsi="Palatino Linotype" w:cs="Arial"/>
          <w:color w:val="000000" w:themeColor="text1"/>
        </w:rPr>
        <w:t>, XI y XII, de la Ley de Transparencia y Acceso a la Información Pública del Estado de México y Municipios;</w:t>
      </w:r>
    </w:p>
    <w:p w14:paraId="29380238" w14:textId="77777777" w:rsidR="00730E96" w:rsidRPr="00A30BAC" w:rsidRDefault="00730E96" w:rsidP="00730E96">
      <w:pPr>
        <w:pStyle w:val="Prrafodelista"/>
        <w:tabs>
          <w:tab w:val="left" w:pos="426"/>
        </w:tabs>
        <w:spacing w:before="240" w:after="240"/>
        <w:ind w:left="851" w:right="616"/>
        <w:jc w:val="both"/>
        <w:rPr>
          <w:rFonts w:ascii="Palatino Linotype" w:hAnsi="Palatino Linotype"/>
          <w:color w:val="000000" w:themeColor="text1"/>
        </w:rPr>
      </w:pPr>
    </w:p>
    <w:p w14:paraId="2A60C2F9" w14:textId="1AFD1648" w:rsidR="006B0170" w:rsidRPr="00A30BAC" w:rsidRDefault="006B0170" w:rsidP="00AB2CAA">
      <w:pPr>
        <w:pStyle w:val="Prrafodelista"/>
        <w:numPr>
          <w:ilvl w:val="1"/>
          <w:numId w:val="1"/>
        </w:numPr>
        <w:tabs>
          <w:tab w:val="left" w:pos="426"/>
        </w:tabs>
        <w:spacing w:before="240" w:after="240"/>
        <w:ind w:left="851" w:right="616" w:hanging="284"/>
        <w:jc w:val="both"/>
        <w:rPr>
          <w:rFonts w:ascii="Palatino Linotype" w:hAnsi="Palatino Linotype"/>
          <w:color w:val="000000" w:themeColor="text1"/>
        </w:rPr>
      </w:pPr>
      <w:r w:rsidRPr="00A30BAC">
        <w:rPr>
          <w:rFonts w:ascii="Palatino Linotype" w:hAnsi="Palatino Linotype" w:cs="Arial"/>
          <w:color w:val="000000" w:themeColor="text1"/>
        </w:rPr>
        <w:t xml:space="preserve">Que </w:t>
      </w:r>
      <w:r w:rsidR="000117A3" w:rsidRPr="00A30BAC">
        <w:rPr>
          <w:rFonts w:ascii="Palatino Linotype" w:hAnsi="Palatino Linotype" w:cs="Arial"/>
          <w:color w:val="000000" w:themeColor="text1"/>
        </w:rPr>
        <w:t xml:space="preserve">el </w:t>
      </w:r>
      <w:r w:rsidR="000117A3" w:rsidRPr="00A30BAC">
        <w:rPr>
          <w:rFonts w:ascii="Palatino Linotype" w:hAnsi="Palatino Linotype" w:cs="Arial"/>
          <w:b/>
          <w:bCs/>
          <w:color w:val="000000" w:themeColor="text1"/>
        </w:rPr>
        <w:t>SUJETO OBLIGADO</w:t>
      </w:r>
      <w:r w:rsidR="000117A3" w:rsidRPr="00A30BAC">
        <w:rPr>
          <w:rFonts w:ascii="Palatino Linotype" w:hAnsi="Palatino Linotype" w:cs="Arial"/>
          <w:color w:val="000000" w:themeColor="text1"/>
        </w:rPr>
        <w:t xml:space="preserve"> sí es competente para poseer, generar y administrar la información de nómina solicitada, pues es su obligación entregarlos al Servicio de Administración Tributaria.</w:t>
      </w:r>
    </w:p>
    <w:p w14:paraId="0D9CAD52" w14:textId="77777777" w:rsidR="00AE0699" w:rsidRPr="00A30BAC"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6D77095B" w14:textId="52F22F2B" w:rsidR="00730E96" w:rsidRPr="00A30BAC" w:rsidRDefault="00D83B2A" w:rsidP="00730E9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Posteriormente, en vía de informe justificado, </w:t>
      </w:r>
      <w:r w:rsidR="000117A3" w:rsidRPr="00A30BAC">
        <w:rPr>
          <w:rFonts w:ascii="Palatino Linotype" w:hAnsi="Palatino Linotype"/>
          <w:color w:val="000000" w:themeColor="text1"/>
        </w:rPr>
        <w:t xml:space="preserve">mediante </w:t>
      </w:r>
      <w:r w:rsidR="00730E96" w:rsidRPr="00A30BAC">
        <w:rPr>
          <w:rFonts w:ascii="Palatino Linotype" w:hAnsi="Palatino Linotype"/>
          <w:color w:val="000000" w:themeColor="text1"/>
        </w:rPr>
        <w:t>un</w:t>
      </w:r>
      <w:r w:rsidR="000117A3" w:rsidRPr="00A30BAC">
        <w:rPr>
          <w:rFonts w:ascii="Palatino Linotype" w:hAnsi="Palatino Linotype"/>
          <w:color w:val="000000" w:themeColor="text1"/>
        </w:rPr>
        <w:t xml:space="preserve"> oficio</w:t>
      </w:r>
      <w:r w:rsidR="00730E96" w:rsidRPr="00A30BAC">
        <w:rPr>
          <w:rFonts w:ascii="Palatino Linotype" w:hAnsi="Palatino Linotype"/>
          <w:color w:val="000000" w:themeColor="text1"/>
        </w:rPr>
        <w:t xml:space="preserve"> </w:t>
      </w:r>
      <w:r w:rsidR="00730E96" w:rsidRPr="00A30BAC">
        <w:rPr>
          <w:rFonts w:ascii="Palatino Linotype" w:eastAsia="Calibri" w:hAnsi="Palatino Linotype" w:cs="Arial"/>
          <w:color w:val="000000" w:themeColor="text1"/>
          <w:lang w:val="es-ES"/>
        </w:rPr>
        <w:t>emitido por la Titular de la Unidad de Transparencia,</w:t>
      </w:r>
      <w:r w:rsidR="00730E96" w:rsidRPr="00A30BAC">
        <w:rPr>
          <w:rFonts w:ascii="Palatino Linotype" w:hAnsi="Palatino Linotype"/>
          <w:color w:val="000000" w:themeColor="text1"/>
        </w:rPr>
        <w:t xml:space="preserve"> </w:t>
      </w:r>
      <w:r w:rsidR="000117A3" w:rsidRPr="00A30BAC">
        <w:rPr>
          <w:rFonts w:ascii="Palatino Linotype" w:hAnsi="Palatino Linotype"/>
          <w:color w:val="000000" w:themeColor="text1"/>
        </w:rPr>
        <w:t xml:space="preserve">reiteró la incompetencia del Ayuntamiento de </w:t>
      </w:r>
      <w:r w:rsidR="00730E96" w:rsidRPr="00A30BAC">
        <w:rPr>
          <w:rFonts w:ascii="Palatino Linotype" w:hAnsi="Palatino Linotype"/>
          <w:color w:val="000000" w:themeColor="text1"/>
        </w:rPr>
        <w:t>Villa del Carbón</w:t>
      </w:r>
      <w:r w:rsidR="000117A3" w:rsidRPr="00A30BAC">
        <w:rPr>
          <w:rFonts w:ascii="Palatino Linotype" w:hAnsi="Palatino Linotype"/>
          <w:color w:val="000000" w:themeColor="text1"/>
        </w:rPr>
        <w:t xml:space="preserve"> para poseer, generar o administrar la información solicitada</w:t>
      </w:r>
      <w:r w:rsidR="00730E96" w:rsidRPr="00A30BAC">
        <w:rPr>
          <w:rFonts w:ascii="Palatino Linotype" w:hAnsi="Palatino Linotype"/>
          <w:color w:val="000000" w:themeColor="text1"/>
        </w:rPr>
        <w:t>, como a continuación se observa:</w:t>
      </w:r>
    </w:p>
    <w:p w14:paraId="38A4C6E9" w14:textId="312744C7" w:rsidR="007E04D1" w:rsidRPr="00A30BAC" w:rsidRDefault="007E04D1" w:rsidP="007E04D1">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A30BAC">
        <w:rPr>
          <w:rFonts w:ascii="Palatino Linotype" w:hAnsi="Palatino Linotype"/>
          <w:b/>
          <w:bCs/>
          <w:color w:val="000000" w:themeColor="text1"/>
        </w:rPr>
        <w:t>(…)</w:t>
      </w:r>
    </w:p>
    <w:p w14:paraId="1B827F4F" w14:textId="64050951" w:rsidR="007E04D1" w:rsidRPr="00A30BAC" w:rsidRDefault="007E04D1" w:rsidP="00021913">
      <w:pPr>
        <w:pStyle w:val="Prrafodelista"/>
        <w:tabs>
          <w:tab w:val="left" w:pos="426"/>
        </w:tabs>
        <w:spacing w:before="240" w:after="240" w:line="360" w:lineRule="auto"/>
        <w:ind w:left="0" w:right="51"/>
        <w:jc w:val="center"/>
        <w:rPr>
          <w:rFonts w:ascii="Palatino Linotype" w:hAnsi="Palatino Linotype"/>
          <w:color w:val="000000" w:themeColor="text1"/>
        </w:rPr>
      </w:pPr>
      <w:r w:rsidRPr="00A30BAC">
        <w:rPr>
          <w:rFonts w:ascii="Palatino Linotype" w:hAnsi="Palatino Linotype"/>
          <w:noProof/>
          <w:color w:val="000000" w:themeColor="text1"/>
          <w:lang w:eastAsia="es-MX"/>
        </w:rPr>
        <mc:AlternateContent>
          <mc:Choice Requires="wps">
            <w:drawing>
              <wp:anchor distT="0" distB="0" distL="114300" distR="114300" simplePos="0" relativeHeight="251662336" behindDoc="0" locked="0" layoutInCell="1" allowOverlap="1" wp14:anchorId="231BDC6E" wp14:editId="2E7545D7">
                <wp:simplePos x="0" y="0"/>
                <wp:positionH relativeFrom="column">
                  <wp:posOffset>2108</wp:posOffset>
                </wp:positionH>
                <wp:positionV relativeFrom="paragraph">
                  <wp:posOffset>1555750</wp:posOffset>
                </wp:positionV>
                <wp:extent cx="5486400" cy="855878"/>
                <wp:effectExtent l="50800" t="25400" r="63500" b="71755"/>
                <wp:wrapNone/>
                <wp:docPr id="121" name="Rectángulo 121"/>
                <wp:cNvGraphicFramePr/>
                <a:graphic xmlns:a="http://schemas.openxmlformats.org/drawingml/2006/main">
                  <a:graphicData uri="http://schemas.microsoft.com/office/word/2010/wordprocessingShape">
                    <wps:wsp>
                      <wps:cNvSpPr/>
                      <wps:spPr>
                        <a:xfrm>
                          <a:off x="0" y="0"/>
                          <a:ext cx="5486400" cy="85587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502F67" id="Rectángulo 121" o:spid="_x0000_s1026" style="position:absolute;margin-left:.15pt;margin-top:122.5pt;width:6in;height:67.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" filled="f" strokecolor="red">
                <v:shadow on="t" color="black" opacity="22937f" origin=",.5" offset="0,.63889mm"/>
              </v:rect>
            </w:pict>
          </mc:Fallback>
        </mc:AlternateContent>
      </w:r>
      <w:r w:rsidRPr="00A30BAC">
        <w:rPr>
          <w:rFonts w:ascii="Palatino Linotype" w:hAnsi="Palatino Linotype"/>
          <w:noProof/>
          <w:color w:val="000000" w:themeColor="text1"/>
          <w:lang w:eastAsia="es-MX"/>
        </w:rPr>
        <w:drawing>
          <wp:inline distT="0" distB="0" distL="0" distR="0" wp14:anchorId="10554761" wp14:editId="39D7978C">
            <wp:extent cx="4863082" cy="2991358"/>
            <wp:effectExtent l="12700" t="12700" r="13970" b="1905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0"/>
                    <pic:cNvPicPr/>
                  </pic:nvPicPr>
                  <pic:blipFill rotWithShape="1">
                    <a:blip r:embed="rId10"/>
                    <a:srcRect l="5308" t="6551" b="47474"/>
                    <a:stretch/>
                  </pic:blipFill>
                  <pic:spPr bwMode="auto">
                    <a:xfrm>
                      <a:off x="0" y="0"/>
                      <a:ext cx="4867408" cy="29940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565557" w14:textId="0157650C" w:rsidR="009D3804" w:rsidRPr="00A30BAC" w:rsidRDefault="007E04D1"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Conforme a</w:t>
      </w:r>
      <w:r w:rsidR="007A3A6F" w:rsidRPr="00A30BAC">
        <w:rPr>
          <w:rFonts w:ascii="Palatino Linotype" w:hAnsi="Palatino Linotype"/>
          <w:color w:val="000000" w:themeColor="text1"/>
        </w:rPr>
        <w:t xml:space="preserve"> lo anterior</w:t>
      </w:r>
      <w:r w:rsidR="009D3804" w:rsidRPr="00A30BAC">
        <w:rPr>
          <w:rFonts w:ascii="Palatino Linotype" w:hAnsi="Palatino Linotype"/>
          <w:color w:val="000000" w:themeColor="text1"/>
        </w:rPr>
        <w:t>, toda vez que la inconformidad</w:t>
      </w:r>
      <w:r w:rsidR="007A3A6F" w:rsidRPr="00A30BAC">
        <w:rPr>
          <w:rFonts w:ascii="Palatino Linotype" w:hAnsi="Palatino Linotype"/>
          <w:color w:val="000000" w:themeColor="text1"/>
        </w:rPr>
        <w:t xml:space="preserve"> principal</w:t>
      </w:r>
      <w:r w:rsidR="009D3804" w:rsidRPr="00A30BAC">
        <w:rPr>
          <w:rFonts w:ascii="Palatino Linotype" w:hAnsi="Palatino Linotype"/>
          <w:color w:val="000000" w:themeColor="text1"/>
        </w:rPr>
        <w:t xml:space="preserve"> del </w:t>
      </w:r>
      <w:r w:rsidR="009D3804" w:rsidRPr="00A30BAC">
        <w:rPr>
          <w:rFonts w:ascii="Palatino Linotype" w:hAnsi="Palatino Linotype"/>
          <w:b/>
          <w:bCs/>
          <w:color w:val="000000" w:themeColor="text1"/>
        </w:rPr>
        <w:t>RECURRENTE</w:t>
      </w:r>
      <w:r w:rsidR="009D3804" w:rsidRPr="00A30BAC">
        <w:rPr>
          <w:rFonts w:ascii="Palatino Linotype" w:hAnsi="Palatino Linotype"/>
          <w:color w:val="000000" w:themeColor="text1"/>
        </w:rPr>
        <w:t xml:space="preserve"> radica específicamente en que el </w:t>
      </w:r>
      <w:r w:rsidR="009D3804" w:rsidRPr="00A30BAC">
        <w:rPr>
          <w:rFonts w:ascii="Palatino Linotype" w:hAnsi="Palatino Linotype"/>
          <w:b/>
          <w:color w:val="000000" w:themeColor="text1"/>
        </w:rPr>
        <w:t>SUJETO OBLIGADO</w:t>
      </w:r>
      <w:r w:rsidR="009D3804" w:rsidRPr="00A30BAC">
        <w:rPr>
          <w:rFonts w:ascii="Palatino Linotype" w:hAnsi="Palatino Linotype"/>
          <w:color w:val="000000" w:themeColor="text1"/>
        </w:rPr>
        <w:t xml:space="preserve"> </w:t>
      </w:r>
      <w:r w:rsidR="007A3A6F" w:rsidRPr="00A30BAC">
        <w:rPr>
          <w:rFonts w:ascii="Palatino Linotype" w:hAnsi="Palatino Linotype"/>
          <w:color w:val="000000" w:themeColor="text1"/>
        </w:rPr>
        <w:t xml:space="preserve">no le entregó </w:t>
      </w:r>
      <w:r w:rsidR="00A654A2" w:rsidRPr="00A30BAC">
        <w:rPr>
          <w:rFonts w:ascii="Palatino Linotype" w:hAnsi="Palatino Linotype"/>
          <w:color w:val="000000" w:themeColor="text1"/>
        </w:rPr>
        <w:t xml:space="preserve">los reportes </w:t>
      </w:r>
      <w:r w:rsidR="00BE4E03" w:rsidRPr="00A30BAC">
        <w:rPr>
          <w:rFonts w:ascii="Palatino Linotype" w:hAnsi="Palatino Linotype"/>
          <w:color w:val="000000" w:themeColor="text1"/>
        </w:rPr>
        <w:t>del portal “Visor de nómina” del SAT, en sus presentaciones ‘Vista anual acumulada’, ‘Detalle mensual’ y ‘Detalle diferencias sueldos y salarios’</w:t>
      </w:r>
      <w:r w:rsidR="009D3804" w:rsidRPr="00A30BAC">
        <w:rPr>
          <w:rFonts w:ascii="Palatino Linotype" w:hAnsi="Palatino Linotype"/>
          <w:color w:val="000000" w:themeColor="text1"/>
        </w:rPr>
        <w:t xml:space="preserve">, y no así del resto de </w:t>
      </w:r>
      <w:r w:rsidR="00923E6F" w:rsidRPr="00A30BAC">
        <w:rPr>
          <w:rFonts w:ascii="Palatino Linotype" w:hAnsi="Palatino Linotype"/>
          <w:color w:val="000000" w:themeColor="text1"/>
        </w:rPr>
        <w:t>la información proporcionada en</w:t>
      </w:r>
      <w:r w:rsidR="009D3804" w:rsidRPr="00A30BAC">
        <w:rPr>
          <w:rFonts w:ascii="Palatino Linotype" w:hAnsi="Palatino Linotype"/>
          <w:color w:val="000000" w:themeColor="text1"/>
        </w:rPr>
        <w:t xml:space="preserve"> la respuesta a su solicitud, se debe entender que </w:t>
      </w:r>
      <w:r w:rsidR="007A3A6F" w:rsidRPr="00A30BAC">
        <w:rPr>
          <w:rFonts w:ascii="Palatino Linotype" w:hAnsi="Palatino Linotype"/>
          <w:color w:val="000000" w:themeColor="text1"/>
        </w:rPr>
        <w:t>el</w:t>
      </w:r>
      <w:r w:rsidR="009D3804" w:rsidRPr="00A30BAC">
        <w:rPr>
          <w:rFonts w:ascii="Palatino Linotype" w:hAnsi="Palatino Linotype"/>
          <w:color w:val="000000" w:themeColor="text1"/>
        </w:rPr>
        <w:t xml:space="preserve"> </w:t>
      </w:r>
      <w:r w:rsidR="00D80C86" w:rsidRPr="00A30BAC">
        <w:rPr>
          <w:rFonts w:ascii="Palatino Linotype" w:hAnsi="Palatino Linotype"/>
          <w:color w:val="000000" w:themeColor="text1"/>
        </w:rPr>
        <w:t>P</w:t>
      </w:r>
      <w:r w:rsidR="009D3804" w:rsidRPr="00A30BAC">
        <w:rPr>
          <w:rFonts w:ascii="Palatino Linotype" w:hAnsi="Palatino Linotype"/>
          <w:color w:val="000000" w:themeColor="text1"/>
        </w:rPr>
        <w:t xml:space="preserve">articular está parcialmente conforme con la respuesta </w:t>
      </w:r>
      <w:r w:rsidR="00923E6F" w:rsidRPr="00A30BAC">
        <w:rPr>
          <w:rFonts w:ascii="Palatino Linotype" w:hAnsi="Palatino Linotype"/>
          <w:color w:val="000000" w:themeColor="text1"/>
        </w:rPr>
        <w:t>proporcionada</w:t>
      </w:r>
      <w:r w:rsidR="009D3804" w:rsidRPr="00A30BAC">
        <w:rPr>
          <w:rFonts w:ascii="Palatino Linotype" w:hAnsi="Palatino Linotype"/>
          <w:color w:val="000000" w:themeColor="text1"/>
        </w:rPr>
        <w:t xml:space="preserve"> por el </w:t>
      </w:r>
      <w:r w:rsidR="00A66149" w:rsidRPr="00A30BAC">
        <w:rPr>
          <w:rFonts w:ascii="Palatino Linotype" w:hAnsi="Palatino Linotype"/>
          <w:color w:val="000000" w:themeColor="text1"/>
        </w:rPr>
        <w:t xml:space="preserve">Ayuntamiento de </w:t>
      </w:r>
      <w:r w:rsidR="00D80C86" w:rsidRPr="00A30BAC">
        <w:rPr>
          <w:rFonts w:ascii="Palatino Linotype" w:hAnsi="Palatino Linotype"/>
          <w:color w:val="000000" w:themeColor="text1"/>
        </w:rPr>
        <w:t>Villa del Carbón</w:t>
      </w:r>
      <w:r w:rsidR="009D3804" w:rsidRPr="00A30BAC">
        <w:rPr>
          <w:rFonts w:ascii="Palatino Linotype" w:hAnsi="Palatino Linotype"/>
          <w:color w:val="000000" w:themeColor="text1"/>
        </w:rPr>
        <w:t>.</w:t>
      </w:r>
    </w:p>
    <w:p w14:paraId="3AB4D65F" w14:textId="77777777" w:rsidR="009D3804" w:rsidRPr="00A30BAC"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E9B169" w14:textId="06545363" w:rsidR="009D3804" w:rsidRPr="00A30BAC"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En ese sentido, por cuando hace </w:t>
      </w:r>
      <w:r w:rsidR="00BE4E03" w:rsidRPr="00A30BAC">
        <w:rPr>
          <w:rFonts w:ascii="Palatino Linotype" w:hAnsi="Palatino Linotype"/>
          <w:color w:val="000000" w:themeColor="text1"/>
        </w:rPr>
        <w:t xml:space="preserve">al resto de la información requerida a través de la solicitud </w:t>
      </w:r>
      <w:r w:rsidR="00BE4E03" w:rsidRPr="00A30BAC">
        <w:rPr>
          <w:rFonts w:ascii="Palatino Linotype" w:hAnsi="Palatino Linotype"/>
          <w:b/>
          <w:bCs/>
          <w:color w:val="000000" w:themeColor="text1"/>
        </w:rPr>
        <w:t>000</w:t>
      </w:r>
      <w:r w:rsidR="00B16798" w:rsidRPr="00A30BAC">
        <w:rPr>
          <w:rFonts w:ascii="Palatino Linotype" w:hAnsi="Palatino Linotype"/>
          <w:b/>
          <w:bCs/>
          <w:color w:val="000000" w:themeColor="text1"/>
        </w:rPr>
        <w:t>42</w:t>
      </w:r>
      <w:r w:rsidR="00BE4E03" w:rsidRPr="00A30BAC">
        <w:rPr>
          <w:rFonts w:ascii="Palatino Linotype" w:hAnsi="Palatino Linotype"/>
          <w:b/>
          <w:bCs/>
          <w:color w:val="000000" w:themeColor="text1"/>
        </w:rPr>
        <w:t>/</w:t>
      </w:r>
      <w:r w:rsidR="00B16798" w:rsidRPr="00A30BAC">
        <w:rPr>
          <w:rFonts w:ascii="Palatino Linotype" w:hAnsi="Palatino Linotype"/>
          <w:b/>
          <w:bCs/>
          <w:color w:val="000000" w:themeColor="text1"/>
        </w:rPr>
        <w:t>VICARBO</w:t>
      </w:r>
      <w:r w:rsidR="00BE4E03" w:rsidRPr="00A30BAC">
        <w:rPr>
          <w:rFonts w:ascii="Palatino Linotype" w:hAnsi="Palatino Linotype"/>
          <w:b/>
          <w:bCs/>
          <w:color w:val="000000" w:themeColor="text1"/>
        </w:rPr>
        <w:t>/IP/2022</w:t>
      </w:r>
      <w:r w:rsidR="00BE4E03" w:rsidRPr="00A30BAC">
        <w:rPr>
          <w:rFonts w:ascii="Palatino Linotype" w:hAnsi="Palatino Linotype"/>
          <w:color w:val="000000" w:themeColor="text1"/>
        </w:rPr>
        <w:t xml:space="preserve"> como, de manera enunciativa </w:t>
      </w:r>
      <w:proofErr w:type="gramStart"/>
      <w:r w:rsidR="00BE4E03" w:rsidRPr="00A30BAC">
        <w:rPr>
          <w:rFonts w:ascii="Palatino Linotype" w:hAnsi="Palatino Linotype"/>
          <w:color w:val="000000" w:themeColor="text1"/>
        </w:rPr>
        <w:t>mas</w:t>
      </w:r>
      <w:proofErr w:type="gramEnd"/>
      <w:r w:rsidR="00BE4E03" w:rsidRPr="00A30BAC">
        <w:rPr>
          <w:rFonts w:ascii="Palatino Linotype" w:hAnsi="Palatino Linotype"/>
          <w:color w:val="000000" w:themeColor="text1"/>
        </w:rPr>
        <w:t xml:space="preserve"> no limitativa, la no generación de</w:t>
      </w:r>
      <w:r w:rsidR="007A3A6F" w:rsidRPr="00A30BAC">
        <w:rPr>
          <w:rFonts w:ascii="Palatino Linotype" w:hAnsi="Palatino Linotype"/>
          <w:color w:val="000000" w:themeColor="text1"/>
        </w:rPr>
        <w:t xml:space="preserve"> pago de impuestos al IMSS, INFONAVIT y SATEM, </w:t>
      </w:r>
      <w:r w:rsidRPr="00A30BAC">
        <w:rPr>
          <w:rFonts w:ascii="Palatino Linotype" w:hAnsi="Palatino Linotype"/>
          <w:color w:val="000000" w:themeColor="text1"/>
        </w:rPr>
        <w:t xml:space="preserve">debe entenderse como consentida por </w:t>
      </w:r>
      <w:r w:rsidR="007A3A6F" w:rsidRPr="00A30BAC">
        <w:rPr>
          <w:rFonts w:ascii="Palatino Linotype" w:hAnsi="Palatino Linotype"/>
          <w:color w:val="000000" w:themeColor="text1"/>
        </w:rPr>
        <w:t>el</w:t>
      </w:r>
      <w:r w:rsidRPr="00A30BAC">
        <w:rPr>
          <w:rFonts w:ascii="Palatino Linotype" w:hAnsi="Palatino Linotype"/>
          <w:color w:val="000000" w:themeColor="text1"/>
        </w:rPr>
        <w:t xml:space="preserve"> </w:t>
      </w:r>
      <w:r w:rsidRPr="00A30BAC">
        <w:rPr>
          <w:rFonts w:ascii="Palatino Linotype" w:hAnsi="Palatino Linotype"/>
          <w:b/>
          <w:bCs/>
          <w:color w:val="000000" w:themeColor="text1"/>
        </w:rPr>
        <w:t>RECURRENTE</w:t>
      </w:r>
      <w:r w:rsidRPr="00A30BAC">
        <w:rPr>
          <w:rFonts w:ascii="Palatino Linotype" w:hAnsi="Palatino Linotype"/>
          <w:color w:val="000000" w:themeColor="text1"/>
        </w:rPr>
        <w:t xml:space="preserve">. Ello es así, debido a que cuando los </w:t>
      </w:r>
      <w:r w:rsidR="00923E6F" w:rsidRPr="00A30BAC">
        <w:rPr>
          <w:rFonts w:ascii="Palatino Linotype" w:hAnsi="Palatino Linotype"/>
          <w:color w:val="000000" w:themeColor="text1"/>
        </w:rPr>
        <w:t xml:space="preserve">solicitantes </w:t>
      </w:r>
      <w:r w:rsidRPr="00A30BAC">
        <w:rPr>
          <w:rFonts w:ascii="Palatino Linotype" w:hAnsi="Palatino Linotype"/>
          <w:color w:val="000000" w:themeColor="text1"/>
        </w:rPr>
        <w:t xml:space="preserve">no expresan razón o motivo de inconformidad en contra de los rubros de las respuestas que pudieran ser un agravio a su derecho, </w:t>
      </w:r>
      <w:r w:rsidRPr="00A30BAC">
        <w:rPr>
          <w:rFonts w:ascii="Palatino Linotype" w:hAnsi="Palatino Linotype"/>
          <w:b/>
          <w:color w:val="000000" w:themeColor="text1"/>
        </w:rPr>
        <w:t>los mismos deben estimarse atendidos</w:t>
      </w:r>
      <w:r w:rsidRPr="00A30BAC">
        <w:rPr>
          <w:rFonts w:ascii="Palatino Linotype" w:hAnsi="Palatino Linotype"/>
          <w:color w:val="000000" w:themeColor="text1"/>
        </w:rPr>
        <w:t>.</w:t>
      </w:r>
    </w:p>
    <w:p w14:paraId="201E6850" w14:textId="77777777" w:rsidR="009D3804" w:rsidRPr="00A30BAC"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59116D5" w14:textId="73A6A086" w:rsidR="009D3804" w:rsidRPr="00A30BAC"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604B7305" w14:textId="7E68DA21" w:rsidR="009D3804" w:rsidRPr="00A30BAC"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3297A4DD" w14:textId="30435BD1" w:rsidR="009D3804" w:rsidRPr="00A30BAC" w:rsidRDefault="009D3804" w:rsidP="00021913">
      <w:pPr>
        <w:ind w:left="567" w:right="567"/>
        <w:jc w:val="both"/>
        <w:rPr>
          <w:rFonts w:ascii="Palatino Linotype" w:hAnsi="Palatino Linotype" w:cs="Arial"/>
          <w:i/>
          <w:sz w:val="22"/>
          <w:szCs w:val="22"/>
          <w:lang w:eastAsia="es-MX"/>
        </w:rPr>
      </w:pPr>
      <w:r w:rsidRPr="00A30BAC">
        <w:rPr>
          <w:rFonts w:ascii="Palatino Linotype" w:hAnsi="Palatino Linotype" w:cs="Arial"/>
          <w:b/>
          <w:i/>
          <w:sz w:val="22"/>
          <w:szCs w:val="22"/>
          <w:lang w:eastAsia="es-MX"/>
        </w:rPr>
        <w:t>REVISIÓN EN AMPARO. LOS RESOLUTIVOS NO COMBATIDOS DEBEN DECLARARSE FIRMES</w:t>
      </w:r>
      <w:r w:rsidRPr="00A30BAC">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C4DE14C" w14:textId="2EA64B1B" w:rsidR="009D3804" w:rsidRPr="00A30BAC"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 xml:space="preserve">Luego entonces, </w:t>
      </w:r>
      <w:r w:rsidRPr="00A30BAC">
        <w:rPr>
          <w:rFonts w:ascii="Palatino Linotype" w:eastAsia="Times New Roman" w:hAnsi="Palatino Linotype" w:cs="Arial"/>
        </w:rPr>
        <w:t xml:space="preserve">la parte de la solicitud sobre la que no se expresó inconformidad, debe declararse consentida por </w:t>
      </w:r>
      <w:r w:rsidR="00BE4E03" w:rsidRPr="00A30BAC">
        <w:rPr>
          <w:rFonts w:ascii="Palatino Linotype" w:eastAsia="Times New Roman" w:hAnsi="Palatino Linotype" w:cs="Arial"/>
        </w:rPr>
        <w:t>el</w:t>
      </w:r>
      <w:r w:rsidRPr="00A30BAC">
        <w:rPr>
          <w:rFonts w:ascii="Palatino Linotype" w:eastAsia="Times New Roman" w:hAnsi="Palatino Linotype" w:cs="Arial"/>
        </w:rPr>
        <w:t xml:space="preserve"> hoy </w:t>
      </w:r>
      <w:r w:rsidRPr="00A30BAC">
        <w:rPr>
          <w:rFonts w:ascii="Palatino Linotype" w:eastAsia="Times New Roman" w:hAnsi="Palatino Linotype" w:cs="Arial"/>
          <w:b/>
        </w:rPr>
        <w:t>RECURRENTE</w:t>
      </w:r>
      <w:r w:rsidRPr="00A30BAC">
        <w:rPr>
          <w:rFonts w:ascii="Palatino Linotype" w:eastAsia="Times New Roman" w:hAnsi="Palatino Linotype" w:cs="Arial"/>
        </w:rPr>
        <w:t xml:space="preserve">, ya que no pueden producirse efectos jurídicos tendentes a revocar, confirmar o modificar la parte de la respuesta con relación a la parte de la solicitud que no fue motivo de disenso, ya que se infiere un consentimiento del </w:t>
      </w:r>
      <w:r w:rsidR="00B16798" w:rsidRPr="00A30BAC">
        <w:rPr>
          <w:rFonts w:ascii="Palatino Linotype" w:eastAsia="Times New Roman" w:hAnsi="Palatino Linotype" w:cs="Arial"/>
        </w:rPr>
        <w:t>P</w:t>
      </w:r>
      <w:r w:rsidRPr="00A30BAC">
        <w:rPr>
          <w:rFonts w:ascii="Palatino Linotype" w:eastAsia="Times New Roman" w:hAnsi="Palatino Linotype" w:cs="Arial"/>
        </w:rPr>
        <w:t>articular ante la falta de impugnación eficaz. Sirve de sustento a lo anterior, por analogía, la Tesis Jurisprudencial número VI.3o.C. J/60, publicada en el Semanario Judicial de la Federación y su Gaceta bajo el número de registro 176,608 que a la letra dice:</w:t>
      </w:r>
    </w:p>
    <w:p w14:paraId="1004FDCD" w14:textId="31BC85DB" w:rsidR="009D3804" w:rsidRPr="00A30BAC"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48EAD112" w14:textId="77777777" w:rsidR="009D3804" w:rsidRPr="00A30BAC" w:rsidRDefault="009D3804" w:rsidP="00AB2CAA">
      <w:pPr>
        <w:ind w:left="567" w:right="567"/>
        <w:jc w:val="both"/>
        <w:rPr>
          <w:rFonts w:ascii="Palatino Linotype" w:hAnsi="Palatino Linotype" w:cs="Arial"/>
          <w:i/>
          <w:sz w:val="22"/>
          <w:szCs w:val="22"/>
          <w:lang w:eastAsia="es-MX"/>
        </w:rPr>
      </w:pPr>
      <w:r w:rsidRPr="00A30BAC">
        <w:rPr>
          <w:rFonts w:ascii="Palatino Linotype" w:hAnsi="Palatino Linotype" w:cs="Arial"/>
          <w:b/>
          <w:i/>
          <w:sz w:val="22"/>
          <w:szCs w:val="22"/>
          <w:lang w:eastAsia="es-MX"/>
        </w:rPr>
        <w:t>ACTOS CONSENTIDOS. SON LOS QUE NO SE IMPUGNAN MEDIANTE EL RECURSO IDÓNEO</w:t>
      </w:r>
      <w:r w:rsidRPr="00A30BAC">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738B36" w14:textId="77777777" w:rsidR="009D3804" w:rsidRPr="00A30BAC"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3F4AA5" w14:textId="605E991C" w:rsidR="009D3804" w:rsidRPr="00A30BAC" w:rsidRDefault="003F295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En razón de lo anterior, y en estricta atención a los agravios vertidos por el </w:t>
      </w:r>
      <w:r w:rsidRPr="00A30BAC">
        <w:rPr>
          <w:rFonts w:ascii="Palatino Linotype" w:hAnsi="Palatino Linotype"/>
          <w:b/>
          <w:bCs/>
          <w:color w:val="000000" w:themeColor="text1"/>
        </w:rPr>
        <w:t>RECURRENTE</w:t>
      </w:r>
      <w:r w:rsidRPr="00A30BAC">
        <w:rPr>
          <w:rFonts w:ascii="Palatino Linotype" w:hAnsi="Palatino Linotype"/>
          <w:color w:val="000000" w:themeColor="text1"/>
        </w:rPr>
        <w:t xml:space="preserve"> a través del recurso de revisión </w:t>
      </w:r>
      <w:r w:rsidRPr="00A30BAC">
        <w:rPr>
          <w:rFonts w:ascii="Palatino Linotype" w:hAnsi="Palatino Linotype"/>
          <w:b/>
          <w:bCs/>
          <w:color w:val="000000" w:themeColor="text1"/>
        </w:rPr>
        <w:t>005</w:t>
      </w:r>
      <w:r w:rsidR="00B16798" w:rsidRPr="00A30BAC">
        <w:rPr>
          <w:rFonts w:ascii="Palatino Linotype" w:hAnsi="Palatino Linotype"/>
          <w:b/>
          <w:bCs/>
          <w:color w:val="000000" w:themeColor="text1"/>
        </w:rPr>
        <w:t>23</w:t>
      </w:r>
      <w:r w:rsidRPr="00A30BAC">
        <w:rPr>
          <w:rFonts w:ascii="Palatino Linotype" w:hAnsi="Palatino Linotype"/>
          <w:b/>
          <w:bCs/>
          <w:color w:val="000000" w:themeColor="text1"/>
        </w:rPr>
        <w:t>/INFOEM/IP/RR/2022</w:t>
      </w:r>
      <w:r w:rsidRPr="00A30BAC">
        <w:rPr>
          <w:rFonts w:ascii="Palatino Linotype" w:hAnsi="Palatino Linotype"/>
          <w:color w:val="000000" w:themeColor="text1"/>
        </w:rPr>
        <w:t xml:space="preserve">, se procede a analizar el marco legal y de competencia del </w:t>
      </w:r>
      <w:r w:rsidRPr="00A30BAC">
        <w:rPr>
          <w:rFonts w:ascii="Palatino Linotype" w:hAnsi="Palatino Linotype"/>
          <w:b/>
          <w:bCs/>
          <w:color w:val="000000" w:themeColor="text1"/>
        </w:rPr>
        <w:t>SUJETO OBLIGADO</w:t>
      </w:r>
      <w:r w:rsidRPr="00A30BAC">
        <w:rPr>
          <w:rFonts w:ascii="Palatino Linotype" w:hAnsi="Palatino Linotype"/>
          <w:color w:val="000000" w:themeColor="text1"/>
        </w:rPr>
        <w:t xml:space="preserve"> para poseer, generar y/o administrar la información relacionada con el portal del Servicio de Administración Tributaria denominado “Visor de nómina”</w:t>
      </w:r>
    </w:p>
    <w:p w14:paraId="15CDC707" w14:textId="12590913" w:rsidR="00294CC2" w:rsidRPr="00A30BAC" w:rsidRDefault="00294CC2" w:rsidP="00294CC2">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567CE34C" w:rsidR="00B13760" w:rsidRPr="00A30BAC" w:rsidRDefault="003F2959"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1" w:name="_Toc96002407"/>
      <w:r w:rsidRPr="00A30BAC">
        <w:rPr>
          <w:rFonts w:ascii="Palatino Linotype" w:hAnsi="Palatino Linotype"/>
          <w:b/>
          <w:bCs/>
          <w:color w:val="000000" w:themeColor="text1"/>
        </w:rPr>
        <w:t>III</w:t>
      </w:r>
      <w:r w:rsidR="00B13760" w:rsidRPr="00A30BAC">
        <w:rPr>
          <w:rFonts w:ascii="Palatino Linotype" w:hAnsi="Palatino Linotype"/>
          <w:b/>
          <w:bCs/>
          <w:color w:val="000000" w:themeColor="text1"/>
        </w:rPr>
        <w:t xml:space="preserve">. </w:t>
      </w:r>
      <w:r w:rsidR="00923E6F" w:rsidRPr="00A30BAC">
        <w:rPr>
          <w:rFonts w:ascii="Palatino Linotype" w:hAnsi="Palatino Linotype"/>
          <w:b/>
          <w:bCs/>
          <w:color w:val="000000" w:themeColor="text1"/>
        </w:rPr>
        <w:t>De</w:t>
      </w:r>
      <w:r w:rsidR="005930F8" w:rsidRPr="00A30BAC">
        <w:rPr>
          <w:rFonts w:ascii="Palatino Linotype" w:hAnsi="Palatino Linotype"/>
          <w:b/>
          <w:bCs/>
          <w:color w:val="000000" w:themeColor="text1"/>
        </w:rPr>
        <w:t xml:space="preserve">l </w:t>
      </w:r>
      <w:r w:rsidR="00A66149" w:rsidRPr="00A30BAC">
        <w:rPr>
          <w:rFonts w:ascii="Palatino Linotype" w:hAnsi="Palatino Linotype"/>
          <w:b/>
          <w:bCs/>
          <w:color w:val="000000" w:themeColor="text1"/>
        </w:rPr>
        <w:t xml:space="preserve">Ayuntamiento de </w:t>
      </w:r>
      <w:bookmarkEnd w:id="21"/>
      <w:r w:rsidR="00B16798" w:rsidRPr="00A30BAC">
        <w:rPr>
          <w:rFonts w:ascii="Palatino Linotype" w:hAnsi="Palatino Linotype"/>
          <w:b/>
          <w:bCs/>
          <w:color w:val="000000" w:themeColor="text1"/>
        </w:rPr>
        <w:t>Villa del Carbón.</w:t>
      </w:r>
    </w:p>
    <w:p w14:paraId="6B491F76" w14:textId="77777777" w:rsidR="00B13760" w:rsidRPr="00A30BAC"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7219D460" w14:textId="77777777" w:rsidR="008764FB" w:rsidRPr="00A30BAC"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La Ley de Transparencia y Acceso a la Información Pública del Estado de México y Municipios, en su artículo 150, establece que el procedimiento de acceso a la información es la garantía primaria del derecho en cuestión y se rige por los </w:t>
      </w:r>
      <w:r w:rsidRPr="00A30BAC">
        <w:rPr>
          <w:rFonts w:ascii="Palatino Linotype" w:hAnsi="Palatino Linotype"/>
          <w:color w:val="000000" w:themeColor="text1"/>
        </w:rPr>
        <w:lastRenderedPageBreak/>
        <w:t>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3F5541E" w14:textId="77777777" w:rsidR="008764FB" w:rsidRPr="00A30BAC"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5A8FCCE" w14:textId="77777777" w:rsidR="008764FB" w:rsidRPr="00A30BAC"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Para atender las solicitudes de información, los Sujetos Obligados contarán con un área denominada </w:t>
      </w:r>
      <w:r w:rsidRPr="00A30BAC">
        <w:rPr>
          <w:rFonts w:ascii="Palatino Linotype" w:hAnsi="Palatino Linotype"/>
          <w:b/>
          <w:bCs/>
          <w:color w:val="000000" w:themeColor="text1"/>
        </w:rPr>
        <w:t>Unidad de Transparencia</w:t>
      </w:r>
      <w:r w:rsidRPr="00A30BAC">
        <w:rPr>
          <w:rFonts w:ascii="Palatino Linotype" w:hAnsi="Palatino Linotype"/>
          <w:color w:val="000000" w:themeColor="text1"/>
          <w:vertAlign w:val="superscript"/>
        </w:rPr>
        <w:footnoteReference w:id="5"/>
      </w:r>
      <w:r w:rsidRPr="00A30BAC">
        <w:rPr>
          <w:rFonts w:ascii="Palatino Linotype" w:hAnsi="Palatino Linotype"/>
          <w:color w:val="000000" w:themeColor="text1"/>
        </w:rPr>
        <w:t xml:space="preserve">, la cual será presidida por un Titular, quien fungirá como enlace entre éstos y los solicitantes. Dicha Unidad </w:t>
      </w:r>
      <w:r w:rsidRPr="00A30BAC">
        <w:rPr>
          <w:rFonts w:ascii="Palatino Linotype" w:hAnsi="Palatino Linotype"/>
          <w:b/>
          <w:bCs/>
          <w:color w:val="000000" w:themeColor="text1"/>
        </w:rPr>
        <w:t>será la encargada de tramitar internamente la solicitud de información</w:t>
      </w:r>
      <w:r w:rsidRPr="00A30BAC">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A30BAC">
        <w:rPr>
          <w:rFonts w:ascii="Palatino Linotype" w:hAnsi="Palatino Linotype"/>
          <w:b/>
          <w:bCs/>
          <w:color w:val="000000" w:themeColor="text1"/>
        </w:rPr>
        <w:t xml:space="preserve">gestionar la atención a las solicitudes de información </w:t>
      </w:r>
      <w:r w:rsidRPr="00A30BAC">
        <w:rPr>
          <w:rFonts w:ascii="Palatino Linotype" w:hAnsi="Palatino Linotype"/>
          <w:color w:val="000000" w:themeColor="text1"/>
        </w:rPr>
        <w:t>en los términos de la Ley General y la Ley de Transparencia y Acceso a la Información Pública del Estado de México y Municipios</w:t>
      </w:r>
      <w:r w:rsidRPr="00A30BAC">
        <w:rPr>
          <w:rFonts w:ascii="Palatino Linotype" w:hAnsi="Palatino Linotype"/>
          <w:color w:val="000000" w:themeColor="text1"/>
          <w:vertAlign w:val="superscript"/>
        </w:rPr>
        <w:footnoteReference w:id="6"/>
      </w:r>
      <w:r w:rsidRPr="00A30BAC">
        <w:rPr>
          <w:rFonts w:ascii="Palatino Linotype" w:hAnsi="Palatino Linotype"/>
          <w:color w:val="000000" w:themeColor="text1"/>
        </w:rPr>
        <w:t>.</w:t>
      </w:r>
    </w:p>
    <w:p w14:paraId="4EF758FB" w14:textId="77777777" w:rsidR="008764FB" w:rsidRPr="00A30BAC"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021D6F7A" w14:textId="196D86CA" w:rsidR="008764FB" w:rsidRPr="00A30BAC"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De </w:t>
      </w:r>
      <w:r w:rsidRPr="00A30BAC">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19D8A55D" w14:textId="77777777" w:rsidR="00AB2CAA" w:rsidRPr="00A30BAC" w:rsidRDefault="00AB2CAA" w:rsidP="00AB2CAA">
      <w:pPr>
        <w:pStyle w:val="Prrafodelista"/>
        <w:tabs>
          <w:tab w:val="left" w:pos="426"/>
        </w:tabs>
        <w:spacing w:before="240" w:after="240"/>
        <w:ind w:left="0" w:right="51"/>
        <w:jc w:val="both"/>
        <w:rPr>
          <w:rFonts w:ascii="Palatino Linotype" w:hAnsi="Palatino Linotype"/>
          <w:color w:val="000000" w:themeColor="text1"/>
        </w:rPr>
      </w:pPr>
    </w:p>
    <w:p w14:paraId="3E4A4A13" w14:textId="77777777" w:rsidR="008764FB" w:rsidRPr="00A30BAC"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A30BAC">
        <w:rPr>
          <w:rFonts w:ascii="Palatino Linotype" w:hAnsi="Palatino Linotype" w:cs="Arial"/>
          <w:color w:val="000000" w:themeColor="text1"/>
        </w:rPr>
        <w:t>Recibir, tramitar y dar respuesta a las solicitudes de acceso a la información;</w:t>
      </w:r>
    </w:p>
    <w:p w14:paraId="4308A1EE" w14:textId="77777777" w:rsidR="008764FB" w:rsidRPr="00A30BAC"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A30BAC">
        <w:rPr>
          <w:rFonts w:ascii="Palatino Linotype" w:hAnsi="Palatino Linotype" w:cs="Arial"/>
          <w:b/>
          <w:bCs/>
          <w:color w:val="000000" w:themeColor="text1"/>
        </w:rPr>
        <w:t>Realizar, con efectividad, los trámites internos necesarios para la atención de las solicitudes de acceso a la información</w:t>
      </w:r>
      <w:r w:rsidRPr="00A30BAC">
        <w:rPr>
          <w:rFonts w:ascii="Palatino Linotype" w:hAnsi="Palatino Linotype" w:cs="Arial"/>
          <w:color w:val="000000" w:themeColor="text1"/>
        </w:rPr>
        <w:t xml:space="preserve">; </w:t>
      </w:r>
    </w:p>
    <w:p w14:paraId="3D390EF0" w14:textId="77777777" w:rsidR="008764FB" w:rsidRPr="00A30BAC"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A30BAC">
        <w:rPr>
          <w:rFonts w:ascii="Palatino Linotype" w:hAnsi="Palatino Linotype" w:cs="Arial"/>
          <w:color w:val="000000" w:themeColor="text1"/>
        </w:rPr>
        <w:t xml:space="preserve">Entregar, en su caso, a los particulares la información solicitada; y </w:t>
      </w:r>
    </w:p>
    <w:p w14:paraId="50FEE11B" w14:textId="77777777" w:rsidR="008764FB" w:rsidRPr="00A30BAC" w:rsidRDefault="008764FB" w:rsidP="00AB2CAA">
      <w:pPr>
        <w:pStyle w:val="Prrafodelista"/>
        <w:numPr>
          <w:ilvl w:val="1"/>
          <w:numId w:val="13"/>
        </w:numPr>
        <w:tabs>
          <w:tab w:val="left" w:pos="426"/>
        </w:tabs>
        <w:spacing w:before="240" w:after="240"/>
        <w:ind w:left="1134" w:right="51"/>
        <w:jc w:val="both"/>
        <w:rPr>
          <w:rFonts w:ascii="Palatino Linotype" w:hAnsi="Palatino Linotype"/>
          <w:color w:val="000000" w:themeColor="text1"/>
        </w:rPr>
      </w:pPr>
      <w:r w:rsidRPr="00A30BAC">
        <w:rPr>
          <w:rFonts w:ascii="Palatino Linotype" w:hAnsi="Palatino Linotype" w:cs="Arial"/>
          <w:color w:val="000000" w:themeColor="text1"/>
        </w:rPr>
        <w:lastRenderedPageBreak/>
        <w:t>Hacer del conocimiento de la instancia competente la probable responsabilidad por el incumplimiento de las obligaciones previstas en la Ley de la materia.</w:t>
      </w:r>
    </w:p>
    <w:p w14:paraId="5D0EB36E" w14:textId="77777777" w:rsidR="008764FB" w:rsidRPr="00A30BAC"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8066F03" w14:textId="6FD93405" w:rsidR="008764FB" w:rsidRPr="00A30BAC"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Otros </w:t>
      </w:r>
      <w:r w:rsidRPr="00A30BAC">
        <w:rPr>
          <w:rFonts w:ascii="Palatino Linotype" w:hAnsi="Palatino Linotype" w:cs="Arial"/>
          <w:color w:val="000000" w:themeColor="text1"/>
        </w:rPr>
        <w:t xml:space="preserve">sujetos del proceso de atención a las solicitudes de información son los </w:t>
      </w:r>
      <w:r w:rsidR="00B16798" w:rsidRPr="00A30BAC">
        <w:rPr>
          <w:rFonts w:ascii="Palatino Linotype" w:hAnsi="Palatino Linotype" w:cs="Arial"/>
          <w:color w:val="000000" w:themeColor="text1"/>
        </w:rPr>
        <w:t>S</w:t>
      </w:r>
      <w:r w:rsidRPr="00A30BAC">
        <w:rPr>
          <w:rFonts w:ascii="Palatino Linotype" w:hAnsi="Palatino Linotype" w:cs="Arial"/>
          <w:color w:val="000000" w:themeColor="text1"/>
        </w:rPr>
        <w:t xml:space="preserve">ervidores </w:t>
      </w:r>
      <w:r w:rsidR="00B16798" w:rsidRPr="00A30BAC">
        <w:rPr>
          <w:rFonts w:ascii="Palatino Linotype" w:hAnsi="Palatino Linotype" w:cs="Arial"/>
          <w:color w:val="000000" w:themeColor="text1"/>
        </w:rPr>
        <w:t>P</w:t>
      </w:r>
      <w:r w:rsidRPr="00A30BAC">
        <w:rPr>
          <w:rFonts w:ascii="Palatino Linotype" w:hAnsi="Palatino Linotype" w:cs="Arial"/>
          <w:color w:val="000000" w:themeColor="text1"/>
        </w:rPr>
        <w:t xml:space="preserve">úblicos </w:t>
      </w:r>
      <w:r w:rsidR="00B16798" w:rsidRPr="00A30BAC">
        <w:rPr>
          <w:rFonts w:ascii="Palatino Linotype" w:hAnsi="Palatino Linotype" w:cs="Arial"/>
          <w:color w:val="000000" w:themeColor="text1"/>
        </w:rPr>
        <w:t>H</w:t>
      </w:r>
      <w:r w:rsidRPr="00A30BAC">
        <w:rPr>
          <w:rFonts w:ascii="Palatino Linotype" w:hAnsi="Palatino Linotype" w:cs="Arial"/>
          <w:color w:val="000000" w:themeColor="text1"/>
        </w:rPr>
        <w:t xml:space="preserve">abilitados, quienes serán designados por el </w:t>
      </w:r>
      <w:r w:rsidR="00B16798" w:rsidRPr="00A30BAC">
        <w:rPr>
          <w:rFonts w:ascii="Palatino Linotype" w:hAnsi="Palatino Linotype" w:cs="Arial"/>
          <w:color w:val="000000" w:themeColor="text1"/>
        </w:rPr>
        <w:t>T</w:t>
      </w:r>
      <w:r w:rsidRPr="00A30BAC">
        <w:rPr>
          <w:rFonts w:ascii="Palatino Linotype" w:hAnsi="Palatino Linotype" w:cs="Arial"/>
          <w:color w:val="000000" w:themeColor="text1"/>
        </w:rPr>
        <w:t xml:space="preserve">itular del </w:t>
      </w:r>
      <w:r w:rsidR="00B16798" w:rsidRPr="00A30BAC">
        <w:rPr>
          <w:rFonts w:ascii="Palatino Linotype" w:hAnsi="Palatino Linotype" w:cs="Arial"/>
          <w:b/>
          <w:bCs/>
          <w:color w:val="000000" w:themeColor="text1"/>
        </w:rPr>
        <w:t xml:space="preserve">SUJETO OBLIGADO </w:t>
      </w:r>
      <w:r w:rsidRPr="00A30BAC">
        <w:rPr>
          <w:rFonts w:ascii="Palatino Linotype" w:hAnsi="Palatino Linotype" w:cs="Arial"/>
          <w:color w:val="000000" w:themeColor="text1"/>
        </w:rPr>
        <w:t>a propuesta del responsable de la Unidad de Transparencia</w:t>
      </w:r>
      <w:r w:rsidRPr="00A30BAC">
        <w:rPr>
          <w:rStyle w:val="Refdenotaalpie"/>
          <w:rFonts w:ascii="Palatino Linotype" w:hAnsi="Palatino Linotype" w:cs="Arial"/>
          <w:color w:val="000000" w:themeColor="text1"/>
        </w:rPr>
        <w:footnoteReference w:id="7"/>
      </w:r>
      <w:r w:rsidRPr="00A30BAC">
        <w:rPr>
          <w:rFonts w:ascii="Palatino Linotype" w:hAnsi="Palatino Linotype" w:cs="Arial"/>
          <w:color w:val="000000" w:themeColor="text1"/>
        </w:rPr>
        <w:t xml:space="preserve"> y tendrán, entre sus atribuciones, las siguientes</w:t>
      </w:r>
      <w:r w:rsidRPr="00A30BAC">
        <w:rPr>
          <w:rStyle w:val="Refdenotaalpie"/>
          <w:rFonts w:ascii="Palatino Linotype" w:hAnsi="Palatino Linotype" w:cs="Arial"/>
          <w:color w:val="000000" w:themeColor="text1"/>
        </w:rPr>
        <w:footnoteReference w:id="8"/>
      </w:r>
      <w:r w:rsidRPr="00A30BAC">
        <w:rPr>
          <w:rFonts w:ascii="Palatino Linotype" w:hAnsi="Palatino Linotype" w:cs="Arial"/>
          <w:color w:val="000000" w:themeColor="text1"/>
        </w:rPr>
        <w:t>:</w:t>
      </w:r>
    </w:p>
    <w:p w14:paraId="09035EE3" w14:textId="77777777" w:rsidR="00B16798" w:rsidRPr="00A30BAC" w:rsidRDefault="00B16798" w:rsidP="00B16798">
      <w:pPr>
        <w:pStyle w:val="Prrafodelista"/>
        <w:tabs>
          <w:tab w:val="left" w:pos="426"/>
        </w:tabs>
        <w:spacing w:before="240" w:after="240" w:line="360" w:lineRule="auto"/>
        <w:ind w:left="0" w:right="51"/>
        <w:jc w:val="both"/>
        <w:rPr>
          <w:rFonts w:ascii="Palatino Linotype" w:hAnsi="Palatino Linotype"/>
          <w:color w:val="000000" w:themeColor="text1"/>
        </w:rPr>
      </w:pPr>
    </w:p>
    <w:p w14:paraId="49DD76B8" w14:textId="77777777" w:rsidR="008764FB" w:rsidRPr="00A30BAC"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A30BAC">
        <w:rPr>
          <w:rFonts w:ascii="Palatino Linotype" w:hAnsi="Palatino Linotype" w:cs="Arial"/>
          <w:color w:val="000000" w:themeColor="text1"/>
        </w:rPr>
        <w:t>Localizar la información que le solicite la Unidad de Transparencia; y</w:t>
      </w:r>
    </w:p>
    <w:p w14:paraId="50204643" w14:textId="77777777" w:rsidR="008764FB" w:rsidRPr="00A30BAC"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A30BAC">
        <w:rPr>
          <w:rFonts w:ascii="Palatino Linotype" w:hAnsi="Palatino Linotype" w:cs="Arial"/>
          <w:color w:val="000000" w:themeColor="text1"/>
        </w:rPr>
        <w:t>Proporcionar la información que obre en sus archivos y que le sea solicitada por la Unidad de Transparencia.</w:t>
      </w:r>
    </w:p>
    <w:p w14:paraId="013454E1" w14:textId="77777777" w:rsidR="008764FB" w:rsidRPr="00A30BAC"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D0DA74E" w14:textId="62F754B1" w:rsidR="008764FB" w:rsidRPr="00A30BAC"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De </w:t>
      </w:r>
      <w:r w:rsidRPr="00A30BAC">
        <w:rPr>
          <w:rFonts w:ascii="Palatino Linotype" w:hAnsi="Palatino Linotype" w:cs="Arial"/>
          <w:color w:val="000000" w:themeColor="text1"/>
        </w:rPr>
        <w:t xml:space="preserve">tal manera que cada una de las áreas administrativas del </w:t>
      </w:r>
      <w:r w:rsidRPr="00A30BAC">
        <w:rPr>
          <w:rFonts w:ascii="Palatino Linotype" w:hAnsi="Palatino Linotype" w:cs="Arial"/>
          <w:b/>
          <w:bCs/>
          <w:color w:val="000000" w:themeColor="text1"/>
        </w:rPr>
        <w:t>SUJETO OBLIGADO</w:t>
      </w:r>
      <w:r w:rsidRPr="00A30BAC">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EA790B5" w14:textId="77777777" w:rsidR="008764FB" w:rsidRPr="00A30BAC"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AE5F30F" w14:textId="72DEC11C" w:rsidR="00923E6F" w:rsidRPr="00A30BAC"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Ahora bien, el</w:t>
      </w:r>
      <w:r w:rsidR="00882E82" w:rsidRPr="00A30BAC">
        <w:rPr>
          <w:rFonts w:ascii="Palatino Linotype" w:hAnsi="Palatino Linotype"/>
          <w:color w:val="000000" w:themeColor="text1"/>
        </w:rPr>
        <w:t xml:space="preserve"> artículo 115 de la Constitución Política de los Estados Unidos Mexicanos establece que </w:t>
      </w:r>
      <w:r w:rsidR="00882E82" w:rsidRPr="00A30BAC">
        <w:rPr>
          <w:rFonts w:ascii="Palatino Linotype" w:hAnsi="Palatino Linotype"/>
          <w:b/>
          <w:bCs/>
          <w:color w:val="000000" w:themeColor="text1"/>
        </w:rPr>
        <w:t xml:space="preserve">los </w:t>
      </w:r>
      <w:r w:rsidR="00B16798" w:rsidRPr="00A30BAC">
        <w:rPr>
          <w:rFonts w:ascii="Palatino Linotype" w:hAnsi="Palatino Linotype"/>
          <w:b/>
          <w:bCs/>
          <w:color w:val="000000" w:themeColor="text1"/>
        </w:rPr>
        <w:t>M</w:t>
      </w:r>
      <w:r w:rsidR="00882E82" w:rsidRPr="00A30BAC">
        <w:rPr>
          <w:rFonts w:ascii="Palatino Linotype" w:hAnsi="Palatino Linotype"/>
          <w:b/>
          <w:bCs/>
          <w:color w:val="000000" w:themeColor="text1"/>
        </w:rPr>
        <w:t>unicipios estarán investidos de personalidad jurídica</w:t>
      </w:r>
      <w:r w:rsidR="00882E82" w:rsidRPr="00A30BAC">
        <w:rPr>
          <w:rFonts w:ascii="Palatino Linotype" w:hAnsi="Palatino Linotype"/>
          <w:color w:val="000000" w:themeColor="text1"/>
        </w:rPr>
        <w:t xml:space="preserve"> y manejarán su patrimonio conforme a la Ley; asimismo, señala que </w:t>
      </w:r>
      <w:r w:rsidR="00882E82" w:rsidRPr="00A30BAC">
        <w:rPr>
          <w:rFonts w:ascii="Palatino Linotype" w:hAnsi="Palatino Linotype"/>
          <w:b/>
          <w:bCs/>
          <w:color w:val="000000" w:themeColor="text1"/>
        </w:rPr>
        <w:t>administrarán libremente su hacienda</w:t>
      </w:r>
      <w:r w:rsidR="00882E82" w:rsidRPr="00A30BAC">
        <w:rPr>
          <w:rFonts w:ascii="Palatino Linotype" w:hAnsi="Palatino Linotype"/>
          <w:color w:val="000000" w:themeColor="text1"/>
        </w:rPr>
        <w:t xml:space="preserve">, la cual se conformará de los rendimientos </w:t>
      </w:r>
      <w:r w:rsidR="00882E82" w:rsidRPr="00A30BAC">
        <w:rPr>
          <w:rFonts w:ascii="Palatino Linotype" w:hAnsi="Palatino Linotype"/>
          <w:color w:val="000000" w:themeColor="text1"/>
        </w:rPr>
        <w:lastRenderedPageBreak/>
        <w:t>de los bienes que les pertenezcan, así como de las contribuciones y otros ingresos que las legislaturas establezcan a su favor.</w:t>
      </w:r>
    </w:p>
    <w:p w14:paraId="3E679140" w14:textId="77777777" w:rsidR="003F2959" w:rsidRPr="00A30BAC"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61591E9A" w14:textId="3DB69347" w:rsidR="003F2959" w:rsidRPr="00A30BAC"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En ese </w:t>
      </w:r>
      <w:r w:rsidRPr="00A30BAC">
        <w:rPr>
          <w:rFonts w:ascii="Palatino Linotype" w:eastAsia="MS Mincho" w:hAnsi="Palatino Linotype" w:cs="Times New Roman"/>
          <w:lang w:val="es-ES_tradnl"/>
        </w:rPr>
        <w:t>orden de ideas el artículo 31 de la Ley Orgánica Municipal del Estado de México y Municipios a la letra dice:</w:t>
      </w:r>
    </w:p>
    <w:p w14:paraId="6D2FB4F2" w14:textId="768FB5AA" w:rsidR="003F2959" w:rsidRPr="00A30BAC" w:rsidRDefault="003F2959" w:rsidP="00AB2CAA">
      <w:pPr>
        <w:pStyle w:val="Prrafodelista"/>
        <w:tabs>
          <w:tab w:val="left" w:pos="426"/>
        </w:tabs>
        <w:spacing w:before="240"/>
        <w:ind w:left="0" w:right="51"/>
        <w:jc w:val="both"/>
        <w:rPr>
          <w:rFonts w:ascii="Palatino Linotype" w:hAnsi="Palatino Linotype"/>
          <w:color w:val="000000" w:themeColor="text1"/>
        </w:rPr>
      </w:pPr>
    </w:p>
    <w:p w14:paraId="3103B544" w14:textId="77777777" w:rsidR="008764FB" w:rsidRPr="00A30BAC" w:rsidRDefault="008764FB" w:rsidP="00AB2CAA">
      <w:pPr>
        <w:pStyle w:val="Sinespaciado"/>
        <w:ind w:left="567" w:right="567"/>
        <w:jc w:val="both"/>
        <w:rPr>
          <w:rFonts w:ascii="Palatino Linotype" w:hAnsi="Palatino Linotype"/>
          <w:i/>
          <w:sz w:val="22"/>
        </w:rPr>
      </w:pPr>
      <w:r w:rsidRPr="00A30BAC">
        <w:rPr>
          <w:rFonts w:ascii="Palatino Linotype" w:hAnsi="Palatino Linotype"/>
          <w:i/>
          <w:sz w:val="22"/>
        </w:rPr>
        <w:t>“</w:t>
      </w:r>
      <w:r w:rsidRPr="00A30BAC">
        <w:rPr>
          <w:rFonts w:ascii="Palatino Linotype" w:hAnsi="Palatino Linotype"/>
          <w:b/>
          <w:i/>
          <w:sz w:val="22"/>
        </w:rPr>
        <w:t>Artículo 31</w:t>
      </w:r>
      <w:r w:rsidRPr="00A30BAC">
        <w:rPr>
          <w:rFonts w:ascii="Palatino Linotype" w:hAnsi="Palatino Linotype"/>
          <w:i/>
          <w:sz w:val="22"/>
        </w:rPr>
        <w:t xml:space="preserve">.- </w:t>
      </w:r>
      <w:r w:rsidRPr="00A30BAC">
        <w:rPr>
          <w:rFonts w:ascii="Palatino Linotype" w:hAnsi="Palatino Linotype"/>
          <w:b/>
          <w:bCs/>
          <w:i/>
          <w:sz w:val="22"/>
        </w:rPr>
        <w:t>Son atribuciones de los ayuntamientos</w:t>
      </w:r>
      <w:r w:rsidRPr="00A30BAC">
        <w:rPr>
          <w:rFonts w:ascii="Palatino Linotype" w:hAnsi="Palatino Linotype"/>
          <w:i/>
          <w:sz w:val="22"/>
        </w:rPr>
        <w:t xml:space="preserve">: </w:t>
      </w:r>
    </w:p>
    <w:p w14:paraId="764DCF96" w14:textId="77777777" w:rsidR="008764FB" w:rsidRPr="00A30BAC" w:rsidRDefault="008764FB" w:rsidP="00AB2CAA">
      <w:pPr>
        <w:pStyle w:val="Sinespaciado"/>
        <w:ind w:left="567" w:right="567"/>
        <w:jc w:val="both"/>
        <w:rPr>
          <w:rFonts w:ascii="Palatino Linotype" w:hAnsi="Palatino Linotype"/>
          <w:i/>
          <w:sz w:val="22"/>
        </w:rPr>
      </w:pPr>
      <w:r w:rsidRPr="00A30BAC">
        <w:rPr>
          <w:rFonts w:ascii="Palatino Linotype" w:hAnsi="Palatino Linotype"/>
          <w:i/>
          <w:sz w:val="22"/>
        </w:rPr>
        <w:t>(…)</w:t>
      </w:r>
    </w:p>
    <w:p w14:paraId="22219E30" w14:textId="77777777" w:rsidR="008764FB" w:rsidRPr="00A30BAC" w:rsidRDefault="008764FB" w:rsidP="00AB2CAA">
      <w:pPr>
        <w:pStyle w:val="Sinespaciado"/>
        <w:ind w:left="567" w:right="567"/>
        <w:jc w:val="both"/>
        <w:rPr>
          <w:rFonts w:ascii="Palatino Linotype" w:hAnsi="Palatino Linotype"/>
          <w:i/>
          <w:sz w:val="22"/>
        </w:rPr>
      </w:pPr>
      <w:r w:rsidRPr="00A30BAC">
        <w:rPr>
          <w:rFonts w:ascii="Palatino Linotype" w:hAnsi="Palatino Linotype"/>
          <w:b/>
          <w:i/>
          <w:sz w:val="22"/>
        </w:rPr>
        <w:t>XVIII. Administrar su hacienda en términos de ley</w:t>
      </w:r>
      <w:r w:rsidRPr="00A30BAC">
        <w:rPr>
          <w:rFonts w:ascii="Palatino Linotype" w:hAnsi="Palatino Linotype"/>
          <w:b/>
          <w:bCs/>
          <w:i/>
          <w:sz w:val="22"/>
        </w:rPr>
        <w:t>, y controlar</w:t>
      </w:r>
      <w:r w:rsidRPr="00A30BAC">
        <w:rPr>
          <w:rFonts w:ascii="Palatino Linotype" w:hAnsi="Palatino Linotype"/>
          <w:i/>
          <w:sz w:val="22"/>
        </w:rPr>
        <w:t xml:space="preserve"> a través del presidente y síndico </w:t>
      </w:r>
      <w:r w:rsidRPr="00A30BAC">
        <w:rPr>
          <w:rFonts w:ascii="Palatino Linotype" w:hAnsi="Palatino Linotype"/>
          <w:b/>
          <w:bCs/>
          <w:i/>
          <w:sz w:val="22"/>
        </w:rPr>
        <w:t>la aplicación del presupuesto de egresos del municipio</w:t>
      </w:r>
      <w:r w:rsidRPr="00A30BAC">
        <w:rPr>
          <w:rFonts w:ascii="Palatino Linotype" w:hAnsi="Palatino Linotype"/>
          <w:i/>
          <w:sz w:val="22"/>
        </w:rPr>
        <w:t>;</w:t>
      </w:r>
    </w:p>
    <w:p w14:paraId="7EBE521A" w14:textId="3E76F705" w:rsidR="008764FB" w:rsidRPr="00A30BAC" w:rsidRDefault="008764FB" w:rsidP="00AB2CAA">
      <w:pPr>
        <w:pStyle w:val="Sinespaciado"/>
        <w:ind w:left="567" w:right="567"/>
        <w:jc w:val="both"/>
        <w:rPr>
          <w:rFonts w:ascii="Palatino Linotype" w:hAnsi="Palatino Linotype"/>
          <w:bCs/>
          <w:i/>
          <w:sz w:val="22"/>
        </w:rPr>
      </w:pPr>
      <w:r w:rsidRPr="00A30BAC">
        <w:rPr>
          <w:rFonts w:ascii="Palatino Linotype" w:hAnsi="Palatino Linotype"/>
          <w:bCs/>
          <w:i/>
          <w:sz w:val="22"/>
        </w:rPr>
        <w:t>(…)”</w:t>
      </w:r>
    </w:p>
    <w:p w14:paraId="74EF3FBF" w14:textId="77777777" w:rsidR="00AB2CAA" w:rsidRPr="00A30BAC" w:rsidRDefault="00AB2CAA" w:rsidP="00AB2CAA">
      <w:pPr>
        <w:pStyle w:val="Sinespaciado"/>
        <w:ind w:left="567" w:right="567"/>
        <w:jc w:val="both"/>
        <w:rPr>
          <w:rFonts w:ascii="Palatino Linotype" w:hAnsi="Palatino Linotype"/>
          <w:bCs/>
          <w:i/>
          <w:sz w:val="22"/>
        </w:rPr>
      </w:pPr>
    </w:p>
    <w:p w14:paraId="6660B843" w14:textId="77777777" w:rsidR="008764FB" w:rsidRPr="00A30BAC" w:rsidRDefault="008764FB" w:rsidP="00AB2CAA">
      <w:pPr>
        <w:pStyle w:val="Sinespaciado"/>
        <w:ind w:left="567" w:right="567"/>
        <w:jc w:val="both"/>
        <w:rPr>
          <w:rFonts w:ascii="Palatino Linotype" w:hAnsi="Palatino Linotype"/>
          <w:sz w:val="22"/>
        </w:rPr>
      </w:pPr>
      <w:r w:rsidRPr="00A30BAC">
        <w:rPr>
          <w:rFonts w:ascii="Palatino Linotype" w:hAnsi="Palatino Linotype"/>
          <w:sz w:val="22"/>
        </w:rPr>
        <w:t>(Énfasis añadido)</w:t>
      </w:r>
    </w:p>
    <w:p w14:paraId="61AF8AB0" w14:textId="77777777" w:rsidR="008764FB" w:rsidRPr="00A30BAC"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AD5E240" w14:textId="7D1495DC" w:rsidR="003F2959" w:rsidRPr="00A30BAC"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Dicho </w:t>
      </w:r>
      <w:r w:rsidRPr="00A30BAC">
        <w:rPr>
          <w:rFonts w:ascii="Palatino Linotype" w:eastAsia="MS Mincho" w:hAnsi="Palatino Linotype" w:cs="Times New Roman"/>
        </w:rPr>
        <w:t xml:space="preserve">lo anterior, debemos </w:t>
      </w:r>
      <w:r w:rsidRPr="00A30BAC">
        <w:rPr>
          <w:rFonts w:ascii="Palatino Linotype" w:eastAsia="MS Mincho" w:hAnsi="Palatino Linotype" w:cs="Times New Roman"/>
          <w:lang w:val="es-ES_tradnl"/>
        </w:rPr>
        <w:t xml:space="preserve">señalar que la información en cuestión </w:t>
      </w:r>
      <w:r w:rsidR="00B16798" w:rsidRPr="00A30BAC">
        <w:rPr>
          <w:rFonts w:ascii="Palatino Linotype" w:eastAsia="MS Mincho" w:hAnsi="Palatino Linotype" w:cs="Times New Roman"/>
          <w:lang w:val="es-ES_tradnl"/>
        </w:rPr>
        <w:t>-</w:t>
      </w:r>
      <w:r w:rsidRPr="00A30BAC">
        <w:rPr>
          <w:rFonts w:ascii="Palatino Linotype" w:hAnsi="Palatino Linotype" w:cs="Arial"/>
          <w:color w:val="000000" w:themeColor="text1"/>
        </w:rPr>
        <w:t>los gastos de representación y viáticos</w:t>
      </w:r>
      <w:r w:rsidRPr="00A30BAC">
        <w:rPr>
          <w:rFonts w:ascii="Palatino Linotype" w:eastAsia="MS Mincho" w:hAnsi="Palatino Linotype" w:cs="Times New Roman"/>
          <w:lang w:val="es-ES_tradnl"/>
        </w:rPr>
        <w:t xml:space="preserve">- constituye, </w:t>
      </w:r>
      <w:r w:rsidRPr="00A30BAC">
        <w:rPr>
          <w:rFonts w:ascii="Palatino Linotype" w:eastAsia="MS Mincho" w:hAnsi="Palatino Linotype" w:cs="Times New Roman"/>
          <w:i/>
          <w:iCs/>
          <w:lang w:val="es-ES_tradnl"/>
        </w:rPr>
        <w:t>per se,</w:t>
      </w:r>
      <w:r w:rsidRPr="00A30BAC">
        <w:rPr>
          <w:rFonts w:ascii="Palatino Linotype" w:eastAsia="MS Mincho" w:hAnsi="Palatino Linotype" w:cs="Times New Roman"/>
          <w:lang w:val="es-ES_tradnl"/>
        </w:rPr>
        <w:t xml:space="preserve"> </w:t>
      </w:r>
      <w:r w:rsidRPr="00A30BAC">
        <w:rPr>
          <w:rFonts w:ascii="Palatino Linotype" w:eastAsia="MS Mincho" w:hAnsi="Palatino Linotype" w:cs="Times New Roman"/>
        </w:rPr>
        <w:t xml:space="preserve">una obligación de transparencia común que el </w:t>
      </w:r>
      <w:r w:rsidRPr="00A30BAC">
        <w:rPr>
          <w:rFonts w:ascii="Palatino Linotype" w:eastAsia="MS Mincho" w:hAnsi="Palatino Linotype" w:cs="Times New Roman"/>
          <w:b/>
        </w:rPr>
        <w:t>SUJETO OBLIGADO</w:t>
      </w:r>
      <w:r w:rsidRPr="00A30BAC">
        <w:rPr>
          <w:rFonts w:ascii="Palatino Linotype" w:eastAsia="MS Mincho" w:hAnsi="Palatino Linotype" w:cs="Times New Roman"/>
        </w:rPr>
        <w:t xml:space="preserve"> genera, administra y posee en sus archivos conforme a lo previsto por el artículo 92, fracciones VIII y XXV, de la Ley de Transparencia y Acceso a la Información Pública del Estado de México y Municipios; que a la letra cita:</w:t>
      </w:r>
    </w:p>
    <w:p w14:paraId="0767DB1B" w14:textId="493FB3B7" w:rsidR="003F2959" w:rsidRPr="00A30BAC" w:rsidRDefault="003F2959" w:rsidP="008764FB">
      <w:pPr>
        <w:pStyle w:val="Prrafodelista"/>
        <w:tabs>
          <w:tab w:val="left" w:pos="426"/>
        </w:tabs>
        <w:spacing w:before="240" w:line="360" w:lineRule="auto"/>
        <w:ind w:left="0" w:right="51"/>
        <w:jc w:val="both"/>
        <w:rPr>
          <w:rFonts w:ascii="Palatino Linotype" w:hAnsi="Palatino Linotype"/>
          <w:color w:val="000000" w:themeColor="text1"/>
        </w:rPr>
      </w:pPr>
    </w:p>
    <w:p w14:paraId="7176D5FB" w14:textId="77777777" w:rsidR="008764FB" w:rsidRPr="00A30BAC" w:rsidRDefault="008764FB" w:rsidP="00AB2CAA">
      <w:pPr>
        <w:ind w:left="567" w:right="567"/>
        <w:contextualSpacing/>
        <w:jc w:val="both"/>
        <w:rPr>
          <w:rFonts w:ascii="Palatino Linotype" w:hAnsi="Palatino Linotype"/>
          <w:i/>
          <w:iCs/>
          <w:sz w:val="22"/>
        </w:rPr>
      </w:pPr>
      <w:r w:rsidRPr="00A30BAC">
        <w:rPr>
          <w:rFonts w:ascii="Palatino Linotype" w:hAnsi="Palatino Linotype"/>
          <w:i/>
          <w:iCs/>
          <w:sz w:val="22"/>
        </w:rPr>
        <w:t>“</w:t>
      </w:r>
      <w:r w:rsidRPr="00A30BAC">
        <w:rPr>
          <w:rFonts w:ascii="Palatino Linotype" w:hAnsi="Palatino Linotype"/>
          <w:b/>
          <w:bCs/>
          <w:i/>
          <w:iCs/>
          <w:sz w:val="22"/>
        </w:rPr>
        <w:t>Artículo 92.</w:t>
      </w:r>
      <w:r w:rsidRPr="00A30BAC">
        <w:rPr>
          <w:rFonts w:ascii="Palatino Linotype" w:hAnsi="Palatino Linotype"/>
          <w:i/>
          <w:iCs/>
          <w:sz w:val="22"/>
        </w:rPr>
        <w:t xml:space="preserve"> </w:t>
      </w:r>
      <w:r w:rsidRPr="00A30BAC">
        <w:rPr>
          <w:rFonts w:ascii="Palatino Linotype" w:hAnsi="Palatino Linotype"/>
          <w:b/>
          <w:bCs/>
          <w:i/>
          <w:iCs/>
          <w:sz w:val="22"/>
        </w:rPr>
        <w:t>Los sujetos obligados deberán poner a disposición del público de manera permanente y actualizada</w:t>
      </w:r>
      <w:r w:rsidRPr="00A30BAC">
        <w:rPr>
          <w:rFonts w:ascii="Palatino Linotype" w:hAnsi="Palatino Linotype"/>
          <w:i/>
          <w:iCs/>
          <w:sz w:val="22"/>
        </w:rPr>
        <w:t xml:space="preserve"> de forma sencilla, precisa y entendible, en los respectivos medios electrónicos, de acuerdo con sus facultades, atribuciones, funciones u objeto social, según corresponda, la información, por lo menos, de </w:t>
      </w:r>
      <w:r w:rsidRPr="00A30BAC">
        <w:rPr>
          <w:rFonts w:ascii="Palatino Linotype" w:hAnsi="Palatino Linotype"/>
          <w:b/>
          <w:bCs/>
          <w:i/>
          <w:iCs/>
          <w:sz w:val="22"/>
        </w:rPr>
        <w:t>los temas, documentos y políticas que a continuación se señalan:</w:t>
      </w:r>
    </w:p>
    <w:p w14:paraId="76FBDFD0" w14:textId="77777777" w:rsidR="008764FB" w:rsidRPr="00A30BAC" w:rsidRDefault="008764FB" w:rsidP="00AB2CAA">
      <w:pPr>
        <w:ind w:left="567" w:right="567"/>
        <w:contextualSpacing/>
        <w:jc w:val="both"/>
        <w:rPr>
          <w:rFonts w:ascii="Palatino Linotype" w:hAnsi="Palatino Linotype"/>
          <w:i/>
          <w:iCs/>
          <w:sz w:val="22"/>
        </w:rPr>
      </w:pPr>
      <w:r w:rsidRPr="00A30BAC">
        <w:rPr>
          <w:rFonts w:ascii="Palatino Linotype" w:hAnsi="Palatino Linotype"/>
          <w:i/>
          <w:iCs/>
          <w:sz w:val="22"/>
        </w:rPr>
        <w:t>(…)</w:t>
      </w:r>
    </w:p>
    <w:p w14:paraId="37C6227A" w14:textId="31B4F678" w:rsidR="008764FB" w:rsidRPr="00A30BAC" w:rsidRDefault="008764FB" w:rsidP="00AB2CAA">
      <w:pPr>
        <w:ind w:left="567" w:right="567"/>
        <w:contextualSpacing/>
        <w:jc w:val="both"/>
        <w:rPr>
          <w:rFonts w:ascii="Palatino Linotype" w:hAnsi="Palatino Linotype"/>
          <w:bCs/>
          <w:i/>
          <w:iCs/>
          <w:sz w:val="22"/>
        </w:rPr>
      </w:pPr>
      <w:r w:rsidRPr="00A30BAC">
        <w:rPr>
          <w:rFonts w:ascii="Palatino Linotype" w:hAnsi="Palatino Linotype"/>
          <w:b/>
          <w:i/>
          <w:iCs/>
          <w:sz w:val="22"/>
        </w:rPr>
        <w:t>VIII. La remuneración</w:t>
      </w:r>
      <w:r w:rsidRPr="00A30BAC">
        <w:rPr>
          <w:rFonts w:ascii="Palatino Linotype" w:hAnsi="Palatino Linotype"/>
          <w:bCs/>
          <w:i/>
          <w:iCs/>
          <w:sz w:val="22"/>
        </w:rPr>
        <w:t xml:space="preserve"> bruta y neta </w:t>
      </w:r>
      <w:r w:rsidRPr="00A30BAC">
        <w:rPr>
          <w:rFonts w:ascii="Palatino Linotype" w:hAnsi="Palatino Linotype"/>
          <w:b/>
          <w:i/>
          <w:iCs/>
          <w:sz w:val="22"/>
        </w:rPr>
        <w:t>de todos los servidores públicos</w:t>
      </w:r>
      <w:r w:rsidRPr="00A30BAC">
        <w:rPr>
          <w:rFonts w:ascii="Palatino Linotype" w:hAnsi="Palatino Linotype"/>
          <w:bCs/>
          <w:i/>
          <w:iCs/>
          <w:sz w:val="22"/>
        </w:rPr>
        <w:t xml:space="preserve"> de base o de confianza, de todas las percepciones, incluyendo sueldos, prestaciones, gratificaciones, primas, comisiones, dietas, bonos, estímulos, ingresos y sistemas de compensación, señalando la periodicidad de dicha remuneración;</w:t>
      </w:r>
    </w:p>
    <w:p w14:paraId="47257C29" w14:textId="77777777" w:rsidR="008764FB" w:rsidRPr="00A30BAC" w:rsidRDefault="008764FB" w:rsidP="00AB2CAA">
      <w:pPr>
        <w:ind w:left="567" w:right="567"/>
        <w:contextualSpacing/>
        <w:jc w:val="both"/>
        <w:rPr>
          <w:rFonts w:ascii="Palatino Linotype" w:hAnsi="Palatino Linotype"/>
          <w:i/>
          <w:iCs/>
          <w:sz w:val="22"/>
        </w:rPr>
      </w:pPr>
      <w:r w:rsidRPr="00A30BAC">
        <w:rPr>
          <w:rFonts w:ascii="Palatino Linotype" w:hAnsi="Palatino Linotype"/>
          <w:i/>
          <w:iCs/>
          <w:sz w:val="22"/>
        </w:rPr>
        <w:t>(…)</w:t>
      </w:r>
    </w:p>
    <w:p w14:paraId="04190292" w14:textId="77777777" w:rsidR="008764FB" w:rsidRPr="00A30BAC" w:rsidRDefault="008764FB" w:rsidP="00AB2CAA">
      <w:pPr>
        <w:ind w:left="567" w:right="567"/>
        <w:contextualSpacing/>
        <w:jc w:val="both"/>
        <w:rPr>
          <w:rFonts w:ascii="Palatino Linotype" w:hAnsi="Palatino Linotype"/>
          <w:i/>
          <w:iCs/>
          <w:sz w:val="22"/>
        </w:rPr>
      </w:pPr>
      <w:r w:rsidRPr="00A30BAC">
        <w:rPr>
          <w:rFonts w:ascii="Palatino Linotype" w:hAnsi="Palatino Linotype"/>
          <w:b/>
          <w:bCs/>
          <w:i/>
          <w:iCs/>
          <w:sz w:val="22"/>
        </w:rPr>
        <w:lastRenderedPageBreak/>
        <w:t>XXV. La información financiera sobre el presupuesto asignado, así como los informes del ejercicio trimestral del gasto</w:t>
      </w:r>
      <w:r w:rsidRPr="00A30BAC">
        <w:rPr>
          <w:rFonts w:ascii="Palatino Linotype" w:hAnsi="Palatino Linotype"/>
          <w:i/>
          <w:iCs/>
          <w:sz w:val="22"/>
        </w:rPr>
        <w:t>, en términos de la Ley General de Contabilidad Gubernamental y demás disposiciones jurídicas aplicables;</w:t>
      </w:r>
    </w:p>
    <w:p w14:paraId="4E844E11" w14:textId="6927C237" w:rsidR="008764FB" w:rsidRPr="00A30BAC" w:rsidRDefault="008764FB" w:rsidP="00AB2CAA">
      <w:pPr>
        <w:ind w:left="567" w:right="567"/>
        <w:contextualSpacing/>
        <w:jc w:val="both"/>
        <w:rPr>
          <w:rFonts w:ascii="Palatino Linotype" w:hAnsi="Palatino Linotype"/>
          <w:i/>
          <w:iCs/>
          <w:sz w:val="22"/>
        </w:rPr>
      </w:pPr>
      <w:r w:rsidRPr="00A30BAC">
        <w:rPr>
          <w:rFonts w:ascii="Palatino Linotype" w:hAnsi="Palatino Linotype"/>
          <w:i/>
          <w:iCs/>
          <w:sz w:val="22"/>
        </w:rPr>
        <w:t>(…)”</w:t>
      </w:r>
    </w:p>
    <w:p w14:paraId="3552A454" w14:textId="77777777" w:rsidR="00AB2CAA" w:rsidRPr="00A30BAC" w:rsidRDefault="00AB2CAA" w:rsidP="00AB2CAA">
      <w:pPr>
        <w:ind w:left="567" w:right="567"/>
        <w:contextualSpacing/>
        <w:jc w:val="both"/>
        <w:rPr>
          <w:rFonts w:ascii="Palatino Linotype" w:hAnsi="Palatino Linotype"/>
          <w:sz w:val="22"/>
        </w:rPr>
      </w:pPr>
    </w:p>
    <w:p w14:paraId="44B3B067" w14:textId="77777777" w:rsidR="008764FB" w:rsidRPr="00A30BAC" w:rsidRDefault="008764FB" w:rsidP="00AB2CAA">
      <w:pPr>
        <w:ind w:left="567" w:right="567"/>
        <w:contextualSpacing/>
        <w:jc w:val="both"/>
        <w:rPr>
          <w:rFonts w:ascii="Palatino Linotype" w:hAnsi="Palatino Linotype" w:cs="Arial"/>
          <w:color w:val="000000" w:themeColor="text1"/>
          <w:sz w:val="22"/>
        </w:rPr>
      </w:pPr>
      <w:r w:rsidRPr="00A30BAC">
        <w:rPr>
          <w:rFonts w:ascii="Palatino Linotype" w:hAnsi="Palatino Linotype"/>
          <w:sz w:val="22"/>
        </w:rPr>
        <w:t>(Énfasis añadido)</w:t>
      </w:r>
    </w:p>
    <w:p w14:paraId="2665A94C" w14:textId="77777777" w:rsidR="008764FB" w:rsidRPr="00A30BAC"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32A4B17A" w14:textId="774DF4B5" w:rsidR="003F2959" w:rsidRPr="00A30BAC"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Del </w:t>
      </w:r>
      <w:r w:rsidRPr="00A30BAC">
        <w:rPr>
          <w:rFonts w:ascii="Palatino Linotype" w:hAnsi="Palatino Linotype" w:cs="Arial"/>
          <w:color w:val="000000" w:themeColor="text1"/>
        </w:rPr>
        <w:t xml:space="preserve">dispositivo normativo </w:t>
      </w:r>
      <w:r w:rsidRPr="00A30BAC">
        <w:rPr>
          <w:rFonts w:ascii="Palatino Linotype" w:hAnsi="Palatino Linotype" w:cs="Arial"/>
          <w:i/>
          <w:iCs/>
          <w:color w:val="000000" w:themeColor="text1"/>
        </w:rPr>
        <w:t>supra</w:t>
      </w:r>
      <w:r w:rsidRPr="00A30BAC">
        <w:rPr>
          <w:rFonts w:ascii="Palatino Linotype" w:hAnsi="Palatino Linotype" w:cs="Arial"/>
          <w:color w:val="000000" w:themeColor="text1"/>
        </w:rPr>
        <w:t xml:space="preserve"> transcrito, se aprecia que la información financiera sobre el presupuesto asignado del </w:t>
      </w:r>
      <w:r w:rsidRPr="00A30BAC">
        <w:rPr>
          <w:rFonts w:ascii="Palatino Linotype" w:hAnsi="Palatino Linotype" w:cs="Arial"/>
          <w:b/>
          <w:bCs/>
          <w:color w:val="000000" w:themeColor="text1"/>
        </w:rPr>
        <w:t>SUJETO OBLIGADO</w:t>
      </w:r>
      <w:r w:rsidRPr="00A30BAC">
        <w:rPr>
          <w:rFonts w:ascii="Palatino Linotype" w:hAnsi="Palatino Linotype" w:cs="Arial"/>
          <w:color w:val="000000" w:themeColor="text1"/>
        </w:rPr>
        <w:t xml:space="preserve">, así como los informes relacionados con el uso y gasto del mismo -como, por ejemplo, en el pago de impuestos realizados al Servicio de Administración Tributaria-, serán difundidos y publicados a la ciudadanía, ya que, como sucede con </w:t>
      </w:r>
      <w:r w:rsidR="00463B0F" w:rsidRPr="00A30BAC">
        <w:rPr>
          <w:rFonts w:ascii="Palatino Linotype" w:hAnsi="Palatino Linotype" w:cs="Arial"/>
          <w:color w:val="000000" w:themeColor="text1"/>
        </w:rPr>
        <w:t>el pago de impuestos relacionados con las nóminas, sueldos y/o salarios de los trabajadores</w:t>
      </w:r>
      <w:r w:rsidRPr="00A30BAC">
        <w:rPr>
          <w:rFonts w:ascii="Palatino Linotype" w:hAnsi="Palatino Linotype" w:cs="Arial"/>
          <w:color w:val="000000" w:themeColor="text1"/>
        </w:rPr>
        <w:t xml:space="preserve">, </w:t>
      </w:r>
      <w:r w:rsidRPr="00A30BAC">
        <w:rPr>
          <w:rFonts w:ascii="Palatino Linotype" w:hAnsi="Palatino Linotype" w:cs="Arial"/>
          <w:b/>
          <w:bCs/>
          <w:color w:val="000000" w:themeColor="text1"/>
          <w:u w:val="single"/>
        </w:rPr>
        <w:t>tod</w:t>
      </w:r>
      <w:r w:rsidR="00463B0F" w:rsidRPr="00A30BAC">
        <w:rPr>
          <w:rFonts w:ascii="Palatino Linotype" w:hAnsi="Palatino Linotype" w:cs="Arial"/>
          <w:b/>
          <w:bCs/>
          <w:color w:val="000000" w:themeColor="text1"/>
          <w:u w:val="single"/>
        </w:rPr>
        <w:t>a erogación</w:t>
      </w:r>
      <w:r w:rsidRPr="00A30BAC">
        <w:rPr>
          <w:rFonts w:ascii="Palatino Linotype" w:hAnsi="Palatino Linotype" w:cs="Arial"/>
          <w:b/>
          <w:bCs/>
          <w:color w:val="000000" w:themeColor="text1"/>
          <w:u w:val="single"/>
        </w:rPr>
        <w:t xml:space="preserve"> </w:t>
      </w:r>
      <w:r w:rsidR="00463B0F" w:rsidRPr="00A30BAC">
        <w:rPr>
          <w:rFonts w:ascii="Palatino Linotype" w:hAnsi="Palatino Linotype" w:cs="Arial"/>
          <w:b/>
          <w:bCs/>
          <w:color w:val="000000" w:themeColor="text1"/>
          <w:u w:val="single"/>
        </w:rPr>
        <w:t xml:space="preserve">económica </w:t>
      </w:r>
      <w:r w:rsidRPr="00A30BAC">
        <w:rPr>
          <w:rFonts w:ascii="Palatino Linotype" w:hAnsi="Palatino Linotype" w:cs="Arial"/>
          <w:b/>
          <w:bCs/>
          <w:color w:val="000000" w:themeColor="text1"/>
          <w:u w:val="single"/>
        </w:rPr>
        <w:t xml:space="preserve">que realice el Ayuntamiento de </w:t>
      </w:r>
      <w:r w:rsidR="00B16798" w:rsidRPr="00A30BAC">
        <w:rPr>
          <w:rFonts w:ascii="Palatino Linotype" w:hAnsi="Palatino Linotype" w:cs="Arial"/>
          <w:b/>
          <w:bCs/>
          <w:color w:val="000000" w:themeColor="text1"/>
          <w:u w:val="single"/>
        </w:rPr>
        <w:t>Villa del Carbón</w:t>
      </w:r>
      <w:r w:rsidRPr="00A30BAC">
        <w:rPr>
          <w:rFonts w:ascii="Palatino Linotype" w:hAnsi="Palatino Linotype" w:cs="Arial"/>
          <w:b/>
          <w:bCs/>
          <w:color w:val="000000" w:themeColor="text1"/>
          <w:u w:val="single"/>
        </w:rPr>
        <w:t xml:space="preserve"> debe ser realizado de forma transparente y reconocido dentro de sus informes financieros</w:t>
      </w:r>
      <w:r w:rsidRPr="00A30BAC">
        <w:rPr>
          <w:rFonts w:ascii="Palatino Linotype" w:hAnsi="Palatino Linotype" w:cs="Arial"/>
          <w:color w:val="000000" w:themeColor="text1"/>
        </w:rPr>
        <w:t>.</w:t>
      </w:r>
    </w:p>
    <w:p w14:paraId="4CDB4E0C" w14:textId="77777777" w:rsidR="003F2959" w:rsidRPr="00A30BAC"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26BEFCD3" w14:textId="0C0F66C3" w:rsidR="003F2959" w:rsidRPr="00A30BAC" w:rsidRDefault="00463B0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Dicho lo anterior, no es ocioso recordar que, de las constancias que obran en el expediente digital formado en el SAIMEX, la única área administrativa que se encargó de dar respuesta a la solicitud de información fue la Unidad de</w:t>
      </w:r>
      <w:r w:rsidR="00167D88" w:rsidRPr="00A30BAC">
        <w:rPr>
          <w:rFonts w:ascii="Palatino Linotype" w:hAnsi="Palatino Linotype"/>
          <w:color w:val="000000" w:themeColor="text1"/>
        </w:rPr>
        <w:t xml:space="preserve"> </w:t>
      </w:r>
      <w:r w:rsidRPr="00A30BAC">
        <w:rPr>
          <w:rFonts w:ascii="Palatino Linotype" w:hAnsi="Palatino Linotype"/>
          <w:color w:val="000000" w:themeColor="text1"/>
        </w:rPr>
        <w:t>Transparencia</w:t>
      </w:r>
      <w:r w:rsidR="00167D88" w:rsidRPr="00A30BAC">
        <w:rPr>
          <w:rFonts w:ascii="Palatino Linotype" w:hAnsi="Palatino Linotype"/>
          <w:color w:val="000000" w:themeColor="text1"/>
        </w:rPr>
        <w:t>.</w:t>
      </w:r>
    </w:p>
    <w:p w14:paraId="0FA2D8C3" w14:textId="77777777" w:rsidR="003F2959" w:rsidRPr="00A30BAC"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05FF326" w14:textId="3E77D612" w:rsidR="003F2959" w:rsidRPr="00A30BAC"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Derivado de lo anterior, no se advierte que la Unidad de Transparencia del </w:t>
      </w:r>
      <w:r w:rsidRPr="00A30BAC">
        <w:rPr>
          <w:rFonts w:ascii="Palatino Linotype" w:hAnsi="Palatino Linotype"/>
          <w:b/>
          <w:bCs/>
          <w:color w:val="000000" w:themeColor="text1"/>
        </w:rPr>
        <w:t>SUJETO OBLIGADO</w:t>
      </w:r>
      <w:r w:rsidRPr="00A30BAC">
        <w:rPr>
          <w:rFonts w:ascii="Palatino Linotype" w:hAnsi="Palatino Linotype"/>
          <w:color w:val="000000" w:themeColor="text1"/>
        </w:rPr>
        <w:t xml:space="preserve"> haya turnado de manera eficaz la solicitud </w:t>
      </w:r>
      <w:r w:rsidRPr="00A30BAC">
        <w:rPr>
          <w:rFonts w:ascii="Palatino Linotype" w:hAnsi="Palatino Linotype"/>
          <w:b/>
          <w:bCs/>
          <w:color w:val="000000" w:themeColor="text1"/>
        </w:rPr>
        <w:t>000</w:t>
      </w:r>
      <w:r w:rsidR="00167D88" w:rsidRPr="00A30BAC">
        <w:rPr>
          <w:rFonts w:ascii="Palatino Linotype" w:hAnsi="Palatino Linotype"/>
          <w:b/>
          <w:bCs/>
          <w:color w:val="000000" w:themeColor="text1"/>
        </w:rPr>
        <w:t>42</w:t>
      </w:r>
      <w:r w:rsidRPr="00A30BAC">
        <w:rPr>
          <w:rFonts w:ascii="Palatino Linotype" w:hAnsi="Palatino Linotype"/>
          <w:b/>
          <w:bCs/>
          <w:color w:val="000000" w:themeColor="text1"/>
        </w:rPr>
        <w:t>/</w:t>
      </w:r>
      <w:r w:rsidR="00167D88" w:rsidRPr="00A30BAC">
        <w:rPr>
          <w:rFonts w:ascii="Palatino Linotype" w:hAnsi="Palatino Linotype"/>
          <w:b/>
          <w:bCs/>
          <w:color w:val="000000" w:themeColor="text1"/>
        </w:rPr>
        <w:t>VICARBO</w:t>
      </w:r>
      <w:r w:rsidRPr="00A30BAC">
        <w:rPr>
          <w:rFonts w:ascii="Palatino Linotype" w:hAnsi="Palatino Linotype"/>
          <w:b/>
          <w:bCs/>
          <w:color w:val="000000" w:themeColor="text1"/>
        </w:rPr>
        <w:t>/IP/2022</w:t>
      </w:r>
      <w:r w:rsidRPr="00A30BAC">
        <w:rPr>
          <w:rFonts w:ascii="Palatino Linotype" w:hAnsi="Palatino Linotype"/>
          <w:color w:val="000000" w:themeColor="text1"/>
        </w:rPr>
        <w:t xml:space="preserve"> a las áreas administrativas competentes para poseer, generar o administrar la información solicitada.</w:t>
      </w:r>
    </w:p>
    <w:p w14:paraId="5B86DF66" w14:textId="77777777" w:rsidR="003F2959" w:rsidRPr="00A30BAC"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B518272" w14:textId="6CACD33C" w:rsidR="003F2959" w:rsidRPr="00A30BAC"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 xml:space="preserve">En ese sentido, debemos señalar que la Ley Orgánica Municipal del Estado de México, en su artículo 86, establece que para el ejercicio de sus atribuciones y responsabilidades ejecutivas, el </w:t>
      </w:r>
      <w:r w:rsidR="00167D88" w:rsidRPr="00A30BAC">
        <w:rPr>
          <w:rFonts w:ascii="Palatino Linotype" w:hAnsi="Palatino Linotype"/>
          <w:color w:val="000000" w:themeColor="text1"/>
        </w:rPr>
        <w:t>A</w:t>
      </w:r>
      <w:r w:rsidRPr="00A30BAC">
        <w:rPr>
          <w:rFonts w:ascii="Palatino Linotype" w:hAnsi="Palatino Linotype"/>
          <w:color w:val="000000" w:themeColor="text1"/>
        </w:rPr>
        <w:t>yuntamiento se auxiliará con las dependencias y entidades de la administración pública municipal, que en cada caso acuerde el cabildo a propuesta del Presidente Municipal, las que estarán subordinadas a este servidor público.</w:t>
      </w:r>
    </w:p>
    <w:p w14:paraId="7199D842" w14:textId="77777777" w:rsidR="003F2959" w:rsidRPr="00A30BAC"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E878FFF" w14:textId="0D146FE3" w:rsidR="003F2959" w:rsidRPr="00A30BAC"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Para el despacho, estudio y planeación de los diversos asuntos de la administración municipal, el </w:t>
      </w:r>
      <w:r w:rsidR="00167D88" w:rsidRPr="00A30BAC">
        <w:rPr>
          <w:rFonts w:ascii="Palatino Linotype" w:hAnsi="Palatino Linotype"/>
          <w:color w:val="000000" w:themeColor="text1"/>
        </w:rPr>
        <w:t>A</w:t>
      </w:r>
      <w:r w:rsidRPr="00A30BAC">
        <w:rPr>
          <w:rFonts w:ascii="Palatino Linotype" w:hAnsi="Palatino Linotype"/>
          <w:color w:val="000000" w:themeColor="text1"/>
        </w:rPr>
        <w:t>yuntamiento deberá contar, por lo menos, con las siguientes dependencias</w:t>
      </w:r>
      <w:r w:rsidRPr="00A30BAC">
        <w:rPr>
          <w:rStyle w:val="Refdenotaalpie"/>
          <w:rFonts w:ascii="Palatino Linotype" w:hAnsi="Palatino Linotype"/>
          <w:color w:val="000000" w:themeColor="text1"/>
        </w:rPr>
        <w:footnoteReference w:id="9"/>
      </w:r>
      <w:r w:rsidRPr="00A30BAC">
        <w:rPr>
          <w:rFonts w:ascii="Palatino Linotype" w:hAnsi="Palatino Linotype"/>
          <w:color w:val="000000" w:themeColor="text1"/>
        </w:rPr>
        <w:t>:</w:t>
      </w:r>
    </w:p>
    <w:p w14:paraId="59F5651F" w14:textId="77777777" w:rsidR="00AB2CAA" w:rsidRPr="00A30BAC"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3DC87C21" w14:textId="77777777" w:rsidR="0071522B" w:rsidRPr="00A30BAC"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A30BAC">
        <w:rPr>
          <w:rFonts w:ascii="Palatino Linotype" w:hAnsi="Palatino Linotype"/>
          <w:color w:val="000000" w:themeColor="text1"/>
        </w:rPr>
        <w:t xml:space="preserve">La </w:t>
      </w:r>
      <w:r w:rsidR="0071522B" w:rsidRPr="00A30BAC">
        <w:rPr>
          <w:rFonts w:ascii="Palatino Linotype" w:hAnsi="Palatino Linotype"/>
        </w:rPr>
        <w:t xml:space="preserve">Secretaría </w:t>
      </w:r>
      <w:r w:rsidRPr="00A30BAC">
        <w:rPr>
          <w:rFonts w:ascii="Palatino Linotype" w:hAnsi="Palatino Linotype"/>
        </w:rPr>
        <w:t xml:space="preserve">del </w:t>
      </w:r>
      <w:r w:rsidR="0071522B" w:rsidRPr="00A30BAC">
        <w:rPr>
          <w:rFonts w:ascii="Palatino Linotype" w:hAnsi="Palatino Linotype"/>
        </w:rPr>
        <w:t>Ayuntamiento</w:t>
      </w:r>
      <w:r w:rsidRPr="00A30BAC">
        <w:rPr>
          <w:rFonts w:ascii="Palatino Linotype" w:hAnsi="Palatino Linotype"/>
        </w:rPr>
        <w:t xml:space="preserve">; </w:t>
      </w:r>
    </w:p>
    <w:p w14:paraId="49F6B005" w14:textId="67724D30" w:rsidR="0071522B" w:rsidRPr="00A30BAC"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b/>
          <w:bCs/>
          <w:color w:val="000000" w:themeColor="text1"/>
        </w:rPr>
      </w:pPr>
      <w:r w:rsidRPr="00A30BAC">
        <w:rPr>
          <w:rFonts w:ascii="Palatino Linotype" w:hAnsi="Palatino Linotype"/>
          <w:b/>
          <w:bCs/>
        </w:rPr>
        <w:t xml:space="preserve">La </w:t>
      </w:r>
      <w:r w:rsidR="0071522B" w:rsidRPr="00A30BAC">
        <w:rPr>
          <w:rFonts w:ascii="Palatino Linotype" w:hAnsi="Palatino Linotype"/>
          <w:b/>
          <w:bCs/>
        </w:rPr>
        <w:t>Tesorería M</w:t>
      </w:r>
      <w:r w:rsidRPr="00A30BAC">
        <w:rPr>
          <w:rFonts w:ascii="Palatino Linotype" w:hAnsi="Palatino Linotype"/>
          <w:b/>
          <w:bCs/>
        </w:rPr>
        <w:t xml:space="preserve">unicipal. </w:t>
      </w:r>
    </w:p>
    <w:p w14:paraId="58A22966" w14:textId="77777777" w:rsidR="0071522B" w:rsidRPr="00A30BAC"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A30BAC">
        <w:rPr>
          <w:rFonts w:ascii="Palatino Linotype" w:hAnsi="Palatino Linotype"/>
        </w:rPr>
        <w:t xml:space="preserve">La Dirección de Obras Públicas o equivalente. </w:t>
      </w:r>
    </w:p>
    <w:p w14:paraId="6B48D33D" w14:textId="77777777" w:rsidR="0071522B" w:rsidRPr="00A30BAC"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A30BAC">
        <w:rPr>
          <w:rFonts w:ascii="Palatino Linotype" w:hAnsi="Palatino Linotype"/>
        </w:rPr>
        <w:t xml:space="preserve">La Dirección de Desarrollo Económico o equivalente. </w:t>
      </w:r>
    </w:p>
    <w:p w14:paraId="0EC97988" w14:textId="77777777" w:rsidR="0071522B" w:rsidRPr="00A30BAC"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A30BAC">
        <w:rPr>
          <w:rFonts w:ascii="Palatino Linotype" w:hAnsi="Palatino Linotype"/>
        </w:rPr>
        <w:t xml:space="preserve">La Dirección de Desarrollo Urbano o equivalente; </w:t>
      </w:r>
    </w:p>
    <w:p w14:paraId="36C5A3F9" w14:textId="77777777" w:rsidR="0071522B" w:rsidRPr="00A30BAC"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A30BAC">
        <w:rPr>
          <w:rFonts w:ascii="Palatino Linotype" w:hAnsi="Palatino Linotype"/>
        </w:rPr>
        <w:t xml:space="preserve">La Dirección de Ecología o equivalente. </w:t>
      </w:r>
    </w:p>
    <w:p w14:paraId="581F66D3" w14:textId="77777777" w:rsidR="0071522B" w:rsidRPr="00A30BAC"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A30BAC">
        <w:rPr>
          <w:rFonts w:ascii="Palatino Linotype" w:hAnsi="Palatino Linotype"/>
        </w:rPr>
        <w:t xml:space="preserve">La Dirección de Desarrollo Social o equivalente. </w:t>
      </w:r>
    </w:p>
    <w:p w14:paraId="3BA442D3" w14:textId="77777777" w:rsidR="0071522B" w:rsidRPr="00A30BAC" w:rsidRDefault="0071522B"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A30BAC">
        <w:rPr>
          <w:rFonts w:ascii="Palatino Linotype" w:hAnsi="Palatino Linotype"/>
        </w:rPr>
        <w:t xml:space="preserve">La Coordinación Municipal de Protección Civil o equivalente. </w:t>
      </w:r>
    </w:p>
    <w:p w14:paraId="7445635B" w14:textId="7B3F61AE" w:rsidR="007C099C" w:rsidRPr="00A30BAC" w:rsidRDefault="0071522B"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A30BAC">
        <w:rPr>
          <w:rFonts w:ascii="Palatino Linotype" w:hAnsi="Palatino Linotype"/>
        </w:rPr>
        <w:t>La Dirección de las Mujeres o equivalente.</w:t>
      </w:r>
    </w:p>
    <w:p w14:paraId="446E3A41" w14:textId="77777777" w:rsidR="003F2959" w:rsidRPr="00A30BAC"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48E9F45" w14:textId="5CBC09FB" w:rsidR="003F2959" w:rsidRPr="00A30BAC" w:rsidRDefault="0071522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Siendo de especial interés, para el presente asunto, la Tesorería Municipal, la cual será el órgano encargado de la recaudación de los ingresos municipales y </w:t>
      </w:r>
      <w:r w:rsidRPr="00A30BAC">
        <w:rPr>
          <w:rFonts w:ascii="Palatino Linotype" w:hAnsi="Palatino Linotype"/>
          <w:b/>
          <w:bCs/>
          <w:color w:val="000000" w:themeColor="text1"/>
        </w:rPr>
        <w:t>responsable de realizar las erogaciones que haga el ayuntamiento</w:t>
      </w:r>
      <w:r w:rsidRPr="00A30BAC">
        <w:rPr>
          <w:rStyle w:val="Refdenotaalpie"/>
          <w:rFonts w:ascii="Palatino Linotype" w:hAnsi="Palatino Linotype"/>
          <w:b/>
          <w:bCs/>
          <w:color w:val="000000" w:themeColor="text1"/>
        </w:rPr>
        <w:footnoteReference w:id="10"/>
      </w:r>
      <w:r w:rsidRPr="00A30BAC">
        <w:rPr>
          <w:rFonts w:ascii="Palatino Linotype" w:hAnsi="Palatino Linotype"/>
          <w:color w:val="000000" w:themeColor="text1"/>
        </w:rPr>
        <w:t xml:space="preserve">. Por lo tanto, y de conformidad con lo dispuesto por el artículo 95 de la Ley Orgánica Municipal </w:t>
      </w:r>
      <w:r w:rsidRPr="00A30BAC">
        <w:rPr>
          <w:rFonts w:ascii="Palatino Linotype" w:hAnsi="Palatino Linotype"/>
          <w:color w:val="000000" w:themeColor="text1"/>
        </w:rPr>
        <w:lastRenderedPageBreak/>
        <w:t>del Estado de México, el Titular de la Tesorería Municipal tendrá, entre sus atribuciones, las siguientes:</w:t>
      </w:r>
    </w:p>
    <w:p w14:paraId="2DBBBD15" w14:textId="34D7C70A" w:rsidR="003F2959" w:rsidRPr="00A30BAC"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8D0CA94" w14:textId="175BF0F3" w:rsidR="0071522B" w:rsidRPr="00A30BAC" w:rsidRDefault="00BB5ADB" w:rsidP="00AB2CAA">
      <w:pPr>
        <w:pStyle w:val="Prrafodelista"/>
        <w:tabs>
          <w:tab w:val="left" w:pos="426"/>
        </w:tabs>
        <w:spacing w:before="240" w:after="240"/>
        <w:ind w:left="567" w:right="567"/>
        <w:jc w:val="both"/>
        <w:rPr>
          <w:rFonts w:ascii="Palatino Linotype" w:hAnsi="Palatino Linotype"/>
          <w:i/>
          <w:iCs/>
          <w:sz w:val="22"/>
          <w:szCs w:val="22"/>
        </w:rPr>
      </w:pPr>
      <w:r w:rsidRPr="00A30BAC">
        <w:rPr>
          <w:rFonts w:ascii="Palatino Linotype" w:hAnsi="Palatino Linotype"/>
          <w:i/>
          <w:iCs/>
          <w:sz w:val="22"/>
          <w:szCs w:val="22"/>
        </w:rPr>
        <w:t>“</w:t>
      </w:r>
      <w:r w:rsidR="0071522B" w:rsidRPr="00A30BAC">
        <w:rPr>
          <w:rFonts w:ascii="Palatino Linotype" w:hAnsi="Palatino Linotype"/>
          <w:b/>
          <w:bCs/>
          <w:i/>
          <w:iCs/>
          <w:sz w:val="22"/>
          <w:szCs w:val="22"/>
        </w:rPr>
        <w:t>Artículo 95.-</w:t>
      </w:r>
      <w:r w:rsidR="0071522B" w:rsidRPr="00A30BAC">
        <w:rPr>
          <w:rFonts w:ascii="Palatino Linotype" w:hAnsi="Palatino Linotype"/>
          <w:i/>
          <w:iCs/>
          <w:sz w:val="22"/>
          <w:szCs w:val="22"/>
        </w:rPr>
        <w:t xml:space="preserve"> Son atribuciones del tesorero municipal: </w:t>
      </w:r>
    </w:p>
    <w:p w14:paraId="54FB90D7" w14:textId="1CF848F0" w:rsidR="0071522B" w:rsidRPr="00A30BAC" w:rsidRDefault="0071522B" w:rsidP="00AB2CAA">
      <w:pPr>
        <w:pStyle w:val="Prrafodelista"/>
        <w:tabs>
          <w:tab w:val="left" w:pos="426"/>
        </w:tabs>
        <w:spacing w:before="240" w:after="240"/>
        <w:ind w:left="567" w:right="567"/>
        <w:jc w:val="both"/>
        <w:rPr>
          <w:rFonts w:ascii="Palatino Linotype" w:hAnsi="Palatino Linotype"/>
          <w:i/>
          <w:iCs/>
          <w:sz w:val="22"/>
          <w:szCs w:val="22"/>
        </w:rPr>
      </w:pPr>
      <w:r w:rsidRPr="00A30BAC">
        <w:rPr>
          <w:rFonts w:ascii="Palatino Linotype" w:hAnsi="Palatino Linotype"/>
          <w:b/>
          <w:bCs/>
          <w:i/>
          <w:iCs/>
          <w:sz w:val="22"/>
          <w:szCs w:val="22"/>
        </w:rPr>
        <w:t>I.</w:t>
      </w:r>
      <w:r w:rsidRPr="00A30BAC">
        <w:rPr>
          <w:rFonts w:ascii="Palatino Linotype" w:hAnsi="Palatino Linotype"/>
          <w:i/>
          <w:iCs/>
          <w:sz w:val="22"/>
          <w:szCs w:val="22"/>
        </w:rPr>
        <w:t xml:space="preserve"> </w:t>
      </w:r>
      <w:r w:rsidRPr="00A30BAC">
        <w:rPr>
          <w:rFonts w:ascii="Palatino Linotype" w:hAnsi="Palatino Linotype"/>
          <w:b/>
          <w:bCs/>
          <w:i/>
          <w:iCs/>
          <w:sz w:val="22"/>
          <w:szCs w:val="22"/>
        </w:rPr>
        <w:t>Administrar la hacienda pública municipal</w:t>
      </w:r>
      <w:r w:rsidRPr="00A30BAC">
        <w:rPr>
          <w:rFonts w:ascii="Palatino Linotype" w:hAnsi="Palatino Linotype"/>
          <w:i/>
          <w:iCs/>
          <w:sz w:val="22"/>
          <w:szCs w:val="22"/>
        </w:rPr>
        <w:t>, de conformidad con las disposiciones legales aplicables;</w:t>
      </w:r>
    </w:p>
    <w:p w14:paraId="7C12E95D" w14:textId="4429B124" w:rsidR="0071522B" w:rsidRPr="00A30BAC" w:rsidRDefault="0071522B" w:rsidP="00AB2CAA">
      <w:pPr>
        <w:pStyle w:val="Prrafodelista"/>
        <w:tabs>
          <w:tab w:val="left" w:pos="426"/>
        </w:tabs>
        <w:spacing w:before="240" w:after="240"/>
        <w:ind w:left="567" w:right="567"/>
        <w:jc w:val="both"/>
        <w:rPr>
          <w:rFonts w:ascii="Palatino Linotype" w:hAnsi="Palatino Linotype"/>
          <w:i/>
          <w:iCs/>
          <w:sz w:val="22"/>
          <w:szCs w:val="22"/>
        </w:rPr>
      </w:pPr>
      <w:r w:rsidRPr="00A30BAC">
        <w:rPr>
          <w:rFonts w:ascii="Palatino Linotype" w:hAnsi="Palatino Linotype"/>
          <w:i/>
          <w:iCs/>
          <w:sz w:val="22"/>
          <w:szCs w:val="22"/>
        </w:rPr>
        <w:t>(…)</w:t>
      </w:r>
    </w:p>
    <w:p w14:paraId="0E7D92D0" w14:textId="5E8DA423" w:rsidR="0071522B" w:rsidRPr="00A30BAC" w:rsidRDefault="0071522B" w:rsidP="00AB2CAA">
      <w:pPr>
        <w:pStyle w:val="Prrafodelista"/>
        <w:tabs>
          <w:tab w:val="left" w:pos="426"/>
        </w:tabs>
        <w:spacing w:before="240" w:after="240"/>
        <w:ind w:left="567" w:right="567"/>
        <w:jc w:val="both"/>
        <w:rPr>
          <w:rFonts w:ascii="Palatino Linotype" w:hAnsi="Palatino Linotype"/>
          <w:i/>
          <w:iCs/>
          <w:sz w:val="22"/>
          <w:szCs w:val="22"/>
        </w:rPr>
      </w:pPr>
      <w:r w:rsidRPr="00A30BAC">
        <w:rPr>
          <w:rFonts w:ascii="Palatino Linotype" w:hAnsi="Palatino Linotype"/>
          <w:b/>
          <w:bCs/>
          <w:i/>
          <w:iCs/>
          <w:sz w:val="22"/>
          <w:szCs w:val="22"/>
        </w:rPr>
        <w:t>IV.</w:t>
      </w:r>
      <w:r w:rsidRPr="00A30BAC">
        <w:rPr>
          <w:rFonts w:ascii="Palatino Linotype" w:hAnsi="Palatino Linotype"/>
          <w:i/>
          <w:iCs/>
          <w:sz w:val="22"/>
          <w:szCs w:val="22"/>
        </w:rPr>
        <w:t xml:space="preserve"> </w:t>
      </w:r>
      <w:r w:rsidRPr="00A30BAC">
        <w:rPr>
          <w:rFonts w:ascii="Palatino Linotype" w:hAnsi="Palatino Linotype"/>
          <w:b/>
          <w:bCs/>
          <w:i/>
          <w:iCs/>
          <w:sz w:val="22"/>
          <w:szCs w:val="22"/>
        </w:rPr>
        <w:t>Llevar los registros contables, financieros</w:t>
      </w:r>
      <w:r w:rsidRPr="00A30BAC">
        <w:rPr>
          <w:rFonts w:ascii="Palatino Linotype" w:hAnsi="Palatino Linotype"/>
          <w:i/>
          <w:iCs/>
          <w:sz w:val="22"/>
          <w:szCs w:val="22"/>
        </w:rPr>
        <w:t xml:space="preserve"> y administrativos de los ingresos, egresos, e inventarios;</w:t>
      </w:r>
    </w:p>
    <w:p w14:paraId="7ADEB83D" w14:textId="1E99CDF2" w:rsidR="0071522B" w:rsidRPr="00A30BAC" w:rsidRDefault="0071522B" w:rsidP="00AB2CAA">
      <w:pPr>
        <w:pStyle w:val="Prrafodelista"/>
        <w:tabs>
          <w:tab w:val="left" w:pos="426"/>
        </w:tabs>
        <w:spacing w:before="240" w:after="240"/>
        <w:ind w:left="567" w:right="567"/>
        <w:jc w:val="both"/>
        <w:rPr>
          <w:rFonts w:ascii="Palatino Linotype" w:hAnsi="Palatino Linotype"/>
          <w:i/>
          <w:iCs/>
          <w:sz w:val="22"/>
          <w:szCs w:val="22"/>
        </w:rPr>
      </w:pPr>
      <w:r w:rsidRPr="00A30BAC">
        <w:rPr>
          <w:rFonts w:ascii="Palatino Linotype" w:hAnsi="Palatino Linotype"/>
          <w:i/>
          <w:iCs/>
          <w:sz w:val="22"/>
          <w:szCs w:val="22"/>
        </w:rPr>
        <w:t>(…)</w:t>
      </w:r>
      <w:r w:rsidR="00BB5ADB" w:rsidRPr="00A30BAC">
        <w:rPr>
          <w:rFonts w:ascii="Palatino Linotype" w:hAnsi="Palatino Linotype"/>
          <w:i/>
          <w:iCs/>
          <w:sz w:val="22"/>
          <w:szCs w:val="22"/>
        </w:rPr>
        <w:t>”</w:t>
      </w:r>
    </w:p>
    <w:p w14:paraId="0D7E8A9E" w14:textId="77777777" w:rsidR="00AB2CAA" w:rsidRPr="00A30BAC" w:rsidRDefault="00AB2CAA" w:rsidP="00AB2CAA">
      <w:pPr>
        <w:pStyle w:val="Prrafodelista"/>
        <w:tabs>
          <w:tab w:val="left" w:pos="426"/>
        </w:tabs>
        <w:spacing w:before="240" w:after="240"/>
        <w:ind w:left="567" w:right="567"/>
        <w:jc w:val="both"/>
        <w:rPr>
          <w:rFonts w:ascii="Palatino Linotype" w:hAnsi="Palatino Linotype"/>
          <w:i/>
          <w:iCs/>
          <w:sz w:val="22"/>
          <w:szCs w:val="22"/>
        </w:rPr>
      </w:pPr>
    </w:p>
    <w:p w14:paraId="3346CFE8" w14:textId="36BE7B0E" w:rsidR="00BB5ADB" w:rsidRPr="00A30BAC" w:rsidRDefault="00BB5ADB" w:rsidP="00AB2CAA">
      <w:pPr>
        <w:pStyle w:val="Prrafodelista"/>
        <w:tabs>
          <w:tab w:val="left" w:pos="426"/>
        </w:tabs>
        <w:spacing w:before="240" w:after="240"/>
        <w:ind w:left="567" w:right="567"/>
        <w:jc w:val="both"/>
        <w:rPr>
          <w:rFonts w:ascii="Palatino Linotype" w:hAnsi="Palatino Linotype"/>
          <w:sz w:val="22"/>
          <w:szCs w:val="22"/>
        </w:rPr>
      </w:pPr>
      <w:r w:rsidRPr="00A30BAC">
        <w:rPr>
          <w:rFonts w:ascii="Palatino Linotype" w:hAnsi="Palatino Linotype"/>
          <w:sz w:val="22"/>
          <w:szCs w:val="22"/>
        </w:rPr>
        <w:t>(Énfasis añadido)</w:t>
      </w:r>
    </w:p>
    <w:p w14:paraId="0F0CA587" w14:textId="77777777" w:rsidR="0071522B" w:rsidRPr="00A30BAC" w:rsidRDefault="0071522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6DC603C8" w14:textId="1779A3E8" w:rsidR="003F2959" w:rsidRPr="00A30BAC" w:rsidRDefault="00F62C0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Aunado a lo anterior, debido a la naturaleza de lo solicitado, relacionado con los impuestos relacionados con las nóminas, sueldos y salarios de los trabajadores, se considera, también, que aparte de la </w:t>
      </w:r>
      <w:r w:rsidRPr="00A30BAC">
        <w:rPr>
          <w:rFonts w:ascii="Palatino Linotype" w:hAnsi="Palatino Linotype"/>
          <w:b/>
          <w:bCs/>
          <w:color w:val="000000" w:themeColor="text1"/>
        </w:rPr>
        <w:t>Tesorería Municipal</w:t>
      </w:r>
      <w:r w:rsidRPr="00A30BAC">
        <w:rPr>
          <w:rFonts w:ascii="Palatino Linotype" w:hAnsi="Palatino Linotype"/>
          <w:color w:val="000000" w:themeColor="text1"/>
        </w:rPr>
        <w:t xml:space="preserve">, el área administrativa que, por la naturaleza de sus funciones, puede tener competencia para conocer al respecto, resultaría ser la </w:t>
      </w:r>
      <w:r w:rsidRPr="00A30BAC">
        <w:rPr>
          <w:rFonts w:ascii="Palatino Linotype" w:hAnsi="Palatino Linotype"/>
          <w:b/>
          <w:bCs/>
          <w:color w:val="000000" w:themeColor="text1"/>
        </w:rPr>
        <w:t>Dirección o Departamento encargado de los Recursos Humanos</w:t>
      </w:r>
      <w:r w:rsidRPr="00A30BAC">
        <w:rPr>
          <w:rFonts w:ascii="Palatino Linotype" w:hAnsi="Palatino Linotype"/>
          <w:color w:val="000000" w:themeColor="text1"/>
        </w:rPr>
        <w:t xml:space="preserve"> del </w:t>
      </w:r>
      <w:r w:rsidR="00167D88" w:rsidRPr="00A30BAC">
        <w:rPr>
          <w:rFonts w:ascii="Palatino Linotype" w:hAnsi="Palatino Linotype"/>
          <w:color w:val="000000" w:themeColor="text1"/>
        </w:rPr>
        <w:t>A</w:t>
      </w:r>
      <w:r w:rsidRPr="00A30BAC">
        <w:rPr>
          <w:rFonts w:ascii="Palatino Linotype" w:hAnsi="Palatino Linotype"/>
          <w:color w:val="000000" w:themeColor="text1"/>
        </w:rPr>
        <w:t>yuntamiento.</w:t>
      </w:r>
    </w:p>
    <w:p w14:paraId="247907BD" w14:textId="77777777" w:rsidR="006C7657" w:rsidRPr="00A30BAC"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65A934A3" w14:textId="1E688B34" w:rsidR="00140DC7" w:rsidRPr="00A30BAC" w:rsidRDefault="00067281" w:rsidP="00140DC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No debe ignorarse que el particular, a través de la solicitud de información</w:t>
      </w:r>
      <w:r w:rsidR="00167D88" w:rsidRPr="00A30BAC">
        <w:rPr>
          <w:rFonts w:ascii="Palatino Linotype" w:hAnsi="Palatino Linotype"/>
          <w:color w:val="000000" w:themeColor="text1"/>
        </w:rPr>
        <w:t xml:space="preserve">, </w:t>
      </w:r>
      <w:r w:rsidRPr="00A30BAC">
        <w:rPr>
          <w:rFonts w:ascii="Palatino Linotype" w:hAnsi="Palatino Linotype"/>
          <w:color w:val="000000" w:themeColor="text1"/>
        </w:rPr>
        <w:t xml:space="preserve">señaló que requería la información no sólo del Ayuntamiento de </w:t>
      </w:r>
      <w:r w:rsidR="00167D88" w:rsidRPr="00A30BAC">
        <w:rPr>
          <w:rFonts w:ascii="Palatino Linotype" w:hAnsi="Palatino Linotype"/>
          <w:color w:val="000000" w:themeColor="text1"/>
        </w:rPr>
        <w:t>Villa del Carbón</w:t>
      </w:r>
      <w:r w:rsidRPr="00A30BAC">
        <w:rPr>
          <w:rFonts w:ascii="Palatino Linotype" w:hAnsi="Palatino Linotype"/>
          <w:color w:val="000000" w:themeColor="text1"/>
        </w:rPr>
        <w:t xml:space="preserve">, sino también de sus organismos descentralizados; por lo tanto, conviene traer a estudio el contenido del artículo </w:t>
      </w:r>
      <w:r w:rsidR="00140DC7" w:rsidRPr="00A30BAC">
        <w:rPr>
          <w:rFonts w:ascii="Palatino Linotype" w:hAnsi="Palatino Linotype"/>
          <w:color w:val="000000" w:themeColor="text1"/>
        </w:rPr>
        <w:t>50</w:t>
      </w:r>
      <w:r w:rsidRPr="00A30BAC">
        <w:rPr>
          <w:rFonts w:ascii="Palatino Linotype" w:hAnsi="Palatino Linotype"/>
          <w:color w:val="000000" w:themeColor="text1"/>
        </w:rPr>
        <w:t xml:space="preserve"> del Bando Municipal de </w:t>
      </w:r>
      <w:r w:rsidR="00140DC7" w:rsidRPr="00A30BAC">
        <w:rPr>
          <w:rFonts w:ascii="Palatino Linotype" w:hAnsi="Palatino Linotype"/>
          <w:color w:val="000000" w:themeColor="text1"/>
        </w:rPr>
        <w:t>Villa del Carbón</w:t>
      </w:r>
      <w:r w:rsidRPr="00A30BAC">
        <w:rPr>
          <w:rFonts w:ascii="Palatino Linotype" w:hAnsi="Palatino Linotype"/>
          <w:color w:val="000000" w:themeColor="text1"/>
        </w:rPr>
        <w:t>, el cual establece lo siguiente:</w:t>
      </w:r>
    </w:p>
    <w:p w14:paraId="0E15F393" w14:textId="77777777" w:rsidR="00140DC7" w:rsidRPr="00A30BAC" w:rsidRDefault="00140DC7" w:rsidP="00140DC7">
      <w:pPr>
        <w:pStyle w:val="Prrafodelista"/>
        <w:tabs>
          <w:tab w:val="left" w:pos="426"/>
        </w:tabs>
        <w:spacing w:before="240" w:after="240"/>
        <w:ind w:left="567" w:right="567"/>
        <w:jc w:val="both"/>
        <w:rPr>
          <w:rFonts w:ascii="Palatino Linotype" w:hAnsi="Palatino Linotype"/>
          <w:i/>
          <w:sz w:val="22"/>
        </w:rPr>
      </w:pPr>
    </w:p>
    <w:p w14:paraId="0A74B271" w14:textId="245CD98A" w:rsidR="00140DC7" w:rsidRPr="00A30BAC" w:rsidRDefault="00DF1AE4"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w:t>
      </w:r>
      <w:r w:rsidR="00140DC7" w:rsidRPr="00A30BAC">
        <w:rPr>
          <w:rFonts w:ascii="Palatino Linotype" w:hAnsi="Palatino Linotype"/>
          <w:b/>
          <w:bCs/>
          <w:i/>
          <w:sz w:val="22"/>
          <w:szCs w:val="22"/>
        </w:rPr>
        <w:t xml:space="preserve">CAPÍTULO VII </w:t>
      </w:r>
    </w:p>
    <w:p w14:paraId="42535588" w14:textId="23157D4D" w:rsidR="00140DC7" w:rsidRPr="00A30BAC" w:rsidRDefault="00140DC7"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 xml:space="preserve">DE LAS DEPENDENCIAS ADMINISTRATIVAS MUNICIPALES  </w:t>
      </w:r>
    </w:p>
    <w:p w14:paraId="6AF3B938"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b/>
          <w:bCs/>
          <w:i/>
          <w:sz w:val="22"/>
          <w:szCs w:val="22"/>
        </w:rPr>
      </w:pPr>
    </w:p>
    <w:p w14:paraId="051D52AD"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b/>
          <w:bCs/>
          <w:i/>
          <w:sz w:val="22"/>
          <w:szCs w:val="22"/>
        </w:rPr>
        <w:t xml:space="preserve">Artículo 50.- </w:t>
      </w:r>
      <w:r w:rsidRPr="00A30BAC">
        <w:rPr>
          <w:rFonts w:ascii="Palatino Linotype" w:hAnsi="Palatino Linotype"/>
          <w:i/>
          <w:sz w:val="22"/>
          <w:szCs w:val="22"/>
        </w:rPr>
        <w:t xml:space="preserve">El Gobierno Municipal en el ejercicio de sus atribuciones y para el despacho de los asuntos de orden administrativo, se auxiliará de las siguientes </w:t>
      </w:r>
      <w:r w:rsidRPr="00A30BAC">
        <w:rPr>
          <w:rFonts w:ascii="Palatino Linotype" w:hAnsi="Palatino Linotype"/>
          <w:i/>
          <w:sz w:val="22"/>
          <w:szCs w:val="22"/>
        </w:rPr>
        <w:lastRenderedPageBreak/>
        <w:t xml:space="preserve">dependencias, mismas que realizarán sus funciones bajo los principios de igualdad, equidad, honestidad, respeto, transparencia y calidad, conforme al presente Bando Municipal y las cuales se encuentran contempladas en el Organigrama de la Administración 2022-2024. </w:t>
      </w:r>
    </w:p>
    <w:p w14:paraId="0CEF12A1"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p>
    <w:p w14:paraId="032BD231"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La Administración Pública Municipal se conforma por: </w:t>
      </w:r>
    </w:p>
    <w:p w14:paraId="72E31A67"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I.- La Presidencia Municipal: </w:t>
      </w:r>
    </w:p>
    <w:p w14:paraId="6D4CD25B"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II. Secretaria Particular: </w:t>
      </w:r>
    </w:p>
    <w:p w14:paraId="1DD55A93"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a) Secretaria Particular Adjunta I</w:t>
      </w:r>
    </w:p>
    <w:p w14:paraId="37DBBD31"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b) Secretaria Particular Adjunta II </w:t>
      </w:r>
    </w:p>
    <w:p w14:paraId="0767930F"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c) Coordinación de Logística </w:t>
      </w:r>
    </w:p>
    <w:p w14:paraId="1CDF4536"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d) Coordinación de Eventos Especiales </w:t>
      </w:r>
    </w:p>
    <w:p w14:paraId="061D9DF4"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e) Coordinación de Informática </w:t>
      </w:r>
    </w:p>
    <w:p w14:paraId="5D6EBC8A"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III. Secretaría Técnica del Consejo Municipal de Seguridad Pública:  </w:t>
      </w:r>
    </w:p>
    <w:p w14:paraId="17697E65" w14:textId="4522A708"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IV. Consejería Jurídica </w:t>
      </w:r>
    </w:p>
    <w:p w14:paraId="53864DD7"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V. Oficialía Mediadora- Conciliadora I </w:t>
      </w:r>
    </w:p>
    <w:p w14:paraId="37C45385"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VI. Oficialía Mediadora- Conciliadora II Loma Alta Villa </w:t>
      </w:r>
    </w:p>
    <w:p w14:paraId="7934B8ED"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VII. Oficialía Calificadora </w:t>
      </w:r>
    </w:p>
    <w:p w14:paraId="0DC09C53"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VIII. Secretaría Técnica del Gabinete  </w:t>
      </w:r>
    </w:p>
    <w:p w14:paraId="10D6B110"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a) Coordinación de Mejora Regulatoria </w:t>
      </w:r>
    </w:p>
    <w:p w14:paraId="38EFEBA1"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IX. Coordinación de Atención Social </w:t>
      </w:r>
    </w:p>
    <w:p w14:paraId="1F8E1F8C"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 Secretaría de Planeación y Desarrollo Municipal </w:t>
      </w:r>
    </w:p>
    <w:p w14:paraId="4FA8281B"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a) Gobierno Digital  </w:t>
      </w:r>
    </w:p>
    <w:p w14:paraId="7AAB2CEA" w14:textId="77777777" w:rsidR="00140DC7" w:rsidRPr="00A30BAC" w:rsidRDefault="00140DC7" w:rsidP="00DF1AE4">
      <w:pPr>
        <w:pStyle w:val="Prrafodelista"/>
        <w:tabs>
          <w:tab w:val="left" w:pos="426"/>
        </w:tabs>
        <w:spacing w:before="240" w:after="240"/>
        <w:ind w:left="567" w:right="616"/>
        <w:jc w:val="both"/>
        <w:rPr>
          <w:rFonts w:ascii="Palatino Linotype" w:hAnsi="Palatino Linotype"/>
          <w:b/>
          <w:bCs/>
          <w:i/>
          <w:sz w:val="22"/>
          <w:szCs w:val="22"/>
        </w:rPr>
      </w:pPr>
    </w:p>
    <w:p w14:paraId="59C42740" w14:textId="40FF7F3D" w:rsidR="00140DC7" w:rsidRPr="00A30BAC" w:rsidRDefault="00140DC7"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 xml:space="preserve">DEPENDENCIAS DE LA ADMINISTRACIÓN PÚBLICA MUNICIPAL </w:t>
      </w:r>
    </w:p>
    <w:p w14:paraId="23B97AA3" w14:textId="4882A5D3" w:rsidR="00140DC7" w:rsidRPr="00A30BAC" w:rsidRDefault="00140DC7"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I. Secretaría del Ayuntamiento</w:t>
      </w:r>
    </w:p>
    <w:p w14:paraId="5E75B9F5"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Cronista Municipal </w:t>
      </w:r>
    </w:p>
    <w:p w14:paraId="734C98BB"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Archivo Municipal </w:t>
      </w:r>
    </w:p>
    <w:p w14:paraId="0B41362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Jefatura de Patrimonio Municipal </w:t>
      </w:r>
    </w:p>
    <w:p w14:paraId="76C08EAC"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Oficialía de Partes </w:t>
      </w:r>
    </w:p>
    <w:p w14:paraId="0E11A6DE"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Asesor Jurídico </w:t>
      </w:r>
    </w:p>
    <w:p w14:paraId="3C769A5B"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II. Dirección de Gobernación: </w:t>
      </w:r>
    </w:p>
    <w:p w14:paraId="65267610"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Gobernación </w:t>
      </w:r>
    </w:p>
    <w:p w14:paraId="10C9F9C5"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Junta de Reclutamiento </w:t>
      </w:r>
    </w:p>
    <w:p w14:paraId="50F125E8"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III. Dirección de Proyectos: </w:t>
      </w:r>
    </w:p>
    <w:p w14:paraId="14C95D3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Unidad de Transparencia </w:t>
      </w:r>
    </w:p>
    <w:p w14:paraId="6DC6FAB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UIPPE IV. Tesorería Municipal </w:t>
      </w:r>
    </w:p>
    <w:p w14:paraId="5E3C2E08"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w:t>
      </w:r>
      <w:proofErr w:type="spellStart"/>
      <w:r w:rsidRPr="00A30BAC">
        <w:rPr>
          <w:rFonts w:ascii="Palatino Linotype" w:hAnsi="Palatino Linotype"/>
          <w:i/>
          <w:sz w:val="22"/>
          <w:szCs w:val="22"/>
        </w:rPr>
        <w:t>Subtesorería</w:t>
      </w:r>
      <w:proofErr w:type="spellEnd"/>
      <w:r w:rsidRPr="00A30BAC">
        <w:rPr>
          <w:rFonts w:ascii="Palatino Linotype" w:hAnsi="Palatino Linotype"/>
          <w:i/>
          <w:sz w:val="22"/>
          <w:szCs w:val="22"/>
        </w:rPr>
        <w:t xml:space="preserve"> de Ingresos</w:t>
      </w:r>
    </w:p>
    <w:p w14:paraId="640AC49F"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w:t>
      </w:r>
      <w:proofErr w:type="spellStart"/>
      <w:r w:rsidRPr="00A30BAC">
        <w:rPr>
          <w:rFonts w:ascii="Palatino Linotype" w:hAnsi="Palatino Linotype"/>
          <w:i/>
          <w:sz w:val="22"/>
          <w:szCs w:val="22"/>
        </w:rPr>
        <w:t>Subtesorería</w:t>
      </w:r>
      <w:proofErr w:type="spellEnd"/>
      <w:r w:rsidRPr="00A30BAC">
        <w:rPr>
          <w:rFonts w:ascii="Palatino Linotype" w:hAnsi="Palatino Linotype"/>
          <w:i/>
          <w:sz w:val="22"/>
          <w:szCs w:val="22"/>
        </w:rPr>
        <w:t xml:space="preserve"> de Egresos </w:t>
      </w:r>
    </w:p>
    <w:p w14:paraId="2643ABFD"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V. Dirección de Catastro </w:t>
      </w:r>
    </w:p>
    <w:p w14:paraId="22DBD914"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Catastro </w:t>
      </w:r>
    </w:p>
    <w:p w14:paraId="5AD04209"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lastRenderedPageBreak/>
        <w:t xml:space="preserve">VI. Dirección de Normatividad y Reglamentos </w:t>
      </w:r>
    </w:p>
    <w:p w14:paraId="67FE66FA"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Regulación y Reglamentos </w:t>
      </w:r>
    </w:p>
    <w:p w14:paraId="071142CB"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VII. Contraloría Municipal </w:t>
      </w:r>
    </w:p>
    <w:p w14:paraId="694729E0"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 contraloría </w:t>
      </w:r>
    </w:p>
    <w:p w14:paraId="324B0FFE"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Unidad de Procedimientos Administrativos  o Autoridades Investigadoras  o Autoridad Substanciadora o Autoridad Resolutoria </w:t>
      </w:r>
    </w:p>
    <w:p w14:paraId="2C536D7A" w14:textId="37B4E893"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VIII. Dirección de Desarrollo Urbano </w:t>
      </w:r>
    </w:p>
    <w:p w14:paraId="486E5359"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Desarrollo Urbano </w:t>
      </w:r>
    </w:p>
    <w:p w14:paraId="15B403A0"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Planeación Urbana  </w:t>
      </w:r>
    </w:p>
    <w:p w14:paraId="176FD116"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Movilidad </w:t>
      </w:r>
    </w:p>
    <w:p w14:paraId="20DB4F6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Subordinación de Movilidad </w:t>
      </w:r>
    </w:p>
    <w:p w14:paraId="4A4D68F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IX. Dirección de Obras Públicas </w:t>
      </w:r>
    </w:p>
    <w:p w14:paraId="7D02F8F1"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Obras Públicas </w:t>
      </w:r>
    </w:p>
    <w:p w14:paraId="6D53F070" w14:textId="7F51B7BE"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Coordinación de Supervisión de Obras</w:t>
      </w:r>
    </w:p>
    <w:p w14:paraId="57858F9E"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Jefatura de Operaciones  </w:t>
      </w:r>
    </w:p>
    <w:p w14:paraId="6B3EF501"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 Dirección de Administración de Recursos Humanos  </w:t>
      </w:r>
    </w:p>
    <w:p w14:paraId="7B2911DB"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Administración </w:t>
      </w:r>
    </w:p>
    <w:p w14:paraId="788CB405"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Jefe de Personal </w:t>
      </w:r>
    </w:p>
    <w:p w14:paraId="4AA4FFB0"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XI. Dirección de Recursos Materiales </w:t>
      </w:r>
    </w:p>
    <w:p w14:paraId="1919E6F0"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Recursos Materiales </w:t>
      </w:r>
    </w:p>
    <w:p w14:paraId="253ECBE5"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Mantenimiento Vehicular  </w:t>
      </w:r>
    </w:p>
    <w:p w14:paraId="07832BD4"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Maquinaria </w:t>
      </w:r>
    </w:p>
    <w:p w14:paraId="656B9319"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XII. Dirección de Desarrollo Económico </w:t>
      </w:r>
    </w:p>
    <w:p w14:paraId="25AFD9C3"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Desarrollo Económico </w:t>
      </w:r>
    </w:p>
    <w:p w14:paraId="3930DA1D" w14:textId="77777777" w:rsidR="00DF1AE4"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Jefatura de Fomento Artesanal </w:t>
      </w:r>
    </w:p>
    <w:p w14:paraId="0905D406" w14:textId="1D073960"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Ventanilla Única </w:t>
      </w:r>
    </w:p>
    <w:p w14:paraId="199B2500" w14:textId="77777777" w:rsidR="00DF1AE4"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XIII. Dirección de Desarrollo Social </w:t>
      </w:r>
    </w:p>
    <w:p w14:paraId="0556AB84" w14:textId="222C53E4"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Programas Sociales </w:t>
      </w:r>
    </w:p>
    <w:p w14:paraId="07FEDC1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Atención a la Mujer </w:t>
      </w:r>
    </w:p>
    <w:p w14:paraId="66E14323"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Atención a la Juventud </w:t>
      </w:r>
    </w:p>
    <w:p w14:paraId="375C356D"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Asuntos Indígenas </w:t>
      </w:r>
    </w:p>
    <w:p w14:paraId="5C07EF16"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Subordinación de Asuntos Indígenas </w:t>
      </w:r>
    </w:p>
    <w:p w14:paraId="1FBFD2D0" w14:textId="77777777" w:rsidR="00DF1AE4"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XIV. Dirección de educación </w:t>
      </w:r>
    </w:p>
    <w:p w14:paraId="470FF434" w14:textId="24C11E9A"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Educación </w:t>
      </w:r>
    </w:p>
    <w:p w14:paraId="2F06859A"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XV. Dirección de Cultura </w:t>
      </w:r>
    </w:p>
    <w:p w14:paraId="1EF61344" w14:textId="5C1F121B"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Dirección de Casas de Cultura </w:t>
      </w:r>
    </w:p>
    <w:p w14:paraId="149686BA"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Coordinador de Casa de Cultura I</w:t>
      </w:r>
    </w:p>
    <w:p w14:paraId="024A2070" w14:textId="6DBB3A73"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Coordinador de Casa de Cultura II </w:t>
      </w:r>
    </w:p>
    <w:p w14:paraId="18A01512"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Jefatura de Bibliotecas y C.C.A. </w:t>
      </w:r>
    </w:p>
    <w:p w14:paraId="6A2308CD"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XVI. Dirección de Seguridad Pública </w:t>
      </w:r>
    </w:p>
    <w:p w14:paraId="2151C391"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Seguridad Pública </w:t>
      </w:r>
    </w:p>
    <w:p w14:paraId="17174F13"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lastRenderedPageBreak/>
        <w:t xml:space="preserve">• Técnico Operativo </w:t>
      </w:r>
    </w:p>
    <w:p w14:paraId="07628FD1"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XVII. Dirección de Turismo </w:t>
      </w:r>
    </w:p>
    <w:p w14:paraId="456B4678"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Turismo </w:t>
      </w:r>
    </w:p>
    <w:p w14:paraId="3FE7B33A" w14:textId="6B340330"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XVIII. Dirección de Servicios Públicos</w:t>
      </w:r>
    </w:p>
    <w:p w14:paraId="5AF3060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Servicios Públicos </w:t>
      </w:r>
    </w:p>
    <w:p w14:paraId="507243C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Recolección y Limpieza </w:t>
      </w:r>
    </w:p>
    <w:p w14:paraId="523C5608"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Agua Potable </w:t>
      </w:r>
    </w:p>
    <w:p w14:paraId="4B177C80"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Drenaje y Alcantarillado </w:t>
      </w:r>
    </w:p>
    <w:p w14:paraId="05F1EA6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Mantenimiento de Vialidades, Parques y Jardines </w:t>
      </w:r>
    </w:p>
    <w:p w14:paraId="45F633AB"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Alumbrador Público </w:t>
      </w:r>
    </w:p>
    <w:p w14:paraId="7D73A7DC" w14:textId="58FB90FE"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Panteones y Mercados </w:t>
      </w:r>
    </w:p>
    <w:p w14:paraId="6E0B040B"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Coordinación de rastros y Sanidad Animal </w:t>
      </w:r>
    </w:p>
    <w:p w14:paraId="1FD311CB"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Jefatura de Servicios Generales  </w:t>
      </w:r>
    </w:p>
    <w:p w14:paraId="441224A8"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XIX. Dirección de Ecología y Medio Ambiente </w:t>
      </w:r>
    </w:p>
    <w:p w14:paraId="60BB8B93" w14:textId="15E66DE2"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Ecológica </w:t>
      </w:r>
    </w:p>
    <w:p w14:paraId="523891B7"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Medio Ambiente </w:t>
      </w:r>
    </w:p>
    <w:p w14:paraId="7328275F"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XX. Dirección de Desarrollo Agropecuario </w:t>
      </w:r>
    </w:p>
    <w:p w14:paraId="27AE2493"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Desarrollo Agropecuario </w:t>
      </w:r>
    </w:p>
    <w:p w14:paraId="3473EB5E"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XXI. Dirección de Desarrollo Forestal </w:t>
      </w:r>
    </w:p>
    <w:p w14:paraId="08299D6D"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Desarrollo Forestal </w:t>
      </w:r>
    </w:p>
    <w:p w14:paraId="0ADA39CF"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XXII. Dirección de Control y Bienestar Animal </w:t>
      </w:r>
    </w:p>
    <w:p w14:paraId="1E5747F2"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Control y Bienestar Animal </w:t>
      </w:r>
    </w:p>
    <w:p w14:paraId="7F249E18"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XXIII. Dirección Municipal de Protección Civil y Bomberos </w:t>
      </w:r>
    </w:p>
    <w:p w14:paraId="5C3F7329"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Municipal de Protección Civil </w:t>
      </w:r>
    </w:p>
    <w:p w14:paraId="558FAE10"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XXIV. Dirección de Comunicación Social </w:t>
      </w:r>
    </w:p>
    <w:p w14:paraId="47AB29B1" w14:textId="77777777"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Subdirección de Comunicación Social </w:t>
      </w:r>
    </w:p>
    <w:p w14:paraId="263BA954" w14:textId="04157EB9" w:rsidR="003854B7"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XXV. Autónomos </w:t>
      </w:r>
    </w:p>
    <w:p w14:paraId="7C8535DE" w14:textId="77777777" w:rsidR="00DF1AE4" w:rsidRPr="00A30BAC" w:rsidRDefault="003854B7" w:rsidP="00DF1AE4">
      <w:pPr>
        <w:pStyle w:val="Prrafodelista"/>
        <w:tabs>
          <w:tab w:val="left" w:pos="426"/>
        </w:tabs>
        <w:spacing w:before="240" w:after="240"/>
        <w:ind w:left="567" w:right="616"/>
        <w:jc w:val="both"/>
        <w:rPr>
          <w:rFonts w:ascii="Palatino Linotype" w:hAnsi="Palatino Linotype"/>
          <w:i/>
          <w:sz w:val="22"/>
          <w:szCs w:val="22"/>
        </w:rPr>
      </w:pPr>
      <w:r w:rsidRPr="00A30BAC">
        <w:rPr>
          <w:rFonts w:ascii="Palatino Linotype" w:hAnsi="Palatino Linotype"/>
          <w:i/>
          <w:sz w:val="22"/>
          <w:szCs w:val="22"/>
        </w:rPr>
        <w:t xml:space="preserve">• Defensoría Municipal de Derechos Humanos  </w:t>
      </w:r>
    </w:p>
    <w:p w14:paraId="00D74D6E" w14:textId="77777777" w:rsidR="00DF1AE4" w:rsidRPr="00A30BAC" w:rsidRDefault="00DF1AE4" w:rsidP="00DF1AE4">
      <w:pPr>
        <w:pStyle w:val="Prrafodelista"/>
        <w:tabs>
          <w:tab w:val="left" w:pos="426"/>
        </w:tabs>
        <w:spacing w:before="240" w:after="240"/>
        <w:ind w:left="567" w:right="616"/>
        <w:jc w:val="both"/>
        <w:rPr>
          <w:rFonts w:ascii="Palatino Linotype" w:hAnsi="Palatino Linotype"/>
          <w:i/>
          <w:sz w:val="22"/>
          <w:szCs w:val="22"/>
        </w:rPr>
      </w:pPr>
    </w:p>
    <w:p w14:paraId="5817D38F" w14:textId="77777777" w:rsidR="00DF1AE4" w:rsidRPr="00A30BAC" w:rsidRDefault="003854B7"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 xml:space="preserve">Para la creación, designación, y vigencia de las Áreas Subdirecciones, Coordinaciones y Encomiendas Específicas bastará con el nombramiento expedido por parte del Presidente Municipal.   </w:t>
      </w:r>
    </w:p>
    <w:p w14:paraId="3EF1A709" w14:textId="77777777" w:rsidR="00DF1AE4" w:rsidRPr="00A30BAC" w:rsidRDefault="00DF1AE4" w:rsidP="00DF1AE4">
      <w:pPr>
        <w:pStyle w:val="Prrafodelista"/>
        <w:tabs>
          <w:tab w:val="left" w:pos="426"/>
        </w:tabs>
        <w:spacing w:before="240" w:after="240"/>
        <w:ind w:left="567" w:right="616"/>
        <w:jc w:val="both"/>
        <w:rPr>
          <w:rFonts w:ascii="Palatino Linotype" w:hAnsi="Palatino Linotype"/>
          <w:b/>
          <w:bCs/>
          <w:i/>
          <w:sz w:val="22"/>
          <w:szCs w:val="22"/>
        </w:rPr>
      </w:pPr>
    </w:p>
    <w:p w14:paraId="7468D128" w14:textId="77777777" w:rsidR="00DF1AE4" w:rsidRPr="00A30BAC" w:rsidRDefault="003854B7"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 xml:space="preserve">Órganos Descentralizados: </w:t>
      </w:r>
    </w:p>
    <w:p w14:paraId="78513494" w14:textId="77777777" w:rsidR="00DF1AE4" w:rsidRPr="00A30BAC" w:rsidRDefault="003854B7"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 xml:space="preserve">A) Sistema Municipal para el Desarrollo Integral de la Familia; </w:t>
      </w:r>
    </w:p>
    <w:p w14:paraId="6E8B7E10" w14:textId="5E5B0754" w:rsidR="003854B7" w:rsidRPr="00A30BAC" w:rsidRDefault="003854B7"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B) Instituto Municipal de Cultura Física y Deporte de Villa del Carbón, México;</w:t>
      </w:r>
    </w:p>
    <w:p w14:paraId="5A0CF670" w14:textId="77777777" w:rsidR="00DF1AE4" w:rsidRPr="00A30BAC" w:rsidRDefault="00DF1AE4"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 xml:space="preserve">C) Las demás que determine crear el Ayuntamiento por acuerdo de cabildo.  </w:t>
      </w:r>
    </w:p>
    <w:p w14:paraId="2B3A8707" w14:textId="77777777" w:rsidR="00DF1AE4" w:rsidRPr="00A30BAC" w:rsidRDefault="00DF1AE4" w:rsidP="00DF1AE4">
      <w:pPr>
        <w:pStyle w:val="Prrafodelista"/>
        <w:tabs>
          <w:tab w:val="left" w:pos="426"/>
        </w:tabs>
        <w:spacing w:before="240" w:after="240"/>
        <w:ind w:left="567" w:right="616"/>
        <w:jc w:val="both"/>
        <w:rPr>
          <w:rFonts w:ascii="Palatino Linotype" w:hAnsi="Palatino Linotype"/>
          <w:b/>
          <w:bCs/>
          <w:i/>
          <w:sz w:val="22"/>
          <w:szCs w:val="22"/>
        </w:rPr>
      </w:pPr>
    </w:p>
    <w:p w14:paraId="6534FB34" w14:textId="6FE73C4D" w:rsidR="00DF1AE4" w:rsidRPr="00A30BAC" w:rsidRDefault="00DF1AE4"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t>Las y los responsables de cada una de estas dependencias con la denominación que les corresponda, tienen el carácter de servidoras y/o servidores públicos municipales.”</w:t>
      </w:r>
    </w:p>
    <w:p w14:paraId="150144DF" w14:textId="234EADFE" w:rsidR="00DF1AE4" w:rsidRPr="00A30BAC" w:rsidRDefault="00DF1AE4" w:rsidP="00DF1AE4">
      <w:pPr>
        <w:pStyle w:val="Prrafodelista"/>
        <w:tabs>
          <w:tab w:val="left" w:pos="426"/>
        </w:tabs>
        <w:spacing w:before="240" w:after="240"/>
        <w:ind w:left="567" w:right="616"/>
        <w:jc w:val="both"/>
        <w:rPr>
          <w:rFonts w:ascii="Palatino Linotype" w:hAnsi="Palatino Linotype"/>
          <w:b/>
          <w:bCs/>
          <w:i/>
          <w:sz w:val="22"/>
          <w:szCs w:val="22"/>
        </w:rPr>
      </w:pPr>
      <w:r w:rsidRPr="00A30BAC">
        <w:rPr>
          <w:rFonts w:ascii="Palatino Linotype" w:hAnsi="Palatino Linotype"/>
          <w:b/>
          <w:bCs/>
          <w:i/>
          <w:sz w:val="22"/>
          <w:szCs w:val="22"/>
        </w:rPr>
        <w:lastRenderedPageBreak/>
        <w:t>(Énfasis Añadido)</w:t>
      </w:r>
    </w:p>
    <w:p w14:paraId="26971226" w14:textId="3B6F4A97" w:rsidR="00DF1AE4" w:rsidRPr="00A30BAC" w:rsidRDefault="00DF1AE4" w:rsidP="00DF1AE4">
      <w:pPr>
        <w:tabs>
          <w:tab w:val="left" w:pos="426"/>
        </w:tabs>
        <w:spacing w:before="240" w:after="240"/>
        <w:ind w:right="567"/>
        <w:jc w:val="both"/>
        <w:rPr>
          <w:rFonts w:ascii="Palatino Linotype" w:hAnsi="Palatino Linotype"/>
          <w:i/>
          <w:sz w:val="22"/>
        </w:rPr>
      </w:pPr>
    </w:p>
    <w:p w14:paraId="778F6851" w14:textId="4EC4B3B1" w:rsidR="006C7657" w:rsidRPr="00A30BAC" w:rsidRDefault="00624D4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Del dispositivo legal anterior, resalta a la vista que el </w:t>
      </w:r>
      <w:r w:rsidRPr="00A30BAC">
        <w:rPr>
          <w:rFonts w:ascii="Palatino Linotype" w:hAnsi="Palatino Linotype"/>
          <w:b/>
          <w:color w:val="000000" w:themeColor="text1"/>
        </w:rPr>
        <w:t>SUJETO OBLIGADO</w:t>
      </w:r>
      <w:r w:rsidRPr="00A30BAC">
        <w:rPr>
          <w:rFonts w:ascii="Palatino Linotype" w:hAnsi="Palatino Linotype"/>
          <w:color w:val="000000" w:themeColor="text1"/>
        </w:rPr>
        <w:t xml:space="preserve"> considera dentro de su estructura orgánica a </w:t>
      </w:r>
      <w:r w:rsidR="00DF1AE4" w:rsidRPr="00A30BAC">
        <w:rPr>
          <w:rFonts w:ascii="Palatino Linotype" w:hAnsi="Palatino Linotype"/>
          <w:color w:val="000000" w:themeColor="text1"/>
        </w:rPr>
        <w:t>dos</w:t>
      </w:r>
      <w:r w:rsidRPr="00A30BAC">
        <w:rPr>
          <w:rFonts w:ascii="Palatino Linotype" w:hAnsi="Palatino Linotype"/>
          <w:color w:val="000000" w:themeColor="text1"/>
        </w:rPr>
        <w:t xml:space="preserve"> </w:t>
      </w:r>
      <w:r w:rsidR="00DF1AE4" w:rsidRPr="00A30BAC">
        <w:rPr>
          <w:rFonts w:ascii="Palatino Linotype" w:hAnsi="Palatino Linotype"/>
          <w:color w:val="000000" w:themeColor="text1"/>
        </w:rPr>
        <w:t>O</w:t>
      </w:r>
      <w:r w:rsidRPr="00A30BAC">
        <w:rPr>
          <w:rFonts w:ascii="Palatino Linotype" w:hAnsi="Palatino Linotype"/>
          <w:color w:val="000000" w:themeColor="text1"/>
        </w:rPr>
        <w:t xml:space="preserve">rganismos </w:t>
      </w:r>
      <w:r w:rsidR="00DF1AE4" w:rsidRPr="00A30BAC">
        <w:rPr>
          <w:rFonts w:ascii="Palatino Linotype" w:hAnsi="Palatino Linotype"/>
          <w:color w:val="000000" w:themeColor="text1"/>
        </w:rPr>
        <w:t>D</w:t>
      </w:r>
      <w:r w:rsidRPr="00A30BAC">
        <w:rPr>
          <w:rFonts w:ascii="Palatino Linotype" w:hAnsi="Palatino Linotype"/>
          <w:color w:val="000000" w:themeColor="text1"/>
        </w:rPr>
        <w:t xml:space="preserve">escentralizados </w:t>
      </w:r>
      <w:r w:rsidR="00DF1AE4" w:rsidRPr="00A30BAC">
        <w:rPr>
          <w:rFonts w:ascii="Palatino Linotype" w:hAnsi="Palatino Linotype"/>
          <w:color w:val="000000" w:themeColor="text1"/>
        </w:rPr>
        <w:t>M</w:t>
      </w:r>
      <w:r w:rsidRPr="00A30BAC">
        <w:rPr>
          <w:rFonts w:ascii="Palatino Linotype" w:hAnsi="Palatino Linotype"/>
          <w:color w:val="000000" w:themeColor="text1"/>
        </w:rPr>
        <w:t>unicipales, a saber:</w:t>
      </w:r>
    </w:p>
    <w:p w14:paraId="19AD0B5E" w14:textId="77777777" w:rsidR="00AB2CAA" w:rsidRPr="00A30BAC" w:rsidRDefault="00AB2CAA" w:rsidP="00021913">
      <w:pPr>
        <w:pStyle w:val="Prrafodelista"/>
        <w:tabs>
          <w:tab w:val="left" w:pos="426"/>
        </w:tabs>
        <w:spacing w:before="240" w:after="240"/>
        <w:ind w:left="0" w:right="51"/>
        <w:jc w:val="both"/>
        <w:rPr>
          <w:rFonts w:ascii="Palatino Linotype" w:hAnsi="Palatino Linotype"/>
          <w:color w:val="000000" w:themeColor="text1"/>
          <w:sz w:val="22"/>
          <w:szCs w:val="22"/>
        </w:rPr>
      </w:pPr>
    </w:p>
    <w:p w14:paraId="0DD664EE" w14:textId="24DE99C0" w:rsidR="00624D4A" w:rsidRPr="00A30BAC" w:rsidRDefault="00624D4A" w:rsidP="00021913">
      <w:pPr>
        <w:pStyle w:val="Prrafodelista"/>
        <w:numPr>
          <w:ilvl w:val="1"/>
          <w:numId w:val="38"/>
        </w:numPr>
        <w:tabs>
          <w:tab w:val="left" w:pos="426"/>
        </w:tabs>
        <w:spacing w:before="240" w:after="240"/>
        <w:ind w:left="1134" w:right="51"/>
        <w:jc w:val="both"/>
        <w:rPr>
          <w:rFonts w:ascii="Palatino Linotype" w:hAnsi="Palatino Linotype"/>
          <w:b/>
          <w:bCs/>
          <w:color w:val="000000" w:themeColor="text1"/>
          <w:sz w:val="22"/>
          <w:szCs w:val="22"/>
        </w:rPr>
      </w:pPr>
      <w:r w:rsidRPr="00A30BAC">
        <w:rPr>
          <w:rFonts w:ascii="Palatino Linotype" w:hAnsi="Palatino Linotype"/>
          <w:b/>
          <w:bCs/>
          <w:color w:val="000000" w:themeColor="text1"/>
          <w:sz w:val="22"/>
          <w:szCs w:val="22"/>
        </w:rPr>
        <w:t>Sistema Municipal para el Desarrollo Integral de la Familia;</w:t>
      </w:r>
      <w:r w:rsidR="00DF1AE4" w:rsidRPr="00A30BAC">
        <w:rPr>
          <w:rFonts w:ascii="Palatino Linotype" w:hAnsi="Palatino Linotype"/>
          <w:b/>
          <w:bCs/>
          <w:color w:val="000000" w:themeColor="text1"/>
          <w:sz w:val="22"/>
          <w:szCs w:val="22"/>
        </w:rPr>
        <w:t xml:space="preserve"> </w:t>
      </w:r>
    </w:p>
    <w:p w14:paraId="246FF0C7" w14:textId="37133886" w:rsidR="00624D4A" w:rsidRPr="00A30BAC" w:rsidRDefault="00624D4A" w:rsidP="00021913">
      <w:pPr>
        <w:pStyle w:val="Prrafodelista"/>
        <w:numPr>
          <w:ilvl w:val="1"/>
          <w:numId w:val="38"/>
        </w:numPr>
        <w:tabs>
          <w:tab w:val="left" w:pos="426"/>
        </w:tabs>
        <w:spacing w:before="240" w:after="240"/>
        <w:ind w:left="1134" w:right="51"/>
        <w:jc w:val="both"/>
        <w:rPr>
          <w:rFonts w:ascii="Palatino Linotype" w:hAnsi="Palatino Linotype"/>
          <w:b/>
          <w:bCs/>
          <w:color w:val="000000" w:themeColor="text1"/>
          <w:sz w:val="22"/>
          <w:szCs w:val="22"/>
        </w:rPr>
      </w:pPr>
      <w:r w:rsidRPr="00A30BAC">
        <w:rPr>
          <w:rFonts w:ascii="Palatino Linotype" w:hAnsi="Palatino Linotype"/>
          <w:b/>
          <w:bCs/>
          <w:color w:val="000000" w:themeColor="text1"/>
          <w:sz w:val="22"/>
          <w:szCs w:val="22"/>
        </w:rPr>
        <w:t>Instituto Municipal de Cultura Física y Deporte</w:t>
      </w:r>
      <w:r w:rsidR="00DF1AE4" w:rsidRPr="00A30BAC">
        <w:rPr>
          <w:rFonts w:ascii="Palatino Linotype" w:hAnsi="Palatino Linotype"/>
          <w:b/>
          <w:bCs/>
          <w:color w:val="000000" w:themeColor="text1"/>
          <w:sz w:val="22"/>
          <w:szCs w:val="22"/>
        </w:rPr>
        <w:t>.</w:t>
      </w:r>
    </w:p>
    <w:p w14:paraId="46313BD6" w14:textId="77777777" w:rsidR="006C7657" w:rsidRPr="00A30BAC"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64FFB061" w14:textId="79B8A6FC" w:rsidR="006C7657" w:rsidRPr="00A30BAC" w:rsidRDefault="00624D4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Así las cosas, </w:t>
      </w:r>
      <w:r w:rsidR="00DD3B02" w:rsidRPr="00A30BAC">
        <w:rPr>
          <w:rFonts w:ascii="Palatino Linotype" w:hAnsi="Palatino Linotype"/>
          <w:color w:val="000000" w:themeColor="text1"/>
        </w:rPr>
        <w:t>conviene recordar que los artículos 3, fracción XLI, y 23 de la Ley de Transparencia y Acceso a la Información Pública del Estado de México y Municipios, reconocen como Sujetos Obligados a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Ley de Transparencia.</w:t>
      </w:r>
    </w:p>
    <w:p w14:paraId="69D14F0A" w14:textId="77777777" w:rsidR="006C7657" w:rsidRPr="00A30BAC"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173AF89E" w14:textId="3C7A8B49" w:rsidR="006C7657" w:rsidRPr="00A30BAC" w:rsidRDefault="00DD3B0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En ese sentido, el Padrón de Sujetos Obligados del Estado de México, permite identificar a los Sujetos Obligados que deben cumplir con las obligaciones, procesos, procedimientos y responsabilidades establecidas en la Ley General de Transparencia y Acceso a la Información Pública, la Ley de Transparencia</w:t>
      </w:r>
      <w:r w:rsidR="00C101C2" w:rsidRPr="00A30BAC">
        <w:rPr>
          <w:rFonts w:ascii="Palatino Linotype" w:hAnsi="Palatino Linotype"/>
          <w:color w:val="000000" w:themeColor="text1"/>
        </w:rPr>
        <w:t xml:space="preserve"> Estatal</w:t>
      </w:r>
      <w:r w:rsidRPr="00A30BAC">
        <w:rPr>
          <w:rFonts w:ascii="Palatino Linotype" w:hAnsi="Palatino Linotype"/>
          <w:color w:val="000000" w:themeColor="text1"/>
        </w:rPr>
        <w:t xml:space="preserve"> y demás ordenamientos jurídicos de la materia emitidos por el Sistema Nacional de </w:t>
      </w:r>
      <w:r w:rsidRPr="00A30BAC">
        <w:rPr>
          <w:rFonts w:ascii="Palatino Linotype" w:hAnsi="Palatino Linotype"/>
          <w:color w:val="000000" w:themeColor="text1"/>
        </w:rPr>
        <w:lastRenderedPageBreak/>
        <w:t>Transparencia, Acceso a la Información Pública y Protección de Datos Personales y por el propio Instituto, en los términos que las mismas determinen.</w:t>
      </w:r>
    </w:p>
    <w:p w14:paraId="1DD22BB8" w14:textId="77777777" w:rsidR="006C7657" w:rsidRPr="00A30BAC"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2ED725BF" w14:textId="0FE82DD1" w:rsidR="006C7657" w:rsidRPr="00A30BAC" w:rsidRDefault="00C101C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Por cuanto hace al Municipio de </w:t>
      </w:r>
      <w:r w:rsidR="004248F0" w:rsidRPr="00A30BAC">
        <w:rPr>
          <w:rFonts w:ascii="Palatino Linotype" w:hAnsi="Palatino Linotype"/>
          <w:color w:val="000000" w:themeColor="text1"/>
        </w:rPr>
        <w:t>Villa del Carbón</w:t>
      </w:r>
      <w:r w:rsidRPr="00A30BAC">
        <w:rPr>
          <w:rFonts w:ascii="Palatino Linotype" w:hAnsi="Palatino Linotype"/>
          <w:color w:val="000000" w:themeColor="text1"/>
        </w:rPr>
        <w:t>, el Padrón de Sujetos Obligados</w:t>
      </w:r>
      <w:r w:rsidRPr="00A30BAC">
        <w:rPr>
          <w:rStyle w:val="Refdenotaalpie"/>
          <w:rFonts w:ascii="Palatino Linotype" w:hAnsi="Palatino Linotype"/>
          <w:color w:val="000000" w:themeColor="text1"/>
        </w:rPr>
        <w:footnoteReference w:id="11"/>
      </w:r>
      <w:r w:rsidRPr="00A30BAC">
        <w:rPr>
          <w:rFonts w:ascii="Palatino Linotype" w:hAnsi="Palatino Linotype"/>
          <w:color w:val="000000" w:themeColor="text1"/>
        </w:rPr>
        <w:t xml:space="preserve"> </w:t>
      </w:r>
      <w:r w:rsidR="004248F0" w:rsidRPr="00A30BAC">
        <w:rPr>
          <w:rFonts w:ascii="Palatino Linotype" w:hAnsi="Palatino Linotype"/>
          <w:color w:val="000000" w:themeColor="text1"/>
        </w:rPr>
        <w:t>refiere lo siguiente</w:t>
      </w:r>
      <w:r w:rsidRPr="00A30BAC">
        <w:rPr>
          <w:rFonts w:ascii="Palatino Linotype" w:hAnsi="Palatino Linotype"/>
          <w:color w:val="000000" w:themeColor="text1"/>
        </w:rPr>
        <w:t>:</w:t>
      </w:r>
    </w:p>
    <w:p w14:paraId="593256FB" w14:textId="77777777" w:rsidR="004248F0" w:rsidRPr="00A30BAC" w:rsidRDefault="004248F0" w:rsidP="004248F0">
      <w:pPr>
        <w:pStyle w:val="Prrafodelista"/>
        <w:tabs>
          <w:tab w:val="left" w:pos="426"/>
        </w:tabs>
        <w:spacing w:before="240" w:after="240" w:line="360" w:lineRule="auto"/>
        <w:ind w:left="0" w:right="51"/>
        <w:jc w:val="both"/>
        <w:rPr>
          <w:rFonts w:ascii="Palatino Linotype" w:hAnsi="Palatino Linotype"/>
          <w:color w:val="000000" w:themeColor="text1"/>
        </w:rPr>
      </w:pPr>
    </w:p>
    <w:p w14:paraId="22E3F9B4" w14:textId="069A025E" w:rsidR="006C7657" w:rsidRPr="00A30BAC" w:rsidRDefault="004248F0" w:rsidP="004248F0">
      <w:pPr>
        <w:pStyle w:val="Prrafodelista"/>
        <w:tabs>
          <w:tab w:val="left" w:pos="426"/>
        </w:tabs>
        <w:spacing w:before="240" w:after="240" w:line="360" w:lineRule="auto"/>
        <w:ind w:left="0" w:right="51"/>
        <w:jc w:val="center"/>
        <w:rPr>
          <w:rFonts w:ascii="Palatino Linotype" w:hAnsi="Palatino Linotype"/>
          <w:b/>
          <w:bCs/>
          <w:color w:val="000000" w:themeColor="text1"/>
          <w:sz w:val="22"/>
          <w:szCs w:val="22"/>
        </w:rPr>
      </w:pPr>
      <w:r w:rsidRPr="00A30BAC">
        <w:rPr>
          <w:rFonts w:ascii="Palatino Linotype" w:hAnsi="Palatino Linotype"/>
          <w:b/>
          <w:bCs/>
          <w:noProof/>
          <w:color w:val="000000" w:themeColor="text1"/>
          <w:sz w:val="22"/>
          <w:szCs w:val="22"/>
          <w:lang w:eastAsia="es-MX"/>
        </w:rPr>
        <w:drawing>
          <wp:inline distT="0" distB="0" distL="0" distR="0" wp14:anchorId="2CF7E304" wp14:editId="7CC23CA8">
            <wp:extent cx="4261913" cy="660402"/>
            <wp:effectExtent l="12700" t="12700" r="18415" b="1270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 164"/>
                    <pic:cNvPicPr/>
                  </pic:nvPicPr>
                  <pic:blipFill rotWithShape="1">
                    <a:blip r:embed="rId11"/>
                    <a:srcRect l="426" t="24908"/>
                    <a:stretch/>
                  </pic:blipFill>
                  <pic:spPr bwMode="auto">
                    <a:xfrm>
                      <a:off x="0" y="0"/>
                      <a:ext cx="4293705" cy="6653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597623" w14:textId="09549FAE" w:rsidR="004248F0" w:rsidRPr="00A30BAC" w:rsidRDefault="004248F0" w:rsidP="004248F0">
      <w:pPr>
        <w:pStyle w:val="Prrafodelista"/>
        <w:tabs>
          <w:tab w:val="left" w:pos="426"/>
        </w:tabs>
        <w:spacing w:before="240" w:after="240" w:line="360" w:lineRule="auto"/>
        <w:ind w:left="0" w:right="51"/>
        <w:jc w:val="center"/>
        <w:rPr>
          <w:rFonts w:ascii="Palatino Linotype" w:hAnsi="Palatino Linotype"/>
          <w:b/>
          <w:bCs/>
          <w:color w:val="000000" w:themeColor="text1"/>
          <w:sz w:val="22"/>
          <w:szCs w:val="22"/>
        </w:rPr>
      </w:pPr>
      <w:r w:rsidRPr="00A30BAC">
        <w:rPr>
          <w:rFonts w:ascii="Palatino Linotype" w:hAnsi="Palatino Linotype"/>
          <w:b/>
          <w:bCs/>
          <w:color w:val="000000" w:themeColor="text1"/>
          <w:sz w:val="22"/>
          <w:szCs w:val="22"/>
        </w:rPr>
        <w:t>(…)</w:t>
      </w:r>
    </w:p>
    <w:p w14:paraId="3B6EBB21" w14:textId="13C32581" w:rsidR="00C101C2" w:rsidRPr="00A30BAC" w:rsidRDefault="00F30500" w:rsidP="004248F0">
      <w:pPr>
        <w:pStyle w:val="Prrafodelista"/>
        <w:tabs>
          <w:tab w:val="left" w:pos="426"/>
        </w:tabs>
        <w:spacing w:before="240" w:after="240" w:line="360" w:lineRule="auto"/>
        <w:ind w:left="0" w:right="51"/>
        <w:jc w:val="center"/>
      </w:pPr>
      <w:r w:rsidRPr="00A30BAC">
        <w:rPr>
          <w:noProof/>
          <w:lang w:eastAsia="es-MX"/>
        </w:rPr>
        <mc:AlternateContent>
          <mc:Choice Requires="wps">
            <w:drawing>
              <wp:anchor distT="0" distB="0" distL="114300" distR="114300" simplePos="0" relativeHeight="251663360" behindDoc="0" locked="0" layoutInCell="1" allowOverlap="1" wp14:anchorId="40827525" wp14:editId="47550CF3">
                <wp:simplePos x="0" y="0"/>
                <wp:positionH relativeFrom="column">
                  <wp:posOffset>331292</wp:posOffset>
                </wp:positionH>
                <wp:positionV relativeFrom="paragraph">
                  <wp:posOffset>2031493</wp:posOffset>
                </wp:positionV>
                <wp:extent cx="4864227" cy="277546"/>
                <wp:effectExtent l="50800" t="25400" r="63500" b="78105"/>
                <wp:wrapNone/>
                <wp:docPr id="169" name="Rectángulo 169"/>
                <wp:cNvGraphicFramePr/>
                <a:graphic xmlns:a="http://schemas.openxmlformats.org/drawingml/2006/main">
                  <a:graphicData uri="http://schemas.microsoft.com/office/word/2010/wordprocessingShape">
                    <wps:wsp>
                      <wps:cNvSpPr/>
                      <wps:spPr>
                        <a:xfrm>
                          <a:off x="0" y="0"/>
                          <a:ext cx="4864227" cy="27754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EB57AC" id="Rectángulo 169" o:spid="_x0000_s1026" style="position:absolute;margin-left:26.1pt;margin-top:159.95pt;width:383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" filled="f" strokecolor="red">
                <v:shadow on="t" color="black" opacity="22937f" origin=",.5" offset="0,.63889mm"/>
              </v:rect>
            </w:pict>
          </mc:Fallback>
        </mc:AlternateContent>
      </w:r>
      <w:r w:rsidR="004248F0" w:rsidRPr="00A30BAC">
        <w:rPr>
          <w:noProof/>
          <w:lang w:eastAsia="es-MX"/>
        </w:rPr>
        <w:drawing>
          <wp:inline distT="0" distB="0" distL="0" distR="0" wp14:anchorId="7B130BD0" wp14:editId="03C8BC6C">
            <wp:extent cx="4256323" cy="3937508"/>
            <wp:effectExtent l="12700" t="12700" r="11430" b="1270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2"/>
                    <a:stretch>
                      <a:fillRect/>
                    </a:stretch>
                  </pic:blipFill>
                  <pic:spPr>
                    <a:xfrm>
                      <a:off x="0" y="0"/>
                      <a:ext cx="4275910" cy="3955627"/>
                    </a:xfrm>
                    <a:prstGeom prst="rect">
                      <a:avLst/>
                    </a:prstGeom>
                    <a:ln>
                      <a:solidFill>
                        <a:schemeClr val="tx1"/>
                      </a:solidFill>
                    </a:ln>
                  </pic:spPr>
                </pic:pic>
              </a:graphicData>
            </a:graphic>
          </wp:inline>
        </w:drawing>
      </w:r>
    </w:p>
    <w:p w14:paraId="220DC492" w14:textId="77777777" w:rsidR="00C101C2" w:rsidRPr="00A30BAC" w:rsidRDefault="00C101C2"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797AC9A0" w14:textId="1A93C12D" w:rsidR="006C7657" w:rsidRPr="00A30BAC" w:rsidRDefault="00C101C2" w:rsidP="00F3050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En consecuencia de lo anterior, se advierte que el Sistema Municipal para el Desarrollo Integral de la Familia</w:t>
      </w:r>
      <w:r w:rsidR="00F30500" w:rsidRPr="00A30BAC">
        <w:rPr>
          <w:rFonts w:ascii="Palatino Linotype" w:hAnsi="Palatino Linotype"/>
          <w:color w:val="000000" w:themeColor="text1"/>
        </w:rPr>
        <w:t xml:space="preserve"> y el Instituto Municipal de Cultura Física y Deporte, no son</w:t>
      </w:r>
      <w:r w:rsidRPr="00A30BAC">
        <w:rPr>
          <w:rFonts w:ascii="Palatino Linotype" w:hAnsi="Palatino Linotype"/>
          <w:color w:val="000000" w:themeColor="text1"/>
        </w:rPr>
        <w:t xml:space="preserve"> Sujetos Obligados diversos al Ayuntamiento de </w:t>
      </w:r>
      <w:r w:rsidR="00F30500" w:rsidRPr="00A30BAC">
        <w:rPr>
          <w:rFonts w:ascii="Palatino Linotype" w:hAnsi="Palatino Linotype"/>
          <w:color w:val="000000" w:themeColor="text1"/>
        </w:rPr>
        <w:t>Villa del Carbón</w:t>
      </w:r>
      <w:r w:rsidRPr="00A30BAC">
        <w:rPr>
          <w:rFonts w:ascii="Palatino Linotype" w:hAnsi="Palatino Linotype"/>
          <w:color w:val="000000" w:themeColor="text1"/>
        </w:rPr>
        <w:t xml:space="preserve">; por lo tanto, el </w:t>
      </w:r>
      <w:r w:rsidRPr="00A30BAC">
        <w:rPr>
          <w:rFonts w:ascii="Palatino Linotype" w:hAnsi="Palatino Linotype"/>
          <w:b/>
          <w:color w:val="000000" w:themeColor="text1"/>
        </w:rPr>
        <w:t>SUJETO OBLIGADO</w:t>
      </w:r>
      <w:r w:rsidRPr="00A30BAC">
        <w:rPr>
          <w:rFonts w:ascii="Palatino Linotype" w:hAnsi="Palatino Linotype"/>
          <w:color w:val="000000" w:themeColor="text1"/>
        </w:rPr>
        <w:t xml:space="preserve"> resulta competente para poseer, generar o administrar información relacionada con las dependencias antes señaladas.</w:t>
      </w:r>
    </w:p>
    <w:p w14:paraId="5309D42C" w14:textId="77777777" w:rsidR="003F2959" w:rsidRPr="00A30BAC"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1BF6E64" w14:textId="4BA35B8D" w:rsidR="003F2959" w:rsidRPr="00A30BAC" w:rsidRDefault="00F62C0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Así las cosas, por cuanto hace al agravio del </w:t>
      </w:r>
      <w:r w:rsidRPr="00A30BAC">
        <w:rPr>
          <w:rFonts w:ascii="Palatino Linotype" w:hAnsi="Palatino Linotype"/>
          <w:b/>
          <w:bCs/>
          <w:color w:val="000000" w:themeColor="text1"/>
        </w:rPr>
        <w:t>RECURRENTE</w:t>
      </w:r>
      <w:r w:rsidRPr="00A30BAC">
        <w:rPr>
          <w:rFonts w:ascii="Palatino Linotype" w:hAnsi="Palatino Linotype"/>
          <w:color w:val="000000" w:themeColor="text1"/>
        </w:rPr>
        <w:t xml:space="preserve"> por el que señaló que la respuesta del </w:t>
      </w:r>
      <w:r w:rsidRPr="00A30BAC">
        <w:rPr>
          <w:rFonts w:ascii="Palatino Linotype" w:hAnsi="Palatino Linotype"/>
          <w:b/>
          <w:bCs/>
          <w:color w:val="000000" w:themeColor="text1"/>
        </w:rPr>
        <w:t>SUJETO OBLIGADO</w:t>
      </w:r>
      <w:r w:rsidRPr="00A30BAC">
        <w:rPr>
          <w:rFonts w:ascii="Palatino Linotype" w:hAnsi="Palatino Linotype"/>
          <w:color w:val="000000" w:themeColor="text1"/>
        </w:rPr>
        <w:t xml:space="preserve"> actualizaba la causal de procedencia del recurso de revisión contenida en la fracción </w:t>
      </w:r>
      <w:r w:rsidR="006A5374" w:rsidRPr="00A30BAC">
        <w:rPr>
          <w:rFonts w:ascii="Palatino Linotype" w:hAnsi="Palatino Linotype"/>
          <w:color w:val="000000" w:themeColor="text1"/>
        </w:rPr>
        <w:t>XI</w:t>
      </w:r>
      <w:r w:rsidR="006A5374" w:rsidRPr="00A30BAC">
        <w:rPr>
          <w:rStyle w:val="Refdenotaalpie"/>
          <w:rFonts w:ascii="Palatino Linotype" w:hAnsi="Palatino Linotype"/>
          <w:color w:val="000000" w:themeColor="text1"/>
        </w:rPr>
        <w:footnoteReference w:id="12"/>
      </w:r>
      <w:r w:rsidRPr="00A30BAC">
        <w:rPr>
          <w:rFonts w:ascii="Palatino Linotype" w:hAnsi="Palatino Linotype"/>
          <w:color w:val="000000" w:themeColor="text1"/>
        </w:rPr>
        <w:t xml:space="preserve"> del artículo </w:t>
      </w:r>
      <w:r w:rsidR="006A5374" w:rsidRPr="00A30BAC">
        <w:rPr>
          <w:rFonts w:ascii="Palatino Linotype" w:hAnsi="Palatino Linotype"/>
          <w:color w:val="000000" w:themeColor="text1"/>
        </w:rPr>
        <w:t xml:space="preserve">179 de la Ley de Transparencia y Acceso a la Información Pública del Estado de México y Municipios, este Organismo Garante lo determina </w:t>
      </w:r>
      <w:r w:rsidR="006A5374" w:rsidRPr="00A30BAC">
        <w:rPr>
          <w:rFonts w:ascii="Palatino Linotype" w:hAnsi="Palatino Linotype"/>
          <w:b/>
          <w:bCs/>
          <w:color w:val="000000" w:themeColor="text1"/>
        </w:rPr>
        <w:t>fundando</w:t>
      </w:r>
      <w:r w:rsidR="006A5374" w:rsidRPr="00A30BAC">
        <w:rPr>
          <w:rFonts w:ascii="Palatino Linotype" w:hAnsi="Palatino Linotype"/>
          <w:color w:val="000000" w:themeColor="text1"/>
        </w:rPr>
        <w:t xml:space="preserve">, toda vez que, como ha sido demostrado, el </w:t>
      </w:r>
      <w:r w:rsidR="006A5374" w:rsidRPr="00A30BAC">
        <w:rPr>
          <w:rFonts w:ascii="Palatino Linotype" w:hAnsi="Palatino Linotype"/>
          <w:b/>
          <w:bCs/>
          <w:color w:val="000000" w:themeColor="text1"/>
        </w:rPr>
        <w:t>SUJETO OBLIGADO</w:t>
      </w:r>
      <w:r w:rsidR="006A5374" w:rsidRPr="00A30BAC">
        <w:rPr>
          <w:rFonts w:ascii="Palatino Linotype" w:hAnsi="Palatino Linotype"/>
          <w:color w:val="000000" w:themeColor="text1"/>
        </w:rPr>
        <w:t xml:space="preserve"> no turnó la solicitud de información</w:t>
      </w:r>
      <w:r w:rsidR="00F30500" w:rsidRPr="00A30BAC">
        <w:rPr>
          <w:rFonts w:ascii="Palatino Linotype" w:hAnsi="Palatino Linotype"/>
          <w:color w:val="000000" w:themeColor="text1"/>
        </w:rPr>
        <w:t xml:space="preserve"> </w:t>
      </w:r>
      <w:r w:rsidR="006A5374" w:rsidRPr="00A30BAC">
        <w:rPr>
          <w:rFonts w:ascii="Palatino Linotype" w:hAnsi="Palatino Linotype"/>
          <w:color w:val="000000" w:themeColor="text1"/>
        </w:rPr>
        <w:t>a las áreas administrativas que, por la naturaleza de sus funciones, pudieran ser competentes para poseer, generar y/o administrar la información.</w:t>
      </w:r>
    </w:p>
    <w:p w14:paraId="3DC02721"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C5101D" w14:textId="0691EA3F" w:rsidR="00131C54" w:rsidRPr="00A30BAC" w:rsidRDefault="00131C54" w:rsidP="00131C5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A30BAC">
        <w:rPr>
          <w:rFonts w:ascii="Palatino Linotype" w:hAnsi="Palatino Linotype"/>
          <w:b/>
          <w:color w:val="000000" w:themeColor="text1"/>
        </w:rPr>
        <w:t xml:space="preserve">IV. De </w:t>
      </w:r>
      <w:r w:rsidR="002C057E" w:rsidRPr="00A30BAC">
        <w:rPr>
          <w:rFonts w:ascii="Palatino Linotype" w:hAnsi="Palatino Linotype"/>
          <w:b/>
          <w:color w:val="000000" w:themeColor="text1"/>
        </w:rPr>
        <w:t>la competencia del SUJETO OBLIGADO para poseer, generar y administrar los reportes generados en el portal ‘Visor de nómina’ del SAT</w:t>
      </w:r>
      <w:r w:rsidRPr="00A30BAC">
        <w:rPr>
          <w:rFonts w:ascii="Palatino Linotype" w:hAnsi="Palatino Linotype"/>
          <w:b/>
          <w:color w:val="000000" w:themeColor="text1"/>
        </w:rPr>
        <w:t>.</w:t>
      </w:r>
    </w:p>
    <w:p w14:paraId="76081DB8" w14:textId="77777777" w:rsidR="00131C54" w:rsidRPr="00A30BAC" w:rsidRDefault="00131C54"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4008835F" w14:textId="138DD9BB" w:rsidR="003E1087" w:rsidRPr="00A30BAC" w:rsidRDefault="00131C5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El artículo 123 de la Constitución Política de los Estados Unidos Mexicanos, en sus respectivos apartados </w:t>
      </w:r>
      <w:r w:rsidR="00D65794" w:rsidRPr="00A30BAC">
        <w:rPr>
          <w:rFonts w:ascii="Palatino Linotype" w:hAnsi="Palatino Linotype"/>
          <w:color w:val="000000" w:themeColor="text1"/>
        </w:rPr>
        <w:t>‘</w:t>
      </w:r>
      <w:r w:rsidRPr="00A30BAC">
        <w:rPr>
          <w:rFonts w:ascii="Palatino Linotype" w:hAnsi="Palatino Linotype"/>
          <w:color w:val="000000" w:themeColor="text1"/>
        </w:rPr>
        <w:t>A</w:t>
      </w:r>
      <w:r w:rsidR="00D65794" w:rsidRPr="00A30BAC">
        <w:rPr>
          <w:rFonts w:ascii="Palatino Linotype" w:hAnsi="Palatino Linotype"/>
          <w:color w:val="000000" w:themeColor="text1"/>
        </w:rPr>
        <w:t>’</w:t>
      </w:r>
      <w:r w:rsidRPr="00A30BAC">
        <w:rPr>
          <w:rFonts w:ascii="Palatino Linotype" w:hAnsi="Palatino Linotype"/>
          <w:color w:val="000000" w:themeColor="text1"/>
        </w:rPr>
        <w:t xml:space="preserve"> y </w:t>
      </w:r>
      <w:r w:rsidR="00D65794" w:rsidRPr="00A30BAC">
        <w:rPr>
          <w:rFonts w:ascii="Palatino Linotype" w:hAnsi="Palatino Linotype"/>
          <w:color w:val="000000" w:themeColor="text1"/>
        </w:rPr>
        <w:t>‘</w:t>
      </w:r>
      <w:r w:rsidRPr="00A30BAC">
        <w:rPr>
          <w:rFonts w:ascii="Palatino Linotype" w:hAnsi="Palatino Linotype"/>
          <w:color w:val="000000" w:themeColor="text1"/>
        </w:rPr>
        <w:t>B</w:t>
      </w:r>
      <w:r w:rsidR="00D65794" w:rsidRPr="00A30BAC">
        <w:rPr>
          <w:rFonts w:ascii="Palatino Linotype" w:hAnsi="Palatino Linotype"/>
          <w:color w:val="000000" w:themeColor="text1"/>
        </w:rPr>
        <w:t>’</w:t>
      </w:r>
      <w:r w:rsidRPr="00A30BAC">
        <w:rPr>
          <w:rFonts w:ascii="Palatino Linotype" w:hAnsi="Palatino Linotype"/>
          <w:color w:val="000000" w:themeColor="text1"/>
        </w:rPr>
        <w:t xml:space="preserve">, </w:t>
      </w:r>
      <w:r w:rsidRPr="00A30BAC">
        <w:rPr>
          <w:rFonts w:ascii="Palatino Linotype" w:hAnsi="Palatino Linotype"/>
          <w:color w:val="000000" w:themeColor="text1"/>
          <w:lang w:val="es-ES_tradnl"/>
        </w:rPr>
        <w:t xml:space="preserve">regula las relaciones obrero-patronales entre </w:t>
      </w:r>
      <w:r w:rsidRPr="00A30BAC">
        <w:rPr>
          <w:rFonts w:ascii="Palatino Linotype" w:hAnsi="Palatino Linotype"/>
          <w:color w:val="000000" w:themeColor="text1"/>
          <w:lang w:val="es-ES_tradnl"/>
        </w:rPr>
        <w:lastRenderedPageBreak/>
        <w:t>particulares (</w:t>
      </w:r>
      <w:r w:rsidR="00D65794" w:rsidRPr="00A30BAC">
        <w:rPr>
          <w:rFonts w:ascii="Palatino Linotype" w:hAnsi="Palatino Linotype"/>
          <w:color w:val="000000" w:themeColor="text1"/>
          <w:lang w:val="es-ES_tradnl"/>
        </w:rPr>
        <w:t>‘</w:t>
      </w:r>
      <w:r w:rsidRPr="00A30BAC">
        <w:rPr>
          <w:rFonts w:ascii="Palatino Linotype" w:hAnsi="Palatino Linotype"/>
          <w:color w:val="000000" w:themeColor="text1"/>
          <w:lang w:val="es-ES_tradnl"/>
        </w:rPr>
        <w:t>A</w:t>
      </w:r>
      <w:r w:rsidR="00D65794" w:rsidRPr="00A30BAC">
        <w:rPr>
          <w:rFonts w:ascii="Palatino Linotype" w:hAnsi="Palatino Linotype"/>
          <w:color w:val="000000" w:themeColor="text1"/>
          <w:lang w:val="es-ES_tradnl"/>
        </w:rPr>
        <w:t>’</w:t>
      </w:r>
      <w:r w:rsidRPr="00A30BAC">
        <w:rPr>
          <w:rFonts w:ascii="Palatino Linotype" w:hAnsi="Palatino Linotype"/>
          <w:color w:val="000000" w:themeColor="text1"/>
          <w:lang w:val="es-ES_tradnl"/>
        </w:rPr>
        <w:t>) y entre las Dependencias de Gobierno con sus servidores públicos (</w:t>
      </w:r>
      <w:r w:rsidR="00D65794" w:rsidRPr="00A30BAC">
        <w:rPr>
          <w:rFonts w:ascii="Palatino Linotype" w:hAnsi="Palatino Linotype"/>
          <w:color w:val="000000" w:themeColor="text1"/>
          <w:lang w:val="es-ES_tradnl"/>
        </w:rPr>
        <w:t>‘</w:t>
      </w:r>
      <w:r w:rsidRPr="00A30BAC">
        <w:rPr>
          <w:rFonts w:ascii="Palatino Linotype" w:hAnsi="Palatino Linotype"/>
          <w:color w:val="000000" w:themeColor="text1"/>
          <w:lang w:val="es-ES_tradnl"/>
        </w:rPr>
        <w:t>B</w:t>
      </w:r>
      <w:r w:rsidR="00D65794" w:rsidRPr="00A30BAC">
        <w:rPr>
          <w:rFonts w:ascii="Palatino Linotype" w:hAnsi="Palatino Linotype"/>
          <w:color w:val="000000" w:themeColor="text1"/>
          <w:lang w:val="es-ES_tradnl"/>
        </w:rPr>
        <w:t>’</w:t>
      </w:r>
      <w:r w:rsidRPr="00A30BAC">
        <w:rPr>
          <w:rFonts w:ascii="Palatino Linotype" w:hAnsi="Palatino Linotype"/>
          <w:color w:val="000000" w:themeColor="text1"/>
          <w:lang w:val="es-ES_tradnl"/>
        </w:rPr>
        <w:t>).</w:t>
      </w:r>
    </w:p>
    <w:p w14:paraId="0FA9DF74"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6F94F87" w14:textId="68D40778" w:rsidR="003E1087" w:rsidRPr="00A30BAC"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Por cuanto hace al </w:t>
      </w:r>
      <w:r w:rsidRPr="00A30BAC">
        <w:rPr>
          <w:rFonts w:ascii="Palatino Linotype" w:hAnsi="Palatino Linotype"/>
          <w:color w:val="000000" w:themeColor="text1"/>
          <w:lang w:val="es-ES_tradnl"/>
        </w:rPr>
        <w:t xml:space="preserve">Instituto Mexicano del Seguro Social (IMSS) y el Instituto del Fondo Nacional de la Vivienda para los Trabajadores (INFONAVIT), éstos se encuentran regulados conforme al apartado </w:t>
      </w:r>
      <w:r w:rsidR="00D65794" w:rsidRPr="00A30BAC">
        <w:rPr>
          <w:rFonts w:ascii="Palatino Linotype" w:hAnsi="Palatino Linotype"/>
          <w:color w:val="000000" w:themeColor="text1"/>
          <w:lang w:val="es-ES_tradnl"/>
        </w:rPr>
        <w:t>‘</w:t>
      </w:r>
      <w:r w:rsidRPr="00A30BAC">
        <w:rPr>
          <w:rFonts w:ascii="Palatino Linotype" w:hAnsi="Palatino Linotype"/>
          <w:color w:val="000000" w:themeColor="text1"/>
          <w:lang w:val="es-ES_tradnl"/>
        </w:rPr>
        <w:t>A</w:t>
      </w:r>
      <w:r w:rsidR="00D65794" w:rsidRPr="00A30BAC">
        <w:rPr>
          <w:rFonts w:ascii="Palatino Linotype" w:hAnsi="Palatino Linotype"/>
          <w:color w:val="000000" w:themeColor="text1"/>
          <w:lang w:val="es-ES_tradnl"/>
        </w:rPr>
        <w:t>’</w:t>
      </w:r>
      <w:r w:rsidRPr="00A30BAC">
        <w:rPr>
          <w:rFonts w:ascii="Palatino Linotype" w:hAnsi="Palatino Linotype"/>
          <w:color w:val="000000" w:themeColor="text1"/>
          <w:lang w:val="es-ES_tradnl"/>
        </w:rPr>
        <w:t xml:space="preserve">, al ser entes públicos encargados de regular la seguridad social y de vivienda en el sector privado; por su parte, el apartado que rige las relaciones labores de los servidores públicos corresponde al inciso </w:t>
      </w:r>
      <w:r w:rsidR="00D65794" w:rsidRPr="00A30BAC">
        <w:rPr>
          <w:rFonts w:ascii="Palatino Linotype" w:hAnsi="Palatino Linotype"/>
          <w:color w:val="000000" w:themeColor="text1"/>
          <w:lang w:val="es-ES_tradnl"/>
        </w:rPr>
        <w:t>‘</w:t>
      </w:r>
      <w:r w:rsidRPr="00A30BAC">
        <w:rPr>
          <w:rFonts w:ascii="Palatino Linotype" w:hAnsi="Palatino Linotype"/>
          <w:color w:val="000000" w:themeColor="text1"/>
          <w:lang w:val="es-ES_tradnl"/>
        </w:rPr>
        <w:t>B</w:t>
      </w:r>
      <w:r w:rsidR="00D65794" w:rsidRPr="00A30BAC">
        <w:rPr>
          <w:rFonts w:ascii="Palatino Linotype" w:hAnsi="Palatino Linotype"/>
          <w:color w:val="000000" w:themeColor="text1"/>
          <w:lang w:val="es-ES_tradnl"/>
        </w:rPr>
        <w:t>’</w:t>
      </w:r>
      <w:r w:rsidRPr="00A30BAC">
        <w:rPr>
          <w:rFonts w:ascii="Palatino Linotype" w:hAnsi="Palatino Linotype"/>
          <w:color w:val="000000" w:themeColor="text1"/>
          <w:lang w:val="es-ES_tradnl"/>
        </w:rPr>
        <w:t>.</w:t>
      </w:r>
    </w:p>
    <w:p w14:paraId="02EE1D0B"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1546DA" w14:textId="098798E4" w:rsidR="003E1087" w:rsidRPr="00A30BAC"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Así las cosas, </w:t>
      </w:r>
      <w:r w:rsidR="00D65794" w:rsidRPr="00A30BAC">
        <w:rPr>
          <w:rFonts w:ascii="Palatino Linotype" w:hAnsi="Palatino Linotype"/>
          <w:color w:val="000000" w:themeColor="text1"/>
        </w:rPr>
        <w:t>respecto</w:t>
      </w:r>
      <w:r w:rsidRPr="00A30BAC">
        <w:rPr>
          <w:rFonts w:ascii="Palatino Linotype" w:hAnsi="Palatino Linotype"/>
          <w:color w:val="000000" w:themeColor="text1"/>
        </w:rPr>
        <w:t xml:space="preserve"> a los pronunciamientos del </w:t>
      </w:r>
      <w:r w:rsidRPr="00A30BAC">
        <w:rPr>
          <w:rFonts w:ascii="Palatino Linotype" w:hAnsi="Palatino Linotype"/>
          <w:b/>
          <w:color w:val="000000" w:themeColor="text1"/>
        </w:rPr>
        <w:t>SUJETO OBLIGADO</w:t>
      </w:r>
      <w:r w:rsidRPr="00A30BAC">
        <w:rPr>
          <w:rFonts w:ascii="Palatino Linotype" w:hAnsi="Palatino Linotype"/>
          <w:color w:val="000000" w:themeColor="text1"/>
        </w:rPr>
        <w:t xml:space="preserve">, mediante los cuales, </w:t>
      </w:r>
      <w:r w:rsidR="00D65794" w:rsidRPr="00A30BAC">
        <w:rPr>
          <w:rFonts w:ascii="Palatino Linotype" w:hAnsi="Palatino Linotype"/>
          <w:color w:val="000000" w:themeColor="text1"/>
        </w:rPr>
        <w:t>refirió</w:t>
      </w:r>
      <w:r w:rsidRPr="00A30BAC">
        <w:rPr>
          <w:rFonts w:ascii="Palatino Linotype" w:hAnsi="Palatino Linotype"/>
          <w:color w:val="000000" w:themeColor="text1"/>
        </w:rPr>
        <w:t xml:space="preserve"> no generar información relacionada con el pago de impuestos por IMSS e INFONAVIT, </w:t>
      </w:r>
      <w:r w:rsidR="00802D9A" w:rsidRPr="00A30BAC">
        <w:rPr>
          <w:rFonts w:ascii="Palatino Linotype" w:hAnsi="Palatino Linotype"/>
          <w:color w:val="000000" w:themeColor="text1"/>
        </w:rPr>
        <w:t>éstos</w:t>
      </w:r>
      <w:r w:rsidR="00D65794" w:rsidRPr="00A30BAC">
        <w:rPr>
          <w:rFonts w:ascii="Palatino Linotype" w:hAnsi="Palatino Linotype"/>
          <w:color w:val="000000" w:themeColor="text1"/>
        </w:rPr>
        <w:t xml:space="preserve"> no</w:t>
      </w:r>
      <w:r w:rsidR="00802D9A" w:rsidRPr="00A30BAC">
        <w:rPr>
          <w:rFonts w:ascii="Palatino Linotype" w:hAnsi="Palatino Linotype"/>
          <w:color w:val="000000" w:themeColor="text1"/>
        </w:rPr>
        <w:t xml:space="preserve"> deben entenderse</w:t>
      </w:r>
      <w:r w:rsidR="00D65794" w:rsidRPr="00A30BAC">
        <w:rPr>
          <w:rFonts w:ascii="Palatino Linotype" w:hAnsi="Palatino Linotype"/>
          <w:color w:val="000000" w:themeColor="text1"/>
        </w:rPr>
        <w:t xml:space="preserve"> como una manifestación de incompetencia, sino</w:t>
      </w:r>
      <w:r w:rsidR="00802D9A" w:rsidRPr="00A30BAC">
        <w:rPr>
          <w:rFonts w:ascii="Palatino Linotype" w:hAnsi="Palatino Linotype"/>
          <w:color w:val="000000" w:themeColor="text1"/>
        </w:rPr>
        <w:t xml:space="preserve"> como un </w:t>
      </w:r>
      <w:r w:rsidR="00802D9A" w:rsidRPr="00A30BAC">
        <w:rPr>
          <w:rFonts w:ascii="Palatino Linotype" w:hAnsi="Palatino Linotype"/>
          <w:b/>
          <w:bCs/>
          <w:i/>
          <w:color w:val="000000" w:themeColor="text1"/>
        </w:rPr>
        <w:t>hecho negativo</w:t>
      </w:r>
      <w:r w:rsidR="00802D9A" w:rsidRPr="00A30BAC">
        <w:rPr>
          <w:rFonts w:ascii="Palatino Linotype" w:hAnsi="Palatino Linotype"/>
          <w:color w:val="000000" w:themeColor="text1"/>
        </w:rPr>
        <w:t xml:space="preserve">; es decir, que </w:t>
      </w:r>
      <w:r w:rsidR="00802D9A" w:rsidRPr="00A30BAC">
        <w:rPr>
          <w:rFonts w:ascii="Palatino Linotype" w:hAnsi="Palatino Linotype"/>
          <w:color w:val="000000" w:themeColor="text1"/>
          <w:lang w:val="es-ES"/>
        </w:rPr>
        <w:t xml:space="preserve">no se actualiza la circunstancia por la cual </w:t>
      </w:r>
      <w:r w:rsidR="00802D9A" w:rsidRPr="00A30BAC">
        <w:rPr>
          <w:rFonts w:ascii="Palatino Linotype" w:hAnsi="Palatino Linotype"/>
          <w:bCs/>
          <w:color w:val="000000" w:themeColor="text1"/>
          <w:lang w:val="es-ES"/>
        </w:rPr>
        <w:t>el</w:t>
      </w:r>
      <w:r w:rsidR="00802D9A" w:rsidRPr="00A30BAC">
        <w:rPr>
          <w:rFonts w:ascii="Palatino Linotype" w:hAnsi="Palatino Linotype"/>
          <w:b/>
          <w:color w:val="000000" w:themeColor="text1"/>
          <w:lang w:val="es-ES"/>
        </w:rPr>
        <w:t xml:space="preserve"> SUJETO OBLIGADO</w:t>
      </w:r>
      <w:r w:rsidR="00802D9A" w:rsidRPr="00A30BAC">
        <w:rPr>
          <w:rFonts w:ascii="Palatino Linotype" w:hAnsi="Palatino Linotype"/>
          <w:bCs/>
          <w:color w:val="000000" w:themeColor="text1"/>
          <w:lang w:val="es-ES"/>
        </w:rPr>
        <w:t>,</w:t>
      </w:r>
      <w:r w:rsidR="00802D9A" w:rsidRPr="00A30BAC">
        <w:rPr>
          <w:rFonts w:ascii="Palatino Linotype" w:hAnsi="Palatino Linotype"/>
          <w:color w:val="000000" w:themeColor="text1"/>
          <w:lang w:val="es-ES"/>
        </w:rPr>
        <w:t xml:space="preserve"> en el ámbito de sus atribuciones, pudiese poseer en sus archivos la información solicitada</w:t>
      </w:r>
      <w:r w:rsidR="00D65794" w:rsidRPr="00A30BAC">
        <w:rPr>
          <w:rFonts w:ascii="Palatino Linotype" w:hAnsi="Palatino Linotype"/>
          <w:color w:val="000000" w:themeColor="text1"/>
          <w:lang w:val="es-ES"/>
        </w:rPr>
        <w:t>; razón de lo anterior,</w:t>
      </w:r>
      <w:r w:rsidR="00802D9A" w:rsidRPr="00A30BAC">
        <w:rPr>
          <w:rFonts w:ascii="Palatino Linotype" w:hAnsi="Palatino Linotype"/>
          <w:color w:val="000000" w:themeColor="text1"/>
          <w:lang w:val="es-ES"/>
        </w:rPr>
        <w:t xml:space="preserve"> resultaría innecesaria una declaratoria de inexistencia, en términos de la fracción XIII</w:t>
      </w:r>
      <w:r w:rsidR="00D65794" w:rsidRPr="00A30BAC">
        <w:rPr>
          <w:rStyle w:val="Refdenotaalpie"/>
          <w:rFonts w:ascii="Palatino Linotype" w:hAnsi="Palatino Linotype"/>
          <w:color w:val="000000" w:themeColor="text1"/>
          <w:lang w:val="es-ES"/>
        </w:rPr>
        <w:footnoteReference w:id="13"/>
      </w:r>
      <w:r w:rsidR="00D65794" w:rsidRPr="00A30BAC">
        <w:rPr>
          <w:rFonts w:ascii="Palatino Linotype" w:hAnsi="Palatino Linotype"/>
          <w:color w:val="000000" w:themeColor="text1"/>
          <w:lang w:val="es-ES"/>
        </w:rPr>
        <w:t>,</w:t>
      </w:r>
      <w:r w:rsidR="00802D9A" w:rsidRPr="00A30BAC">
        <w:rPr>
          <w:rFonts w:ascii="Palatino Linotype" w:hAnsi="Palatino Linotype"/>
          <w:color w:val="000000" w:themeColor="text1"/>
          <w:lang w:val="es-ES"/>
        </w:rPr>
        <w:t xml:space="preserve"> del artículo 49</w:t>
      </w:r>
      <w:r w:rsidR="00D65794" w:rsidRPr="00A30BAC">
        <w:rPr>
          <w:rFonts w:ascii="Palatino Linotype" w:hAnsi="Palatino Linotype"/>
          <w:color w:val="000000" w:themeColor="text1"/>
          <w:lang w:val="es-ES"/>
        </w:rPr>
        <w:t>,</w:t>
      </w:r>
      <w:r w:rsidR="00802D9A" w:rsidRPr="00A30BAC">
        <w:rPr>
          <w:rFonts w:ascii="Palatino Linotype" w:hAnsi="Palatino Linotype"/>
          <w:color w:val="000000" w:themeColor="text1"/>
          <w:lang w:val="es-ES"/>
        </w:rPr>
        <w:t xml:space="preserve"> de la Ley de Transparencia y Acceso a la Información Pública del Estado de México y Municipios.</w:t>
      </w:r>
    </w:p>
    <w:p w14:paraId="03DCCF72"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0B82735" w14:textId="1A5AC4A1" w:rsidR="003E1087" w:rsidRPr="00A30BAC" w:rsidRDefault="00802D9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 xml:space="preserve">Lo </w:t>
      </w:r>
      <w:r w:rsidRPr="00A30BAC">
        <w:rPr>
          <w:rFonts w:ascii="Palatino Linotype" w:hAnsi="Palatino Linotype" w:cs="Arial"/>
          <w:color w:val="000000" w:themeColor="text1"/>
        </w:rPr>
        <w:t>anterior encuentra sustento con la Jurisprudencia 267,287 y el Criterio 10/2004 emitidos por el Máximo Juzgador del país, Tesis que determinan lo siguiente:</w:t>
      </w:r>
    </w:p>
    <w:p w14:paraId="490EEE7B"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7A32D5DF" w14:textId="77777777" w:rsidR="00802D9A" w:rsidRPr="00A30BAC" w:rsidRDefault="00802D9A" w:rsidP="00AB2CAA">
      <w:pPr>
        <w:pStyle w:val="Prrafodelista"/>
        <w:tabs>
          <w:tab w:val="left" w:pos="426"/>
        </w:tabs>
        <w:spacing w:before="240" w:after="240"/>
        <w:ind w:left="567" w:right="567"/>
        <w:jc w:val="both"/>
        <w:rPr>
          <w:rFonts w:ascii="Palatino Linotype" w:hAnsi="Palatino Linotype" w:cs="Arial"/>
          <w:i/>
          <w:sz w:val="22"/>
          <w:szCs w:val="22"/>
        </w:rPr>
      </w:pPr>
      <w:r w:rsidRPr="00A30BAC">
        <w:rPr>
          <w:rFonts w:ascii="Palatino Linotype" w:hAnsi="Palatino Linotype" w:cs="Arial"/>
          <w:i/>
          <w:sz w:val="22"/>
          <w:szCs w:val="22"/>
        </w:rPr>
        <w:t>“</w:t>
      </w:r>
      <w:r w:rsidRPr="00A30BAC">
        <w:rPr>
          <w:rFonts w:ascii="Palatino Linotype" w:hAnsi="Palatino Linotype" w:cs="Arial"/>
          <w:b/>
          <w:i/>
          <w:sz w:val="22"/>
          <w:szCs w:val="22"/>
        </w:rPr>
        <w:t>HECHOS NEGATIVOS, NO SON SUSCEPTIBLES DE DEMOSTRACION.</w:t>
      </w:r>
      <w:r w:rsidRPr="00A30BAC">
        <w:rPr>
          <w:rFonts w:ascii="Palatino Linotype" w:hAnsi="Palatino Linotype" w:cs="Arial"/>
          <w:i/>
          <w:sz w:val="22"/>
          <w:szCs w:val="22"/>
        </w:rPr>
        <w:t xml:space="preserve"> </w:t>
      </w:r>
      <w:r w:rsidRPr="00A30BAC">
        <w:rPr>
          <w:rFonts w:ascii="Palatino Linotype" w:hAnsi="Palatino Linotype" w:cs="Arial"/>
          <w:b/>
          <w:i/>
          <w:sz w:val="22"/>
          <w:szCs w:val="22"/>
        </w:rPr>
        <w:t xml:space="preserve">Tratándose de un hecho negativo, el Juez no tiene </w:t>
      </w:r>
      <w:proofErr w:type="spellStart"/>
      <w:r w:rsidRPr="00A30BAC">
        <w:rPr>
          <w:rFonts w:ascii="Palatino Linotype" w:hAnsi="Palatino Linotype" w:cs="Arial"/>
          <w:b/>
          <w:i/>
          <w:sz w:val="22"/>
          <w:szCs w:val="22"/>
        </w:rPr>
        <w:t>por que</w:t>
      </w:r>
      <w:proofErr w:type="spellEnd"/>
      <w:r w:rsidRPr="00A30BAC">
        <w:rPr>
          <w:rFonts w:ascii="Palatino Linotype" w:hAnsi="Palatino Linotype" w:cs="Arial"/>
          <w:b/>
          <w:i/>
          <w:sz w:val="22"/>
          <w:szCs w:val="22"/>
        </w:rPr>
        <w:t xml:space="preserve"> invocar prueba alguna de la que se desprenda</w:t>
      </w:r>
      <w:r w:rsidRPr="00A30BAC">
        <w:rPr>
          <w:rFonts w:ascii="Palatino Linotype" w:hAnsi="Palatino Linotype" w:cs="Arial"/>
          <w:i/>
          <w:sz w:val="22"/>
          <w:szCs w:val="22"/>
        </w:rPr>
        <w:t>, ya que es bien sabido que esta clase de hechos no son susceptibles de demostración.”</w:t>
      </w:r>
    </w:p>
    <w:p w14:paraId="0B43B5BD" w14:textId="77777777" w:rsidR="00802D9A" w:rsidRPr="00A30BAC" w:rsidRDefault="00802D9A" w:rsidP="00AB2CAA">
      <w:pPr>
        <w:pStyle w:val="Prrafodelista"/>
        <w:tabs>
          <w:tab w:val="left" w:pos="426"/>
        </w:tabs>
        <w:spacing w:before="240" w:after="240"/>
        <w:ind w:left="567" w:right="567"/>
        <w:jc w:val="both"/>
        <w:rPr>
          <w:rFonts w:ascii="Palatino Linotype" w:hAnsi="Palatino Linotype" w:cs="Arial"/>
          <w:i/>
          <w:sz w:val="22"/>
          <w:szCs w:val="22"/>
        </w:rPr>
      </w:pPr>
    </w:p>
    <w:p w14:paraId="3F9FD286" w14:textId="24D8F035" w:rsidR="00802D9A" w:rsidRPr="00A30BAC" w:rsidRDefault="00802D9A" w:rsidP="00AB2CAA">
      <w:pPr>
        <w:pStyle w:val="Prrafodelista"/>
        <w:tabs>
          <w:tab w:val="left" w:pos="426"/>
        </w:tabs>
        <w:spacing w:before="240" w:after="240"/>
        <w:ind w:left="567" w:right="567"/>
        <w:jc w:val="both"/>
        <w:rPr>
          <w:rFonts w:ascii="Palatino Linotype" w:hAnsi="Palatino Linotype" w:cs="Arial"/>
          <w:i/>
          <w:sz w:val="22"/>
          <w:szCs w:val="22"/>
        </w:rPr>
      </w:pPr>
      <w:r w:rsidRPr="00A30BAC">
        <w:rPr>
          <w:rFonts w:ascii="Palatino Linotype" w:hAnsi="Palatino Linotype" w:cs="Arial"/>
          <w:i/>
          <w:sz w:val="22"/>
          <w:szCs w:val="22"/>
        </w:rPr>
        <w:t>“</w:t>
      </w:r>
      <w:r w:rsidRPr="00A30BAC">
        <w:rPr>
          <w:rFonts w:ascii="Palatino Linotype" w:hAnsi="Palatino Linotype" w:cs="Arial"/>
          <w:b/>
          <w:i/>
          <w:sz w:val="22"/>
          <w:szCs w:val="22"/>
        </w:rPr>
        <w:t>INEXISTENCIA DE LA INFORMACIÓN. EL COMITÉ DE ACCESO A LA INFORMACIÓN PUEDE DECLARARLA ANTE SU EVIDENCIA, SIN NECESIDAD DE DICTAR MEDIDAS PARA SU LOCALIZACIÓN.</w:t>
      </w:r>
      <w:r w:rsidRPr="00A30BAC">
        <w:rPr>
          <w:rFonts w:ascii="Palatino Linotype" w:hAnsi="Palatino Linotype" w:cs="Arial"/>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A30BAC">
        <w:rPr>
          <w:rFonts w:ascii="Palatino Linotype" w:hAnsi="Palatino Linotype" w:cs="Arial"/>
          <w:b/>
          <w:i/>
          <w:sz w:val="22"/>
          <w:szCs w:val="22"/>
        </w:rPr>
        <w:t>ndo la referida Unidad señala, o</w:t>
      </w:r>
      <w:r w:rsidRPr="00A30BAC">
        <w:rPr>
          <w:rFonts w:ascii="Palatino Linotype" w:hAnsi="Palatino Linotype" w:cs="Arial"/>
          <w:i/>
          <w:sz w:val="22"/>
          <w:szCs w:val="22"/>
        </w:rPr>
        <w:t xml:space="preserve"> el mencionado Comité </w:t>
      </w:r>
      <w:r w:rsidRPr="00A30BAC">
        <w:rPr>
          <w:rFonts w:ascii="Palatino Linotype" w:hAnsi="Palatino Linotype" w:cs="Arial"/>
          <w:b/>
          <w:i/>
          <w:sz w:val="22"/>
          <w:szCs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A30BAC">
        <w:rPr>
          <w:rFonts w:ascii="Palatino Linotype" w:hAnsi="Palatino Linotype" w:cs="Arial"/>
          <w:i/>
          <w:sz w:val="22"/>
          <w:szCs w:val="22"/>
        </w:rPr>
        <w:t>”</w:t>
      </w:r>
    </w:p>
    <w:p w14:paraId="3183E777" w14:textId="77777777" w:rsidR="00AB2CAA" w:rsidRPr="00A30BAC" w:rsidRDefault="00AB2CAA" w:rsidP="00AB2CAA">
      <w:pPr>
        <w:pStyle w:val="Prrafodelista"/>
        <w:tabs>
          <w:tab w:val="left" w:pos="426"/>
        </w:tabs>
        <w:spacing w:before="240" w:after="240"/>
        <w:ind w:left="567" w:right="567"/>
        <w:jc w:val="both"/>
        <w:rPr>
          <w:rFonts w:ascii="Palatino Linotype" w:hAnsi="Palatino Linotype" w:cs="Arial"/>
          <w:i/>
          <w:sz w:val="22"/>
          <w:szCs w:val="22"/>
        </w:rPr>
      </w:pPr>
    </w:p>
    <w:p w14:paraId="715C47BA" w14:textId="77777777" w:rsidR="00802D9A" w:rsidRPr="00A30BAC" w:rsidRDefault="00802D9A" w:rsidP="00AB2CAA">
      <w:pPr>
        <w:pStyle w:val="Prrafodelista"/>
        <w:tabs>
          <w:tab w:val="left" w:pos="426"/>
        </w:tabs>
        <w:spacing w:before="240" w:after="240"/>
        <w:ind w:left="567" w:right="567"/>
        <w:jc w:val="both"/>
        <w:rPr>
          <w:rFonts w:ascii="Palatino Linotype" w:hAnsi="Palatino Linotype" w:cs="Arial"/>
          <w:iCs/>
          <w:sz w:val="22"/>
          <w:szCs w:val="22"/>
        </w:rPr>
      </w:pPr>
      <w:r w:rsidRPr="00A30BAC">
        <w:rPr>
          <w:rFonts w:ascii="Palatino Linotype" w:hAnsi="Palatino Linotype" w:cs="Arial"/>
          <w:iCs/>
          <w:sz w:val="22"/>
          <w:szCs w:val="22"/>
        </w:rPr>
        <w:t>(Énfasis añadido)</w:t>
      </w:r>
    </w:p>
    <w:p w14:paraId="5FE1F4A2" w14:textId="77777777" w:rsidR="00802D9A" w:rsidRPr="00A30BAC" w:rsidRDefault="00802D9A"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5F104F35" w14:textId="2C36A9B0" w:rsidR="003E1087" w:rsidRPr="00A30BAC"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Ahora bien,</w:t>
      </w:r>
      <w:r w:rsidR="00802D9A" w:rsidRPr="00A30BAC">
        <w:rPr>
          <w:rFonts w:ascii="Palatino Linotype" w:hAnsi="Palatino Linotype"/>
          <w:color w:val="000000" w:themeColor="text1"/>
        </w:rPr>
        <w:t xml:space="preserve"> cuanto hace al pago de impuestos sobre sueldos y salarios, el artículo primero del Código Fiscal de la Federación establece que las personas físicas y las morales, están obligadas a contribuir para los gastos públicos conforme a las leyes fiscales respectivas.</w:t>
      </w:r>
    </w:p>
    <w:p w14:paraId="5CDFB9A4"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5EF9927" w14:textId="4400DD4E" w:rsidR="003E1087" w:rsidRPr="00A30BAC"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 xml:space="preserve">Por su parte, el artículo 27 del Código Fiscal de la Federación, en su inciso </w:t>
      </w:r>
      <w:r w:rsidR="0004606D" w:rsidRPr="00A30BAC">
        <w:rPr>
          <w:rFonts w:ascii="Palatino Linotype" w:hAnsi="Palatino Linotype"/>
          <w:color w:val="000000" w:themeColor="text1"/>
        </w:rPr>
        <w:t>‘</w:t>
      </w:r>
      <w:r w:rsidRPr="00A30BAC">
        <w:rPr>
          <w:rFonts w:ascii="Palatino Linotype" w:hAnsi="Palatino Linotype"/>
          <w:color w:val="000000" w:themeColor="text1"/>
        </w:rPr>
        <w:t>A</w:t>
      </w:r>
      <w:r w:rsidR="0004606D" w:rsidRPr="00A30BAC">
        <w:rPr>
          <w:rFonts w:ascii="Palatino Linotype" w:hAnsi="Palatino Linotype"/>
          <w:color w:val="000000" w:themeColor="text1"/>
        </w:rPr>
        <w:t>’</w:t>
      </w:r>
      <w:r w:rsidRPr="00A30BAC">
        <w:rPr>
          <w:rFonts w:ascii="Palatino Linotype" w:hAnsi="Palatino Linotype"/>
          <w:color w:val="000000" w:themeColor="text1"/>
        </w:rPr>
        <w:t xml:space="preserve">, establece que en materia del Registro Federal de Contribuyentes, </w:t>
      </w:r>
      <w:r w:rsidRPr="00A30BAC">
        <w:rPr>
          <w:rFonts w:ascii="Palatino Linotype" w:hAnsi="Palatino Linotype"/>
          <w:b/>
          <w:bCs/>
          <w:color w:val="000000" w:themeColor="text1"/>
        </w:rPr>
        <w:t>serán sujetos obligados las unidades administrativas y los órganos administrativos desconcentrados</w:t>
      </w:r>
      <w:r w:rsidRPr="00A30BAC">
        <w:rPr>
          <w:rFonts w:ascii="Palatino Linotype" w:hAnsi="Palatino Linotype"/>
          <w:color w:val="000000" w:themeColor="text1"/>
        </w:rPr>
        <w:t xml:space="preserve"> </w:t>
      </w:r>
      <w:r w:rsidRPr="00A30BAC">
        <w:rPr>
          <w:rFonts w:ascii="Palatino Linotype" w:hAnsi="Palatino Linotype"/>
          <w:b/>
          <w:bCs/>
          <w:color w:val="000000" w:themeColor="text1"/>
        </w:rPr>
        <w:t>de las dependencias y las demás áreas u órganos de la Federación, de las Entidades Federativas, de los municipios, de los organismos descentralizados y de los órganos constitucionales autónomos,</w:t>
      </w:r>
      <w:r w:rsidRPr="00A30BAC">
        <w:rPr>
          <w:rFonts w:ascii="Palatino Linotype" w:hAnsi="Palatino Linotype"/>
          <w:color w:val="000000" w:themeColor="text1"/>
        </w:rPr>
        <w:t xml:space="preserve"> </w:t>
      </w:r>
      <w:r w:rsidRPr="00A30BAC">
        <w:rPr>
          <w:rFonts w:ascii="Palatino Linotype" w:hAnsi="Palatino Linotype"/>
          <w:b/>
          <w:bCs/>
          <w:color w:val="000000" w:themeColor="text1"/>
        </w:rPr>
        <w:t>que cuenten con autorización del ente público al que pertenezcan, que tengan el carácter de retenedor o de contribuyente</w:t>
      </w:r>
      <w:r w:rsidRPr="00A30BAC">
        <w:rPr>
          <w:rFonts w:ascii="Palatino Linotype" w:hAnsi="Palatino Linotype"/>
          <w:color w:val="000000" w:themeColor="text1"/>
        </w:rPr>
        <w:t xml:space="preserve">, de conformidad con las leyes fiscales, en forma separada del ente público al que pertenezcan, deberán dar cumplimiento a las obligaciones previstas en las fracciones I, II y III del apartado </w:t>
      </w:r>
      <w:r w:rsidR="0004606D" w:rsidRPr="00A30BAC">
        <w:rPr>
          <w:rFonts w:ascii="Palatino Linotype" w:hAnsi="Palatino Linotype"/>
          <w:color w:val="000000" w:themeColor="text1"/>
        </w:rPr>
        <w:t>‘</w:t>
      </w:r>
      <w:r w:rsidRPr="00A30BAC">
        <w:rPr>
          <w:rFonts w:ascii="Palatino Linotype" w:hAnsi="Palatino Linotype"/>
          <w:color w:val="000000" w:themeColor="text1"/>
        </w:rPr>
        <w:t>B</w:t>
      </w:r>
      <w:r w:rsidR="0004606D" w:rsidRPr="00A30BAC">
        <w:rPr>
          <w:rFonts w:ascii="Palatino Linotype" w:hAnsi="Palatino Linotype"/>
          <w:color w:val="000000" w:themeColor="text1"/>
        </w:rPr>
        <w:t>’</w:t>
      </w:r>
      <w:r w:rsidRPr="00A30BAC">
        <w:rPr>
          <w:rFonts w:ascii="Palatino Linotype" w:hAnsi="Palatino Linotype"/>
          <w:color w:val="000000" w:themeColor="text1"/>
        </w:rPr>
        <w:t xml:space="preserve"> del numeral en comento.</w:t>
      </w:r>
    </w:p>
    <w:p w14:paraId="0DE1B8C0"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7794E01" w14:textId="182DE191" w:rsidR="003E1087" w:rsidRPr="00A30BAC" w:rsidRDefault="001D1156" w:rsidP="001D11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Correlativo a lo anterior, el artículo 29 del ordenamiento en estudio establece lo siguiente:</w:t>
      </w:r>
    </w:p>
    <w:p w14:paraId="7A5CA86B"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Artículo 29.</w:t>
      </w:r>
      <w:r w:rsidRPr="00A30BAC">
        <w:rPr>
          <w:rFonts w:ascii="Palatino Linotype" w:eastAsia="Calibri" w:hAnsi="Palatino Linotype" w:cs="Times New Roman"/>
          <w:i/>
          <w:sz w:val="22"/>
          <w:lang w:val="es-ES_tradnl"/>
        </w:rPr>
        <w:t xml:space="preserve"> </w:t>
      </w:r>
      <w:r w:rsidRPr="00A30BAC">
        <w:rPr>
          <w:rFonts w:ascii="Palatino Linotype" w:eastAsia="Calibri" w:hAnsi="Palatino Linotype" w:cs="Times New Roman"/>
          <w:b/>
          <w:i/>
          <w:sz w:val="22"/>
          <w:lang w:val="es-ES_tradnl"/>
        </w:rPr>
        <w:t>Cuando las leyes fiscales establezcan la obligación de expedir comprobantes fiscales por los actos o actividades que realicen, por los ingresos que se perciban o por las retenciones de contribuciones que efectúen</w:t>
      </w:r>
      <w:r w:rsidRPr="00A30BAC">
        <w:rPr>
          <w:rFonts w:ascii="Palatino Linotype" w:eastAsia="Calibri" w:hAnsi="Palatino Linotype" w:cs="Times New Roman"/>
          <w:i/>
          <w:sz w:val="22"/>
          <w:lang w:val="es-ES_tradnl"/>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4FB618CA"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i/>
          <w:sz w:val="22"/>
          <w:lang w:val="es-ES_tradnl"/>
        </w:rPr>
        <w:t>Los contribuyentes a que se refiere el párrafo anterior deberán cumplir con las obligaciones siguientes:</w:t>
      </w:r>
    </w:p>
    <w:p w14:paraId="17E1EA68"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I.</w:t>
      </w:r>
      <w:r w:rsidRPr="00A30BAC">
        <w:rPr>
          <w:rFonts w:ascii="Palatino Linotype" w:eastAsia="Calibri" w:hAnsi="Palatino Linotype" w:cs="Times New Roman"/>
          <w:i/>
          <w:sz w:val="22"/>
          <w:lang w:val="es-ES_tradnl"/>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0EA5645"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lastRenderedPageBreak/>
        <w:t>II.</w:t>
      </w:r>
      <w:r w:rsidRPr="00A30BAC">
        <w:rPr>
          <w:rFonts w:ascii="Palatino Linotype" w:eastAsia="Calibri" w:hAnsi="Palatino Linotype" w:cs="Times New Roman"/>
          <w:i/>
          <w:sz w:val="22"/>
          <w:lang w:val="es-ES_tradnl"/>
        </w:rPr>
        <w:t xml:space="preserve"> Tramitar ante el Servicio de Administración Tributaria el certificado para el uso de los sellos digitales.</w:t>
      </w:r>
    </w:p>
    <w:p w14:paraId="48FC81A3"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i/>
          <w:sz w:val="22"/>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A062BA0"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i/>
          <w:sz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79C451B1"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i/>
          <w:sz w:val="22"/>
          <w:lang w:val="es-ES_tradnl"/>
        </w:rPr>
        <w:t>La tramitación de un certificado de sello digital sólo podrá efectuarse mediante formato electrónico que cuente con la firma electrónica avanzada de la persona solicitante.</w:t>
      </w:r>
    </w:p>
    <w:p w14:paraId="7B7EF8D2"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III.</w:t>
      </w:r>
      <w:r w:rsidRPr="00A30BAC">
        <w:rPr>
          <w:rFonts w:ascii="Palatino Linotype" w:eastAsia="Calibri" w:hAnsi="Palatino Linotype" w:cs="Times New Roman"/>
          <w:i/>
          <w:sz w:val="22"/>
          <w:lang w:val="es-ES_tradnl"/>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11C8481"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IV.</w:t>
      </w:r>
      <w:r w:rsidRPr="00A30BAC">
        <w:rPr>
          <w:rFonts w:ascii="Palatino Linotype" w:eastAsia="Calibri" w:hAnsi="Palatino Linotype" w:cs="Times New Roman"/>
          <w:i/>
          <w:sz w:val="22"/>
          <w:lang w:val="es-ES_tradnl"/>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E141836"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a)</w:t>
      </w:r>
      <w:r w:rsidRPr="00A30BAC">
        <w:rPr>
          <w:rFonts w:ascii="Palatino Linotype" w:eastAsia="Calibri" w:hAnsi="Palatino Linotype" w:cs="Times New Roman"/>
          <w:i/>
          <w:sz w:val="22"/>
          <w:lang w:val="es-ES_tradnl"/>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73F1B72A"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b)</w:t>
      </w:r>
      <w:r w:rsidRPr="00A30BAC">
        <w:rPr>
          <w:rFonts w:ascii="Palatino Linotype" w:eastAsia="Calibri" w:hAnsi="Palatino Linotype" w:cs="Times New Roman"/>
          <w:i/>
          <w:sz w:val="22"/>
          <w:lang w:val="es-ES_tradnl"/>
        </w:rPr>
        <w:t xml:space="preserve"> Asignar el folio del comprobante fiscal digital.</w:t>
      </w:r>
    </w:p>
    <w:p w14:paraId="1B0CC783"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c)</w:t>
      </w:r>
      <w:r w:rsidRPr="00A30BAC">
        <w:rPr>
          <w:rFonts w:ascii="Palatino Linotype" w:eastAsia="Calibri" w:hAnsi="Palatino Linotype" w:cs="Times New Roman"/>
          <w:i/>
          <w:sz w:val="22"/>
          <w:lang w:val="es-ES_tradnl"/>
        </w:rPr>
        <w:t xml:space="preserve"> Incorporar el sello digital del Servicio de Administración Tributaria </w:t>
      </w:r>
    </w:p>
    <w:p w14:paraId="544EACCD"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V.</w:t>
      </w:r>
      <w:r w:rsidRPr="00A30BAC">
        <w:rPr>
          <w:rFonts w:ascii="Palatino Linotype" w:eastAsia="Calibri" w:hAnsi="Palatino Linotype" w:cs="Times New Roman"/>
          <w:i/>
          <w:sz w:val="22"/>
          <w:lang w:val="es-ES_tradnl"/>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94827DC"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b/>
          <w:i/>
          <w:sz w:val="22"/>
          <w:lang w:val="es-ES_tradnl"/>
        </w:rPr>
        <w:t>VI.</w:t>
      </w:r>
      <w:r w:rsidRPr="00A30BAC">
        <w:rPr>
          <w:rFonts w:ascii="Palatino Linotype" w:eastAsia="Calibri" w:hAnsi="Palatino Linotype" w:cs="Times New Roman"/>
          <w:i/>
          <w:sz w:val="22"/>
          <w:lang w:val="es-ES_tradnl"/>
        </w:rPr>
        <w:t xml:space="preserve"> Cumplir con las especificaciones que en materia de informática determine el Servicio de Administración Tributaria mediante reglas de carácter general.</w:t>
      </w:r>
    </w:p>
    <w:p w14:paraId="102E18A3"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i/>
          <w:sz w:val="22"/>
          <w:lang w:val="es-ES_tradnl"/>
        </w:rPr>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w:t>
      </w:r>
      <w:r w:rsidRPr="00A30BAC">
        <w:rPr>
          <w:rFonts w:ascii="Palatino Linotype" w:eastAsia="Calibri" w:hAnsi="Palatino Linotype" w:cs="Times New Roman"/>
          <w:i/>
          <w:sz w:val="22"/>
          <w:lang w:val="es-ES_tradnl"/>
        </w:rPr>
        <w:lastRenderedPageBreak/>
        <w:t>certificado que ampare el sello digital se encontraba vigente y registrado en dicho órgano desconcentrado.</w:t>
      </w:r>
    </w:p>
    <w:p w14:paraId="5373E667"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i/>
          <w:sz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205AD84F" w14:textId="77777777"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i/>
          <w:sz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246A654" w14:textId="56FB534F" w:rsidR="001D1156" w:rsidRPr="00A30BAC" w:rsidRDefault="001D1156" w:rsidP="00AB2CAA">
      <w:pPr>
        <w:ind w:left="567" w:right="567"/>
        <w:jc w:val="both"/>
        <w:rPr>
          <w:rFonts w:ascii="Palatino Linotype" w:eastAsia="Calibri" w:hAnsi="Palatino Linotype" w:cs="Times New Roman"/>
          <w:i/>
          <w:sz w:val="22"/>
          <w:lang w:val="es-ES_tradnl"/>
        </w:rPr>
      </w:pPr>
      <w:r w:rsidRPr="00A30BAC">
        <w:rPr>
          <w:rFonts w:ascii="Palatino Linotype" w:eastAsia="Calibri" w:hAnsi="Palatino Linotype" w:cs="Times New Roman"/>
          <w:i/>
          <w:sz w:val="22"/>
          <w:lang w:val="es-ES_tradnl"/>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65DBE8C3" w14:textId="5B6DB6C0" w:rsidR="001D1156" w:rsidRPr="00A30BAC" w:rsidRDefault="001D1156" w:rsidP="00AB2CAA">
      <w:pPr>
        <w:ind w:left="567" w:right="567"/>
        <w:jc w:val="both"/>
        <w:rPr>
          <w:rFonts w:ascii="Palatino Linotype" w:eastAsia="Calibri" w:hAnsi="Palatino Linotype" w:cs="Times New Roman"/>
          <w:sz w:val="22"/>
          <w:lang w:val="es-ES_tradnl"/>
        </w:rPr>
      </w:pPr>
      <w:r w:rsidRPr="00A30BAC">
        <w:rPr>
          <w:rFonts w:ascii="Palatino Linotype" w:eastAsia="Calibri" w:hAnsi="Palatino Linotype" w:cs="Times New Roman"/>
          <w:sz w:val="22"/>
          <w:lang w:val="es-ES_tradnl"/>
        </w:rPr>
        <w:t>(Énfasis añadido)</w:t>
      </w:r>
    </w:p>
    <w:p w14:paraId="1B67DB81" w14:textId="77777777" w:rsidR="001D1156" w:rsidRPr="00A30BAC" w:rsidRDefault="001D1156"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4F5B4D1" w14:textId="5CAB2EC1" w:rsidR="003E1087" w:rsidRPr="00A30BAC"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La </w:t>
      </w:r>
      <w:r w:rsidRPr="00A30BAC">
        <w:rPr>
          <w:rFonts w:ascii="Palatino Linotype" w:hAnsi="Palatino Linotype"/>
          <w:color w:val="000000" w:themeColor="text1"/>
          <w:lang w:val="es-ES_tradnl"/>
        </w:rPr>
        <w:t xml:space="preserve">Federación, las Entidades Federativas, el Distrito Federal, y sus Organismos Descentralizados, </w:t>
      </w:r>
      <w:r w:rsidRPr="00A30BAC">
        <w:rPr>
          <w:rFonts w:ascii="Palatino Linotype" w:hAnsi="Palatino Linotype"/>
          <w:bCs/>
          <w:color w:val="000000" w:themeColor="text1"/>
          <w:lang w:val="es-ES_tradnl"/>
        </w:rPr>
        <w:t>así como</w:t>
      </w:r>
      <w:r w:rsidRPr="00A30BAC">
        <w:rPr>
          <w:rFonts w:ascii="Palatino Linotype" w:hAnsi="Palatino Linotype"/>
          <w:b/>
          <w:color w:val="000000" w:themeColor="text1"/>
          <w:lang w:val="es-ES_tradnl"/>
        </w:rPr>
        <w:t xml:space="preserve"> los Municipios, tendrán la obligación de presentar ante las autoridades fiscales</w:t>
      </w:r>
      <w:r w:rsidRPr="00A30BAC">
        <w:rPr>
          <w:rFonts w:ascii="Palatino Linotype" w:hAnsi="Palatino Linotype"/>
          <w:color w:val="000000" w:themeColor="text1"/>
          <w:lang w:val="es-ES_tradnl"/>
        </w:rPr>
        <w:t xml:space="preserve">, a través de los medios y formatos electrónicos que señale el </w:t>
      </w:r>
      <w:r w:rsidRPr="00A30BAC">
        <w:rPr>
          <w:rFonts w:ascii="Palatino Linotype" w:hAnsi="Palatino Linotype"/>
          <w:bCs/>
          <w:color w:val="000000" w:themeColor="text1"/>
          <w:u w:val="single"/>
          <w:lang w:val="es-ES_tradnl"/>
        </w:rPr>
        <w:t>Servicio de Administración</w:t>
      </w:r>
      <w:r w:rsidRPr="00A30BAC">
        <w:rPr>
          <w:rFonts w:ascii="Palatino Linotype" w:hAnsi="Palatino Linotype"/>
          <w:color w:val="000000" w:themeColor="text1"/>
          <w:lang w:val="es-ES_tradnl"/>
        </w:rPr>
        <w:t xml:space="preserve">, </w:t>
      </w:r>
      <w:r w:rsidRPr="00A30BAC">
        <w:rPr>
          <w:rFonts w:ascii="Palatino Linotype" w:hAnsi="Palatino Linotype"/>
          <w:b/>
          <w:bCs/>
          <w:color w:val="000000" w:themeColor="text1"/>
          <w:lang w:val="es-ES_tradnl"/>
        </w:rPr>
        <w:t>la información relativa a</w:t>
      </w:r>
      <w:r w:rsidRPr="00A30BAC">
        <w:rPr>
          <w:rStyle w:val="Refdenotaalpie"/>
          <w:rFonts w:ascii="Palatino Linotype" w:hAnsi="Palatino Linotype"/>
          <w:color w:val="000000" w:themeColor="text1"/>
          <w:lang w:val="es-ES_tradnl"/>
        </w:rPr>
        <w:footnoteReference w:id="14"/>
      </w:r>
      <w:r w:rsidRPr="00A30BAC">
        <w:rPr>
          <w:rFonts w:ascii="Palatino Linotype" w:hAnsi="Palatino Linotype"/>
          <w:color w:val="000000" w:themeColor="text1"/>
          <w:lang w:val="es-ES_tradnl"/>
        </w:rPr>
        <w:t>:</w:t>
      </w:r>
    </w:p>
    <w:p w14:paraId="2E2D8F23" w14:textId="77777777" w:rsidR="00AB2CAA" w:rsidRPr="00A30BAC"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4AE1F9CF" w14:textId="287C79BD" w:rsidR="001D1156" w:rsidRPr="00A30BAC" w:rsidRDefault="001D1156" w:rsidP="0098370C">
      <w:pPr>
        <w:pStyle w:val="Prrafodelista"/>
        <w:numPr>
          <w:ilvl w:val="1"/>
          <w:numId w:val="31"/>
        </w:numPr>
        <w:spacing w:before="240" w:after="240"/>
        <w:ind w:left="709" w:right="616" w:hanging="142"/>
        <w:jc w:val="both"/>
        <w:rPr>
          <w:rFonts w:ascii="Palatino Linotype" w:hAnsi="Palatino Linotype"/>
          <w:color w:val="000000" w:themeColor="text1"/>
          <w:sz w:val="22"/>
          <w:szCs w:val="22"/>
          <w:lang w:val="es-ES_tradnl"/>
        </w:rPr>
      </w:pPr>
      <w:r w:rsidRPr="00A30BAC">
        <w:rPr>
          <w:rFonts w:ascii="Palatino Linotype" w:hAnsi="Palatino Linotype"/>
          <w:b/>
          <w:color w:val="000000" w:themeColor="text1"/>
          <w:sz w:val="22"/>
          <w:szCs w:val="22"/>
          <w:lang w:val="es-ES_tradnl"/>
        </w:rPr>
        <w:t>Las personas a las que en el mes inmediato anterior les hubieren efectuado retenciones de impuesto sobre la renta</w:t>
      </w:r>
      <w:r w:rsidRPr="00A30BAC">
        <w:rPr>
          <w:rFonts w:ascii="Palatino Linotype" w:hAnsi="Palatino Linotype"/>
          <w:color w:val="000000" w:themeColor="text1"/>
          <w:sz w:val="22"/>
          <w:szCs w:val="22"/>
          <w:lang w:val="es-ES_tradnl"/>
        </w:rPr>
        <w:t>, así como de los residentes en el extranjero a los que les hayan efectuado pagos de acuerdo con lo previsto en el Título V de la Ley del Impuesto sobre la Renta; y</w:t>
      </w:r>
    </w:p>
    <w:p w14:paraId="6881CC73" w14:textId="094AA9BD" w:rsidR="001D1156" w:rsidRPr="00A30BAC" w:rsidRDefault="001D1156" w:rsidP="0098370C">
      <w:pPr>
        <w:pStyle w:val="Prrafodelista"/>
        <w:numPr>
          <w:ilvl w:val="1"/>
          <w:numId w:val="31"/>
        </w:numPr>
        <w:spacing w:before="240" w:after="240"/>
        <w:ind w:left="709" w:right="616" w:hanging="142"/>
        <w:jc w:val="both"/>
        <w:rPr>
          <w:rFonts w:ascii="Palatino Linotype" w:hAnsi="Palatino Linotype"/>
          <w:color w:val="000000" w:themeColor="text1"/>
          <w:sz w:val="22"/>
          <w:szCs w:val="22"/>
        </w:rPr>
      </w:pPr>
      <w:r w:rsidRPr="00A30BAC">
        <w:rPr>
          <w:rFonts w:ascii="Palatino Linotype" w:hAnsi="Palatino Linotype"/>
          <w:color w:val="000000" w:themeColor="text1"/>
          <w:sz w:val="22"/>
          <w:szCs w:val="22"/>
          <w:lang w:val="es-ES_tradnl"/>
        </w:rPr>
        <w:t xml:space="preserve">Los proveedores a los que les hubiere efectuado pagos, desglosando el valor de los actos o actividades por tasa a la cual trasladaron o les fue trasladado el impuesto al valor agregado y el impuesto especial sobre producción y </w:t>
      </w:r>
      <w:r w:rsidRPr="00A30BAC">
        <w:rPr>
          <w:rFonts w:ascii="Palatino Linotype" w:hAnsi="Palatino Linotype"/>
          <w:color w:val="000000" w:themeColor="text1"/>
          <w:sz w:val="22"/>
          <w:szCs w:val="22"/>
          <w:lang w:val="es-ES_tradnl"/>
        </w:rPr>
        <w:lastRenderedPageBreak/>
        <w:t>servicios, incluyendo actividades por las que el contribuyente no está obligado al pago.</w:t>
      </w:r>
    </w:p>
    <w:p w14:paraId="73B2554D"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5439762" w14:textId="185C0C2D" w:rsidR="003E1087" w:rsidRPr="00A30BAC"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En ese sentido</w:t>
      </w:r>
      <w:r w:rsidR="006B31D1" w:rsidRPr="00A30BAC">
        <w:rPr>
          <w:rFonts w:ascii="Palatino Linotype" w:hAnsi="Palatino Linotype"/>
          <w:color w:val="000000" w:themeColor="text1"/>
        </w:rPr>
        <w:t xml:space="preserve">, la Ley del Impuesto Sobre la Renta, en su artículo 94, establece que se considerarán </w:t>
      </w:r>
      <w:r w:rsidR="006B31D1" w:rsidRPr="00A30BAC">
        <w:rPr>
          <w:rFonts w:ascii="Palatino Linotype" w:hAnsi="Palatino Linotype"/>
          <w:color w:val="000000" w:themeColor="text1"/>
          <w:lang w:val="es-ES_tradnl"/>
        </w:rPr>
        <w:t>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seis tipos de pagos e ingresos, entre los que destacan las siguientes:</w:t>
      </w:r>
    </w:p>
    <w:p w14:paraId="1E4BCAAE" w14:textId="77777777" w:rsidR="00AB2CAA" w:rsidRPr="00A30BAC"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1072C01F" w14:textId="0BFA4BB4" w:rsidR="006B31D1" w:rsidRPr="00A30BAC" w:rsidRDefault="006B31D1" w:rsidP="00727B1C">
      <w:pPr>
        <w:pStyle w:val="Prrafodelista"/>
        <w:numPr>
          <w:ilvl w:val="1"/>
          <w:numId w:val="32"/>
        </w:numPr>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
          <w:color w:val="000000" w:themeColor="text1"/>
          <w:sz w:val="22"/>
          <w:szCs w:val="22"/>
          <w:lang w:val="es-ES_tradnl"/>
        </w:rPr>
        <w:t xml:space="preserve">Las </w:t>
      </w:r>
      <w:r w:rsidRPr="00A30BAC">
        <w:rPr>
          <w:rFonts w:ascii="Palatino Linotype" w:hAnsi="Palatino Linotype"/>
          <w:b/>
          <w:color w:val="000000" w:themeColor="text1"/>
          <w:sz w:val="22"/>
          <w:szCs w:val="22"/>
        </w:rPr>
        <w:t>remuneraciones y demás prestaciones, obtenidas por los funcionarios</w:t>
      </w:r>
      <w:r w:rsidRPr="00A30BAC">
        <w:rPr>
          <w:rFonts w:ascii="Palatino Linotype" w:hAnsi="Palatino Linotype"/>
          <w:color w:val="000000" w:themeColor="text1"/>
          <w:sz w:val="22"/>
          <w:szCs w:val="22"/>
        </w:rPr>
        <w:t xml:space="preserve"> y trabajadores de la Federación, de las entidades federativas y </w:t>
      </w:r>
      <w:r w:rsidRPr="00A30BAC">
        <w:rPr>
          <w:rFonts w:ascii="Palatino Linotype" w:hAnsi="Palatino Linotype"/>
          <w:b/>
          <w:color w:val="000000" w:themeColor="text1"/>
          <w:sz w:val="22"/>
          <w:szCs w:val="22"/>
        </w:rPr>
        <w:t>de los municipios</w:t>
      </w:r>
      <w:r w:rsidRPr="00A30BAC">
        <w:rPr>
          <w:rFonts w:ascii="Palatino Linotype" w:hAnsi="Palatino Linotype"/>
          <w:color w:val="000000" w:themeColor="text1"/>
          <w:sz w:val="22"/>
          <w:szCs w:val="22"/>
        </w:rPr>
        <w:t>, aun cuando sean por concepto de gastos no sujetos a comprobación, así como los obtenidos por los miembros de las fuerzas armadas.</w:t>
      </w:r>
    </w:p>
    <w:p w14:paraId="1B7F5C1E"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FC1E26" w14:textId="6398629D" w:rsidR="003E1087" w:rsidRPr="00A30BAC"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Correlativo a lo anterior, el diverso dispositivo 96 de la Ley del Impuesto Sobre la Renta establece que quienes hagan pagos por los conceptos a que se refiere el Capítulo relativo a los ‘Ingresos por Salarios y en General por la Prestación de un Servicio Personal Subordinado’ están obligados a efectuar retenciones y enteros mensuales que tendrán el carácter de pagos provisionales a cuenta del impuesto anual.</w:t>
      </w:r>
    </w:p>
    <w:p w14:paraId="7FFDA929"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48C9830" w14:textId="78E45F60" w:rsidR="003E1087" w:rsidRPr="00A30BAC"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De lo anterior se </w:t>
      </w:r>
      <w:r w:rsidR="00A8650D" w:rsidRPr="00A30BAC">
        <w:rPr>
          <w:rFonts w:ascii="Palatino Linotype" w:hAnsi="Palatino Linotype"/>
          <w:color w:val="000000" w:themeColor="text1"/>
        </w:rPr>
        <w:t>coligue</w:t>
      </w:r>
      <w:r w:rsidRPr="00A30BAC">
        <w:rPr>
          <w:rFonts w:ascii="Palatino Linotype" w:hAnsi="Palatino Linotype"/>
          <w:color w:val="000000" w:themeColor="text1"/>
        </w:rPr>
        <w:t xml:space="preserve"> que </w:t>
      </w:r>
      <w:r w:rsidRPr="00A30BAC">
        <w:rPr>
          <w:rFonts w:ascii="Palatino Linotype" w:hAnsi="Palatino Linotype"/>
          <w:b/>
          <w:bCs/>
          <w:color w:val="000000" w:themeColor="text1"/>
        </w:rPr>
        <w:t xml:space="preserve">los </w:t>
      </w:r>
      <w:r w:rsidR="00727B1C" w:rsidRPr="00A30BAC">
        <w:rPr>
          <w:rFonts w:ascii="Palatino Linotype" w:hAnsi="Palatino Linotype"/>
          <w:b/>
          <w:bCs/>
          <w:color w:val="000000" w:themeColor="text1"/>
        </w:rPr>
        <w:t>A</w:t>
      </w:r>
      <w:r w:rsidRPr="00A30BAC">
        <w:rPr>
          <w:rFonts w:ascii="Palatino Linotype" w:hAnsi="Palatino Linotype"/>
          <w:b/>
          <w:bCs/>
          <w:color w:val="000000" w:themeColor="text1"/>
        </w:rPr>
        <w:t>yuntamientos</w:t>
      </w:r>
      <w:r w:rsidRPr="00A30BAC">
        <w:rPr>
          <w:rFonts w:ascii="Palatino Linotype" w:hAnsi="Palatino Linotype"/>
          <w:color w:val="000000" w:themeColor="text1"/>
        </w:rPr>
        <w:t xml:space="preserve">, </w:t>
      </w:r>
      <w:r w:rsidRPr="00A30BAC">
        <w:rPr>
          <w:rFonts w:ascii="Palatino Linotype" w:hAnsi="Palatino Linotype"/>
          <w:b/>
          <w:bCs/>
          <w:color w:val="000000" w:themeColor="text1"/>
        </w:rPr>
        <w:t xml:space="preserve">así como los </w:t>
      </w:r>
      <w:r w:rsidR="00727B1C" w:rsidRPr="00A30BAC">
        <w:rPr>
          <w:rFonts w:ascii="Palatino Linotype" w:hAnsi="Palatino Linotype"/>
          <w:b/>
          <w:bCs/>
          <w:color w:val="000000" w:themeColor="text1"/>
        </w:rPr>
        <w:t>O</w:t>
      </w:r>
      <w:r w:rsidRPr="00A30BAC">
        <w:rPr>
          <w:rFonts w:ascii="Palatino Linotype" w:hAnsi="Palatino Linotype"/>
          <w:b/>
          <w:bCs/>
          <w:color w:val="000000" w:themeColor="text1"/>
        </w:rPr>
        <w:t xml:space="preserve">rganismos </w:t>
      </w:r>
      <w:r w:rsidR="00727B1C" w:rsidRPr="00A30BAC">
        <w:rPr>
          <w:rFonts w:ascii="Palatino Linotype" w:hAnsi="Palatino Linotype"/>
          <w:b/>
          <w:bCs/>
          <w:color w:val="000000" w:themeColor="text1"/>
        </w:rPr>
        <w:t>D</w:t>
      </w:r>
      <w:r w:rsidRPr="00A30BAC">
        <w:rPr>
          <w:rFonts w:ascii="Palatino Linotype" w:hAnsi="Palatino Linotype"/>
          <w:b/>
          <w:bCs/>
          <w:color w:val="000000" w:themeColor="text1"/>
        </w:rPr>
        <w:t xml:space="preserve">escentralizados </w:t>
      </w:r>
      <w:r w:rsidR="00727B1C" w:rsidRPr="00A30BAC">
        <w:rPr>
          <w:rFonts w:ascii="Palatino Linotype" w:hAnsi="Palatino Linotype"/>
          <w:b/>
          <w:bCs/>
          <w:color w:val="000000" w:themeColor="text1"/>
        </w:rPr>
        <w:t>M</w:t>
      </w:r>
      <w:r w:rsidRPr="00A30BAC">
        <w:rPr>
          <w:rFonts w:ascii="Palatino Linotype" w:hAnsi="Palatino Linotype"/>
          <w:b/>
          <w:bCs/>
          <w:color w:val="000000" w:themeColor="text1"/>
        </w:rPr>
        <w:t xml:space="preserve">unicipales, dentro de sus obligaciones y atribuciones propias de su ejercicio de administrar su hacienda, se considera el pago de sueldos y salarios, </w:t>
      </w:r>
      <w:r w:rsidRPr="00A30BAC">
        <w:rPr>
          <w:rFonts w:ascii="Palatino Linotype" w:hAnsi="Palatino Linotype"/>
          <w:b/>
          <w:bCs/>
          <w:i/>
          <w:color w:val="000000" w:themeColor="text1"/>
        </w:rPr>
        <w:t>ergo</w:t>
      </w:r>
      <w:r w:rsidRPr="00A30BAC">
        <w:rPr>
          <w:rFonts w:ascii="Palatino Linotype" w:hAnsi="Palatino Linotype"/>
          <w:b/>
          <w:bCs/>
          <w:color w:val="000000" w:themeColor="text1"/>
        </w:rPr>
        <w:t xml:space="preserve"> deben realizar la retención del impuesto sobre la renta</w:t>
      </w:r>
      <w:r w:rsidRPr="00A30BAC">
        <w:rPr>
          <w:rFonts w:ascii="Palatino Linotype" w:hAnsi="Palatino Linotype"/>
          <w:color w:val="000000" w:themeColor="text1"/>
        </w:rPr>
        <w:t xml:space="preserve">, el cual debe </w:t>
      </w:r>
      <w:r w:rsidRPr="00A30BAC">
        <w:rPr>
          <w:rFonts w:ascii="Palatino Linotype" w:hAnsi="Palatino Linotype"/>
          <w:color w:val="000000" w:themeColor="text1"/>
        </w:rPr>
        <w:lastRenderedPageBreak/>
        <w:t>ser enterado al Servicio de Administración Tributaria a través de los mecanismos construidos para ello.</w:t>
      </w:r>
    </w:p>
    <w:p w14:paraId="414F87ED" w14:textId="77777777" w:rsidR="003E1087" w:rsidRPr="00A30BAC"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31E56A8" w14:textId="7F368374" w:rsidR="003E1087" w:rsidRPr="00A30BAC" w:rsidRDefault="0004606D" w:rsidP="00F92E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Aclarado lo anterior</w:t>
      </w:r>
      <w:r w:rsidR="00A8650D" w:rsidRPr="00A30BAC">
        <w:rPr>
          <w:rFonts w:ascii="Palatino Linotype" w:hAnsi="Palatino Linotype"/>
          <w:color w:val="000000" w:themeColor="text1"/>
        </w:rPr>
        <w:t xml:space="preserve">, los patrones podrán </w:t>
      </w:r>
      <w:r w:rsidR="00A8650D" w:rsidRPr="00A30BAC">
        <w:rPr>
          <w:rFonts w:ascii="Palatino Linotype" w:hAnsi="Palatino Linotype"/>
          <w:bCs/>
          <w:color w:val="000000" w:themeColor="text1"/>
        </w:rPr>
        <w:t xml:space="preserve">tener acceso al portal del Servicio de Administración Tributaria denominado </w:t>
      </w:r>
      <w:bookmarkStart w:id="22" w:name="_Hlk99395397"/>
      <w:r w:rsidR="00A8650D" w:rsidRPr="00A30BAC">
        <w:rPr>
          <w:rFonts w:ascii="Palatino Linotype" w:hAnsi="Palatino Linotype"/>
          <w:bCs/>
          <w:color w:val="000000" w:themeColor="text1"/>
        </w:rPr>
        <w:t>“</w:t>
      </w:r>
      <w:r w:rsidR="00A8650D" w:rsidRPr="00A30BAC">
        <w:rPr>
          <w:rFonts w:ascii="Palatino Linotype" w:hAnsi="Palatino Linotype"/>
          <w:b/>
          <w:color w:val="000000" w:themeColor="text1"/>
        </w:rPr>
        <w:t>Visor de comprobantes de nómina para el patrón</w:t>
      </w:r>
      <w:r w:rsidR="00A8650D" w:rsidRPr="00A30BAC">
        <w:rPr>
          <w:rFonts w:ascii="Palatino Linotype" w:hAnsi="Palatino Linotype"/>
          <w:bCs/>
          <w:color w:val="000000" w:themeColor="text1"/>
        </w:rPr>
        <w:t>”</w:t>
      </w:r>
      <w:bookmarkEnd w:id="22"/>
      <w:r w:rsidR="00A8650D" w:rsidRPr="00A30BAC">
        <w:rPr>
          <w:rStyle w:val="Refdenotaalpie"/>
          <w:rFonts w:ascii="Palatino Linotype" w:hAnsi="Palatino Linotype"/>
          <w:bCs/>
          <w:color w:val="000000" w:themeColor="text1"/>
        </w:rPr>
        <w:footnoteReference w:id="15"/>
      </w:r>
      <w:r w:rsidR="00A8650D" w:rsidRPr="00A30BAC">
        <w:rPr>
          <w:rFonts w:ascii="Palatino Linotype" w:hAnsi="Palatino Linotype"/>
          <w:bCs/>
          <w:color w:val="000000" w:themeColor="text1"/>
        </w:rPr>
        <w:t>, el cual sirve para consultar los pagos realizados a los trabajadores de forma acumulada, así como para verificar la información de forma individual de cada uno de los empleados a quienes se les haya expedido un comprobante de nómina, permitiendo conciliar el impuesto retenido contra el enterado en pagos provisionales a partir del dos mil dieciocho</w:t>
      </w:r>
      <w:r w:rsidR="00A8650D" w:rsidRPr="00A30BAC">
        <w:rPr>
          <w:rStyle w:val="Refdenotaalpie"/>
          <w:rFonts w:ascii="Palatino Linotype" w:hAnsi="Palatino Linotype"/>
          <w:bCs/>
          <w:color w:val="000000" w:themeColor="text1"/>
        </w:rPr>
        <w:footnoteReference w:id="16"/>
      </w:r>
      <w:r w:rsidR="00A8650D" w:rsidRPr="00A30BAC">
        <w:rPr>
          <w:rFonts w:ascii="Palatino Linotype" w:hAnsi="Palatino Linotype"/>
          <w:bCs/>
          <w:color w:val="000000" w:themeColor="text1"/>
        </w:rPr>
        <w:t>.</w:t>
      </w:r>
    </w:p>
    <w:p w14:paraId="38D24668" w14:textId="77777777" w:rsidR="00A8650D" w:rsidRPr="00A30BAC" w:rsidRDefault="00A8650D" w:rsidP="00A8650D">
      <w:pPr>
        <w:pStyle w:val="Prrafodelista"/>
        <w:tabs>
          <w:tab w:val="left" w:pos="426"/>
        </w:tabs>
        <w:spacing w:before="240" w:after="240" w:line="360" w:lineRule="auto"/>
        <w:ind w:left="0" w:right="51"/>
        <w:jc w:val="both"/>
        <w:rPr>
          <w:rFonts w:ascii="Palatino Linotype" w:hAnsi="Palatino Linotype"/>
          <w:color w:val="000000" w:themeColor="text1"/>
        </w:rPr>
      </w:pPr>
    </w:p>
    <w:p w14:paraId="01B3D601" w14:textId="62807DD3" w:rsidR="003E1087" w:rsidRPr="00A30BAC" w:rsidRDefault="00A8650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No es ocioso mencionar que el Servicio de Administración Tributaria tiene publicado un video tutorial para utilizar el </w:t>
      </w:r>
      <w:r w:rsidRPr="00A30BAC">
        <w:rPr>
          <w:rFonts w:ascii="Palatino Linotype" w:hAnsi="Palatino Linotype"/>
          <w:bCs/>
          <w:color w:val="000000" w:themeColor="text1"/>
        </w:rPr>
        <w:t>“Visor de nómina para patrones”</w:t>
      </w:r>
      <w:r w:rsidRPr="00A30BAC">
        <w:rPr>
          <w:rStyle w:val="Refdenotaalpie"/>
          <w:rFonts w:ascii="Palatino Linotype" w:hAnsi="Palatino Linotype"/>
          <w:bCs/>
          <w:color w:val="000000" w:themeColor="text1"/>
        </w:rPr>
        <w:footnoteReference w:id="17"/>
      </w:r>
      <w:r w:rsidRPr="00A30BAC">
        <w:rPr>
          <w:rFonts w:ascii="Palatino Linotype" w:hAnsi="Palatino Linotype"/>
          <w:bCs/>
          <w:color w:val="000000" w:themeColor="text1"/>
        </w:rPr>
        <w:t>, dentro del cual se hacen las siguientes precisiones:</w:t>
      </w:r>
    </w:p>
    <w:p w14:paraId="7667E5E9" w14:textId="77777777" w:rsidR="00AB2CAA" w:rsidRPr="00A30BAC"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1631AD73" w14:textId="6D58CA93" w:rsidR="00A8650D" w:rsidRPr="00A30BAC" w:rsidRDefault="00A8650D"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Cs/>
          <w:color w:val="000000" w:themeColor="text1"/>
          <w:sz w:val="22"/>
          <w:szCs w:val="22"/>
        </w:rPr>
        <w:t>Dentro del visor de comprobante de nómina, se podrá elegir la opción de consultar la información global, o bien, de un trabajador específico.</w:t>
      </w:r>
    </w:p>
    <w:p w14:paraId="7073E376" w14:textId="6686B670" w:rsidR="00F92EF0" w:rsidRPr="00A30BAC" w:rsidRDefault="00F92EF0"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Cs/>
          <w:color w:val="000000" w:themeColor="text1"/>
          <w:sz w:val="22"/>
          <w:szCs w:val="22"/>
        </w:rPr>
        <w:t xml:space="preserve">En la consulta de información anual total, </w:t>
      </w:r>
      <w:r w:rsidR="00AD2871" w:rsidRPr="00A30BAC">
        <w:rPr>
          <w:rFonts w:ascii="Palatino Linotype" w:hAnsi="Palatino Linotype"/>
          <w:bCs/>
          <w:color w:val="000000" w:themeColor="text1"/>
          <w:sz w:val="22"/>
          <w:szCs w:val="22"/>
        </w:rPr>
        <w:t>se mostrarán formatos continuos, a saber:</w:t>
      </w:r>
    </w:p>
    <w:p w14:paraId="04189BBA" w14:textId="77777777" w:rsidR="00AD2871" w:rsidRPr="00A30BAC"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
          <w:color w:val="000000" w:themeColor="text1"/>
          <w:sz w:val="22"/>
          <w:szCs w:val="22"/>
        </w:rPr>
        <w:t>Acumulado anual total</w:t>
      </w:r>
      <w:r w:rsidRPr="00A30BAC">
        <w:rPr>
          <w:rFonts w:ascii="Palatino Linotype" w:hAnsi="Palatino Linotype"/>
          <w:bCs/>
          <w:color w:val="000000" w:themeColor="text1"/>
          <w:sz w:val="22"/>
          <w:szCs w:val="22"/>
        </w:rPr>
        <w:t>: Muestra los salarios pagados por los conceptos de ingresos totales y exentos pagados, así como los subsidios aplicados y entregados.</w:t>
      </w:r>
    </w:p>
    <w:p w14:paraId="3F1AD229" w14:textId="77777777" w:rsidR="00AD2871" w:rsidRPr="00A30BAC"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
          <w:color w:val="000000" w:themeColor="text1"/>
          <w:sz w:val="22"/>
          <w:szCs w:val="22"/>
        </w:rPr>
        <w:lastRenderedPageBreak/>
        <w:t>Acumulado anual</w:t>
      </w:r>
      <w:r w:rsidRPr="00A30BAC">
        <w:rPr>
          <w:rFonts w:ascii="Palatino Linotype" w:hAnsi="Palatino Linotype"/>
          <w:bCs/>
          <w:color w:val="000000" w:themeColor="text1"/>
          <w:sz w:val="22"/>
          <w:szCs w:val="22"/>
        </w:rPr>
        <w:t xml:space="preserve">: Muestra información respecto del número de </w:t>
      </w:r>
      <w:proofErr w:type="spellStart"/>
      <w:r w:rsidRPr="00A30BAC">
        <w:rPr>
          <w:rFonts w:ascii="Palatino Linotype" w:hAnsi="Palatino Linotype"/>
          <w:bCs/>
          <w:color w:val="000000" w:themeColor="text1"/>
          <w:sz w:val="22"/>
          <w:szCs w:val="22"/>
        </w:rPr>
        <w:t>CFDI’s</w:t>
      </w:r>
      <w:proofErr w:type="spellEnd"/>
      <w:r w:rsidRPr="00A30BAC">
        <w:rPr>
          <w:rFonts w:ascii="Palatino Linotype" w:hAnsi="Palatino Linotype"/>
          <w:bCs/>
          <w:color w:val="000000" w:themeColor="text1"/>
          <w:sz w:val="22"/>
          <w:szCs w:val="22"/>
        </w:rPr>
        <w:t xml:space="preserve"> emitidos, así como los montos de los pagos totales por sueldos y salarios e ISR retenido.</w:t>
      </w:r>
    </w:p>
    <w:p w14:paraId="54C99D00" w14:textId="7E752DB1" w:rsidR="00AD2871" w:rsidRPr="00A30BAC"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
          <w:color w:val="000000" w:themeColor="text1"/>
          <w:sz w:val="22"/>
          <w:szCs w:val="22"/>
        </w:rPr>
        <w:t>Detalle mensual</w:t>
      </w:r>
      <w:r w:rsidRPr="00A30BAC">
        <w:rPr>
          <w:rFonts w:ascii="Palatino Linotype" w:hAnsi="Palatino Linotype"/>
          <w:bCs/>
          <w:color w:val="000000" w:themeColor="text1"/>
          <w:sz w:val="22"/>
          <w:szCs w:val="22"/>
        </w:rPr>
        <w:t>: Despliega los pagos y retenciones hechas a los trabajadores de forma mensual.</w:t>
      </w:r>
    </w:p>
    <w:p w14:paraId="5DEF306A" w14:textId="3FBB2E26" w:rsidR="003E1087" w:rsidRPr="00A30BAC" w:rsidRDefault="00AD2871"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Cs/>
          <w:color w:val="000000" w:themeColor="text1"/>
          <w:sz w:val="22"/>
          <w:szCs w:val="22"/>
        </w:rPr>
        <w:t>En la consulta de información de un trabajador, se mostrarán los siguientes formatos:</w:t>
      </w:r>
    </w:p>
    <w:p w14:paraId="5982D305" w14:textId="3E34838C" w:rsidR="00AD2871" w:rsidRPr="00A30BAC" w:rsidRDefault="00AD2871" w:rsidP="00F754E9">
      <w:pPr>
        <w:pStyle w:val="Prrafodelista"/>
        <w:numPr>
          <w:ilvl w:val="2"/>
          <w:numId w:val="36"/>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
          <w:bCs/>
          <w:color w:val="000000" w:themeColor="text1"/>
          <w:sz w:val="22"/>
          <w:szCs w:val="22"/>
        </w:rPr>
        <w:t>Acumulado anual</w:t>
      </w:r>
      <w:r w:rsidRPr="00A30BAC">
        <w:rPr>
          <w:rFonts w:ascii="Palatino Linotype" w:hAnsi="Palatino Linotype"/>
          <w:color w:val="000000" w:themeColor="text1"/>
          <w:sz w:val="22"/>
          <w:szCs w:val="22"/>
        </w:rPr>
        <w:t>: Permite consultar el total de ingresos por sueldos y salarios, y el impuesto retenido.</w:t>
      </w:r>
    </w:p>
    <w:p w14:paraId="58945B71" w14:textId="37C3A07F" w:rsidR="00AD2871" w:rsidRPr="00A30BAC" w:rsidRDefault="00AD2871" w:rsidP="00F754E9">
      <w:pPr>
        <w:pStyle w:val="Prrafodelista"/>
        <w:numPr>
          <w:ilvl w:val="2"/>
          <w:numId w:val="36"/>
        </w:numPr>
        <w:tabs>
          <w:tab w:val="left" w:pos="426"/>
        </w:tabs>
        <w:spacing w:before="240" w:after="240"/>
        <w:ind w:left="851" w:right="616" w:hanging="284"/>
        <w:jc w:val="both"/>
        <w:rPr>
          <w:rFonts w:ascii="Palatino Linotype" w:hAnsi="Palatino Linotype"/>
          <w:color w:val="000000" w:themeColor="text1"/>
          <w:sz w:val="22"/>
          <w:szCs w:val="22"/>
        </w:rPr>
      </w:pPr>
      <w:r w:rsidRPr="00A30BAC">
        <w:rPr>
          <w:rFonts w:ascii="Palatino Linotype" w:hAnsi="Palatino Linotype"/>
          <w:b/>
          <w:bCs/>
          <w:color w:val="000000" w:themeColor="text1"/>
          <w:sz w:val="22"/>
          <w:szCs w:val="22"/>
        </w:rPr>
        <w:t>Detalle mensual</w:t>
      </w:r>
      <w:r w:rsidRPr="00A30BAC">
        <w:rPr>
          <w:rFonts w:ascii="Palatino Linotype" w:hAnsi="Palatino Linotype"/>
          <w:color w:val="000000" w:themeColor="text1"/>
          <w:sz w:val="22"/>
          <w:szCs w:val="22"/>
        </w:rPr>
        <w:t>: Refleja el total de ingresos por sueldos y salarios, subsidios y total de impuesto retenido.</w:t>
      </w:r>
    </w:p>
    <w:p w14:paraId="164D63E3" w14:textId="77777777" w:rsidR="004C38EA" w:rsidRPr="00A30BAC"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7F032944" w14:textId="5EA3BAE0" w:rsidR="00D57FDA" w:rsidRPr="00A30BAC" w:rsidRDefault="00AF648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Así, de</w:t>
      </w:r>
      <w:r w:rsidR="00D57FDA" w:rsidRPr="00A30BAC">
        <w:rPr>
          <w:rFonts w:ascii="Palatino Linotype" w:hAnsi="Palatino Linotype"/>
          <w:color w:val="000000" w:themeColor="text1"/>
        </w:rPr>
        <w:t xml:space="preserve"> conformidad con los manuales e instructivos de uso del portal de mérito, </w:t>
      </w:r>
      <w:r w:rsidRPr="00A30BAC">
        <w:rPr>
          <w:rFonts w:ascii="Palatino Linotype" w:hAnsi="Palatino Linotype"/>
          <w:color w:val="000000" w:themeColor="text1"/>
        </w:rPr>
        <w:t xml:space="preserve">se advierte que el ‘Visor de nómina’ permite consultar los reportes de ‘Vista anual acumulado’ y ‘Detalle mensual’ respecto de la información de pagos y retenciones por sueldos y salarios realizados a los trabajadores del Ayuntamiento de </w:t>
      </w:r>
      <w:r w:rsidR="00727B1C" w:rsidRPr="00A30BAC">
        <w:rPr>
          <w:rFonts w:ascii="Palatino Linotype" w:hAnsi="Palatino Linotype"/>
          <w:color w:val="000000" w:themeColor="text1"/>
        </w:rPr>
        <w:t>Villa del Carbón</w:t>
      </w:r>
      <w:r w:rsidRPr="00A30BAC">
        <w:rPr>
          <w:rFonts w:ascii="Palatino Linotype" w:hAnsi="Palatino Linotype"/>
          <w:color w:val="000000" w:themeColor="text1"/>
        </w:rPr>
        <w:t xml:space="preserve">, siendo éstos los documentos requeridos por el </w:t>
      </w:r>
      <w:r w:rsidRPr="00A30BAC">
        <w:rPr>
          <w:rFonts w:ascii="Palatino Linotype" w:hAnsi="Palatino Linotype"/>
          <w:b/>
          <w:bCs/>
          <w:color w:val="000000" w:themeColor="text1"/>
        </w:rPr>
        <w:t>RECURRENTE</w:t>
      </w:r>
      <w:r w:rsidRPr="00A30BAC">
        <w:rPr>
          <w:rFonts w:ascii="Palatino Linotype" w:hAnsi="Palatino Linotype"/>
          <w:color w:val="000000" w:themeColor="text1"/>
        </w:rPr>
        <w:t xml:space="preserve">, y de los que se doliera por su falta de entrega. Se adjuntan a continuación las capturas de dos de estos reportes pertenecientes a un ente público diverso, </w:t>
      </w:r>
      <w:r w:rsidR="00AB133D" w:rsidRPr="00A30BAC">
        <w:rPr>
          <w:rFonts w:ascii="Palatino Linotype" w:hAnsi="Palatino Linotype"/>
          <w:color w:val="000000" w:themeColor="text1"/>
        </w:rPr>
        <w:t>como ejemplo práctico</w:t>
      </w:r>
      <w:r w:rsidRPr="00A30BAC">
        <w:rPr>
          <w:rFonts w:ascii="Palatino Linotype" w:hAnsi="Palatino Linotype"/>
          <w:color w:val="000000" w:themeColor="text1"/>
        </w:rPr>
        <w:t>:</w:t>
      </w:r>
    </w:p>
    <w:p w14:paraId="4D23E84D" w14:textId="2089F235" w:rsidR="00D57FDA" w:rsidRPr="00A30BAC" w:rsidRDefault="00D57FDA" w:rsidP="00D57FDA">
      <w:pPr>
        <w:pStyle w:val="Prrafodelista"/>
        <w:tabs>
          <w:tab w:val="left" w:pos="426"/>
        </w:tabs>
        <w:spacing w:before="240" w:after="240" w:line="360" w:lineRule="auto"/>
        <w:ind w:left="0" w:right="51"/>
        <w:jc w:val="both"/>
        <w:rPr>
          <w:rFonts w:ascii="Palatino Linotype" w:hAnsi="Palatino Linotype"/>
          <w:color w:val="000000" w:themeColor="text1"/>
        </w:rPr>
      </w:pPr>
    </w:p>
    <w:p w14:paraId="671D91A6" w14:textId="5DA4F342" w:rsidR="00AF648D" w:rsidRPr="00A30BAC" w:rsidRDefault="00EA1975" w:rsidP="00AF648D">
      <w:pPr>
        <w:pStyle w:val="Prrafodelista"/>
        <w:tabs>
          <w:tab w:val="left" w:pos="426"/>
        </w:tabs>
        <w:spacing w:before="240" w:after="240" w:line="360" w:lineRule="auto"/>
        <w:ind w:left="0" w:right="51"/>
        <w:jc w:val="center"/>
      </w:pPr>
      <w:r w:rsidRPr="00A30BAC">
        <w:rPr>
          <w:noProof/>
        </w:rPr>
        <w:object w:dxaOrig="14250" w:dyaOrig="9345" w14:anchorId="57300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2.6pt;height:218.1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5" DrawAspect="Content" ObjectID="_1723984851" r:id="rId14"/>
        </w:object>
      </w:r>
    </w:p>
    <w:p w14:paraId="3A431902" w14:textId="77777777" w:rsidR="00F517FF" w:rsidRPr="00A30BAC" w:rsidRDefault="00EA1975" w:rsidP="00AF648D">
      <w:pPr>
        <w:pStyle w:val="Prrafodelista"/>
        <w:tabs>
          <w:tab w:val="left" w:pos="426"/>
        </w:tabs>
        <w:spacing w:before="240" w:after="240" w:line="360" w:lineRule="auto"/>
        <w:ind w:left="0" w:right="51"/>
        <w:jc w:val="center"/>
      </w:pPr>
      <w:r w:rsidRPr="00A30BAC">
        <w:rPr>
          <w:noProof/>
        </w:rPr>
        <w:object w:dxaOrig="13980" w:dyaOrig="6405" w14:anchorId="18AED9DE">
          <v:shape id="_x0000_i1026" type="#_x0000_t75" alt="" style="width:376.1pt;height:130.55pt;mso-width-percent:0;mso-height-percent:0;mso-width-percent:0;mso-height-percent:0" o:ole="" o:bordertopcolor="this" o:borderleftcolor="this" o:borderbottomcolor="this" o:borderrightcolor="this">
            <v:imagedata r:id="rId15" o:title="" cropbottom="15957f"/>
            <w10:bordertop type="single" width="8"/>
            <w10:borderleft type="single" width="8"/>
            <w10:borderbottom type="single" width="8"/>
            <w10:borderright type="single" width="8"/>
          </v:shape>
          <o:OLEObject Type="Embed" ProgID="PBrush" ShapeID="_x0000_i1026" DrawAspect="Content" ObjectID="_1723984852" r:id="rId16"/>
        </w:object>
      </w:r>
    </w:p>
    <w:p w14:paraId="0FA8CE70" w14:textId="77777777" w:rsidR="00AF648D" w:rsidRPr="00A30BAC" w:rsidRDefault="00AF648D" w:rsidP="00D57FDA">
      <w:pPr>
        <w:pStyle w:val="Prrafodelista"/>
        <w:tabs>
          <w:tab w:val="left" w:pos="426"/>
        </w:tabs>
        <w:spacing w:before="240" w:after="240" w:line="360" w:lineRule="auto"/>
        <w:ind w:left="0" w:right="51"/>
        <w:jc w:val="both"/>
        <w:rPr>
          <w:rFonts w:ascii="Palatino Linotype" w:hAnsi="Palatino Linotype"/>
          <w:color w:val="000000" w:themeColor="text1"/>
        </w:rPr>
      </w:pPr>
    </w:p>
    <w:p w14:paraId="54157DF8" w14:textId="5B2020C5" w:rsidR="009D2F7F" w:rsidRPr="00A30BAC" w:rsidRDefault="009D2F7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Ahora bien, no se ignora que el </w:t>
      </w:r>
      <w:r w:rsidRPr="00A30BAC">
        <w:rPr>
          <w:rFonts w:ascii="Palatino Linotype" w:hAnsi="Palatino Linotype"/>
          <w:b/>
          <w:bCs/>
          <w:color w:val="000000" w:themeColor="text1"/>
        </w:rPr>
        <w:t>SUJETO OBLIGADO</w:t>
      </w:r>
      <w:r w:rsidRPr="00A30BAC">
        <w:rPr>
          <w:rFonts w:ascii="Palatino Linotype" w:hAnsi="Palatino Linotype"/>
          <w:color w:val="000000" w:themeColor="text1"/>
        </w:rPr>
        <w:t xml:space="preserve"> a través de la Unidad</w:t>
      </w:r>
      <w:r w:rsidR="00727B1C" w:rsidRPr="00A30BAC">
        <w:rPr>
          <w:rFonts w:ascii="Palatino Linotype" w:hAnsi="Palatino Linotype"/>
          <w:color w:val="000000" w:themeColor="text1"/>
        </w:rPr>
        <w:t xml:space="preserve"> </w:t>
      </w:r>
      <w:r w:rsidRPr="00A30BAC">
        <w:rPr>
          <w:rFonts w:ascii="Palatino Linotype" w:hAnsi="Palatino Linotype"/>
          <w:color w:val="000000" w:themeColor="text1"/>
        </w:rPr>
        <w:t>Transparencia, en vía de informe justificado, reiteró su incompetencia para entregar los reportes solicitados</w:t>
      </w:r>
      <w:r w:rsidR="00021913" w:rsidRPr="00A30BAC">
        <w:rPr>
          <w:rFonts w:ascii="Palatino Linotype" w:hAnsi="Palatino Linotype"/>
          <w:color w:val="000000" w:themeColor="text1"/>
        </w:rPr>
        <w:t>.</w:t>
      </w:r>
    </w:p>
    <w:p w14:paraId="4397511C"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509E492F" w14:textId="7842CE05" w:rsidR="00BA65BE" w:rsidRPr="00A30BAC"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Como consecuencia de lo anterior, se considera elemental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636A712E" w14:textId="77777777" w:rsidR="00BA65BE" w:rsidRPr="00A30BAC"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584E69A" w14:textId="77777777" w:rsidR="00BA65BE" w:rsidRPr="00A30BAC" w:rsidRDefault="00BA65BE" w:rsidP="00BA65BE">
      <w:pPr>
        <w:spacing w:line="276" w:lineRule="auto"/>
        <w:ind w:left="567" w:right="567"/>
        <w:jc w:val="both"/>
        <w:rPr>
          <w:rFonts w:ascii="Palatino Linotype" w:eastAsia="Palatino Linotype" w:hAnsi="Palatino Linotype" w:cs="Palatino Linotype"/>
          <w:i/>
          <w:sz w:val="22"/>
          <w:szCs w:val="22"/>
        </w:rPr>
      </w:pPr>
      <w:r w:rsidRPr="00A30BAC">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A30BA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8F6335" w14:textId="77777777" w:rsidR="00BA65BE" w:rsidRPr="00A30BAC" w:rsidRDefault="00BA65BE" w:rsidP="00BA65BE">
      <w:pPr>
        <w:spacing w:line="276" w:lineRule="auto"/>
        <w:ind w:left="567" w:right="567"/>
        <w:jc w:val="both"/>
        <w:rPr>
          <w:rFonts w:ascii="Palatino Linotype" w:eastAsia="Palatino Linotype" w:hAnsi="Palatino Linotype" w:cs="Palatino Linotype"/>
          <w:i/>
          <w:sz w:val="22"/>
          <w:szCs w:val="22"/>
        </w:rPr>
      </w:pPr>
      <w:r w:rsidRPr="00A30BAC">
        <w:rPr>
          <w:rFonts w:ascii="Palatino Linotype" w:eastAsia="Palatino Linotype" w:hAnsi="Palatino Linotype" w:cs="Palatino Linotype"/>
          <w:i/>
          <w:sz w:val="22"/>
          <w:szCs w:val="22"/>
        </w:rPr>
        <w:t xml:space="preserve">En consecuencia </w:t>
      </w:r>
      <w:r w:rsidRPr="00A30BAC">
        <w:rPr>
          <w:rFonts w:ascii="Palatino Linotype" w:eastAsia="Palatino Linotype" w:hAnsi="Palatino Linotype" w:cs="Palatino Linotype"/>
          <w:b/>
          <w:bCs/>
          <w:i/>
          <w:sz w:val="22"/>
          <w:szCs w:val="22"/>
        </w:rPr>
        <w:t>el acceso a la información se refiere a que se cumplan cualquiera de los siguientes tres supuestos:</w:t>
      </w:r>
    </w:p>
    <w:p w14:paraId="55DDCA1C" w14:textId="77777777" w:rsidR="00BA65BE" w:rsidRPr="00A30BAC" w:rsidRDefault="00BA65BE" w:rsidP="00BA65BE">
      <w:pPr>
        <w:spacing w:line="276" w:lineRule="auto"/>
        <w:ind w:left="567" w:right="567"/>
        <w:jc w:val="both"/>
        <w:rPr>
          <w:rFonts w:ascii="Palatino Linotype" w:eastAsia="Palatino Linotype" w:hAnsi="Palatino Linotype" w:cs="Palatino Linotype"/>
          <w:b/>
          <w:bCs/>
          <w:i/>
          <w:sz w:val="22"/>
          <w:szCs w:val="22"/>
        </w:rPr>
      </w:pPr>
      <w:r w:rsidRPr="00A30BAC">
        <w:rPr>
          <w:rFonts w:ascii="Palatino Linotype" w:eastAsia="Palatino Linotype" w:hAnsi="Palatino Linotype" w:cs="Palatino Linotype"/>
          <w:b/>
          <w:bCs/>
          <w:i/>
          <w:sz w:val="22"/>
          <w:szCs w:val="22"/>
        </w:rPr>
        <w:lastRenderedPageBreak/>
        <w:t xml:space="preserve">Que se trate de información registrada en cualquier soporte documental, que en ejercicio de las atribuciones conferidas, sea </w:t>
      </w:r>
      <w:r w:rsidRPr="00A30BAC">
        <w:rPr>
          <w:rFonts w:ascii="Palatino Linotype" w:eastAsia="Palatino Linotype" w:hAnsi="Palatino Linotype" w:cs="Palatino Linotype"/>
          <w:b/>
          <w:bCs/>
          <w:i/>
          <w:sz w:val="22"/>
          <w:szCs w:val="22"/>
          <w:u w:val="single"/>
        </w:rPr>
        <w:t>generada</w:t>
      </w:r>
      <w:r w:rsidRPr="00A30BAC">
        <w:rPr>
          <w:rFonts w:ascii="Palatino Linotype" w:eastAsia="Palatino Linotype" w:hAnsi="Palatino Linotype" w:cs="Palatino Linotype"/>
          <w:b/>
          <w:bCs/>
          <w:i/>
          <w:sz w:val="22"/>
          <w:szCs w:val="22"/>
        </w:rPr>
        <w:t xml:space="preserve"> por los Sujetos Obligados;</w:t>
      </w:r>
    </w:p>
    <w:p w14:paraId="389F768E" w14:textId="77777777" w:rsidR="00BA65BE" w:rsidRPr="00A30BAC" w:rsidRDefault="00BA65BE" w:rsidP="00BA65BE">
      <w:pPr>
        <w:spacing w:line="276" w:lineRule="auto"/>
        <w:ind w:left="567" w:right="567"/>
        <w:jc w:val="both"/>
        <w:rPr>
          <w:rFonts w:ascii="Palatino Linotype" w:eastAsia="Palatino Linotype" w:hAnsi="Palatino Linotype" w:cs="Palatino Linotype"/>
          <w:i/>
          <w:sz w:val="22"/>
          <w:szCs w:val="22"/>
        </w:rPr>
      </w:pPr>
      <w:r w:rsidRPr="00A30BA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893EC04" w14:textId="77777777" w:rsidR="00BA65BE" w:rsidRPr="00A30BAC" w:rsidRDefault="00BA65BE" w:rsidP="00BA65BE">
      <w:pPr>
        <w:spacing w:line="276" w:lineRule="auto"/>
        <w:ind w:left="567" w:right="567"/>
        <w:jc w:val="both"/>
        <w:rPr>
          <w:rFonts w:ascii="Palatino Linotype" w:eastAsia="Palatino Linotype" w:hAnsi="Palatino Linotype" w:cs="Palatino Linotype"/>
        </w:rPr>
      </w:pPr>
      <w:r w:rsidRPr="00A30BAC">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DD24BC4"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7B170C6" w14:textId="77777777" w:rsidR="00BA65BE" w:rsidRPr="00A30BAC"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El </w:t>
      </w:r>
      <w:r w:rsidRPr="00A30BAC">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A30BAC">
        <w:rPr>
          <w:rFonts w:ascii="Palatino Linotype" w:eastAsia="Palatino Linotype" w:hAnsi="Palatino Linotype" w:cs="Palatino Linotype"/>
          <w:color w:val="000000"/>
          <w:vertAlign w:val="superscript"/>
        </w:rPr>
        <w:footnoteReference w:id="18"/>
      </w:r>
      <w:r w:rsidRPr="00A30BAC">
        <w:rPr>
          <w:rFonts w:ascii="Palatino Linotype" w:eastAsia="Palatino Linotype" w:hAnsi="Palatino Linotype" w:cs="Palatino Linotype"/>
          <w:color w:val="000000"/>
        </w:rPr>
        <w:t>, para darnos un mejor panorama:</w:t>
      </w:r>
    </w:p>
    <w:p w14:paraId="7D403C36" w14:textId="77777777" w:rsidR="00BA65BE" w:rsidRPr="00A30BAC"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2452CD1E" w14:textId="77777777" w:rsidR="00BA65BE" w:rsidRPr="00A30BAC" w:rsidRDefault="00BA65BE" w:rsidP="00BA65BE">
      <w:pPr>
        <w:spacing w:line="276" w:lineRule="auto"/>
        <w:ind w:left="567" w:right="567"/>
        <w:jc w:val="both"/>
        <w:rPr>
          <w:rFonts w:ascii="Palatino Linotype" w:eastAsia="Palatino Linotype" w:hAnsi="Palatino Linotype" w:cs="Palatino Linotype"/>
          <w:iCs/>
          <w:sz w:val="22"/>
          <w:szCs w:val="22"/>
        </w:rPr>
      </w:pPr>
      <w:r w:rsidRPr="00A30BAC">
        <w:rPr>
          <w:rFonts w:ascii="Palatino Linotype" w:eastAsia="Palatino Linotype" w:hAnsi="Palatino Linotype" w:cs="Palatino Linotype"/>
          <w:b/>
          <w:i/>
          <w:sz w:val="22"/>
          <w:szCs w:val="22"/>
        </w:rPr>
        <w:t xml:space="preserve">“XI. Documento: </w:t>
      </w:r>
      <w:r w:rsidRPr="00A30BAC">
        <w:rPr>
          <w:rFonts w:ascii="Palatino Linotype" w:eastAsia="Palatino Linotype" w:hAnsi="Palatino Linotype" w:cs="Palatino Linotype"/>
          <w:b/>
          <w:bCs/>
          <w:i/>
          <w:sz w:val="22"/>
          <w:szCs w:val="22"/>
        </w:rPr>
        <w:t xml:space="preserve">Los </w:t>
      </w:r>
      <w:r w:rsidRPr="00A30BAC">
        <w:rPr>
          <w:rFonts w:ascii="Palatino Linotype" w:eastAsia="Palatino Linotype" w:hAnsi="Palatino Linotype" w:cs="Palatino Linotype"/>
          <w:i/>
          <w:sz w:val="22"/>
          <w:szCs w:val="22"/>
        </w:rPr>
        <w:t>expedientes,</w:t>
      </w:r>
      <w:r w:rsidRPr="00A30BAC">
        <w:rPr>
          <w:rFonts w:ascii="Palatino Linotype" w:eastAsia="Palatino Linotype" w:hAnsi="Palatino Linotype" w:cs="Palatino Linotype"/>
          <w:b/>
          <w:bCs/>
          <w:i/>
          <w:sz w:val="22"/>
          <w:szCs w:val="22"/>
        </w:rPr>
        <w:t xml:space="preserve"> reportes, </w:t>
      </w:r>
      <w:r w:rsidRPr="00A30BAC">
        <w:rPr>
          <w:rFonts w:ascii="Palatino Linotype" w:eastAsia="Palatino Linotype" w:hAnsi="Palatino Linotype" w:cs="Palatino Linotype"/>
          <w:i/>
          <w:sz w:val="22"/>
          <w:szCs w:val="22"/>
        </w:rPr>
        <w:t xml:space="preserve">estudios, actas, resoluciones, oficios, correspondencia, acuerdos, directivas, directrices, circulares, contratos, convenios, instructivos, notas, memorandos, estadísticas </w:t>
      </w:r>
      <w:r w:rsidRPr="00A30BAC">
        <w:rPr>
          <w:rFonts w:ascii="Palatino Linotype" w:eastAsia="Palatino Linotype" w:hAnsi="Palatino Linotype" w:cs="Palatino Linotype"/>
          <w:b/>
          <w:bCs/>
          <w:i/>
          <w:sz w:val="22"/>
          <w:szCs w:val="22"/>
        </w:rPr>
        <w:t>o bien,</w:t>
      </w:r>
      <w:r w:rsidRPr="00A30BAC">
        <w:rPr>
          <w:rFonts w:ascii="Palatino Linotype" w:eastAsia="Palatino Linotype" w:hAnsi="Palatino Linotype" w:cs="Palatino Linotype"/>
          <w:i/>
          <w:sz w:val="22"/>
          <w:szCs w:val="22"/>
        </w:rPr>
        <w:t xml:space="preserve"> </w:t>
      </w:r>
      <w:r w:rsidRPr="00A30BAC">
        <w:rPr>
          <w:rFonts w:ascii="Palatino Linotype" w:eastAsia="Palatino Linotype" w:hAnsi="Palatino Linotype" w:cs="Palatino Linotype"/>
          <w:b/>
          <w:bCs/>
          <w:i/>
          <w:sz w:val="22"/>
          <w:szCs w:val="22"/>
        </w:rPr>
        <w:t>cualquier</w:t>
      </w:r>
      <w:r w:rsidRPr="00A30BAC">
        <w:rPr>
          <w:rFonts w:ascii="Palatino Linotype" w:eastAsia="Palatino Linotype" w:hAnsi="Palatino Linotype" w:cs="Palatino Linotype"/>
          <w:i/>
          <w:sz w:val="22"/>
          <w:szCs w:val="22"/>
        </w:rPr>
        <w:t xml:space="preserve"> otro </w:t>
      </w:r>
      <w:r w:rsidRPr="00A30BAC">
        <w:rPr>
          <w:rFonts w:ascii="Palatino Linotype" w:eastAsia="Palatino Linotype" w:hAnsi="Palatino Linotype" w:cs="Palatino Linotype"/>
          <w:b/>
          <w:bCs/>
          <w:i/>
          <w:sz w:val="22"/>
          <w:szCs w:val="22"/>
        </w:rPr>
        <w:t>registro que documente el ejercicio de las facultades, funciones y competencias de los</w:t>
      </w:r>
      <w:r w:rsidRPr="00A30BAC">
        <w:rPr>
          <w:rFonts w:ascii="Palatino Linotype" w:eastAsia="Palatino Linotype" w:hAnsi="Palatino Linotype" w:cs="Palatino Linotype"/>
          <w:i/>
          <w:sz w:val="22"/>
          <w:szCs w:val="22"/>
        </w:rPr>
        <w:t xml:space="preserve"> sujetos obligados, sus servidores públicos e integrantes, </w:t>
      </w:r>
      <w:r w:rsidRPr="00A30BAC">
        <w:rPr>
          <w:rFonts w:ascii="Palatino Linotype" w:eastAsia="Palatino Linotype" w:hAnsi="Palatino Linotype" w:cs="Palatino Linotype"/>
          <w:b/>
          <w:bCs/>
          <w:i/>
          <w:sz w:val="22"/>
          <w:szCs w:val="22"/>
          <w:u w:val="double"/>
        </w:rPr>
        <w:t>sin importar su fuente</w:t>
      </w:r>
      <w:r w:rsidRPr="00A30BAC">
        <w:rPr>
          <w:rFonts w:ascii="Palatino Linotype" w:eastAsia="Palatino Linotype" w:hAnsi="Palatino Linotype" w:cs="Palatino Linotype"/>
          <w:i/>
          <w:sz w:val="22"/>
          <w:szCs w:val="22"/>
        </w:rPr>
        <w:t xml:space="preserve"> o fecha de elaboración. </w:t>
      </w:r>
      <w:r w:rsidRPr="00A30BAC">
        <w:rPr>
          <w:rFonts w:ascii="Palatino Linotype" w:eastAsia="Palatino Linotype" w:hAnsi="Palatino Linotype" w:cs="Palatino Linotype"/>
          <w:b/>
          <w:bCs/>
          <w:i/>
          <w:sz w:val="22"/>
          <w:szCs w:val="22"/>
        </w:rPr>
        <w:t>Los documentos podrán estar en cualquier medio</w:t>
      </w:r>
      <w:r w:rsidRPr="00A30BAC">
        <w:rPr>
          <w:rFonts w:ascii="Palatino Linotype" w:eastAsia="Palatino Linotype" w:hAnsi="Palatino Linotype" w:cs="Palatino Linotype"/>
          <w:i/>
          <w:sz w:val="22"/>
          <w:szCs w:val="22"/>
        </w:rPr>
        <w:t xml:space="preserve">, sea escrito, impreso,  sonoro, visual, </w:t>
      </w:r>
      <w:r w:rsidRPr="00A30BAC">
        <w:rPr>
          <w:rFonts w:ascii="Palatino Linotype" w:eastAsia="Palatino Linotype" w:hAnsi="Palatino Linotype" w:cs="Palatino Linotype"/>
          <w:b/>
          <w:bCs/>
          <w:i/>
          <w:sz w:val="22"/>
          <w:szCs w:val="22"/>
        </w:rPr>
        <w:t>electrónico</w:t>
      </w:r>
      <w:r w:rsidRPr="00A30BAC">
        <w:rPr>
          <w:rFonts w:ascii="Palatino Linotype" w:eastAsia="Palatino Linotype" w:hAnsi="Palatino Linotype" w:cs="Palatino Linotype"/>
          <w:i/>
          <w:sz w:val="22"/>
          <w:szCs w:val="22"/>
        </w:rPr>
        <w:t>, informático u holográfico;”</w:t>
      </w:r>
    </w:p>
    <w:p w14:paraId="1793C826" w14:textId="77777777" w:rsidR="00BA65BE" w:rsidRPr="00A30BAC" w:rsidRDefault="00BA65BE" w:rsidP="00BA65BE">
      <w:pPr>
        <w:spacing w:line="276" w:lineRule="auto"/>
        <w:ind w:left="567" w:right="567"/>
        <w:jc w:val="both"/>
        <w:rPr>
          <w:rFonts w:ascii="Palatino Linotype" w:eastAsia="Palatino Linotype" w:hAnsi="Palatino Linotype" w:cs="Palatino Linotype"/>
          <w:iCs/>
          <w:sz w:val="22"/>
          <w:szCs w:val="22"/>
        </w:rPr>
      </w:pPr>
      <w:r w:rsidRPr="00A30BAC">
        <w:rPr>
          <w:rFonts w:ascii="Palatino Linotype" w:eastAsia="Palatino Linotype" w:hAnsi="Palatino Linotype" w:cs="Palatino Linotype"/>
          <w:iCs/>
          <w:sz w:val="22"/>
          <w:szCs w:val="22"/>
        </w:rPr>
        <w:t>(Énfasis añadido)</w:t>
      </w:r>
    </w:p>
    <w:p w14:paraId="1B7221E3"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048AD144" w14:textId="77777777" w:rsidR="00BA65BE" w:rsidRPr="00A30BAC"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Correlativo </w:t>
      </w:r>
      <w:r w:rsidRPr="00A30BAC">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C8AE256" w14:textId="77777777" w:rsidR="00BA65BE" w:rsidRPr="00A30BAC"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5719E5C4" w14:textId="77777777" w:rsidR="00BA65BE" w:rsidRPr="00A30BAC" w:rsidRDefault="00BA65BE" w:rsidP="00021913">
      <w:pPr>
        <w:ind w:left="567" w:right="567"/>
        <w:jc w:val="both"/>
        <w:rPr>
          <w:rFonts w:ascii="Palatino Linotype" w:eastAsia="Palatino Linotype" w:hAnsi="Palatino Linotype" w:cs="Palatino Linotype"/>
          <w:i/>
          <w:sz w:val="22"/>
          <w:szCs w:val="22"/>
        </w:rPr>
      </w:pPr>
      <w:r w:rsidRPr="00A30BAC">
        <w:rPr>
          <w:rFonts w:ascii="Palatino Linotype" w:eastAsia="Palatino Linotype" w:hAnsi="Palatino Linotype" w:cs="Palatino Linotype"/>
          <w:b/>
          <w:i/>
          <w:sz w:val="22"/>
          <w:szCs w:val="22"/>
        </w:rPr>
        <w:t xml:space="preserve">“Artículo 4. </w:t>
      </w:r>
      <w:r w:rsidRPr="00A30BAC">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79078F5" w14:textId="77777777" w:rsidR="00BA65BE" w:rsidRPr="00A30BAC" w:rsidRDefault="00BA65BE" w:rsidP="00021913">
      <w:pPr>
        <w:ind w:left="567" w:right="567"/>
        <w:jc w:val="both"/>
        <w:rPr>
          <w:rFonts w:ascii="Palatino Linotype" w:eastAsia="Palatino Linotype" w:hAnsi="Palatino Linotype" w:cs="Palatino Linotype"/>
          <w:i/>
          <w:sz w:val="22"/>
          <w:szCs w:val="22"/>
        </w:rPr>
      </w:pPr>
      <w:r w:rsidRPr="00A30BAC">
        <w:rPr>
          <w:rFonts w:ascii="Palatino Linotype" w:eastAsia="Palatino Linotype" w:hAnsi="Palatino Linotype" w:cs="Palatino Linotype"/>
          <w:b/>
          <w:i/>
          <w:sz w:val="22"/>
          <w:szCs w:val="22"/>
          <w:u w:val="single"/>
        </w:rPr>
        <w:lastRenderedPageBreak/>
        <w:t>Toda la información generada</w:t>
      </w:r>
      <w:r w:rsidRPr="00A30BAC">
        <w:rPr>
          <w:rFonts w:ascii="Palatino Linotype" w:eastAsia="Palatino Linotype" w:hAnsi="Palatino Linotype" w:cs="Palatino Linotype"/>
          <w:b/>
          <w:i/>
          <w:sz w:val="22"/>
          <w:szCs w:val="22"/>
        </w:rPr>
        <w:t xml:space="preserve">, obtenida, adquirida, transformada, administrada o en posesión de los sujetos obligados </w:t>
      </w:r>
      <w:r w:rsidRPr="00A30BAC">
        <w:rPr>
          <w:rFonts w:ascii="Palatino Linotype" w:eastAsia="Palatino Linotype" w:hAnsi="Palatino Linotype" w:cs="Palatino Linotype"/>
          <w:b/>
          <w:i/>
          <w:sz w:val="22"/>
          <w:szCs w:val="22"/>
          <w:u w:val="single"/>
        </w:rPr>
        <w:t>es pública y accesible de manera permanente a cualquier persona</w:t>
      </w:r>
      <w:r w:rsidRPr="00A30BA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7CFFEF" w14:textId="77777777" w:rsidR="00BA65BE" w:rsidRPr="00A30BAC" w:rsidRDefault="00BA65BE" w:rsidP="00021913">
      <w:pPr>
        <w:ind w:left="567" w:right="567"/>
        <w:jc w:val="both"/>
        <w:rPr>
          <w:rFonts w:ascii="Palatino Linotype" w:eastAsia="Palatino Linotype" w:hAnsi="Palatino Linotype" w:cs="Palatino Linotype"/>
          <w:b/>
          <w:i/>
          <w:sz w:val="22"/>
          <w:szCs w:val="22"/>
        </w:rPr>
      </w:pPr>
      <w:r w:rsidRPr="00A30BA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02733EC2" w14:textId="77777777" w:rsidR="00BA65BE" w:rsidRPr="00A30BAC" w:rsidRDefault="00BA65BE" w:rsidP="00021913">
      <w:pPr>
        <w:ind w:right="567"/>
        <w:jc w:val="both"/>
        <w:rPr>
          <w:rFonts w:ascii="Palatino Linotype" w:eastAsia="Palatino Linotype" w:hAnsi="Palatino Linotype" w:cs="Palatino Linotype"/>
          <w:i/>
          <w:color w:val="000000"/>
          <w:sz w:val="28"/>
          <w:szCs w:val="28"/>
        </w:rPr>
      </w:pPr>
    </w:p>
    <w:p w14:paraId="1A3B3E2B" w14:textId="77777777" w:rsidR="00BA65BE" w:rsidRPr="00A30BAC" w:rsidRDefault="00BA65BE" w:rsidP="00021913">
      <w:pPr>
        <w:ind w:left="567" w:right="567"/>
        <w:jc w:val="both"/>
        <w:rPr>
          <w:rFonts w:ascii="Palatino Linotype" w:eastAsia="Palatino Linotype" w:hAnsi="Palatino Linotype" w:cs="Palatino Linotype"/>
          <w:i/>
          <w:sz w:val="22"/>
          <w:szCs w:val="22"/>
        </w:rPr>
      </w:pPr>
      <w:r w:rsidRPr="00A30BAC">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A30BAC">
        <w:rPr>
          <w:rFonts w:ascii="Palatino Linotype" w:eastAsia="Palatino Linotype" w:hAnsi="Palatino Linotype" w:cs="Palatino Linotype"/>
          <w:i/>
          <w:sz w:val="22"/>
          <w:szCs w:val="22"/>
        </w:rPr>
        <w:t xml:space="preserve">. </w:t>
      </w:r>
    </w:p>
    <w:p w14:paraId="6DCCB91C" w14:textId="77777777" w:rsidR="00BA65BE" w:rsidRPr="00A30BAC" w:rsidRDefault="00BA65BE" w:rsidP="00021913">
      <w:pPr>
        <w:ind w:left="567" w:right="567"/>
        <w:jc w:val="both"/>
        <w:rPr>
          <w:rFonts w:ascii="Palatino Linotype" w:eastAsia="Palatino Linotype" w:hAnsi="Palatino Linotype" w:cs="Palatino Linotype"/>
          <w:i/>
          <w:sz w:val="22"/>
          <w:szCs w:val="22"/>
        </w:rPr>
      </w:pPr>
      <w:r w:rsidRPr="00A30BA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E64E92" w14:textId="77777777" w:rsidR="00BA65BE" w:rsidRPr="00A30BAC" w:rsidRDefault="00BA65BE" w:rsidP="00021913">
      <w:pPr>
        <w:ind w:left="567" w:right="567"/>
        <w:jc w:val="both"/>
        <w:rPr>
          <w:rFonts w:ascii="Palatino Linotype" w:eastAsia="Palatino Linotype" w:hAnsi="Palatino Linotype" w:cs="Palatino Linotype"/>
          <w:sz w:val="22"/>
          <w:szCs w:val="22"/>
        </w:rPr>
      </w:pPr>
      <w:r w:rsidRPr="00A30BAC">
        <w:rPr>
          <w:rFonts w:ascii="Palatino Linotype" w:eastAsia="Palatino Linotype" w:hAnsi="Palatino Linotype" w:cs="Palatino Linotype"/>
          <w:sz w:val="22"/>
          <w:szCs w:val="22"/>
        </w:rPr>
        <w:t>(Énfasis añadido)</w:t>
      </w:r>
    </w:p>
    <w:p w14:paraId="5B612A5A"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39A2AD71" w14:textId="178B2510" w:rsidR="00BA65BE" w:rsidRPr="00A30BAC"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Es </w:t>
      </w:r>
      <w:r w:rsidRPr="00A30BAC">
        <w:rPr>
          <w:rFonts w:ascii="Palatino Linotype" w:eastAsia="Palatino Linotype" w:hAnsi="Palatino Linotype" w:cs="Palatino Linotype"/>
          <w:color w:val="000000"/>
        </w:rPr>
        <w:t xml:space="preserve">así como </w:t>
      </w:r>
      <w:r w:rsidR="003926CC" w:rsidRPr="00A30BAC">
        <w:rPr>
          <w:rFonts w:ascii="Palatino Linotype" w:eastAsia="Palatino Linotype" w:hAnsi="Palatino Linotype" w:cs="Palatino Linotype"/>
          <w:b/>
          <w:bCs/>
          <w:color w:val="000000"/>
        </w:rPr>
        <w:t>todas las actividades</w:t>
      </w:r>
      <w:r w:rsidRPr="00A30BAC">
        <w:rPr>
          <w:rFonts w:ascii="Palatino Linotype" w:eastAsia="Palatino Linotype" w:hAnsi="Palatino Linotype" w:cs="Palatino Linotype"/>
          <w:color w:val="000000"/>
        </w:rPr>
        <w:t xml:space="preserve"> que realicen los Sujetos Obligados</w:t>
      </w:r>
      <w:r w:rsidR="003926CC" w:rsidRPr="00A30BAC">
        <w:rPr>
          <w:rFonts w:ascii="Palatino Linotype" w:eastAsia="Palatino Linotype" w:hAnsi="Palatino Linotype" w:cs="Palatino Linotype"/>
          <w:color w:val="000000"/>
        </w:rPr>
        <w:t xml:space="preserve">, en ejercicio de sus funciones, </w:t>
      </w:r>
      <w:r w:rsidR="003926CC" w:rsidRPr="00A30BAC">
        <w:rPr>
          <w:rFonts w:ascii="Palatino Linotype" w:eastAsia="Palatino Linotype" w:hAnsi="Palatino Linotype" w:cs="Palatino Linotype"/>
          <w:b/>
          <w:bCs/>
          <w:color w:val="000000"/>
        </w:rPr>
        <w:t>obligaciones -incluidas las fiscales-</w:t>
      </w:r>
      <w:r w:rsidR="003926CC" w:rsidRPr="00A30BAC">
        <w:rPr>
          <w:rFonts w:ascii="Palatino Linotype" w:eastAsia="Palatino Linotype" w:hAnsi="Palatino Linotype" w:cs="Palatino Linotype"/>
          <w:color w:val="000000"/>
        </w:rPr>
        <w:t xml:space="preserve"> y competencias,</w:t>
      </w:r>
      <w:r w:rsidRPr="00A30BAC">
        <w:rPr>
          <w:rFonts w:ascii="Palatino Linotype" w:eastAsia="Palatino Linotype" w:hAnsi="Palatino Linotype" w:cs="Palatino Linotype"/>
          <w:color w:val="000000"/>
        </w:rPr>
        <w:t xml:space="preserve"> deben estar documentados y, bajo el más alto estándar de transparencia, </w:t>
      </w:r>
      <w:r w:rsidRPr="00A30BAC">
        <w:rPr>
          <w:rFonts w:ascii="Palatino Linotype" w:eastAsia="Palatino Linotype" w:hAnsi="Palatino Linotype" w:cs="Palatino Linotype"/>
          <w:b/>
          <w:bCs/>
          <w:color w:val="000000"/>
        </w:rPr>
        <w:t>deberán poner toda la información</w:t>
      </w:r>
      <w:r w:rsidRPr="00A30BAC">
        <w:rPr>
          <w:rFonts w:ascii="Palatino Linotype" w:eastAsia="Palatino Linotype" w:hAnsi="Palatino Linotype" w:cs="Palatino Linotype"/>
          <w:color w:val="000000"/>
        </w:rPr>
        <w:t xml:space="preserve"> que se encuentre en su posesión, de manera permanente y actualizada, </w:t>
      </w:r>
      <w:r w:rsidRPr="00A30BAC">
        <w:rPr>
          <w:rFonts w:ascii="Palatino Linotype" w:eastAsia="Palatino Linotype" w:hAnsi="Palatino Linotype" w:cs="Palatino Linotype"/>
          <w:b/>
          <w:bCs/>
          <w:color w:val="000000"/>
        </w:rPr>
        <w:t>a disposición de los particulares</w:t>
      </w:r>
      <w:r w:rsidRPr="00A30BAC">
        <w:rPr>
          <w:rFonts w:ascii="Palatino Linotype" w:eastAsia="Palatino Linotype" w:hAnsi="Palatino Linotype" w:cs="Palatino Linotype"/>
          <w:color w:val="000000"/>
        </w:rPr>
        <w:t xml:space="preserve"> que la soliciten.</w:t>
      </w:r>
    </w:p>
    <w:p w14:paraId="30E48D5C"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B0FDCEF" w14:textId="77777777" w:rsidR="00BA65BE" w:rsidRPr="00A30BAC"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Por </w:t>
      </w:r>
      <w:r w:rsidRPr="00A30BAC">
        <w:rPr>
          <w:rFonts w:ascii="Palatino Linotype" w:eastAsia="Palatino Linotype" w:hAnsi="Palatino Linotype" w:cs="Palatino Linotype"/>
          <w:color w:val="000000"/>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A30BAC">
        <w:rPr>
          <w:rFonts w:ascii="Palatino Linotype" w:eastAsia="Palatino Linotype" w:hAnsi="Palatino Linotype" w:cs="Palatino Linotype"/>
          <w:color w:val="000000"/>
        </w:rPr>
        <w:lastRenderedPageBreak/>
        <w:t>legítima y estrictamente necesaria en una sociedad democrática, por lo que atenderá las necesidades del derecho de acceso a la información de toda persona</w:t>
      </w:r>
      <w:r w:rsidRPr="00A30BAC">
        <w:rPr>
          <w:rFonts w:ascii="Palatino Linotype" w:eastAsia="Palatino Linotype" w:hAnsi="Palatino Linotype" w:cs="Palatino Linotype"/>
          <w:color w:val="000000"/>
          <w:vertAlign w:val="superscript"/>
        </w:rPr>
        <w:footnoteReference w:id="19"/>
      </w:r>
      <w:r w:rsidRPr="00A30BAC">
        <w:rPr>
          <w:rFonts w:ascii="Palatino Linotype" w:eastAsia="Palatino Linotype" w:hAnsi="Palatino Linotype" w:cs="Palatino Linotype"/>
          <w:color w:val="000000"/>
        </w:rPr>
        <w:t>.</w:t>
      </w:r>
    </w:p>
    <w:p w14:paraId="3A9BA6D9"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005CAD80" w14:textId="2414109E" w:rsidR="00BA65BE" w:rsidRPr="00A30BAC"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En </w:t>
      </w:r>
      <w:r w:rsidRPr="00A30BAC">
        <w:rPr>
          <w:rFonts w:ascii="Palatino Linotype" w:eastAsia="Palatino Linotype" w:hAnsi="Palatino Linotype" w:cs="Palatino Linotype"/>
          <w:color w:val="000000"/>
        </w:rPr>
        <w:t>ese sentido, por un lado, se tiene la obligación de documentar todos los actos que se lleven a cabo en el ejercicio de sus funciones,</w:t>
      </w:r>
      <w:r w:rsidR="003926CC" w:rsidRPr="00A30BAC">
        <w:rPr>
          <w:rFonts w:ascii="Palatino Linotype" w:eastAsia="Palatino Linotype" w:hAnsi="Palatino Linotype" w:cs="Palatino Linotype"/>
          <w:color w:val="000000"/>
        </w:rPr>
        <w:t xml:space="preserve"> </w:t>
      </w:r>
      <w:r w:rsidR="003926CC" w:rsidRPr="00A30BAC">
        <w:rPr>
          <w:rFonts w:ascii="Palatino Linotype" w:eastAsia="Palatino Linotype" w:hAnsi="Palatino Linotype" w:cs="Palatino Linotype"/>
          <w:b/>
          <w:bCs/>
          <w:color w:val="000000"/>
        </w:rPr>
        <w:t>obligaciones</w:t>
      </w:r>
      <w:r w:rsidR="003926CC" w:rsidRPr="00A30BAC">
        <w:rPr>
          <w:rFonts w:ascii="Palatino Linotype" w:eastAsia="Palatino Linotype" w:hAnsi="Palatino Linotype" w:cs="Palatino Linotype"/>
          <w:color w:val="000000"/>
        </w:rPr>
        <w:t>,</w:t>
      </w:r>
      <w:r w:rsidRPr="00A30BAC">
        <w:rPr>
          <w:rFonts w:ascii="Palatino Linotype" w:eastAsia="Palatino Linotype" w:hAnsi="Palatino Linotype" w:cs="Palatino Linotype"/>
          <w:color w:val="000000"/>
        </w:rPr>
        <w:t xml:space="preserve"> atribuciones y competencias; mientras que por otro, se ven impuestos por la obligación de hacer pública toda aquella información que se encuentre en su posesión en estricto apego a los principios de eficacia</w:t>
      </w:r>
      <w:r w:rsidRPr="00A30BAC">
        <w:rPr>
          <w:rFonts w:ascii="Palatino Linotype" w:eastAsia="Palatino Linotype" w:hAnsi="Palatino Linotype" w:cs="Palatino Linotype"/>
          <w:color w:val="000000"/>
          <w:vertAlign w:val="superscript"/>
        </w:rPr>
        <w:footnoteReference w:id="20"/>
      </w:r>
      <w:r w:rsidRPr="00A30BAC">
        <w:rPr>
          <w:rFonts w:ascii="Palatino Linotype" w:eastAsia="Palatino Linotype" w:hAnsi="Palatino Linotype" w:cs="Palatino Linotype"/>
          <w:color w:val="000000"/>
        </w:rPr>
        <w:t xml:space="preserve"> y máxima publicidad; sobre éste último se debe poner mayor énfasis, puesto que establece que </w:t>
      </w:r>
      <w:r w:rsidRPr="00A30BAC">
        <w:rPr>
          <w:rFonts w:ascii="Palatino Linotype" w:eastAsia="Palatino Linotype" w:hAnsi="Palatino Linotype" w:cs="Palatino Linotype"/>
          <w:b/>
          <w:color w:val="000000"/>
          <w:u w:val="single"/>
        </w:rPr>
        <w:t>toda la información en posesión de los Sujetos Obligados será</w:t>
      </w:r>
      <w:r w:rsidRPr="00A30BAC">
        <w:rPr>
          <w:rFonts w:ascii="Palatino Linotype" w:eastAsia="Palatino Linotype" w:hAnsi="Palatino Linotype" w:cs="Palatino Linotype"/>
          <w:color w:val="000000"/>
        </w:rPr>
        <w:t xml:space="preserve"> pública, completa, </w:t>
      </w:r>
      <w:r w:rsidRPr="00A30BAC">
        <w:rPr>
          <w:rFonts w:ascii="Palatino Linotype" w:eastAsia="Palatino Linotype" w:hAnsi="Palatino Linotype" w:cs="Palatino Linotype"/>
          <w:b/>
          <w:color w:val="000000"/>
          <w:u w:val="single"/>
        </w:rPr>
        <w:t>oportuna</w:t>
      </w:r>
      <w:r w:rsidRPr="00A30BAC">
        <w:rPr>
          <w:rFonts w:ascii="Palatino Linotype" w:eastAsia="Palatino Linotype" w:hAnsi="Palatino Linotype" w:cs="Palatino Linotype"/>
          <w:color w:val="000000"/>
        </w:rPr>
        <w:t xml:space="preserve"> y </w:t>
      </w:r>
      <w:r w:rsidRPr="00A30BAC">
        <w:rPr>
          <w:rFonts w:ascii="Palatino Linotype" w:eastAsia="Palatino Linotype" w:hAnsi="Palatino Linotype" w:cs="Palatino Linotype"/>
          <w:b/>
          <w:color w:val="000000"/>
          <w:u w:val="single"/>
        </w:rPr>
        <w:t>accesible</w:t>
      </w:r>
      <w:r w:rsidRPr="00A30BAC">
        <w:rPr>
          <w:rFonts w:ascii="Palatino Linotype" w:eastAsia="Palatino Linotype" w:hAnsi="Palatino Linotype" w:cs="Palatino Linotype"/>
          <w:color w:val="000000"/>
        </w:rPr>
        <w:t xml:space="preserve">, </w:t>
      </w:r>
      <w:r w:rsidRPr="00A30BAC">
        <w:rPr>
          <w:rFonts w:ascii="Palatino Linotype" w:eastAsia="Palatino Linotype" w:hAnsi="Palatino Linotype" w:cs="Palatino Linotype"/>
          <w:b/>
          <w:color w:val="000000"/>
        </w:rPr>
        <w:t>lo que permite que la ciudadanía tenga un amplio acceso sobre lo que es el actuar de las autoridades</w:t>
      </w:r>
      <w:r w:rsidRPr="00A30BAC">
        <w:rPr>
          <w:rFonts w:ascii="Palatino Linotype" w:eastAsia="Palatino Linotype" w:hAnsi="Palatino Linotype" w:cs="Palatino Linotype"/>
          <w:color w:val="000000"/>
        </w:rPr>
        <w:t>.</w:t>
      </w:r>
    </w:p>
    <w:p w14:paraId="7E78B2BB"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776DA8B7" w14:textId="77777777" w:rsidR="00BA65BE" w:rsidRPr="00A30BAC"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Robustece </w:t>
      </w:r>
      <w:r w:rsidRPr="00A30BAC">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4EE7B94" w14:textId="77777777" w:rsidR="00BA65BE" w:rsidRPr="00A30BAC"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C07A36D" w14:textId="1EB59B67" w:rsidR="00BA65BE" w:rsidRPr="00A30BAC" w:rsidRDefault="00BA65BE"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A30BAC">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A30BAC">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w:t>
      </w:r>
      <w:r w:rsidRPr="00A30BAC">
        <w:rPr>
          <w:rFonts w:ascii="Palatino Linotype" w:eastAsia="Palatino Linotype" w:hAnsi="Palatino Linotype" w:cs="Palatino Linotype"/>
          <w:i/>
          <w:color w:val="000000"/>
          <w:sz w:val="22"/>
          <w:szCs w:val="22"/>
        </w:rPr>
        <w:lastRenderedPageBreak/>
        <w:t xml:space="preserve">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A30BAC">
        <w:rPr>
          <w:rFonts w:ascii="Palatino Linotype" w:eastAsia="Palatino Linotype" w:hAnsi="Palatino Linotype" w:cs="Palatino Linotype"/>
          <w:b/>
          <w:bCs/>
          <w:i/>
          <w:color w:val="000000"/>
          <w:sz w:val="22"/>
          <w:szCs w:val="22"/>
        </w:rPr>
        <w:t xml:space="preserve">el principio de máxima publicidad </w:t>
      </w:r>
      <w:r w:rsidRPr="00A30BAC">
        <w:rPr>
          <w:rFonts w:ascii="Palatino Linotype" w:eastAsia="Palatino Linotype" w:hAnsi="Palatino Linotype" w:cs="Palatino Linotype"/>
          <w:b/>
          <w:bCs/>
          <w:i/>
          <w:color w:val="000000"/>
          <w:sz w:val="22"/>
          <w:szCs w:val="22"/>
          <w:u w:val="single"/>
        </w:rPr>
        <w:t>incorporado en el texto constitucional</w:t>
      </w:r>
      <w:r w:rsidRPr="00A30BAC">
        <w:rPr>
          <w:rFonts w:ascii="Palatino Linotype" w:eastAsia="Palatino Linotype" w:hAnsi="Palatino Linotype" w:cs="Palatino Linotype"/>
          <w:b/>
          <w:bCs/>
          <w:i/>
          <w:color w:val="000000"/>
          <w:sz w:val="22"/>
          <w:szCs w:val="22"/>
        </w:rPr>
        <w:t>, implica</w:t>
      </w:r>
      <w:r w:rsidRPr="00A30BAC">
        <w:rPr>
          <w:rFonts w:ascii="Palatino Linotype" w:eastAsia="Palatino Linotype" w:hAnsi="Palatino Linotype" w:cs="Palatino Linotype"/>
          <w:i/>
          <w:color w:val="000000"/>
          <w:sz w:val="22"/>
          <w:szCs w:val="22"/>
        </w:rPr>
        <w:t xml:space="preserve"> para cualquier autoridad, </w:t>
      </w:r>
      <w:r w:rsidRPr="00A30BAC">
        <w:rPr>
          <w:rFonts w:ascii="Palatino Linotype" w:eastAsia="Palatino Linotype" w:hAnsi="Palatino Linotype" w:cs="Palatino Linotype"/>
          <w:b/>
          <w:bCs/>
          <w:i/>
          <w:color w:val="000000"/>
          <w:sz w:val="22"/>
          <w:szCs w:val="22"/>
        </w:rPr>
        <w:t xml:space="preserve">realizar un manejo de la información bajo la premisa inicial que </w:t>
      </w:r>
      <w:r w:rsidRPr="00A30BAC">
        <w:rPr>
          <w:rFonts w:ascii="Palatino Linotype" w:eastAsia="Palatino Linotype" w:hAnsi="Palatino Linotype" w:cs="Palatino Linotype"/>
          <w:b/>
          <w:bCs/>
          <w:i/>
          <w:color w:val="000000"/>
          <w:sz w:val="22"/>
          <w:szCs w:val="22"/>
          <w:u w:val="single"/>
        </w:rPr>
        <w:t>toda</w:t>
      </w:r>
      <w:r w:rsidRPr="00A30BAC">
        <w:rPr>
          <w:rFonts w:ascii="Palatino Linotype" w:eastAsia="Palatino Linotype" w:hAnsi="Palatino Linotype" w:cs="Palatino Linotype"/>
          <w:b/>
          <w:bCs/>
          <w:i/>
          <w:color w:val="000000"/>
          <w:sz w:val="22"/>
          <w:szCs w:val="22"/>
        </w:rPr>
        <w:t xml:space="preserve"> ella es pública</w:t>
      </w:r>
      <w:r w:rsidRPr="00A30BAC">
        <w:rPr>
          <w:rFonts w:ascii="Palatino Linotype" w:eastAsia="Palatino Linotype" w:hAnsi="Palatino Linotype" w:cs="Palatino Linotype"/>
          <w:i/>
          <w:color w:val="000000"/>
          <w:sz w:val="22"/>
          <w:szCs w:val="22"/>
        </w:rPr>
        <w:t xml:space="preserve"> y sólo por excepción, en los casos expresamente previstos en la legislación secundaria y justificados bajo determinadas circunstancias, se podrá clasificar como confidencial o reservada, esto es, considerarla con una calidad diversa.”</w:t>
      </w:r>
    </w:p>
    <w:p w14:paraId="3817703F" w14:textId="2AACA0E7" w:rsidR="003926CC" w:rsidRPr="00A30BAC" w:rsidRDefault="003926CC"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Cs/>
          <w:color w:val="000000"/>
        </w:rPr>
      </w:pPr>
      <w:r w:rsidRPr="00A30BAC">
        <w:rPr>
          <w:rFonts w:ascii="Palatino Linotype" w:eastAsia="Palatino Linotype" w:hAnsi="Palatino Linotype" w:cs="Palatino Linotype"/>
          <w:iCs/>
          <w:color w:val="000000"/>
          <w:sz w:val="22"/>
          <w:szCs w:val="22"/>
        </w:rPr>
        <w:t>(Énfasis añadido)</w:t>
      </w:r>
    </w:p>
    <w:p w14:paraId="1C154B17"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288A379E" w14:textId="3CD81008" w:rsidR="00BA65BE" w:rsidRPr="00A30BAC"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Tal y como se ha señalado, </w:t>
      </w:r>
      <w:r w:rsidRPr="00A30BAC">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A30BAC">
        <w:rPr>
          <w:rFonts w:ascii="Palatino Linotype" w:hAnsi="Palatino Linotype"/>
          <w:color w:val="000000" w:themeColor="text1"/>
        </w:rPr>
        <w:t xml:space="preserve">, ya sea porque la genera, posee o administra; </w:t>
      </w:r>
      <w:r w:rsidRPr="00A30BAC">
        <w:rPr>
          <w:rFonts w:ascii="Palatino Linotype" w:hAnsi="Palatino Linotype"/>
          <w:b/>
          <w:bCs/>
          <w:color w:val="000000" w:themeColor="text1"/>
        </w:rPr>
        <w:t>toda vez que</w:t>
      </w:r>
      <w:r w:rsidRPr="00A30BAC">
        <w:rPr>
          <w:rFonts w:ascii="Palatino Linotype" w:hAnsi="Palatino Linotype"/>
          <w:color w:val="000000" w:themeColor="text1"/>
        </w:rPr>
        <w:t xml:space="preserve">, a través de dicha acción, </w:t>
      </w:r>
      <w:r w:rsidRPr="00A30BAC">
        <w:rPr>
          <w:rFonts w:ascii="Palatino Linotype" w:hAnsi="Palatino Linotype"/>
          <w:b/>
          <w:color w:val="000000" w:themeColor="text1"/>
        </w:rPr>
        <w:t>permite que las personas ejerzan un medio de control sobre las acciones que se están ejerciendo y evaluar su desempeño</w:t>
      </w:r>
      <w:r w:rsidRPr="00A30BAC">
        <w:rPr>
          <w:rFonts w:ascii="Palatino Linotype" w:hAnsi="Palatino Linotype"/>
          <w:color w:val="000000" w:themeColor="text1"/>
        </w:rPr>
        <w:t>.</w:t>
      </w:r>
    </w:p>
    <w:p w14:paraId="2CAB5BE8" w14:textId="77777777" w:rsidR="00BA65BE" w:rsidRPr="00A30BAC"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619FC532" w14:textId="68EE2AD4" w:rsidR="00BA65BE" w:rsidRPr="00A30BAC" w:rsidRDefault="003926C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En razón de lo anterior, </w:t>
      </w:r>
      <w:r w:rsidRPr="00A30BAC">
        <w:rPr>
          <w:rFonts w:ascii="Palatino Linotype" w:hAnsi="Palatino Linotype"/>
          <w:b/>
          <w:bCs/>
          <w:color w:val="000000" w:themeColor="text1"/>
        </w:rPr>
        <w:t>no ha lugar</w:t>
      </w:r>
      <w:r w:rsidRPr="00A30BAC">
        <w:rPr>
          <w:rFonts w:ascii="Palatino Linotype" w:hAnsi="Palatino Linotype"/>
          <w:color w:val="000000" w:themeColor="text1"/>
        </w:rPr>
        <w:t xml:space="preserve"> a considerar, bajo ninguna circunstancia, que la información generada en cumplimiento de las obligaciones fiscales del Ayuntamiento de </w:t>
      </w:r>
      <w:r w:rsidR="00021913" w:rsidRPr="00A30BAC">
        <w:rPr>
          <w:rFonts w:ascii="Palatino Linotype" w:hAnsi="Palatino Linotype"/>
          <w:color w:val="000000" w:themeColor="text1"/>
        </w:rPr>
        <w:t>Villa del Carbón</w:t>
      </w:r>
      <w:r w:rsidRPr="00A30BAC">
        <w:rPr>
          <w:rFonts w:ascii="Palatino Linotype" w:hAnsi="Palatino Linotype"/>
          <w:color w:val="000000" w:themeColor="text1"/>
        </w:rPr>
        <w:t xml:space="preserve">, deba ser restringida o, peor aún, que ésta no sea </w:t>
      </w:r>
      <w:r w:rsidRPr="00A30BAC">
        <w:rPr>
          <w:rFonts w:ascii="Palatino Linotype" w:hAnsi="Palatino Linotype"/>
          <w:color w:val="000000" w:themeColor="text1"/>
        </w:rPr>
        <w:lastRenderedPageBreak/>
        <w:t xml:space="preserve">de interés público. Más aún porque, como se ha demostrado a lo largo del presente estudio, la información solicitada se relaciona con obligaciones de transparencia común que el </w:t>
      </w:r>
      <w:r w:rsidRPr="00A30BAC">
        <w:rPr>
          <w:rFonts w:ascii="Palatino Linotype" w:hAnsi="Palatino Linotype"/>
          <w:b/>
          <w:bCs/>
          <w:color w:val="000000" w:themeColor="text1"/>
        </w:rPr>
        <w:t>SUJETO OBLIGADO</w:t>
      </w:r>
      <w:r w:rsidRPr="00A30BAC">
        <w:rPr>
          <w:rFonts w:ascii="Palatino Linotype" w:hAnsi="Palatino Linotype"/>
          <w:color w:val="000000" w:themeColor="text1"/>
        </w:rPr>
        <w:t xml:space="preserve"> está</w:t>
      </w:r>
      <w:r w:rsidR="00DB5AC6" w:rsidRPr="00A30BAC">
        <w:rPr>
          <w:rFonts w:ascii="Palatino Linotype" w:hAnsi="Palatino Linotype"/>
          <w:color w:val="000000" w:themeColor="text1"/>
        </w:rPr>
        <w:t xml:space="preserve"> constreñido a publicar y difundir, de manera permanente, a la ciudadanía.</w:t>
      </w:r>
    </w:p>
    <w:p w14:paraId="5706D27C" w14:textId="77777777" w:rsidR="00DB5AC6" w:rsidRPr="00A30BAC" w:rsidRDefault="00DB5AC6" w:rsidP="00DB5AC6">
      <w:pPr>
        <w:pStyle w:val="Prrafodelista"/>
        <w:tabs>
          <w:tab w:val="left" w:pos="426"/>
        </w:tabs>
        <w:spacing w:before="240" w:after="240" w:line="360" w:lineRule="auto"/>
        <w:ind w:left="0" w:right="51"/>
        <w:jc w:val="both"/>
        <w:rPr>
          <w:rFonts w:ascii="Palatino Linotype" w:hAnsi="Palatino Linotype"/>
          <w:color w:val="000000" w:themeColor="text1"/>
        </w:rPr>
      </w:pPr>
    </w:p>
    <w:p w14:paraId="70CE1D46" w14:textId="7A340B98" w:rsidR="00DB5AC6" w:rsidRPr="00A30BAC" w:rsidRDefault="00F517F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En razón de lo anterior, por cuanto hace al agravio señalado por el </w:t>
      </w:r>
      <w:r w:rsidRPr="00A30BAC">
        <w:rPr>
          <w:rFonts w:ascii="Palatino Linotype" w:hAnsi="Palatino Linotype"/>
          <w:b/>
          <w:bCs/>
          <w:color w:val="000000" w:themeColor="text1"/>
        </w:rPr>
        <w:t>RECURRENTE</w:t>
      </w:r>
      <w:r w:rsidRPr="00A30BAC">
        <w:rPr>
          <w:rFonts w:ascii="Palatino Linotype" w:hAnsi="Palatino Linotype"/>
          <w:color w:val="000000" w:themeColor="text1"/>
        </w:rPr>
        <w:t xml:space="preserve"> a por el que se dolió porque el </w:t>
      </w:r>
      <w:r w:rsidRPr="00A30BAC">
        <w:rPr>
          <w:rFonts w:ascii="Palatino Linotype" w:hAnsi="Palatino Linotype"/>
          <w:b/>
          <w:bCs/>
          <w:color w:val="000000" w:themeColor="text1"/>
        </w:rPr>
        <w:t>SUJETO OBLIGADO</w:t>
      </w:r>
      <w:r w:rsidRPr="00A30BAC">
        <w:rPr>
          <w:rFonts w:ascii="Palatino Linotype" w:hAnsi="Palatino Linotype"/>
          <w:color w:val="000000" w:themeColor="text1"/>
        </w:rPr>
        <w:t xml:space="preserve"> no le entregó los reportes consultables en el portal ‘Visor de nómina’ del SAT, se determina </w:t>
      </w:r>
      <w:r w:rsidRPr="00A30BAC">
        <w:rPr>
          <w:rFonts w:ascii="Palatino Linotype" w:hAnsi="Palatino Linotype"/>
          <w:b/>
          <w:bCs/>
          <w:color w:val="000000" w:themeColor="text1"/>
        </w:rPr>
        <w:t>fundado</w:t>
      </w:r>
      <w:r w:rsidRPr="00A30BAC">
        <w:rPr>
          <w:rFonts w:ascii="Palatino Linotype" w:hAnsi="Palatino Linotype"/>
          <w:color w:val="000000" w:themeColor="text1"/>
        </w:rPr>
        <w:t xml:space="preserve"> y, en consecuencia, se </w:t>
      </w:r>
      <w:r w:rsidRPr="00A30BAC">
        <w:rPr>
          <w:rFonts w:ascii="Palatino Linotype" w:hAnsi="Palatino Linotype"/>
          <w:b/>
          <w:bCs/>
          <w:color w:val="000000" w:themeColor="text1"/>
        </w:rPr>
        <w:t>ordena</w:t>
      </w:r>
      <w:r w:rsidRPr="00A30BAC">
        <w:rPr>
          <w:rFonts w:ascii="Palatino Linotype" w:hAnsi="Palatino Linotype"/>
          <w:color w:val="000000" w:themeColor="text1"/>
        </w:rPr>
        <w:t xml:space="preserve"> al Ayuntamiento de </w:t>
      </w:r>
      <w:r w:rsidR="00021913" w:rsidRPr="00A30BAC">
        <w:rPr>
          <w:rFonts w:ascii="Palatino Linotype" w:hAnsi="Palatino Linotype"/>
          <w:color w:val="000000" w:themeColor="text1"/>
        </w:rPr>
        <w:t>Villa del Carbón</w:t>
      </w:r>
      <w:r w:rsidRPr="00A30BAC">
        <w:rPr>
          <w:rFonts w:ascii="Palatino Linotype" w:hAnsi="Palatino Linotype"/>
          <w:color w:val="000000" w:themeColor="text1"/>
        </w:rPr>
        <w:t xml:space="preserve"> entregar, previa búsqueda exhaustiva y razonable, los documentos solicitados, de ser procedente en versión pública.</w:t>
      </w:r>
    </w:p>
    <w:p w14:paraId="4E10ECCA" w14:textId="77777777" w:rsidR="009D2F7F" w:rsidRPr="00A30BAC" w:rsidRDefault="009D2F7F" w:rsidP="009D2F7F">
      <w:pPr>
        <w:pStyle w:val="Prrafodelista"/>
        <w:tabs>
          <w:tab w:val="left" w:pos="426"/>
        </w:tabs>
        <w:spacing w:before="240" w:after="240" w:line="360" w:lineRule="auto"/>
        <w:ind w:left="0" w:right="51"/>
        <w:jc w:val="both"/>
        <w:rPr>
          <w:rFonts w:ascii="Palatino Linotype" w:hAnsi="Palatino Linotype"/>
          <w:color w:val="000000" w:themeColor="text1"/>
        </w:rPr>
      </w:pPr>
    </w:p>
    <w:p w14:paraId="4937FE56" w14:textId="637B4B36" w:rsidR="003E1087" w:rsidRPr="00A30BAC" w:rsidRDefault="009D2F7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P</w:t>
      </w:r>
      <w:r w:rsidR="00AB133D" w:rsidRPr="00A30BAC">
        <w:rPr>
          <w:rFonts w:ascii="Palatino Linotype" w:hAnsi="Palatino Linotype"/>
          <w:color w:val="000000" w:themeColor="text1"/>
        </w:rPr>
        <w:t xml:space="preserve">or otro lado, no debe ignorarse que este Instituto ha advertido en </w:t>
      </w:r>
      <w:r w:rsidRPr="00A30BAC">
        <w:rPr>
          <w:rFonts w:ascii="Palatino Linotype" w:hAnsi="Palatino Linotype"/>
          <w:color w:val="000000" w:themeColor="text1"/>
        </w:rPr>
        <w:t xml:space="preserve">otras resoluciones </w:t>
      </w:r>
      <w:r w:rsidRPr="00A30BAC">
        <w:rPr>
          <w:rFonts w:ascii="Palatino Linotype" w:hAnsi="Palatino Linotype"/>
          <w:b/>
          <w:bCs/>
          <w:color w:val="000000" w:themeColor="text1"/>
        </w:rPr>
        <w:t>que dentro del portal</w:t>
      </w:r>
      <w:r w:rsidR="004C38EA" w:rsidRPr="00A30BAC">
        <w:rPr>
          <w:rFonts w:ascii="Palatino Linotype" w:hAnsi="Palatino Linotype"/>
          <w:b/>
          <w:bCs/>
          <w:color w:val="000000" w:themeColor="text1"/>
        </w:rPr>
        <w:t xml:space="preserve"> ‘Visor</w:t>
      </w:r>
      <w:r w:rsidR="004C38EA" w:rsidRPr="00A30BAC">
        <w:rPr>
          <w:rFonts w:ascii="Palatino Linotype" w:hAnsi="Palatino Linotype"/>
          <w:b/>
          <w:color w:val="000000" w:themeColor="text1"/>
        </w:rPr>
        <w:t xml:space="preserve"> de comprobantes de nómina’ del SAT </w:t>
      </w:r>
      <w:r w:rsidRPr="00A30BAC">
        <w:rPr>
          <w:rFonts w:ascii="Palatino Linotype" w:hAnsi="Palatino Linotype"/>
          <w:b/>
          <w:color w:val="000000" w:themeColor="text1"/>
        </w:rPr>
        <w:t>no se advierte</w:t>
      </w:r>
      <w:r w:rsidR="00F517FF" w:rsidRPr="00A30BAC">
        <w:rPr>
          <w:rFonts w:ascii="Palatino Linotype" w:hAnsi="Palatino Linotype"/>
          <w:b/>
          <w:color w:val="000000" w:themeColor="text1"/>
        </w:rPr>
        <w:t xml:space="preserve"> </w:t>
      </w:r>
      <w:r w:rsidR="00F517FF" w:rsidRPr="00A30BAC">
        <w:rPr>
          <w:rFonts w:ascii="Palatino Linotype" w:hAnsi="Palatino Linotype"/>
          <w:b/>
          <w:i/>
          <w:iCs/>
          <w:color w:val="000000" w:themeColor="text1"/>
        </w:rPr>
        <w:t>per se</w:t>
      </w:r>
      <w:r w:rsidR="004C38EA" w:rsidRPr="00A30BAC">
        <w:rPr>
          <w:rFonts w:ascii="Palatino Linotype" w:hAnsi="Palatino Linotype"/>
          <w:b/>
          <w:color w:val="000000" w:themeColor="text1"/>
        </w:rPr>
        <w:t xml:space="preserve"> un </w:t>
      </w:r>
      <w:r w:rsidR="00F517FF" w:rsidRPr="00A30BAC">
        <w:rPr>
          <w:rFonts w:ascii="Palatino Linotype" w:hAnsi="Palatino Linotype"/>
          <w:b/>
          <w:color w:val="000000" w:themeColor="text1"/>
        </w:rPr>
        <w:t>reporte</w:t>
      </w:r>
      <w:r w:rsidR="004C38EA" w:rsidRPr="00A30BAC">
        <w:rPr>
          <w:rFonts w:ascii="Palatino Linotype" w:hAnsi="Palatino Linotype"/>
          <w:b/>
          <w:color w:val="000000" w:themeColor="text1"/>
        </w:rPr>
        <w:t xml:space="preserve"> denominado </w:t>
      </w:r>
      <w:r w:rsidR="004C38EA" w:rsidRPr="00A30BAC">
        <w:rPr>
          <w:rFonts w:ascii="Palatino Linotype" w:hAnsi="Palatino Linotype"/>
          <w:b/>
          <w:i/>
          <w:color w:val="000000" w:themeColor="text1"/>
        </w:rPr>
        <w:t>Detalle diferencias sueldos y salarios</w:t>
      </w:r>
      <w:r w:rsidR="004C38EA" w:rsidRPr="00A30BAC">
        <w:rPr>
          <w:rFonts w:ascii="Palatino Linotype" w:hAnsi="Palatino Linotype"/>
          <w:color w:val="000000" w:themeColor="text1"/>
        </w:rPr>
        <w:t>.</w:t>
      </w:r>
      <w:r w:rsidR="00F517FF" w:rsidRPr="00A30BAC">
        <w:rPr>
          <w:rFonts w:ascii="Palatino Linotype" w:hAnsi="Palatino Linotype"/>
          <w:color w:val="000000" w:themeColor="text1"/>
        </w:rPr>
        <w:t xml:space="preserve"> Razón de lo anterior, si derivado de la búsqueda de la información, el </w:t>
      </w:r>
      <w:r w:rsidR="00F517FF" w:rsidRPr="00A30BAC">
        <w:rPr>
          <w:rFonts w:ascii="Palatino Linotype" w:hAnsi="Palatino Linotype"/>
          <w:b/>
          <w:bCs/>
          <w:color w:val="000000" w:themeColor="text1"/>
        </w:rPr>
        <w:t>SUEJTO OBLIGADO</w:t>
      </w:r>
      <w:r w:rsidR="00F517FF" w:rsidRPr="00A30BAC">
        <w:rPr>
          <w:rFonts w:ascii="Palatino Linotype" w:hAnsi="Palatino Linotype"/>
          <w:color w:val="000000" w:themeColor="text1"/>
        </w:rPr>
        <w:t xml:space="preserve"> determinara que no genera el reporte en comento, </w:t>
      </w:r>
      <w:r w:rsidR="00164E0E" w:rsidRPr="00A30BAC">
        <w:rPr>
          <w:rFonts w:ascii="Palatino Linotype" w:hAnsi="Palatino Linotype"/>
          <w:color w:val="000000" w:themeColor="text1"/>
        </w:rPr>
        <w:t>bastará con que lo haga del conocimiento del particular.</w:t>
      </w:r>
    </w:p>
    <w:p w14:paraId="79EFA90C" w14:textId="77777777" w:rsidR="00EF10EB" w:rsidRPr="00A30BAC"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535EEF76" w14:textId="2FB2AB05" w:rsidR="00EF10EB" w:rsidRPr="00A30BAC"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Aunado a lo anterior, </w:t>
      </w:r>
      <w:r w:rsidRPr="00A30BAC">
        <w:rPr>
          <w:rFonts w:ascii="Palatino Linotype" w:hAnsi="Palatino Linotype"/>
          <w:color w:val="000000" w:themeColor="text1"/>
          <w:lang w:val="es-ES"/>
        </w:rPr>
        <w:t xml:space="preserve">la normatividad aplicable no establece como obligatorio el uso de la herramienta denominada “Visor de nómina”; por lo tanto, si la información a la que se hace referencia no obra en los archivos del </w:t>
      </w:r>
      <w:r w:rsidRPr="00A30BAC">
        <w:rPr>
          <w:rFonts w:ascii="Palatino Linotype" w:hAnsi="Palatino Linotype"/>
          <w:b/>
          <w:color w:val="000000" w:themeColor="text1"/>
          <w:lang w:val="es-ES"/>
        </w:rPr>
        <w:t>SUJETO OBLIGADO</w:t>
      </w:r>
      <w:r w:rsidRPr="00A30BAC">
        <w:rPr>
          <w:rFonts w:ascii="Palatino Linotype" w:hAnsi="Palatino Linotype"/>
          <w:color w:val="000000" w:themeColor="text1"/>
          <w:lang w:val="es-ES"/>
        </w:rPr>
        <w:t>, bastará con que así se haga del conocimiento del particular para tener por colmado su derecho de acceso a la información.</w:t>
      </w:r>
    </w:p>
    <w:p w14:paraId="7A353A53" w14:textId="77777777" w:rsidR="00EF10EB" w:rsidRPr="00A30BAC"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67795576" w14:textId="39ADBBEF" w:rsidR="00DA4F1C" w:rsidRPr="00A30BAC" w:rsidRDefault="00EF10E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F</w:t>
      </w:r>
      <w:r w:rsidR="00DA4F1C" w:rsidRPr="00A30BAC">
        <w:rPr>
          <w:rFonts w:ascii="Palatino Linotype" w:hAnsi="Palatino Linotype"/>
          <w:color w:val="000000" w:themeColor="text1"/>
        </w:rPr>
        <w:t xml:space="preserve">inalmente, por cuanto hace a la ‘Opinión de no adeudo en el cumplimiento de obligaciones fiscales’ emitida por el Servicio de Administración Tributaria, ésta consiste </w:t>
      </w:r>
      <w:r w:rsidR="00DA4F1C" w:rsidRPr="00A30BAC">
        <w:rPr>
          <w:rFonts w:ascii="Palatino Linotype" w:hAnsi="Palatino Linotype"/>
          <w:color w:val="000000" w:themeColor="text1"/>
          <w:lang w:val="es-ES"/>
        </w:rPr>
        <w:t xml:space="preserve">en un reporte que permite consultar la situación del cumplimiento de las obligaciones fiscales al momento de la fecha de la consulta; </w:t>
      </w:r>
      <w:r w:rsidR="00DA4F1C" w:rsidRPr="00A30BAC">
        <w:rPr>
          <w:rFonts w:ascii="Palatino Linotype" w:hAnsi="Palatino Linotype"/>
          <w:i/>
          <w:color w:val="000000" w:themeColor="text1"/>
          <w:lang w:val="es-ES"/>
        </w:rPr>
        <w:t>ergo</w:t>
      </w:r>
      <w:r w:rsidR="00DA4F1C" w:rsidRPr="00A30BAC">
        <w:rPr>
          <w:rFonts w:ascii="Palatino Linotype" w:hAnsi="Palatino Linotype"/>
          <w:color w:val="000000" w:themeColor="text1"/>
          <w:lang w:val="es-ES"/>
        </w:rPr>
        <w:t xml:space="preserve">, si el </w:t>
      </w:r>
      <w:r w:rsidR="00DA4F1C" w:rsidRPr="00A30BAC">
        <w:rPr>
          <w:rFonts w:ascii="Palatino Linotype" w:hAnsi="Palatino Linotype"/>
          <w:b/>
          <w:color w:val="000000" w:themeColor="text1"/>
          <w:lang w:val="es-ES"/>
        </w:rPr>
        <w:t xml:space="preserve">SUJETO OBLIGADO, </w:t>
      </w:r>
      <w:r w:rsidR="00DA4F1C" w:rsidRPr="00A30BAC">
        <w:rPr>
          <w:rFonts w:ascii="Palatino Linotype" w:hAnsi="Palatino Linotype"/>
          <w:color w:val="000000" w:themeColor="text1"/>
          <w:lang w:val="es-ES"/>
        </w:rPr>
        <w:t xml:space="preserve">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 por ende resulta procedente ordenar la entrega del referido reporte, </w:t>
      </w:r>
    </w:p>
    <w:p w14:paraId="3D1D57C7" w14:textId="77777777" w:rsidR="00DA4F1C" w:rsidRPr="00A30BAC" w:rsidRDefault="00DA4F1C" w:rsidP="00DA4F1C">
      <w:pPr>
        <w:pStyle w:val="Prrafodelista"/>
        <w:tabs>
          <w:tab w:val="left" w:pos="426"/>
        </w:tabs>
        <w:spacing w:before="240" w:after="240" w:line="360" w:lineRule="auto"/>
        <w:ind w:left="0" w:right="51"/>
        <w:jc w:val="both"/>
        <w:rPr>
          <w:rFonts w:ascii="Palatino Linotype" w:hAnsi="Palatino Linotype"/>
          <w:color w:val="000000" w:themeColor="text1"/>
        </w:rPr>
      </w:pPr>
    </w:p>
    <w:p w14:paraId="7C156465" w14:textId="06DC5D3A" w:rsidR="00EF10EB" w:rsidRPr="00A30BAC"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lang w:val="es-ES"/>
        </w:rPr>
        <w:t>En ese sentido, no es ocioso señalar que en el portal del Servicio de Administración Tributaria se contemplan las siguientes opciones para obtener la ‘Opinión del cumplimiento de obligaciones fiscales’:</w:t>
      </w:r>
    </w:p>
    <w:p w14:paraId="670B83DA" w14:textId="77777777" w:rsidR="00EF10EB" w:rsidRPr="00A30BAC"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4EF13856" w14:textId="650E9CE1" w:rsidR="00DA4F1C" w:rsidRPr="00A30BAC" w:rsidRDefault="00DA4F1C" w:rsidP="00DA4F1C">
      <w:pPr>
        <w:pStyle w:val="Prrafodelista"/>
        <w:tabs>
          <w:tab w:val="left" w:pos="426"/>
        </w:tabs>
        <w:spacing w:before="240" w:after="240" w:line="360" w:lineRule="auto"/>
        <w:ind w:left="0" w:right="51"/>
        <w:jc w:val="center"/>
        <w:rPr>
          <w:rFonts w:ascii="Palatino Linotype" w:hAnsi="Palatino Linotype"/>
          <w:color w:val="000000" w:themeColor="text1"/>
        </w:rPr>
      </w:pPr>
      <w:r w:rsidRPr="00A30BAC">
        <w:rPr>
          <w:rFonts w:ascii="Palatino Linotype" w:eastAsia="Palatino Linotype" w:hAnsi="Palatino Linotype" w:cs="Palatino Linotype"/>
          <w:noProof/>
          <w:lang w:eastAsia="es-MX"/>
        </w:rPr>
        <w:drawing>
          <wp:inline distT="0" distB="0" distL="0" distR="0" wp14:anchorId="7CA55015" wp14:editId="42FDFB91">
            <wp:extent cx="4140000" cy="2969706"/>
            <wp:effectExtent l="57150" t="57150" r="108585" b="11684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140000" cy="29697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B12E9" w14:textId="77777777" w:rsidR="00DA4F1C" w:rsidRPr="00A30BAC"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C386B34" w14:textId="3CAF4AC5" w:rsidR="00EF10EB" w:rsidRPr="00A30BAC"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 xml:space="preserve">Por su parte, </w:t>
      </w:r>
      <w:r w:rsidRPr="00A30BAC">
        <w:rPr>
          <w:rFonts w:ascii="Palatino Linotype" w:eastAsia="Palatino Linotype" w:hAnsi="Palatino Linotype" w:cs="Palatino Linotype"/>
        </w:rPr>
        <w:t>la Resolución Miscelánea Fiscal para 2022, establece en la regla 2.1.37, el procedimiento que debe observarse para la obtención de la ‘Opinión del cumplimiento de obligaciones fiscales’, a saber:</w:t>
      </w:r>
    </w:p>
    <w:p w14:paraId="3FCE2C38" w14:textId="77777777" w:rsidR="00EF10EB" w:rsidRPr="00A30BAC"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BD43E09" w14:textId="261A8CF3" w:rsidR="00DA4F1C" w:rsidRPr="00A30BAC"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r w:rsidRPr="00A30BAC">
        <w:rPr>
          <w:rFonts w:ascii="Palatino Linotype" w:hAnsi="Palatino Linotype"/>
          <w:i/>
          <w:color w:val="000000" w:themeColor="text1"/>
          <w:sz w:val="22"/>
        </w:rPr>
        <w:t>“</w:t>
      </w:r>
      <w:r w:rsidRPr="00A30BAC">
        <w:rPr>
          <w:rFonts w:ascii="Palatino Linotype" w:hAnsi="Palatino Linotype"/>
          <w:b/>
          <w:i/>
          <w:color w:val="000000" w:themeColor="text1"/>
          <w:sz w:val="22"/>
        </w:rPr>
        <w:t>Procedimiento que debe observarse para la obtención de la opinión del cumplimiento de obligaciones fiscales</w:t>
      </w:r>
    </w:p>
    <w:p w14:paraId="639DFB40" w14:textId="77777777" w:rsidR="00DA4F1C" w:rsidRPr="00A30BAC"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p>
    <w:p w14:paraId="3EBCB033" w14:textId="631828F6" w:rsidR="00DA4F1C" w:rsidRPr="00A30BAC"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r w:rsidRPr="00A30BAC">
        <w:rPr>
          <w:rFonts w:ascii="Palatino Linotype" w:hAnsi="Palatino Linotype"/>
          <w:i/>
          <w:color w:val="000000" w:themeColor="text1"/>
          <w:sz w:val="22"/>
        </w:rPr>
        <w:t>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14:paraId="30E851B7" w14:textId="264517FC" w:rsidR="00DA4F1C" w:rsidRPr="00A30BAC"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A30BAC">
        <w:rPr>
          <w:rFonts w:ascii="Palatino Linotype" w:hAnsi="Palatino Linotype"/>
          <w:b/>
          <w:i/>
          <w:color w:val="000000" w:themeColor="text1"/>
          <w:sz w:val="22"/>
        </w:rPr>
        <w:t>I.</w:t>
      </w:r>
      <w:r w:rsidRPr="00A30BAC">
        <w:rPr>
          <w:rFonts w:ascii="Palatino Linotype" w:hAnsi="Palatino Linotype"/>
          <w:i/>
          <w:color w:val="000000" w:themeColor="text1"/>
          <w:sz w:val="22"/>
        </w:rPr>
        <w:t xml:space="preserve"> Ingresar a través del Portal del SAT, seleccionando la opción “Otros trámites y servicios”, posteriormente “Obtén tu opinión de cumplimiento de obligaciones fiscales”.</w:t>
      </w:r>
    </w:p>
    <w:p w14:paraId="4A6F2E03" w14:textId="048B847B" w:rsidR="00DA4F1C" w:rsidRPr="00A30BAC"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A30BAC">
        <w:rPr>
          <w:rFonts w:ascii="Palatino Linotype" w:hAnsi="Palatino Linotype"/>
          <w:b/>
          <w:i/>
          <w:color w:val="000000" w:themeColor="text1"/>
          <w:sz w:val="22"/>
        </w:rPr>
        <w:t xml:space="preserve">II. </w:t>
      </w:r>
      <w:r w:rsidRPr="00A30BAC">
        <w:rPr>
          <w:rFonts w:ascii="Palatino Linotype" w:hAnsi="Palatino Linotype"/>
          <w:i/>
          <w:color w:val="000000" w:themeColor="text1"/>
          <w:sz w:val="22"/>
        </w:rPr>
        <w:t xml:space="preserve">Capturar clave en el RFC y Contraseña o </w:t>
      </w:r>
      <w:proofErr w:type="spellStart"/>
      <w:r w:rsidRPr="00A30BAC">
        <w:rPr>
          <w:rFonts w:ascii="Palatino Linotype" w:hAnsi="Palatino Linotype"/>
          <w:i/>
          <w:color w:val="000000" w:themeColor="text1"/>
          <w:sz w:val="22"/>
        </w:rPr>
        <w:t>e.firma</w:t>
      </w:r>
      <w:proofErr w:type="spellEnd"/>
      <w:r w:rsidRPr="00A30BAC">
        <w:rPr>
          <w:rFonts w:ascii="Palatino Linotype" w:hAnsi="Palatino Linotype"/>
          <w:i/>
          <w:color w:val="000000" w:themeColor="text1"/>
          <w:sz w:val="22"/>
        </w:rPr>
        <w:t>.</w:t>
      </w:r>
    </w:p>
    <w:p w14:paraId="4EA0A94B" w14:textId="31E38106" w:rsidR="00DA4F1C" w:rsidRPr="00A30BAC"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A30BAC">
        <w:rPr>
          <w:rFonts w:ascii="Palatino Linotype" w:hAnsi="Palatino Linotype"/>
          <w:b/>
          <w:i/>
          <w:color w:val="000000" w:themeColor="text1"/>
          <w:sz w:val="22"/>
        </w:rPr>
        <w:t>III.</w:t>
      </w:r>
      <w:r w:rsidRPr="00A30BAC">
        <w:rPr>
          <w:rFonts w:ascii="Palatino Linotype" w:hAnsi="Palatino Linotype"/>
          <w:i/>
          <w:color w:val="000000" w:themeColor="text1"/>
          <w:sz w:val="22"/>
        </w:rPr>
        <w:t xml:space="preserve"> Una vez elegida la opción, el contribuyente podrá imprimir la opinión del cumplimiento de obligaciones fiscales.</w:t>
      </w:r>
    </w:p>
    <w:p w14:paraId="276D946A" w14:textId="1A272158" w:rsidR="00DA4F1C" w:rsidRPr="00A30BAC"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A30BAC">
        <w:rPr>
          <w:rFonts w:ascii="Palatino Linotype" w:hAnsi="Palatino Linotype"/>
          <w:b/>
          <w:i/>
          <w:color w:val="000000" w:themeColor="text1"/>
          <w:sz w:val="22"/>
        </w:rPr>
        <w:t>IV.</w:t>
      </w:r>
      <w:r w:rsidRPr="00A30BAC">
        <w:rPr>
          <w:rFonts w:ascii="Palatino Linotype" w:hAnsi="Palatino Linotype"/>
          <w:i/>
          <w:color w:val="000000" w:themeColor="text1"/>
          <w:sz w:val="22"/>
        </w:rPr>
        <w:t xml:space="preserve"> Asimismo, el contribuyente, proveedor o prestador de servicio podrá autorizar a través del Portal del SAT para que un tercero con el que desee establecer relaciones contractuales, pueda consultar su opinión del cumplimiento.”</w:t>
      </w:r>
    </w:p>
    <w:p w14:paraId="085CAA47" w14:textId="77777777" w:rsidR="00DA4F1C" w:rsidRPr="00A30BAC"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15BB754A" w14:textId="590F8116" w:rsidR="00EF10EB" w:rsidRPr="00A30BAC"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No está de más referir que la ‘Opinión del cumplimiento de obligaciones fiscales’ podrá generarse en los siguientes sentidos:</w:t>
      </w:r>
    </w:p>
    <w:p w14:paraId="42D80AD9" w14:textId="77777777" w:rsidR="00021913" w:rsidRPr="00A30BAC" w:rsidRDefault="00021913" w:rsidP="00021913">
      <w:pPr>
        <w:pStyle w:val="Prrafodelista"/>
        <w:tabs>
          <w:tab w:val="left" w:pos="426"/>
        </w:tabs>
        <w:spacing w:before="240" w:after="240"/>
        <w:ind w:left="0" w:right="51"/>
        <w:jc w:val="both"/>
        <w:rPr>
          <w:rFonts w:ascii="Palatino Linotype" w:hAnsi="Palatino Linotype"/>
          <w:color w:val="000000" w:themeColor="text1"/>
          <w:sz w:val="22"/>
          <w:szCs w:val="22"/>
        </w:rPr>
      </w:pPr>
    </w:p>
    <w:p w14:paraId="552AF490" w14:textId="75AF11D1" w:rsidR="00DA4F1C" w:rsidRPr="00A30BAC"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A30BAC">
        <w:rPr>
          <w:rFonts w:ascii="Palatino Linotype" w:hAnsi="Palatino Linotype"/>
          <w:b/>
          <w:color w:val="000000" w:themeColor="text1"/>
          <w:sz w:val="22"/>
          <w:szCs w:val="22"/>
        </w:rPr>
        <w:t>Positiva.-</w:t>
      </w:r>
      <w:r w:rsidRPr="00A30BAC">
        <w:rPr>
          <w:rFonts w:ascii="Palatino Linotype" w:hAnsi="Palatino Linotype"/>
          <w:color w:val="000000" w:themeColor="text1"/>
          <w:sz w:val="22"/>
          <w:szCs w:val="22"/>
        </w:rPr>
        <w:t xml:space="preserve"> Cuando el </w:t>
      </w:r>
      <w:r w:rsidRPr="00A30BAC">
        <w:rPr>
          <w:rFonts w:ascii="Palatino Linotype" w:hAnsi="Palatino Linotype"/>
          <w:color w:val="000000" w:themeColor="text1"/>
          <w:sz w:val="22"/>
          <w:szCs w:val="22"/>
          <w:lang w:val="es-ES"/>
        </w:rPr>
        <w:t>contribuyente esté inscrito y al corriente en el cumplimiento de las obligaciones que se consideran en los numerales 1 a 12 de esta regla.</w:t>
      </w:r>
    </w:p>
    <w:p w14:paraId="61E6177E" w14:textId="32940E35" w:rsidR="00DA4F1C" w:rsidRPr="00A30BAC"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A30BAC">
        <w:rPr>
          <w:rFonts w:ascii="Palatino Linotype" w:hAnsi="Palatino Linotype"/>
          <w:b/>
          <w:color w:val="000000" w:themeColor="text1"/>
          <w:sz w:val="22"/>
          <w:szCs w:val="22"/>
          <w:lang w:val="es-ES"/>
        </w:rPr>
        <w:t>Negativa.-</w:t>
      </w:r>
      <w:r w:rsidRPr="00A30BAC">
        <w:rPr>
          <w:rFonts w:ascii="Palatino Linotype" w:hAnsi="Palatino Linotype"/>
          <w:color w:val="000000" w:themeColor="text1"/>
          <w:sz w:val="22"/>
          <w:szCs w:val="22"/>
          <w:lang w:val="es-ES"/>
        </w:rPr>
        <w:t xml:space="preserve"> Cuando </w:t>
      </w:r>
      <w:r w:rsidRPr="00A30BAC">
        <w:rPr>
          <w:rFonts w:ascii="Palatino Linotype" w:eastAsia="Palatino Linotype" w:hAnsi="Palatino Linotype" w:cs="Palatino Linotype"/>
          <w:sz w:val="22"/>
          <w:szCs w:val="22"/>
        </w:rPr>
        <w:t>el contribuyente no esté al corriente en el cumplimiento de las obligaciones que se consideran en los numerales 1 a 12 de esta regla.</w:t>
      </w:r>
    </w:p>
    <w:p w14:paraId="74F1CBE3" w14:textId="416DBBCB" w:rsidR="00DA4F1C" w:rsidRPr="00A30BAC"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A30BAC">
        <w:rPr>
          <w:rFonts w:ascii="Palatino Linotype" w:eastAsia="Palatino Linotype" w:hAnsi="Palatino Linotype" w:cs="Palatino Linotype"/>
          <w:b/>
          <w:sz w:val="22"/>
          <w:szCs w:val="22"/>
        </w:rPr>
        <w:t>Inscrito sin obligaciones.-</w:t>
      </w:r>
      <w:r w:rsidRPr="00A30BAC">
        <w:rPr>
          <w:rFonts w:ascii="Palatino Linotype" w:eastAsia="Palatino Linotype" w:hAnsi="Palatino Linotype" w:cs="Palatino Linotype"/>
          <w:sz w:val="22"/>
          <w:szCs w:val="22"/>
        </w:rPr>
        <w:t xml:space="preserve"> Cuando el contribuyente está inscrito en el RFC pero no tiene obligaciones fiscales.</w:t>
      </w:r>
    </w:p>
    <w:p w14:paraId="63833B01" w14:textId="77777777" w:rsidR="00EF10EB" w:rsidRPr="00A30BAC"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74BC2E50" w14:textId="3718A661" w:rsidR="00EF10EB" w:rsidRPr="00A30BAC" w:rsidRDefault="00583D9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Así las cosas, el </w:t>
      </w:r>
      <w:r w:rsidRPr="00A30BAC">
        <w:rPr>
          <w:rFonts w:ascii="Palatino Linotype" w:hAnsi="Palatino Linotype"/>
          <w:b/>
          <w:color w:val="000000" w:themeColor="text1"/>
        </w:rPr>
        <w:t>SUJETO OBLIGADO</w:t>
      </w:r>
      <w:r w:rsidRPr="00A30BAC">
        <w:rPr>
          <w:rFonts w:ascii="Palatino Linotype" w:hAnsi="Palatino Linotype"/>
          <w:color w:val="000000" w:themeColor="text1"/>
        </w:rPr>
        <w:t xml:space="preserve"> deberá hacer entrega de la ‘Opinión del cumplimiento de obligaciones fiscales’ emitida por el Servicio de Administración </w:t>
      </w:r>
      <w:r w:rsidRPr="00A30BAC">
        <w:rPr>
          <w:rFonts w:ascii="Palatino Linotype" w:hAnsi="Palatino Linotype"/>
          <w:color w:val="000000" w:themeColor="text1"/>
        </w:rPr>
        <w:lastRenderedPageBreak/>
        <w:t xml:space="preserve">Tributaria, vigente a la fecha en que se presentó la solicitud de información </w:t>
      </w:r>
      <w:r w:rsidRPr="00A30BAC">
        <w:rPr>
          <w:rFonts w:ascii="Palatino Linotype" w:hAnsi="Palatino Linotype"/>
          <w:b/>
          <w:color w:val="000000" w:themeColor="text1"/>
        </w:rPr>
        <w:t>000</w:t>
      </w:r>
      <w:r w:rsidR="00021913" w:rsidRPr="00A30BAC">
        <w:rPr>
          <w:rFonts w:ascii="Palatino Linotype" w:hAnsi="Palatino Linotype"/>
          <w:b/>
          <w:color w:val="000000" w:themeColor="text1"/>
        </w:rPr>
        <w:t>42</w:t>
      </w:r>
      <w:r w:rsidRPr="00A30BAC">
        <w:rPr>
          <w:rFonts w:ascii="Palatino Linotype" w:hAnsi="Palatino Linotype"/>
          <w:b/>
          <w:color w:val="000000" w:themeColor="text1"/>
        </w:rPr>
        <w:t>/</w:t>
      </w:r>
      <w:r w:rsidR="00021913" w:rsidRPr="00A30BAC">
        <w:rPr>
          <w:rFonts w:ascii="Palatino Linotype" w:hAnsi="Palatino Linotype"/>
          <w:b/>
          <w:color w:val="000000" w:themeColor="text1"/>
        </w:rPr>
        <w:t>VICARBO</w:t>
      </w:r>
      <w:r w:rsidRPr="00A30BAC">
        <w:rPr>
          <w:rFonts w:ascii="Palatino Linotype" w:hAnsi="Palatino Linotype"/>
          <w:b/>
          <w:color w:val="000000" w:themeColor="text1"/>
        </w:rPr>
        <w:t>/IP/2022</w:t>
      </w:r>
      <w:r w:rsidRPr="00A30BAC">
        <w:rPr>
          <w:rFonts w:ascii="Palatino Linotype" w:hAnsi="Palatino Linotype"/>
          <w:color w:val="000000" w:themeColor="text1"/>
        </w:rPr>
        <w:t>, esto es, al treinta y uno (31) de enero de dos mil veintidós.</w:t>
      </w:r>
    </w:p>
    <w:p w14:paraId="37E97894" w14:textId="12C38D7A"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4112D056" w:rsidR="00164E0E" w:rsidRPr="00A30BAC" w:rsidRDefault="00452169"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A30BAC">
        <w:rPr>
          <w:rFonts w:ascii="Palatino Linotype" w:hAnsi="Palatino Linotype"/>
          <w:b/>
          <w:bCs/>
          <w:color w:val="000000" w:themeColor="text1"/>
        </w:rPr>
        <w:t>QUINTO</w:t>
      </w:r>
      <w:r w:rsidR="00164E0E" w:rsidRPr="00A30BAC">
        <w:rPr>
          <w:rFonts w:ascii="Palatino Linotype" w:hAnsi="Palatino Linotype"/>
          <w:b/>
          <w:bCs/>
          <w:color w:val="000000" w:themeColor="text1"/>
        </w:rPr>
        <w:t>. De la versión pública.</w:t>
      </w:r>
    </w:p>
    <w:p w14:paraId="3B4DA0A2"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BF8ACD"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La </w:t>
      </w:r>
      <w:r w:rsidRPr="00A30BAC">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A30BAC">
        <w:rPr>
          <w:rFonts w:ascii="Palatino Linotype" w:hAnsi="Palatino Linotype" w:cs="Arial"/>
          <w:color w:val="000000" w:themeColor="text1"/>
        </w:rPr>
        <w:lastRenderedPageBreak/>
        <w:t>establecen, y agotar el procedimiento legalmente establecido, es precisamente lo que permite acreditar el cumplimiento de los otros dos requisitos.</w:t>
      </w:r>
    </w:p>
    <w:p w14:paraId="24B1E42E"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El </w:t>
      </w:r>
      <w:r w:rsidRPr="00A30BAC">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A30BAC"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A30BAC">
        <w:rPr>
          <w:rFonts w:ascii="Palatino Linotype" w:hAnsi="Palatino Linotype"/>
          <w:b/>
          <w:bCs/>
          <w:color w:val="000000" w:themeColor="text1"/>
        </w:rPr>
        <w:t>I. Requisitos previos.</w:t>
      </w:r>
    </w:p>
    <w:p w14:paraId="00F1DCE6"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Los </w:t>
      </w:r>
      <w:r w:rsidRPr="00A30BAC">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Además, </w:t>
      </w:r>
      <w:r w:rsidRPr="00A30BAC">
        <w:rPr>
          <w:rFonts w:ascii="Palatino Linotype" w:eastAsia="MS Mincho" w:hAnsi="Palatino Linotype" w:cs="Times New Roman"/>
        </w:rPr>
        <w:t xml:space="preserve">se debe señalar el procedimiento que establecen los artículos 132 y 106 de la Ley Estatal y General, respectivamente, por el que se realiza dicha clasificación, a saber, cuando se atiende una solicitud de acceso a la información, porque lo </w:t>
      </w:r>
      <w:r w:rsidRPr="00A30BAC">
        <w:rPr>
          <w:rFonts w:ascii="Palatino Linotype" w:eastAsia="MS Mincho" w:hAnsi="Palatino Linotype" w:cs="Times New Roman"/>
        </w:rPr>
        <w:lastRenderedPageBreak/>
        <w:t>determina una autoridad competente o porque se va a generar una versión pública para cumplir con sus obligaciones.</w:t>
      </w:r>
    </w:p>
    <w:p w14:paraId="772CE3FC"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El </w:t>
      </w:r>
      <w:r w:rsidRPr="00A30BAC">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A30BAC"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A30BAC">
        <w:rPr>
          <w:rFonts w:ascii="Palatino Linotype" w:hAnsi="Palatino Linotype"/>
          <w:b/>
          <w:bCs/>
          <w:color w:val="000000" w:themeColor="text1"/>
        </w:rPr>
        <w:t>II. Supuestos de clasificación.</w:t>
      </w:r>
    </w:p>
    <w:p w14:paraId="2EED0FEF"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Las </w:t>
      </w:r>
      <w:r w:rsidRPr="00A30BAC">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5DB7F80"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Los </w:t>
      </w:r>
      <w:r w:rsidRPr="00A30BAC">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38DD84F" w14:textId="7D05BC18" w:rsidR="00164E0E" w:rsidRPr="00A30BAC"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A30BAC"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30BAC">
        <w:rPr>
          <w:rFonts w:ascii="Palatino Linotype" w:hAnsi="Palatino Linotype" w:cs="Bookman Old Style"/>
          <w:bCs/>
          <w:i/>
          <w:color w:val="000000"/>
          <w:sz w:val="22"/>
          <w:szCs w:val="22"/>
        </w:rPr>
        <w:t>“</w:t>
      </w:r>
      <w:r w:rsidRPr="00A30BAC">
        <w:rPr>
          <w:rFonts w:ascii="Palatino Linotype" w:hAnsi="Palatino Linotype" w:cs="Bookman Old Style"/>
          <w:b/>
          <w:i/>
          <w:color w:val="000000"/>
          <w:sz w:val="22"/>
          <w:szCs w:val="22"/>
        </w:rPr>
        <w:t>I.</w:t>
      </w:r>
      <w:r w:rsidRPr="00A30BAC">
        <w:rPr>
          <w:rFonts w:ascii="Palatino Linotype" w:hAnsi="Palatino Linotype" w:cs="Bookman Old Style"/>
          <w:bCs/>
          <w:i/>
          <w:color w:val="000000"/>
          <w:sz w:val="22"/>
          <w:szCs w:val="22"/>
        </w:rPr>
        <w:t xml:space="preserve"> </w:t>
      </w:r>
      <w:r w:rsidRPr="00A30BAC">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A30BAC"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30BAC">
        <w:rPr>
          <w:rFonts w:ascii="Palatino Linotype" w:hAnsi="Palatino Linotype" w:cs="Bookman Old Style"/>
          <w:b/>
          <w:i/>
          <w:color w:val="000000"/>
          <w:sz w:val="22"/>
          <w:szCs w:val="22"/>
        </w:rPr>
        <w:t>II.</w:t>
      </w:r>
      <w:r w:rsidRPr="00A30BAC">
        <w:rPr>
          <w:rFonts w:ascii="Palatino Linotype" w:hAnsi="Palatino Linotype" w:cs="Bookman Old Style"/>
          <w:bCs/>
          <w:i/>
          <w:color w:val="000000"/>
          <w:sz w:val="22"/>
          <w:szCs w:val="22"/>
        </w:rPr>
        <w:t xml:space="preserve"> </w:t>
      </w:r>
      <w:r w:rsidRPr="00A30BAC">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A30BAC"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30BAC">
        <w:rPr>
          <w:rFonts w:ascii="Palatino Linotype" w:hAnsi="Palatino Linotype" w:cs="Bookman Old Style"/>
          <w:b/>
          <w:i/>
          <w:color w:val="000000"/>
          <w:sz w:val="22"/>
          <w:szCs w:val="22"/>
        </w:rPr>
        <w:t>III.</w:t>
      </w:r>
      <w:r w:rsidRPr="00A30BAC">
        <w:rPr>
          <w:rFonts w:ascii="Palatino Linotype" w:hAnsi="Palatino Linotype" w:cs="Bookman Old Style"/>
          <w:bCs/>
          <w:i/>
          <w:color w:val="000000"/>
          <w:sz w:val="22"/>
          <w:szCs w:val="22"/>
        </w:rPr>
        <w:t xml:space="preserve"> </w:t>
      </w:r>
      <w:r w:rsidRPr="00A30BAC">
        <w:rPr>
          <w:rFonts w:ascii="Palatino Linotype" w:hAnsi="Palatino Linotype" w:cs="Bookman Old Style"/>
          <w:i/>
          <w:color w:val="000000"/>
          <w:sz w:val="22"/>
          <w:szCs w:val="22"/>
        </w:rPr>
        <w:t xml:space="preserve">La que presenten los particulares a los sujetos obligados, de conformidad con lo </w:t>
      </w:r>
      <w:r w:rsidRPr="00A30BAC">
        <w:rPr>
          <w:rFonts w:ascii="Palatino Linotype" w:hAnsi="Palatino Linotype" w:cs="Bookman Old Style"/>
          <w:i/>
          <w:color w:val="000000"/>
          <w:sz w:val="22"/>
          <w:szCs w:val="22"/>
        </w:rPr>
        <w:lastRenderedPageBreak/>
        <w:t xml:space="preserve">dispuesto por las leyes o los tratados internacionales. </w:t>
      </w:r>
    </w:p>
    <w:p w14:paraId="0761D32C" w14:textId="77777777" w:rsidR="00164E0E" w:rsidRPr="00A30BAC"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30BAC">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A30BAC"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A30BAC">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roofErr w:type="gramStart"/>
      <w:r w:rsidRPr="00A30BAC">
        <w:rPr>
          <w:rFonts w:ascii="Palatino Linotype" w:hAnsi="Palatino Linotype" w:cs="Bookman Old Style"/>
          <w:i/>
          <w:color w:val="000000"/>
          <w:sz w:val="22"/>
          <w:szCs w:val="22"/>
        </w:rPr>
        <w:t>.“</w:t>
      </w:r>
      <w:proofErr w:type="gramEnd"/>
    </w:p>
    <w:p w14:paraId="1C547D5A" w14:textId="77777777" w:rsidR="00164E0E" w:rsidRPr="00A30BAC"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2098B82"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Mientras </w:t>
      </w:r>
      <w:r w:rsidRPr="00A30BAC">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339C6CE"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A8C98BD"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Como </w:t>
      </w:r>
      <w:r w:rsidRPr="00A30BAC">
        <w:rPr>
          <w:rFonts w:ascii="Palatino Linotype" w:eastAsia="MS Mincho" w:hAnsi="Palatino Linotype" w:cs="Times New Roman"/>
        </w:rPr>
        <w:t xml:space="preserve">consecuencia de lo anterior, el </w:t>
      </w:r>
      <w:r w:rsidRPr="00A30BAC">
        <w:rPr>
          <w:rFonts w:ascii="Palatino Linotype" w:eastAsia="MS Mincho" w:hAnsi="Palatino Linotype" w:cs="Times New Roman"/>
          <w:b/>
          <w:bCs/>
        </w:rPr>
        <w:t>SUJETO OBLIGADO</w:t>
      </w:r>
      <w:r w:rsidRPr="00A30BAC">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Al </w:t>
      </w:r>
      <w:r w:rsidRPr="00A30BAC">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w:t>
      </w:r>
      <w:r w:rsidRPr="00A30BAC">
        <w:rPr>
          <w:rFonts w:ascii="Palatino Linotype" w:hAnsi="Palatino Linotype" w:cs="Arial"/>
          <w:b/>
          <w:i/>
          <w:sz w:val="22"/>
          <w:szCs w:val="22"/>
        </w:rPr>
        <w:t>Quincuagésimo.</w:t>
      </w:r>
      <w:r w:rsidRPr="00A30BAC">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b/>
          <w:i/>
          <w:sz w:val="22"/>
          <w:szCs w:val="22"/>
        </w:rPr>
        <w:lastRenderedPageBreak/>
        <w:t>Quincuagésimo primero.</w:t>
      </w:r>
      <w:r w:rsidRPr="00A30BAC">
        <w:rPr>
          <w:rFonts w:ascii="Palatino Linotype" w:hAnsi="Palatino Linotype" w:cs="Arial"/>
          <w:i/>
          <w:sz w:val="22"/>
          <w:szCs w:val="22"/>
        </w:rPr>
        <w:t xml:space="preserve"> La leyenda en los documentos clasificados indicará:</w:t>
      </w:r>
    </w:p>
    <w:p w14:paraId="7CFFA4EB"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I. La fecha de sesión del Comité de Transparencia en donde se confirmó la clasificación, en su caso;</w:t>
      </w:r>
    </w:p>
    <w:p w14:paraId="7666BF48"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II. El nombre del área;</w:t>
      </w:r>
    </w:p>
    <w:p w14:paraId="5EC52D5B"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III. La palabra reservado o confidencial;</w:t>
      </w:r>
    </w:p>
    <w:p w14:paraId="4D69F42B"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IV. Las partes o secciones reservadas o confidenciales, en su caso;</w:t>
      </w:r>
    </w:p>
    <w:p w14:paraId="74C8F5FA"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V. El fundamento legal;</w:t>
      </w:r>
    </w:p>
    <w:p w14:paraId="5C916849"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VI. El periodo de reserva, y</w:t>
      </w:r>
    </w:p>
    <w:p w14:paraId="515AAB16"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VII. La rúbrica del titular del área.</w:t>
      </w:r>
    </w:p>
    <w:p w14:paraId="1E623A6B"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b/>
          <w:i/>
          <w:sz w:val="22"/>
          <w:szCs w:val="22"/>
        </w:rPr>
        <w:t>Quincuagésimo segundo.</w:t>
      </w:r>
      <w:r w:rsidRPr="00A30BAC">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77777777" w:rsidR="00164E0E" w:rsidRPr="00A30BAC"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30BAC">
        <w:rPr>
          <w:rFonts w:ascii="Palatino Linotype" w:hAnsi="Palatino Linotype" w:cs="Arial"/>
          <w:b/>
          <w:i/>
          <w:sz w:val="22"/>
          <w:szCs w:val="22"/>
        </w:rPr>
        <w:t>Quincuagésimo tercero.</w:t>
      </w:r>
      <w:r w:rsidRPr="00A30BAC">
        <w:rPr>
          <w:rFonts w:ascii="Palatino Linotype" w:hAnsi="Palatino Linotype" w:cs="Arial"/>
          <w:i/>
          <w:sz w:val="22"/>
          <w:szCs w:val="22"/>
        </w:rPr>
        <w:t xml:space="preserve"> El formato para señalar la clasificación parcial de un documento, es el siguiente:</w:t>
      </w:r>
    </w:p>
    <w:p w14:paraId="18F333A7" w14:textId="1D293277" w:rsidR="00164E0E" w:rsidRPr="00A30BAC" w:rsidRDefault="00164E0E" w:rsidP="00A356A1">
      <w:pPr>
        <w:pStyle w:val="Prrafodelista"/>
        <w:tabs>
          <w:tab w:val="left" w:pos="426"/>
        </w:tabs>
        <w:spacing w:before="240" w:after="240" w:line="360" w:lineRule="auto"/>
        <w:ind w:left="0" w:right="51"/>
        <w:jc w:val="center"/>
        <w:rPr>
          <w:rFonts w:ascii="Palatino Linotype" w:hAnsi="Palatino Linotype"/>
          <w:color w:val="000000" w:themeColor="text1"/>
        </w:rPr>
      </w:pPr>
      <w:r w:rsidRPr="00A30BAC">
        <w:rPr>
          <w:rFonts w:ascii="Palatino Linotype" w:hAnsi="Palatino Linotype" w:cs="Arial"/>
          <w:i/>
          <w:noProof/>
          <w:lang w:eastAsia="es-MX"/>
        </w:rPr>
        <w:drawing>
          <wp:inline distT="0" distB="0" distL="0" distR="0" wp14:anchorId="2ECDD623" wp14:editId="12713C76">
            <wp:extent cx="4044226" cy="3319577"/>
            <wp:effectExtent l="38100" t="38100" r="83820" b="8445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745" cy="34086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7EB76" w14:textId="2C1F7534" w:rsidR="00164E0E" w:rsidRPr="00A30BAC"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 xml:space="preserve">Una </w:t>
      </w:r>
      <w:r w:rsidRPr="00A30BAC">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A30BAC"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A30BAC">
        <w:rPr>
          <w:rFonts w:ascii="Palatino Linotype" w:hAnsi="Palatino Linotype"/>
          <w:b/>
          <w:bCs/>
          <w:color w:val="000000" w:themeColor="text1"/>
        </w:rPr>
        <w:t>III. La intervención del Comité de Transparencia.</w:t>
      </w:r>
    </w:p>
    <w:p w14:paraId="2D652BDE" w14:textId="5790B996"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A30BAC">
        <w:rPr>
          <w:rFonts w:ascii="Palatino Linotype" w:hAnsi="Palatino Linotype"/>
          <w:b/>
          <w:bCs/>
          <w:color w:val="000000" w:themeColor="text1"/>
        </w:rPr>
        <w:t>a) Formalidades para emitir el Acuerdo de Clasificación.</w:t>
      </w:r>
    </w:p>
    <w:p w14:paraId="4A1B7AED"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El </w:t>
      </w:r>
      <w:r w:rsidRPr="00A30BAC">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Evidentemente, </w:t>
      </w:r>
      <w:r w:rsidRPr="00A30BAC">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A30BAC">
        <w:rPr>
          <w:rFonts w:ascii="Palatino Linotype" w:eastAsia="MS Mincho" w:hAnsi="Palatino Linotype" w:cs="Times New Roman"/>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La </w:t>
      </w:r>
      <w:r w:rsidRPr="00A30BAC">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9999E6A" w14:textId="4B943DF6"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A30BAC">
        <w:rPr>
          <w:rFonts w:ascii="Palatino Linotype" w:hAnsi="Palatino Linotype"/>
          <w:b/>
          <w:bCs/>
          <w:color w:val="000000" w:themeColor="text1"/>
        </w:rPr>
        <w:t>b) Requisitos de fondo del Acuerdo de Clasificación.</w:t>
      </w:r>
    </w:p>
    <w:p w14:paraId="3FD2307D"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Como </w:t>
      </w:r>
      <w:r w:rsidRPr="00A30BAC">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lastRenderedPageBreak/>
        <w:t xml:space="preserve">De </w:t>
      </w:r>
      <w:r w:rsidRPr="00A30BAC">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977327"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Han </w:t>
      </w:r>
      <w:r w:rsidRPr="00A30BAC">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A30BAC">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A30BAC">
        <w:rPr>
          <w:rFonts w:ascii="Palatino Linotype" w:eastAsia="MS Mincho" w:hAnsi="Palatino Linotype" w:cs="Times New Roman"/>
        </w:rPr>
        <w:t>.</w:t>
      </w:r>
    </w:p>
    <w:p w14:paraId="51B5632D"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Por </w:t>
      </w:r>
      <w:r w:rsidRPr="00A30BAC">
        <w:rPr>
          <w:rFonts w:ascii="Palatino Linotype" w:eastAsia="MS Mincho" w:hAnsi="Palatino Linotype" w:cs="Times New Roman"/>
        </w:rPr>
        <w:t>su parte, el intérprete judicial del país ha establecido una jurisprudencia</w:t>
      </w:r>
      <w:r w:rsidRPr="00A30BAC">
        <w:rPr>
          <w:rStyle w:val="Refdenotaalpie"/>
          <w:rFonts w:ascii="Palatino Linotype" w:eastAsia="MS Mincho" w:hAnsi="Palatino Linotype" w:cs="Times New Roman"/>
        </w:rPr>
        <w:footnoteReference w:id="21"/>
      </w:r>
      <w:r w:rsidRPr="00A30BAC">
        <w:rPr>
          <w:rFonts w:ascii="Palatino Linotype" w:eastAsia="MS Mincho" w:hAnsi="Palatino Linotype" w:cs="Times New Roman"/>
        </w:rPr>
        <w:t xml:space="preserve"> respecto a qué debe entenderse por fundamentación y motivación, en los siguientes términos:</w:t>
      </w:r>
    </w:p>
    <w:p w14:paraId="6E875890" w14:textId="1D57E699" w:rsidR="00164E0E" w:rsidRPr="00A30BAC"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A30BAC" w:rsidRDefault="00164E0E" w:rsidP="00A356A1">
      <w:pPr>
        <w:ind w:left="567" w:right="567"/>
        <w:contextualSpacing/>
        <w:jc w:val="both"/>
        <w:rPr>
          <w:rFonts w:ascii="Palatino Linotype" w:hAnsi="Palatino Linotype" w:cs="Arial"/>
          <w:i/>
          <w:color w:val="000000"/>
          <w:sz w:val="22"/>
          <w:szCs w:val="22"/>
        </w:rPr>
      </w:pPr>
      <w:r w:rsidRPr="00A30BAC">
        <w:rPr>
          <w:rFonts w:ascii="Palatino Linotype" w:hAnsi="Palatino Linotype" w:cs="Arial"/>
          <w:b/>
          <w:i/>
          <w:color w:val="000000"/>
          <w:sz w:val="22"/>
          <w:szCs w:val="22"/>
        </w:rPr>
        <w:t>FUNDAMENTACIÓN Y MOTIVACIÓN.</w:t>
      </w:r>
      <w:r w:rsidRPr="00A30BAC">
        <w:rPr>
          <w:rFonts w:ascii="Palatino Linotype" w:hAnsi="Palatino Linotype" w:cs="Arial"/>
          <w:i/>
          <w:color w:val="000000"/>
          <w:sz w:val="22"/>
          <w:szCs w:val="22"/>
        </w:rPr>
        <w:t xml:space="preserve"> “La debida fundamentación y motivación legal, deben entenderse, por lo primero, la cita del precepto legal aplicable al caso, y por </w:t>
      </w:r>
      <w:r w:rsidRPr="00A30BAC">
        <w:rPr>
          <w:rFonts w:ascii="Palatino Linotype" w:hAnsi="Palatino Linotype" w:cs="Arial"/>
          <w:i/>
          <w:color w:val="000000"/>
          <w:sz w:val="22"/>
          <w:szCs w:val="22"/>
        </w:rPr>
        <w:lastRenderedPageBreak/>
        <w:t>lo segundo, las razones, motivos o circunstancias especiales que llevaron a la autoridad a concluir que el caso particular encuadra en el supuesto previsto por la norma legal invocada como fundamento.”</w:t>
      </w:r>
    </w:p>
    <w:p w14:paraId="530E28A7" w14:textId="77777777" w:rsidR="00164E0E" w:rsidRPr="00A30BAC"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Así, </w:t>
      </w:r>
      <w:r w:rsidRPr="00A30BAC">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En </w:t>
      </w:r>
      <w:r w:rsidRPr="00A30BAC">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F1D790"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En </w:t>
      </w:r>
      <w:r w:rsidRPr="00A30BAC">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6265D043" w14:textId="77777777" w:rsidR="00164E0E" w:rsidRPr="00A30BAC"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A30BAC"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Otro </w:t>
      </w:r>
      <w:r w:rsidRPr="00A30BAC">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F1CDFA7" w14:textId="5081D087" w:rsidR="004C38EA" w:rsidRPr="00A30BAC"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1F29A7F5" w14:textId="77777777" w:rsidR="00A356A1" w:rsidRPr="00A30BAC" w:rsidRDefault="00A356A1"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3D6B09DA" w:rsidR="00953B03" w:rsidRPr="00A30BAC" w:rsidRDefault="00164E0E"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3" w:name="_Toc96002414"/>
      <w:r w:rsidRPr="00A30BAC">
        <w:rPr>
          <w:rFonts w:ascii="Palatino Linotype" w:hAnsi="Palatino Linotype"/>
          <w:b/>
          <w:bCs/>
          <w:color w:val="000000" w:themeColor="text1"/>
        </w:rPr>
        <w:lastRenderedPageBreak/>
        <w:t>S</w:t>
      </w:r>
      <w:r w:rsidR="00452169" w:rsidRPr="00A30BAC">
        <w:rPr>
          <w:rFonts w:ascii="Palatino Linotype" w:hAnsi="Palatino Linotype"/>
          <w:b/>
          <w:bCs/>
          <w:color w:val="000000" w:themeColor="text1"/>
        </w:rPr>
        <w:t>EXTO</w:t>
      </w:r>
      <w:r w:rsidR="00953B03" w:rsidRPr="00A30BAC">
        <w:rPr>
          <w:rFonts w:ascii="Palatino Linotype" w:hAnsi="Palatino Linotype"/>
          <w:b/>
          <w:bCs/>
          <w:color w:val="000000" w:themeColor="text1"/>
        </w:rPr>
        <w:t>. Decisión</w:t>
      </w:r>
      <w:bookmarkEnd w:id="23"/>
    </w:p>
    <w:p w14:paraId="2B8DED45" w14:textId="77777777" w:rsidR="00953B03" w:rsidRPr="00A30BAC"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E67D9C" w14:textId="1AA7F73B" w:rsidR="00F6300E" w:rsidRPr="00A30BAC" w:rsidRDefault="0079388C" w:rsidP="002C55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Luego de realizar un análisis exhaustivo del marco legal que recubre a la información solicitada, se </w:t>
      </w:r>
      <w:r w:rsidR="00F17282" w:rsidRPr="00A30BAC">
        <w:rPr>
          <w:rFonts w:ascii="Palatino Linotype" w:hAnsi="Palatino Linotype"/>
          <w:color w:val="000000" w:themeColor="text1"/>
        </w:rPr>
        <w:t>determinó</w:t>
      </w:r>
      <w:r w:rsidRPr="00A30BAC">
        <w:rPr>
          <w:rFonts w:ascii="Palatino Linotype" w:hAnsi="Palatino Linotype"/>
          <w:color w:val="000000" w:themeColor="text1"/>
        </w:rPr>
        <w:t xml:space="preserve"> que</w:t>
      </w:r>
      <w:r w:rsidR="00F17282" w:rsidRPr="00A30BAC">
        <w:rPr>
          <w:rFonts w:ascii="Palatino Linotype" w:hAnsi="Palatino Linotype"/>
          <w:color w:val="000000" w:themeColor="text1"/>
        </w:rPr>
        <w:t xml:space="preserve">, contrario a lo que </w:t>
      </w:r>
      <w:r w:rsidRPr="00A30BAC">
        <w:rPr>
          <w:rFonts w:ascii="Palatino Linotype" w:hAnsi="Palatino Linotype"/>
          <w:color w:val="000000" w:themeColor="text1"/>
        </w:rPr>
        <w:t xml:space="preserve">el </w:t>
      </w:r>
      <w:r w:rsidR="00A66149" w:rsidRPr="00A30BAC">
        <w:rPr>
          <w:rFonts w:ascii="Palatino Linotype" w:hAnsi="Palatino Linotype"/>
          <w:color w:val="000000" w:themeColor="text1"/>
        </w:rPr>
        <w:t xml:space="preserve">Ayuntamiento de </w:t>
      </w:r>
      <w:r w:rsidR="00A356A1" w:rsidRPr="00A30BAC">
        <w:rPr>
          <w:rFonts w:ascii="Palatino Linotype" w:hAnsi="Palatino Linotype"/>
          <w:color w:val="000000" w:themeColor="text1"/>
        </w:rPr>
        <w:t>Villa del Carbón</w:t>
      </w:r>
      <w:r w:rsidRPr="00A30BAC">
        <w:rPr>
          <w:rFonts w:ascii="Palatino Linotype" w:hAnsi="Palatino Linotype"/>
          <w:color w:val="000000" w:themeColor="text1"/>
        </w:rPr>
        <w:t xml:space="preserve"> había </w:t>
      </w:r>
      <w:r w:rsidR="00F17282" w:rsidRPr="00A30BAC">
        <w:rPr>
          <w:rFonts w:ascii="Palatino Linotype" w:hAnsi="Palatino Linotype"/>
          <w:color w:val="000000" w:themeColor="text1"/>
        </w:rPr>
        <w:t>manifestado en su respuesta y posterior informe justificado, éste e</w:t>
      </w:r>
      <w:r w:rsidR="00A356A1" w:rsidRPr="00A30BAC">
        <w:rPr>
          <w:rFonts w:ascii="Palatino Linotype" w:hAnsi="Palatino Linotype"/>
          <w:color w:val="000000" w:themeColor="text1"/>
        </w:rPr>
        <w:t>s</w:t>
      </w:r>
      <w:r w:rsidR="00F17282" w:rsidRPr="00A30BAC">
        <w:rPr>
          <w:rFonts w:ascii="Palatino Linotype" w:hAnsi="Palatino Linotype"/>
          <w:color w:val="000000" w:themeColor="text1"/>
        </w:rPr>
        <w:t xml:space="preserve"> competente para poseer, generar y administrar los reportes generados dentro del portal ‘Visor de nómina’ del Servicio de Administración Tributaria; por lo que se orden</w:t>
      </w:r>
      <w:r w:rsidR="00A356A1" w:rsidRPr="00A30BAC">
        <w:rPr>
          <w:rFonts w:ascii="Palatino Linotype" w:hAnsi="Palatino Linotype"/>
          <w:color w:val="000000" w:themeColor="text1"/>
        </w:rPr>
        <w:t>a</w:t>
      </w:r>
      <w:r w:rsidR="00F17282" w:rsidRPr="00A30BAC">
        <w:rPr>
          <w:rFonts w:ascii="Palatino Linotype" w:hAnsi="Palatino Linotype"/>
          <w:color w:val="000000" w:themeColor="text1"/>
        </w:rPr>
        <w:t xml:space="preserve"> su entrega, en versión pública de ser procedente.</w:t>
      </w:r>
    </w:p>
    <w:p w14:paraId="27DCD1E9" w14:textId="77777777" w:rsidR="002C5542" w:rsidRPr="00A30BAC" w:rsidRDefault="002C5542" w:rsidP="002C5542">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6CD1CC32" w:rsidR="00F01443" w:rsidRPr="00A30BAC"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rPr>
        <w:t xml:space="preserve">Por </w:t>
      </w:r>
      <w:r w:rsidR="0079388C" w:rsidRPr="00A30BAC">
        <w:rPr>
          <w:rFonts w:ascii="Palatino Linotype" w:hAnsi="Palatino Linotype" w:cs="Tahoma"/>
        </w:rPr>
        <w:t xml:space="preserve">lo tanto, y en mérito de lo expuesto en líneas anteriores, resultan </w:t>
      </w:r>
      <w:r w:rsidR="00F17282" w:rsidRPr="00A30BAC">
        <w:rPr>
          <w:rFonts w:ascii="Palatino Linotype" w:hAnsi="Palatino Linotype" w:cs="Tahoma"/>
        </w:rPr>
        <w:t>parcialmente fundadas</w:t>
      </w:r>
      <w:r w:rsidR="0079388C" w:rsidRPr="00A30BAC">
        <w:rPr>
          <w:rFonts w:ascii="Palatino Linotype" w:hAnsi="Palatino Linotype" w:cs="Tahoma"/>
        </w:rPr>
        <w:t xml:space="preserve"> las razones o motivos de inconformidad hechos valer por el </w:t>
      </w:r>
      <w:r w:rsidR="0079388C" w:rsidRPr="00A30BAC">
        <w:rPr>
          <w:rFonts w:ascii="Palatino Linotype" w:hAnsi="Palatino Linotype" w:cs="Tahoma"/>
          <w:b/>
        </w:rPr>
        <w:t>RECURRENTE</w:t>
      </w:r>
      <w:r w:rsidR="0079388C" w:rsidRPr="00A30BAC">
        <w:rPr>
          <w:rFonts w:ascii="Palatino Linotype" w:hAnsi="Palatino Linotype" w:cs="Tahoma"/>
        </w:rPr>
        <w:t xml:space="preserve"> dentro del recurso de revisión </w:t>
      </w:r>
      <w:r w:rsidR="00A66149" w:rsidRPr="00A30BAC">
        <w:rPr>
          <w:rFonts w:ascii="Palatino Linotype" w:hAnsi="Palatino Linotype" w:cs="Tahoma"/>
          <w:b/>
          <w:bCs/>
        </w:rPr>
        <w:t>005</w:t>
      </w:r>
      <w:r w:rsidR="00A356A1" w:rsidRPr="00A30BAC">
        <w:rPr>
          <w:rFonts w:ascii="Palatino Linotype" w:hAnsi="Palatino Linotype" w:cs="Tahoma"/>
          <w:b/>
          <w:bCs/>
        </w:rPr>
        <w:t>23</w:t>
      </w:r>
      <w:r w:rsidR="00A66149" w:rsidRPr="00A30BAC">
        <w:rPr>
          <w:rFonts w:ascii="Palatino Linotype" w:hAnsi="Palatino Linotype" w:cs="Tahoma"/>
          <w:b/>
          <w:bCs/>
        </w:rPr>
        <w:t>/INFOEM/IP/RR/2022</w:t>
      </w:r>
      <w:r w:rsidR="0079388C" w:rsidRPr="00A30BAC">
        <w:rPr>
          <w:rFonts w:ascii="Palatino Linotype" w:hAnsi="Palatino Linotype" w:cs="Tahoma"/>
        </w:rPr>
        <w:t>; por ello, y con fundamento en la fracción I</w:t>
      </w:r>
      <w:r w:rsidR="00F17282" w:rsidRPr="00A30BAC">
        <w:rPr>
          <w:rFonts w:ascii="Palatino Linotype" w:hAnsi="Palatino Linotype" w:cs="Tahoma"/>
        </w:rPr>
        <w:t>I</w:t>
      </w:r>
      <w:r w:rsidR="0079388C" w:rsidRPr="00A30BAC">
        <w:rPr>
          <w:rFonts w:ascii="Palatino Linotype" w:hAnsi="Palatino Linotype" w:cs="Tahoma"/>
        </w:rPr>
        <w:t xml:space="preserve">I del numeral 186 de la Ley de Transparencia y Acceso a la Información Pública del Estado de México y Municipios, se </w:t>
      </w:r>
      <w:r w:rsidR="00F17282" w:rsidRPr="00A30BAC">
        <w:rPr>
          <w:rFonts w:ascii="Palatino Linotype" w:hAnsi="Palatino Linotype" w:cs="Tahoma"/>
          <w:b/>
        </w:rPr>
        <w:t>MODIFICA</w:t>
      </w:r>
      <w:r w:rsidR="0079388C" w:rsidRPr="00A30BAC">
        <w:rPr>
          <w:rFonts w:ascii="Palatino Linotype" w:hAnsi="Palatino Linotype" w:cs="Tahoma"/>
        </w:rPr>
        <w:t xml:space="preserve"> la respuesta a la solicitud de información número </w:t>
      </w:r>
      <w:r w:rsidR="0079388C" w:rsidRPr="00A30BAC">
        <w:rPr>
          <w:rFonts w:ascii="Palatino Linotype" w:hAnsi="Palatino Linotype" w:cs="Tahoma"/>
          <w:b/>
        </w:rPr>
        <w:t>00</w:t>
      </w:r>
      <w:r w:rsidR="00C30C51" w:rsidRPr="00A30BAC">
        <w:rPr>
          <w:rFonts w:ascii="Palatino Linotype" w:hAnsi="Palatino Linotype" w:cs="Tahoma"/>
          <w:b/>
        </w:rPr>
        <w:t>042</w:t>
      </w:r>
      <w:r w:rsidR="0079388C" w:rsidRPr="00A30BAC">
        <w:rPr>
          <w:rFonts w:ascii="Palatino Linotype" w:hAnsi="Palatino Linotype" w:cs="Tahoma"/>
          <w:b/>
        </w:rPr>
        <w:t>/</w:t>
      </w:r>
      <w:r w:rsidR="00C30C51" w:rsidRPr="00A30BAC">
        <w:rPr>
          <w:rFonts w:ascii="Palatino Linotype" w:hAnsi="Palatino Linotype" w:cs="Tahoma"/>
          <w:b/>
        </w:rPr>
        <w:t>VICARBO</w:t>
      </w:r>
      <w:r w:rsidR="0079388C" w:rsidRPr="00A30BAC">
        <w:rPr>
          <w:rFonts w:ascii="Palatino Linotype" w:hAnsi="Palatino Linotype" w:cs="Tahoma"/>
          <w:b/>
        </w:rPr>
        <w:t>/IP/2022</w:t>
      </w:r>
      <w:r w:rsidR="0079388C" w:rsidRPr="00A30BAC">
        <w:rPr>
          <w:rFonts w:ascii="Palatino Linotype" w:hAnsi="Palatino Linotype" w:cs="Tahoma"/>
        </w:rPr>
        <w:t>.</w:t>
      </w:r>
    </w:p>
    <w:p w14:paraId="370E910A" w14:textId="77777777" w:rsidR="00F01443" w:rsidRPr="00A30BAC"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02F54612" w:rsidR="00266588" w:rsidRPr="00A30BAC"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30BAC">
        <w:rPr>
          <w:rFonts w:ascii="Palatino Linotype" w:hAnsi="Palatino Linotype"/>
          <w:color w:val="000000" w:themeColor="text1"/>
          <w:lang w:val="es-ES"/>
        </w:rPr>
        <w:t xml:space="preserve">Por </w:t>
      </w:r>
      <w:r w:rsidR="00B41516" w:rsidRPr="00A30BAC">
        <w:rPr>
          <w:rFonts w:ascii="Palatino Linotype" w:hAnsi="Palatino Linotype"/>
          <w:color w:val="000000" w:themeColor="text1"/>
        </w:rPr>
        <w:t xml:space="preserve">lo anteriormente expuesto y fundado, </w:t>
      </w:r>
      <w:r w:rsidR="003E6079" w:rsidRPr="00A30BAC">
        <w:rPr>
          <w:rFonts w:ascii="Palatino Linotype" w:hAnsi="Palatino Linotype"/>
          <w:color w:val="000000" w:themeColor="text1"/>
        </w:rPr>
        <w:t>e</w:t>
      </w:r>
      <w:r w:rsidR="00B41516" w:rsidRPr="00A30BAC">
        <w:rPr>
          <w:rFonts w:ascii="Palatino Linotype" w:hAnsi="Palatino Linotype"/>
          <w:color w:val="000000" w:themeColor="text1"/>
        </w:rPr>
        <w:t xml:space="preserve">ste </w:t>
      </w:r>
      <w:r w:rsidR="00B41516" w:rsidRPr="00A30BAC">
        <w:rPr>
          <w:rFonts w:ascii="Palatino Linotype" w:hAnsi="Palatino Linotype"/>
          <w:b/>
          <w:color w:val="000000" w:themeColor="text1"/>
        </w:rPr>
        <w:t>ÓRGANO GARANTE</w:t>
      </w:r>
      <w:r w:rsidR="00B41516" w:rsidRPr="00A30BAC">
        <w:rPr>
          <w:rFonts w:ascii="Palatino Linotype" w:hAnsi="Palatino Linotype"/>
          <w:color w:val="000000" w:themeColor="text1"/>
        </w:rPr>
        <w:t xml:space="preserve"> emite los siguientes:</w:t>
      </w:r>
      <w:r w:rsidR="003E6079" w:rsidRPr="00A30BAC">
        <w:rPr>
          <w:rFonts w:ascii="Palatino Linotype" w:hAnsi="Palatino Linotype"/>
          <w:color w:val="000000" w:themeColor="text1"/>
        </w:rPr>
        <w:t xml:space="preserve"> </w:t>
      </w:r>
    </w:p>
    <w:p w14:paraId="168DCCF9" w14:textId="77777777" w:rsidR="0098370C" w:rsidRPr="00A30BAC" w:rsidRDefault="0098370C"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A30BAC" w:rsidRDefault="009959DB" w:rsidP="009959DB">
      <w:pPr>
        <w:pStyle w:val="Ttulo1"/>
        <w:spacing w:line="360" w:lineRule="auto"/>
        <w:jc w:val="center"/>
        <w:rPr>
          <w:b/>
          <w:color w:val="000000" w:themeColor="text1"/>
          <w:szCs w:val="24"/>
        </w:rPr>
      </w:pPr>
      <w:bookmarkStart w:id="24" w:name="_Toc495427547"/>
      <w:bookmarkStart w:id="25" w:name="_Toc497905366"/>
      <w:bookmarkStart w:id="26" w:name="_Toc96002415"/>
      <w:r w:rsidRPr="00A30BAC">
        <w:rPr>
          <w:b/>
          <w:color w:val="000000" w:themeColor="text1"/>
          <w:szCs w:val="24"/>
        </w:rPr>
        <w:t>R E S O L U T I V O S</w:t>
      </w:r>
      <w:bookmarkEnd w:id="18"/>
      <w:bookmarkEnd w:id="19"/>
      <w:bookmarkEnd w:id="24"/>
      <w:bookmarkEnd w:id="25"/>
      <w:bookmarkEnd w:id="26"/>
    </w:p>
    <w:p w14:paraId="2D1E9BFB" w14:textId="2A83DBC6" w:rsidR="00F17282" w:rsidRPr="00A30BAC" w:rsidRDefault="00F17282" w:rsidP="00F17282">
      <w:pPr>
        <w:spacing w:line="360" w:lineRule="auto"/>
        <w:jc w:val="both"/>
        <w:rPr>
          <w:rFonts w:ascii="Palatino Linotype" w:eastAsia="Times New Roman" w:hAnsi="Palatino Linotype" w:cs="Times New Roman"/>
        </w:rPr>
      </w:pPr>
      <w:bookmarkStart w:id="27" w:name="_Hlk96506827"/>
      <w:r w:rsidRPr="00A30BAC">
        <w:rPr>
          <w:rFonts w:ascii="Palatino Linotype" w:eastAsia="Times New Roman" w:hAnsi="Palatino Linotype" w:cs="Arial"/>
          <w:b/>
          <w:sz w:val="28"/>
          <w:szCs w:val="28"/>
        </w:rPr>
        <w:t>PRIMERO</w:t>
      </w:r>
      <w:r w:rsidRPr="00A30BAC">
        <w:rPr>
          <w:rFonts w:ascii="Palatino Linotype" w:eastAsia="Times New Roman" w:hAnsi="Palatino Linotype" w:cs="Arial"/>
          <w:b/>
        </w:rPr>
        <w:t xml:space="preserve">. </w:t>
      </w:r>
      <w:r w:rsidRPr="00A30BAC">
        <w:rPr>
          <w:rFonts w:ascii="Palatino Linotype" w:eastAsia="Times New Roman" w:hAnsi="Palatino Linotype" w:cs="Arial"/>
        </w:rPr>
        <w:t>Resultan parcialmente fundadas las</w:t>
      </w:r>
      <w:r w:rsidRPr="00A30BAC">
        <w:rPr>
          <w:rFonts w:ascii="Palatino Linotype" w:eastAsia="Times New Roman" w:hAnsi="Palatino Linotype" w:cs="Arial"/>
          <w:b/>
        </w:rPr>
        <w:t xml:space="preserve"> </w:t>
      </w:r>
      <w:r w:rsidRPr="00A30BAC">
        <w:rPr>
          <w:rFonts w:ascii="Palatino Linotype" w:eastAsia="Times New Roman" w:hAnsi="Palatino Linotype" w:cs="Arial"/>
          <w:lang w:val="es-ES"/>
        </w:rPr>
        <w:t xml:space="preserve">razones o motivos de inconformidad hechos valer </w:t>
      </w:r>
      <w:r w:rsidRPr="00A30BAC">
        <w:rPr>
          <w:rFonts w:ascii="Palatino Linotype" w:eastAsia="Calibri" w:hAnsi="Palatino Linotype" w:cs="Arial"/>
          <w:lang w:val="es-ES"/>
        </w:rPr>
        <w:t xml:space="preserve">en el recurso de revisión </w:t>
      </w:r>
      <w:r w:rsidRPr="00A30BAC">
        <w:rPr>
          <w:rFonts w:ascii="Palatino Linotype" w:eastAsia="Times New Roman" w:hAnsi="Palatino Linotype" w:cs="Times New Roman"/>
          <w:b/>
        </w:rPr>
        <w:t>005</w:t>
      </w:r>
      <w:r w:rsidR="00C30C51" w:rsidRPr="00A30BAC">
        <w:rPr>
          <w:rFonts w:ascii="Palatino Linotype" w:eastAsia="Times New Roman" w:hAnsi="Palatino Linotype" w:cs="Times New Roman"/>
          <w:b/>
        </w:rPr>
        <w:t>23</w:t>
      </w:r>
      <w:r w:rsidRPr="00A30BAC">
        <w:rPr>
          <w:rFonts w:ascii="Palatino Linotype" w:eastAsia="Times New Roman" w:hAnsi="Palatino Linotype" w:cs="Times New Roman"/>
          <w:b/>
        </w:rPr>
        <w:t xml:space="preserve">/INFOEM/IP/RR/2022 </w:t>
      </w:r>
      <w:r w:rsidRPr="00A30BAC">
        <w:rPr>
          <w:rFonts w:ascii="Palatino Linotype" w:eastAsia="Times New Roman" w:hAnsi="Palatino Linotype" w:cs="Times New Roman"/>
        </w:rPr>
        <w:t>en términos de los</w:t>
      </w:r>
      <w:r w:rsidRPr="00A30BAC">
        <w:rPr>
          <w:rFonts w:ascii="Palatino Linotype" w:eastAsia="Times New Roman" w:hAnsi="Palatino Linotype" w:cs="Times New Roman"/>
          <w:b/>
          <w:bCs/>
        </w:rPr>
        <w:t xml:space="preserve"> Considerandos</w:t>
      </w:r>
      <w:r w:rsidRPr="00A30BAC">
        <w:rPr>
          <w:rFonts w:ascii="Palatino Linotype" w:eastAsia="Times New Roman" w:hAnsi="Palatino Linotype" w:cs="Times New Roman"/>
        </w:rPr>
        <w:t xml:space="preserve"> </w:t>
      </w:r>
      <w:r w:rsidR="00452169" w:rsidRPr="00A30BAC">
        <w:rPr>
          <w:rFonts w:ascii="Palatino Linotype" w:eastAsia="Times New Roman" w:hAnsi="Palatino Linotype" w:cs="Times New Roman"/>
          <w:b/>
          <w:bCs/>
        </w:rPr>
        <w:t>CUARTO y</w:t>
      </w:r>
      <w:r w:rsidR="00452169" w:rsidRPr="00A30BAC">
        <w:rPr>
          <w:rFonts w:ascii="Palatino Linotype" w:eastAsia="Times New Roman" w:hAnsi="Palatino Linotype" w:cs="Times New Roman"/>
        </w:rPr>
        <w:t xml:space="preserve"> </w:t>
      </w:r>
      <w:r w:rsidRPr="00A30BAC">
        <w:rPr>
          <w:rFonts w:ascii="Palatino Linotype" w:eastAsia="Times New Roman" w:hAnsi="Palatino Linotype" w:cs="Times New Roman"/>
          <w:b/>
        </w:rPr>
        <w:t>QUINTO</w:t>
      </w:r>
      <w:r w:rsidR="00AB2CAA" w:rsidRPr="00A30BAC">
        <w:rPr>
          <w:rFonts w:ascii="Palatino Linotype" w:eastAsia="Times New Roman" w:hAnsi="Palatino Linotype" w:cs="Times New Roman"/>
          <w:b/>
        </w:rPr>
        <w:t xml:space="preserve"> </w:t>
      </w:r>
      <w:r w:rsidRPr="00A30BAC">
        <w:rPr>
          <w:rFonts w:ascii="Palatino Linotype" w:eastAsia="Times New Roman" w:hAnsi="Palatino Linotype" w:cs="Times New Roman"/>
        </w:rPr>
        <w:t>de la presente resolución.</w:t>
      </w:r>
    </w:p>
    <w:p w14:paraId="0A52AFEC" w14:textId="77777777" w:rsidR="00F17282" w:rsidRPr="00A30BAC" w:rsidRDefault="00F17282" w:rsidP="00F17282">
      <w:pPr>
        <w:spacing w:line="360" w:lineRule="auto"/>
        <w:contextualSpacing/>
        <w:jc w:val="both"/>
        <w:rPr>
          <w:rFonts w:ascii="Palatino Linotype" w:eastAsia="Calibri" w:hAnsi="Palatino Linotype" w:cs="Arial"/>
          <w:b/>
          <w:bCs/>
          <w:lang w:val="es-ES"/>
        </w:rPr>
      </w:pPr>
    </w:p>
    <w:p w14:paraId="2133AC01" w14:textId="16CCA581" w:rsidR="00F17282" w:rsidRPr="00A30BAC" w:rsidRDefault="00F17282" w:rsidP="00F17282">
      <w:pPr>
        <w:spacing w:line="360" w:lineRule="auto"/>
        <w:contextualSpacing/>
        <w:jc w:val="both"/>
        <w:rPr>
          <w:rFonts w:ascii="Palatino Linotype" w:eastAsia="Times New Roman" w:hAnsi="Palatino Linotype" w:cs="Arial"/>
          <w:color w:val="000000"/>
        </w:rPr>
      </w:pPr>
      <w:r w:rsidRPr="00A30BAC">
        <w:rPr>
          <w:rFonts w:ascii="Palatino Linotype" w:eastAsia="Calibri" w:hAnsi="Palatino Linotype" w:cs="Arial"/>
          <w:b/>
          <w:bCs/>
          <w:sz w:val="28"/>
          <w:szCs w:val="28"/>
          <w:lang w:val="es-ES"/>
        </w:rPr>
        <w:lastRenderedPageBreak/>
        <w:t>SEGUNDO</w:t>
      </w:r>
      <w:r w:rsidRPr="00A30BAC">
        <w:rPr>
          <w:rFonts w:ascii="Palatino Linotype" w:eastAsia="Calibri" w:hAnsi="Palatino Linotype" w:cs="Arial"/>
          <w:b/>
          <w:bCs/>
          <w:lang w:val="es-ES"/>
        </w:rPr>
        <w:t xml:space="preserve">. </w:t>
      </w:r>
      <w:r w:rsidRPr="00A30BAC">
        <w:rPr>
          <w:rFonts w:ascii="Palatino Linotype" w:eastAsia="Calibri" w:hAnsi="Palatino Linotype" w:cs="Arial"/>
          <w:lang w:val="es-ES"/>
        </w:rPr>
        <w:t xml:space="preserve">Se </w:t>
      </w:r>
      <w:r w:rsidRPr="00A30BAC">
        <w:rPr>
          <w:rFonts w:ascii="Palatino Linotype" w:eastAsia="Calibri" w:hAnsi="Palatino Linotype" w:cs="Arial"/>
          <w:b/>
          <w:lang w:val="es-ES"/>
        </w:rPr>
        <w:t>MODIFICA</w:t>
      </w:r>
      <w:r w:rsidRPr="00A30BAC">
        <w:rPr>
          <w:rFonts w:ascii="Palatino Linotype" w:eastAsia="Calibri" w:hAnsi="Palatino Linotype" w:cs="Arial"/>
          <w:lang w:val="es-ES"/>
        </w:rPr>
        <w:t xml:space="preserve"> la respuesta emitida por el </w:t>
      </w:r>
      <w:r w:rsidRPr="00A30BAC">
        <w:rPr>
          <w:rFonts w:ascii="Palatino Linotype" w:eastAsia="Calibri" w:hAnsi="Palatino Linotype" w:cs="Arial"/>
          <w:b/>
        </w:rPr>
        <w:t xml:space="preserve">Ayuntamiento de </w:t>
      </w:r>
      <w:r w:rsidR="00C30C51" w:rsidRPr="00A30BAC">
        <w:rPr>
          <w:rFonts w:ascii="Palatino Linotype" w:eastAsia="Calibri" w:hAnsi="Palatino Linotype" w:cs="Arial"/>
          <w:b/>
        </w:rPr>
        <w:t>Villa del Carbón</w:t>
      </w:r>
      <w:r w:rsidRPr="00A30BAC">
        <w:rPr>
          <w:rFonts w:ascii="Palatino Linotype" w:eastAsia="Calibri" w:hAnsi="Palatino Linotype" w:cs="Arial"/>
          <w:bCs/>
        </w:rPr>
        <w:t xml:space="preserve"> a la solicitud </w:t>
      </w:r>
      <w:r w:rsidRPr="00A30BAC">
        <w:rPr>
          <w:rFonts w:ascii="Palatino Linotype" w:eastAsia="Calibri" w:hAnsi="Palatino Linotype" w:cs="Arial"/>
          <w:b/>
        </w:rPr>
        <w:t>000</w:t>
      </w:r>
      <w:r w:rsidR="00C30C51" w:rsidRPr="00A30BAC">
        <w:rPr>
          <w:rFonts w:ascii="Palatino Linotype" w:eastAsia="Calibri" w:hAnsi="Palatino Linotype" w:cs="Arial"/>
          <w:b/>
        </w:rPr>
        <w:t>42</w:t>
      </w:r>
      <w:r w:rsidRPr="00A30BAC">
        <w:rPr>
          <w:rFonts w:ascii="Palatino Linotype" w:eastAsia="Calibri" w:hAnsi="Palatino Linotype" w:cs="Arial"/>
          <w:b/>
        </w:rPr>
        <w:t>/</w:t>
      </w:r>
      <w:r w:rsidR="00C30C51" w:rsidRPr="00A30BAC">
        <w:rPr>
          <w:rFonts w:ascii="Palatino Linotype" w:eastAsia="Calibri" w:hAnsi="Palatino Linotype" w:cs="Arial"/>
          <w:b/>
        </w:rPr>
        <w:t>VICARBO</w:t>
      </w:r>
      <w:r w:rsidRPr="00A30BAC">
        <w:rPr>
          <w:rFonts w:ascii="Palatino Linotype" w:eastAsia="Calibri" w:hAnsi="Palatino Linotype" w:cs="Arial"/>
          <w:b/>
        </w:rPr>
        <w:t xml:space="preserve">/IP/2022 </w:t>
      </w:r>
      <w:r w:rsidRPr="00A30BAC">
        <w:rPr>
          <w:rFonts w:ascii="Palatino Linotype" w:eastAsia="Calibri" w:hAnsi="Palatino Linotype" w:cs="Arial"/>
        </w:rPr>
        <w:t xml:space="preserve">y se </w:t>
      </w:r>
      <w:r w:rsidRPr="00A30BAC">
        <w:rPr>
          <w:rFonts w:ascii="Palatino Linotype" w:eastAsia="Calibri" w:hAnsi="Palatino Linotype" w:cs="Arial"/>
          <w:b/>
        </w:rPr>
        <w:t>ORDENA</w:t>
      </w:r>
      <w:r w:rsidRPr="00A30BAC">
        <w:rPr>
          <w:rFonts w:ascii="Palatino Linotype" w:eastAsia="Calibri" w:hAnsi="Palatino Linotype" w:cs="Arial"/>
          <w:b/>
          <w:lang w:val="es-ES"/>
        </w:rPr>
        <w:t xml:space="preserve"> </w:t>
      </w:r>
      <w:r w:rsidRPr="00A30BAC">
        <w:rPr>
          <w:rFonts w:ascii="Palatino Linotype" w:eastAsia="Calibri" w:hAnsi="Palatino Linotype" w:cs="Arial"/>
          <w:lang w:val="es-ES"/>
        </w:rPr>
        <w:t xml:space="preserve">entregar, </w:t>
      </w:r>
      <w:bookmarkStart w:id="28" w:name="_Toc460947013"/>
      <w:r w:rsidRPr="00A30BAC">
        <w:rPr>
          <w:rFonts w:ascii="Palatino Linotype" w:eastAsia="Calibri" w:hAnsi="Palatino Linotype" w:cs="Arial"/>
          <w:lang w:val="es-ES"/>
        </w:rPr>
        <w:t>a través del Sistema de Acceso a la Información Pública Mexiquense (SAIMEX)</w:t>
      </w:r>
      <w:r w:rsidR="00642CAB" w:rsidRPr="00A30BAC">
        <w:rPr>
          <w:rFonts w:ascii="Palatino Linotype" w:eastAsia="Calibri" w:hAnsi="Palatino Linotype" w:cs="Arial"/>
          <w:lang w:val="es-ES"/>
        </w:rPr>
        <w:t>,</w:t>
      </w:r>
      <w:r w:rsidRPr="00A30BAC">
        <w:rPr>
          <w:rFonts w:ascii="Palatino Linotype" w:eastAsia="Times New Roman" w:hAnsi="Palatino Linotype" w:cs="Arial"/>
          <w:color w:val="000000"/>
        </w:rPr>
        <w:t xml:space="preserve"> y correo electrónico o cualquier </w:t>
      </w:r>
      <w:r w:rsidR="00642CAB" w:rsidRPr="00A30BAC">
        <w:rPr>
          <w:rFonts w:ascii="Palatino Linotype" w:eastAsia="Times New Roman" w:hAnsi="Palatino Linotype" w:cs="Arial"/>
          <w:color w:val="000000"/>
        </w:rPr>
        <w:t>otro medio electrónico,</w:t>
      </w:r>
      <w:r w:rsidRPr="00A30BAC">
        <w:rPr>
          <w:rFonts w:ascii="Palatino Linotype" w:eastAsia="Times New Roman" w:hAnsi="Palatino Linotype" w:cs="Arial"/>
          <w:color w:val="000000"/>
        </w:rPr>
        <w:t xml:space="preserve"> de ser procedente en versión pública, la siguiente información: </w:t>
      </w:r>
    </w:p>
    <w:p w14:paraId="565A6FD7" w14:textId="77777777" w:rsidR="00F17282" w:rsidRPr="00A30BAC" w:rsidRDefault="00F17282" w:rsidP="00F17282">
      <w:pPr>
        <w:spacing w:line="360" w:lineRule="auto"/>
        <w:contextualSpacing/>
        <w:jc w:val="both"/>
        <w:rPr>
          <w:rFonts w:ascii="Palatino Linotype" w:eastAsia="Times New Roman" w:hAnsi="Palatino Linotype" w:cs="Arial"/>
          <w:color w:val="000000"/>
        </w:rPr>
      </w:pPr>
    </w:p>
    <w:p w14:paraId="66815DE6" w14:textId="2EF47220" w:rsidR="00F17282" w:rsidRPr="00A30BAC" w:rsidRDefault="00F135F6" w:rsidP="00F17282">
      <w:pPr>
        <w:pStyle w:val="Prrafodelista"/>
        <w:numPr>
          <w:ilvl w:val="0"/>
          <w:numId w:val="9"/>
        </w:numPr>
        <w:spacing w:after="240" w:line="360" w:lineRule="auto"/>
        <w:ind w:left="993" w:right="567"/>
        <w:jc w:val="both"/>
        <w:rPr>
          <w:rFonts w:ascii="Palatino Linotype" w:hAnsi="Palatino Linotype"/>
          <w:b/>
          <w:bCs/>
          <w:color w:val="000000"/>
        </w:rPr>
      </w:pPr>
      <w:r w:rsidRPr="00A30BAC">
        <w:rPr>
          <w:rFonts w:ascii="Palatino Linotype" w:hAnsi="Palatino Linotype"/>
          <w:b/>
          <w:bCs/>
          <w:color w:val="000000"/>
        </w:rPr>
        <w:t>Reportes de aplicativo “Visor del SAT” por los años 2018, 2019, 2020 y 2021 en sus tres presentaciones</w:t>
      </w:r>
      <w:r w:rsidR="00642CAB" w:rsidRPr="00A30BAC">
        <w:rPr>
          <w:rFonts w:ascii="Palatino Linotype" w:hAnsi="Palatino Linotype"/>
          <w:b/>
          <w:bCs/>
          <w:color w:val="000000"/>
        </w:rPr>
        <w:t>:</w:t>
      </w:r>
    </w:p>
    <w:p w14:paraId="2A3A4F30" w14:textId="2E5F3A87" w:rsidR="00642CAB" w:rsidRPr="00A30BAC" w:rsidRDefault="00642CAB" w:rsidP="00642CAB">
      <w:pPr>
        <w:pStyle w:val="Prrafodelista"/>
        <w:numPr>
          <w:ilvl w:val="1"/>
          <w:numId w:val="9"/>
        </w:numPr>
        <w:spacing w:after="240" w:line="360" w:lineRule="auto"/>
        <w:ind w:left="1701" w:right="567"/>
        <w:jc w:val="both"/>
        <w:rPr>
          <w:rFonts w:ascii="Palatino Linotype" w:hAnsi="Palatino Linotype"/>
          <w:b/>
          <w:bCs/>
          <w:color w:val="000000"/>
        </w:rPr>
      </w:pPr>
      <w:r w:rsidRPr="00A30BAC">
        <w:rPr>
          <w:rFonts w:ascii="Palatino Linotype" w:hAnsi="Palatino Linotype"/>
          <w:b/>
          <w:bCs/>
          <w:color w:val="000000"/>
        </w:rPr>
        <w:t>Vista anual acumulada;</w:t>
      </w:r>
    </w:p>
    <w:p w14:paraId="16551055" w14:textId="47963260" w:rsidR="00642CAB" w:rsidRPr="00A30BAC" w:rsidRDefault="00642CAB" w:rsidP="00642CAB">
      <w:pPr>
        <w:pStyle w:val="Prrafodelista"/>
        <w:numPr>
          <w:ilvl w:val="1"/>
          <w:numId w:val="9"/>
        </w:numPr>
        <w:spacing w:after="240" w:line="360" w:lineRule="auto"/>
        <w:ind w:left="1701" w:right="567"/>
        <w:jc w:val="both"/>
        <w:rPr>
          <w:rFonts w:ascii="Palatino Linotype" w:hAnsi="Palatino Linotype"/>
          <w:b/>
          <w:bCs/>
          <w:color w:val="000000"/>
        </w:rPr>
      </w:pPr>
      <w:r w:rsidRPr="00A30BAC">
        <w:rPr>
          <w:rFonts w:ascii="Palatino Linotype" w:hAnsi="Palatino Linotype"/>
          <w:b/>
          <w:bCs/>
          <w:color w:val="000000"/>
        </w:rPr>
        <w:t>Detalle mensual; y</w:t>
      </w:r>
    </w:p>
    <w:p w14:paraId="506DD921" w14:textId="6912D668" w:rsidR="00C30C51" w:rsidRPr="00A30BAC" w:rsidRDefault="00642CAB" w:rsidP="00C30C51">
      <w:pPr>
        <w:pStyle w:val="Prrafodelista"/>
        <w:numPr>
          <w:ilvl w:val="1"/>
          <w:numId w:val="9"/>
        </w:numPr>
        <w:spacing w:after="240" w:line="360" w:lineRule="auto"/>
        <w:ind w:left="1701" w:right="567"/>
        <w:jc w:val="both"/>
        <w:rPr>
          <w:rFonts w:ascii="Palatino Linotype" w:hAnsi="Palatino Linotype"/>
          <w:b/>
          <w:bCs/>
          <w:color w:val="000000"/>
        </w:rPr>
      </w:pPr>
      <w:r w:rsidRPr="00A30BAC">
        <w:rPr>
          <w:rFonts w:ascii="Palatino Linotype" w:hAnsi="Palatino Linotype"/>
          <w:b/>
          <w:bCs/>
          <w:color w:val="000000"/>
        </w:rPr>
        <w:t>Detalle diferencias sueldos y salarios.</w:t>
      </w:r>
    </w:p>
    <w:p w14:paraId="77E29A45" w14:textId="46DA31C1" w:rsidR="002D129A" w:rsidRPr="00A30BAC" w:rsidRDefault="000B5036" w:rsidP="002D129A">
      <w:pPr>
        <w:pStyle w:val="Prrafodelista"/>
        <w:numPr>
          <w:ilvl w:val="0"/>
          <w:numId w:val="9"/>
        </w:numPr>
        <w:spacing w:after="240" w:line="360" w:lineRule="auto"/>
        <w:ind w:left="1134" w:right="567"/>
        <w:jc w:val="both"/>
        <w:rPr>
          <w:rFonts w:ascii="Palatino Linotype" w:hAnsi="Palatino Linotype"/>
          <w:b/>
          <w:bCs/>
          <w:color w:val="000000"/>
        </w:rPr>
      </w:pPr>
      <w:r w:rsidRPr="00A30BAC">
        <w:rPr>
          <w:rFonts w:ascii="Palatino Linotype" w:hAnsi="Palatino Linotype"/>
          <w:b/>
          <w:bCs/>
          <w:color w:val="000000"/>
        </w:rPr>
        <w:t xml:space="preserve">Opinión de no adeudo en el </w:t>
      </w:r>
      <w:r w:rsidR="00F135F6" w:rsidRPr="00A30BAC">
        <w:rPr>
          <w:rFonts w:ascii="Palatino Linotype" w:hAnsi="Palatino Linotype"/>
          <w:b/>
          <w:bCs/>
          <w:color w:val="000000"/>
        </w:rPr>
        <w:t>c</w:t>
      </w:r>
      <w:r w:rsidRPr="00A30BAC">
        <w:rPr>
          <w:rFonts w:ascii="Palatino Linotype" w:hAnsi="Palatino Linotype"/>
          <w:b/>
          <w:bCs/>
          <w:color w:val="000000"/>
        </w:rPr>
        <w:t xml:space="preserve">umplimiento de </w:t>
      </w:r>
      <w:r w:rsidR="00F135F6" w:rsidRPr="00A30BAC">
        <w:rPr>
          <w:rFonts w:ascii="Palatino Linotype" w:hAnsi="Palatino Linotype"/>
          <w:b/>
          <w:bCs/>
          <w:color w:val="000000"/>
        </w:rPr>
        <w:t>o</w:t>
      </w:r>
      <w:r w:rsidRPr="00A30BAC">
        <w:rPr>
          <w:rFonts w:ascii="Palatino Linotype" w:hAnsi="Palatino Linotype"/>
          <w:b/>
          <w:bCs/>
          <w:color w:val="000000"/>
        </w:rPr>
        <w:t xml:space="preserve">bligaciones </w:t>
      </w:r>
      <w:r w:rsidR="00F135F6" w:rsidRPr="00A30BAC">
        <w:rPr>
          <w:rFonts w:ascii="Palatino Linotype" w:hAnsi="Palatino Linotype"/>
          <w:b/>
          <w:bCs/>
          <w:color w:val="000000"/>
        </w:rPr>
        <w:t>f</w:t>
      </w:r>
      <w:r w:rsidRPr="00A30BAC">
        <w:rPr>
          <w:rFonts w:ascii="Palatino Linotype" w:hAnsi="Palatino Linotype"/>
          <w:b/>
          <w:bCs/>
          <w:color w:val="000000"/>
        </w:rPr>
        <w:t>iscales, emitida por el Servicio de Administración Tributaria</w:t>
      </w:r>
      <w:r w:rsidR="00F135F6" w:rsidRPr="00A30BAC">
        <w:rPr>
          <w:rFonts w:ascii="Palatino Linotype" w:hAnsi="Palatino Linotype"/>
          <w:b/>
          <w:bCs/>
          <w:color w:val="000000"/>
        </w:rPr>
        <w:t xml:space="preserve"> (SAT)</w:t>
      </w:r>
      <w:r w:rsidRPr="00A30BAC">
        <w:rPr>
          <w:rFonts w:ascii="Palatino Linotype" w:hAnsi="Palatino Linotype"/>
          <w:b/>
          <w:bCs/>
          <w:color w:val="000000"/>
        </w:rPr>
        <w:t xml:space="preserve">, </w:t>
      </w:r>
      <w:r w:rsidR="00F135F6" w:rsidRPr="00A30BAC">
        <w:rPr>
          <w:rFonts w:ascii="Palatino Linotype" w:hAnsi="Palatino Linotype"/>
          <w:b/>
          <w:bCs/>
          <w:color w:val="000000"/>
        </w:rPr>
        <w:t xml:space="preserve">vigente </w:t>
      </w:r>
      <w:r w:rsidRPr="00A30BAC">
        <w:rPr>
          <w:rFonts w:ascii="Palatino Linotype" w:hAnsi="Palatino Linotype"/>
          <w:b/>
          <w:bCs/>
          <w:color w:val="000000"/>
        </w:rPr>
        <w:t>al treinta y uno (31) de enero de dos mil veintidós.</w:t>
      </w:r>
    </w:p>
    <w:p w14:paraId="65E9DEDA" w14:textId="4902F1E0" w:rsidR="00F135F6" w:rsidRPr="00A30BAC" w:rsidRDefault="00F135F6" w:rsidP="002D129A">
      <w:pPr>
        <w:pStyle w:val="Prrafodelista"/>
        <w:numPr>
          <w:ilvl w:val="0"/>
          <w:numId w:val="9"/>
        </w:numPr>
        <w:spacing w:after="240" w:line="360" w:lineRule="auto"/>
        <w:ind w:left="1134" w:right="567"/>
        <w:jc w:val="both"/>
        <w:rPr>
          <w:rFonts w:ascii="Palatino Linotype" w:hAnsi="Palatino Linotype"/>
          <w:b/>
          <w:bCs/>
          <w:color w:val="000000"/>
        </w:rPr>
      </w:pPr>
      <w:r w:rsidRPr="00A30BAC">
        <w:rPr>
          <w:rFonts w:ascii="Palatino Linotype" w:hAnsi="Palatino Linotype"/>
          <w:b/>
          <w:bCs/>
          <w:color w:val="000000"/>
        </w:rPr>
        <w:t xml:space="preserve">Retención </w:t>
      </w:r>
      <w:r w:rsidRPr="00A30BAC">
        <w:rPr>
          <w:rFonts w:ascii="Palatino Linotype" w:hAnsi="Palatino Linotype" w:cs="Arial"/>
          <w:b/>
          <w:bCs/>
          <w:szCs w:val="22"/>
        </w:rPr>
        <w:t>del Impuesto Sobre la Renta por Salarios, Honorarios y Arrendamiento del periodo del 01 de enero de 2019, hasta el 31 de octubre de 2021.</w:t>
      </w:r>
    </w:p>
    <w:p w14:paraId="75637A09" w14:textId="77777777" w:rsidR="002D129A" w:rsidRPr="00A30BAC" w:rsidRDefault="002D129A" w:rsidP="002D129A">
      <w:pPr>
        <w:pStyle w:val="Prrafodelista"/>
        <w:spacing w:after="240" w:line="360" w:lineRule="auto"/>
        <w:ind w:left="1134" w:right="567"/>
        <w:jc w:val="both"/>
        <w:rPr>
          <w:rFonts w:ascii="Palatino Linotype" w:hAnsi="Palatino Linotype"/>
          <w:b/>
          <w:bCs/>
          <w:color w:val="000000"/>
        </w:rPr>
      </w:pPr>
    </w:p>
    <w:p w14:paraId="0BFC35BF" w14:textId="77777777" w:rsidR="00F17282" w:rsidRPr="00A30BAC" w:rsidRDefault="00F17282" w:rsidP="00F17282">
      <w:pPr>
        <w:tabs>
          <w:tab w:val="left" w:pos="993"/>
        </w:tabs>
        <w:spacing w:line="360" w:lineRule="auto"/>
        <w:jc w:val="both"/>
        <w:rPr>
          <w:rFonts w:ascii="Palatino Linotype" w:eastAsia="Calibri" w:hAnsi="Palatino Linotype" w:cs="Arial"/>
        </w:rPr>
      </w:pPr>
      <w:r w:rsidRPr="00A30BAC">
        <w:rPr>
          <w:rFonts w:ascii="Palatino Linotype" w:hAnsi="Palatino Linotype"/>
          <w:color w:val="000000"/>
        </w:rPr>
        <w:t xml:space="preserve">Para </w:t>
      </w:r>
      <w:r w:rsidRPr="00A30BAC">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A30BAC">
        <w:rPr>
          <w:rFonts w:ascii="Palatino Linotype" w:eastAsia="Calibri" w:hAnsi="Palatino Linotype" w:cs="Arial"/>
          <w:b/>
        </w:rPr>
        <w:t>RECURRENTE</w:t>
      </w:r>
      <w:r w:rsidRPr="00A30BAC">
        <w:rPr>
          <w:rFonts w:ascii="Palatino Linotype" w:eastAsia="Calibri" w:hAnsi="Palatino Linotype" w:cs="Arial"/>
        </w:rPr>
        <w:t>.</w:t>
      </w:r>
    </w:p>
    <w:p w14:paraId="65A69728" w14:textId="77777777" w:rsidR="00F17282" w:rsidRPr="00A30BAC" w:rsidRDefault="00F17282" w:rsidP="00F17282">
      <w:pPr>
        <w:tabs>
          <w:tab w:val="left" w:pos="993"/>
        </w:tabs>
        <w:spacing w:line="360" w:lineRule="auto"/>
        <w:jc w:val="both"/>
        <w:rPr>
          <w:rFonts w:ascii="Palatino Linotype" w:eastAsia="Calibri" w:hAnsi="Palatino Linotype" w:cs="Arial"/>
        </w:rPr>
      </w:pPr>
    </w:p>
    <w:p w14:paraId="4FBA80E0" w14:textId="5B0D8AF9" w:rsidR="00583D94" w:rsidRPr="00A30BAC" w:rsidRDefault="002D129A" w:rsidP="002D129A">
      <w:pPr>
        <w:spacing w:line="360" w:lineRule="auto"/>
        <w:ind w:right="-93"/>
        <w:jc w:val="both"/>
        <w:rPr>
          <w:rFonts w:ascii="Palatino Linotype" w:eastAsia="Calibri" w:hAnsi="Palatino Linotype" w:cs="Tahoma"/>
          <w:bCs/>
          <w:szCs w:val="22"/>
          <w:lang w:eastAsia="en-US"/>
        </w:rPr>
      </w:pPr>
      <w:r w:rsidRPr="00A30BAC">
        <w:rPr>
          <w:rFonts w:ascii="Palatino Linotype" w:eastAsia="Calibri" w:hAnsi="Palatino Linotype" w:cs="Tahoma"/>
          <w:bCs/>
          <w:szCs w:val="22"/>
          <w:lang w:eastAsia="en-US"/>
        </w:rPr>
        <w:lastRenderedPageBreak/>
        <w:t>Para la expedición de la información en medios magnéticos (con costo) y CD-ROM (con costo), el Sujeto Obligado deberá informar al Recurrente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14:paraId="70D58308" w14:textId="77777777" w:rsidR="002D129A" w:rsidRPr="00A30BAC" w:rsidRDefault="002D129A" w:rsidP="00F17282">
      <w:pPr>
        <w:tabs>
          <w:tab w:val="left" w:pos="993"/>
        </w:tabs>
        <w:spacing w:line="360" w:lineRule="auto"/>
        <w:jc w:val="both"/>
        <w:rPr>
          <w:rFonts w:ascii="Palatino Linotype" w:eastAsia="Calibri" w:hAnsi="Palatino Linotype" w:cs="Arial"/>
        </w:rPr>
      </w:pPr>
    </w:p>
    <w:p w14:paraId="40EEF70E" w14:textId="25413998" w:rsidR="00583D94" w:rsidRPr="00A30BAC" w:rsidRDefault="00583D94" w:rsidP="00F17282">
      <w:pPr>
        <w:tabs>
          <w:tab w:val="left" w:pos="993"/>
        </w:tabs>
        <w:spacing w:line="360" w:lineRule="auto"/>
        <w:jc w:val="both"/>
        <w:rPr>
          <w:rFonts w:ascii="Palatino Linotype" w:eastAsia="Calibri" w:hAnsi="Palatino Linotype" w:cs="Arial"/>
        </w:rPr>
      </w:pPr>
      <w:r w:rsidRPr="00A30BAC">
        <w:rPr>
          <w:rFonts w:ascii="Palatino Linotype" w:eastAsia="Calibri" w:hAnsi="Palatino Linotype" w:cs="Arial"/>
        </w:rPr>
        <w:t xml:space="preserve">Por otro lado, en el supuesto de que una vez agotada la búsqueda de la información que se ordena entregar en el punto </w:t>
      </w:r>
      <w:r w:rsidRPr="00A30BAC">
        <w:rPr>
          <w:rFonts w:ascii="Palatino Linotype" w:eastAsia="Calibri" w:hAnsi="Palatino Linotype" w:cs="Arial"/>
          <w:b/>
        </w:rPr>
        <w:t>1</w:t>
      </w:r>
      <w:r w:rsidRPr="00A30BAC">
        <w:rPr>
          <w:rFonts w:ascii="Palatino Linotype" w:eastAsia="Calibri" w:hAnsi="Palatino Linotype" w:cs="Arial"/>
        </w:rPr>
        <w:t xml:space="preserve">, se acredite no contar con la misma, el </w:t>
      </w:r>
      <w:r w:rsidRPr="00A30BAC">
        <w:rPr>
          <w:rFonts w:ascii="Palatino Linotype" w:eastAsia="Calibri" w:hAnsi="Palatino Linotype" w:cs="Arial"/>
          <w:b/>
        </w:rPr>
        <w:t>SUJETO OBLIGADO</w:t>
      </w:r>
      <w:r w:rsidRPr="00A30BAC">
        <w:rPr>
          <w:rFonts w:ascii="Palatino Linotype" w:eastAsia="Calibri" w:hAnsi="Palatino Linotype" w:cs="Arial"/>
        </w:rPr>
        <w:t xml:space="preserve"> deberá hacer del conocimiento del </w:t>
      </w:r>
      <w:r w:rsidRPr="00A30BAC">
        <w:rPr>
          <w:rFonts w:ascii="Palatino Linotype" w:eastAsia="Calibri" w:hAnsi="Palatino Linotype" w:cs="Arial"/>
          <w:b/>
        </w:rPr>
        <w:t>RECURRENTE</w:t>
      </w:r>
      <w:r w:rsidRPr="00A30BAC">
        <w:rPr>
          <w:rFonts w:ascii="Palatino Linotype" w:eastAsia="Calibri" w:hAnsi="Palatino Linotype" w:cs="Arial"/>
        </w:rPr>
        <w:t>, en términos del artículo 19 de la Ley de Transparencia y Acceso a la Información Pública del Estado de México y Municipios.</w:t>
      </w:r>
    </w:p>
    <w:p w14:paraId="37C60195" w14:textId="77777777" w:rsidR="00F17282" w:rsidRPr="00A30BAC" w:rsidRDefault="00F17282" w:rsidP="00F17282">
      <w:pPr>
        <w:tabs>
          <w:tab w:val="left" w:pos="993"/>
        </w:tabs>
        <w:spacing w:line="360" w:lineRule="auto"/>
        <w:ind w:right="567"/>
        <w:jc w:val="both"/>
        <w:rPr>
          <w:rFonts w:ascii="Palatino Linotype" w:eastAsia="Calibri" w:hAnsi="Palatino Linotype" w:cs="Arial"/>
        </w:rPr>
      </w:pPr>
    </w:p>
    <w:p w14:paraId="6895F55B" w14:textId="0B915BBC" w:rsidR="00F17282" w:rsidRPr="00A30BAC" w:rsidRDefault="00F17282" w:rsidP="00F17282">
      <w:pPr>
        <w:spacing w:line="360" w:lineRule="auto"/>
        <w:jc w:val="both"/>
        <w:rPr>
          <w:rFonts w:ascii="Palatino Linotype" w:eastAsia="MS Mincho" w:hAnsi="Palatino Linotype" w:cs="Times New Roman"/>
          <w:color w:val="000000"/>
        </w:rPr>
      </w:pPr>
      <w:r w:rsidRPr="00A30BAC">
        <w:rPr>
          <w:rFonts w:ascii="Palatino Linotype" w:eastAsia="MS Mincho" w:hAnsi="Palatino Linotype" w:cs="Times New Roman"/>
          <w:b/>
          <w:color w:val="000000"/>
          <w:sz w:val="28"/>
          <w:szCs w:val="28"/>
        </w:rPr>
        <w:t>TERCERO</w:t>
      </w:r>
      <w:r w:rsidRPr="00A30BAC">
        <w:rPr>
          <w:rFonts w:ascii="Palatino Linotype" w:eastAsia="MS Mincho" w:hAnsi="Palatino Linotype" w:cs="Times New Roman"/>
          <w:b/>
          <w:color w:val="000000"/>
        </w:rPr>
        <w:t>.</w:t>
      </w:r>
      <w:r w:rsidRPr="00A30BAC">
        <w:rPr>
          <w:rFonts w:ascii="Palatino Linotype" w:eastAsia="MS Mincho" w:hAnsi="Palatino Linotype" w:cs="Times New Roman"/>
          <w:color w:val="000000"/>
        </w:rPr>
        <w:t xml:space="preserve"> Notifíquese a la Titular de la Unidad de Transparencia del</w:t>
      </w:r>
      <w:r w:rsidRPr="00A30BAC">
        <w:rPr>
          <w:rFonts w:ascii="Palatino Linotype" w:eastAsia="MS Mincho" w:hAnsi="Palatino Linotype" w:cs="Times New Roman"/>
          <w:b/>
          <w:color w:val="000000"/>
        </w:rPr>
        <w:t xml:space="preserve"> SUJETO OBLIGADO</w:t>
      </w:r>
      <w:r w:rsidRPr="00A30BAC">
        <w:rPr>
          <w:rFonts w:ascii="Palatino Linotype" w:eastAsia="MS Mincho" w:hAnsi="Palatino Linotype" w:cs="Times New Roman"/>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A30BAC" w:rsidRDefault="0098370C" w:rsidP="00F17282">
      <w:pPr>
        <w:spacing w:line="360" w:lineRule="auto"/>
        <w:jc w:val="both"/>
        <w:rPr>
          <w:rFonts w:ascii="Palatino Linotype" w:eastAsia="MS Mincho" w:hAnsi="Palatino Linotype" w:cs="Times New Roman"/>
          <w:color w:val="000000"/>
        </w:rPr>
      </w:pPr>
    </w:p>
    <w:p w14:paraId="5BF2A47C" w14:textId="77777777" w:rsidR="00F17282" w:rsidRPr="00A30BAC" w:rsidRDefault="00F17282" w:rsidP="00F17282">
      <w:pPr>
        <w:spacing w:line="360" w:lineRule="auto"/>
        <w:jc w:val="both"/>
        <w:rPr>
          <w:rFonts w:ascii="Palatino Linotype" w:eastAsia="MS Mincho" w:hAnsi="Palatino Linotype" w:cs="Times New Roman"/>
          <w:color w:val="000000"/>
        </w:rPr>
      </w:pPr>
      <w:r w:rsidRPr="00A30BAC">
        <w:rPr>
          <w:rFonts w:ascii="Palatino Linotype" w:eastAsia="MS Mincho" w:hAnsi="Palatino Linotype" w:cs="Times New Roman"/>
          <w:b/>
          <w:bCs/>
          <w:color w:val="000000"/>
          <w:sz w:val="28"/>
          <w:szCs w:val="28"/>
        </w:rPr>
        <w:t>CUARTO</w:t>
      </w:r>
      <w:r w:rsidRPr="00A30BAC">
        <w:rPr>
          <w:rFonts w:ascii="Palatino Linotype" w:eastAsia="MS Mincho" w:hAnsi="Palatino Linotype" w:cs="Times New Roman"/>
          <w:b/>
          <w:bCs/>
          <w:color w:val="000000"/>
        </w:rPr>
        <w:t>.</w:t>
      </w:r>
      <w:r w:rsidRPr="00A30BAC">
        <w:rPr>
          <w:rFonts w:ascii="Palatino Linotype" w:eastAsia="MS Mincho" w:hAnsi="Palatino Linotype" w:cs="Times New Roman"/>
          <w:color w:val="000000"/>
        </w:rPr>
        <w:t xml:space="preserve"> De </w:t>
      </w:r>
      <w:r w:rsidRPr="00A30BAC">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A30BAC">
        <w:rPr>
          <w:rFonts w:ascii="Palatino Linotype" w:eastAsia="MS Mincho" w:hAnsi="Palatino Linotype" w:cs="Times New Roman"/>
          <w:b/>
          <w:color w:val="000000"/>
        </w:rPr>
        <w:t>SUJETO OBLIGADO</w:t>
      </w:r>
      <w:r w:rsidRPr="00A30BAC">
        <w:rPr>
          <w:rFonts w:ascii="Palatino Linotype" w:eastAsia="MS Mincho" w:hAnsi="Palatino Linotype" w:cs="Times New Roman"/>
          <w:bCs/>
          <w:color w:val="000000"/>
        </w:rPr>
        <w:t xml:space="preserve"> podrá solicitar una ampliación de plazo para el cumplimiento de la presente resolución.</w:t>
      </w:r>
    </w:p>
    <w:p w14:paraId="069D0FA1" w14:textId="77777777" w:rsidR="00F17282" w:rsidRPr="00A30BAC" w:rsidRDefault="00F17282" w:rsidP="00F17282">
      <w:pPr>
        <w:spacing w:line="360" w:lineRule="auto"/>
        <w:jc w:val="both"/>
        <w:rPr>
          <w:rFonts w:ascii="Palatino Linotype" w:eastAsia="MS Mincho" w:hAnsi="Palatino Linotype" w:cs="Times New Roman"/>
          <w:color w:val="000000"/>
        </w:rPr>
      </w:pPr>
    </w:p>
    <w:p w14:paraId="526D3A27" w14:textId="68D7BDB6" w:rsidR="00F17282" w:rsidRPr="00A30BAC" w:rsidRDefault="00F17282" w:rsidP="00F17282">
      <w:pPr>
        <w:spacing w:line="360" w:lineRule="auto"/>
        <w:jc w:val="both"/>
        <w:rPr>
          <w:rFonts w:ascii="Palatino Linotype" w:eastAsia="MS Mincho" w:hAnsi="Palatino Linotype" w:cs="Times New Roman"/>
          <w:color w:val="000000"/>
        </w:rPr>
      </w:pPr>
      <w:r w:rsidRPr="00A30BAC">
        <w:rPr>
          <w:rFonts w:ascii="Palatino Linotype" w:eastAsia="MS Mincho" w:hAnsi="Palatino Linotype" w:cs="Times New Roman"/>
          <w:b/>
          <w:color w:val="000000"/>
          <w:sz w:val="28"/>
          <w:szCs w:val="28"/>
        </w:rPr>
        <w:t>QUINTO</w:t>
      </w:r>
      <w:r w:rsidRPr="00A30BAC">
        <w:rPr>
          <w:rFonts w:ascii="Palatino Linotype" w:eastAsia="MS Mincho" w:hAnsi="Palatino Linotype" w:cs="Times New Roman"/>
          <w:b/>
          <w:color w:val="000000"/>
        </w:rPr>
        <w:t xml:space="preserve">. </w:t>
      </w:r>
      <w:r w:rsidRPr="00A30BAC">
        <w:rPr>
          <w:rFonts w:ascii="Palatino Linotype" w:eastAsia="MS Mincho" w:hAnsi="Palatino Linotype" w:cs="Times New Roman"/>
          <w:color w:val="000000"/>
        </w:rPr>
        <w:t xml:space="preserve">Notifíquese al </w:t>
      </w:r>
      <w:r w:rsidRPr="00A30BAC">
        <w:rPr>
          <w:rFonts w:ascii="Palatino Linotype" w:eastAsia="MS Mincho" w:hAnsi="Palatino Linotype" w:cs="Times New Roman"/>
          <w:b/>
          <w:bCs/>
          <w:color w:val="000000"/>
        </w:rPr>
        <w:t>RECURRENTE</w:t>
      </w:r>
      <w:r w:rsidRPr="00A30BAC">
        <w:rPr>
          <w:rFonts w:ascii="Palatino Linotype" w:eastAsia="MS Mincho" w:hAnsi="Palatino Linotype" w:cs="Times New Roman"/>
          <w:bCs/>
          <w:color w:val="000000"/>
        </w:rPr>
        <w:t>, vía Sistema de Acceso a la Información Mexiquense (SAIMEX)</w:t>
      </w:r>
      <w:r w:rsidR="00584FBE" w:rsidRPr="00A30BAC">
        <w:rPr>
          <w:rFonts w:ascii="Palatino Linotype" w:eastAsia="MS Mincho" w:hAnsi="Palatino Linotype" w:cs="Times New Roman"/>
          <w:bCs/>
          <w:color w:val="000000"/>
        </w:rPr>
        <w:t xml:space="preserve"> y correo electrónico</w:t>
      </w:r>
      <w:r w:rsidRPr="00A30BAC">
        <w:rPr>
          <w:rFonts w:ascii="Palatino Linotype" w:eastAsia="MS Mincho" w:hAnsi="Palatino Linotype" w:cs="Times New Roman"/>
          <w:bCs/>
          <w:color w:val="000000"/>
        </w:rPr>
        <w:t>,</w:t>
      </w:r>
      <w:r w:rsidRPr="00A30BAC">
        <w:rPr>
          <w:rFonts w:ascii="Palatino Linotype" w:eastAsia="MS Mincho" w:hAnsi="Palatino Linotype" w:cs="Times New Roman"/>
          <w:color w:val="000000"/>
        </w:rPr>
        <w:t xml:space="preserve"> la presente resolución.</w:t>
      </w:r>
    </w:p>
    <w:p w14:paraId="435CB984" w14:textId="77777777" w:rsidR="00F17282" w:rsidRPr="00A30BAC" w:rsidRDefault="00F17282" w:rsidP="00F17282">
      <w:pPr>
        <w:spacing w:line="360" w:lineRule="auto"/>
        <w:jc w:val="both"/>
        <w:rPr>
          <w:rFonts w:ascii="Palatino Linotype" w:hAnsi="Palatino Linotype"/>
          <w:b/>
        </w:rPr>
      </w:pPr>
    </w:p>
    <w:p w14:paraId="5745E481" w14:textId="2AA298D8" w:rsidR="00F17282" w:rsidRPr="00A30BAC" w:rsidRDefault="00F17282" w:rsidP="00F17282">
      <w:pPr>
        <w:spacing w:line="360" w:lineRule="auto"/>
        <w:jc w:val="both"/>
        <w:rPr>
          <w:rFonts w:ascii="Palatino Linotype" w:eastAsia="MS Mincho" w:hAnsi="Palatino Linotype" w:cs="Times New Roman"/>
          <w:color w:val="000000"/>
          <w:lang w:val="es-ES"/>
        </w:rPr>
      </w:pPr>
      <w:r w:rsidRPr="00A30BAC">
        <w:rPr>
          <w:rFonts w:ascii="Palatino Linotype" w:eastAsia="MS Mincho" w:hAnsi="Palatino Linotype" w:cs="Times New Roman"/>
          <w:b/>
          <w:sz w:val="28"/>
          <w:szCs w:val="28"/>
        </w:rPr>
        <w:t>SEXTO</w:t>
      </w:r>
      <w:r w:rsidRPr="00A30BAC">
        <w:rPr>
          <w:rFonts w:ascii="Palatino Linotype" w:eastAsia="MS Mincho" w:hAnsi="Palatino Linotype" w:cs="Times New Roman"/>
          <w:b/>
          <w:color w:val="000000"/>
        </w:rPr>
        <w:t xml:space="preserve">. </w:t>
      </w:r>
      <w:r w:rsidRPr="00A30BAC">
        <w:rPr>
          <w:rFonts w:ascii="Palatino Linotype" w:eastAsia="MS Mincho" w:hAnsi="Palatino Linotype" w:cs="Times New Roman"/>
          <w:color w:val="000000"/>
        </w:rPr>
        <w:t xml:space="preserve">Se hace del conocimiento del </w:t>
      </w:r>
      <w:r w:rsidRPr="00A30BAC">
        <w:rPr>
          <w:rFonts w:ascii="Palatino Linotype" w:eastAsia="MS Mincho" w:hAnsi="Palatino Linotype" w:cs="Times New Roman"/>
          <w:b/>
          <w:bCs/>
          <w:color w:val="000000"/>
        </w:rPr>
        <w:t>RECURRENTE</w:t>
      </w:r>
      <w:r w:rsidRPr="00A30BAC">
        <w:rPr>
          <w:rFonts w:ascii="Palatino Linotype" w:hAnsi="Palatino Linotype"/>
          <w:b/>
        </w:rPr>
        <w:t xml:space="preserve"> </w:t>
      </w:r>
      <w:r w:rsidRPr="00A30BAC">
        <w:rPr>
          <w:rFonts w:ascii="Palatino Linotype" w:eastAsia="MS Mincho" w:hAnsi="Palatino Linotype" w:cs="Times New Roman"/>
          <w:color w:val="000000"/>
        </w:rPr>
        <w:t xml:space="preserve">que, </w:t>
      </w:r>
      <w:bookmarkEnd w:id="28"/>
      <w:r w:rsidRPr="00A30BAC">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A30BAC">
        <w:rPr>
          <w:rFonts w:ascii="Palatino Linotype" w:eastAsia="MS Mincho" w:hAnsi="Palatino Linotype" w:cs="Times New Roman"/>
          <w:bCs/>
          <w:color w:val="000000"/>
          <w:lang w:val="es-ES"/>
        </w:rPr>
        <w:t xml:space="preserve">juicio de amparo </w:t>
      </w:r>
      <w:r w:rsidRPr="00A30BAC">
        <w:rPr>
          <w:rFonts w:ascii="Palatino Linotype" w:eastAsia="MS Mincho" w:hAnsi="Palatino Linotype" w:cs="Times New Roman"/>
          <w:color w:val="000000"/>
          <w:lang w:val="es-ES"/>
        </w:rPr>
        <w:t>en los términos de las Leyes aplicables.</w:t>
      </w:r>
    </w:p>
    <w:p w14:paraId="5CCE698B" w14:textId="77777777" w:rsidR="00044272" w:rsidRPr="00A30BAC" w:rsidRDefault="00044272" w:rsidP="00F17282">
      <w:pPr>
        <w:spacing w:line="360" w:lineRule="auto"/>
        <w:jc w:val="both"/>
        <w:rPr>
          <w:rFonts w:ascii="Palatino Linotype" w:eastAsia="MS Mincho" w:hAnsi="Palatino Linotype" w:cs="Times New Roman"/>
          <w:color w:val="000000"/>
          <w:lang w:val="es-ES"/>
        </w:rPr>
      </w:pPr>
    </w:p>
    <w:bookmarkEnd w:id="27"/>
    <w:p w14:paraId="4676F629" w14:textId="77777777" w:rsidR="00044272" w:rsidRDefault="00044272" w:rsidP="00044272">
      <w:pPr>
        <w:spacing w:before="240" w:after="240" w:line="360" w:lineRule="auto"/>
        <w:jc w:val="both"/>
        <w:rPr>
          <w:rFonts w:ascii="Palatino Linotype" w:hAnsi="Palatino Linotype"/>
        </w:rPr>
      </w:pPr>
      <w:r w:rsidRPr="00A30BA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(10) DE AGOSTO DE DOS MIL VEINTIDÓS, ANTE EL SECRETARIO TÉCNICO DEL PLENO ALEXIS TAPIA RAMÍREZ.</w:t>
      </w:r>
      <w:bookmarkStart w:id="29" w:name="_GoBack"/>
      <w:bookmarkEnd w:id="29"/>
      <w:r w:rsidRPr="00624AAD">
        <w:rPr>
          <w:rFonts w:ascii="Palatino Linotype" w:hAnsi="Palatino Linotype"/>
        </w:rPr>
        <w:t xml:space="preserve"> </w:t>
      </w:r>
    </w:p>
    <w:p w14:paraId="7EFA4F21" w14:textId="16F169DD" w:rsidR="00895335" w:rsidRDefault="00895335" w:rsidP="00044272">
      <w:pPr>
        <w:spacing w:before="240" w:after="240" w:line="360" w:lineRule="auto"/>
        <w:ind w:firstLine="1"/>
        <w:jc w:val="both"/>
        <w:rPr>
          <w:rFonts w:ascii="Palatino Linotype" w:hAnsi="Palatino Linotype" w:cs="Arial"/>
          <w:color w:val="000000" w:themeColor="text1"/>
        </w:rPr>
      </w:pPr>
    </w:p>
    <w:sectPr w:rsidR="00895335" w:rsidSect="00472C41">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33671" w14:textId="77777777" w:rsidR="00533B7A" w:rsidRDefault="00533B7A" w:rsidP="00587366">
      <w:r>
        <w:separator/>
      </w:r>
    </w:p>
  </w:endnote>
  <w:endnote w:type="continuationSeparator" w:id="0">
    <w:p w14:paraId="5379D064" w14:textId="77777777" w:rsidR="00533B7A" w:rsidRDefault="00533B7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7532F4" w:rsidRPr="00883450" w:rsidRDefault="007532F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30BAC">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30BAC">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47B193F0" w:rsidR="007532F4" w:rsidRDefault="007532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7532F4" w:rsidRPr="00883450" w:rsidRDefault="007532F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30BAC" w:rsidRPr="00A30BA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30BAC" w:rsidRPr="00A30BAC">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0A9A2B26" w:rsidR="007532F4" w:rsidRPr="00883450" w:rsidRDefault="007532F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A9389" w14:textId="77777777" w:rsidR="00533B7A" w:rsidRDefault="00533B7A" w:rsidP="00587366">
      <w:r>
        <w:separator/>
      </w:r>
    </w:p>
  </w:footnote>
  <w:footnote w:type="continuationSeparator" w:id="0">
    <w:p w14:paraId="73CBADED" w14:textId="77777777" w:rsidR="00533B7A" w:rsidRDefault="00533B7A" w:rsidP="00587366">
      <w:r>
        <w:continuationSeparator/>
      </w:r>
    </w:p>
  </w:footnote>
  <w:footnote w:id="1">
    <w:p w14:paraId="3EC297E2" w14:textId="77777777" w:rsidR="007532F4" w:rsidRPr="009C43C2" w:rsidRDefault="007532F4"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7532F4" w:rsidRPr="009C43C2" w:rsidRDefault="007532F4"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7532F4" w:rsidRPr="009C43C2" w:rsidRDefault="007532F4"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7532F4" w:rsidRDefault="007532F4"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20CDED0F" w14:textId="77777777" w:rsidR="007532F4" w:rsidRDefault="007532F4" w:rsidP="008764FB">
      <w:pPr>
        <w:pStyle w:val="Textonotapie"/>
      </w:pPr>
      <w:r>
        <w:rPr>
          <w:rStyle w:val="Refdenotaalpie"/>
        </w:rPr>
        <w:footnoteRef/>
      </w:r>
      <w:r>
        <w:t xml:space="preserve"> Artículo 50, Ley de Transparencia y Acceso a la Información Pública del Estado de México y Municipios.</w:t>
      </w:r>
    </w:p>
  </w:footnote>
  <w:footnote w:id="6">
    <w:p w14:paraId="170C1944" w14:textId="77777777" w:rsidR="007532F4" w:rsidRDefault="007532F4" w:rsidP="008764FB">
      <w:pPr>
        <w:pStyle w:val="Textonotapie"/>
      </w:pPr>
      <w:r>
        <w:rPr>
          <w:rStyle w:val="Refdenotaalpie"/>
        </w:rPr>
        <w:footnoteRef/>
      </w:r>
      <w:r>
        <w:t xml:space="preserve"> Artículo 51, Ídem.</w:t>
      </w:r>
    </w:p>
  </w:footnote>
  <w:footnote w:id="7">
    <w:p w14:paraId="4631FDC0" w14:textId="77777777" w:rsidR="007532F4" w:rsidRDefault="007532F4" w:rsidP="008764FB">
      <w:pPr>
        <w:pStyle w:val="Textonotapie"/>
      </w:pPr>
      <w:r>
        <w:rPr>
          <w:rStyle w:val="Refdenotaalpie"/>
        </w:rPr>
        <w:footnoteRef/>
      </w:r>
      <w:r>
        <w:t xml:space="preserve"> Artículo 58, Ley de Transparencia y Acceso a la Información Pública del Estado de México y Municipios.</w:t>
      </w:r>
    </w:p>
  </w:footnote>
  <w:footnote w:id="8">
    <w:p w14:paraId="06E0837F" w14:textId="77777777" w:rsidR="007532F4" w:rsidRDefault="007532F4" w:rsidP="008764FB">
      <w:pPr>
        <w:pStyle w:val="Textonotapie"/>
      </w:pPr>
      <w:r>
        <w:rPr>
          <w:rStyle w:val="Refdenotaalpie"/>
        </w:rPr>
        <w:footnoteRef/>
      </w:r>
      <w:r>
        <w:t xml:space="preserve"> Artículo 59, Ídem.</w:t>
      </w:r>
    </w:p>
  </w:footnote>
  <w:footnote w:id="9">
    <w:p w14:paraId="54553043" w14:textId="53B57FCE" w:rsidR="007532F4" w:rsidRDefault="007532F4">
      <w:pPr>
        <w:pStyle w:val="Textonotapie"/>
      </w:pPr>
      <w:r>
        <w:rPr>
          <w:rStyle w:val="Refdenotaalpie"/>
        </w:rPr>
        <w:footnoteRef/>
      </w:r>
      <w:r>
        <w:t xml:space="preserve"> Artículo 87, Ley Orgánica Municipal del Estado de México.</w:t>
      </w:r>
    </w:p>
  </w:footnote>
  <w:footnote w:id="10">
    <w:p w14:paraId="4EAE2E1A" w14:textId="3031ACA9" w:rsidR="007532F4" w:rsidRDefault="007532F4">
      <w:pPr>
        <w:pStyle w:val="Textonotapie"/>
      </w:pPr>
      <w:r>
        <w:rPr>
          <w:rStyle w:val="Refdenotaalpie"/>
        </w:rPr>
        <w:footnoteRef/>
      </w:r>
      <w:r>
        <w:t xml:space="preserve"> Artículo 93, Ídem.</w:t>
      </w:r>
    </w:p>
  </w:footnote>
  <w:footnote w:id="11">
    <w:p w14:paraId="2444CF7F" w14:textId="026474B8" w:rsidR="007532F4" w:rsidRDefault="007532F4">
      <w:pPr>
        <w:pStyle w:val="Textonotapie"/>
      </w:pPr>
      <w:r>
        <w:rPr>
          <w:rStyle w:val="Refdenotaalpie"/>
        </w:rPr>
        <w:footnoteRef/>
      </w:r>
      <w:r>
        <w:t xml:space="preserve"> Consultable en </w:t>
      </w:r>
      <w:r w:rsidRPr="00C101C2">
        <w:t>https://www.infoem.org.mx/doc/acuerdos/Acuerdo_Padron_SO.pdf</w:t>
      </w:r>
    </w:p>
  </w:footnote>
  <w:footnote w:id="12">
    <w:p w14:paraId="0BA5835D" w14:textId="7E0D8AFB" w:rsidR="007532F4" w:rsidRDefault="007532F4" w:rsidP="006A5374">
      <w:pPr>
        <w:pStyle w:val="Textonotapie"/>
        <w:jc w:val="both"/>
      </w:pPr>
      <w:r>
        <w:rPr>
          <w:rStyle w:val="Refdenotaalpie"/>
        </w:rPr>
        <w:footnoteRef/>
      </w:r>
      <w:r>
        <w:t xml:space="preserve"> “</w:t>
      </w:r>
      <w:r w:rsidRPr="006A5374">
        <w:rPr>
          <w:b/>
          <w:bCs/>
        </w:rPr>
        <w:t>Artículo 179.</w:t>
      </w:r>
      <w:r w:rsidRPr="006A5374">
        <w:t xml:space="preserve"> El recurso de revisión es un medio de protección que la Ley otorga a los particulares, para hacer valer su derecho de acceso a la información pública, y procederá en contra de las siguientes causas:</w:t>
      </w:r>
    </w:p>
    <w:p w14:paraId="4D1241CA" w14:textId="0A91BF04" w:rsidR="007532F4" w:rsidRDefault="007532F4" w:rsidP="006A5374">
      <w:pPr>
        <w:pStyle w:val="Textonotapie"/>
        <w:jc w:val="both"/>
      </w:pPr>
      <w:r>
        <w:t>(…)</w:t>
      </w:r>
    </w:p>
    <w:p w14:paraId="1459A1FF" w14:textId="32A24D1B" w:rsidR="007532F4" w:rsidRDefault="007532F4" w:rsidP="006A5374">
      <w:pPr>
        <w:pStyle w:val="Textonotapie"/>
        <w:jc w:val="both"/>
      </w:pPr>
      <w:r w:rsidRPr="006A5374">
        <w:rPr>
          <w:b/>
          <w:bCs/>
        </w:rPr>
        <w:t>XI.</w:t>
      </w:r>
      <w:r>
        <w:t xml:space="preserve"> La falta de trámite a una solicitud;</w:t>
      </w:r>
    </w:p>
    <w:p w14:paraId="1774E5D8" w14:textId="3F07635E" w:rsidR="007532F4" w:rsidRDefault="007532F4" w:rsidP="006A5374">
      <w:pPr>
        <w:pStyle w:val="Textonotapie"/>
        <w:jc w:val="both"/>
      </w:pPr>
      <w:r>
        <w:t>(…)”</w:t>
      </w:r>
    </w:p>
  </w:footnote>
  <w:footnote w:id="13">
    <w:p w14:paraId="3201279D" w14:textId="2D146154" w:rsidR="007532F4" w:rsidRDefault="007532F4" w:rsidP="00D65794">
      <w:pPr>
        <w:pStyle w:val="Textonotapie"/>
        <w:jc w:val="both"/>
      </w:pPr>
      <w:r>
        <w:rPr>
          <w:rStyle w:val="Refdenotaalpie"/>
        </w:rPr>
        <w:footnoteRef/>
      </w:r>
      <w:r>
        <w:t xml:space="preserve"> “</w:t>
      </w:r>
      <w:r w:rsidRPr="00D65794">
        <w:rPr>
          <w:b/>
          <w:bCs/>
        </w:rPr>
        <w:t>Artículo 49.</w:t>
      </w:r>
      <w:r>
        <w:t xml:space="preserve"> Los Comités de Transparencia tendrán las siguientes atribuciones:</w:t>
      </w:r>
    </w:p>
    <w:p w14:paraId="01E69D66" w14:textId="5E6181CF" w:rsidR="007532F4" w:rsidRDefault="007532F4" w:rsidP="00D65794">
      <w:pPr>
        <w:pStyle w:val="Textonotapie"/>
        <w:jc w:val="both"/>
      </w:pPr>
      <w:r>
        <w:t>(…)</w:t>
      </w:r>
    </w:p>
    <w:p w14:paraId="5DBDBC56" w14:textId="27B57E0E" w:rsidR="007532F4" w:rsidRDefault="007532F4" w:rsidP="00D65794">
      <w:pPr>
        <w:pStyle w:val="Textonotapie"/>
        <w:jc w:val="both"/>
      </w:pPr>
      <w:r w:rsidRPr="00D65794">
        <w:rPr>
          <w:b/>
          <w:bCs/>
        </w:rPr>
        <w:t>XIII.</w:t>
      </w:r>
      <w:r>
        <w:t xml:space="preserve"> Dictaminar las declaratorias de inexistencia de </w:t>
      </w:r>
      <w:proofErr w:type="spellStart"/>
      <w:r>
        <w:t>al</w:t>
      </w:r>
      <w:proofErr w:type="spellEnd"/>
      <w:r>
        <w:t xml:space="preserve"> información que les remitan las unidades administrativas y resolver en consecuencia;</w:t>
      </w:r>
    </w:p>
    <w:p w14:paraId="78B1A571" w14:textId="06F8A62C" w:rsidR="007532F4" w:rsidRDefault="007532F4" w:rsidP="00D65794">
      <w:pPr>
        <w:pStyle w:val="Textonotapie"/>
        <w:jc w:val="both"/>
      </w:pPr>
      <w:r>
        <w:t>(…)”</w:t>
      </w:r>
    </w:p>
  </w:footnote>
  <w:footnote w:id="14">
    <w:p w14:paraId="611B3D85" w14:textId="4D26E73C" w:rsidR="007532F4" w:rsidRDefault="007532F4">
      <w:pPr>
        <w:pStyle w:val="Textonotapie"/>
      </w:pPr>
      <w:r>
        <w:rPr>
          <w:rStyle w:val="Refdenotaalpie"/>
        </w:rPr>
        <w:footnoteRef/>
      </w:r>
      <w:r>
        <w:t xml:space="preserve"> Artículo 32-G, Código Fiscal de la Federación</w:t>
      </w:r>
    </w:p>
  </w:footnote>
  <w:footnote w:id="15">
    <w:p w14:paraId="743E144A" w14:textId="144B5574" w:rsidR="007532F4" w:rsidRDefault="007532F4">
      <w:pPr>
        <w:pStyle w:val="Textonotapie"/>
      </w:pPr>
      <w:r>
        <w:rPr>
          <w:rStyle w:val="Refdenotaalpie"/>
        </w:rPr>
        <w:footnoteRef/>
      </w:r>
      <w:r>
        <w:t xml:space="preserve"> Portal disponible en </w:t>
      </w:r>
      <w:r w:rsidRPr="00A8650D">
        <w:t>https://loginda.siat.sat.gob.mx/nidp/wsfed/ep?id=ciec&amp;sid=2&amp;option=credential&amp;sid=2</w:t>
      </w:r>
    </w:p>
  </w:footnote>
  <w:footnote w:id="16">
    <w:p w14:paraId="7E08E71F" w14:textId="76FBF552" w:rsidR="007532F4" w:rsidRDefault="007532F4">
      <w:pPr>
        <w:pStyle w:val="Textonotapie"/>
      </w:pPr>
      <w:r>
        <w:rPr>
          <w:rStyle w:val="Refdenotaalpie"/>
        </w:rPr>
        <w:footnoteRef/>
      </w:r>
      <w:r>
        <w:t xml:space="preserve"> Visor de comprobantes de nómina para el patrón, Introducción, consultable en </w:t>
      </w:r>
      <w:r w:rsidRPr="00A8650D">
        <w:t>https://www.sat.gob.mx/declaracion/90887/consulta-el-visor-de-comprobantes-de-nomina-para-el-patron-</w:t>
      </w:r>
    </w:p>
  </w:footnote>
  <w:footnote w:id="17">
    <w:p w14:paraId="3421F94E" w14:textId="60B18B16" w:rsidR="007532F4" w:rsidRDefault="007532F4">
      <w:pPr>
        <w:pStyle w:val="Textonotapie"/>
      </w:pPr>
      <w:r>
        <w:rPr>
          <w:rStyle w:val="Refdenotaalpie"/>
        </w:rPr>
        <w:footnoteRef/>
      </w:r>
      <w:r>
        <w:t xml:space="preserve"> Consultable en </w:t>
      </w:r>
      <w:r w:rsidRPr="00A8650D">
        <w:t>https://www.youtube.com/watch?v=56OUjG2maSM&amp;t=94s&amp;ab_channel=ServiciodeAdministraci%C3%B3nTributaria</w:t>
      </w:r>
    </w:p>
  </w:footnote>
  <w:footnote w:id="18">
    <w:p w14:paraId="126DB0B9" w14:textId="77777777" w:rsidR="007532F4" w:rsidRDefault="007532F4"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9">
    <w:p w14:paraId="152161C8" w14:textId="77777777" w:rsidR="007532F4" w:rsidRDefault="007532F4"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20">
    <w:p w14:paraId="3CB0EE74" w14:textId="77777777" w:rsidR="007532F4" w:rsidRDefault="007532F4" w:rsidP="00BA65B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AB8A5D7" w14:textId="77777777" w:rsidR="007532F4" w:rsidRDefault="007532F4"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48BF10CE" w14:textId="77777777" w:rsidR="007532F4" w:rsidRDefault="007532F4"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64F497A9" w14:textId="77777777" w:rsidR="007532F4" w:rsidRDefault="007532F4" w:rsidP="00BA65BE">
      <w:pPr>
        <w:pBdr>
          <w:top w:val="nil"/>
          <w:left w:val="nil"/>
          <w:bottom w:val="nil"/>
          <w:right w:val="nil"/>
          <w:between w:val="nil"/>
        </w:pBdr>
        <w:rPr>
          <w:color w:val="000000"/>
          <w:sz w:val="20"/>
          <w:szCs w:val="20"/>
        </w:rPr>
      </w:pPr>
      <w:r>
        <w:rPr>
          <w:color w:val="000000"/>
          <w:sz w:val="20"/>
          <w:szCs w:val="20"/>
        </w:rPr>
        <w:t>(…)”</w:t>
      </w:r>
    </w:p>
  </w:footnote>
  <w:footnote w:id="21">
    <w:p w14:paraId="48CDEFE7" w14:textId="77777777" w:rsidR="007532F4" w:rsidRDefault="007532F4"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7532F4" w:rsidRPr="00025127" w14:paraId="7630868E" w14:textId="77777777" w:rsidTr="006458C0">
      <w:trPr>
        <w:trHeight w:val="138"/>
        <w:jc w:val="right"/>
      </w:trPr>
      <w:tc>
        <w:tcPr>
          <w:tcW w:w="2977" w:type="dxa"/>
          <w:vAlign w:val="center"/>
        </w:tcPr>
        <w:p w14:paraId="5B5022C4" w14:textId="77777777" w:rsidR="007532F4" w:rsidRPr="006458C0" w:rsidRDefault="007532F4" w:rsidP="006458C0">
          <w:pPr>
            <w:ind w:right="34"/>
            <w:jc w:val="center"/>
            <w:rPr>
              <w:rFonts w:ascii="Palatino Linotype" w:hAnsi="Palatino Linotype"/>
              <w:b/>
              <w:sz w:val="20"/>
              <w:szCs w:val="22"/>
            </w:rPr>
          </w:pPr>
        </w:p>
      </w:tc>
      <w:tc>
        <w:tcPr>
          <w:tcW w:w="3973" w:type="dxa"/>
          <w:vAlign w:val="center"/>
        </w:tcPr>
        <w:p w14:paraId="2C528E79" w14:textId="77777777" w:rsidR="007532F4" w:rsidRDefault="007532F4" w:rsidP="005F1362">
          <w:pPr>
            <w:pStyle w:val="Encabezado"/>
            <w:jc w:val="both"/>
            <w:rPr>
              <w:rFonts w:ascii="Palatino Linotype" w:hAnsi="Palatino Linotype"/>
              <w:b/>
              <w:sz w:val="20"/>
              <w:szCs w:val="22"/>
            </w:rPr>
          </w:pPr>
        </w:p>
      </w:tc>
    </w:tr>
    <w:tr w:rsidR="007532F4" w:rsidRPr="00025127" w14:paraId="07F2896E" w14:textId="77777777" w:rsidTr="006458C0">
      <w:trPr>
        <w:trHeight w:val="138"/>
        <w:jc w:val="right"/>
      </w:trPr>
      <w:tc>
        <w:tcPr>
          <w:tcW w:w="2977" w:type="dxa"/>
          <w:vAlign w:val="center"/>
        </w:tcPr>
        <w:p w14:paraId="4A5B1974" w14:textId="7F56D8C6" w:rsidR="007532F4" w:rsidRPr="006458C0" w:rsidRDefault="007532F4"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7CC66D2F" w:rsidR="007532F4" w:rsidRPr="006458C0" w:rsidRDefault="007532F4" w:rsidP="005F1362">
          <w:pPr>
            <w:pStyle w:val="Encabezado"/>
            <w:jc w:val="both"/>
            <w:rPr>
              <w:rFonts w:ascii="Palatino Linotype" w:hAnsi="Palatino Linotype"/>
              <w:b/>
              <w:sz w:val="20"/>
              <w:szCs w:val="22"/>
            </w:rPr>
          </w:pPr>
          <w:r>
            <w:rPr>
              <w:rFonts w:ascii="Palatino Linotype" w:hAnsi="Palatino Linotype"/>
              <w:b/>
              <w:sz w:val="20"/>
              <w:szCs w:val="22"/>
            </w:rPr>
            <w:t>00523</w:t>
          </w:r>
          <w:r w:rsidRPr="006458C0">
            <w:rPr>
              <w:rFonts w:ascii="Palatino Linotype" w:hAnsi="Palatino Linotype"/>
              <w:b/>
              <w:sz w:val="20"/>
              <w:szCs w:val="22"/>
            </w:rPr>
            <w:t>/INFOEM/IP/RR/2022</w:t>
          </w:r>
        </w:p>
      </w:tc>
    </w:tr>
    <w:tr w:rsidR="007532F4" w:rsidRPr="00025127" w14:paraId="1B5D8690" w14:textId="77777777" w:rsidTr="006458C0">
      <w:trPr>
        <w:trHeight w:val="233"/>
        <w:jc w:val="right"/>
      </w:trPr>
      <w:tc>
        <w:tcPr>
          <w:tcW w:w="2977" w:type="dxa"/>
          <w:vAlign w:val="center"/>
        </w:tcPr>
        <w:p w14:paraId="3903F2C6" w14:textId="22D569F8" w:rsidR="007532F4" w:rsidRPr="006458C0" w:rsidRDefault="007532F4"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37C4C6B2" w:rsidR="007532F4" w:rsidRPr="006458C0" w:rsidRDefault="007532F4" w:rsidP="006458C0">
          <w:pPr>
            <w:pStyle w:val="Encabezado"/>
            <w:rPr>
              <w:rFonts w:ascii="Palatino Linotype" w:hAnsi="Palatino Linotype"/>
              <w:b/>
              <w:sz w:val="20"/>
              <w:szCs w:val="22"/>
            </w:rPr>
          </w:pPr>
          <w:r>
            <w:rPr>
              <w:rFonts w:ascii="Palatino Linotype" w:hAnsi="Palatino Linotype"/>
              <w:b/>
              <w:bCs/>
              <w:color w:val="000000"/>
              <w:sz w:val="20"/>
              <w:szCs w:val="22"/>
            </w:rPr>
            <w:t>Ayuntamiento de Villa del Carbón</w:t>
          </w:r>
        </w:p>
      </w:tc>
    </w:tr>
    <w:tr w:rsidR="007532F4" w:rsidRPr="00025127" w14:paraId="095EB01B" w14:textId="77777777" w:rsidTr="006458C0">
      <w:trPr>
        <w:trHeight w:val="321"/>
        <w:jc w:val="right"/>
      </w:trPr>
      <w:tc>
        <w:tcPr>
          <w:tcW w:w="2977" w:type="dxa"/>
          <w:vAlign w:val="center"/>
        </w:tcPr>
        <w:p w14:paraId="6E000A51" w14:textId="11432CC6" w:rsidR="007532F4" w:rsidRPr="006458C0" w:rsidRDefault="007532F4"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7532F4" w:rsidRPr="006458C0" w:rsidRDefault="007532F4"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7532F4" w:rsidRDefault="007532F4" w:rsidP="00472C41">
    <w:pPr>
      <w:pStyle w:val="Encabezado"/>
    </w:pPr>
    <w:r>
      <w:rPr>
        <w:noProof/>
        <w:lang w:eastAsia="es-MX"/>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7532F4" w:rsidRPr="006458C0" w14:paraId="0A3256F2" w14:textId="77777777" w:rsidTr="006458C0">
      <w:trPr>
        <w:trHeight w:val="138"/>
        <w:jc w:val="right"/>
      </w:trPr>
      <w:tc>
        <w:tcPr>
          <w:tcW w:w="3397" w:type="dxa"/>
          <w:vAlign w:val="center"/>
        </w:tcPr>
        <w:p w14:paraId="3D80769D" w14:textId="5060398B" w:rsidR="007532F4" w:rsidRPr="006458C0" w:rsidRDefault="007532F4"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603E9F35" w:rsidR="007532F4" w:rsidRPr="006458C0" w:rsidRDefault="007532F4" w:rsidP="005F1362">
          <w:pPr>
            <w:pStyle w:val="Encabezado"/>
            <w:rPr>
              <w:rFonts w:ascii="Palatino Linotype" w:hAnsi="Palatino Linotype"/>
              <w:b/>
              <w:sz w:val="20"/>
              <w:szCs w:val="22"/>
            </w:rPr>
          </w:pPr>
          <w:r>
            <w:rPr>
              <w:rFonts w:ascii="Palatino Linotype" w:hAnsi="Palatino Linotype"/>
              <w:b/>
              <w:sz w:val="20"/>
              <w:szCs w:val="22"/>
            </w:rPr>
            <w:t>00523</w:t>
          </w:r>
          <w:r w:rsidRPr="006458C0">
            <w:rPr>
              <w:rFonts w:ascii="Palatino Linotype" w:hAnsi="Palatino Linotype"/>
              <w:b/>
              <w:sz w:val="20"/>
              <w:szCs w:val="22"/>
            </w:rPr>
            <w:t>/INFOEM/IP/RR/2022</w:t>
          </w:r>
        </w:p>
      </w:tc>
    </w:tr>
    <w:tr w:rsidR="007532F4" w:rsidRPr="006458C0" w14:paraId="128C8B3C" w14:textId="77777777" w:rsidTr="006458C0">
      <w:trPr>
        <w:trHeight w:val="233"/>
        <w:jc w:val="right"/>
      </w:trPr>
      <w:tc>
        <w:tcPr>
          <w:tcW w:w="3397" w:type="dxa"/>
          <w:vAlign w:val="center"/>
        </w:tcPr>
        <w:p w14:paraId="483E3371" w14:textId="66B1BC74" w:rsidR="007532F4" w:rsidRPr="006458C0" w:rsidRDefault="007532F4"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05C91141" w:rsidR="007532F4" w:rsidRPr="006458C0" w:rsidRDefault="007532F4" w:rsidP="0058757A">
          <w:pPr>
            <w:pStyle w:val="Encabezado"/>
            <w:rPr>
              <w:rFonts w:ascii="Palatino Linotype" w:hAnsi="Palatino Linotype"/>
              <w:b/>
              <w:sz w:val="20"/>
              <w:szCs w:val="22"/>
            </w:rPr>
          </w:pPr>
          <w:r>
            <w:rPr>
              <w:rFonts w:ascii="Palatino Linotype" w:hAnsi="Palatino Linotype"/>
              <w:b/>
              <w:sz w:val="20"/>
              <w:szCs w:val="22"/>
            </w:rPr>
            <w:t xml:space="preserve">XXXX </w:t>
          </w:r>
          <w:proofErr w:type="spellStart"/>
          <w:r>
            <w:rPr>
              <w:rFonts w:ascii="Palatino Linotype" w:hAnsi="Palatino Linotype"/>
              <w:b/>
              <w:sz w:val="20"/>
              <w:szCs w:val="22"/>
            </w:rPr>
            <w:t>XXXX</w:t>
          </w:r>
          <w:proofErr w:type="spellEnd"/>
          <w:r>
            <w:rPr>
              <w:rFonts w:ascii="Palatino Linotype" w:hAnsi="Palatino Linotype"/>
              <w:b/>
              <w:sz w:val="20"/>
              <w:szCs w:val="22"/>
            </w:rPr>
            <w:t xml:space="preserve"> </w:t>
          </w:r>
          <w:proofErr w:type="spellStart"/>
          <w:r>
            <w:rPr>
              <w:rFonts w:ascii="Palatino Linotype" w:hAnsi="Palatino Linotype"/>
              <w:b/>
              <w:sz w:val="20"/>
              <w:szCs w:val="22"/>
            </w:rPr>
            <w:t>XXXX</w:t>
          </w:r>
          <w:proofErr w:type="spellEnd"/>
        </w:p>
      </w:tc>
    </w:tr>
    <w:tr w:rsidR="007532F4" w:rsidRPr="006458C0" w14:paraId="41BE0704" w14:textId="77777777" w:rsidTr="006458C0">
      <w:trPr>
        <w:trHeight w:val="321"/>
        <w:jc w:val="right"/>
      </w:trPr>
      <w:tc>
        <w:tcPr>
          <w:tcW w:w="3397" w:type="dxa"/>
          <w:vAlign w:val="center"/>
        </w:tcPr>
        <w:p w14:paraId="34C64148" w14:textId="10C6C8A9" w:rsidR="007532F4" w:rsidRPr="006458C0" w:rsidRDefault="007532F4"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4E623D41" w:rsidR="007532F4" w:rsidRPr="006458C0" w:rsidRDefault="007532F4" w:rsidP="000A675D">
          <w:pPr>
            <w:pStyle w:val="Encabezado"/>
            <w:rPr>
              <w:rFonts w:ascii="Palatino Linotype" w:hAnsi="Palatino Linotype"/>
              <w:b/>
              <w:sz w:val="20"/>
              <w:szCs w:val="22"/>
            </w:rPr>
          </w:pPr>
          <w:r>
            <w:rPr>
              <w:rFonts w:ascii="Palatino Linotype" w:hAnsi="Palatino Linotype"/>
              <w:b/>
              <w:bCs/>
              <w:color w:val="000000"/>
              <w:sz w:val="20"/>
              <w:szCs w:val="22"/>
            </w:rPr>
            <w:t>Ayuntamiento de Villa del Carbón</w:t>
          </w:r>
        </w:p>
      </w:tc>
    </w:tr>
    <w:tr w:rsidR="007532F4" w:rsidRPr="006458C0" w14:paraId="0C8B6193" w14:textId="77777777" w:rsidTr="006458C0">
      <w:trPr>
        <w:trHeight w:val="321"/>
        <w:jc w:val="right"/>
      </w:trPr>
      <w:tc>
        <w:tcPr>
          <w:tcW w:w="3397" w:type="dxa"/>
          <w:vAlign w:val="center"/>
        </w:tcPr>
        <w:p w14:paraId="321FFAFF" w14:textId="0E8C2CE7" w:rsidR="007532F4" w:rsidRPr="006458C0" w:rsidRDefault="007532F4"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7532F4" w:rsidRPr="006458C0" w:rsidRDefault="007532F4"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7532F4" w:rsidRDefault="007532F4" w:rsidP="00472C41">
    <w:pPr>
      <w:pStyle w:val="Encabezado"/>
      <w:tabs>
        <w:tab w:val="clear" w:pos="4252"/>
        <w:tab w:val="clear" w:pos="8504"/>
        <w:tab w:val="left" w:pos="3103"/>
      </w:tabs>
    </w:pPr>
    <w:r>
      <w:rPr>
        <w:noProof/>
      </w:rPr>
      <w:pict w14:anchorId="565F1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A940C54"/>
    <w:multiLevelType w:val="hybridMultilevel"/>
    <w:tmpl w:val="61883B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275851"/>
    <w:multiLevelType w:val="hybridMultilevel"/>
    <w:tmpl w:val="B604325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E22DD5"/>
    <w:multiLevelType w:val="hybridMultilevel"/>
    <w:tmpl w:val="FBCA1A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FF1C05"/>
    <w:multiLevelType w:val="hybridMultilevel"/>
    <w:tmpl w:val="4F525B42"/>
    <w:lvl w:ilvl="0" w:tplc="FFFFFFFF">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1BE2802"/>
    <w:multiLevelType w:val="hybridMultilevel"/>
    <w:tmpl w:val="3A0E75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156D4D"/>
    <w:multiLevelType w:val="hybridMultilevel"/>
    <w:tmpl w:val="86A4A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0C14E0"/>
    <w:multiLevelType w:val="hybridMultilevel"/>
    <w:tmpl w:val="2ABE0F26"/>
    <w:lvl w:ilvl="0" w:tplc="FFFFFFFF">
      <w:start w:val="1"/>
      <w:numFmt w:val="decimal"/>
      <w:lvlText w:val="%1."/>
      <w:lvlJc w:val="left"/>
      <w:pPr>
        <w:ind w:left="0" w:firstLine="0"/>
      </w:pPr>
      <w:rPr>
        <w:rFonts w:ascii="Palatino Linotype" w:hAnsi="Palatino Linotype" w:hint="default"/>
        <w:b/>
        <w:i w:val="0"/>
        <w:sz w:val="24"/>
      </w:rPr>
    </w:lvl>
    <w:lvl w:ilvl="1" w:tplc="9F7E368C">
      <w:start w:val="1"/>
      <w:numFmt w:val="upperRoman"/>
      <w:lvlText w:val="%2."/>
      <w:lvlJc w:val="right"/>
      <w:pPr>
        <w:ind w:left="1440" w:hanging="360"/>
      </w:pPr>
      <w:rPr>
        <w:b/>
        <w:b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F90E0D"/>
    <w:multiLevelType w:val="hybridMultilevel"/>
    <w:tmpl w:val="844A79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8A2EDF"/>
    <w:multiLevelType w:val="hybridMultilevel"/>
    <w:tmpl w:val="B91AA74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896D4B"/>
    <w:multiLevelType w:val="hybridMultilevel"/>
    <w:tmpl w:val="F32C67A6"/>
    <w:lvl w:ilvl="0" w:tplc="FFFFFFFF">
      <w:start w:val="1"/>
      <w:numFmt w:val="decimal"/>
      <w:lvlText w:val="%1."/>
      <w:lvlJc w:val="left"/>
      <w:pPr>
        <w:ind w:left="0" w:firstLine="0"/>
      </w:pPr>
      <w:rPr>
        <w:rFonts w:ascii="Palatino Linotype" w:hAnsi="Palatino Linotype" w:hint="default"/>
        <w:b/>
        <w:i w:val="0"/>
        <w:sz w:val="24"/>
      </w:rPr>
    </w:lvl>
    <w:lvl w:ilvl="1" w:tplc="D76A7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3D5613"/>
    <w:multiLevelType w:val="hybridMultilevel"/>
    <w:tmpl w:val="D5AE28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29B04BF"/>
    <w:multiLevelType w:val="hybridMultilevel"/>
    <w:tmpl w:val="9278B03C"/>
    <w:lvl w:ilvl="0" w:tplc="FFFFFFFF">
      <w:start w:val="1"/>
      <w:numFmt w:val="decimal"/>
      <w:lvlText w:val="%1."/>
      <w:lvlJc w:val="left"/>
      <w:pPr>
        <w:ind w:left="0" w:firstLine="0"/>
      </w:pPr>
      <w:rPr>
        <w:rFonts w:ascii="Palatino Linotype" w:hAnsi="Palatino Linotype" w:hint="default"/>
        <w:b/>
        <w:i w:val="0"/>
        <w:sz w:val="24"/>
      </w:rPr>
    </w:lvl>
    <w:lvl w:ilvl="1" w:tplc="9BE2C272">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BCE6718"/>
    <w:multiLevelType w:val="hybridMultilevel"/>
    <w:tmpl w:val="E874497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0AE42E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511E3F50"/>
    <w:multiLevelType w:val="hybridMultilevel"/>
    <w:tmpl w:val="13B8BB9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20D79DE"/>
    <w:multiLevelType w:val="hybridMultilevel"/>
    <w:tmpl w:val="0A54AB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15E1D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4DF2CA3"/>
    <w:multiLevelType w:val="hybridMultilevel"/>
    <w:tmpl w:val="55AAD188"/>
    <w:lvl w:ilvl="0" w:tplc="080A0013">
      <w:start w:val="1"/>
      <w:numFmt w:val="upperRoman"/>
      <w:lvlText w:val="%1."/>
      <w:lvlJc w:val="righ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nsid w:val="5AA004F7"/>
    <w:multiLevelType w:val="hybridMultilevel"/>
    <w:tmpl w:val="63B217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DB0308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894417C"/>
    <w:multiLevelType w:val="hybridMultilevel"/>
    <w:tmpl w:val="C20CCC4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F661A5"/>
    <w:multiLevelType w:val="hybridMultilevel"/>
    <w:tmpl w:val="78DE616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25"/>
  </w:num>
  <w:num w:numId="3">
    <w:abstractNumId w:val="0"/>
  </w:num>
  <w:num w:numId="4">
    <w:abstractNumId w:val="5"/>
  </w:num>
  <w:num w:numId="5">
    <w:abstractNumId w:val="16"/>
  </w:num>
  <w:num w:numId="6">
    <w:abstractNumId w:val="34"/>
  </w:num>
  <w:num w:numId="7">
    <w:abstractNumId w:val="33"/>
  </w:num>
  <w:num w:numId="8">
    <w:abstractNumId w:val="14"/>
  </w:num>
  <w:num w:numId="9">
    <w:abstractNumId w:val="31"/>
  </w:num>
  <w:num w:numId="10">
    <w:abstractNumId w:val="37"/>
  </w:num>
  <w:num w:numId="11">
    <w:abstractNumId w:val="20"/>
  </w:num>
  <w:num w:numId="12">
    <w:abstractNumId w:val="39"/>
  </w:num>
  <w:num w:numId="13">
    <w:abstractNumId w:val="28"/>
  </w:num>
  <w:num w:numId="14">
    <w:abstractNumId w:val="41"/>
  </w:num>
  <w:num w:numId="15">
    <w:abstractNumId w:val="7"/>
  </w:num>
  <w:num w:numId="16">
    <w:abstractNumId w:val="22"/>
  </w:num>
  <w:num w:numId="17">
    <w:abstractNumId w:val="1"/>
  </w:num>
  <w:num w:numId="18">
    <w:abstractNumId w:val="11"/>
  </w:num>
  <w:num w:numId="19">
    <w:abstractNumId w:val="35"/>
  </w:num>
  <w:num w:numId="20">
    <w:abstractNumId w:val="30"/>
  </w:num>
  <w:num w:numId="21">
    <w:abstractNumId w:val="29"/>
  </w:num>
  <w:num w:numId="22">
    <w:abstractNumId w:val="23"/>
  </w:num>
  <w:num w:numId="23">
    <w:abstractNumId w:val="9"/>
  </w:num>
  <w:num w:numId="24">
    <w:abstractNumId w:val="13"/>
  </w:num>
  <w:num w:numId="25">
    <w:abstractNumId w:val="8"/>
  </w:num>
  <w:num w:numId="26">
    <w:abstractNumId w:val="6"/>
  </w:num>
  <w:num w:numId="27">
    <w:abstractNumId w:val="2"/>
  </w:num>
  <w:num w:numId="28">
    <w:abstractNumId w:val="36"/>
  </w:num>
  <w:num w:numId="29">
    <w:abstractNumId w:val="21"/>
  </w:num>
  <w:num w:numId="30">
    <w:abstractNumId w:val="10"/>
  </w:num>
  <w:num w:numId="31">
    <w:abstractNumId w:val="17"/>
  </w:num>
  <w:num w:numId="32">
    <w:abstractNumId w:val="3"/>
  </w:num>
  <w:num w:numId="33">
    <w:abstractNumId w:val="26"/>
  </w:num>
  <w:num w:numId="34">
    <w:abstractNumId w:val="24"/>
  </w:num>
  <w:num w:numId="35">
    <w:abstractNumId w:val="32"/>
  </w:num>
  <w:num w:numId="36">
    <w:abstractNumId w:val="27"/>
  </w:num>
  <w:num w:numId="37">
    <w:abstractNumId w:val="19"/>
  </w:num>
  <w:num w:numId="38">
    <w:abstractNumId w:val="18"/>
  </w:num>
  <w:num w:numId="39">
    <w:abstractNumId w:val="40"/>
  </w:num>
  <w:num w:numId="40">
    <w:abstractNumId w:val="12"/>
  </w:num>
  <w:num w:numId="41">
    <w:abstractNumId w:val="4"/>
  </w:num>
  <w:num w:numId="42">
    <w:abstractNumId w:val="38"/>
  </w:num>
  <w:num w:numId="43">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6385"/>
    <w:rsid w:val="0004072A"/>
    <w:rsid w:val="0004193F"/>
    <w:rsid w:val="00042380"/>
    <w:rsid w:val="000427D6"/>
    <w:rsid w:val="00044272"/>
    <w:rsid w:val="00044DB9"/>
    <w:rsid w:val="0004606D"/>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4573"/>
    <w:rsid w:val="000800AC"/>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56A"/>
    <w:rsid w:val="000A675D"/>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F1731"/>
    <w:rsid w:val="000F1B9F"/>
    <w:rsid w:val="000F2739"/>
    <w:rsid w:val="000F2EDD"/>
    <w:rsid w:val="000F3457"/>
    <w:rsid w:val="000F37A8"/>
    <w:rsid w:val="000F6D7E"/>
    <w:rsid w:val="000F7112"/>
    <w:rsid w:val="00100187"/>
    <w:rsid w:val="00100DDD"/>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5460"/>
    <w:rsid w:val="001862A3"/>
    <w:rsid w:val="00192E4B"/>
    <w:rsid w:val="00194D62"/>
    <w:rsid w:val="00195C67"/>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6CB"/>
    <w:rsid w:val="002B4D21"/>
    <w:rsid w:val="002C0074"/>
    <w:rsid w:val="002C0159"/>
    <w:rsid w:val="002C057E"/>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29A"/>
    <w:rsid w:val="002D1A38"/>
    <w:rsid w:val="002D1AA7"/>
    <w:rsid w:val="002D28CB"/>
    <w:rsid w:val="002D2E16"/>
    <w:rsid w:val="002D35AE"/>
    <w:rsid w:val="002D373C"/>
    <w:rsid w:val="002E126F"/>
    <w:rsid w:val="002E160F"/>
    <w:rsid w:val="002E191E"/>
    <w:rsid w:val="002E1C05"/>
    <w:rsid w:val="002E1E5D"/>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733"/>
    <w:rsid w:val="00316065"/>
    <w:rsid w:val="003161C0"/>
    <w:rsid w:val="00317883"/>
    <w:rsid w:val="00317EFF"/>
    <w:rsid w:val="00321AA3"/>
    <w:rsid w:val="00321AE9"/>
    <w:rsid w:val="00321D1B"/>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3B7A"/>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53A4"/>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716C"/>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26"/>
    <w:rsid w:val="00687CAD"/>
    <w:rsid w:val="006901FA"/>
    <w:rsid w:val="006904D3"/>
    <w:rsid w:val="006906D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2CF3"/>
    <w:rsid w:val="006A2D34"/>
    <w:rsid w:val="006A2EDE"/>
    <w:rsid w:val="006A2EFB"/>
    <w:rsid w:val="006A32B6"/>
    <w:rsid w:val="006A3D7A"/>
    <w:rsid w:val="006A5374"/>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00E"/>
    <w:rsid w:val="006F51AA"/>
    <w:rsid w:val="006F69E5"/>
    <w:rsid w:val="00700B9B"/>
    <w:rsid w:val="007050B1"/>
    <w:rsid w:val="00705527"/>
    <w:rsid w:val="00707096"/>
    <w:rsid w:val="007127BB"/>
    <w:rsid w:val="007136BC"/>
    <w:rsid w:val="00714576"/>
    <w:rsid w:val="00714FEC"/>
    <w:rsid w:val="0071522B"/>
    <w:rsid w:val="00715A04"/>
    <w:rsid w:val="00715B7D"/>
    <w:rsid w:val="00721335"/>
    <w:rsid w:val="00721924"/>
    <w:rsid w:val="00721F66"/>
    <w:rsid w:val="00722B93"/>
    <w:rsid w:val="0072445A"/>
    <w:rsid w:val="00727B1C"/>
    <w:rsid w:val="00730E96"/>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32F4"/>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7302"/>
    <w:rsid w:val="00A17A17"/>
    <w:rsid w:val="00A20B1F"/>
    <w:rsid w:val="00A21050"/>
    <w:rsid w:val="00A235D0"/>
    <w:rsid w:val="00A24131"/>
    <w:rsid w:val="00A25320"/>
    <w:rsid w:val="00A25CB8"/>
    <w:rsid w:val="00A27A7F"/>
    <w:rsid w:val="00A27D6E"/>
    <w:rsid w:val="00A30BAC"/>
    <w:rsid w:val="00A3276A"/>
    <w:rsid w:val="00A32883"/>
    <w:rsid w:val="00A339DE"/>
    <w:rsid w:val="00A346B7"/>
    <w:rsid w:val="00A349D2"/>
    <w:rsid w:val="00A34C05"/>
    <w:rsid w:val="00A35492"/>
    <w:rsid w:val="00A356A1"/>
    <w:rsid w:val="00A36F1A"/>
    <w:rsid w:val="00A4044E"/>
    <w:rsid w:val="00A42475"/>
    <w:rsid w:val="00A4262E"/>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9DB"/>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773F9"/>
    <w:rsid w:val="00B808A4"/>
    <w:rsid w:val="00B81371"/>
    <w:rsid w:val="00B818B8"/>
    <w:rsid w:val="00B81E78"/>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6C02"/>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5FB"/>
    <w:rsid w:val="00C31713"/>
    <w:rsid w:val="00C317BD"/>
    <w:rsid w:val="00C31E8F"/>
    <w:rsid w:val="00C33279"/>
    <w:rsid w:val="00C34B8F"/>
    <w:rsid w:val="00C35332"/>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D00269"/>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5E6C"/>
    <w:rsid w:val="00D80C86"/>
    <w:rsid w:val="00D8175A"/>
    <w:rsid w:val="00D82CB3"/>
    <w:rsid w:val="00D82FC0"/>
    <w:rsid w:val="00D8322A"/>
    <w:rsid w:val="00D83B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C073A"/>
    <w:rsid w:val="00DC0A7B"/>
    <w:rsid w:val="00DC1539"/>
    <w:rsid w:val="00DC2022"/>
    <w:rsid w:val="00DC230C"/>
    <w:rsid w:val="00DC27E7"/>
    <w:rsid w:val="00DC2CE7"/>
    <w:rsid w:val="00DC301A"/>
    <w:rsid w:val="00DC470B"/>
    <w:rsid w:val="00DC5188"/>
    <w:rsid w:val="00DC6294"/>
    <w:rsid w:val="00DC6AEA"/>
    <w:rsid w:val="00DC7377"/>
    <w:rsid w:val="00DD2912"/>
    <w:rsid w:val="00DD2D98"/>
    <w:rsid w:val="00DD353B"/>
    <w:rsid w:val="00DD3902"/>
    <w:rsid w:val="00DD3B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AE4"/>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90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3C70"/>
    <w:rsid w:val="00F55309"/>
    <w:rsid w:val="00F562A9"/>
    <w:rsid w:val="00F56E0D"/>
    <w:rsid w:val="00F60C62"/>
    <w:rsid w:val="00F62C00"/>
    <w:rsid w:val="00F6300E"/>
    <w:rsid w:val="00F6301A"/>
    <w:rsid w:val="00F6387F"/>
    <w:rsid w:val="00F645AF"/>
    <w:rsid w:val="00F66BC9"/>
    <w:rsid w:val="00F67946"/>
    <w:rsid w:val="00F71035"/>
    <w:rsid w:val="00F72B99"/>
    <w:rsid w:val="00F72CCD"/>
    <w:rsid w:val="00F72E9F"/>
    <w:rsid w:val="00F73166"/>
    <w:rsid w:val="00F736F9"/>
    <w:rsid w:val="00F739E9"/>
    <w:rsid w:val="00F754E9"/>
    <w:rsid w:val="00F81620"/>
    <w:rsid w:val="00F84185"/>
    <w:rsid w:val="00F84240"/>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EDB28-5239-4AC8-AC6B-E0985032B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61</Pages>
  <Words>14524</Words>
  <Characters>79884</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2022-08-04T03:48:00Z</dcterms:created>
  <dcterms:modified xsi:type="dcterms:W3CDTF">2022-09-06T20:54:00Z</dcterms:modified>
</cp:coreProperties>
</file>