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1C931" w14:textId="77777777" w:rsidR="00A259D0" w:rsidRDefault="00030F5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diez de febrero de dos mil veintidós.</w:t>
      </w:r>
    </w:p>
    <w:p w14:paraId="74100E53" w14:textId="77777777" w:rsidR="00A259D0" w:rsidRDefault="00A259D0">
      <w:pPr>
        <w:spacing w:line="360" w:lineRule="auto"/>
        <w:jc w:val="both"/>
        <w:rPr>
          <w:rFonts w:ascii="Palatino Linotype" w:eastAsia="Palatino Linotype" w:hAnsi="Palatino Linotype" w:cs="Palatino Linotype"/>
        </w:rPr>
      </w:pPr>
    </w:p>
    <w:p w14:paraId="270288D4" w14:textId="36745D84" w:rsidR="00A259D0" w:rsidRDefault="00030F5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00144/INFOEM/IP/RR/2022</w:t>
      </w:r>
      <w:r>
        <w:rPr>
          <w:rFonts w:ascii="Palatino Linotype" w:eastAsia="Palatino Linotype" w:hAnsi="Palatino Linotype" w:cs="Palatino Linotype"/>
        </w:rPr>
        <w:t xml:space="preserve">, promovido por el </w:t>
      </w:r>
      <w:r>
        <w:rPr>
          <w:rFonts w:ascii="Palatino Linotype" w:eastAsia="Palatino Linotype" w:hAnsi="Palatino Linotype" w:cs="Palatino Linotype"/>
          <w:b/>
        </w:rPr>
        <w:t xml:space="preserve">C. </w:t>
      </w:r>
      <w:r w:rsidR="008508E3" w:rsidRPr="008508E3">
        <w:rPr>
          <w:rFonts w:ascii="Palatino Linotype" w:eastAsia="Palatino Linotype" w:hAnsi="Palatino Linotype" w:cs="Palatino Linotype"/>
          <w:b/>
        </w:rPr>
        <w:t>XXXX XXXXXX XX XXXX</w:t>
      </w:r>
      <w:r>
        <w:rPr>
          <w:rFonts w:ascii="Palatino Linotype" w:eastAsia="Palatino Linotype" w:hAnsi="Palatino Linotype" w:cs="Palatino Linotype"/>
        </w:rPr>
        <w:t xml:space="preserve">, a quien en lo sucesivo se le denominará el </w:t>
      </w:r>
      <w:r>
        <w:rPr>
          <w:rFonts w:ascii="Palatino Linotype" w:eastAsia="Palatino Linotype" w:hAnsi="Palatino Linotype" w:cs="Palatino Linotype"/>
          <w:b/>
        </w:rPr>
        <w:t>RECURRENTE</w:t>
      </w:r>
      <w:r>
        <w:rPr>
          <w:rFonts w:ascii="Palatino Linotype" w:eastAsia="Palatino Linotype" w:hAnsi="Palatino Linotype" w:cs="Palatino Linotype"/>
        </w:rPr>
        <w:t>, en contra de la respuesta emitida por el</w:t>
      </w:r>
      <w:r>
        <w:rPr>
          <w:rFonts w:ascii="Palatino Linotype" w:eastAsia="Palatino Linotype" w:hAnsi="Palatino Linotype" w:cs="Palatino Linotype"/>
          <w:b/>
        </w:rPr>
        <w:t xml:space="preserve"> Ayuntamiento de Amecameca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subsecuente se le denominará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 siguiente:</w:t>
      </w:r>
    </w:p>
    <w:p w14:paraId="2747FE77" w14:textId="77777777" w:rsidR="00A259D0" w:rsidRDefault="00A259D0">
      <w:pPr>
        <w:spacing w:line="360" w:lineRule="auto"/>
        <w:jc w:val="both"/>
        <w:rPr>
          <w:rFonts w:ascii="Palatino Linotype" w:eastAsia="Palatino Linotype" w:hAnsi="Palatino Linotype" w:cs="Palatino Linotype"/>
        </w:rPr>
      </w:pPr>
    </w:p>
    <w:p w14:paraId="0FF9DFB8" w14:textId="77777777" w:rsidR="00A259D0" w:rsidRDefault="00030F53">
      <w:pPr>
        <w:spacing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14:paraId="00084A13" w14:textId="77777777" w:rsidR="00A259D0" w:rsidRDefault="00A259D0">
      <w:pPr>
        <w:spacing w:line="360" w:lineRule="auto"/>
        <w:jc w:val="center"/>
        <w:rPr>
          <w:rFonts w:ascii="Palatino Linotype" w:eastAsia="Palatino Linotype" w:hAnsi="Palatino Linotype" w:cs="Palatino Linotype"/>
          <w:b/>
          <w:sz w:val="28"/>
          <w:szCs w:val="28"/>
        </w:rPr>
      </w:pPr>
    </w:p>
    <w:p w14:paraId="590E5F2B" w14:textId="77777777" w:rsidR="00A259D0" w:rsidRDefault="00030F5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I.</w:t>
      </w:r>
      <w:r>
        <w:rPr>
          <w:rFonts w:ascii="Palatino Linotype" w:eastAsia="Palatino Linotype" w:hAnsi="Palatino Linotype" w:cs="Palatino Linotype"/>
          <w:color w:val="000000"/>
        </w:rPr>
        <w:t xml:space="preserve"> En fecha veinte de diciembre de dos mil veintiuno, se presentó en el Sistema de Acceso a la Información Mexiquense, en lo subsecuente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ante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la solicitud de acceso a la información pública, a la que se le asignó el número </w:t>
      </w:r>
      <w:r>
        <w:rPr>
          <w:rFonts w:ascii="Palatino Linotype" w:eastAsia="Palatino Linotype" w:hAnsi="Palatino Linotype" w:cs="Palatino Linotype"/>
          <w:b/>
          <w:color w:val="000000"/>
        </w:rPr>
        <w:t>00295/AMECAMEC/IP/2021,</w:t>
      </w:r>
      <w:r>
        <w:rPr>
          <w:rFonts w:ascii="Palatino Linotype" w:eastAsia="Palatino Linotype" w:hAnsi="Palatino Linotype" w:cs="Palatino Linotype"/>
          <w:color w:val="000000"/>
        </w:rPr>
        <w:t xml:space="preserve"> mediante la cual requirió, lo siguiente:</w:t>
      </w:r>
    </w:p>
    <w:p w14:paraId="1765CB2B" w14:textId="77777777" w:rsidR="00A259D0" w:rsidRDefault="00030F53">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Solicito en copia simple digitalizada monto de aguinaldos pagados a todos los 12 miembros del cabildo de Amecameca correspondiente a diciembre de 2021.</w:t>
      </w:r>
      <w:r>
        <w:rPr>
          <w:rFonts w:ascii="Palatino Linotype" w:eastAsia="Palatino Linotype" w:hAnsi="Palatino Linotype" w:cs="Palatino Linotype"/>
          <w:i/>
          <w:sz w:val="22"/>
          <w:szCs w:val="22"/>
        </w:rPr>
        <w:t>” (Sic)</w:t>
      </w:r>
    </w:p>
    <w:p w14:paraId="372FE9DE" w14:textId="77777777" w:rsidR="00A259D0" w:rsidRDefault="00A259D0">
      <w:pPr>
        <w:ind w:left="851" w:right="616"/>
        <w:jc w:val="both"/>
        <w:rPr>
          <w:rFonts w:ascii="Palatino Linotype" w:eastAsia="Palatino Linotype" w:hAnsi="Palatino Linotype" w:cs="Palatino Linotype"/>
          <w:i/>
          <w:sz w:val="22"/>
          <w:szCs w:val="22"/>
        </w:rPr>
      </w:pPr>
    </w:p>
    <w:p w14:paraId="442BBACC" w14:textId="77777777" w:rsidR="00A259D0" w:rsidRDefault="00030F53">
      <w:pPr>
        <w:ind w:right="709"/>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p>
    <w:p w14:paraId="5CA9F315" w14:textId="77777777" w:rsidR="00A259D0" w:rsidRDefault="00A259D0">
      <w:pPr>
        <w:ind w:right="709"/>
        <w:jc w:val="both"/>
        <w:rPr>
          <w:rFonts w:ascii="Palatino Linotype" w:eastAsia="Palatino Linotype" w:hAnsi="Palatino Linotype" w:cs="Palatino Linotype"/>
          <w:b/>
        </w:rPr>
      </w:pPr>
    </w:p>
    <w:p w14:paraId="7EDF57B3" w14:textId="77777777" w:rsidR="00A259D0" w:rsidRDefault="00030F5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II.</w:t>
      </w:r>
      <w:r>
        <w:rPr>
          <w:rFonts w:ascii="Palatino Linotype" w:eastAsia="Palatino Linotype" w:hAnsi="Palatino Linotype" w:cs="Palatino Linotype"/>
        </w:rPr>
        <w:t xml:space="preserve"> En fecha treinta de diciembre de dos mil veintiuno,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a la solicitud de información en los siguientes términos:</w:t>
      </w:r>
    </w:p>
    <w:p w14:paraId="59345D85" w14:textId="77777777" w:rsidR="00A259D0" w:rsidRDefault="00A259D0">
      <w:pPr>
        <w:widowControl w:val="0"/>
        <w:ind w:left="850" w:right="901"/>
        <w:jc w:val="both"/>
        <w:rPr>
          <w:rFonts w:ascii="Palatino Linotype" w:eastAsia="Palatino Linotype" w:hAnsi="Palatino Linotype" w:cs="Palatino Linotype"/>
          <w:i/>
          <w:sz w:val="22"/>
          <w:szCs w:val="22"/>
        </w:rPr>
      </w:pPr>
    </w:p>
    <w:tbl>
      <w:tblPr>
        <w:tblStyle w:val="a"/>
        <w:tblW w:w="10500" w:type="dxa"/>
        <w:jc w:val="center"/>
        <w:tblInd w:w="0" w:type="dxa"/>
        <w:tblLayout w:type="fixed"/>
        <w:tblLook w:val="0400" w:firstRow="0" w:lastRow="0" w:firstColumn="0" w:lastColumn="0" w:noHBand="0" w:noVBand="1"/>
      </w:tblPr>
      <w:tblGrid>
        <w:gridCol w:w="10500"/>
      </w:tblGrid>
      <w:tr w:rsidR="00A259D0" w14:paraId="6B0F6A94" w14:textId="77777777">
        <w:trPr>
          <w:trHeight w:val="150"/>
          <w:jc w:val="center"/>
        </w:trPr>
        <w:tc>
          <w:tcPr>
            <w:tcW w:w="10500" w:type="dxa"/>
            <w:vAlign w:val="center"/>
          </w:tcPr>
          <w:p w14:paraId="48F49BF2" w14:textId="77777777" w:rsidR="00A259D0" w:rsidRDefault="00030F53">
            <w:pPr>
              <w:ind w:left="1701" w:right="1717"/>
              <w:jc w:val="both"/>
              <w:rPr>
                <w:i/>
              </w:rPr>
            </w:pPr>
            <w:r>
              <w:rPr>
                <w:rFonts w:ascii="Palatino Linotype" w:eastAsia="Palatino Linotype" w:hAnsi="Palatino Linotype" w:cs="Palatino Linotype"/>
                <w:i/>
                <w:sz w:val="22"/>
                <w:szCs w:val="22"/>
              </w:rPr>
              <w:lastRenderedPageBreak/>
              <w:t>“…</w:t>
            </w:r>
            <w:r>
              <w:rPr>
                <w:rFonts w:ascii="Verdana" w:eastAsia="Verdana" w:hAnsi="Verdana" w:cs="Verdana"/>
                <w:i/>
                <w:sz w:val="18"/>
                <w:szCs w:val="18"/>
              </w:rPr>
              <w:t>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259D0" w14:paraId="33406EA8" w14:textId="77777777">
        <w:trPr>
          <w:jc w:val="center"/>
        </w:trPr>
        <w:tc>
          <w:tcPr>
            <w:tcW w:w="10500" w:type="dxa"/>
            <w:vAlign w:val="center"/>
          </w:tcPr>
          <w:p w14:paraId="49789D89" w14:textId="77777777" w:rsidR="00A259D0" w:rsidRDefault="00A259D0"/>
        </w:tc>
      </w:tr>
    </w:tbl>
    <w:p w14:paraId="49E1ED5C" w14:textId="77777777" w:rsidR="00A259D0" w:rsidRDefault="00A259D0">
      <w:pPr>
        <w:widowControl w:val="0"/>
        <w:ind w:left="850" w:right="901"/>
        <w:jc w:val="both"/>
        <w:rPr>
          <w:rFonts w:ascii="Palatino Linotype" w:eastAsia="Palatino Linotype" w:hAnsi="Palatino Linotype" w:cs="Palatino Linotype"/>
          <w:i/>
          <w:sz w:val="22"/>
          <w:szCs w:val="22"/>
        </w:rPr>
      </w:pPr>
    </w:p>
    <w:p w14:paraId="7B5BC373" w14:textId="77777777" w:rsidR="00A259D0" w:rsidRDefault="00030F53">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hace la entrega de la información proporcionada por el titular de la tesorería municipal</w:t>
      </w:r>
    </w:p>
    <w:p w14:paraId="0A661B9A" w14:textId="77777777" w:rsidR="00A259D0" w:rsidRDefault="00030F53">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0A3D8A23" w14:textId="77777777" w:rsidR="00A259D0" w:rsidRDefault="00030F53">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Leticia Ramírez </w:t>
      </w:r>
      <w:proofErr w:type="spellStart"/>
      <w:r>
        <w:rPr>
          <w:rFonts w:ascii="Palatino Linotype" w:eastAsia="Palatino Linotype" w:hAnsi="Palatino Linotype" w:cs="Palatino Linotype"/>
          <w:i/>
          <w:sz w:val="22"/>
          <w:szCs w:val="22"/>
        </w:rPr>
        <w:t>Velazquez</w:t>
      </w:r>
      <w:proofErr w:type="spellEnd"/>
      <w:r>
        <w:rPr>
          <w:rFonts w:ascii="Palatino Linotype" w:eastAsia="Palatino Linotype" w:hAnsi="Palatino Linotype" w:cs="Palatino Linotype"/>
          <w:i/>
          <w:sz w:val="22"/>
          <w:szCs w:val="22"/>
        </w:rPr>
        <w:t>”</w:t>
      </w:r>
    </w:p>
    <w:p w14:paraId="75E9141D" w14:textId="77777777" w:rsidR="00A259D0" w:rsidRDefault="00A259D0">
      <w:pPr>
        <w:widowControl w:val="0"/>
        <w:spacing w:line="360" w:lineRule="auto"/>
        <w:jc w:val="both"/>
        <w:rPr>
          <w:rFonts w:ascii="Palatino Linotype" w:eastAsia="Palatino Linotype" w:hAnsi="Palatino Linotype" w:cs="Palatino Linotype"/>
        </w:rPr>
      </w:pPr>
    </w:p>
    <w:p w14:paraId="09B58D9B" w14:textId="77777777" w:rsidR="00A259D0" w:rsidRDefault="00180D2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60288" behindDoc="0" locked="0" layoutInCell="1" allowOverlap="1" wp14:anchorId="59683B93" wp14:editId="0EC26A65">
                <wp:simplePos x="0" y="0"/>
                <wp:positionH relativeFrom="column">
                  <wp:posOffset>116205</wp:posOffset>
                </wp:positionH>
                <wp:positionV relativeFrom="paragraph">
                  <wp:posOffset>1357630</wp:posOffset>
                </wp:positionV>
                <wp:extent cx="5433060" cy="3901440"/>
                <wp:effectExtent l="0" t="0" r="34290" b="22860"/>
                <wp:wrapNone/>
                <wp:docPr id="1" name="Conector recto 1"/>
                <wp:cNvGraphicFramePr/>
                <a:graphic xmlns:a="http://schemas.openxmlformats.org/drawingml/2006/main">
                  <a:graphicData uri="http://schemas.microsoft.com/office/word/2010/wordprocessingShape">
                    <wps:wsp>
                      <wps:cNvCnPr/>
                      <wps:spPr>
                        <a:xfrm>
                          <a:off x="0" y="0"/>
                          <a:ext cx="5433060" cy="3901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4BDE2"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5pt,106.9pt" to="436.95pt,4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" strokecolor="#5b9bd5 [3204]" strokeweight=".5pt">
                <v:stroke joinstyle="miter"/>
              </v:line>
            </w:pict>
          </mc:Fallback>
        </mc:AlternateContent>
      </w:r>
      <w:r w:rsidR="00030F53">
        <w:rPr>
          <w:rFonts w:ascii="Palatino Linotype" w:eastAsia="Palatino Linotype" w:hAnsi="Palatino Linotype" w:cs="Palatino Linotype"/>
        </w:rPr>
        <w:t xml:space="preserve">Así mismo, </w:t>
      </w:r>
      <w:r w:rsidR="00030F53">
        <w:rPr>
          <w:rFonts w:ascii="Palatino Linotype" w:eastAsia="Palatino Linotype" w:hAnsi="Palatino Linotype" w:cs="Palatino Linotype"/>
          <w:b/>
        </w:rPr>
        <w:t>EL SUJETO OBLIGADO</w:t>
      </w:r>
      <w:r w:rsidR="00030F53">
        <w:rPr>
          <w:rFonts w:ascii="Palatino Linotype" w:eastAsia="Palatino Linotype" w:hAnsi="Palatino Linotype" w:cs="Palatino Linotype"/>
        </w:rPr>
        <w:t xml:space="preserve"> adjuntó a la respuesta los archivos </w:t>
      </w:r>
      <w:r w:rsidR="00030F53">
        <w:rPr>
          <w:rFonts w:ascii="Palatino Linotype" w:eastAsia="Palatino Linotype" w:hAnsi="Palatino Linotype" w:cs="Palatino Linotype"/>
          <w:b/>
          <w:i/>
        </w:rPr>
        <w:t xml:space="preserve">“cont. 0295-21.pdf, </w:t>
      </w:r>
      <w:r w:rsidR="00030F53">
        <w:rPr>
          <w:rFonts w:ascii="Palatino Linotype" w:eastAsia="Palatino Linotype" w:hAnsi="Palatino Linotype" w:cs="Palatino Linotype"/>
        </w:rPr>
        <w:t>el cual consta de una foja que contiene información de la Dieta de Aguinaldo del Municipio de Amecameca, correspondiente a diciembre de 2021el cual se inserta para mejor referencia:</w:t>
      </w:r>
    </w:p>
    <w:p w14:paraId="15062A89" w14:textId="77777777" w:rsidR="00A259D0" w:rsidRDefault="00030F53">
      <w:pPr>
        <w:spacing w:line="360" w:lineRule="auto"/>
        <w:jc w:val="center"/>
        <w:rPr>
          <w:rFonts w:ascii="Palatino Linotype" w:eastAsia="Palatino Linotype" w:hAnsi="Palatino Linotype" w:cs="Palatino Linotype"/>
        </w:rPr>
      </w:pPr>
      <w:r>
        <w:rPr>
          <w:noProof/>
          <w:lang w:eastAsia="es-MX"/>
        </w:rPr>
        <w:drawing>
          <wp:inline distT="0" distB="0" distL="0" distR="0" wp14:anchorId="53785F0F" wp14:editId="4BE3AF65">
            <wp:extent cx="3944781" cy="4415511"/>
            <wp:effectExtent l="0" t="0" r="0" b="0"/>
            <wp:docPr id="17" name="image4.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10;&#10;Descripción generada automáticamente"/>
                    <pic:cNvPicPr preferRelativeResize="0"/>
                  </pic:nvPicPr>
                  <pic:blipFill>
                    <a:blip r:embed="rId8"/>
                    <a:srcRect l="7652" t="22170" r="57779" b="9037"/>
                    <a:stretch>
                      <a:fillRect/>
                    </a:stretch>
                  </pic:blipFill>
                  <pic:spPr>
                    <a:xfrm>
                      <a:off x="0" y="0"/>
                      <a:ext cx="3944781" cy="4415511"/>
                    </a:xfrm>
                    <a:prstGeom prst="rect">
                      <a:avLst/>
                    </a:prstGeom>
                    <a:ln/>
                  </pic:spPr>
                </pic:pic>
              </a:graphicData>
            </a:graphic>
          </wp:inline>
        </w:drawing>
      </w:r>
    </w:p>
    <w:p w14:paraId="289A783A" w14:textId="77777777" w:rsidR="00A259D0" w:rsidRDefault="00030F5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cuanto</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al archivo </w:t>
      </w:r>
      <w:r>
        <w:rPr>
          <w:rFonts w:ascii="Palatino Linotype" w:eastAsia="Palatino Linotype" w:hAnsi="Palatino Linotype" w:cs="Palatino Linotype"/>
          <w:b/>
          <w:i/>
        </w:rPr>
        <w:t>“</w:t>
      </w:r>
      <w:r>
        <w:rPr>
          <w:rFonts w:ascii="Palatino Linotype" w:eastAsia="Palatino Linotype" w:hAnsi="Palatino Linotype" w:cs="Palatino Linotype"/>
          <w:b/>
        </w:rPr>
        <w:t>CONT. 0295-21.pdf</w:t>
      </w:r>
      <w:r>
        <w:t>”</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contiene le oficio mediante el cual el Tesorero Municipal remite a la Titular de la Unidad de Transparencia del Sujeto Obligado la información relacionada a lo requerido por el solicitante, es </w:t>
      </w:r>
      <w:proofErr w:type="gramStart"/>
      <w:r>
        <w:rPr>
          <w:rFonts w:ascii="Palatino Linotype" w:eastAsia="Palatino Linotype" w:hAnsi="Palatino Linotype" w:cs="Palatino Linotype"/>
        </w:rPr>
        <w:t>decir,  a</w:t>
      </w:r>
      <w:proofErr w:type="gramEnd"/>
      <w:r>
        <w:rPr>
          <w:rFonts w:ascii="Palatino Linotype" w:eastAsia="Palatino Linotype" w:hAnsi="Palatino Linotype" w:cs="Palatino Linotype"/>
        </w:rPr>
        <w:t xml:space="preserve"> el monto de aguinaldo pagado a los miembros del ayuntamiento, que para mayor referencia se inserta a continuación:</w:t>
      </w:r>
    </w:p>
    <w:p w14:paraId="49031439" w14:textId="77777777" w:rsidR="00A259D0" w:rsidRDefault="00030F53">
      <w:pPr>
        <w:spacing w:line="360" w:lineRule="auto"/>
        <w:jc w:val="center"/>
        <w:rPr>
          <w:rFonts w:ascii="Palatino Linotype" w:eastAsia="Palatino Linotype" w:hAnsi="Palatino Linotype" w:cs="Palatino Linotype"/>
        </w:rPr>
      </w:pPr>
      <w:r>
        <w:rPr>
          <w:noProof/>
          <w:lang w:eastAsia="es-MX"/>
        </w:rPr>
        <w:drawing>
          <wp:inline distT="0" distB="0" distL="0" distR="0" wp14:anchorId="78CC9393" wp14:editId="5B465F18">
            <wp:extent cx="4551013" cy="6070809"/>
            <wp:effectExtent l="0" t="0" r="0" b="0"/>
            <wp:docPr id="18" name="image3.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10;&#10;Descripción generada automáticamente"/>
                    <pic:cNvPicPr preferRelativeResize="0"/>
                  </pic:nvPicPr>
                  <pic:blipFill>
                    <a:blip r:embed="rId9"/>
                    <a:srcRect l="9777" t="18140" r="59195" b="8274"/>
                    <a:stretch>
                      <a:fillRect/>
                    </a:stretch>
                  </pic:blipFill>
                  <pic:spPr>
                    <a:xfrm>
                      <a:off x="0" y="0"/>
                      <a:ext cx="4551013" cy="6070809"/>
                    </a:xfrm>
                    <a:prstGeom prst="rect">
                      <a:avLst/>
                    </a:prstGeom>
                    <a:ln/>
                  </pic:spPr>
                </pic:pic>
              </a:graphicData>
            </a:graphic>
          </wp:inline>
        </w:drawing>
      </w:r>
    </w:p>
    <w:p w14:paraId="162BAFAB" w14:textId="77777777" w:rsidR="00A259D0" w:rsidRDefault="00A259D0">
      <w:pPr>
        <w:spacing w:line="360" w:lineRule="auto"/>
        <w:jc w:val="both"/>
        <w:rPr>
          <w:rFonts w:ascii="Palatino Linotype" w:eastAsia="Palatino Linotype" w:hAnsi="Palatino Linotype" w:cs="Palatino Linotype"/>
        </w:rPr>
      </w:pPr>
    </w:p>
    <w:p w14:paraId="24FEE83F" w14:textId="77777777" w:rsidR="00A259D0" w:rsidRDefault="00030F5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III.  </w:t>
      </w:r>
      <w:r>
        <w:rPr>
          <w:rFonts w:ascii="Palatino Linotype" w:eastAsia="Palatino Linotype" w:hAnsi="Palatino Linotype" w:cs="Palatino Linotype"/>
          <w:color w:val="000000"/>
        </w:rPr>
        <w:t>Inconforme por la respuesta del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el diecisiete de enero de dos mil veintidós, 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interpuso el recurso de revisión sujeto del presente estudio, el cual fue registrado en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y se le asignó el número de expediente al rubro citado, en el que señaló como acto impugnado:</w:t>
      </w:r>
    </w:p>
    <w:p w14:paraId="62208A68" w14:textId="77777777" w:rsidR="00A259D0" w:rsidRDefault="00A259D0">
      <w:pPr>
        <w:tabs>
          <w:tab w:val="left" w:pos="7936"/>
        </w:tabs>
        <w:ind w:left="851" w:right="902"/>
        <w:jc w:val="both"/>
        <w:rPr>
          <w:rFonts w:ascii="Palatino Linotype" w:eastAsia="Palatino Linotype" w:hAnsi="Palatino Linotype" w:cs="Palatino Linotype"/>
          <w:i/>
          <w:sz w:val="22"/>
          <w:szCs w:val="22"/>
        </w:rPr>
      </w:pPr>
    </w:p>
    <w:p w14:paraId="156AA99A" w14:textId="77777777" w:rsidR="00A259D0" w:rsidRDefault="00030F53">
      <w:pPr>
        <w:tabs>
          <w:tab w:val="left" w:pos="7936"/>
        </w:tabs>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Solicito en copia simple digitalizada monto de aguinaldos pagados a todos los 12 miembros del cabildo de Amecameca correspondiente a diciembre de 2021.</w:t>
      </w:r>
      <w:r>
        <w:rPr>
          <w:rFonts w:ascii="Palatino Linotype" w:eastAsia="Palatino Linotype" w:hAnsi="Palatino Linotype" w:cs="Palatino Linotype"/>
          <w:i/>
          <w:sz w:val="22"/>
          <w:szCs w:val="22"/>
        </w:rPr>
        <w:t>” (Sic)</w:t>
      </w:r>
    </w:p>
    <w:p w14:paraId="37F9290D" w14:textId="77777777" w:rsidR="00A259D0" w:rsidRDefault="00A259D0">
      <w:pPr>
        <w:tabs>
          <w:tab w:val="left" w:pos="7936"/>
        </w:tabs>
        <w:ind w:left="851" w:right="902"/>
        <w:jc w:val="both"/>
        <w:rPr>
          <w:rFonts w:ascii="Palatino Linotype" w:eastAsia="Palatino Linotype" w:hAnsi="Palatino Linotype" w:cs="Palatino Linotype"/>
          <w:i/>
          <w:sz w:val="22"/>
          <w:szCs w:val="22"/>
        </w:rPr>
      </w:pPr>
    </w:p>
    <w:p w14:paraId="6CA8A2B9" w14:textId="77777777" w:rsidR="00A259D0" w:rsidRDefault="00030F5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indicó como razones o motivos de inconformidad:</w:t>
      </w:r>
    </w:p>
    <w:p w14:paraId="1C778C98" w14:textId="77777777" w:rsidR="00A259D0" w:rsidRDefault="00A259D0">
      <w:pPr>
        <w:ind w:left="851" w:right="616"/>
        <w:jc w:val="both"/>
        <w:rPr>
          <w:rFonts w:ascii="Palatino Linotype" w:eastAsia="Palatino Linotype" w:hAnsi="Palatino Linotype" w:cs="Palatino Linotype"/>
          <w:i/>
          <w:sz w:val="22"/>
          <w:szCs w:val="22"/>
        </w:rPr>
      </w:pPr>
    </w:p>
    <w:p w14:paraId="31596096" w14:textId="77777777" w:rsidR="00A259D0" w:rsidRDefault="00030F53">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w:t>
      </w:r>
      <w:r>
        <w:rPr>
          <w:rFonts w:ascii="Palatino Linotype" w:eastAsia="Palatino Linotype" w:hAnsi="Palatino Linotype" w:cs="Palatino Linotype"/>
          <w:i/>
          <w:color w:val="000000"/>
          <w:sz w:val="22"/>
          <w:szCs w:val="22"/>
        </w:rPr>
        <w:t>oncluido el término designado conforme a la ley, el municipio no ha dado respuesta alguna.</w:t>
      </w:r>
      <w:r>
        <w:rPr>
          <w:rFonts w:ascii="Palatino Linotype" w:eastAsia="Palatino Linotype" w:hAnsi="Palatino Linotype" w:cs="Palatino Linotype"/>
          <w:i/>
          <w:sz w:val="22"/>
          <w:szCs w:val="22"/>
        </w:rPr>
        <w:t>” (Sic)</w:t>
      </w:r>
    </w:p>
    <w:p w14:paraId="4CDB2B44" w14:textId="77777777" w:rsidR="00A259D0" w:rsidRDefault="00A259D0">
      <w:pPr>
        <w:ind w:left="851" w:right="616"/>
        <w:jc w:val="both"/>
        <w:rPr>
          <w:rFonts w:ascii="Palatino Linotype" w:eastAsia="Palatino Linotype" w:hAnsi="Palatino Linotype" w:cs="Palatino Linotype"/>
          <w:i/>
          <w:sz w:val="22"/>
          <w:szCs w:val="22"/>
        </w:rPr>
      </w:pPr>
    </w:p>
    <w:p w14:paraId="0F17A234" w14:textId="77777777" w:rsidR="00A259D0" w:rsidRDefault="00030F53">
      <w:pPr>
        <w:widowControl w:val="0"/>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IV.</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 xml:space="preserve">En fecha quince de enero de dos mil veintidós,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a la Comisionada</w:t>
      </w:r>
      <w:r>
        <w:rPr>
          <w:rFonts w:ascii="Palatino Linotype" w:eastAsia="Palatino Linotype" w:hAnsi="Palatino Linotype" w:cs="Palatino Linotype"/>
          <w:b/>
          <w:color w:val="000000"/>
        </w:rPr>
        <w:t xml:space="preserve"> Guadalupe Ramírez Peña,</w:t>
      </w:r>
      <w:r>
        <w:rPr>
          <w:rFonts w:ascii="Palatino Linotype" w:eastAsia="Palatino Linotype" w:hAnsi="Palatino Linotype" w:cs="Palatino Linotype"/>
          <w:color w:val="000000"/>
        </w:rPr>
        <w:t xml:space="preserve"> a efecto de decretar su admisión o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w:t>
      </w:r>
    </w:p>
    <w:p w14:paraId="18B657D8" w14:textId="77777777" w:rsidR="00A259D0" w:rsidRDefault="00A259D0">
      <w:pPr>
        <w:widowControl w:val="0"/>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2654C0BA" w14:textId="77777777" w:rsidR="00A259D0" w:rsidRDefault="00030F53">
      <w:pPr>
        <w:widowControl w:val="0"/>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b/>
          <w:color w:val="000000"/>
        </w:rPr>
        <w:t>V</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 xml:space="preserve">Posteriormente, en fecha veinte de enero de dos mil veintidós, atento a lo dispuesto en el artículo 185, fracciones I, II y IV, de la Ley de Transparencia y Acceso a la Información Pública del Estado de México y Municipios, la </w:t>
      </w:r>
      <w:r>
        <w:rPr>
          <w:rFonts w:ascii="Palatino Linotype" w:eastAsia="Palatino Linotype" w:hAnsi="Palatino Linotype" w:cs="Palatino Linotype"/>
          <w:b/>
          <w:color w:val="000000"/>
        </w:rPr>
        <w:t>Comisionada Guadalupe Ramírez Peña</w:t>
      </w:r>
      <w:r>
        <w:rPr>
          <w:rFonts w:ascii="Palatino Linotype" w:eastAsia="Palatino Linotype" w:hAnsi="Palatino Linotype" w:cs="Palatino Linotype"/>
          <w:color w:val="000000"/>
        </w:rPr>
        <w:t xml:space="preserve"> acordó la admisión a trámite del referido recurso de revisión; así como, la integración del expediente respectivo, mismo que se puso a disposición de las partes, para que en el plazo máximo de siete días hábiles,</w:t>
      </w:r>
      <w:r>
        <w:rPr>
          <w:rFonts w:ascii="Palatino Linotype" w:eastAsia="Palatino Linotype" w:hAnsi="Palatino Linotype" w:cs="Palatino Linotype"/>
          <w:b/>
          <w:color w:val="000000"/>
        </w:rPr>
        <w:t xml:space="preserve"> EL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realizara manifestaciones, alegatos y ofreciera las pruebas que a su derecho conviniera y, en el caso del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para que exhibiera el Informe Justificado correspondiente.</w:t>
      </w:r>
    </w:p>
    <w:p w14:paraId="1C726F72" w14:textId="77777777" w:rsidR="00A259D0" w:rsidRDefault="00A259D0">
      <w:pPr>
        <w:widowControl w:val="0"/>
        <w:pBdr>
          <w:top w:val="nil"/>
          <w:left w:val="nil"/>
          <w:bottom w:val="nil"/>
          <w:right w:val="nil"/>
          <w:between w:val="nil"/>
        </w:pBdr>
        <w:tabs>
          <w:tab w:val="left" w:pos="0"/>
        </w:tabs>
        <w:jc w:val="both"/>
        <w:rPr>
          <w:rFonts w:ascii="Palatino Linotype" w:eastAsia="Palatino Linotype" w:hAnsi="Palatino Linotype" w:cs="Palatino Linotype"/>
          <w:color w:val="000000"/>
        </w:rPr>
      </w:pPr>
    </w:p>
    <w:p w14:paraId="6D2A3404" w14:textId="77777777" w:rsidR="00A259D0" w:rsidRDefault="00030F5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w:t>
      </w:r>
      <w:r>
        <w:rPr>
          <w:rFonts w:ascii="Palatino Linotype" w:eastAsia="Palatino Linotype" w:hAnsi="Palatino Linotype" w:cs="Palatino Linotype"/>
          <w:color w:val="000000"/>
        </w:rPr>
        <w:t xml:space="preserve"> De las constancias que obran en 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se desprende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fue omiso en rendir su</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Informe Justificado como se advierte en la siguiente imagen:</w:t>
      </w:r>
      <w:r>
        <w:rPr>
          <w:noProof/>
          <w:lang w:eastAsia="es-MX"/>
        </w:rPr>
        <w:drawing>
          <wp:anchor distT="0" distB="0" distL="114300" distR="114300" simplePos="0" relativeHeight="251658240" behindDoc="0" locked="0" layoutInCell="1" hidden="0" allowOverlap="1" wp14:anchorId="35BAFCC0" wp14:editId="617F3434">
            <wp:simplePos x="0" y="0"/>
            <wp:positionH relativeFrom="column">
              <wp:posOffset>1</wp:posOffset>
            </wp:positionH>
            <wp:positionV relativeFrom="paragraph">
              <wp:posOffset>946509</wp:posOffset>
            </wp:positionV>
            <wp:extent cx="5438103" cy="1296063"/>
            <wp:effectExtent l="0" t="0" r="0" b="0"/>
            <wp:wrapTopAndBottom distT="0" distB="0"/>
            <wp:docPr id="25" name="image6.png" descr="Interfaz de usuario gráfica, Texto, Aplicación, Exce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 Excel&#10;&#10;Descripción generada automáticamente"/>
                    <pic:cNvPicPr preferRelativeResize="0"/>
                  </pic:nvPicPr>
                  <pic:blipFill>
                    <a:blip r:embed="rId10"/>
                    <a:srcRect l="6100" t="25194" r="52819" b="57398"/>
                    <a:stretch>
                      <a:fillRect/>
                    </a:stretch>
                  </pic:blipFill>
                  <pic:spPr>
                    <a:xfrm>
                      <a:off x="0" y="0"/>
                      <a:ext cx="5438103" cy="1296063"/>
                    </a:xfrm>
                    <a:prstGeom prst="rect">
                      <a:avLst/>
                    </a:prstGeom>
                    <a:ln/>
                  </pic:spPr>
                </pic:pic>
              </a:graphicData>
            </a:graphic>
          </wp:anchor>
        </w:drawing>
      </w:r>
    </w:p>
    <w:p w14:paraId="071A61DC" w14:textId="77777777" w:rsidR="00A259D0" w:rsidRDefault="00A259D0">
      <w:pPr>
        <w:pBdr>
          <w:top w:val="nil"/>
          <w:left w:val="nil"/>
          <w:bottom w:val="nil"/>
          <w:right w:val="nil"/>
          <w:between w:val="nil"/>
        </w:pBdr>
        <w:jc w:val="both"/>
        <w:rPr>
          <w:rFonts w:ascii="Palatino Linotype" w:eastAsia="Palatino Linotype" w:hAnsi="Palatino Linotype" w:cs="Palatino Linotype"/>
          <w:color w:val="000000"/>
        </w:rPr>
      </w:pPr>
    </w:p>
    <w:p w14:paraId="1A28F7B0" w14:textId="77777777" w:rsidR="00A259D0" w:rsidRDefault="00030F5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VII</w:t>
      </w:r>
      <w:r>
        <w:rPr>
          <w:rFonts w:ascii="Palatino Linotype" w:eastAsia="Palatino Linotype" w:hAnsi="Palatino Linotype" w:cs="Palatino Linotype"/>
          <w:b/>
          <w:color w:val="000000"/>
          <w:sz w:val="28"/>
          <w:szCs w:val="28"/>
        </w:rPr>
        <w:t>.</w:t>
      </w:r>
      <w:r>
        <w:rPr>
          <w:rFonts w:ascii="Palatino Linotype" w:eastAsia="Palatino Linotype" w:hAnsi="Palatino Linotype" w:cs="Palatino Linotype"/>
          <w:color w:val="000000"/>
        </w:rPr>
        <w:t xml:space="preserve"> Posteriormente, en fecha dos de febrero de dos mil veintidós, mediante 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desistimiento respecto del presente recurso, tal y como se muestra a continuación: </w:t>
      </w:r>
    </w:p>
    <w:p w14:paraId="39850756" w14:textId="056D490E" w:rsidR="00307271" w:rsidRDefault="0030727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lang w:eastAsia="es-MX"/>
        </w:rPr>
        <w:drawing>
          <wp:inline distT="0" distB="0" distL="0" distR="0" wp14:anchorId="4C9846FF" wp14:editId="6970DED4">
            <wp:extent cx="5427163" cy="2820838"/>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62" t="30757" r="29755" b="33581"/>
                    <a:stretch/>
                  </pic:blipFill>
                  <pic:spPr bwMode="auto">
                    <a:xfrm>
                      <a:off x="0" y="0"/>
                      <a:ext cx="5457700" cy="2836710"/>
                    </a:xfrm>
                    <a:prstGeom prst="rect">
                      <a:avLst/>
                    </a:prstGeom>
                    <a:ln>
                      <a:noFill/>
                    </a:ln>
                    <a:extLst>
                      <a:ext uri="{53640926-AAD7-44D8-BBD7-CCE9431645EC}">
                        <a14:shadowObscured xmlns:a14="http://schemas.microsoft.com/office/drawing/2010/main"/>
                      </a:ext>
                    </a:extLst>
                  </pic:spPr>
                </pic:pic>
              </a:graphicData>
            </a:graphic>
          </wp:inline>
        </w:drawing>
      </w:r>
    </w:p>
    <w:p w14:paraId="6453F472" w14:textId="77777777" w:rsidR="00307271" w:rsidRDefault="0030727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0B2C858" w14:textId="0E426C07" w:rsidR="00A259D0" w:rsidRDefault="0030727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lang w:eastAsia="es-MX"/>
        </w:rPr>
        <w:lastRenderedPageBreak/>
        <w:drawing>
          <wp:inline distT="0" distB="0" distL="0" distR="0" wp14:anchorId="525CD3BB" wp14:editId="153FE469">
            <wp:extent cx="5477000" cy="20272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77" t="35168" r="28359" b="39982"/>
                    <a:stretch/>
                  </pic:blipFill>
                  <pic:spPr bwMode="auto">
                    <a:xfrm>
                      <a:off x="0" y="0"/>
                      <a:ext cx="5527759" cy="204599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lang w:eastAsia="es-MX"/>
        </w:rPr>
        <w:t xml:space="preserve"> </w:t>
      </w:r>
    </w:p>
    <w:p w14:paraId="0926B340" w14:textId="77777777" w:rsidR="00A259D0" w:rsidRDefault="00030F5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VIII.</w:t>
      </w:r>
      <w:r>
        <w:rPr>
          <w:rFonts w:ascii="Palatino Linotype" w:eastAsia="Palatino Linotype" w:hAnsi="Palatino Linotype" w:cs="Palatino Linotype"/>
          <w:color w:val="000000"/>
        </w:rPr>
        <w:t xml:space="preserve"> Una vez analizado el estado procesal que guardaba el expediente, el dos de febrero de dos mil veintidós, la </w:t>
      </w:r>
      <w:r>
        <w:rPr>
          <w:rFonts w:ascii="Palatino Linotype" w:eastAsia="Palatino Linotype" w:hAnsi="Palatino Linotype" w:cs="Palatino Linotype"/>
          <w:b/>
          <w:color w:val="000000"/>
        </w:rPr>
        <w:t>Comisionada Guadalupe Ramírez Peña</w:t>
      </w:r>
      <w:r>
        <w:rPr>
          <w:rFonts w:ascii="Palatino Linotype" w:eastAsia="Palatino Linotype" w:hAnsi="Palatino Linotype" w:cs="Palatino Linotype"/>
          <w:color w:val="000000"/>
        </w:rPr>
        <w:t xml:space="preserve"> acordó el cierre de instrucción; así como, la remisión </w:t>
      </w:r>
      <w:proofErr w:type="gramStart"/>
      <w:r>
        <w:rPr>
          <w:rFonts w:ascii="Palatino Linotype" w:eastAsia="Palatino Linotype" w:hAnsi="Palatino Linotype" w:cs="Palatino Linotype"/>
          <w:color w:val="000000"/>
        </w:rPr>
        <w:t>del mismo</w:t>
      </w:r>
      <w:proofErr w:type="gramEnd"/>
      <w:r>
        <w:rPr>
          <w:rFonts w:ascii="Palatino Linotype" w:eastAsia="Palatino Linotype" w:hAnsi="Palatino Linotype" w:cs="Palatino Linotype"/>
          <w:color w:val="000000"/>
        </w:rPr>
        <w:t xml:space="preserve"> a efecto de ser resuelto, de conformidad con lo establecido en el artículo 185, fracciones VI y VIII de la Ley de Transparencia y Acceso a la Información Pública del Estado de México y Municipios; y</w:t>
      </w:r>
    </w:p>
    <w:p w14:paraId="2CB7545A" w14:textId="77777777" w:rsidR="00A259D0" w:rsidRDefault="00030F53">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CONSIDERANDO</w:t>
      </w:r>
    </w:p>
    <w:p w14:paraId="102BB9B8" w14:textId="77777777" w:rsidR="00A259D0" w:rsidRDefault="00A259D0">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14:paraId="78808415" w14:textId="77777777" w:rsidR="00A259D0" w:rsidRDefault="00030F53">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Primero. Competencia</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w:t>
      </w:r>
      <w:r>
        <w:rPr>
          <w:rFonts w:ascii="Palatino Linotype" w:eastAsia="Palatino Linotype" w:hAnsi="Palatino Linotype" w:cs="Palatino Linotype"/>
          <w:color w:val="000000"/>
        </w:rPr>
        <w:lastRenderedPageBreak/>
        <w:t>del Estado de México y Municipios.</w:t>
      </w:r>
    </w:p>
    <w:p w14:paraId="75581B54" w14:textId="77777777" w:rsidR="00A259D0" w:rsidRDefault="00030F5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la solicitante en fecha treinta de diciembre de dos mil veintiuno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diecisiete de enero de dos mil veintidós, esto es al sexto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501D4F8A" w14:textId="77777777" w:rsidR="00A259D0" w:rsidRDefault="00030F5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 </w:t>
      </w:r>
    </w:p>
    <w:p w14:paraId="0F813BE0" w14:textId="77777777" w:rsidR="00A259D0" w:rsidRDefault="00A259D0">
      <w:pPr>
        <w:spacing w:line="360" w:lineRule="auto"/>
        <w:ind w:right="-147"/>
        <w:jc w:val="both"/>
        <w:rPr>
          <w:rFonts w:ascii="Palatino Linotype" w:eastAsia="Palatino Linotype" w:hAnsi="Palatino Linotype" w:cs="Palatino Linotype"/>
        </w:rPr>
      </w:pPr>
    </w:p>
    <w:p w14:paraId="6BE2B293" w14:textId="77777777" w:rsidR="00A259D0" w:rsidRDefault="00030F53">
      <w:pP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motivos de inconformidad, de acuerdo con el artículo 179, fracción VII de la Ley de Transparencia y Acceso a la Información Pública del Estado de México y Municipios; que a la letra dice:</w:t>
      </w:r>
    </w:p>
    <w:p w14:paraId="72E9A610" w14:textId="77777777" w:rsidR="00A259D0" w:rsidRDefault="00A259D0">
      <w:pPr>
        <w:spacing w:line="360" w:lineRule="auto"/>
        <w:ind w:right="-147"/>
        <w:jc w:val="both"/>
        <w:rPr>
          <w:rFonts w:ascii="Palatino Linotype" w:eastAsia="Palatino Linotype" w:hAnsi="Palatino Linotype" w:cs="Palatino Linotype"/>
          <w:color w:val="000000"/>
        </w:rPr>
      </w:pPr>
    </w:p>
    <w:p w14:paraId="0894ACFA" w14:textId="77777777" w:rsidR="00A259D0" w:rsidRDefault="00030F53">
      <w:pP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4ABC9B5B" w14:textId="77777777" w:rsidR="00A259D0" w:rsidRDefault="00030F53">
      <w:pP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0A0D62A" w14:textId="77777777" w:rsidR="00A259D0" w:rsidRDefault="00030F53">
      <w:pP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VII. La falta de respuesta a una solicitud de acceso a la información;</w:t>
      </w:r>
      <w:r>
        <w:rPr>
          <w:rFonts w:ascii="Palatino Linotype" w:eastAsia="Palatino Linotype" w:hAnsi="Palatino Linotype" w:cs="Palatino Linotype"/>
          <w:i/>
          <w:color w:val="000000"/>
          <w:sz w:val="22"/>
          <w:szCs w:val="22"/>
        </w:rPr>
        <w:t>” (Sic)</w:t>
      </w:r>
    </w:p>
    <w:p w14:paraId="7544D682" w14:textId="77777777" w:rsidR="00A259D0" w:rsidRDefault="00A259D0">
      <w:pPr>
        <w:pBdr>
          <w:top w:val="nil"/>
          <w:left w:val="nil"/>
          <w:bottom w:val="nil"/>
          <w:right w:val="nil"/>
          <w:between w:val="nil"/>
        </w:pBdr>
        <w:spacing w:line="360" w:lineRule="auto"/>
        <w:jc w:val="both"/>
        <w:rPr>
          <w:color w:val="000000"/>
        </w:rPr>
      </w:pPr>
    </w:p>
    <w:p w14:paraId="6CE61D7A" w14:textId="77777777" w:rsidR="00A259D0" w:rsidRDefault="00030F53">
      <w:pPr>
        <w:tabs>
          <w:tab w:val="left" w:pos="2422"/>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Análisis de la causal de sobreseimiento.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Por otra parte, el artículo 192 de la Ley de Transparencia y Acceso a la Información Pública del Estado de México y Municipios, señala que el Recurso de Revisión será sobreseído en todo o en parte, cuando, una vez admitido, se actualice alguno de los siguientes supuestos:</w:t>
      </w:r>
    </w:p>
    <w:p w14:paraId="5305D305" w14:textId="77777777" w:rsidR="00A259D0" w:rsidRDefault="00A259D0">
      <w:pPr>
        <w:tabs>
          <w:tab w:val="left" w:pos="2422"/>
        </w:tabs>
        <w:spacing w:line="360" w:lineRule="auto"/>
        <w:ind w:left="709" w:right="49"/>
        <w:jc w:val="both"/>
        <w:rPr>
          <w:rFonts w:ascii="Palatino Linotype" w:eastAsia="Palatino Linotype" w:hAnsi="Palatino Linotype" w:cs="Palatino Linotype"/>
        </w:rPr>
      </w:pPr>
    </w:p>
    <w:p w14:paraId="217D50D8" w14:textId="77777777" w:rsidR="00A259D0" w:rsidRDefault="00030F53">
      <w:pPr>
        <w:numPr>
          <w:ilvl w:val="0"/>
          <w:numId w:val="1"/>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El Recurrente se desista expresamente;</w:t>
      </w:r>
    </w:p>
    <w:p w14:paraId="5F9322C4" w14:textId="77777777" w:rsidR="00A259D0" w:rsidRDefault="00030F53">
      <w:pPr>
        <w:numPr>
          <w:ilvl w:val="0"/>
          <w:numId w:val="1"/>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El Recurrente fallezca o, tratándose de personas morales se disuelva;</w:t>
      </w:r>
    </w:p>
    <w:p w14:paraId="2AA9B12A" w14:textId="77777777" w:rsidR="00A259D0" w:rsidRDefault="00030F53">
      <w:pPr>
        <w:numPr>
          <w:ilvl w:val="0"/>
          <w:numId w:val="1"/>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El Sujeto Obligado modifique la respuesta o la revoque, de tal manera que el recurso de revisión quede sin materia;</w:t>
      </w:r>
    </w:p>
    <w:p w14:paraId="4AFE6AAE" w14:textId="77777777" w:rsidR="00A259D0" w:rsidRDefault="00030F53">
      <w:pPr>
        <w:numPr>
          <w:ilvl w:val="0"/>
          <w:numId w:val="1"/>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Admitido el recurso de revisión, aparezca alguna causal de improcedencia; y,</w:t>
      </w:r>
    </w:p>
    <w:p w14:paraId="1D4F678F" w14:textId="77777777" w:rsidR="00A259D0" w:rsidRDefault="00030F53">
      <w:pPr>
        <w:numPr>
          <w:ilvl w:val="0"/>
          <w:numId w:val="1"/>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Cuando por cualquier motivo quede sin materia el recurso de revisión.</w:t>
      </w:r>
    </w:p>
    <w:p w14:paraId="0A44A455" w14:textId="77777777" w:rsidR="00A259D0" w:rsidRDefault="00A259D0">
      <w:pPr>
        <w:spacing w:line="360" w:lineRule="auto"/>
      </w:pPr>
    </w:p>
    <w:p w14:paraId="0660FA05" w14:textId="77777777" w:rsidR="00A259D0" w:rsidRDefault="00030F53">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Ahora bien, es susceptible de análisis la actualización del supuesto jurídico previsto en la fracción I, del artículo 192, de la Ley en cita, mismo que dispone que el Recurso de Revisión será sobreseído cuando </w:t>
      </w:r>
      <w:r>
        <w:rPr>
          <w:rFonts w:ascii="Palatino Linotype" w:eastAsia="Palatino Linotype" w:hAnsi="Palatino Linotype" w:cs="Palatino Linotype"/>
          <w:b/>
          <w:color w:val="000000"/>
        </w:rPr>
        <w:t>el Recurrente se desista expresamente</w:t>
      </w:r>
      <w:r>
        <w:rPr>
          <w:rFonts w:ascii="Palatino Linotype" w:eastAsia="Palatino Linotype" w:hAnsi="Palatino Linotype" w:cs="Palatino Linotype"/>
          <w:color w:val="000000"/>
        </w:rPr>
        <w:t xml:space="preserve">. Ello, toda vez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fecha dos de febrero de dos mil veintidós, a través del Sistema de Acceso a la Información Mexiquense (SAIMEX), se desistió expresamente del presente Recurso de Revisión. </w:t>
      </w:r>
    </w:p>
    <w:p w14:paraId="51643A94" w14:textId="77777777" w:rsidR="00A259D0" w:rsidRDefault="00A259D0">
      <w:pPr>
        <w:spacing w:line="360" w:lineRule="auto"/>
      </w:pPr>
    </w:p>
    <w:p w14:paraId="0D28126A" w14:textId="77777777" w:rsidR="00A259D0" w:rsidRDefault="00030F5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atención a las constancias que integran el expediente del Sistema de Acceso a la Información Mexiquense (SAIMEX) y que se insertan, se aprecia que el Recurrente se desistió del Recurso de Revisión motivo del presente fallo:</w:t>
      </w:r>
    </w:p>
    <w:p w14:paraId="76AA8C76" w14:textId="6810887D" w:rsidR="00307271" w:rsidRDefault="00307271">
      <w:pPr>
        <w:pBdr>
          <w:top w:val="nil"/>
          <w:left w:val="nil"/>
          <w:bottom w:val="nil"/>
          <w:right w:val="nil"/>
          <w:between w:val="nil"/>
        </w:pBdr>
        <w:spacing w:line="360" w:lineRule="auto"/>
        <w:jc w:val="both"/>
        <w:rPr>
          <w:color w:val="000000"/>
        </w:rPr>
      </w:pPr>
      <w:r>
        <w:rPr>
          <w:noProof/>
          <w:lang w:eastAsia="es-MX"/>
        </w:rPr>
        <w:drawing>
          <wp:inline distT="0" distB="0" distL="0" distR="0" wp14:anchorId="5D511E97" wp14:editId="36960DF7">
            <wp:extent cx="5748020" cy="5699051"/>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52" t="26074" r="27059" b="18433"/>
                    <a:stretch/>
                  </pic:blipFill>
                  <pic:spPr bwMode="auto">
                    <a:xfrm>
                      <a:off x="0" y="0"/>
                      <a:ext cx="5803211" cy="5753771"/>
                    </a:xfrm>
                    <a:prstGeom prst="rect">
                      <a:avLst/>
                    </a:prstGeom>
                    <a:ln>
                      <a:noFill/>
                    </a:ln>
                    <a:extLst>
                      <a:ext uri="{53640926-AAD7-44D8-BBD7-CCE9431645EC}">
                        <a14:shadowObscured xmlns:a14="http://schemas.microsoft.com/office/drawing/2010/main"/>
                      </a:ext>
                    </a:extLst>
                  </pic:spPr>
                </pic:pic>
              </a:graphicData>
            </a:graphic>
          </wp:inline>
        </w:drawing>
      </w:r>
    </w:p>
    <w:p w14:paraId="55572D65" w14:textId="77777777" w:rsidR="00A259D0" w:rsidRDefault="00A259D0">
      <w:pPr>
        <w:pBdr>
          <w:top w:val="nil"/>
          <w:left w:val="nil"/>
          <w:bottom w:val="nil"/>
          <w:right w:val="nil"/>
          <w:between w:val="nil"/>
        </w:pBdr>
        <w:spacing w:line="360" w:lineRule="auto"/>
        <w:jc w:val="both"/>
        <w:rPr>
          <w:color w:val="000000"/>
        </w:rPr>
      </w:pPr>
    </w:p>
    <w:p w14:paraId="0C756113" w14:textId="2D2336C7" w:rsidR="00A259D0" w:rsidRDefault="00A259D0">
      <w:pPr>
        <w:pBdr>
          <w:top w:val="nil"/>
          <w:left w:val="nil"/>
          <w:bottom w:val="nil"/>
          <w:right w:val="nil"/>
          <w:between w:val="nil"/>
        </w:pBdr>
        <w:spacing w:line="360" w:lineRule="auto"/>
        <w:jc w:val="both"/>
        <w:rPr>
          <w:color w:val="000000"/>
        </w:rPr>
      </w:pPr>
    </w:p>
    <w:p w14:paraId="0E19C02A" w14:textId="77777777" w:rsidR="00A259D0" w:rsidRDefault="00A259D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8C04381" w14:textId="7F60B4C0" w:rsidR="00A259D0" w:rsidRDefault="00A259D0" w:rsidP="0030727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8632FB8" w14:textId="77777777" w:rsidR="00A259D0" w:rsidRDefault="00030F53">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 xml:space="preserve">En la captura de pantalla arriba insertada se puede observar que el mismo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manifiesta su intención para desistirse del recurso en consecuencia, se estima que se actualiza el supuesto previsto en el artículo 192, fracción I, de la Ley de Transparencia y Acceso a la Información Pública del Estado de México y Municipios.</w:t>
      </w:r>
    </w:p>
    <w:p w14:paraId="202A8BD3" w14:textId="27620A7C" w:rsidR="00A259D0" w:rsidRDefault="00A259D0">
      <w:pPr>
        <w:spacing w:line="360" w:lineRule="auto"/>
      </w:pPr>
    </w:p>
    <w:p w14:paraId="1B42D94C" w14:textId="77777777" w:rsidR="00A259D0" w:rsidRDefault="00030F5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tenor, resulta aplicable la Jurisprudencia número 1a./J. 65/2005, Semanario Judicial de la Federación y su Gaceta, Novena Época, Tomo XXII, julio de dos mil cinco, página ciento sesenta y uno, que establece lo siguiente:</w:t>
      </w:r>
    </w:p>
    <w:p w14:paraId="6E970290" w14:textId="77777777" w:rsidR="00A259D0" w:rsidRDefault="00A259D0">
      <w:pPr>
        <w:spacing w:line="360" w:lineRule="auto"/>
        <w:jc w:val="both"/>
      </w:pPr>
    </w:p>
    <w:p w14:paraId="324A32DE" w14:textId="77777777" w:rsidR="00A259D0" w:rsidRDefault="00030F53">
      <w:pPr>
        <w:ind w:left="567" w:right="567"/>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DESISTIMIENTO DE LA INSTANCIA. SURTE EFECTOS DESDE EL MOMENTO EN QUE SE PRESENTA EL ESCRITO CORRESPONDIENTE.</w:t>
      </w:r>
    </w:p>
    <w:p w14:paraId="638E3F7F" w14:textId="77777777" w:rsidR="00A259D0" w:rsidRDefault="00030F53">
      <w:pPr>
        <w:ind w:left="567" w:right="567"/>
        <w:jc w:val="both"/>
      </w:pPr>
      <w:r>
        <w:rPr>
          <w:rFonts w:ascii="Palatino Linotype" w:eastAsia="Palatino Linotype" w:hAnsi="Palatino Linotype" w:cs="Palatino Linotype"/>
          <w:i/>
          <w:color w:val="000000"/>
        </w:rPr>
        <w:t>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14:paraId="6326C499" w14:textId="77777777" w:rsidR="00A259D0" w:rsidRDefault="00A259D0"/>
    <w:p w14:paraId="61511D23" w14:textId="77777777" w:rsidR="00A259D0" w:rsidRDefault="00030F53">
      <w:pPr>
        <w:spacing w:line="360" w:lineRule="auto"/>
        <w:jc w:val="both"/>
      </w:pPr>
      <w:r>
        <w:rPr>
          <w:rFonts w:ascii="Palatino Linotype" w:eastAsia="Palatino Linotype" w:hAnsi="Palatino Linotype" w:cs="Palatino Linotype"/>
          <w:color w:val="000000"/>
        </w:rPr>
        <w:lastRenderedPageBreak/>
        <w:t>Conforme a lo citado se pude colegir que cuando el Recurrente presente un escrito de desistimiento, le hace saber a este Instituto la intención de destruir los efectos jurídicos generados con los Recursos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14:paraId="7FD7B5B5" w14:textId="77777777" w:rsidR="00A259D0" w:rsidRDefault="00A259D0">
      <w:pPr>
        <w:spacing w:line="360" w:lineRule="auto"/>
      </w:pPr>
    </w:p>
    <w:p w14:paraId="1162D379" w14:textId="77777777" w:rsidR="00A259D0" w:rsidRDefault="00030F53">
      <w:pPr>
        <w:spacing w:line="360" w:lineRule="auto"/>
        <w:jc w:val="both"/>
      </w:pPr>
      <w:r>
        <w:rPr>
          <w:rFonts w:ascii="Palatino Linotype" w:eastAsia="Palatino Linotype" w:hAnsi="Palatino Linotype" w:cs="Palatino Linotype"/>
          <w:color w:val="000000"/>
        </w:rPr>
        <w:t xml:space="preserve">En ese sentido, toda vez que este Instituto constató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se desistió por la vía idónea para realizar dicha acción, a saber, por el Sistema de Acceso a la Información Mexiquense (SAIMEX), resulta procedente </w:t>
      </w:r>
      <w:r>
        <w:rPr>
          <w:rFonts w:ascii="Palatino Linotype" w:eastAsia="Palatino Linotype" w:hAnsi="Palatino Linotype" w:cs="Palatino Linotype"/>
          <w:b/>
          <w:color w:val="000000"/>
        </w:rPr>
        <w:t xml:space="preserve">SOBRESEER </w:t>
      </w:r>
      <w:r>
        <w:rPr>
          <w:rFonts w:ascii="Palatino Linotype" w:eastAsia="Palatino Linotype" w:hAnsi="Palatino Linotype" w:cs="Palatino Linotype"/>
          <w:color w:val="000000"/>
        </w:rPr>
        <w:t xml:space="preserve">el Recurso de Revisión con número </w:t>
      </w:r>
      <w:r>
        <w:rPr>
          <w:rFonts w:ascii="Palatino Linotype" w:eastAsia="Palatino Linotype" w:hAnsi="Palatino Linotype" w:cs="Palatino Linotype"/>
          <w:b/>
          <w:color w:val="000000"/>
        </w:rPr>
        <w:t xml:space="preserve">00144/INFOEM/IP/RR/2022 </w:t>
      </w:r>
      <w:r>
        <w:rPr>
          <w:rFonts w:ascii="Palatino Linotype" w:eastAsia="Palatino Linotype" w:hAnsi="Palatino Linotype" w:cs="Palatino Linotype"/>
          <w:color w:val="000000"/>
        </w:rPr>
        <w:t>al actualizarse el supuesto previsto en el artículo 192, fracción I, de la Ley de Transparencia y Acceso a la Información Pública del Estado de México y Municipios, en relación con el 186, fracción I de ese ordenamiento legal.</w:t>
      </w:r>
    </w:p>
    <w:p w14:paraId="17578008" w14:textId="77777777" w:rsidR="00A259D0" w:rsidRDefault="00030F5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con fundamento en lo prescrito en los artículos 5 </w:t>
      </w:r>
      <w:r>
        <w:rPr>
          <w:rFonts w:ascii="Palatino Linotype" w:eastAsia="Palatino Linotype" w:hAnsi="Palatino Linotype" w:cs="Palatino Linotype"/>
          <w:color w:val="000000"/>
          <w:highlight w:val="white"/>
        </w:rPr>
        <w:t xml:space="preserve">párrafos trigésimo, trigésimo primero y trigésimo segundo fracciones IV y V </w:t>
      </w:r>
      <w:r>
        <w:rPr>
          <w:rFonts w:ascii="Palatino Linotype" w:eastAsia="Palatino Linotype" w:hAnsi="Palatino Linotype" w:cs="Palatino Linotype"/>
          <w:color w:val="000000"/>
        </w:rPr>
        <w:t>de la Constitución Política del Estado Libre y Soberano de México; 2, fracción II; 29, 36 fracciones I y II; 176, 178, 181, 185 y 192 fracción I, de la Ley de Transparencia y Acceso a la Información Pública del Estado de México y Municipios, este Pleno:</w:t>
      </w:r>
    </w:p>
    <w:p w14:paraId="12D779CB" w14:textId="77777777" w:rsidR="00180D2E" w:rsidRDefault="00180D2E">
      <w:pPr>
        <w:spacing w:before="240" w:after="240" w:line="360" w:lineRule="auto"/>
        <w:jc w:val="both"/>
      </w:pPr>
    </w:p>
    <w:p w14:paraId="6F680DC7" w14:textId="77777777" w:rsidR="00A259D0" w:rsidRDefault="00030F53">
      <w:pPr>
        <w:spacing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14:paraId="05E56B81" w14:textId="77777777" w:rsidR="00A259D0" w:rsidRDefault="00A259D0">
      <w:pPr>
        <w:spacing w:line="360" w:lineRule="auto"/>
        <w:rPr>
          <w:rFonts w:ascii="Palatino Linotype" w:eastAsia="Palatino Linotype" w:hAnsi="Palatino Linotype" w:cs="Palatino Linotype"/>
          <w:b/>
          <w:sz w:val="28"/>
          <w:szCs w:val="28"/>
        </w:rPr>
      </w:pPr>
    </w:p>
    <w:p w14:paraId="4D59F008" w14:textId="77777777" w:rsidR="00A259D0" w:rsidRDefault="00030F5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lastRenderedPageBreak/>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00144/INFOEM/IP/RR/2022</w:t>
      </w:r>
      <w:r>
        <w:rPr>
          <w:rFonts w:ascii="Palatino Linotype" w:eastAsia="Palatino Linotype" w:hAnsi="Palatino Linotype" w:cs="Palatino Linotype"/>
        </w:rPr>
        <w:t>, por haberse desistido expresamente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Tercero</w:t>
      </w:r>
      <w:r>
        <w:rPr>
          <w:rFonts w:ascii="Palatino Linotype" w:eastAsia="Palatino Linotype" w:hAnsi="Palatino Linotype" w:cs="Palatino Linotype"/>
        </w:rPr>
        <w:t xml:space="preserve"> de la presente resolución. </w:t>
      </w:r>
    </w:p>
    <w:p w14:paraId="0E5A3747" w14:textId="77777777" w:rsidR="00A259D0" w:rsidRDefault="00A259D0">
      <w:pPr>
        <w:spacing w:line="360" w:lineRule="auto"/>
        <w:jc w:val="both"/>
        <w:rPr>
          <w:rFonts w:ascii="Palatino Linotype" w:eastAsia="Palatino Linotype" w:hAnsi="Palatino Linotype" w:cs="Palatino Linotype"/>
        </w:rPr>
      </w:pPr>
    </w:p>
    <w:p w14:paraId="36076680" w14:textId="77777777" w:rsidR="00A259D0" w:rsidRDefault="00030F53">
      <w:pPr>
        <w:spacing w:line="360" w:lineRule="auto"/>
        <w:ind w:right="49"/>
        <w:jc w:val="both"/>
        <w:rPr>
          <w:rFonts w:ascii="Palatino Linotype" w:eastAsia="Palatino Linotype" w:hAnsi="Palatino Linotype" w:cs="Palatino Linotype"/>
          <w:b/>
        </w:rPr>
      </w:pPr>
      <w:bookmarkStart w:id="1" w:name="_heading=h.30j0zll" w:colFirst="0" w:colLast="0"/>
      <w:bookmarkEnd w:id="1"/>
      <w:r>
        <w:rPr>
          <w:rFonts w:ascii="Palatino Linotype" w:eastAsia="Palatino Linotype" w:hAnsi="Palatino Linotype" w:cs="Palatino Linotype"/>
          <w:b/>
          <w:sz w:val="28"/>
          <w:szCs w:val="28"/>
        </w:rPr>
        <w:t>SEGUNDO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vía Sistema de Acceso a la Información Mexiquense (SAIMEX).</w:t>
      </w:r>
    </w:p>
    <w:p w14:paraId="54F40FD2" w14:textId="77777777" w:rsidR="00A259D0" w:rsidRDefault="00A259D0">
      <w:pPr>
        <w:spacing w:line="360" w:lineRule="auto"/>
        <w:jc w:val="both"/>
        <w:rPr>
          <w:rFonts w:ascii="Palatino Linotype" w:eastAsia="Palatino Linotype" w:hAnsi="Palatino Linotype" w:cs="Palatino Linotype"/>
          <w:i/>
        </w:rPr>
      </w:pPr>
    </w:p>
    <w:p w14:paraId="320FC488" w14:textId="77777777" w:rsidR="00A259D0" w:rsidRDefault="00030F53">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presente resolución, vía Sistema de Acceso a la Información Mexiquense (SAIMEX).</w:t>
      </w:r>
    </w:p>
    <w:p w14:paraId="21F355B2" w14:textId="77777777" w:rsidR="00A259D0" w:rsidRDefault="00A259D0">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14:paraId="0F2B61A9" w14:textId="77777777" w:rsidR="00A259D0" w:rsidRDefault="00030F53">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CUARTO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rPr>
        <w:t>Notifíquese a</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E4E5BA0" w14:textId="77777777" w:rsidR="00A259D0" w:rsidRDefault="00A259D0">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000000"/>
        </w:rPr>
      </w:pPr>
    </w:p>
    <w:p w14:paraId="6F1DCAAF" w14:textId="77777777" w:rsidR="00A259D0" w:rsidRDefault="00030F5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w:t>
      </w:r>
      <w:r>
        <w:rPr>
          <w:rFonts w:ascii="Palatino Linotype" w:eastAsia="Palatino Linotype" w:hAnsi="Palatino Linotype" w:cs="Palatino Linotype"/>
        </w:rPr>
        <w:lastRenderedPageBreak/>
        <w:t>ORDINARIA CELEBRADA EL DIEZ DE FEBRERO DE DOS MIL VEINTIDÓS, ANTE EL SECRETARIO TÉCNICO DEL PLENO, ALEXIS TAPIA RAMÍREZ.</w:t>
      </w:r>
    </w:p>
    <w:p w14:paraId="64F5994D" w14:textId="04B212D0" w:rsidR="00A259D0" w:rsidRDefault="00C5605A">
      <w:pPr>
        <w:widowControl w:val="0"/>
        <w:spacing w:line="360" w:lineRule="auto"/>
        <w:jc w:val="both"/>
        <w:rPr>
          <w:rFonts w:ascii="Palatino Linotype" w:eastAsia="Palatino Linotype" w:hAnsi="Palatino Linotype" w:cs="Palatino Linotype"/>
          <w:sz w:val="20"/>
          <w:szCs w:val="20"/>
        </w:rPr>
      </w:pPr>
      <w:r>
        <w:rPr>
          <w:noProof/>
          <w:lang w:eastAsia="es-MX"/>
        </w:rPr>
        <mc:AlternateContent>
          <mc:Choice Requires="wps">
            <w:drawing>
              <wp:anchor distT="0" distB="0" distL="114300" distR="114300" simplePos="0" relativeHeight="251661312" behindDoc="0" locked="0" layoutInCell="1" allowOverlap="1" wp14:anchorId="3E885ACD" wp14:editId="3AD53DC1">
                <wp:simplePos x="0" y="0"/>
                <wp:positionH relativeFrom="column">
                  <wp:posOffset>404281</wp:posOffset>
                </wp:positionH>
                <wp:positionV relativeFrom="paragraph">
                  <wp:posOffset>437812</wp:posOffset>
                </wp:positionV>
                <wp:extent cx="5260768" cy="5949538"/>
                <wp:effectExtent l="0" t="0" r="35560" b="32385"/>
                <wp:wrapNone/>
                <wp:docPr id="3" name="Conector recto 3"/>
                <wp:cNvGraphicFramePr/>
                <a:graphic xmlns:a="http://schemas.openxmlformats.org/drawingml/2006/main">
                  <a:graphicData uri="http://schemas.microsoft.com/office/word/2010/wordprocessingShape">
                    <wps:wsp>
                      <wps:cNvCnPr/>
                      <wps:spPr>
                        <a:xfrm>
                          <a:off x="0" y="0"/>
                          <a:ext cx="5260768" cy="59495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758E7"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85pt,34.45pt" to="446.1pt,5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" strokecolor="#5b9bd5 [3204]" strokeweight=".5pt">
                <v:stroke joinstyle="miter"/>
              </v:line>
            </w:pict>
          </mc:Fallback>
        </mc:AlternateContent>
      </w:r>
      <w:r w:rsidR="00030F53">
        <w:br w:type="page"/>
      </w:r>
    </w:p>
    <w:p w14:paraId="3D071762" w14:textId="77777777" w:rsidR="00A259D0" w:rsidRDefault="00A259D0">
      <w:pPr>
        <w:widowControl w:val="0"/>
        <w:spacing w:line="360" w:lineRule="auto"/>
        <w:jc w:val="both"/>
        <w:rPr>
          <w:rFonts w:ascii="Palatino Linotype" w:eastAsia="Palatino Linotype" w:hAnsi="Palatino Linotype" w:cs="Palatino Linotype"/>
          <w:sz w:val="20"/>
          <w:szCs w:val="20"/>
        </w:rPr>
      </w:pPr>
    </w:p>
    <w:p w14:paraId="5418E078" w14:textId="77777777" w:rsidR="00A259D0" w:rsidRDefault="00A259D0">
      <w:pPr>
        <w:widowControl w:val="0"/>
        <w:spacing w:line="360" w:lineRule="auto"/>
        <w:jc w:val="both"/>
        <w:rPr>
          <w:rFonts w:ascii="Palatino Linotype" w:eastAsia="Palatino Linotype" w:hAnsi="Palatino Linotype" w:cs="Palatino Linotype"/>
        </w:rPr>
      </w:pPr>
    </w:p>
    <w:sectPr w:rsidR="00A259D0">
      <w:headerReference w:type="default" r:id="rId14"/>
      <w:footerReference w:type="default" r:id="rId15"/>
      <w:headerReference w:type="first" r:id="rId16"/>
      <w:footerReference w:type="first" r:id="rId17"/>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163BD" w14:textId="77777777" w:rsidR="00E36A20" w:rsidRDefault="00E36A20">
      <w:r>
        <w:separator/>
      </w:r>
    </w:p>
  </w:endnote>
  <w:endnote w:type="continuationSeparator" w:id="0">
    <w:p w14:paraId="300E53D0" w14:textId="77777777" w:rsidR="00E36A20" w:rsidRDefault="00E36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9B98" w14:textId="77777777" w:rsidR="00A259D0" w:rsidRDefault="00030F5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07271">
      <w:rPr>
        <w:rFonts w:ascii="Palatino Linotype" w:eastAsia="Palatino Linotype" w:hAnsi="Palatino Linotype" w:cs="Palatino Linotype"/>
        <w:noProof/>
        <w:color w:val="000000"/>
        <w:sz w:val="22"/>
        <w:szCs w:val="22"/>
      </w:rPr>
      <w:t>12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07271">
      <w:rPr>
        <w:rFonts w:ascii="Palatino Linotype" w:eastAsia="Palatino Linotype" w:hAnsi="Palatino Linotype" w:cs="Palatino Linotype"/>
        <w:noProof/>
        <w:color w:val="000000"/>
        <w:sz w:val="22"/>
        <w:szCs w:val="22"/>
      </w:rPr>
      <w:t>14</w:t>
    </w:r>
    <w:r>
      <w:rPr>
        <w:rFonts w:ascii="Palatino Linotype" w:eastAsia="Palatino Linotype" w:hAnsi="Palatino Linotype" w:cs="Palatino Linotype"/>
        <w:color w:val="000000"/>
        <w:sz w:val="22"/>
        <w:szCs w:val="22"/>
      </w:rPr>
      <w:fldChar w:fldCharType="end"/>
    </w:r>
  </w:p>
  <w:p w14:paraId="448EDB74" w14:textId="77777777" w:rsidR="00A259D0" w:rsidRDefault="00A259D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281B" w14:textId="77777777" w:rsidR="00A259D0" w:rsidRDefault="00030F5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0727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07271">
      <w:rPr>
        <w:rFonts w:ascii="Palatino Linotype" w:eastAsia="Palatino Linotype" w:hAnsi="Palatino Linotype" w:cs="Palatino Linotype"/>
        <w:noProof/>
        <w:color w:val="000000"/>
        <w:sz w:val="22"/>
        <w:szCs w:val="22"/>
      </w:rPr>
      <w:t>14</w:t>
    </w:r>
    <w:r>
      <w:rPr>
        <w:rFonts w:ascii="Palatino Linotype" w:eastAsia="Palatino Linotype" w:hAnsi="Palatino Linotype" w:cs="Palatino Linotype"/>
        <w:color w:val="000000"/>
        <w:sz w:val="22"/>
        <w:szCs w:val="22"/>
      </w:rPr>
      <w:fldChar w:fldCharType="end"/>
    </w:r>
  </w:p>
  <w:p w14:paraId="1A778135" w14:textId="77777777" w:rsidR="00A259D0" w:rsidRDefault="00A259D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88F47" w14:textId="77777777" w:rsidR="00E36A20" w:rsidRDefault="00E36A20">
      <w:r>
        <w:separator/>
      </w:r>
    </w:p>
  </w:footnote>
  <w:footnote w:type="continuationSeparator" w:id="0">
    <w:p w14:paraId="3DBB5998" w14:textId="77777777" w:rsidR="00E36A20" w:rsidRDefault="00E36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B4A8" w14:textId="61879E71" w:rsidR="00A259D0" w:rsidRDefault="00C5605A">
    <w:pPr>
      <w:widowControl w:val="0"/>
      <w:pBdr>
        <w:top w:val="nil"/>
        <w:left w:val="nil"/>
        <w:bottom w:val="nil"/>
        <w:right w:val="nil"/>
        <w:between w:val="nil"/>
      </w:pBdr>
      <w:spacing w:line="276" w:lineRule="auto"/>
      <w:rPr>
        <w:color w:val="000000"/>
      </w:rPr>
    </w:pPr>
    <w:r>
      <w:rPr>
        <w:noProof/>
        <w:lang w:eastAsia="es-MX"/>
      </w:rPr>
      <w:drawing>
        <wp:anchor distT="0" distB="0" distL="0" distR="0" simplePos="0" relativeHeight="251661312" behindDoc="1" locked="0" layoutInCell="1" allowOverlap="1" wp14:anchorId="33EE49E0" wp14:editId="37151353">
          <wp:simplePos x="0" y="0"/>
          <wp:positionH relativeFrom="column">
            <wp:posOffset>-770370</wp:posOffset>
          </wp:positionH>
          <wp:positionV relativeFrom="paragraph">
            <wp:posOffset>-344970</wp:posOffset>
          </wp:positionV>
          <wp:extent cx="7635240" cy="994283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37" name="image1.jpg"/>
                  <pic:cNvPicPr preferRelativeResize="0"/>
                </pic:nvPicPr>
                <pic:blipFill>
                  <a:blip r:embed="rId1"/>
                  <a:srcRect/>
                  <a:stretch>
                    <a:fillRect/>
                  </a:stretch>
                </pic:blipFill>
                <pic:spPr>
                  <a:xfrm>
                    <a:off x="0" y="0"/>
                    <a:ext cx="7635240" cy="9942830"/>
                  </a:xfrm>
                  <a:prstGeom prst="rect">
                    <a:avLst/>
                  </a:prstGeom>
                </pic:spPr>
              </pic:pic>
            </a:graphicData>
          </a:graphic>
        </wp:anchor>
      </w:drawing>
    </w:r>
  </w:p>
  <w:tbl>
    <w:tblPr>
      <w:tblStyle w:val="a1"/>
      <w:tblW w:w="9356" w:type="dxa"/>
      <w:tblInd w:w="-142" w:type="dxa"/>
      <w:tblLayout w:type="fixed"/>
      <w:tblLook w:val="0400" w:firstRow="0" w:lastRow="0" w:firstColumn="0" w:lastColumn="0" w:noHBand="0" w:noVBand="1"/>
    </w:tblPr>
    <w:tblGrid>
      <w:gridCol w:w="3403"/>
      <w:gridCol w:w="2552"/>
      <w:gridCol w:w="3401"/>
    </w:tblGrid>
    <w:tr w:rsidR="00A259D0" w14:paraId="653E74D4" w14:textId="77777777">
      <w:tc>
        <w:tcPr>
          <w:tcW w:w="3403" w:type="dxa"/>
          <w:vMerge w:val="restart"/>
          <w:shd w:val="clear" w:color="auto" w:fill="auto"/>
        </w:tcPr>
        <w:p w14:paraId="46C6573D" w14:textId="240B534E" w:rsidR="00A259D0" w:rsidRDefault="00A259D0">
          <w:pPr>
            <w:rPr>
              <w:rFonts w:ascii="Palatino Linotype" w:eastAsia="Palatino Linotype" w:hAnsi="Palatino Linotype" w:cs="Palatino Linotype"/>
              <w:b/>
              <w:sz w:val="22"/>
              <w:szCs w:val="22"/>
            </w:rPr>
          </w:pPr>
        </w:p>
      </w:tc>
      <w:tc>
        <w:tcPr>
          <w:tcW w:w="2552" w:type="dxa"/>
          <w:shd w:val="clear" w:color="auto" w:fill="auto"/>
        </w:tcPr>
        <w:p w14:paraId="420DA091" w14:textId="77777777" w:rsidR="00A259D0" w:rsidRDefault="00030F5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1" w:type="dxa"/>
          <w:shd w:val="clear" w:color="auto" w:fill="auto"/>
          <w:vAlign w:val="center"/>
        </w:tcPr>
        <w:p w14:paraId="1FD5B99D" w14:textId="77777777" w:rsidR="00A259D0" w:rsidRDefault="00030F5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00144/INFOEM/IP/RR/2022</w:t>
          </w:r>
        </w:p>
      </w:tc>
    </w:tr>
    <w:tr w:rsidR="00A259D0" w14:paraId="37A6C8D9" w14:textId="77777777">
      <w:trPr>
        <w:trHeight w:val="228"/>
      </w:trPr>
      <w:tc>
        <w:tcPr>
          <w:tcW w:w="3403" w:type="dxa"/>
          <w:vMerge/>
          <w:shd w:val="clear" w:color="auto" w:fill="auto"/>
        </w:tcPr>
        <w:p w14:paraId="2814DD15" w14:textId="77777777" w:rsidR="00A259D0" w:rsidRDefault="00A259D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3722FF7" w14:textId="77777777" w:rsidR="00A259D0" w:rsidRDefault="00030F5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1" w:type="dxa"/>
          <w:shd w:val="clear" w:color="auto" w:fill="auto"/>
          <w:vAlign w:val="center"/>
        </w:tcPr>
        <w:p w14:paraId="0EA6FF8F" w14:textId="77777777" w:rsidR="00A259D0" w:rsidRDefault="00030F5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Amecameca</w:t>
          </w:r>
        </w:p>
      </w:tc>
    </w:tr>
    <w:tr w:rsidR="00A259D0" w14:paraId="2BB42975" w14:textId="77777777">
      <w:tc>
        <w:tcPr>
          <w:tcW w:w="3403" w:type="dxa"/>
          <w:vMerge/>
          <w:shd w:val="clear" w:color="auto" w:fill="auto"/>
        </w:tcPr>
        <w:p w14:paraId="1473F3A4" w14:textId="77777777" w:rsidR="00A259D0" w:rsidRDefault="00A259D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F56A701" w14:textId="77777777" w:rsidR="00A259D0" w:rsidRDefault="00030F5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1" w:type="dxa"/>
          <w:shd w:val="clear" w:color="auto" w:fill="auto"/>
        </w:tcPr>
        <w:p w14:paraId="7A51B5B0" w14:textId="77777777" w:rsidR="00A259D0" w:rsidRDefault="00030F5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9A7458C" w14:textId="77777777" w:rsidR="00A259D0" w:rsidRDefault="00A259D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5BB9" w14:textId="4146FCB4" w:rsidR="00A259D0" w:rsidRDefault="00A259D0">
    <w:pPr>
      <w:widowControl w:val="0"/>
      <w:pBdr>
        <w:top w:val="nil"/>
        <w:left w:val="nil"/>
        <w:bottom w:val="nil"/>
        <w:right w:val="nil"/>
        <w:between w:val="nil"/>
      </w:pBdr>
      <w:spacing w:line="276" w:lineRule="auto"/>
      <w:rPr>
        <w:rFonts w:ascii="Palatino Linotype" w:eastAsia="Palatino Linotype" w:hAnsi="Palatino Linotype" w:cs="Palatino Linotype"/>
      </w:rPr>
    </w:pPr>
  </w:p>
  <w:tbl>
    <w:tblPr>
      <w:tblStyle w:val="a0"/>
      <w:tblW w:w="9356" w:type="dxa"/>
      <w:tblInd w:w="-142" w:type="dxa"/>
      <w:tblLayout w:type="fixed"/>
      <w:tblLook w:val="0400" w:firstRow="0" w:lastRow="0" w:firstColumn="0" w:lastColumn="0" w:noHBand="0" w:noVBand="1"/>
    </w:tblPr>
    <w:tblGrid>
      <w:gridCol w:w="3119"/>
      <w:gridCol w:w="2836"/>
      <w:gridCol w:w="3401"/>
    </w:tblGrid>
    <w:tr w:rsidR="00A259D0" w14:paraId="75553F4F" w14:textId="77777777">
      <w:tc>
        <w:tcPr>
          <w:tcW w:w="3119" w:type="dxa"/>
          <w:vMerge w:val="restart"/>
          <w:shd w:val="clear" w:color="auto" w:fill="auto"/>
        </w:tcPr>
        <w:p w14:paraId="5DE67C21" w14:textId="5B595167" w:rsidR="00A259D0" w:rsidRDefault="00C5605A">
          <w:pPr>
            <w:rPr>
              <w:rFonts w:ascii="Palatino Linotype" w:eastAsia="Palatino Linotype" w:hAnsi="Palatino Linotype" w:cs="Palatino Linotype"/>
              <w:b/>
              <w:sz w:val="22"/>
              <w:szCs w:val="22"/>
            </w:rPr>
          </w:pPr>
          <w:r>
            <w:rPr>
              <w:noProof/>
              <w:lang w:eastAsia="es-MX"/>
            </w:rPr>
            <w:drawing>
              <wp:anchor distT="0" distB="0" distL="0" distR="0" simplePos="0" relativeHeight="251659264" behindDoc="1" locked="0" layoutInCell="1" allowOverlap="1" wp14:anchorId="0FFE7995" wp14:editId="5ED097BC">
                <wp:simplePos x="0" y="0"/>
                <wp:positionH relativeFrom="column">
                  <wp:posOffset>-790567</wp:posOffset>
                </wp:positionH>
                <wp:positionV relativeFrom="paragraph">
                  <wp:posOffset>-225632</wp:posOffset>
                </wp:positionV>
                <wp:extent cx="7635240" cy="9942830"/>
                <wp:effectExtent l="0" t="0" r="0" b="0"/>
                <wp:wrapNone/>
                <wp:docPr id="37" name="image1.jpg"/>
                <wp:cNvGraphicFramePr/>
                <a:graphic xmlns:a="http://schemas.openxmlformats.org/drawingml/2006/main">
                  <a:graphicData uri="http://schemas.openxmlformats.org/drawingml/2006/picture">
                    <pic:pic xmlns:pic="http://schemas.openxmlformats.org/drawingml/2006/picture">
                      <pic:nvPicPr>
                        <pic:cNvPr id="37" name="image1.jpg"/>
                        <pic:cNvPicPr preferRelativeResize="0"/>
                      </pic:nvPicPr>
                      <pic:blipFill>
                        <a:blip r:embed="rId1"/>
                        <a:srcRect/>
                        <a:stretch>
                          <a:fillRect/>
                        </a:stretch>
                      </pic:blipFill>
                      <pic:spPr>
                        <a:xfrm>
                          <a:off x="0" y="0"/>
                          <a:ext cx="7635240" cy="9942830"/>
                        </a:xfrm>
                        <a:prstGeom prst="rect">
                          <a:avLst/>
                        </a:prstGeom>
                      </pic:spPr>
                    </pic:pic>
                  </a:graphicData>
                </a:graphic>
              </wp:anchor>
            </w:drawing>
          </w:r>
        </w:p>
      </w:tc>
      <w:tc>
        <w:tcPr>
          <w:tcW w:w="2836" w:type="dxa"/>
          <w:shd w:val="clear" w:color="auto" w:fill="auto"/>
        </w:tcPr>
        <w:p w14:paraId="6E34F978" w14:textId="77777777" w:rsidR="00A259D0" w:rsidRDefault="00030F5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1" w:type="dxa"/>
          <w:shd w:val="clear" w:color="auto" w:fill="auto"/>
          <w:vAlign w:val="center"/>
        </w:tcPr>
        <w:p w14:paraId="015357A0" w14:textId="77777777" w:rsidR="00A259D0" w:rsidRDefault="00030F5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00144/INFOEM/IP/RR/2022</w:t>
          </w:r>
        </w:p>
      </w:tc>
    </w:tr>
    <w:tr w:rsidR="00A259D0" w14:paraId="2BDDEBD5" w14:textId="77777777">
      <w:tc>
        <w:tcPr>
          <w:tcW w:w="3119" w:type="dxa"/>
          <w:vMerge/>
          <w:shd w:val="clear" w:color="auto" w:fill="auto"/>
        </w:tcPr>
        <w:p w14:paraId="626A9DA7" w14:textId="77777777" w:rsidR="00A259D0" w:rsidRDefault="00A259D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6" w:type="dxa"/>
          <w:shd w:val="clear" w:color="auto" w:fill="auto"/>
        </w:tcPr>
        <w:p w14:paraId="2F2F00E3" w14:textId="77777777" w:rsidR="00A259D0" w:rsidRDefault="00030F5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1" w:type="dxa"/>
          <w:shd w:val="clear" w:color="auto" w:fill="auto"/>
          <w:vAlign w:val="center"/>
        </w:tcPr>
        <w:p w14:paraId="3941C98D" w14:textId="21615E2B" w:rsidR="00A259D0" w:rsidRDefault="008508E3" w:rsidP="008508E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w:t>
          </w:r>
          <w:r w:rsidR="00030F53">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 XX XXXX</w:t>
          </w:r>
        </w:p>
      </w:tc>
    </w:tr>
    <w:tr w:rsidR="00A259D0" w14:paraId="4EF88600" w14:textId="77777777">
      <w:trPr>
        <w:trHeight w:val="228"/>
      </w:trPr>
      <w:tc>
        <w:tcPr>
          <w:tcW w:w="3119" w:type="dxa"/>
          <w:vMerge/>
          <w:shd w:val="clear" w:color="auto" w:fill="auto"/>
        </w:tcPr>
        <w:p w14:paraId="7BAD1A66" w14:textId="77777777" w:rsidR="00A259D0" w:rsidRDefault="00A259D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6" w:type="dxa"/>
          <w:shd w:val="clear" w:color="auto" w:fill="auto"/>
        </w:tcPr>
        <w:p w14:paraId="3ADABAF5" w14:textId="77777777" w:rsidR="00A259D0" w:rsidRDefault="00030F5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1" w:type="dxa"/>
          <w:shd w:val="clear" w:color="auto" w:fill="auto"/>
          <w:vAlign w:val="center"/>
        </w:tcPr>
        <w:p w14:paraId="7443253D" w14:textId="77777777" w:rsidR="00A259D0" w:rsidRDefault="00030F5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Amecameca</w:t>
          </w:r>
        </w:p>
      </w:tc>
    </w:tr>
    <w:tr w:rsidR="00A259D0" w14:paraId="674AD462" w14:textId="77777777">
      <w:tc>
        <w:tcPr>
          <w:tcW w:w="3119" w:type="dxa"/>
          <w:vMerge/>
          <w:shd w:val="clear" w:color="auto" w:fill="auto"/>
        </w:tcPr>
        <w:p w14:paraId="2F399D1F" w14:textId="77777777" w:rsidR="00A259D0" w:rsidRDefault="00A259D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6" w:type="dxa"/>
          <w:shd w:val="clear" w:color="auto" w:fill="auto"/>
        </w:tcPr>
        <w:p w14:paraId="504D700C" w14:textId="77777777" w:rsidR="00A259D0" w:rsidRDefault="00030F5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1" w:type="dxa"/>
          <w:shd w:val="clear" w:color="auto" w:fill="auto"/>
        </w:tcPr>
        <w:p w14:paraId="45D068A1" w14:textId="77777777" w:rsidR="00A259D0" w:rsidRDefault="00030F5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C2A305" w14:textId="77777777" w:rsidR="00A259D0" w:rsidRDefault="00A259D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AD67AD"/>
    <w:multiLevelType w:val="multilevel"/>
    <w:tmpl w:val="36DE5646"/>
    <w:lvl w:ilvl="0">
      <w:start w:val="1"/>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9D0"/>
    <w:rsid w:val="00030F53"/>
    <w:rsid w:val="00180D2E"/>
    <w:rsid w:val="00307271"/>
    <w:rsid w:val="008508E3"/>
    <w:rsid w:val="0096170A"/>
    <w:rsid w:val="00A259D0"/>
    <w:rsid w:val="00C5605A"/>
    <w:rsid w:val="00C65292"/>
    <w:rsid w:val="00E36A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1471B0"/>
  <w15:docId w15:val="{6499272C-BF79-4E47-94A6-07E89745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B1E"/>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43B1E"/>
    <w:pPr>
      <w:tabs>
        <w:tab w:val="center" w:pos="4419"/>
        <w:tab w:val="right" w:pos="8838"/>
      </w:tabs>
    </w:pPr>
  </w:style>
  <w:style w:type="character" w:customStyle="1" w:styleId="EncabezadoCar">
    <w:name w:val="Encabezado Car"/>
    <w:basedOn w:val="Fuentedeprrafopredeter"/>
    <w:link w:val="Encabezado"/>
    <w:uiPriority w:val="99"/>
    <w:rsid w:val="00C43B1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43B1E"/>
    <w:pPr>
      <w:tabs>
        <w:tab w:val="center" w:pos="4419"/>
        <w:tab w:val="right" w:pos="8838"/>
      </w:tabs>
    </w:pPr>
  </w:style>
  <w:style w:type="character" w:customStyle="1" w:styleId="PiedepginaCar">
    <w:name w:val="Pie de página Car"/>
    <w:basedOn w:val="Fuentedeprrafopredeter"/>
    <w:link w:val="Piedepgina"/>
    <w:uiPriority w:val="99"/>
    <w:rsid w:val="00C43B1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B1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3B1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0563E"/>
    <w:rPr>
      <w:sz w:val="16"/>
      <w:szCs w:val="16"/>
    </w:rPr>
  </w:style>
  <w:style w:type="paragraph" w:styleId="Textocomentario">
    <w:name w:val="annotation text"/>
    <w:basedOn w:val="Normal"/>
    <w:link w:val="TextocomentarioCar"/>
    <w:uiPriority w:val="99"/>
    <w:semiHidden/>
    <w:unhideWhenUsed/>
    <w:rsid w:val="0030563E"/>
    <w:rPr>
      <w:sz w:val="20"/>
      <w:szCs w:val="20"/>
    </w:rPr>
  </w:style>
  <w:style w:type="character" w:customStyle="1" w:styleId="TextocomentarioCar">
    <w:name w:val="Texto comentario Car"/>
    <w:basedOn w:val="Fuentedeprrafopredeter"/>
    <w:link w:val="Textocomentario"/>
    <w:uiPriority w:val="99"/>
    <w:semiHidden/>
    <w:rsid w:val="0030563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563E"/>
    <w:rPr>
      <w:b/>
      <w:bCs/>
    </w:rPr>
  </w:style>
  <w:style w:type="character" w:customStyle="1" w:styleId="AsuntodelcomentarioCar">
    <w:name w:val="Asunto del comentario Car"/>
    <w:basedOn w:val="TextocomentarioCar"/>
    <w:link w:val="Asuntodelcomentario"/>
    <w:uiPriority w:val="99"/>
    <w:semiHidden/>
    <w:rsid w:val="0030563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056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563E"/>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884BCE"/>
    <w:rPr>
      <w:color w:val="0563C1" w:themeColor="hyperlink"/>
      <w:u w:val="single"/>
    </w:rPr>
  </w:style>
  <w:style w:type="paragraph" w:styleId="Textonotapie">
    <w:name w:val="footnote text"/>
    <w:basedOn w:val="Normal"/>
    <w:link w:val="TextonotapieCar"/>
    <w:uiPriority w:val="99"/>
    <w:semiHidden/>
    <w:unhideWhenUsed/>
    <w:rsid w:val="00247F83"/>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247F83"/>
    <w:rPr>
      <w:sz w:val="20"/>
      <w:szCs w:val="20"/>
    </w:rPr>
  </w:style>
  <w:style w:type="character" w:styleId="Refdenotaalpie">
    <w:name w:val="footnote reference"/>
    <w:basedOn w:val="Fuentedeprrafopredeter"/>
    <w:uiPriority w:val="99"/>
    <w:semiHidden/>
    <w:unhideWhenUsed/>
    <w:rsid w:val="00247F83"/>
    <w:rPr>
      <w:vertAlign w:val="superscript"/>
    </w:rPr>
  </w:style>
  <w:style w:type="paragraph" w:styleId="Textonotaalfinal">
    <w:name w:val="endnote text"/>
    <w:basedOn w:val="Normal"/>
    <w:link w:val="TextonotaalfinalCar"/>
    <w:uiPriority w:val="99"/>
    <w:semiHidden/>
    <w:unhideWhenUsed/>
    <w:rsid w:val="00850D7E"/>
    <w:rPr>
      <w:sz w:val="20"/>
      <w:szCs w:val="20"/>
    </w:rPr>
  </w:style>
  <w:style w:type="character" w:customStyle="1" w:styleId="TextonotaalfinalCar">
    <w:name w:val="Texto nota al final Car"/>
    <w:basedOn w:val="Fuentedeprrafopredeter"/>
    <w:link w:val="Textonotaalfinal"/>
    <w:uiPriority w:val="99"/>
    <w:semiHidden/>
    <w:rsid w:val="00850D7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850D7E"/>
    <w:rPr>
      <w:vertAlign w:val="superscript"/>
    </w:rPr>
  </w:style>
  <w:style w:type="paragraph" w:styleId="NormalWeb">
    <w:name w:val="Normal (Web)"/>
    <w:basedOn w:val="Normal"/>
    <w:uiPriority w:val="99"/>
    <w:unhideWhenUsed/>
    <w:rsid w:val="004A1318"/>
    <w:pPr>
      <w:spacing w:before="100" w:beforeAutospacing="1" w:after="100" w:afterAutospacing="1"/>
    </w:pPr>
    <w:rPr>
      <w:lang w:eastAsia="es-MX"/>
    </w:rPr>
  </w:style>
  <w:style w:type="character" w:customStyle="1" w:styleId="Mencinsinresolver1">
    <w:name w:val="Mención sin resolver1"/>
    <w:basedOn w:val="Fuentedeprrafopredeter"/>
    <w:uiPriority w:val="99"/>
    <w:semiHidden/>
    <w:unhideWhenUsed/>
    <w:rsid w:val="0023233B"/>
    <w:rPr>
      <w:color w:val="605E5C"/>
      <w:shd w:val="clear" w:color="auto" w:fill="E1DFDD"/>
    </w:rPr>
  </w:style>
  <w:style w:type="character" w:styleId="Hipervnculovisitado">
    <w:name w:val="FollowedHyperlink"/>
    <w:basedOn w:val="Fuentedeprrafopredeter"/>
    <w:uiPriority w:val="99"/>
    <w:semiHidden/>
    <w:unhideWhenUsed/>
    <w:rsid w:val="0023233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IUiorcCisV8wKSjpBKets+Isag==">AMUW2mXFcoXIUnp9n03O4IPkkQUapDLpQkieglwL4vwWWgA6F6tLpF/DtfJQUplqhz8Nfygppb89prZ+QmCe2Z+BBgI2AzcdhCqjD1F1VTyMnsAVPLMtykBE2+ZzoB0d5qrN2htbdG/x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2132</Words>
  <Characters>11729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Carlos Alberto Cortes Diaz</cp:lastModifiedBy>
  <cp:revision>5</cp:revision>
  <dcterms:created xsi:type="dcterms:W3CDTF">2022-02-18T17:01:00Z</dcterms:created>
  <dcterms:modified xsi:type="dcterms:W3CDTF">2022-03-02T04:55:00Z</dcterms:modified>
</cp:coreProperties>
</file>