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97C3" w14:textId="77777777" w:rsidR="009E6893" w:rsidRDefault="009E6893">
      <w:pPr>
        <w:widowControl w:val="0"/>
        <w:pBdr>
          <w:top w:val="nil"/>
          <w:left w:val="nil"/>
          <w:bottom w:val="nil"/>
          <w:right w:val="nil"/>
          <w:between w:val="nil"/>
        </w:pBdr>
        <w:spacing w:line="276" w:lineRule="auto"/>
      </w:pPr>
    </w:p>
    <w:p w14:paraId="6730D925" w14:textId="77777777" w:rsidR="009E6893" w:rsidRDefault="009E6893">
      <w:pPr>
        <w:widowControl w:val="0"/>
        <w:pBdr>
          <w:top w:val="nil"/>
          <w:left w:val="nil"/>
          <w:bottom w:val="nil"/>
          <w:right w:val="nil"/>
          <w:between w:val="nil"/>
        </w:pBdr>
        <w:spacing w:line="276" w:lineRule="auto"/>
      </w:pPr>
    </w:p>
    <w:p w14:paraId="58076151" w14:textId="79DF2F27" w:rsidR="009E6893" w:rsidRPr="00614B94" w:rsidRDefault="004B1995">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Resolución del Pleno </w:t>
      </w:r>
      <w:bookmarkStart w:id="0" w:name="_GoBack"/>
      <w:bookmarkEnd w:id="0"/>
      <w:r w:rsidRPr="00614B94">
        <w:rPr>
          <w:rFonts w:ascii="Palatino Linotype" w:eastAsia="Palatino Linotype" w:hAnsi="Palatino Linotype" w:cs="Palatino Linotype"/>
        </w:rPr>
        <w:t>del Instituto de Transparencia, Acceso a la Información Pública y Protección de Datos Personales del Estado de México y Municipios, con domicilio en Metepec, Estado de México, celebrada el ocho de junio de dos mil veintidós.</w:t>
      </w:r>
      <w:r w:rsidR="00DD198A" w:rsidRPr="00614B94">
        <w:rPr>
          <w:rFonts w:ascii="Palatino Linotype" w:eastAsia="Palatino Linotype" w:hAnsi="Palatino Linotype" w:cs="Palatino Linotype"/>
        </w:rPr>
        <w:t xml:space="preserve"> </w:t>
      </w:r>
    </w:p>
    <w:p w14:paraId="2E2D4A73" w14:textId="77777777" w:rsidR="009E6893" w:rsidRPr="00614B94" w:rsidRDefault="009E6893">
      <w:pPr>
        <w:spacing w:line="360" w:lineRule="auto"/>
        <w:jc w:val="both"/>
        <w:rPr>
          <w:rFonts w:ascii="Palatino Linotype" w:eastAsia="Palatino Linotype" w:hAnsi="Palatino Linotype" w:cs="Palatino Linotype"/>
        </w:rPr>
      </w:pPr>
    </w:p>
    <w:p w14:paraId="1A8DF871" w14:textId="68596BF8"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b/>
          <w:sz w:val="28"/>
          <w:szCs w:val="28"/>
        </w:rPr>
        <w:t>VISTO</w:t>
      </w:r>
      <w:r w:rsidRPr="00614B94">
        <w:rPr>
          <w:rFonts w:ascii="Palatino Linotype" w:eastAsia="Palatino Linotype" w:hAnsi="Palatino Linotype" w:cs="Palatino Linotype"/>
        </w:rPr>
        <w:t xml:space="preserve"> el expediente formado con motivo del Recurso de Revisión </w:t>
      </w:r>
      <w:r w:rsidRPr="00614B94">
        <w:rPr>
          <w:rFonts w:ascii="Palatino Linotype" w:eastAsia="Palatino Linotype" w:hAnsi="Palatino Linotype" w:cs="Palatino Linotype"/>
          <w:b/>
        </w:rPr>
        <w:t xml:space="preserve">04707/INFOEM/IP/RR/2022, </w:t>
      </w:r>
      <w:r w:rsidRPr="00614B94">
        <w:rPr>
          <w:rFonts w:ascii="Palatino Linotype" w:eastAsia="Palatino Linotype" w:hAnsi="Palatino Linotype" w:cs="Palatino Linotype"/>
        </w:rPr>
        <w:t xml:space="preserve">promovido por la </w:t>
      </w:r>
      <w:r w:rsidRPr="00614B94">
        <w:rPr>
          <w:rFonts w:ascii="Palatino Linotype" w:eastAsia="Palatino Linotype" w:hAnsi="Palatino Linotype" w:cs="Palatino Linotype"/>
          <w:b/>
          <w:bCs/>
        </w:rPr>
        <w:t xml:space="preserve">C. </w:t>
      </w:r>
      <w:r w:rsidR="00653B37">
        <w:rPr>
          <w:rFonts w:ascii="Palatino Linotype" w:eastAsia="Palatino Linotype" w:hAnsi="Palatino Linotype" w:cs="Palatino Linotype"/>
          <w:b/>
        </w:rPr>
        <w:t>XXXXXX XXXXX XXXXX</w:t>
      </w:r>
      <w:r w:rsidRPr="00614B94">
        <w:rPr>
          <w:rFonts w:ascii="Palatino Linotype" w:eastAsia="Palatino Linotype" w:hAnsi="Palatino Linotype" w:cs="Palatino Linotype"/>
        </w:rPr>
        <w:t xml:space="preserve">, a quien en lo sucesivo se le denominara como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en contra de la respuesta del </w:t>
      </w:r>
      <w:r w:rsidRPr="00614B94">
        <w:rPr>
          <w:rFonts w:ascii="Palatino Linotype" w:eastAsia="Palatino Linotype" w:hAnsi="Palatino Linotype" w:cs="Palatino Linotype"/>
          <w:b/>
        </w:rPr>
        <w:t xml:space="preserve">Ayuntamiento de Toluca, </w:t>
      </w:r>
      <w:r w:rsidRPr="00614B94">
        <w:rPr>
          <w:rFonts w:ascii="Palatino Linotype" w:eastAsia="Palatino Linotype" w:hAnsi="Palatino Linotype" w:cs="Palatino Linotype"/>
        </w:rPr>
        <w:t xml:space="preserve">en lo subsecuente se le denominará </w:t>
      </w:r>
      <w:r w:rsidRPr="00614B94">
        <w:rPr>
          <w:rFonts w:ascii="Palatino Linotype" w:eastAsia="Palatino Linotype" w:hAnsi="Palatino Linotype" w:cs="Palatino Linotype"/>
          <w:b/>
        </w:rPr>
        <w:t xml:space="preserve">EL SUJETO OBLIGADO, </w:t>
      </w:r>
      <w:r w:rsidRPr="00614B94">
        <w:rPr>
          <w:rFonts w:ascii="Palatino Linotype" w:eastAsia="Palatino Linotype" w:hAnsi="Palatino Linotype" w:cs="Palatino Linotype"/>
        </w:rPr>
        <w:t>se procede a dictar la presente resolución con base en lo siguiente:</w:t>
      </w:r>
    </w:p>
    <w:p w14:paraId="5380D8A6" w14:textId="77777777" w:rsidR="009E6893" w:rsidRPr="00614B94" w:rsidRDefault="009E6893">
      <w:pPr>
        <w:spacing w:line="360" w:lineRule="auto"/>
        <w:jc w:val="both"/>
        <w:rPr>
          <w:rFonts w:ascii="Palatino Linotype" w:eastAsia="Palatino Linotype" w:hAnsi="Palatino Linotype" w:cs="Palatino Linotype"/>
          <w:b/>
        </w:rPr>
      </w:pPr>
    </w:p>
    <w:p w14:paraId="11042ABB" w14:textId="7ECBF34B" w:rsidR="009E6893" w:rsidRPr="00614B94" w:rsidRDefault="00DD198A">
      <w:pPr>
        <w:jc w:val="center"/>
        <w:rPr>
          <w:rFonts w:ascii="Palatino Linotype" w:eastAsia="Palatino Linotype" w:hAnsi="Palatino Linotype" w:cs="Palatino Linotype"/>
          <w:b/>
          <w:sz w:val="28"/>
          <w:szCs w:val="28"/>
        </w:rPr>
      </w:pPr>
      <w:r w:rsidRPr="00614B94">
        <w:rPr>
          <w:rFonts w:ascii="Palatino Linotype" w:eastAsia="Palatino Linotype" w:hAnsi="Palatino Linotype" w:cs="Palatino Linotype"/>
          <w:b/>
          <w:sz w:val="28"/>
          <w:szCs w:val="28"/>
        </w:rPr>
        <w:t>A</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N</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T</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E</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C</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E</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D</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E</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N</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T</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E</w:t>
      </w:r>
      <w:r w:rsidR="0072440D"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S</w:t>
      </w:r>
    </w:p>
    <w:p w14:paraId="67E7F3EA" w14:textId="77777777" w:rsidR="009E6893" w:rsidRPr="00614B94" w:rsidRDefault="009E6893">
      <w:pPr>
        <w:rPr>
          <w:rFonts w:ascii="Palatino Linotype" w:eastAsia="Palatino Linotype" w:hAnsi="Palatino Linotype" w:cs="Palatino Linotype"/>
          <w:b/>
        </w:rPr>
      </w:pPr>
    </w:p>
    <w:p w14:paraId="488549C0" w14:textId="77777777" w:rsidR="009E6893" w:rsidRPr="00614B94" w:rsidRDefault="00DD198A">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614B94">
        <w:rPr>
          <w:rFonts w:ascii="Palatino Linotype" w:eastAsia="Palatino Linotype" w:hAnsi="Palatino Linotype" w:cs="Palatino Linotype"/>
          <w:b/>
          <w:sz w:val="28"/>
          <w:szCs w:val="28"/>
        </w:rPr>
        <w:t>I.</w:t>
      </w:r>
      <w:r w:rsidRPr="00614B94">
        <w:rPr>
          <w:rFonts w:ascii="Palatino Linotype" w:eastAsia="Palatino Linotype" w:hAnsi="Palatino Linotype" w:cs="Palatino Linotype"/>
          <w:b/>
        </w:rPr>
        <w:t xml:space="preserve"> </w:t>
      </w:r>
      <w:r w:rsidRPr="00614B94">
        <w:rPr>
          <w:rFonts w:ascii="Palatino Linotype" w:eastAsia="Palatino Linotype" w:hAnsi="Palatino Linotype" w:cs="Palatino Linotype"/>
          <w:b/>
          <w:sz w:val="28"/>
          <w:szCs w:val="28"/>
        </w:rPr>
        <w:t>De la Solicitud de Información</w:t>
      </w:r>
    </w:p>
    <w:p w14:paraId="3C6B1A40" w14:textId="6F6DF823" w:rsidR="009E6893" w:rsidRPr="00614B94" w:rsidRDefault="00DD198A">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614B94">
        <w:rPr>
          <w:rFonts w:ascii="Palatino Linotype" w:eastAsia="Palatino Linotype" w:hAnsi="Palatino Linotype" w:cs="Palatino Linotype"/>
        </w:rPr>
        <w:t xml:space="preserve">En fecha </w:t>
      </w:r>
      <w:r w:rsidRPr="00614B94">
        <w:rPr>
          <w:rFonts w:ascii="Palatino Linotype" w:eastAsia="Palatino Linotype" w:hAnsi="Palatino Linotype" w:cs="Palatino Linotype"/>
          <w:b/>
          <w:bCs/>
        </w:rPr>
        <w:t>primero de marzo de dos mil veintidós</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presentó a través del Sistema de Acceso a la Información Mexiquense, en lo subsecuente </w:t>
      </w:r>
      <w:r w:rsidRPr="00614B94">
        <w:rPr>
          <w:rFonts w:ascii="Palatino Linotype" w:eastAsia="Palatino Linotype" w:hAnsi="Palatino Linotype" w:cs="Palatino Linotype"/>
          <w:b/>
        </w:rPr>
        <w:t>EL SAIMEX</w:t>
      </w:r>
      <w:r w:rsidR="00662605"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rPr>
        <w:t xml:space="preserve">ante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la solicitud de acceso a la información pública, a la que se le asignó el número de expediente </w:t>
      </w:r>
      <w:r w:rsidRPr="00614B94">
        <w:rPr>
          <w:rFonts w:ascii="Palatino Linotype" w:eastAsia="Palatino Linotype" w:hAnsi="Palatino Linotype" w:cs="Palatino Linotype"/>
          <w:b/>
        </w:rPr>
        <w:t xml:space="preserve">00600/TOLUCA/IP/2022, </w:t>
      </w:r>
      <w:r w:rsidRPr="00614B94">
        <w:rPr>
          <w:rFonts w:ascii="Palatino Linotype" w:eastAsia="Palatino Linotype" w:hAnsi="Palatino Linotype" w:cs="Palatino Linotype"/>
        </w:rPr>
        <w:t>requirió, lo siguiente:</w:t>
      </w:r>
    </w:p>
    <w:p w14:paraId="73DAD85F" w14:textId="77777777" w:rsidR="009E6893" w:rsidRPr="00614B94" w:rsidRDefault="00DD198A">
      <w:pPr>
        <w:ind w:left="850" w:right="899"/>
        <w:jc w:val="both"/>
        <w:rPr>
          <w:rFonts w:ascii="Palatino Linotype" w:eastAsia="Palatino Linotype" w:hAnsi="Palatino Linotype" w:cs="Palatino Linotype"/>
          <w:sz w:val="22"/>
          <w:szCs w:val="22"/>
        </w:rPr>
      </w:pPr>
      <w:r w:rsidRPr="00614B94">
        <w:rPr>
          <w:rFonts w:ascii="Palatino Linotype" w:eastAsia="Palatino Linotype" w:hAnsi="Palatino Linotype" w:cs="Palatino Linotype"/>
          <w:i/>
          <w:sz w:val="22"/>
          <w:szCs w:val="22"/>
        </w:rPr>
        <w:t>“Solicito el certificado de competencia laboral de los síndicos municipales, tesorero, titular del órgano interno de control, Director de obras y desarrollo urbano en general de todos los Titulares que por ley deben de tener el certificado de competencia laboral.” (sic)</w:t>
      </w:r>
    </w:p>
    <w:p w14:paraId="2DABAD86" w14:textId="77777777" w:rsidR="009E6893" w:rsidRPr="00614B94" w:rsidRDefault="009E6893">
      <w:pPr>
        <w:tabs>
          <w:tab w:val="left" w:pos="851"/>
        </w:tabs>
        <w:ind w:right="901"/>
        <w:jc w:val="both"/>
        <w:rPr>
          <w:rFonts w:ascii="Palatino Linotype" w:eastAsia="Palatino Linotype" w:hAnsi="Palatino Linotype" w:cs="Palatino Linotype"/>
          <w:sz w:val="22"/>
          <w:szCs w:val="22"/>
        </w:rPr>
      </w:pPr>
    </w:p>
    <w:p w14:paraId="2E2CAEA5" w14:textId="77777777" w:rsidR="009E6893" w:rsidRPr="00614B94" w:rsidRDefault="00DD198A">
      <w:pPr>
        <w:widowControl w:val="0"/>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rPr>
        <w:t xml:space="preserve">MODALIDAD DE ENTREGA: </w:t>
      </w:r>
      <w:r w:rsidRPr="00614B94">
        <w:rPr>
          <w:rFonts w:ascii="Palatino Linotype" w:eastAsia="Palatino Linotype" w:hAnsi="Palatino Linotype" w:cs="Palatino Linotype"/>
        </w:rPr>
        <w:t xml:space="preserve">Vía </w:t>
      </w:r>
      <w:r w:rsidRPr="00614B94">
        <w:rPr>
          <w:rFonts w:ascii="Palatino Linotype" w:eastAsia="Palatino Linotype" w:hAnsi="Palatino Linotype" w:cs="Palatino Linotype"/>
          <w:b/>
        </w:rPr>
        <w:t>SAIMEX.</w:t>
      </w:r>
    </w:p>
    <w:p w14:paraId="0334B5EE" w14:textId="77777777" w:rsidR="009E6893" w:rsidRPr="00614B94" w:rsidRDefault="00DD198A">
      <w:pPr>
        <w:spacing w:line="360" w:lineRule="auto"/>
        <w:jc w:val="both"/>
        <w:rPr>
          <w:rFonts w:ascii="Palatino Linotype" w:eastAsia="Palatino Linotype" w:hAnsi="Palatino Linotype" w:cs="Palatino Linotype"/>
          <w:b/>
          <w:sz w:val="28"/>
          <w:szCs w:val="28"/>
        </w:rPr>
      </w:pPr>
      <w:r w:rsidRPr="00614B94">
        <w:rPr>
          <w:rFonts w:ascii="Palatino Linotype" w:eastAsia="Palatino Linotype" w:hAnsi="Palatino Linotype" w:cs="Palatino Linotype"/>
          <w:b/>
          <w:sz w:val="28"/>
          <w:szCs w:val="28"/>
        </w:rPr>
        <w:lastRenderedPageBreak/>
        <w:t>II. Turno de Requerimiento del Sujeto Obligado</w:t>
      </w:r>
    </w:p>
    <w:p w14:paraId="1834119A" w14:textId="08F737BA"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De las constancias que obran en el expediente electrónico del SAIMEX, se aprecia en fecha </w:t>
      </w:r>
      <w:r w:rsidRPr="00614B94">
        <w:rPr>
          <w:rFonts w:ascii="Palatino Linotype" w:eastAsia="Palatino Linotype" w:hAnsi="Palatino Linotype" w:cs="Palatino Linotype"/>
          <w:b/>
          <w:bCs/>
        </w:rPr>
        <w:t>tres de marzo de dos mil veintidós</w:t>
      </w:r>
      <w:r w:rsidR="002615BD" w:rsidRPr="00614B94">
        <w:rPr>
          <w:rFonts w:ascii="Palatino Linotype" w:eastAsia="Palatino Linotype" w:hAnsi="Palatino Linotype" w:cs="Palatino Linotype"/>
        </w:rPr>
        <w:t xml:space="preserve">, la Titular de la Unidad de Transparencia del </w:t>
      </w:r>
      <w:r w:rsidR="002615BD" w:rsidRPr="00614B94">
        <w:rPr>
          <w:rFonts w:ascii="Palatino Linotype" w:eastAsia="Palatino Linotype" w:hAnsi="Palatino Linotype" w:cs="Palatino Linotype"/>
          <w:b/>
          <w:bCs/>
        </w:rPr>
        <w:t xml:space="preserve">SUJETO OBLIGADO </w:t>
      </w:r>
      <w:r w:rsidRPr="00614B94">
        <w:rPr>
          <w:rFonts w:ascii="Palatino Linotype" w:eastAsia="Palatino Linotype" w:hAnsi="Palatino Linotype" w:cs="Palatino Linotype"/>
        </w:rPr>
        <w:t>turn</w:t>
      </w:r>
      <w:r w:rsidR="002615BD" w:rsidRPr="00614B94">
        <w:rPr>
          <w:rFonts w:ascii="Palatino Linotype" w:eastAsia="Palatino Linotype" w:hAnsi="Palatino Linotype" w:cs="Palatino Linotype"/>
        </w:rPr>
        <w:t>ó</w:t>
      </w:r>
      <w:r w:rsidRPr="00614B94">
        <w:rPr>
          <w:rFonts w:ascii="Palatino Linotype" w:eastAsia="Palatino Linotype" w:hAnsi="Palatino Linotype" w:cs="Palatino Linotype"/>
        </w:rPr>
        <w:t xml:space="preserve"> </w:t>
      </w:r>
      <w:r w:rsidR="002615BD" w:rsidRPr="00614B94">
        <w:rPr>
          <w:rFonts w:ascii="Palatino Linotype" w:eastAsia="Palatino Linotype" w:hAnsi="Palatino Linotype" w:cs="Palatino Linotype"/>
        </w:rPr>
        <w:t xml:space="preserve">el </w:t>
      </w:r>
      <w:r w:rsidRPr="00614B94">
        <w:rPr>
          <w:rFonts w:ascii="Palatino Linotype" w:eastAsia="Palatino Linotype" w:hAnsi="Palatino Linotype" w:cs="Palatino Linotype"/>
        </w:rPr>
        <w:t>requerimiento al sevidor público habilitado en cumplimiento al artículo 162 de la Ley de Transparencia y Acceso a la Información Pública del Estado de México y Municipios, a efecto de que realizara la búsqueda y localización de la información solicitada.</w:t>
      </w:r>
    </w:p>
    <w:p w14:paraId="209405E2" w14:textId="77777777" w:rsidR="009E6893" w:rsidRPr="00614B94" w:rsidRDefault="009E6893">
      <w:pPr>
        <w:spacing w:line="360" w:lineRule="auto"/>
        <w:jc w:val="both"/>
        <w:rPr>
          <w:rFonts w:ascii="Palatino Linotype" w:eastAsia="Palatino Linotype" w:hAnsi="Palatino Linotype" w:cs="Palatino Linotype"/>
          <w:b/>
          <w:sz w:val="28"/>
          <w:szCs w:val="28"/>
        </w:rPr>
      </w:pPr>
    </w:p>
    <w:p w14:paraId="69B27DC6" w14:textId="77777777" w:rsidR="009E6893" w:rsidRPr="00614B94" w:rsidRDefault="00DD198A">
      <w:pPr>
        <w:spacing w:line="360" w:lineRule="auto"/>
        <w:jc w:val="both"/>
        <w:rPr>
          <w:rFonts w:ascii="Palatino Linotype" w:eastAsia="Palatino Linotype" w:hAnsi="Palatino Linotype" w:cs="Palatino Linotype"/>
          <w:b/>
          <w:sz w:val="28"/>
          <w:szCs w:val="28"/>
        </w:rPr>
      </w:pPr>
      <w:r w:rsidRPr="00614B94">
        <w:rPr>
          <w:rFonts w:ascii="Palatino Linotype" w:eastAsia="Palatino Linotype" w:hAnsi="Palatino Linotype" w:cs="Palatino Linotype"/>
          <w:b/>
          <w:sz w:val="28"/>
          <w:szCs w:val="28"/>
        </w:rPr>
        <w:t>III.</w:t>
      </w:r>
      <w:r w:rsidR="00662605" w:rsidRPr="00614B94">
        <w:rPr>
          <w:rFonts w:ascii="Palatino Linotype" w:eastAsia="Palatino Linotype" w:hAnsi="Palatino Linotype" w:cs="Palatino Linotype"/>
          <w:b/>
          <w:sz w:val="28"/>
          <w:szCs w:val="28"/>
        </w:rPr>
        <w:t xml:space="preserve"> </w:t>
      </w:r>
      <w:r w:rsidRPr="00614B94">
        <w:rPr>
          <w:rFonts w:ascii="Palatino Linotype" w:eastAsia="Palatino Linotype" w:hAnsi="Palatino Linotype" w:cs="Palatino Linotype"/>
          <w:b/>
          <w:sz w:val="28"/>
          <w:szCs w:val="28"/>
        </w:rPr>
        <w:t>Respuesta del Sujeto Obligado</w:t>
      </w:r>
    </w:p>
    <w:p w14:paraId="7F900A7D" w14:textId="17D9F6F0"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fecha </w:t>
      </w:r>
      <w:r w:rsidRPr="00614B94">
        <w:rPr>
          <w:rFonts w:ascii="Palatino Linotype" w:eastAsia="Palatino Linotype" w:hAnsi="Palatino Linotype" w:cs="Palatino Linotype"/>
          <w:b/>
          <w:bCs/>
        </w:rPr>
        <w:t>veinticuatro de marzo de dos mil veintidós</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dio respuesta a la solicitud de información pública, la cual que fue notificada al particular en la misma fecha y consta de lo siguiente:</w:t>
      </w:r>
    </w:p>
    <w:p w14:paraId="53EF5D63"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DE8219" w14:textId="77777777" w:rsidR="009E6893" w:rsidRPr="00614B94" w:rsidRDefault="00DD198A">
      <w:pPr>
        <w:ind w:left="850" w:right="899"/>
        <w:jc w:val="both"/>
        <w:rPr>
          <w:rFonts w:ascii="Palatino Linotype" w:eastAsia="Palatino Linotype" w:hAnsi="Palatino Linotype" w:cs="Palatino Linotype"/>
        </w:rPr>
      </w:pPr>
      <w:r w:rsidRPr="00614B94">
        <w:rPr>
          <w:rFonts w:ascii="Palatino Linotype" w:eastAsia="Palatino Linotype" w:hAnsi="Palatino Linotype" w:cs="Palatino Linotype"/>
          <w:i/>
          <w:sz w:val="22"/>
          <w:szCs w:val="22"/>
        </w:rPr>
        <w:t>En atención a la solicitud de información número 00600/TOLUCA/IP/2022, me permito adjuntar al presente la respuesta correspondiente. Sin más por el momento, le envío un cordial saludo.…”</w:t>
      </w:r>
      <w:r w:rsidRPr="00614B94">
        <w:rPr>
          <w:rFonts w:ascii="Palatino Linotype" w:eastAsia="Palatino Linotype" w:hAnsi="Palatino Linotype" w:cs="Palatino Linotype"/>
        </w:rPr>
        <w:t xml:space="preserve"> (Sic)</w:t>
      </w:r>
    </w:p>
    <w:p w14:paraId="1331B879" w14:textId="77777777" w:rsidR="009E6893" w:rsidRPr="00614B94" w:rsidRDefault="009E6893">
      <w:pPr>
        <w:spacing w:line="360" w:lineRule="auto"/>
        <w:jc w:val="both"/>
        <w:rPr>
          <w:rFonts w:ascii="Palatino Linotype" w:eastAsia="Palatino Linotype" w:hAnsi="Palatino Linotype" w:cs="Palatino Linotype"/>
        </w:rPr>
      </w:pPr>
    </w:p>
    <w:p w14:paraId="757EC70E"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Adjuntando a dicha respuesta los archivos que se describen a continuación: </w:t>
      </w:r>
    </w:p>
    <w:p w14:paraId="1BA760C5"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CERTIFICACION MARÍA JOSÉ BERNAL BALLESTEROS DEFENSORA MUNICIPAL DE DERECHOS HUMANOS.pdf: Certificado emitido por la Comisión de Derechos Humanos del Estado de México en derechos humanos para defensoras y defensores municipales </w:t>
      </w:r>
    </w:p>
    <w:p w14:paraId="7F3822A1"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lastRenderedPageBreak/>
        <w:t xml:space="preserve">CERTIFICACION DE CASTILLO BALBUENA MARIO ANTONIO.pdf: : Certificación emitida por la Fundación México para el Desarrollo Sustentable Humano y Social en relación al Estándar de Competencia Laboral Ejecución de las Atribuciones de la Hacienda Pública Municipal </w:t>
      </w:r>
    </w:p>
    <w:p w14:paraId="27957C1E"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CERTIFICACION MARCO ANTONIO SANDOVAL GONZALEZ, SECRETARIO DEL AYUNTAMIENTO.pdf: Certificación emitida por la Fundación México para el Desarrollo Sustentable Humano y Social en relación al Estándar de Competencia Laboral Ejecución de las Atribuciones de la Secretaría del Ayuntamiento. </w:t>
      </w:r>
    </w:p>
    <w:p w14:paraId="2CC747AB"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CERTIFICACION NORMA SOFÍA PÉREZ MARTÍNEZ, TITULAR DE LA UNIDAD DE TRANSPARENCIA.pdf: Certificación emitida por el Instituto de Transparencia, Acceso a la Información Pública y Protección de Datos Personales del Estado de México en relación al Estándar de Competencia Laboral Garantizar el Derecho de Acceso a la Información Pública. </w:t>
      </w:r>
    </w:p>
    <w:p w14:paraId="74152A82"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Saimex 00600.pdf: Respuesta formal emitida por la Titular de la Unidad de Transparencia, señalando remitir la información entregada por la Directora de Recursos Humanos en versión pública. </w:t>
      </w:r>
    </w:p>
    <w:p w14:paraId="6B0CB0B0" w14:textId="1FE301B2"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Centésima Quincuagésima Primera Extraordinaria 22.pdf: Acta de la Centésima Quincuagésima Primera Sesión Extraordinaria del Comité de Transparencia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mediante la cual se aprueba la versión pública de la información solicitada.  </w:t>
      </w:r>
    </w:p>
    <w:p w14:paraId="60E34CB1" w14:textId="77777777" w:rsidR="00662605" w:rsidRPr="00614B94" w:rsidRDefault="00662605" w:rsidP="00662605">
      <w:pPr>
        <w:spacing w:line="360" w:lineRule="auto"/>
        <w:ind w:left="720"/>
        <w:jc w:val="both"/>
        <w:rPr>
          <w:rFonts w:ascii="Palatino Linotype" w:eastAsia="Palatino Linotype" w:hAnsi="Palatino Linotype" w:cs="Palatino Linotype"/>
        </w:rPr>
      </w:pPr>
    </w:p>
    <w:p w14:paraId="0B020CC7" w14:textId="62C4DF75" w:rsidR="009E6893" w:rsidRPr="00614B94" w:rsidRDefault="00DD198A">
      <w:pPr>
        <w:widowControl w:val="0"/>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sz w:val="28"/>
          <w:szCs w:val="28"/>
        </w:rPr>
        <w:lastRenderedPageBreak/>
        <w:t>IV. Del Recurso de Revisión</w:t>
      </w:r>
      <w:r w:rsidRPr="00614B94">
        <w:rPr>
          <w:rFonts w:ascii="Palatino Linotype" w:eastAsia="Palatino Linotype" w:hAnsi="Palatino Linotype" w:cs="Palatino Linotype"/>
          <w:b/>
        </w:rPr>
        <w:t>.</w:t>
      </w:r>
    </w:p>
    <w:p w14:paraId="68B0E60A" w14:textId="510FF89A" w:rsidR="009E6893" w:rsidRPr="00614B94" w:rsidRDefault="00DD198A">
      <w:pPr>
        <w:widowControl w:val="0"/>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Inconforme por la respuesta del</w:t>
      </w:r>
      <w:r w:rsidRPr="00614B94">
        <w:rPr>
          <w:rFonts w:ascii="Palatino Linotype" w:eastAsia="Palatino Linotype" w:hAnsi="Palatino Linotype" w:cs="Palatino Linotype"/>
          <w:b/>
        </w:rPr>
        <w:t xml:space="preserve"> SUJETO OBLIGADO</w:t>
      </w:r>
      <w:r w:rsidRPr="00614B94">
        <w:rPr>
          <w:rFonts w:ascii="Palatino Linotype" w:eastAsia="Palatino Linotype" w:hAnsi="Palatino Linotype" w:cs="Palatino Linotype"/>
        </w:rPr>
        <w:t xml:space="preserve">, el </w:t>
      </w:r>
      <w:r w:rsidRPr="00614B94">
        <w:rPr>
          <w:rFonts w:ascii="Palatino Linotype" w:eastAsia="Palatino Linotype" w:hAnsi="Palatino Linotype" w:cs="Palatino Linotype"/>
          <w:b/>
          <w:bCs/>
        </w:rPr>
        <w:t>veinticuatro de marzo de dos mil veintidós</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interpuso el Recurso de Revisión. El cual fue registrado en </w:t>
      </w:r>
      <w:r w:rsidRPr="00614B94">
        <w:rPr>
          <w:rFonts w:ascii="Palatino Linotype" w:eastAsia="Palatino Linotype" w:hAnsi="Palatino Linotype" w:cs="Palatino Linotype"/>
          <w:b/>
        </w:rPr>
        <w:t>EL SAIMEX</w:t>
      </w:r>
      <w:r w:rsidRPr="00614B94">
        <w:rPr>
          <w:rFonts w:ascii="Palatino Linotype" w:eastAsia="Palatino Linotype" w:hAnsi="Palatino Linotype" w:cs="Palatino Linotype"/>
        </w:rPr>
        <w:t xml:space="preserve"> y se le asignó el número de expediente </w:t>
      </w:r>
      <w:r w:rsidRPr="00614B94">
        <w:rPr>
          <w:rFonts w:ascii="Palatino Linotype" w:eastAsia="Palatino Linotype" w:hAnsi="Palatino Linotype" w:cs="Palatino Linotype"/>
          <w:b/>
        </w:rPr>
        <w:t xml:space="preserve">04707/INFOEM/IP/RR/2022, </w:t>
      </w:r>
      <w:r w:rsidRPr="00614B94">
        <w:rPr>
          <w:rFonts w:ascii="Palatino Linotype" w:eastAsia="Palatino Linotype" w:hAnsi="Palatino Linotype" w:cs="Palatino Linotype"/>
        </w:rPr>
        <w:t>donde los motivos de agravio de</w:t>
      </w:r>
      <w:r w:rsidR="0072440D" w:rsidRPr="00614B94">
        <w:rPr>
          <w:rFonts w:ascii="Palatino Linotype" w:eastAsia="Palatino Linotype" w:hAnsi="Palatino Linotype" w:cs="Palatino Linotype"/>
        </w:rPr>
        <w:t xml:space="preserve"> </w:t>
      </w:r>
      <w:r w:rsidR="0072440D" w:rsidRPr="00614B94">
        <w:rPr>
          <w:rFonts w:ascii="Palatino Linotype" w:eastAsia="Palatino Linotype" w:hAnsi="Palatino Linotype" w:cs="Palatino Linotype"/>
          <w:b/>
          <w:bCs/>
        </w:rPr>
        <w:t>LA</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 xml:space="preserve">RECURRENTE </w:t>
      </w:r>
      <w:r w:rsidRPr="00614B94">
        <w:rPr>
          <w:rFonts w:ascii="Palatino Linotype" w:eastAsia="Palatino Linotype" w:hAnsi="Palatino Linotype" w:cs="Palatino Linotype"/>
        </w:rPr>
        <w:t>fueron los siguientes:</w:t>
      </w:r>
    </w:p>
    <w:p w14:paraId="6575ECDD" w14:textId="77777777" w:rsidR="009E6893" w:rsidRPr="00614B94" w:rsidRDefault="009E6893">
      <w:pPr>
        <w:widowControl w:val="0"/>
        <w:spacing w:line="360" w:lineRule="auto"/>
        <w:jc w:val="both"/>
        <w:rPr>
          <w:rFonts w:ascii="Palatino Linotype" w:eastAsia="Palatino Linotype" w:hAnsi="Palatino Linotype" w:cs="Palatino Linotype"/>
        </w:rPr>
      </w:pPr>
    </w:p>
    <w:p w14:paraId="780CD550" w14:textId="77777777" w:rsidR="009E6893" w:rsidRPr="00614B94" w:rsidRDefault="00DD198A">
      <w:pPr>
        <w:spacing w:line="360" w:lineRule="auto"/>
        <w:ind w:left="-57" w:right="-57"/>
        <w:jc w:val="both"/>
        <w:rPr>
          <w:rFonts w:ascii="Palatino Linotype" w:eastAsia="Palatino Linotype" w:hAnsi="Palatino Linotype" w:cs="Palatino Linotype"/>
          <w:b/>
          <w:u w:val="single"/>
        </w:rPr>
      </w:pPr>
      <w:r w:rsidRPr="00614B94">
        <w:rPr>
          <w:rFonts w:ascii="Palatino Linotype" w:eastAsia="Palatino Linotype" w:hAnsi="Palatino Linotype" w:cs="Palatino Linotype"/>
          <w:b/>
          <w:u w:val="single"/>
        </w:rPr>
        <w:t>Acto Impugnado:</w:t>
      </w:r>
      <w:r w:rsidRPr="00614B94">
        <w:rPr>
          <w:b/>
          <w:u w:val="single"/>
        </w:rPr>
        <w:t xml:space="preserve"> </w:t>
      </w:r>
    </w:p>
    <w:p w14:paraId="1F606802" w14:textId="77777777" w:rsidR="009E6893" w:rsidRPr="00614B94" w:rsidRDefault="00DD198A">
      <w:pPr>
        <w:tabs>
          <w:tab w:val="left" w:pos="709"/>
        </w:tabs>
        <w:spacing w:before="66"/>
        <w:ind w:left="850" w:right="899"/>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“LA RESPUESTA PROPORCIONADA”(sic)</w:t>
      </w:r>
    </w:p>
    <w:p w14:paraId="5082D7A3" w14:textId="77777777" w:rsidR="009E6893" w:rsidRPr="00614B94" w:rsidRDefault="009E6893">
      <w:pPr>
        <w:tabs>
          <w:tab w:val="left" w:pos="709"/>
        </w:tabs>
        <w:spacing w:before="66"/>
        <w:ind w:left="850" w:right="899"/>
        <w:rPr>
          <w:rFonts w:ascii="Palatino Linotype" w:eastAsia="Palatino Linotype" w:hAnsi="Palatino Linotype" w:cs="Palatino Linotype"/>
          <w:i/>
          <w:sz w:val="20"/>
          <w:szCs w:val="20"/>
        </w:rPr>
      </w:pPr>
    </w:p>
    <w:p w14:paraId="469769EC" w14:textId="77777777" w:rsidR="009E6893" w:rsidRPr="00614B94" w:rsidRDefault="00DD198A">
      <w:pPr>
        <w:tabs>
          <w:tab w:val="left" w:pos="709"/>
        </w:tabs>
        <w:spacing w:before="66"/>
        <w:rPr>
          <w:rFonts w:ascii="Palatino Linotype" w:eastAsia="Palatino Linotype" w:hAnsi="Palatino Linotype" w:cs="Palatino Linotype"/>
          <w:b/>
          <w:u w:val="single"/>
        </w:rPr>
      </w:pPr>
      <w:r w:rsidRPr="00614B94">
        <w:rPr>
          <w:rFonts w:ascii="Palatino Linotype" w:eastAsia="Palatino Linotype" w:hAnsi="Palatino Linotype" w:cs="Palatino Linotype"/>
          <w:b/>
          <w:u w:val="single"/>
        </w:rPr>
        <w:t>Razones o motivos de la inconformidad:</w:t>
      </w:r>
    </w:p>
    <w:p w14:paraId="39C7572E" w14:textId="77777777" w:rsidR="009E6893" w:rsidRPr="00614B94" w:rsidRDefault="009E6893">
      <w:pPr>
        <w:tabs>
          <w:tab w:val="left" w:pos="709"/>
        </w:tabs>
        <w:spacing w:before="66"/>
        <w:rPr>
          <w:rFonts w:ascii="Palatino Linotype" w:eastAsia="Palatino Linotype" w:hAnsi="Palatino Linotype" w:cs="Palatino Linotype"/>
        </w:rPr>
      </w:pPr>
    </w:p>
    <w:p w14:paraId="2F684E63" w14:textId="77777777" w:rsidR="009E6893" w:rsidRPr="00614B94" w:rsidRDefault="00DD198A">
      <w:pPr>
        <w:ind w:left="850" w:right="899"/>
        <w:jc w:val="both"/>
        <w:rPr>
          <w:rFonts w:ascii="Palatino Linotype" w:eastAsia="Palatino Linotype" w:hAnsi="Palatino Linotype" w:cs="Palatino Linotype"/>
          <w:b/>
        </w:rPr>
      </w:pPr>
      <w:r w:rsidRPr="00614B94">
        <w:rPr>
          <w:rFonts w:ascii="Palatino Linotype" w:eastAsia="Palatino Linotype" w:hAnsi="Palatino Linotype" w:cs="Palatino Linotype"/>
          <w:i/>
          <w:sz w:val="22"/>
          <w:szCs w:val="22"/>
        </w:rPr>
        <w:t>“RESPUESTA INCOMPLETA.” (sic)</w:t>
      </w:r>
    </w:p>
    <w:p w14:paraId="4F93FB2A" w14:textId="77777777" w:rsidR="009E6893" w:rsidRPr="00614B94" w:rsidRDefault="009E6893">
      <w:pPr>
        <w:spacing w:line="360" w:lineRule="auto"/>
        <w:jc w:val="both"/>
        <w:rPr>
          <w:rFonts w:ascii="Palatino Linotype" w:eastAsia="Palatino Linotype" w:hAnsi="Palatino Linotype" w:cs="Palatino Linotype"/>
        </w:rPr>
      </w:pPr>
    </w:p>
    <w:p w14:paraId="7B1753DE" w14:textId="77777777" w:rsidR="009E6893" w:rsidRPr="00614B94" w:rsidRDefault="00DD198A">
      <w:pPr>
        <w:spacing w:line="360" w:lineRule="auto"/>
        <w:jc w:val="both"/>
        <w:rPr>
          <w:rFonts w:ascii="Palatino Linotype" w:eastAsia="Palatino Linotype" w:hAnsi="Palatino Linotype" w:cs="Palatino Linotype"/>
          <w:b/>
          <w:sz w:val="28"/>
          <w:szCs w:val="28"/>
        </w:rPr>
      </w:pPr>
      <w:r w:rsidRPr="00614B94">
        <w:rPr>
          <w:rFonts w:ascii="Palatino Linotype" w:eastAsia="Palatino Linotype" w:hAnsi="Palatino Linotype" w:cs="Palatino Linotype"/>
          <w:b/>
          <w:sz w:val="28"/>
          <w:szCs w:val="28"/>
        </w:rPr>
        <w:t xml:space="preserve">V. Del turno del Recurso de Revisión. </w:t>
      </w:r>
    </w:p>
    <w:p w14:paraId="48F97524"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El </w:t>
      </w:r>
      <w:r w:rsidRPr="00614B94">
        <w:rPr>
          <w:rFonts w:ascii="Palatino Linotype" w:eastAsia="Palatino Linotype" w:hAnsi="Palatino Linotype" w:cs="Palatino Linotype"/>
          <w:b/>
          <w:bCs/>
        </w:rPr>
        <w:t>veinticuatro de marzo de dos mil veintidós</w:t>
      </w:r>
      <w:r w:rsidRPr="00614B94">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614B94">
        <w:rPr>
          <w:rFonts w:ascii="Palatino Linotype" w:eastAsia="Palatino Linotype" w:hAnsi="Palatino Linotype" w:cs="Palatino Linotype"/>
          <w:b/>
        </w:rPr>
        <w:t>Comisionada Sharon Cristina Morales Martínez</w:t>
      </w:r>
      <w:r w:rsidRPr="00614B94">
        <w:rPr>
          <w:rFonts w:ascii="Palatino Linotype" w:eastAsia="Palatino Linotype" w:hAnsi="Palatino Linotype" w:cs="Palatino Linotype"/>
        </w:rPr>
        <w:t>; a efecto de decretar su admisión o desechamiento.</w:t>
      </w:r>
    </w:p>
    <w:p w14:paraId="250FCBE8" w14:textId="77777777" w:rsidR="009E6893" w:rsidRPr="00614B94" w:rsidRDefault="009E6893">
      <w:pPr>
        <w:spacing w:line="360" w:lineRule="auto"/>
        <w:jc w:val="both"/>
        <w:rPr>
          <w:rFonts w:ascii="Palatino Linotype" w:eastAsia="Palatino Linotype" w:hAnsi="Palatino Linotype" w:cs="Palatino Linotype"/>
        </w:rPr>
      </w:pPr>
    </w:p>
    <w:p w14:paraId="6A0E5759" w14:textId="77777777" w:rsidR="00662605" w:rsidRPr="00614B94" w:rsidRDefault="00662605">
      <w:pPr>
        <w:spacing w:line="360" w:lineRule="auto"/>
        <w:jc w:val="both"/>
        <w:rPr>
          <w:rFonts w:ascii="Palatino Linotype" w:eastAsia="Palatino Linotype" w:hAnsi="Palatino Linotype" w:cs="Palatino Linotype"/>
        </w:rPr>
      </w:pPr>
    </w:p>
    <w:p w14:paraId="4339E9E4" w14:textId="77777777" w:rsidR="009E6893" w:rsidRPr="00614B94" w:rsidRDefault="00DD198A">
      <w:pPr>
        <w:tabs>
          <w:tab w:val="center" w:pos="4252"/>
          <w:tab w:val="right" w:pos="8504"/>
        </w:tabs>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rPr>
        <w:lastRenderedPageBreak/>
        <w:t>a) Admisión del Recurso de Revisión</w:t>
      </w:r>
    </w:p>
    <w:p w14:paraId="1FCEB3A3" w14:textId="77777777" w:rsidR="009E6893" w:rsidRPr="00614B94" w:rsidRDefault="00DD198A">
      <w:pPr>
        <w:tabs>
          <w:tab w:val="center" w:pos="4252"/>
          <w:tab w:val="right" w:pos="8504"/>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De las constancias que obran en el expediente electrónico del</w:t>
      </w:r>
      <w:r w:rsidRPr="00614B94">
        <w:rPr>
          <w:rFonts w:ascii="Palatino Linotype" w:eastAsia="Palatino Linotype" w:hAnsi="Palatino Linotype" w:cs="Palatino Linotype"/>
          <w:b/>
        </w:rPr>
        <w:t xml:space="preserve"> SAIMEX</w:t>
      </w:r>
      <w:r w:rsidRPr="00614B94">
        <w:rPr>
          <w:rFonts w:ascii="Palatino Linotype" w:eastAsia="Palatino Linotype" w:hAnsi="Palatino Linotype" w:cs="Palatino Linotype"/>
        </w:rPr>
        <w:t xml:space="preserve">, se advierte que en fecha </w:t>
      </w:r>
      <w:r w:rsidRPr="00614B94">
        <w:rPr>
          <w:rFonts w:ascii="Palatino Linotype" w:eastAsia="Palatino Linotype" w:hAnsi="Palatino Linotype" w:cs="Palatino Linotype"/>
          <w:b/>
          <w:bCs/>
        </w:rPr>
        <w:t>veinticinco de marzo de dos mil veintidós</w:t>
      </w:r>
      <w:r w:rsidRPr="00614B94">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614B94">
        <w:rPr>
          <w:rFonts w:ascii="Palatino Linotype" w:eastAsia="Palatino Linotype" w:hAnsi="Palatino Linotype" w:cs="Palatino Linotype"/>
          <w:b/>
        </w:rPr>
        <w:t xml:space="preserve">LA RECURRENTE </w:t>
      </w:r>
      <w:r w:rsidRPr="00614B94">
        <w:rPr>
          <w:rFonts w:ascii="Palatino Linotype" w:eastAsia="Palatino Linotype" w:hAnsi="Palatino Linotype" w:cs="Palatino Linotype"/>
        </w:rPr>
        <w:t xml:space="preserve">manifestara lo que a su derecho conviniera, a efecto de presentar pruebas y alegatos; así como, para que </w:t>
      </w:r>
      <w:r w:rsidRPr="00614B94">
        <w:rPr>
          <w:rFonts w:ascii="Palatino Linotype" w:eastAsia="Palatino Linotype" w:hAnsi="Palatino Linotype" w:cs="Palatino Linotype"/>
          <w:b/>
        </w:rPr>
        <w:t xml:space="preserve">EL SUJETO OBLIGADO </w:t>
      </w:r>
      <w:r w:rsidRPr="00614B94">
        <w:rPr>
          <w:rFonts w:ascii="Palatino Linotype" w:eastAsia="Palatino Linotype" w:hAnsi="Palatino Linotype" w:cs="Palatino Linotype"/>
        </w:rPr>
        <w:t>rindiera el correspondiente</w:t>
      </w:r>
      <w:r w:rsidRPr="00614B94">
        <w:rPr>
          <w:rFonts w:ascii="Palatino Linotype" w:eastAsia="Palatino Linotype" w:hAnsi="Palatino Linotype" w:cs="Palatino Linotype"/>
          <w:b/>
        </w:rPr>
        <w:t xml:space="preserve"> </w:t>
      </w:r>
      <w:r w:rsidRPr="00614B9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7CE2597" w14:textId="77777777" w:rsidR="009E6893" w:rsidRPr="00614B94" w:rsidRDefault="009E6893">
      <w:pPr>
        <w:tabs>
          <w:tab w:val="center" w:pos="4252"/>
          <w:tab w:val="right" w:pos="8504"/>
        </w:tabs>
        <w:spacing w:line="360" w:lineRule="auto"/>
        <w:jc w:val="both"/>
        <w:rPr>
          <w:rFonts w:ascii="Palatino Linotype" w:eastAsia="Palatino Linotype" w:hAnsi="Palatino Linotype" w:cs="Palatino Linotype"/>
        </w:rPr>
      </w:pPr>
    </w:p>
    <w:p w14:paraId="1A850699" w14:textId="77777777" w:rsidR="009E6893" w:rsidRPr="00614B94" w:rsidRDefault="00DD198A">
      <w:pPr>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rPr>
        <w:t>b) Informe Justificado</w:t>
      </w:r>
    </w:p>
    <w:p w14:paraId="7C5ACEE8" w14:textId="77777777" w:rsidR="009E6893" w:rsidRPr="00614B94" w:rsidRDefault="00DD198A">
      <w:pPr>
        <w:widowControl w:val="0"/>
        <w:tabs>
          <w:tab w:val="left" w:pos="0"/>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Conforme a las constancias que obran en el expediente del </w:t>
      </w:r>
      <w:r w:rsidRPr="00614B94">
        <w:rPr>
          <w:rFonts w:ascii="Palatino Linotype" w:eastAsia="Palatino Linotype" w:hAnsi="Palatino Linotype" w:cs="Palatino Linotype"/>
          <w:b/>
        </w:rPr>
        <w:t>SAIMEX,</w:t>
      </w:r>
      <w:r w:rsidRPr="00614B9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614B94">
        <w:rPr>
          <w:rFonts w:ascii="Palatino Linotype" w:eastAsia="Palatino Linotype" w:hAnsi="Palatino Linotype" w:cs="Palatino Linotype"/>
          <w:b/>
        </w:rPr>
        <w:t>LA</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RECURRENTE</w:t>
      </w:r>
      <w:r w:rsidRPr="00614B94">
        <w:rPr>
          <w:rFonts w:ascii="Palatino Linotype" w:eastAsia="Palatino Linotype" w:hAnsi="Palatino Linotype" w:cs="Palatino Linotype"/>
        </w:rPr>
        <w:t xml:space="preserve"> no presentó manifestaciones que a su derecho convinieran. Por su parte,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tampoco rindió el Informe Justificado correspondiente. </w:t>
      </w:r>
    </w:p>
    <w:p w14:paraId="42C08461" w14:textId="77777777" w:rsidR="009E6893" w:rsidRPr="00614B94" w:rsidRDefault="009E6893">
      <w:pPr>
        <w:widowControl w:val="0"/>
        <w:tabs>
          <w:tab w:val="left" w:pos="0"/>
        </w:tabs>
        <w:spacing w:line="360" w:lineRule="auto"/>
        <w:jc w:val="both"/>
        <w:rPr>
          <w:rFonts w:ascii="Palatino Linotype" w:eastAsia="Palatino Linotype" w:hAnsi="Palatino Linotype" w:cs="Palatino Linotype"/>
        </w:rPr>
      </w:pPr>
    </w:p>
    <w:p w14:paraId="6EA35EDE" w14:textId="77777777" w:rsidR="009E6893" w:rsidRPr="00614B94" w:rsidRDefault="00DD198A">
      <w:pPr>
        <w:widowControl w:val="0"/>
        <w:tabs>
          <w:tab w:val="left" w:pos="0"/>
        </w:tabs>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rPr>
        <w:t xml:space="preserve">c) De la ampliación </w:t>
      </w:r>
    </w:p>
    <w:p w14:paraId="0C7B5E7E"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fecha </w:t>
      </w:r>
      <w:r w:rsidRPr="00614B94">
        <w:rPr>
          <w:rFonts w:ascii="Palatino Linotype" w:eastAsia="Palatino Linotype" w:hAnsi="Palatino Linotype" w:cs="Palatino Linotype"/>
          <w:b/>
          <w:bCs/>
        </w:rPr>
        <w:t>diecisiete de mayo de dos mil veintidós</w:t>
      </w:r>
      <w:r w:rsidRPr="00614B94">
        <w:rPr>
          <w:rFonts w:ascii="Palatino Linotype" w:eastAsia="Palatino Linotype" w:hAnsi="Palatino Linotype" w:cs="Palatino Linotype"/>
        </w:rPr>
        <w:t xml:space="preserve">, se notificó el acuerdo de ampliación de plazo para resolver el presente Recurso de Revisión, previsto en el artículo 181, </w:t>
      </w:r>
      <w:r w:rsidRPr="00614B94">
        <w:rPr>
          <w:rFonts w:ascii="Palatino Linotype" w:eastAsia="Palatino Linotype" w:hAnsi="Palatino Linotype" w:cs="Palatino Linotype"/>
        </w:rPr>
        <w:lastRenderedPageBreak/>
        <w:t>tercer párrafo de la Ley de Transparencia y Acceso a la Información Pública del Estado de México y Municipios.</w:t>
      </w:r>
    </w:p>
    <w:p w14:paraId="73E4B45A" w14:textId="77777777" w:rsidR="009E6893" w:rsidRPr="00614B94" w:rsidRDefault="009E6893">
      <w:pPr>
        <w:spacing w:line="360" w:lineRule="auto"/>
        <w:jc w:val="both"/>
        <w:rPr>
          <w:rFonts w:ascii="Palatino Linotype" w:eastAsia="Palatino Linotype" w:hAnsi="Palatino Linotype" w:cs="Palatino Linotype"/>
        </w:rPr>
      </w:pPr>
    </w:p>
    <w:p w14:paraId="27E7E3D2" w14:textId="77777777" w:rsidR="009E6893" w:rsidRPr="00614B94" w:rsidRDefault="00DD198A">
      <w:pPr>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rPr>
        <w:t>d) Cierre de Instrucción</w:t>
      </w:r>
    </w:p>
    <w:p w14:paraId="061BC456"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Por lo que, una vez analizado el estado procesal que guarda el expediente, en fecha </w:t>
      </w:r>
      <w:r w:rsidRPr="00614B94">
        <w:rPr>
          <w:rFonts w:ascii="Palatino Linotype" w:eastAsia="Palatino Linotype" w:hAnsi="Palatino Linotype" w:cs="Palatino Linotype"/>
          <w:b/>
          <w:bCs/>
        </w:rPr>
        <w:t>siete de junio de dos mil veintidós</w:t>
      </w:r>
      <w:r w:rsidRPr="00614B94">
        <w:rPr>
          <w:rFonts w:ascii="Palatino Linotype" w:eastAsia="Palatino Linotype" w:hAnsi="Palatino Linotype" w:cs="Palatino Linotype"/>
        </w:rPr>
        <w:t xml:space="preserve">, la </w:t>
      </w:r>
      <w:r w:rsidRPr="00614B94">
        <w:rPr>
          <w:rFonts w:ascii="Palatino Linotype" w:eastAsia="Palatino Linotype" w:hAnsi="Palatino Linotype" w:cs="Palatino Linotype"/>
          <w:b/>
        </w:rPr>
        <w:t xml:space="preserve">Comisionada Sharon Cristina Morales Martínez </w:t>
      </w:r>
      <w:r w:rsidRPr="00614B94">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w:t>
      </w:r>
      <w:r w:rsidR="00662605" w:rsidRPr="00614B94">
        <w:rPr>
          <w:rFonts w:ascii="Palatino Linotype" w:eastAsia="Palatino Linotype" w:hAnsi="Palatino Linotype" w:cs="Palatino Linotype"/>
        </w:rPr>
        <w:t>Estado de México y Municipios.</w:t>
      </w:r>
    </w:p>
    <w:p w14:paraId="7247D0EF" w14:textId="77777777" w:rsidR="009E6893" w:rsidRPr="00614B94" w:rsidRDefault="00DD198A">
      <w:pPr>
        <w:jc w:val="center"/>
        <w:rPr>
          <w:rFonts w:ascii="Palatino Linotype" w:eastAsia="Palatino Linotype" w:hAnsi="Palatino Linotype" w:cs="Palatino Linotype"/>
          <w:b/>
          <w:sz w:val="28"/>
          <w:szCs w:val="28"/>
        </w:rPr>
      </w:pPr>
      <w:r w:rsidRPr="00614B94">
        <w:rPr>
          <w:rFonts w:ascii="Palatino Linotype" w:eastAsia="Palatino Linotype" w:hAnsi="Palatino Linotype" w:cs="Palatino Linotype"/>
          <w:b/>
          <w:sz w:val="28"/>
          <w:szCs w:val="28"/>
        </w:rPr>
        <w:t>CONSIDERANDO</w:t>
      </w:r>
    </w:p>
    <w:p w14:paraId="48275BC8" w14:textId="77777777" w:rsidR="009E6893" w:rsidRPr="00614B94" w:rsidRDefault="009E6893">
      <w:pPr>
        <w:jc w:val="center"/>
        <w:rPr>
          <w:rFonts w:ascii="Palatino Linotype" w:eastAsia="Palatino Linotype" w:hAnsi="Palatino Linotype" w:cs="Palatino Linotype"/>
          <w:b/>
          <w:sz w:val="28"/>
          <w:szCs w:val="28"/>
        </w:rPr>
      </w:pPr>
    </w:p>
    <w:p w14:paraId="28F8E458" w14:textId="77777777" w:rsidR="009E6893" w:rsidRPr="00614B94" w:rsidRDefault="00DD198A">
      <w:pPr>
        <w:widowControl w:val="0"/>
        <w:tabs>
          <w:tab w:val="left" w:pos="1701"/>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b/>
          <w:sz w:val="28"/>
          <w:szCs w:val="28"/>
        </w:rPr>
        <w:t>PRIMERO.</w:t>
      </w:r>
      <w:r w:rsidRPr="00614B94">
        <w:rPr>
          <w:rFonts w:ascii="Palatino Linotype" w:eastAsia="Palatino Linotype" w:hAnsi="Palatino Linotype" w:cs="Palatino Linotype"/>
          <w:b/>
        </w:rPr>
        <w:t xml:space="preserve"> Competencia</w:t>
      </w:r>
      <w:r w:rsidRPr="00614B94">
        <w:rPr>
          <w:rFonts w:ascii="Palatino Linotype" w:eastAsia="Palatino Linotype" w:hAnsi="Palatino Linotype" w:cs="Palatino Linotype"/>
        </w:rPr>
        <w:t>.</w:t>
      </w:r>
      <w:r w:rsidRPr="00614B94">
        <w:rPr>
          <w:rFonts w:ascii="Palatino Linotype" w:eastAsia="Palatino Linotype" w:hAnsi="Palatino Linotype" w:cs="Palatino Linotype"/>
          <w:b/>
        </w:rPr>
        <w:t xml:space="preserve"> </w:t>
      </w:r>
    </w:p>
    <w:p w14:paraId="6F5CD1E4" w14:textId="77777777" w:rsidR="009E6893" w:rsidRPr="00614B94" w:rsidRDefault="00DD198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614B9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035C2DC" w14:textId="77777777" w:rsidR="009E6893" w:rsidRPr="00614B94" w:rsidRDefault="00DD198A">
      <w:pPr>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sz w:val="28"/>
          <w:szCs w:val="28"/>
        </w:rPr>
        <w:lastRenderedPageBreak/>
        <w:t>SEGUNDO</w:t>
      </w:r>
      <w:r w:rsidRPr="00614B94">
        <w:rPr>
          <w:rFonts w:ascii="Palatino Linotype" w:eastAsia="Palatino Linotype" w:hAnsi="Palatino Linotype" w:cs="Palatino Linotype"/>
          <w:b/>
        </w:rPr>
        <w:t xml:space="preserve">. Interés. </w:t>
      </w:r>
    </w:p>
    <w:p w14:paraId="09815847" w14:textId="77777777" w:rsidR="009E6893" w:rsidRPr="00614B94" w:rsidRDefault="00DD198A">
      <w:pPr>
        <w:spacing w:line="360" w:lineRule="auto"/>
        <w:jc w:val="both"/>
        <w:rPr>
          <w:rFonts w:ascii="Palatino Linotype" w:eastAsia="Palatino Linotype" w:hAnsi="Palatino Linotype" w:cs="Palatino Linotype"/>
          <w:b/>
          <w:color w:val="000000"/>
        </w:rPr>
      </w:pPr>
      <w:r w:rsidRPr="00614B94">
        <w:rPr>
          <w:rFonts w:ascii="Palatino Linotype" w:eastAsia="Palatino Linotype" w:hAnsi="Palatino Linotype" w:cs="Palatino Linotype"/>
        </w:rPr>
        <w:t>El</w:t>
      </w:r>
      <w:r w:rsidRPr="00614B94">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614B94">
        <w:rPr>
          <w:rFonts w:ascii="Palatino Linotype" w:eastAsia="Palatino Linotype" w:hAnsi="Palatino Linotype" w:cs="Palatino Linotype"/>
          <w:b/>
        </w:rPr>
        <w:t>LA</w:t>
      </w:r>
      <w:r w:rsidRPr="00614B94">
        <w:rPr>
          <w:rFonts w:ascii="Palatino Linotype" w:eastAsia="Palatino Linotype" w:hAnsi="Palatino Linotype" w:cs="Palatino Linotype"/>
          <w:b/>
          <w:color w:val="000000"/>
        </w:rPr>
        <w:t xml:space="preserve"> RECURRENTE,</w:t>
      </w:r>
      <w:r w:rsidRPr="00614B94">
        <w:rPr>
          <w:rFonts w:ascii="Palatino Linotype" w:eastAsia="Palatino Linotype" w:hAnsi="Palatino Linotype" w:cs="Palatino Linotype"/>
          <w:color w:val="000000"/>
        </w:rPr>
        <w:t xml:space="preserve"> quien es la misma persona que formuló la solicitud de acceso a la información pública al </w:t>
      </w:r>
      <w:r w:rsidRPr="00614B94">
        <w:rPr>
          <w:rFonts w:ascii="Palatino Linotype" w:eastAsia="Palatino Linotype" w:hAnsi="Palatino Linotype" w:cs="Palatino Linotype"/>
          <w:b/>
          <w:color w:val="000000"/>
        </w:rPr>
        <w:t xml:space="preserve">SUJETO OBLIGADO, </w:t>
      </w:r>
      <w:r w:rsidRPr="00614B94">
        <w:rPr>
          <w:rFonts w:ascii="Palatino Linotype" w:eastAsia="Palatino Linotype" w:hAnsi="Palatino Linotype" w:cs="Palatino Linotype"/>
          <w:color w:val="000000"/>
        </w:rPr>
        <w:t xml:space="preserve">pues para ello, es necesario que el particular ingrese al </w:t>
      </w:r>
      <w:r w:rsidRPr="00614B94">
        <w:rPr>
          <w:rFonts w:ascii="Palatino Linotype" w:eastAsia="Palatino Linotype" w:hAnsi="Palatino Linotype" w:cs="Palatino Linotype"/>
          <w:b/>
          <w:color w:val="000000"/>
        </w:rPr>
        <w:t xml:space="preserve">SAIMEX </w:t>
      </w:r>
      <w:r w:rsidRPr="00614B94">
        <w:rPr>
          <w:rFonts w:ascii="Palatino Linotype" w:eastAsia="Palatino Linotype" w:hAnsi="Palatino Linotype" w:cs="Palatino Linotype"/>
          <w:color w:val="000000"/>
        </w:rPr>
        <w:t>mediante la utilización de su clave de usuario y contraseña.</w:t>
      </w:r>
    </w:p>
    <w:p w14:paraId="422453EA" w14:textId="77777777" w:rsidR="009E6893" w:rsidRPr="00614B94" w:rsidRDefault="009E689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6B413B9" w14:textId="77777777" w:rsidR="009E6893" w:rsidRPr="00614B94" w:rsidRDefault="00DD198A">
      <w:pPr>
        <w:tabs>
          <w:tab w:val="center" w:pos="4252"/>
          <w:tab w:val="right" w:pos="8504"/>
        </w:tabs>
        <w:spacing w:line="360" w:lineRule="auto"/>
        <w:ind w:left="-57"/>
        <w:jc w:val="both"/>
        <w:rPr>
          <w:rFonts w:ascii="Palatino Linotype" w:eastAsia="Palatino Linotype" w:hAnsi="Palatino Linotype" w:cs="Palatino Linotype"/>
          <w:color w:val="000000"/>
        </w:rPr>
      </w:pPr>
      <w:r w:rsidRPr="00614B94">
        <w:rPr>
          <w:rFonts w:ascii="Palatino Linotype" w:eastAsia="Palatino Linotype" w:hAnsi="Palatino Linotype" w:cs="Palatino Linotype"/>
          <w:b/>
          <w:sz w:val="28"/>
          <w:szCs w:val="28"/>
        </w:rPr>
        <w:t>TERCERO.</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color w:val="000000"/>
        </w:rPr>
        <w:t>Oportunidad</w:t>
      </w:r>
      <w:r w:rsidRPr="00614B94">
        <w:rPr>
          <w:rFonts w:ascii="Palatino Linotype" w:eastAsia="Palatino Linotype" w:hAnsi="Palatino Linotype" w:cs="Palatino Linotype"/>
          <w:color w:val="000000"/>
        </w:rPr>
        <w:t xml:space="preserve">. </w:t>
      </w:r>
    </w:p>
    <w:p w14:paraId="45656045" w14:textId="77777777" w:rsidR="009E6893" w:rsidRPr="00614B94" w:rsidRDefault="00DD198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14B94">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614B94">
        <w:rPr>
          <w:rFonts w:ascii="Palatino Linotype" w:eastAsia="Palatino Linotype" w:hAnsi="Palatino Linotype" w:cs="Palatino Linotype"/>
          <w:b/>
          <w:color w:val="000000"/>
        </w:rPr>
        <w:t xml:space="preserve">LA RECURRENTE </w:t>
      </w:r>
      <w:r w:rsidRPr="00614B94">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D2B1C85" w14:textId="77777777" w:rsidR="009E6893" w:rsidRPr="00614B94" w:rsidRDefault="009E6893">
      <w:pPr>
        <w:ind w:left="720" w:right="709"/>
        <w:jc w:val="both"/>
        <w:rPr>
          <w:rFonts w:ascii="Palatino Linotype" w:eastAsia="Palatino Linotype" w:hAnsi="Palatino Linotype" w:cs="Palatino Linotype"/>
          <w:i/>
          <w:sz w:val="22"/>
          <w:szCs w:val="22"/>
        </w:rPr>
      </w:pPr>
    </w:p>
    <w:p w14:paraId="59F1F1E8" w14:textId="77777777" w:rsidR="009E6893" w:rsidRPr="00614B94" w:rsidRDefault="00DD198A">
      <w:pPr>
        <w:ind w:left="851"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Artículo 178.</w:t>
      </w:r>
      <w:r w:rsidRPr="00614B9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DA3816" w14:textId="77777777" w:rsidR="009E6893" w:rsidRPr="00614B94" w:rsidRDefault="009E6893">
      <w:pPr>
        <w:ind w:left="851" w:right="899"/>
        <w:jc w:val="both"/>
        <w:rPr>
          <w:rFonts w:ascii="Palatino Linotype" w:eastAsia="Palatino Linotype" w:hAnsi="Palatino Linotype" w:cs="Palatino Linotype"/>
          <w:i/>
          <w:sz w:val="22"/>
          <w:szCs w:val="22"/>
        </w:rPr>
      </w:pPr>
    </w:p>
    <w:p w14:paraId="1BA65F90" w14:textId="77777777" w:rsidR="009E6893" w:rsidRPr="00614B94" w:rsidRDefault="00DD198A">
      <w:pPr>
        <w:ind w:left="851"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8ACDA4C" w14:textId="77777777" w:rsidR="009E6893" w:rsidRPr="00614B94" w:rsidRDefault="009E6893">
      <w:pPr>
        <w:ind w:left="851" w:right="899"/>
        <w:jc w:val="both"/>
        <w:rPr>
          <w:rFonts w:ascii="Palatino Linotype" w:eastAsia="Palatino Linotype" w:hAnsi="Palatino Linotype" w:cs="Palatino Linotype"/>
          <w:i/>
          <w:sz w:val="22"/>
          <w:szCs w:val="22"/>
        </w:rPr>
      </w:pPr>
    </w:p>
    <w:p w14:paraId="7A3F7E48" w14:textId="77777777" w:rsidR="009E6893" w:rsidRPr="00614B94" w:rsidRDefault="00DD198A">
      <w:pPr>
        <w:ind w:left="851"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0DC86D7" w14:textId="77777777" w:rsidR="009E6893" w:rsidRPr="00614B94" w:rsidRDefault="009E6893">
      <w:pPr>
        <w:ind w:left="720" w:right="709"/>
        <w:jc w:val="both"/>
        <w:rPr>
          <w:rFonts w:ascii="Palatino Linotype" w:eastAsia="Palatino Linotype" w:hAnsi="Palatino Linotype" w:cs="Palatino Linotype"/>
          <w:i/>
          <w:sz w:val="22"/>
          <w:szCs w:val="22"/>
        </w:rPr>
      </w:pPr>
    </w:p>
    <w:p w14:paraId="572DDB84" w14:textId="77777777" w:rsidR="009E6893" w:rsidRPr="00614B94" w:rsidRDefault="00DD198A">
      <w:pPr>
        <w:spacing w:line="360" w:lineRule="auto"/>
        <w:jc w:val="both"/>
        <w:rPr>
          <w:rFonts w:ascii="Palatino Linotype" w:eastAsia="Palatino Linotype" w:hAnsi="Palatino Linotype" w:cs="Palatino Linotype"/>
        </w:rPr>
      </w:pPr>
      <w:bookmarkStart w:id="4" w:name="_heading=h.2et92p0" w:colFirst="0" w:colLast="0"/>
      <w:bookmarkEnd w:id="4"/>
      <w:r w:rsidRPr="00614B94">
        <w:rPr>
          <w:rFonts w:ascii="Palatino Linotype" w:eastAsia="Palatino Linotype" w:hAnsi="Palatino Linotype" w:cs="Palatino Linotype"/>
        </w:rPr>
        <w:lastRenderedPageBreak/>
        <w:t xml:space="preserve">En esa tesitura, atendiendo a que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notificó la respuesta a la solicitud de acceso a la información pública el día</w:t>
      </w:r>
      <w:r w:rsidRPr="00614B94">
        <w:rPr>
          <w:rFonts w:ascii="Palatino Linotype" w:eastAsia="Palatino Linotype" w:hAnsi="Palatino Linotype" w:cs="Palatino Linotype"/>
          <w:b/>
        </w:rPr>
        <w:t xml:space="preserve"> veinticuatro de marzo de dos mil veintidós</w:t>
      </w:r>
      <w:r w:rsidRPr="00614B94">
        <w:rPr>
          <w:rFonts w:ascii="Palatino Linotype" w:eastAsia="Palatino Linotype" w:hAnsi="Palatino Linotype" w:cs="Palatino Linotype"/>
        </w:rPr>
        <w:t xml:space="preserve">; así, el plazo de quince días hábiles que el artículo 178 de la Ley de la materia otorga a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para presentar el respectivo Recurso de Revisión, transcurrió del</w:t>
      </w:r>
      <w:r w:rsidRPr="00614B94">
        <w:rPr>
          <w:rFonts w:ascii="Palatino Linotype" w:eastAsia="Palatino Linotype" w:hAnsi="Palatino Linotype" w:cs="Palatino Linotype"/>
          <w:b/>
        </w:rPr>
        <w:t xml:space="preserve"> veinticinco de marzo al veintiuno de abril de dos mil veintidós, </w:t>
      </w:r>
      <w:r w:rsidRPr="00614B94">
        <w:rPr>
          <w:rFonts w:ascii="Palatino Linotype" w:eastAsia="Palatino Linotype" w:hAnsi="Palatino Linotype" w:cs="Palatino Linotype"/>
        </w:rPr>
        <w:t>sin contemplar en el cómputo los días veintiséis y veintisiete de marzo, así como dos, tres, nueve y diez de abril de dos mil veintidós por corresponder a sábados y domingos, considerados como días inhábiles, en términos del artículo 3, fracción X de la Ley de Transparencia y Acceso a la Información Pública del Estado de México y Municipios. Así como, el periodo transcurrido del once al quince de abril de dos mil veintidós, por ser considerados como días inhábiles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614B94">
        <w:rPr>
          <w:rFonts w:ascii="Palatino Linotype" w:eastAsia="Palatino Linotype" w:hAnsi="Palatino Linotype" w:cs="Palatino Linotype"/>
          <w:vertAlign w:val="superscript"/>
        </w:rPr>
        <w:footnoteReference w:id="1"/>
      </w:r>
      <w:r w:rsidRPr="00614B94">
        <w:rPr>
          <w:rFonts w:ascii="Palatino Linotype" w:eastAsia="Palatino Linotype" w:hAnsi="Palatino Linotype" w:cs="Palatino Linotype"/>
        </w:rPr>
        <w:t>.</w:t>
      </w:r>
    </w:p>
    <w:p w14:paraId="154B4912" w14:textId="77777777" w:rsidR="009E6893" w:rsidRPr="00614B94" w:rsidRDefault="009E6893">
      <w:pPr>
        <w:spacing w:line="360" w:lineRule="auto"/>
        <w:jc w:val="both"/>
        <w:rPr>
          <w:rFonts w:ascii="Palatino Linotype" w:eastAsia="Palatino Linotype" w:hAnsi="Palatino Linotype" w:cs="Palatino Linotype"/>
        </w:rPr>
      </w:pPr>
      <w:bookmarkStart w:id="5" w:name="_heading=h.orkc3o7h9xbv" w:colFirst="0" w:colLast="0"/>
      <w:bookmarkEnd w:id="5"/>
    </w:p>
    <w:p w14:paraId="043F0385" w14:textId="77777777" w:rsidR="009E6893" w:rsidRPr="00614B94" w:rsidRDefault="00DD198A">
      <w:pPr>
        <w:spacing w:line="360" w:lineRule="auto"/>
        <w:ind w:left="-5" w:hanging="10"/>
        <w:jc w:val="both"/>
      </w:pPr>
      <w:r w:rsidRPr="00614B94">
        <w:rPr>
          <w:rFonts w:ascii="Palatino Linotype" w:eastAsia="Palatino Linotype" w:hAnsi="Palatino Linotype" w:cs="Palatino Linotype"/>
        </w:rPr>
        <w:t xml:space="preserve">En ese tenor, se advierte que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w:t>
      </w:r>
      <w:r w:rsidRPr="00614B94">
        <w:rPr>
          <w:rFonts w:ascii="Palatino Linotype" w:eastAsia="Palatino Linotype" w:hAnsi="Palatino Linotype" w:cs="Palatino Linotype"/>
        </w:rPr>
        <w:lastRenderedPageBreak/>
        <w:t xml:space="preserve">de revisión se promueve </w:t>
      </w:r>
      <w:r w:rsidRPr="00614B94">
        <w:rPr>
          <w:rFonts w:ascii="Palatino Linotype" w:eastAsia="Palatino Linotype" w:hAnsi="Palatino Linotype" w:cs="Palatino Linotype"/>
          <w:b/>
          <w:u w:val="single"/>
        </w:rPr>
        <w:t>dentro</w:t>
      </w:r>
      <w:r w:rsidRPr="00614B94">
        <w:rPr>
          <w:rFonts w:ascii="Palatino Linotype" w:eastAsia="Palatino Linotype" w:hAnsi="Palatino Linotype" w:cs="Palatino Linotype"/>
        </w:rPr>
        <w:t xml:space="preserve"> de los quince días hábiles siguientes en que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tenga conocimiento de la respuesta impugnada, no limita a los particulares para que lo puedan presentar </w:t>
      </w:r>
      <w:r w:rsidRPr="00614B94">
        <w:rPr>
          <w:rFonts w:ascii="Palatino Linotype" w:eastAsia="Palatino Linotype" w:hAnsi="Palatino Linotype" w:cs="Palatino Linotype"/>
          <w:b/>
        </w:rPr>
        <w:t>el mismo día</w:t>
      </w:r>
      <w:r w:rsidRPr="00614B94">
        <w:rPr>
          <w:rFonts w:ascii="Palatino Linotype" w:eastAsia="Palatino Linotype" w:hAnsi="Palatino Linotype" w:cs="Palatino Linotype"/>
        </w:rPr>
        <w:t xml:space="preserve"> en que le sea notificada dicha respuesta.</w:t>
      </w:r>
    </w:p>
    <w:p w14:paraId="0076BFD7" w14:textId="77777777" w:rsidR="009E6893" w:rsidRPr="00614B94" w:rsidRDefault="00DD198A">
      <w:pPr>
        <w:spacing w:before="200" w:after="200" w:line="360" w:lineRule="auto"/>
        <w:jc w:val="both"/>
      </w:pPr>
      <w:r w:rsidRPr="00614B94">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6AA4942" w14:textId="77777777" w:rsidR="009E6893" w:rsidRPr="00614B94" w:rsidRDefault="00DD198A">
      <w:pPr>
        <w:spacing w:before="120" w:after="120"/>
        <w:ind w:left="709" w:right="709"/>
        <w:jc w:val="both"/>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614B94">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614B94">
        <w:t xml:space="preserve"> </w:t>
      </w:r>
    </w:p>
    <w:p w14:paraId="2DC964FC" w14:textId="77777777" w:rsidR="009E6893" w:rsidRPr="00614B94" w:rsidRDefault="009E6893">
      <w:pPr>
        <w:spacing w:before="120" w:after="120"/>
        <w:ind w:left="709" w:right="709"/>
        <w:jc w:val="both"/>
      </w:pPr>
    </w:p>
    <w:p w14:paraId="2233EE17" w14:textId="77777777" w:rsidR="009E6893" w:rsidRPr="00614B94" w:rsidRDefault="00DD198A">
      <w:pPr>
        <w:spacing w:before="120" w:after="120"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3D41BA54" w14:textId="77777777" w:rsidR="009E6893" w:rsidRPr="00614B94" w:rsidRDefault="00DD198A">
      <w:pPr>
        <w:spacing w:before="120" w:after="120"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Por ello, al haber interpuesto el recurso materia de este análisis el mismo día de la notificación de la respuesta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debe considerarse en tiempo.</w:t>
      </w:r>
    </w:p>
    <w:p w14:paraId="1D95F76B" w14:textId="77777777" w:rsidR="009E6893" w:rsidRPr="00614B94" w:rsidRDefault="00DD198A">
      <w:pPr>
        <w:spacing w:line="360" w:lineRule="auto"/>
        <w:ind w:right="49"/>
        <w:jc w:val="both"/>
        <w:rPr>
          <w:rFonts w:ascii="Palatino Linotype" w:eastAsia="Palatino Linotype" w:hAnsi="Palatino Linotype" w:cs="Palatino Linotype"/>
          <w:b/>
        </w:rPr>
      </w:pPr>
      <w:r w:rsidRPr="00614B94">
        <w:rPr>
          <w:rFonts w:ascii="Palatino Linotype" w:eastAsia="Palatino Linotype" w:hAnsi="Palatino Linotype" w:cs="Palatino Linotype"/>
          <w:b/>
          <w:sz w:val="28"/>
          <w:szCs w:val="28"/>
        </w:rPr>
        <w:lastRenderedPageBreak/>
        <w:t>CUARTO</w:t>
      </w:r>
      <w:r w:rsidRPr="00614B94">
        <w:rPr>
          <w:rFonts w:ascii="Palatino Linotype" w:eastAsia="Palatino Linotype" w:hAnsi="Palatino Linotype" w:cs="Palatino Linotype"/>
          <w:b/>
        </w:rPr>
        <w:t xml:space="preserve">. Procedibilidad. </w:t>
      </w:r>
    </w:p>
    <w:p w14:paraId="1D41819D"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614B94">
        <w:rPr>
          <w:rFonts w:ascii="Palatino Linotype" w:eastAsia="Palatino Linotype" w:hAnsi="Palatino Linotype" w:cs="Palatino Linotype"/>
          <w:b/>
        </w:rPr>
        <w:t>EL SAIMEX</w:t>
      </w:r>
    </w:p>
    <w:p w14:paraId="75163149" w14:textId="77777777" w:rsidR="009E6893" w:rsidRPr="00614B94" w:rsidRDefault="009E6893">
      <w:pPr>
        <w:spacing w:line="360" w:lineRule="auto"/>
        <w:ind w:right="49"/>
        <w:jc w:val="both"/>
        <w:rPr>
          <w:rFonts w:ascii="Palatino Linotype" w:eastAsia="Palatino Linotype" w:hAnsi="Palatino Linotype" w:cs="Palatino Linotype"/>
          <w:b/>
        </w:rPr>
      </w:pPr>
    </w:p>
    <w:p w14:paraId="6F6DA1C5" w14:textId="77777777" w:rsidR="009E6893" w:rsidRPr="00614B94" w:rsidRDefault="00DD198A">
      <w:pPr>
        <w:spacing w:line="360" w:lineRule="auto"/>
        <w:jc w:val="both"/>
        <w:rPr>
          <w:rFonts w:ascii="Palatino Linotype" w:eastAsia="Palatino Linotype" w:hAnsi="Palatino Linotype" w:cs="Palatino Linotype"/>
          <w:b/>
        </w:rPr>
      </w:pPr>
      <w:r w:rsidRPr="00614B94">
        <w:rPr>
          <w:rFonts w:ascii="Palatino Linotype" w:eastAsia="Palatino Linotype" w:hAnsi="Palatino Linotype" w:cs="Palatino Linotype"/>
          <w:b/>
          <w:sz w:val="28"/>
          <w:szCs w:val="28"/>
        </w:rPr>
        <w:t>QUINTO</w:t>
      </w:r>
      <w:r w:rsidRPr="00614B94">
        <w:rPr>
          <w:rFonts w:ascii="Palatino Linotype" w:eastAsia="Palatino Linotype" w:hAnsi="Palatino Linotype" w:cs="Palatino Linotype"/>
          <w:b/>
        </w:rPr>
        <w:t xml:space="preserve">. Estudio y resolución del asunto. </w:t>
      </w:r>
    </w:p>
    <w:p w14:paraId="5BE40444" w14:textId="77777777" w:rsidR="009E6893" w:rsidRPr="00614B94" w:rsidRDefault="00DD198A">
      <w:pPr>
        <w:tabs>
          <w:tab w:val="left" w:pos="709"/>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primera instancia, de las constancias que obran en el expediente electrónico del SAIMEX se aprecia que en el caso que nos ocupa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invoca la hipótesis de procedibilidad prevista en la fracción V, del artículo 179 de la Ley de Transparencia y Acceso a la Información Pública del Estado de México y Municipios, el cual a la letra dice:</w:t>
      </w:r>
    </w:p>
    <w:p w14:paraId="55848EBA" w14:textId="77777777" w:rsidR="009E6893" w:rsidRPr="00614B94" w:rsidRDefault="00DD198A">
      <w:pPr>
        <w:ind w:left="851"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Artículo 179.</w:t>
      </w:r>
      <w:r w:rsidRPr="00614B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964503B" w14:textId="77777777" w:rsidR="009E6893" w:rsidRPr="00614B94" w:rsidRDefault="00DD198A">
      <w:pPr>
        <w:ind w:left="851" w:right="901"/>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w:t>
      </w:r>
    </w:p>
    <w:p w14:paraId="7866DF64" w14:textId="77777777" w:rsidR="009E6893" w:rsidRPr="00614B94" w:rsidRDefault="00DD198A">
      <w:pPr>
        <w:ind w:left="851" w:right="901"/>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V. La entrega de información incompleta;;</w:t>
      </w:r>
    </w:p>
    <w:p w14:paraId="1D94F81D" w14:textId="77777777" w:rsidR="009E6893" w:rsidRPr="00614B94" w:rsidRDefault="00DD198A">
      <w:pPr>
        <w:ind w:left="851"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w:t>
      </w:r>
      <w:r w:rsidRPr="00614B94">
        <w:rPr>
          <w:rFonts w:ascii="Palatino Linotype" w:eastAsia="Palatino Linotype" w:hAnsi="Palatino Linotype" w:cs="Palatino Linotype"/>
          <w:i/>
          <w:sz w:val="22"/>
          <w:szCs w:val="22"/>
        </w:rPr>
        <w:t>”</w:t>
      </w:r>
    </w:p>
    <w:p w14:paraId="76FF42E1" w14:textId="77777777" w:rsidR="009E6893" w:rsidRPr="00614B94" w:rsidRDefault="00DD198A">
      <w:pPr>
        <w:ind w:left="851"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(Énfasis añadido)</w:t>
      </w:r>
    </w:p>
    <w:p w14:paraId="39B5A37B" w14:textId="77777777" w:rsidR="009E6893" w:rsidRPr="00614B94" w:rsidRDefault="009E6893">
      <w:pPr>
        <w:spacing w:line="360" w:lineRule="auto"/>
        <w:ind w:right="49"/>
        <w:jc w:val="both"/>
        <w:rPr>
          <w:rFonts w:ascii="Palatino Linotype" w:eastAsia="Palatino Linotype" w:hAnsi="Palatino Linotype" w:cs="Palatino Linotype"/>
        </w:rPr>
      </w:pPr>
    </w:p>
    <w:p w14:paraId="084D7556"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Siendo importante mencionar que una vez abierta la etapa de manifestaciones, ambas partes fueron omisas en presentar mayores elementos. Por lo cual, es necesario realizar un estudio de la respuesta primigenia otorgada por EL SUJETO OBLIGADO a la </w:t>
      </w:r>
      <w:r w:rsidRPr="00614B94">
        <w:rPr>
          <w:rFonts w:ascii="Palatino Linotype" w:eastAsia="Palatino Linotype" w:hAnsi="Palatino Linotype" w:cs="Palatino Linotype"/>
        </w:rPr>
        <w:lastRenderedPageBreak/>
        <w:t xml:space="preserve">solicitud de acceso a la información de la particular, a fin de determinar si fue atendido el derecho de acceso a la Información de la particular </w:t>
      </w:r>
    </w:p>
    <w:p w14:paraId="1E9B1AF1" w14:textId="77777777" w:rsidR="009E6893" w:rsidRPr="00614B94" w:rsidRDefault="009E6893">
      <w:pPr>
        <w:spacing w:line="360" w:lineRule="auto"/>
        <w:ind w:right="49"/>
        <w:jc w:val="both"/>
        <w:rPr>
          <w:rFonts w:ascii="Palatino Linotype" w:eastAsia="Palatino Linotype" w:hAnsi="Palatino Linotype" w:cs="Palatino Linotype"/>
        </w:rPr>
      </w:pPr>
    </w:p>
    <w:p w14:paraId="3F6559F4"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tal sentido, para un mejor estudio y comprensión del asunto que se resuelve, es preciso recordar que </w:t>
      </w:r>
      <w:r w:rsidRPr="00614B94">
        <w:rPr>
          <w:rFonts w:ascii="Palatino Linotype" w:eastAsia="Palatino Linotype" w:hAnsi="Palatino Linotype" w:cs="Palatino Linotype"/>
          <w:b/>
        </w:rPr>
        <w:t>LA RECURRENTE</w:t>
      </w:r>
      <w:r w:rsidRPr="00614B94">
        <w:rPr>
          <w:rFonts w:ascii="Palatino Linotype" w:eastAsia="Palatino Linotype" w:hAnsi="Palatino Linotype" w:cs="Palatino Linotype"/>
        </w:rPr>
        <w:t xml:space="preserve"> solicitó al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lo siguiente: </w:t>
      </w:r>
    </w:p>
    <w:p w14:paraId="2E38CDA4" w14:textId="77777777" w:rsidR="009E6893" w:rsidRPr="00614B94" w:rsidRDefault="00DD198A">
      <w:pPr>
        <w:ind w:left="850" w:right="899"/>
        <w:jc w:val="both"/>
        <w:rPr>
          <w:rFonts w:ascii="Palatino Linotype" w:eastAsia="Palatino Linotype" w:hAnsi="Palatino Linotype" w:cs="Palatino Linotype"/>
        </w:rPr>
      </w:pPr>
      <w:r w:rsidRPr="00614B94">
        <w:rPr>
          <w:rFonts w:ascii="Palatino Linotype" w:eastAsia="Palatino Linotype" w:hAnsi="Palatino Linotype" w:cs="Palatino Linotype"/>
          <w:i/>
          <w:sz w:val="22"/>
          <w:szCs w:val="22"/>
        </w:rPr>
        <w:t>“Solicito el certificado de competencia laboral de los síndicos municipales, tesorero, titular del órgano interno de control, Director de obras y desarrollo urbano en general de todos los Titulares que por ley deben de tener el certificado de competencia laboral.” (sic)</w:t>
      </w:r>
    </w:p>
    <w:p w14:paraId="5435EAE9" w14:textId="77777777" w:rsidR="009E6893" w:rsidRPr="00614B94" w:rsidRDefault="009E6893">
      <w:pPr>
        <w:spacing w:line="360" w:lineRule="auto"/>
        <w:ind w:right="49"/>
        <w:jc w:val="both"/>
        <w:rPr>
          <w:rFonts w:ascii="Palatino Linotype" w:eastAsia="Palatino Linotype" w:hAnsi="Palatino Linotype" w:cs="Palatino Linotype"/>
        </w:rPr>
      </w:pPr>
    </w:p>
    <w:p w14:paraId="3381E0C9" w14:textId="72FC8A2B"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Así pues, dada la naturaleza de la información solicitada es conveniente traer a colación el contenido de la Ley Orgánica Municipal del Estado de México, la cual señala en su capítulo primero destinado a la organización del Ayuntamiento a través de sus dependencias administrativas que para el ejercicio de sus atribuciones el Ayuntamiento se auxiliará con dependencias que acuerde el cabildo siendo por lo menos las enlistada en el artículo 87 que se transcribe a continuación:</w:t>
      </w:r>
    </w:p>
    <w:p w14:paraId="18994754" w14:textId="77777777" w:rsidR="009E6893" w:rsidRPr="00614B94" w:rsidRDefault="009E6893">
      <w:pPr>
        <w:spacing w:line="360" w:lineRule="auto"/>
        <w:ind w:right="49"/>
        <w:jc w:val="both"/>
        <w:rPr>
          <w:rFonts w:ascii="Palatino Linotype" w:eastAsia="Palatino Linotype" w:hAnsi="Palatino Linotype" w:cs="Palatino Linotype"/>
        </w:rPr>
      </w:pPr>
    </w:p>
    <w:p w14:paraId="4B521FDB" w14:textId="77777777" w:rsidR="009E6893" w:rsidRPr="00614B94" w:rsidRDefault="00DD198A">
      <w:pPr>
        <w:ind w:left="850" w:right="899"/>
        <w:jc w:val="both"/>
        <w:rPr>
          <w:rFonts w:ascii="Palatino Linotype" w:eastAsia="Palatino Linotype" w:hAnsi="Palatino Linotype" w:cs="Palatino Linotype"/>
          <w:b/>
          <w:i/>
          <w:sz w:val="22"/>
          <w:szCs w:val="22"/>
          <w:u w:val="single"/>
        </w:rPr>
      </w:pPr>
      <w:r w:rsidRPr="00614B94">
        <w:rPr>
          <w:rFonts w:ascii="Palatino Linotype" w:eastAsia="Palatino Linotype" w:hAnsi="Palatino Linotype" w:cs="Palatino Linotype"/>
          <w:b/>
          <w:i/>
          <w:sz w:val="22"/>
          <w:szCs w:val="22"/>
          <w:u w:val="single"/>
        </w:rPr>
        <w:t>“CAPÍTULO PRIMERO</w:t>
      </w:r>
    </w:p>
    <w:p w14:paraId="289CF332" w14:textId="77777777" w:rsidR="009E6893" w:rsidRPr="00614B94" w:rsidRDefault="00DD198A">
      <w:pPr>
        <w:ind w:left="850" w:right="899"/>
        <w:jc w:val="both"/>
        <w:rPr>
          <w:rFonts w:ascii="Palatino Linotype" w:eastAsia="Palatino Linotype" w:hAnsi="Palatino Linotype" w:cs="Palatino Linotype"/>
          <w:b/>
          <w:i/>
          <w:sz w:val="22"/>
          <w:szCs w:val="22"/>
          <w:u w:val="single"/>
        </w:rPr>
      </w:pPr>
      <w:r w:rsidRPr="00614B94">
        <w:rPr>
          <w:rFonts w:ascii="Palatino Linotype" w:eastAsia="Palatino Linotype" w:hAnsi="Palatino Linotype" w:cs="Palatino Linotype"/>
          <w:b/>
          <w:i/>
          <w:sz w:val="22"/>
          <w:szCs w:val="22"/>
          <w:u w:val="single"/>
        </w:rPr>
        <w:t xml:space="preserve"> De las Dependencias Administrativas </w:t>
      </w:r>
    </w:p>
    <w:p w14:paraId="282A8874" w14:textId="77777777" w:rsidR="009E6893" w:rsidRPr="00614B94" w:rsidRDefault="009E6893">
      <w:pPr>
        <w:ind w:left="850" w:right="899"/>
        <w:jc w:val="both"/>
        <w:rPr>
          <w:rFonts w:ascii="Palatino Linotype" w:eastAsia="Palatino Linotype" w:hAnsi="Palatino Linotype" w:cs="Palatino Linotype"/>
          <w:i/>
          <w:sz w:val="22"/>
          <w:szCs w:val="22"/>
        </w:rPr>
      </w:pPr>
    </w:p>
    <w:p w14:paraId="02C181F7"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86.-</w:t>
      </w:r>
      <w:r w:rsidRPr="00614B94">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Pr="00614B94">
        <w:rPr>
          <w:rFonts w:ascii="Palatino Linotype" w:eastAsia="Palatino Linotype" w:hAnsi="Palatino Linotype" w:cs="Palatino Linotype"/>
          <w:i/>
          <w:sz w:val="22"/>
          <w:szCs w:val="22"/>
        </w:rPr>
        <w:lastRenderedPageBreak/>
        <w:t xml:space="preserve">manuales, acuerdos, circulares y otras disposiciones legales que tiendan a regular el funcionamiento del Municipio. </w:t>
      </w:r>
    </w:p>
    <w:p w14:paraId="54A3A092" w14:textId="77777777" w:rsidR="009E6893" w:rsidRPr="00614B94" w:rsidRDefault="009E6893">
      <w:pPr>
        <w:ind w:left="850" w:right="899"/>
        <w:jc w:val="both"/>
        <w:rPr>
          <w:rFonts w:ascii="Palatino Linotype" w:eastAsia="Palatino Linotype" w:hAnsi="Palatino Linotype" w:cs="Palatino Linotype"/>
          <w:i/>
          <w:sz w:val="22"/>
          <w:szCs w:val="22"/>
        </w:rPr>
      </w:pPr>
    </w:p>
    <w:p w14:paraId="2453D197"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Artículo 87.- </w:t>
      </w:r>
      <w:r w:rsidRPr="00614B94">
        <w:rPr>
          <w:rFonts w:ascii="Palatino Linotype" w:eastAsia="Palatino Linotype" w:hAnsi="Palatino Linotype" w:cs="Palatino Linotype"/>
          <w:i/>
          <w:sz w:val="22"/>
          <w:szCs w:val="22"/>
        </w:rPr>
        <w:t xml:space="preserve">Para el despacho, estudio y planeación de los diversos asuntos de la administración municipal, el ayuntamiento contará por lo menos con las siguientes Dependencias: </w:t>
      </w:r>
    </w:p>
    <w:p w14:paraId="3E9C6273"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 La secretaría del ayuntamiento; </w:t>
      </w:r>
    </w:p>
    <w:p w14:paraId="1079B264"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II. La tesorería municipal. </w:t>
      </w:r>
    </w:p>
    <w:p w14:paraId="27BD6D49"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III. La Dirección de Obras Públicas o equivalente. </w:t>
      </w:r>
    </w:p>
    <w:p w14:paraId="291663E3"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IV. La Dirección de Desarrollo Económico o equivalente. </w:t>
      </w:r>
    </w:p>
    <w:p w14:paraId="5B02B130"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V. La Dirección de Desarrollo Urbano o equivalente; </w:t>
      </w:r>
    </w:p>
    <w:p w14:paraId="11546159"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VI. La Dirección de Ecología o equivalente; y </w:t>
      </w:r>
    </w:p>
    <w:p w14:paraId="6D273DD0"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VII. La Dirección de Desarrollo Social o equivalente, y </w:t>
      </w:r>
    </w:p>
    <w:p w14:paraId="157B5465"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VIII. La Coordinación Municipal de Protección Civil o equivalente. “ </w:t>
      </w:r>
    </w:p>
    <w:p w14:paraId="376155AC"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(énfasis añadido) </w:t>
      </w:r>
    </w:p>
    <w:p w14:paraId="2C207D0E" w14:textId="77777777" w:rsidR="009E6893" w:rsidRPr="00614B94" w:rsidRDefault="009E6893">
      <w:pPr>
        <w:spacing w:line="360" w:lineRule="auto"/>
        <w:ind w:right="49"/>
        <w:jc w:val="both"/>
        <w:rPr>
          <w:rFonts w:ascii="Palatino Linotype" w:eastAsia="Palatino Linotype" w:hAnsi="Palatino Linotype" w:cs="Palatino Linotype"/>
        </w:rPr>
      </w:pPr>
    </w:p>
    <w:p w14:paraId="756A4631"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De los preceptos en cita se advierte que la Ley Orgánica Municipal, contempla ocho dependencias que serán las mínimas con las cuales deberá contar los Ayuntamientos para el ejercicio de sus funciones siendo estas la Secretaría del Ayuntamiento, la Tesorería municipal, Dirección de Obras públicas, Dirección de Desarrollo Económico, Desarrollo Urbano, Ecología, Desarrollo Social y la Coordinación Municipal de Protección Civil. </w:t>
      </w:r>
    </w:p>
    <w:p w14:paraId="0913CA47" w14:textId="77777777" w:rsidR="009E6893" w:rsidRPr="00614B94" w:rsidRDefault="009E6893">
      <w:pPr>
        <w:spacing w:line="360" w:lineRule="auto"/>
        <w:ind w:right="49"/>
        <w:jc w:val="both"/>
        <w:rPr>
          <w:rFonts w:ascii="Palatino Linotype" w:eastAsia="Palatino Linotype" w:hAnsi="Palatino Linotype" w:cs="Palatino Linotype"/>
          <w:color w:val="222222"/>
        </w:rPr>
      </w:pPr>
    </w:p>
    <w:p w14:paraId="5743BEAA"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Con ello en mente el Código Reglamentario del Municipio de Toluca establece que la administración pública municipal se aux</w:t>
      </w:r>
      <w:r w:rsidR="00662605" w:rsidRPr="00614B94">
        <w:rPr>
          <w:rFonts w:ascii="Palatino Linotype" w:eastAsia="Palatino Linotype" w:hAnsi="Palatino Linotype" w:cs="Palatino Linotype"/>
        </w:rPr>
        <w:t>iliará de diversas dependencias</w:t>
      </w:r>
      <w:r w:rsidRPr="00614B94">
        <w:rPr>
          <w:rFonts w:ascii="Palatino Linotype" w:eastAsia="Palatino Linotype" w:hAnsi="Palatino Linotype" w:cs="Palatino Linotype"/>
        </w:rPr>
        <w:t>, como se puede apreciar del contenido del artículo 3.2 que a la letra señala lo siguiente:</w:t>
      </w:r>
    </w:p>
    <w:p w14:paraId="5CF6546D"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 xml:space="preserve">Artículo 3.2. </w:t>
      </w:r>
      <w:r w:rsidRPr="00614B94">
        <w:rPr>
          <w:rFonts w:ascii="Palatino Linotype" w:eastAsia="Palatino Linotype" w:hAnsi="Palatino Linotype" w:cs="Palatino Linotype"/>
          <w:i/>
          <w:sz w:val="22"/>
          <w:szCs w:val="22"/>
        </w:rPr>
        <w:t xml:space="preserve">Para la consulta, estudio, planeación y despacho de los asuntos en los diversos ramos de la administración pública municipal, el presidente municipal se regirá por la Constitución Federal, la Constitución Estatal, la Ley Orgánica Municipal, el Bando </w:t>
      </w:r>
      <w:r w:rsidRPr="00614B94">
        <w:rPr>
          <w:rFonts w:ascii="Palatino Linotype" w:eastAsia="Palatino Linotype" w:hAnsi="Palatino Linotype" w:cs="Palatino Linotype"/>
          <w:i/>
          <w:sz w:val="22"/>
          <w:szCs w:val="22"/>
        </w:rPr>
        <w:lastRenderedPageBreak/>
        <w:t xml:space="preserve">Municipal, el presente Título y demás disposiciones que resulten aplicables y se auxiliará de la Secretaría del Ayuntamiento y de las siguientes: </w:t>
      </w:r>
    </w:p>
    <w:p w14:paraId="7111BD2D" w14:textId="77777777" w:rsidR="009E6893" w:rsidRPr="00614B94" w:rsidRDefault="009E6893">
      <w:pPr>
        <w:ind w:left="850" w:right="49"/>
        <w:jc w:val="both"/>
        <w:rPr>
          <w:rFonts w:ascii="Palatino Linotype" w:eastAsia="Palatino Linotype" w:hAnsi="Palatino Linotype" w:cs="Palatino Linotype"/>
          <w:i/>
          <w:sz w:val="22"/>
          <w:szCs w:val="22"/>
        </w:rPr>
      </w:pPr>
    </w:p>
    <w:p w14:paraId="5093508C" w14:textId="77777777" w:rsidR="009E6893" w:rsidRPr="00614B94" w:rsidRDefault="00DD198A">
      <w:pPr>
        <w:ind w:left="850" w:right="4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 xml:space="preserve">I. DEPENDENCIAS: </w:t>
      </w:r>
    </w:p>
    <w:p w14:paraId="3E85E599"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1. Tesorería Municipal </w:t>
      </w:r>
    </w:p>
    <w:p w14:paraId="31C5F726"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2. Contraloría </w:t>
      </w:r>
    </w:p>
    <w:p w14:paraId="12A73B1C"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3. Dirección General de Gobierno </w:t>
      </w:r>
    </w:p>
    <w:p w14:paraId="34934D88"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4. Dirección General de Seguridad Pública </w:t>
      </w:r>
    </w:p>
    <w:p w14:paraId="12122244"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5. Dirección General de Administración </w:t>
      </w:r>
    </w:p>
    <w:p w14:paraId="5CB94598"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6. Dirección General de Medio Ambiente </w:t>
      </w:r>
    </w:p>
    <w:p w14:paraId="4AAFCF94"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7. Dirección General de Servicios Públicos </w:t>
      </w:r>
    </w:p>
    <w:p w14:paraId="55BB482A"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8. Dirección General de Desarrollo Urbano y Obra Pública </w:t>
      </w:r>
    </w:p>
    <w:p w14:paraId="0CCC6693"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9. Dirección General de Fomento Económico </w:t>
      </w:r>
    </w:p>
    <w:p w14:paraId="1887DDC9"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10. Dirección General de Bienestar Social “ </w:t>
      </w:r>
    </w:p>
    <w:p w14:paraId="2F542D54" w14:textId="77777777" w:rsidR="009E6893" w:rsidRPr="00614B94" w:rsidRDefault="00DD198A">
      <w:pPr>
        <w:ind w:left="850" w:right="4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00662605" w:rsidRPr="00614B94">
        <w:rPr>
          <w:rFonts w:ascii="Palatino Linotype" w:eastAsia="Palatino Linotype" w:hAnsi="Palatino Linotype" w:cs="Palatino Linotype"/>
          <w:i/>
          <w:sz w:val="22"/>
          <w:szCs w:val="22"/>
        </w:rPr>
        <w:t xml:space="preserve">Énfasis </w:t>
      </w:r>
      <w:r w:rsidRPr="00614B94">
        <w:rPr>
          <w:rFonts w:ascii="Palatino Linotype" w:eastAsia="Palatino Linotype" w:hAnsi="Palatino Linotype" w:cs="Palatino Linotype"/>
          <w:i/>
          <w:sz w:val="22"/>
          <w:szCs w:val="22"/>
        </w:rPr>
        <w:t>añadido)</w:t>
      </w:r>
    </w:p>
    <w:p w14:paraId="4B5BCA07" w14:textId="77777777" w:rsidR="009E6893" w:rsidRPr="00614B94" w:rsidRDefault="009E6893">
      <w:pPr>
        <w:spacing w:line="360" w:lineRule="auto"/>
        <w:ind w:right="49"/>
        <w:jc w:val="both"/>
        <w:rPr>
          <w:rFonts w:ascii="Palatino Linotype" w:eastAsia="Palatino Linotype" w:hAnsi="Palatino Linotype" w:cs="Palatino Linotype"/>
          <w:color w:val="222222"/>
        </w:rPr>
      </w:pPr>
    </w:p>
    <w:p w14:paraId="1B625892" w14:textId="77777777" w:rsidR="009E6893" w:rsidRPr="00614B94" w:rsidRDefault="00DD198A">
      <w:pPr>
        <w:spacing w:line="360" w:lineRule="auto"/>
        <w:ind w:right="49"/>
        <w:jc w:val="both"/>
        <w:rPr>
          <w:rFonts w:ascii="Palatino Linotype" w:eastAsia="Palatino Linotype" w:hAnsi="Palatino Linotype" w:cs="Palatino Linotype"/>
          <w:color w:val="222222"/>
        </w:rPr>
      </w:pPr>
      <w:r w:rsidRPr="00614B94">
        <w:rPr>
          <w:rFonts w:ascii="Palatino Linotype" w:eastAsia="Palatino Linotype" w:hAnsi="Palatino Linotype" w:cs="Palatino Linotype"/>
          <w:color w:val="222222"/>
        </w:rPr>
        <w:t xml:space="preserve">En relación a lo anterior, el artículo 32 de la Ley Orgánica Municipal antes citada señala los requisitos para ocupar diversos puestos en la Administración Pública Municipal como se observa a continuación:  </w:t>
      </w:r>
    </w:p>
    <w:p w14:paraId="26EC8D57"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 xml:space="preserve">Artículo 32. </w:t>
      </w:r>
      <w:r w:rsidRPr="00614B94">
        <w:rPr>
          <w:rFonts w:ascii="Palatino Linotype" w:eastAsia="Palatino Linotype" w:hAnsi="Palatino Linotype" w:cs="Palatino Linotype"/>
          <w:i/>
          <w:sz w:val="22"/>
          <w:szCs w:val="22"/>
        </w:rPr>
        <w:t>Para ocupar los cargos de Secretario; Tesorero; Director de Obras Públicas, de Desarrollo Económico, Director de Turismo, Coordinador General Municipal de Mejora Regulatoria, Ecología, Desarrollo Urban</w:t>
      </w:r>
      <w:r w:rsidRPr="00614B94">
        <w:rPr>
          <w:rFonts w:ascii="Palatino Linotype" w:eastAsia="Palatino Linotype" w:hAnsi="Palatino Linotype" w:cs="Palatino Linotype"/>
          <w:b/>
          <w:i/>
          <w:sz w:val="22"/>
          <w:szCs w:val="22"/>
        </w:rPr>
        <w:t>o</w:t>
      </w:r>
      <w:r w:rsidRPr="00614B94">
        <w:rPr>
          <w:rFonts w:ascii="Palatino Linotype" w:eastAsia="Palatino Linotype" w:hAnsi="Palatino Linotype" w:cs="Palatino Linotype"/>
          <w:i/>
          <w:sz w:val="22"/>
          <w:szCs w:val="22"/>
        </w:rPr>
        <w:t xml:space="preserve">, de Desarrollo Social, o equivalentes, titulares de las unidades administrativas, de Protección Civil y de los organismos auxiliares se deberán satisfacer los siguientes requisitos: </w:t>
      </w:r>
    </w:p>
    <w:p w14:paraId="5BF71433"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 Ser ciudadano del Estado en pleno uso de sus derechos; </w:t>
      </w:r>
    </w:p>
    <w:p w14:paraId="30CEE150"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II. No estar inhabilitado para desempeñar cargo, empleo, o comisión pública. </w:t>
      </w:r>
    </w:p>
    <w:p w14:paraId="0BA68C6A"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14:paraId="0F656387"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14:paraId="3FA7DB2E" w14:textId="77777777" w:rsidR="009E6893" w:rsidRPr="00614B94" w:rsidRDefault="00DD198A">
      <w:pPr>
        <w:ind w:left="708"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 xml:space="preserve">V. En su caso, contar con certificación de competencia laboral en la materia del cargo que se desempeñará, expedida por institución con reconocimiento de validez oficial. </w:t>
      </w:r>
    </w:p>
    <w:p w14:paraId="259042D6"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lastRenderedPageBreak/>
        <w:t xml:space="preserve">Este requisito podrá acreditarse dentro de los seis meses siguientes a la fecha en que inicien sus funciones. Vencido el plazo a que se refiere el párrafo anterior, </w:t>
      </w:r>
      <w:r w:rsidRPr="00614B94">
        <w:rPr>
          <w:rFonts w:ascii="Palatino Linotype" w:eastAsia="Palatino Linotype" w:hAnsi="Palatino Linotype" w:cs="Palatino Linotype"/>
          <w:i/>
          <w:sz w:val="22"/>
          <w:szCs w:val="22"/>
        </w:rPr>
        <w:t>el Presidente Municipal informará al Cabildo sobre el cumplimiento de dicha certificación laboral para que, en su caso, el Ayuntamiento tome las medidas correspondientes respecto de aquellos servidores públicos que no hubiesen cumplido</w:t>
      </w:r>
      <w:r w:rsidRPr="00614B94">
        <w:rPr>
          <w:rFonts w:ascii="Palatino Linotype" w:eastAsia="Palatino Linotype" w:hAnsi="Palatino Linotype" w:cs="Palatino Linotype"/>
          <w:b/>
          <w:i/>
          <w:sz w:val="22"/>
          <w:szCs w:val="22"/>
        </w:rPr>
        <w:t>.</w:t>
      </w:r>
      <w:r w:rsidRPr="00614B94">
        <w:rPr>
          <w:rFonts w:ascii="Palatino Linotype" w:eastAsia="Palatino Linotype" w:hAnsi="Palatino Linotype" w:cs="Palatino Linotype"/>
          <w:i/>
          <w:sz w:val="22"/>
          <w:szCs w:val="22"/>
        </w:rPr>
        <w:t xml:space="preserve">” </w:t>
      </w:r>
    </w:p>
    <w:p w14:paraId="2A60DE64" w14:textId="77777777" w:rsidR="009E6893" w:rsidRPr="00614B94" w:rsidRDefault="00DD198A">
      <w:pPr>
        <w:ind w:left="708"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(Énfasis añadido)</w:t>
      </w:r>
    </w:p>
    <w:p w14:paraId="61406337" w14:textId="77777777" w:rsidR="009E6893" w:rsidRPr="00614B94" w:rsidRDefault="009E6893">
      <w:pPr>
        <w:spacing w:line="360" w:lineRule="auto"/>
        <w:jc w:val="both"/>
        <w:rPr>
          <w:rFonts w:ascii="Palatino Linotype" w:eastAsia="Palatino Linotype" w:hAnsi="Palatino Linotype" w:cs="Palatino Linotype"/>
        </w:rPr>
      </w:pPr>
    </w:p>
    <w:p w14:paraId="7E2B1A5B"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Así del precepto en cita se advierte que los titulares de diversas áreas de la Administración Pública Municipal deberán contar con una certificación de competencia laboral en la materia del cargo que desempeñen, dicho requisito podrá ser acreditado en el término de seis meses siguientes a la fecha en que inicien sus funciones. </w:t>
      </w:r>
    </w:p>
    <w:p w14:paraId="569F0C0B" w14:textId="77777777" w:rsidR="009E6893" w:rsidRPr="00614B94" w:rsidRDefault="009E6893">
      <w:pPr>
        <w:spacing w:line="360" w:lineRule="auto"/>
        <w:jc w:val="both"/>
        <w:rPr>
          <w:rFonts w:ascii="Palatino Linotype" w:eastAsia="Palatino Linotype" w:hAnsi="Palatino Linotype" w:cs="Palatino Linotype"/>
        </w:rPr>
      </w:pPr>
    </w:p>
    <w:p w14:paraId="2E9DECEC"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De la misma forma, la ley en comento prevé de forma específica la certificación para los titulares de distintas  dependencias de la Administración Pública Municipal dentro de los requisitos necesarios para ocupar dicho puesto:</w:t>
      </w:r>
    </w:p>
    <w:p w14:paraId="7B96D4ED" w14:textId="77777777" w:rsidR="009E6893" w:rsidRPr="00614B94" w:rsidRDefault="009E6893">
      <w:pPr>
        <w:spacing w:line="360" w:lineRule="auto"/>
        <w:jc w:val="both"/>
        <w:rPr>
          <w:rFonts w:ascii="Palatino Linotype" w:eastAsia="Palatino Linotype" w:hAnsi="Palatino Linotype" w:cs="Palatino Linotype"/>
        </w:rPr>
      </w:pPr>
    </w:p>
    <w:p w14:paraId="647374F7"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92</w:t>
      </w:r>
      <w:r w:rsidRPr="00614B94">
        <w:rPr>
          <w:rFonts w:ascii="Palatino Linotype" w:eastAsia="Palatino Linotype" w:hAnsi="Palatino Linotype" w:cs="Palatino Linotype"/>
          <w:i/>
          <w:sz w:val="22"/>
          <w:szCs w:val="22"/>
        </w:rPr>
        <w:t xml:space="preserve">.- Para ser </w:t>
      </w:r>
      <w:r w:rsidRPr="00614B94">
        <w:rPr>
          <w:rFonts w:ascii="Palatino Linotype" w:eastAsia="Palatino Linotype" w:hAnsi="Palatino Linotype" w:cs="Palatino Linotype"/>
          <w:b/>
          <w:i/>
          <w:sz w:val="22"/>
          <w:szCs w:val="22"/>
        </w:rPr>
        <w:t>secretario del ayuntamiento</w:t>
      </w:r>
      <w:r w:rsidRPr="00614B94">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3C5B2516"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II. Derogada </w:t>
      </w:r>
    </w:p>
    <w:p w14:paraId="0FAA926A"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III. Derogada </w:t>
      </w:r>
    </w:p>
    <w:p w14:paraId="1DBFA2AF"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5BD0D390" w14:textId="77777777" w:rsidR="009E6893" w:rsidRPr="00614B94" w:rsidRDefault="009E6893">
      <w:pPr>
        <w:ind w:left="850" w:right="899"/>
        <w:jc w:val="both"/>
        <w:rPr>
          <w:rFonts w:ascii="Palatino Linotype" w:eastAsia="Palatino Linotype" w:hAnsi="Palatino Linotype" w:cs="Palatino Linotype"/>
          <w:b/>
          <w:i/>
          <w:sz w:val="22"/>
          <w:szCs w:val="22"/>
        </w:rPr>
      </w:pPr>
    </w:p>
    <w:p w14:paraId="755119CB" w14:textId="77777777" w:rsidR="009E6893" w:rsidRPr="00614B94" w:rsidRDefault="009E6893">
      <w:pPr>
        <w:ind w:left="850" w:right="899"/>
        <w:jc w:val="both"/>
        <w:rPr>
          <w:rFonts w:ascii="Palatino Linotype" w:eastAsia="Palatino Linotype" w:hAnsi="Palatino Linotype" w:cs="Palatino Linotype"/>
          <w:i/>
          <w:sz w:val="22"/>
          <w:szCs w:val="22"/>
        </w:rPr>
      </w:pPr>
    </w:p>
    <w:p w14:paraId="435782D2"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Artículo 96.- </w:t>
      </w:r>
      <w:r w:rsidRPr="00614B94">
        <w:rPr>
          <w:rFonts w:ascii="Palatino Linotype" w:eastAsia="Palatino Linotype" w:hAnsi="Palatino Linotype" w:cs="Palatino Linotype"/>
          <w:i/>
          <w:sz w:val="22"/>
          <w:szCs w:val="22"/>
        </w:rPr>
        <w:t xml:space="preserve">Para ser </w:t>
      </w:r>
      <w:r w:rsidRPr="00614B94">
        <w:rPr>
          <w:rFonts w:ascii="Palatino Linotype" w:eastAsia="Palatino Linotype" w:hAnsi="Palatino Linotype" w:cs="Palatino Linotype"/>
          <w:b/>
          <w:i/>
          <w:sz w:val="22"/>
          <w:szCs w:val="22"/>
        </w:rPr>
        <w:t>tesorero municipal se requiere,</w:t>
      </w:r>
      <w:r w:rsidRPr="00614B94">
        <w:rPr>
          <w:rFonts w:ascii="Palatino Linotype" w:eastAsia="Palatino Linotype" w:hAnsi="Palatino Linotype" w:cs="Palatino Linotype"/>
          <w:i/>
          <w:sz w:val="22"/>
          <w:szCs w:val="22"/>
        </w:rPr>
        <w:t xml:space="preserve"> además de los requisitos del artículos 32 de esta Ley: </w:t>
      </w:r>
    </w:p>
    <w:p w14:paraId="0F4298B8"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614B94">
        <w:rPr>
          <w:rFonts w:ascii="Palatino Linotype" w:eastAsia="Palatino Linotype" w:hAnsi="Palatino Linotype" w:cs="Palatino Linotype"/>
          <w:b/>
          <w:i/>
          <w:sz w:val="22"/>
          <w:szCs w:val="22"/>
        </w:rPr>
        <w:t>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w:t>
      </w:r>
      <w:r w:rsidRPr="00614B94">
        <w:rPr>
          <w:rFonts w:ascii="Palatino Linotype" w:eastAsia="Palatino Linotype" w:hAnsi="Palatino Linotype" w:cs="Palatino Linotype"/>
          <w:i/>
          <w:sz w:val="22"/>
          <w:szCs w:val="22"/>
        </w:rPr>
        <w:t>.</w:t>
      </w:r>
    </w:p>
    <w:p w14:paraId="08E989F0" w14:textId="77777777" w:rsidR="009E6893" w:rsidRPr="00614B94" w:rsidRDefault="009E6893">
      <w:pPr>
        <w:ind w:left="850" w:right="899"/>
        <w:jc w:val="both"/>
        <w:rPr>
          <w:rFonts w:ascii="Palatino Linotype" w:eastAsia="Palatino Linotype" w:hAnsi="Palatino Linotype" w:cs="Palatino Linotype"/>
          <w:i/>
          <w:sz w:val="22"/>
          <w:szCs w:val="22"/>
        </w:rPr>
      </w:pPr>
    </w:p>
    <w:p w14:paraId="025D6D6B"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96 Te</w:t>
      </w:r>
      <w:r w:rsidRPr="00614B94">
        <w:rPr>
          <w:rFonts w:ascii="Palatino Linotype" w:eastAsia="Palatino Linotype" w:hAnsi="Palatino Linotype" w:cs="Palatino Linotype"/>
          <w:i/>
          <w:sz w:val="22"/>
          <w:szCs w:val="22"/>
        </w:rPr>
        <w:t xml:space="preserve">r. El </w:t>
      </w:r>
      <w:r w:rsidRPr="00614B94">
        <w:rPr>
          <w:rFonts w:ascii="Palatino Linotype" w:eastAsia="Palatino Linotype" w:hAnsi="Palatino Linotype" w:cs="Palatino Linotype"/>
          <w:b/>
          <w:i/>
          <w:sz w:val="22"/>
          <w:szCs w:val="22"/>
        </w:rPr>
        <w:t xml:space="preserve">Director de Obras Públicas </w:t>
      </w:r>
      <w:r w:rsidRPr="00614B94">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r w:rsidRPr="00614B94">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614B94">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553B624F" w14:textId="77777777" w:rsidR="009E6893" w:rsidRPr="00614B94" w:rsidRDefault="009E6893">
      <w:pPr>
        <w:ind w:left="850" w:right="899"/>
        <w:jc w:val="both"/>
        <w:rPr>
          <w:rFonts w:ascii="Palatino Linotype" w:eastAsia="Palatino Linotype" w:hAnsi="Palatino Linotype" w:cs="Palatino Linotype"/>
          <w:i/>
          <w:sz w:val="22"/>
          <w:szCs w:val="22"/>
        </w:rPr>
      </w:pPr>
    </w:p>
    <w:p w14:paraId="623752A2"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96 Quintus.</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El Director de Desarrollo Económico</w:t>
      </w:r>
      <w:r w:rsidRPr="00614B94">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r w:rsidRPr="00614B94">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614B94">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7F69EAD6" w14:textId="77777777" w:rsidR="009E6893" w:rsidRPr="00614B94" w:rsidRDefault="009E6893">
      <w:pPr>
        <w:ind w:left="850" w:right="899"/>
        <w:jc w:val="both"/>
        <w:rPr>
          <w:rFonts w:ascii="Palatino Linotype" w:eastAsia="Palatino Linotype" w:hAnsi="Palatino Linotype" w:cs="Palatino Linotype"/>
          <w:i/>
          <w:sz w:val="22"/>
          <w:szCs w:val="22"/>
        </w:rPr>
      </w:pPr>
    </w:p>
    <w:p w14:paraId="1D6319B7"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lastRenderedPageBreak/>
        <w:t>Artículo 96 Septies. El Director de Desarrollo Urbano</w:t>
      </w:r>
      <w:r w:rsidRPr="00614B94">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sidRPr="00614B94">
        <w:rPr>
          <w:rFonts w:ascii="Palatino Linotype" w:eastAsia="Palatino Linotype" w:hAnsi="Palatino Linotype" w:cs="Palatino Linotype"/>
          <w:b/>
          <w:i/>
          <w:sz w:val="22"/>
          <w:szCs w:val="22"/>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614B94">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7DDE52A0" w14:textId="77777777" w:rsidR="009E6893" w:rsidRPr="00614B94" w:rsidRDefault="009E6893">
      <w:pPr>
        <w:ind w:left="850" w:right="899"/>
        <w:jc w:val="both"/>
        <w:rPr>
          <w:rFonts w:ascii="Palatino Linotype" w:eastAsia="Palatino Linotype" w:hAnsi="Palatino Linotype" w:cs="Palatino Linotype"/>
          <w:i/>
          <w:sz w:val="22"/>
          <w:szCs w:val="22"/>
        </w:rPr>
      </w:pPr>
    </w:p>
    <w:p w14:paraId="5514B976"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96 Nonies</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 xml:space="preserve">El Director de Ecología </w:t>
      </w:r>
      <w:r w:rsidRPr="00614B94">
        <w:rPr>
          <w:rFonts w:ascii="Palatino Linotype" w:eastAsia="Palatino Linotype" w:hAnsi="Palatino Linotype" w:cs="Palatino Linotype"/>
          <w:i/>
          <w:sz w:val="22"/>
          <w:szCs w:val="22"/>
        </w:rPr>
        <w:t>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r w:rsidRPr="00614B94">
        <w:rPr>
          <w:rFonts w:ascii="Palatino Linotype" w:eastAsia="Palatino Linotype" w:hAnsi="Palatino Linotype" w:cs="Palatino Linotype"/>
          <w:b/>
          <w:i/>
          <w:sz w:val="22"/>
          <w:szCs w:val="22"/>
        </w:rPr>
        <w:t xml:space="preserve"> además deberá acreditar, dentro de los seis meses siguientes a la fecha en que inicie sus funciones, la certificación de competencia laboral expedida por el Instituto Hacendario </w:t>
      </w:r>
      <w:r w:rsidRPr="00614B94">
        <w:rPr>
          <w:rFonts w:ascii="Palatino Linotype" w:eastAsia="Palatino Linotype" w:hAnsi="Palatino Linotype" w:cs="Palatino Linotype"/>
          <w:i/>
          <w:sz w:val="22"/>
          <w:szCs w:val="22"/>
        </w:rPr>
        <w:t>del Estado de México o por alguna otra institución con reconocimiento de validez oficial, que asegure los conocimientos y habilidades para desempeñar el cargo, de conformidad con los aspectos técnicos y operativos aplicables al Estado de México.</w:t>
      </w:r>
    </w:p>
    <w:p w14:paraId="171BCF18" w14:textId="77777777" w:rsidR="009E6893" w:rsidRPr="00614B94" w:rsidRDefault="009E6893">
      <w:pPr>
        <w:ind w:left="850" w:right="899"/>
        <w:jc w:val="both"/>
        <w:rPr>
          <w:rFonts w:ascii="Palatino Linotype" w:eastAsia="Palatino Linotype" w:hAnsi="Palatino Linotype" w:cs="Palatino Linotype"/>
          <w:b/>
          <w:i/>
          <w:sz w:val="22"/>
          <w:szCs w:val="22"/>
        </w:rPr>
      </w:pPr>
    </w:p>
    <w:p w14:paraId="20E47C6D"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Artículo 85 Sexies.</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El Coordinador General Municipal de Mejora Regulatoria,</w:t>
      </w:r>
      <w:r w:rsidRPr="00614B94">
        <w:rPr>
          <w:rFonts w:ascii="Palatino Linotype" w:eastAsia="Palatino Linotype" w:hAnsi="Palatino Linotype" w:cs="Palatino Linotype"/>
          <w:i/>
          <w:sz w:val="22"/>
          <w:szCs w:val="22"/>
        </w:rPr>
        <w:t xml:space="preserve"> además de los requisitos establecidos en el artículo 32 de esta Ley, requiere contar con título profesional, además deberá acreditar, </w:t>
      </w:r>
      <w:r w:rsidRPr="00614B94">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614B94">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7886179E" w14:textId="77777777" w:rsidR="009E6893" w:rsidRPr="00614B94" w:rsidRDefault="009E6893">
      <w:pPr>
        <w:ind w:left="850" w:right="899"/>
        <w:jc w:val="both"/>
        <w:rPr>
          <w:rFonts w:ascii="Palatino Linotype" w:eastAsia="Palatino Linotype" w:hAnsi="Palatino Linotype" w:cs="Palatino Linotype"/>
          <w:i/>
          <w:sz w:val="22"/>
          <w:szCs w:val="22"/>
        </w:rPr>
      </w:pPr>
    </w:p>
    <w:p w14:paraId="4B45072D"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Artículo 81 Bis</w:t>
      </w:r>
      <w:r w:rsidRPr="00614B94">
        <w:rPr>
          <w:rFonts w:ascii="Palatino Linotype" w:eastAsia="Palatino Linotype" w:hAnsi="Palatino Linotype" w:cs="Palatino Linotype"/>
          <w:i/>
          <w:sz w:val="22"/>
          <w:szCs w:val="22"/>
        </w:rPr>
        <w:t xml:space="preserve">.- Para ser </w:t>
      </w:r>
      <w:r w:rsidRPr="00614B94">
        <w:rPr>
          <w:rFonts w:ascii="Palatino Linotype" w:eastAsia="Palatino Linotype" w:hAnsi="Palatino Linotype" w:cs="Palatino Linotype"/>
          <w:b/>
          <w:i/>
          <w:sz w:val="22"/>
          <w:szCs w:val="22"/>
        </w:rPr>
        <w:t xml:space="preserve">titular de la Coordinación Municipal de Protección Civil </w:t>
      </w:r>
      <w:r w:rsidRPr="00614B94">
        <w:rPr>
          <w:rFonts w:ascii="Palatino Linotype" w:eastAsia="Palatino Linotype" w:hAnsi="Palatino Linotype" w:cs="Palatino Linotype"/>
          <w:i/>
          <w:sz w:val="22"/>
          <w:szCs w:val="22"/>
        </w:rPr>
        <w:t>se requiere, además de los requisitos del artículo 32 de esta Ley, tener los conocimientos s</w:t>
      </w:r>
      <w:r w:rsidRPr="00614B94">
        <w:rPr>
          <w:rFonts w:ascii="Palatino Linotype" w:eastAsia="Palatino Linotype" w:hAnsi="Palatino Linotype" w:cs="Palatino Linotype"/>
          <w:b/>
          <w:i/>
          <w:sz w:val="22"/>
          <w:szCs w:val="22"/>
        </w:rPr>
        <w:t xml:space="preserve">uficientes debidamente acreditados en materia de protección </w:t>
      </w:r>
      <w:r w:rsidRPr="00614B94">
        <w:rPr>
          <w:rFonts w:ascii="Palatino Linotype" w:eastAsia="Palatino Linotype" w:hAnsi="Palatino Linotype" w:cs="Palatino Linotype"/>
          <w:b/>
          <w:i/>
          <w:sz w:val="22"/>
          <w:szCs w:val="22"/>
        </w:rPr>
        <w:lastRenderedPageBreak/>
        <w:t>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32313013" w14:textId="77777777" w:rsidR="009E6893" w:rsidRPr="00614B94" w:rsidRDefault="009E6893">
      <w:pPr>
        <w:ind w:left="850" w:right="899"/>
        <w:jc w:val="both"/>
        <w:rPr>
          <w:rFonts w:ascii="Palatino Linotype" w:eastAsia="Palatino Linotype" w:hAnsi="Palatino Linotype" w:cs="Palatino Linotype"/>
          <w:b/>
          <w:i/>
          <w:sz w:val="22"/>
          <w:szCs w:val="22"/>
        </w:rPr>
      </w:pPr>
    </w:p>
    <w:p w14:paraId="240E23DE"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Artículo 85 Sexies.</w:t>
      </w:r>
      <w:r w:rsidRPr="00614B94">
        <w:rPr>
          <w:rFonts w:ascii="Palatino Linotype" w:eastAsia="Palatino Linotype" w:hAnsi="Palatino Linotype" w:cs="Palatino Linotype"/>
          <w:i/>
          <w:sz w:val="22"/>
          <w:szCs w:val="22"/>
        </w:rPr>
        <w:t xml:space="preserve"> El Coordinador General Municipal de Mejora Regulatoria, además de los requisitos establecidos en el artículo 32 de esta Ley, requiere contar con título profesional, además deberá acreditar, </w:t>
      </w:r>
      <w:r w:rsidRPr="00614B94">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614B94">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r w:rsidRPr="00614B94">
        <w:rPr>
          <w:rFonts w:ascii="Palatino Linotype" w:eastAsia="Palatino Linotype" w:hAnsi="Palatino Linotype" w:cs="Palatino Linotype"/>
          <w:b/>
          <w:i/>
          <w:sz w:val="22"/>
          <w:szCs w:val="22"/>
        </w:rPr>
        <w:t xml:space="preserve">” </w:t>
      </w:r>
    </w:p>
    <w:p w14:paraId="4D82C2C1"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(Énfasis añadido)</w:t>
      </w:r>
    </w:p>
    <w:p w14:paraId="2C764E6A" w14:textId="77777777" w:rsidR="009E6893" w:rsidRPr="00614B94" w:rsidRDefault="009E6893">
      <w:pPr>
        <w:spacing w:line="360" w:lineRule="auto"/>
        <w:ind w:right="899"/>
        <w:jc w:val="both"/>
        <w:rPr>
          <w:rFonts w:ascii="Palatino Linotype" w:eastAsia="Palatino Linotype" w:hAnsi="Palatino Linotype" w:cs="Palatino Linotype"/>
          <w:i/>
          <w:sz w:val="22"/>
          <w:szCs w:val="22"/>
        </w:rPr>
      </w:pPr>
    </w:p>
    <w:p w14:paraId="51AB0C5A"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Director de Obras Pública, Director de Desarrollo económico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2A05BC5A" w14:textId="77777777" w:rsidR="009E6893" w:rsidRPr="00614B94" w:rsidRDefault="009E6893">
      <w:pPr>
        <w:spacing w:line="360" w:lineRule="auto"/>
        <w:jc w:val="both"/>
        <w:rPr>
          <w:rFonts w:ascii="Palatino Linotype" w:eastAsia="Palatino Linotype" w:hAnsi="Palatino Linotype" w:cs="Palatino Linotype"/>
        </w:rPr>
      </w:pPr>
    </w:p>
    <w:p w14:paraId="39179280"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lo que respecta al Titular de la Contraloría Interna la ley en comento no refiere específicamente una certificación, pero sí remite a los requisitos que se exigen para ser </w:t>
      </w:r>
      <w:r w:rsidRPr="00614B94">
        <w:rPr>
          <w:rFonts w:ascii="Palatino Linotype" w:eastAsia="Palatino Linotype" w:hAnsi="Palatino Linotype" w:cs="Palatino Linotype"/>
        </w:rPr>
        <w:lastRenderedPageBreak/>
        <w:t xml:space="preserve">tesorero municipal, mismos que según lo establecido por el artículo 96 antes citado, incluyen la certificación expedida por el Instituto hacendario. </w:t>
      </w:r>
    </w:p>
    <w:p w14:paraId="585C0F1E" w14:textId="77777777" w:rsidR="009E6893" w:rsidRPr="00614B94" w:rsidRDefault="009E6893">
      <w:pPr>
        <w:ind w:left="850" w:right="899"/>
        <w:jc w:val="both"/>
        <w:rPr>
          <w:rFonts w:ascii="Palatino Linotype" w:eastAsia="Palatino Linotype" w:hAnsi="Palatino Linotype" w:cs="Palatino Linotype"/>
          <w:i/>
          <w:sz w:val="22"/>
          <w:szCs w:val="22"/>
        </w:rPr>
      </w:pPr>
    </w:p>
    <w:p w14:paraId="5EBCCAD6"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“Artículo 113</w:t>
      </w:r>
      <w:r w:rsidRPr="00614B94">
        <w:rPr>
          <w:rFonts w:ascii="Palatino Linotype" w:eastAsia="Palatino Linotype" w:hAnsi="Palatino Linotype" w:cs="Palatino Linotype"/>
          <w:i/>
          <w:sz w:val="22"/>
          <w:szCs w:val="22"/>
        </w:rPr>
        <w:t xml:space="preserve">.- Para ser </w:t>
      </w:r>
      <w:r w:rsidRPr="00614B94">
        <w:rPr>
          <w:rFonts w:ascii="Palatino Linotype" w:eastAsia="Palatino Linotype" w:hAnsi="Palatino Linotype" w:cs="Palatino Linotype"/>
          <w:b/>
          <w:i/>
          <w:sz w:val="22"/>
          <w:szCs w:val="22"/>
        </w:rPr>
        <w:t>contralor se requiere cumplir con los requisitos que se exigen para ser tesorero municipal, a excepción de la caución correspondiente.”</w:t>
      </w:r>
    </w:p>
    <w:p w14:paraId="0BBE64E3" w14:textId="77777777" w:rsidR="009E6893" w:rsidRPr="00614B94" w:rsidRDefault="00DD198A">
      <w:pPr>
        <w:ind w:left="850" w:right="899"/>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(Énfasis añadido)</w:t>
      </w:r>
    </w:p>
    <w:p w14:paraId="22311695" w14:textId="77777777" w:rsidR="009E6893" w:rsidRPr="00614B94" w:rsidRDefault="009E6893">
      <w:pPr>
        <w:ind w:left="850" w:right="899"/>
        <w:jc w:val="both"/>
        <w:rPr>
          <w:rFonts w:ascii="Palatino Linotype" w:eastAsia="Palatino Linotype" w:hAnsi="Palatino Linotype" w:cs="Palatino Linotype"/>
          <w:i/>
          <w:sz w:val="22"/>
          <w:szCs w:val="22"/>
        </w:rPr>
      </w:pPr>
    </w:p>
    <w:p w14:paraId="503C1BDC" w14:textId="77777777" w:rsidR="009E6893" w:rsidRPr="00614B94" w:rsidRDefault="009E6893">
      <w:pPr>
        <w:spacing w:line="360" w:lineRule="auto"/>
        <w:jc w:val="both"/>
        <w:rPr>
          <w:rFonts w:ascii="Palatino Linotype" w:eastAsia="Palatino Linotype" w:hAnsi="Palatino Linotype" w:cs="Palatino Linotype"/>
        </w:rPr>
      </w:pPr>
    </w:p>
    <w:p w14:paraId="2D059692"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En la misma tesitura, se advierte que el particular manifestó su intención de conocer la certificación del Conciliador en su solicitud de información, así pues, la multicitada Ley Orgánica Municipal en su artículo 148 contempla la figura de los Oficiales Calificadores y Oficiales Mediadores- Conciliadores:</w:t>
      </w:r>
    </w:p>
    <w:p w14:paraId="4A6E3C1A" w14:textId="77777777" w:rsidR="009E6893" w:rsidRPr="00614B94" w:rsidRDefault="009E6893">
      <w:pPr>
        <w:spacing w:line="360" w:lineRule="auto"/>
        <w:jc w:val="both"/>
        <w:rPr>
          <w:rFonts w:ascii="Palatino Linotype" w:eastAsia="Palatino Linotype" w:hAnsi="Palatino Linotype" w:cs="Palatino Linotype"/>
        </w:rPr>
      </w:pPr>
    </w:p>
    <w:p w14:paraId="02047BDA"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“Artículo 148.- </w:t>
      </w:r>
      <w:r w:rsidRPr="00614B94">
        <w:rPr>
          <w:rFonts w:ascii="Palatino Linotype" w:eastAsia="Palatino Linotype" w:hAnsi="Palatino Linotype" w:cs="Palatino Linotype"/>
          <w:i/>
          <w:sz w:val="22"/>
          <w:szCs w:val="22"/>
        </w:rPr>
        <w:t xml:space="preserve">En cada municipio el ayuntamiento designará, a propuesta del presidente municipal, al menos a un </w:t>
      </w:r>
      <w:r w:rsidRPr="00614B94">
        <w:rPr>
          <w:rFonts w:ascii="Palatino Linotype" w:eastAsia="Palatino Linotype" w:hAnsi="Palatino Linotype" w:cs="Palatino Linotype"/>
          <w:b/>
          <w:i/>
          <w:sz w:val="22"/>
          <w:szCs w:val="22"/>
        </w:rPr>
        <w:t xml:space="preserve">Oficial Calificador </w:t>
      </w:r>
      <w:r w:rsidRPr="00614B94">
        <w:rPr>
          <w:rFonts w:ascii="Palatino Linotype" w:eastAsia="Palatino Linotype" w:hAnsi="Palatino Linotype" w:cs="Palatino Linotype"/>
          <w:i/>
          <w:sz w:val="22"/>
          <w:szCs w:val="22"/>
        </w:rPr>
        <w:t xml:space="preserve">con sede en la cabecera municipal y en las poblaciones que el ayuntamiento determine en cada caso, quienes tendrán las atribuciones a las que se refiere el artículo 150. Así mismo podrá nombrar a los </w:t>
      </w:r>
      <w:r w:rsidRPr="00614B94">
        <w:rPr>
          <w:rFonts w:ascii="Palatino Linotype" w:eastAsia="Palatino Linotype" w:hAnsi="Palatino Linotype" w:cs="Palatino Linotype"/>
          <w:b/>
          <w:i/>
          <w:sz w:val="22"/>
          <w:szCs w:val="22"/>
        </w:rPr>
        <w:t>oficiales mediadores-conciliadores</w:t>
      </w:r>
      <w:r w:rsidRPr="00614B94">
        <w:rPr>
          <w:rFonts w:ascii="Palatino Linotype" w:eastAsia="Palatino Linotype" w:hAnsi="Palatino Linotype" w:cs="Palatino Linotype"/>
          <w:i/>
          <w:sz w:val="22"/>
          <w:szCs w:val="22"/>
        </w:rPr>
        <w:t xml:space="preserve"> en materia comunitaria que requiera, los cuales durarán en su cargo tres años con posibilidad a ser nombrados para otros periodos. La forma de concluir la mediación y la conciliación, será por convenios suscritos o por acuerdo de las oficialías en caso de advertir simulación en el trámite.”</w:t>
      </w:r>
    </w:p>
    <w:p w14:paraId="01101BD6" w14:textId="77777777" w:rsidR="009E6893" w:rsidRPr="00614B94" w:rsidRDefault="00DD198A">
      <w:pPr>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(Énfasis añadido)</w:t>
      </w:r>
    </w:p>
    <w:p w14:paraId="620898B7" w14:textId="77777777" w:rsidR="009E6893" w:rsidRPr="00614B94" w:rsidRDefault="009E6893">
      <w:pPr>
        <w:tabs>
          <w:tab w:val="left" w:pos="709"/>
        </w:tabs>
        <w:spacing w:line="360" w:lineRule="auto"/>
        <w:jc w:val="both"/>
        <w:rPr>
          <w:rFonts w:ascii="Palatino Linotype" w:eastAsia="Palatino Linotype" w:hAnsi="Palatino Linotype" w:cs="Palatino Linotype"/>
        </w:rPr>
      </w:pPr>
    </w:p>
    <w:p w14:paraId="7ED78940" w14:textId="77777777" w:rsidR="009E6893" w:rsidRPr="00614B94" w:rsidRDefault="00DD198A">
      <w:pPr>
        <w:tabs>
          <w:tab w:val="left" w:pos="8222"/>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Mismo es el caso del Titular de la Unidad de Transparencia, el cual según lo establecido por la Ley de Transparencia y Acceso a la Información Pública del Estado de México y Municipios en su artículo 57 deberá contar con una certificación de competencia laboral:</w:t>
      </w:r>
    </w:p>
    <w:p w14:paraId="2DB9551C" w14:textId="77777777" w:rsidR="009E6893" w:rsidRPr="00614B94" w:rsidRDefault="00DD198A">
      <w:pPr>
        <w:ind w:left="851" w:right="1134"/>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i/>
          <w:sz w:val="22"/>
          <w:szCs w:val="22"/>
        </w:rPr>
        <w:lastRenderedPageBreak/>
        <w:t>“</w:t>
      </w:r>
      <w:r w:rsidRPr="00614B94">
        <w:rPr>
          <w:rFonts w:ascii="Palatino Linotype" w:eastAsia="Palatino Linotype" w:hAnsi="Palatino Linotype" w:cs="Palatino Linotype"/>
          <w:b/>
          <w:i/>
          <w:sz w:val="22"/>
          <w:szCs w:val="22"/>
        </w:rPr>
        <w:t>Artículo 57.</w:t>
      </w:r>
      <w:r w:rsidRPr="00614B94">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w:t>
      </w:r>
      <w:r w:rsidRPr="00614B94">
        <w:rPr>
          <w:rFonts w:ascii="Palatino Linotype" w:eastAsia="Palatino Linotype" w:hAnsi="Palatino Linotype" w:cs="Palatino Linotype"/>
          <w:b/>
          <w:i/>
          <w:sz w:val="22"/>
          <w:szCs w:val="22"/>
        </w:rPr>
        <w:t>Para ser nombrado titular de la Unidad de Transparencia</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deberá cumplir, por lo menos, con los siguientes requisitos:</w:t>
      </w:r>
    </w:p>
    <w:p w14:paraId="3A02EC90" w14:textId="77777777" w:rsidR="009E6893" w:rsidRPr="00614B94" w:rsidRDefault="00DD198A">
      <w:pPr>
        <w:numPr>
          <w:ilvl w:val="0"/>
          <w:numId w:val="1"/>
        </w:numPr>
        <w:ind w:right="1134"/>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1D3A1E8A" w14:textId="77777777" w:rsidR="009E6893" w:rsidRPr="00614B94" w:rsidRDefault="00DD198A">
      <w:pPr>
        <w:numPr>
          <w:ilvl w:val="0"/>
          <w:numId w:val="1"/>
        </w:numPr>
        <w:ind w:right="1134"/>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Experiencia en materia de acceso a la información y protección de datos personales; y </w:t>
      </w:r>
    </w:p>
    <w:p w14:paraId="59B25FE2" w14:textId="77777777" w:rsidR="009E6893" w:rsidRPr="00614B94" w:rsidRDefault="00DD198A">
      <w:pPr>
        <w:numPr>
          <w:ilvl w:val="0"/>
          <w:numId w:val="1"/>
        </w:numPr>
        <w:ind w:right="1134"/>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Habilidades de organización y comunicación, así como visión y liderazgo.”(Sic)</w:t>
      </w:r>
    </w:p>
    <w:p w14:paraId="2B155372" w14:textId="77777777" w:rsidR="009E6893" w:rsidRPr="00614B94" w:rsidRDefault="00DD198A">
      <w:pPr>
        <w:ind w:left="1631" w:right="1134"/>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(Énfasis añadido)</w:t>
      </w:r>
    </w:p>
    <w:p w14:paraId="6C2EF6EE" w14:textId="77777777" w:rsidR="009E6893" w:rsidRPr="00614B94" w:rsidRDefault="009E6893">
      <w:pPr>
        <w:ind w:right="1134"/>
        <w:jc w:val="both"/>
        <w:rPr>
          <w:rFonts w:ascii="Palatino Linotype" w:eastAsia="Palatino Linotype" w:hAnsi="Palatino Linotype" w:cs="Palatino Linotype"/>
          <w:sz w:val="22"/>
          <w:szCs w:val="22"/>
        </w:rPr>
      </w:pPr>
    </w:p>
    <w:p w14:paraId="60C40357"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Así las cosas, de los diversos fundamentos señalados, se aprecia que para ocupar sus cargos dentro de la Administración Pública Municipal, los titulares de diversas áreas deberán contar con una certificación emitida por las autoridades competentes. </w:t>
      </w:r>
    </w:p>
    <w:p w14:paraId="5AC11C9C" w14:textId="77777777" w:rsidR="009E6893" w:rsidRPr="00614B94" w:rsidRDefault="009E6893">
      <w:pPr>
        <w:spacing w:line="360" w:lineRule="auto"/>
        <w:ind w:right="49"/>
        <w:jc w:val="both"/>
        <w:rPr>
          <w:rFonts w:ascii="Palatino Linotype" w:eastAsia="Palatino Linotype" w:hAnsi="Palatino Linotype" w:cs="Palatino Linotype"/>
        </w:rPr>
      </w:pPr>
    </w:p>
    <w:p w14:paraId="3D737E1D"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Una vez acreditado lo anterior, se observa que </w:t>
      </w:r>
      <w:r w:rsidRPr="00614B94">
        <w:rPr>
          <w:rFonts w:ascii="Palatino Linotype" w:eastAsia="Palatino Linotype" w:hAnsi="Palatino Linotype" w:cs="Palatino Linotype"/>
          <w:b/>
        </w:rPr>
        <w:t>, EL SUJETO OBLIGADO</w:t>
      </w:r>
      <w:r w:rsidRPr="00614B94">
        <w:rPr>
          <w:rFonts w:ascii="Palatino Linotype" w:eastAsia="Palatino Linotype" w:hAnsi="Palatino Linotype" w:cs="Palatino Linotype"/>
        </w:rPr>
        <w:t xml:space="preserve"> remitió mediante la Titular de la Unidad de Transparencia la información aportada por la Directora de Recursos Humanos consistente en: </w:t>
      </w:r>
    </w:p>
    <w:p w14:paraId="12B9F887"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El Certificado emitido por la Comisión de Derechos Humanos del Estado de México en derechos humanos para defensoras y defensores municipales </w:t>
      </w:r>
    </w:p>
    <w:p w14:paraId="03800C4B"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Certificación emitida por la Fundación México para el Desarrollo Sustentable Humano y Social en relación al Estándar de Competencia Laboral Ejecución de las Atribuciones de la Hacienda Pública Municipal </w:t>
      </w:r>
    </w:p>
    <w:p w14:paraId="62644407"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lastRenderedPageBreak/>
        <w:t xml:space="preserve">Certificación emitida por la Fundación México para el Desarrollo Sustentable Humano y Social en relación al Estándar de Competencia Laboral Ejecución de las Atribuciones de la Secretaría del Ayuntamiento. </w:t>
      </w:r>
    </w:p>
    <w:p w14:paraId="3B92B5E2"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Certificación emitida por el Instituto de Transparencia, Acceso a la Información Pública y Protección de Datos Personales del Estado de México en relación al Estándar de Competencia Laboral Garantizar el Derecho de Acceso a la Información Pública. </w:t>
      </w:r>
    </w:p>
    <w:p w14:paraId="065863D1" w14:textId="77777777" w:rsidR="009E6893" w:rsidRPr="00614B94" w:rsidRDefault="00DD198A">
      <w:pPr>
        <w:numPr>
          <w:ilvl w:val="0"/>
          <w:numId w:val="2"/>
        </w:num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Acta de la Centésima Quincuagésima Primera Sesión  Extraordinaria del Comité de Transparencia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mediante la cual se aprueba la versión pública de la información solicitada.  </w:t>
      </w:r>
    </w:p>
    <w:p w14:paraId="07F9EBB2" w14:textId="77777777" w:rsidR="009E6893" w:rsidRPr="00614B94" w:rsidRDefault="009E6893">
      <w:pPr>
        <w:tabs>
          <w:tab w:val="left" w:pos="709"/>
        </w:tabs>
        <w:spacing w:line="360" w:lineRule="auto"/>
        <w:jc w:val="both"/>
        <w:rPr>
          <w:rFonts w:ascii="Palatino Linotype" w:eastAsia="Palatino Linotype" w:hAnsi="Palatino Linotype" w:cs="Palatino Linotype"/>
        </w:rPr>
      </w:pPr>
    </w:p>
    <w:p w14:paraId="19D3C9EF" w14:textId="77777777" w:rsidR="009E6893" w:rsidRPr="00614B94" w:rsidRDefault="00DD198A">
      <w:pPr>
        <w:tabs>
          <w:tab w:val="left" w:pos="709"/>
        </w:tabs>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Como se puede apreciar de la información antes listada, </w:t>
      </w:r>
      <w:r w:rsidRPr="00614B94">
        <w:rPr>
          <w:rFonts w:ascii="Palatino Linotype" w:eastAsia="Palatino Linotype" w:hAnsi="Palatino Linotype" w:cs="Palatino Linotype"/>
          <w:b/>
        </w:rPr>
        <w:t xml:space="preserve">EL SUJETO OBLIGADO </w:t>
      </w:r>
      <w:r w:rsidRPr="00614B94">
        <w:rPr>
          <w:rFonts w:ascii="Palatino Linotype" w:eastAsia="Palatino Linotype" w:hAnsi="Palatino Linotype" w:cs="Palatino Linotype"/>
        </w:rPr>
        <w:t xml:space="preserve">no hizo entrega de la información referente a todos los servidores públicos  que por ley deben contar con la certificación correspondiente. Por lo cual, es procedente ordenarle que haga entrega de la información faltante en versión pública de ser necesario. </w:t>
      </w:r>
    </w:p>
    <w:p w14:paraId="6CF68720" w14:textId="77777777" w:rsidR="009E6893" w:rsidRPr="00614B94" w:rsidRDefault="009E6893">
      <w:pPr>
        <w:tabs>
          <w:tab w:val="left" w:pos="709"/>
        </w:tabs>
        <w:spacing w:line="360" w:lineRule="auto"/>
        <w:jc w:val="both"/>
        <w:rPr>
          <w:rFonts w:ascii="Palatino Linotype" w:eastAsia="Palatino Linotype" w:hAnsi="Palatino Linotype" w:cs="Palatino Linotype"/>
        </w:rPr>
      </w:pPr>
    </w:p>
    <w:p w14:paraId="48AAC465"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Ahora bien, como se mencionó a lo largo del presente estudio, la ley Orgánica Municipal del Estado de México prevé dicha certificación pueda ser acreditada en un término de seis meses contado a partir de la fecha de inicio de labores por lo cual </w:t>
      </w:r>
      <w:r w:rsidRPr="00614B94">
        <w:rPr>
          <w:rFonts w:ascii="Palatino Linotype" w:eastAsia="Palatino Linotype" w:hAnsi="Palatino Linotype" w:cs="Palatino Linotype"/>
          <w:b/>
        </w:rPr>
        <w:t>EL</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pudiera no contar con la información solicitada, toda vez que se encuentra en el periodo establecido por la ley, ya que este únicamente se encuentra constreñido a entregar la información que obre en sus archivos sin procesarla, </w:t>
      </w:r>
      <w:r w:rsidRPr="00614B94">
        <w:rPr>
          <w:rFonts w:ascii="Palatino Linotype" w:eastAsia="Palatino Linotype" w:hAnsi="Palatino Linotype" w:cs="Palatino Linotype"/>
        </w:rPr>
        <w:lastRenderedPageBreak/>
        <w:t xml:space="preserve">resumirla, efectuar cálculos o practicar investigaciones, así como lo establece el artículo 12 de la Ley de Transparencia y Acceso a la Información Pública del Estado de México y Municipios, el cual se transcribe a continuación: </w:t>
      </w:r>
    </w:p>
    <w:p w14:paraId="5A3D3493"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Artículo 12.</w:t>
      </w:r>
      <w:r w:rsidRPr="00614B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916DC17"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D0665BF" w14:textId="77777777" w:rsidR="009E6893" w:rsidRPr="00614B94" w:rsidRDefault="00DD198A">
      <w:pPr>
        <w:shd w:val="clear" w:color="auto" w:fill="FFFFFF"/>
        <w:jc w:val="both"/>
      </w:pPr>
      <w:r w:rsidRPr="00614B94">
        <w:rPr>
          <w:rFonts w:ascii="Palatino Linotype" w:eastAsia="Palatino Linotype" w:hAnsi="Palatino Linotype" w:cs="Palatino Linotype"/>
          <w:sz w:val="22"/>
          <w:szCs w:val="22"/>
        </w:rPr>
        <w:t> </w:t>
      </w:r>
    </w:p>
    <w:p w14:paraId="797A5947" w14:textId="77777777" w:rsidR="009E6893" w:rsidRPr="00614B94" w:rsidRDefault="009E6893">
      <w:pPr>
        <w:spacing w:line="360" w:lineRule="auto"/>
        <w:jc w:val="both"/>
        <w:rPr>
          <w:rFonts w:ascii="Palatino Linotype" w:eastAsia="Palatino Linotype" w:hAnsi="Palatino Linotype" w:cs="Palatino Linotype"/>
        </w:rPr>
      </w:pPr>
    </w:p>
    <w:p w14:paraId="65BFF399"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Luego entonces, en caso de no contar con dicha certificación </w:t>
      </w:r>
      <w:r w:rsidR="00662605" w:rsidRPr="00614B94">
        <w:rPr>
          <w:rFonts w:ascii="Palatino Linotype" w:eastAsia="Palatino Linotype" w:hAnsi="Palatino Linotype" w:cs="Palatino Linotype"/>
        </w:rPr>
        <w:t>porque</w:t>
      </w:r>
      <w:r w:rsidRPr="00614B94">
        <w:rPr>
          <w:rFonts w:ascii="Palatino Linotype" w:eastAsia="Palatino Linotype" w:hAnsi="Palatino Linotype" w:cs="Palatino Linotype"/>
        </w:rPr>
        <w:t xml:space="preserve"> a la fecha de la solicitud aún se encuentra en el plazo para acreditar, deberá hacérselo saber a </w:t>
      </w:r>
      <w:r w:rsidRPr="00614B94">
        <w:rPr>
          <w:rFonts w:ascii="Palatino Linotype" w:eastAsia="Palatino Linotype" w:hAnsi="Palatino Linotype" w:cs="Palatino Linotype"/>
          <w:b/>
        </w:rPr>
        <w:t xml:space="preserve">LA RECURRENTE </w:t>
      </w:r>
      <w:r w:rsidRPr="00614B94">
        <w:rPr>
          <w:rFonts w:ascii="Palatino Linotype" w:eastAsia="Palatino Linotype" w:hAnsi="Palatino Linotype" w:cs="Palatino Linotype"/>
        </w:rPr>
        <w:t xml:space="preserve">de forma fundada y motivada. En caso contrario, deberá emitir el acuerdo de inexistencia de la información solicitada.  </w:t>
      </w:r>
    </w:p>
    <w:p w14:paraId="0FF129B3" w14:textId="77777777" w:rsidR="009E6893" w:rsidRPr="00614B94" w:rsidRDefault="009E6893">
      <w:pPr>
        <w:spacing w:line="360" w:lineRule="auto"/>
        <w:jc w:val="both"/>
        <w:rPr>
          <w:rFonts w:ascii="Palatino Linotype" w:eastAsia="Palatino Linotype" w:hAnsi="Palatino Linotype" w:cs="Palatino Linotype"/>
        </w:rPr>
      </w:pPr>
    </w:p>
    <w:p w14:paraId="31D967D5"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Por otra parte, en relación a los certificados entregados en respuesta primigenia, se advierte que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llevó a cabo una versión pública de los mismos en donde testó la información relativa a la fotografía del servidor público. </w:t>
      </w:r>
    </w:p>
    <w:p w14:paraId="7C712BDE" w14:textId="77777777" w:rsidR="009E6893" w:rsidRPr="00614B94" w:rsidRDefault="009E6893">
      <w:pPr>
        <w:spacing w:line="360" w:lineRule="auto"/>
        <w:jc w:val="both"/>
        <w:rPr>
          <w:rFonts w:ascii="Palatino Linotype" w:eastAsia="Palatino Linotype" w:hAnsi="Palatino Linotype" w:cs="Palatino Linotype"/>
        </w:rPr>
      </w:pPr>
    </w:p>
    <w:p w14:paraId="1CACED85"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En tal sentido</w:t>
      </w:r>
      <w:r w:rsidRPr="00614B94">
        <w:rPr>
          <w:rFonts w:ascii="Palatino Linotype" w:eastAsia="Palatino Linotype" w:hAnsi="Palatino Linotype" w:cs="Palatino Linotype"/>
          <w:sz w:val="26"/>
          <w:szCs w:val="26"/>
        </w:rPr>
        <w:t xml:space="preserve"> </w:t>
      </w:r>
      <w:r w:rsidRPr="00614B94">
        <w:rPr>
          <w:rFonts w:ascii="Palatino Linotype" w:eastAsia="Palatino Linotype" w:hAnsi="Palatino Linotype" w:cs="Palatino Linotype"/>
        </w:rPr>
        <w:t>es preciso señalar que la fotografía da cuenta de las características físicas de los particulares</w:t>
      </w:r>
      <w:r w:rsidRPr="00614B94">
        <w:rPr>
          <w:rFonts w:ascii="Palatino Linotype" w:eastAsia="Palatino Linotype" w:hAnsi="Palatino Linotype" w:cs="Palatino Linotype"/>
          <w:b/>
        </w:rPr>
        <w:t>;</w:t>
      </w:r>
      <w:r w:rsidRPr="00614B94">
        <w:rPr>
          <w:rFonts w:ascii="Palatino Linotype" w:eastAsia="Palatino Linotype" w:hAnsi="Palatino Linotype" w:cs="Palatino Linotype"/>
        </w:rPr>
        <w:t xml:space="preserve"> por lo que, no debe perderse de vista que la imagen personal es la apariencia física, la cual puede ser captada en dibujo, pintura, escultura, fotografía, y video; además, la imagen así captada puede ser reproducida, publicada y divulgada </w:t>
      </w:r>
      <w:r w:rsidRPr="00614B94">
        <w:rPr>
          <w:rFonts w:ascii="Palatino Linotype" w:eastAsia="Palatino Linotype" w:hAnsi="Palatino Linotype" w:cs="Palatino Linotype"/>
        </w:rPr>
        <w:lastRenderedPageBreak/>
        <w:t>por diversos medios, desde volantes impresos de la forma más rudimentaria, hasta filmaciones y fotografías transmitidas por televisión, cine, video, correo electrónico o Internet.</w:t>
      </w:r>
    </w:p>
    <w:p w14:paraId="3120C32F" w14:textId="77777777" w:rsidR="009E6893" w:rsidRPr="00614B94" w:rsidRDefault="009E6893">
      <w:pPr>
        <w:spacing w:line="360" w:lineRule="auto"/>
        <w:jc w:val="both"/>
        <w:rPr>
          <w:rFonts w:ascii="Palatino Linotype" w:eastAsia="Palatino Linotype" w:hAnsi="Palatino Linotype" w:cs="Palatino Linotype"/>
          <w:sz w:val="22"/>
          <w:szCs w:val="22"/>
        </w:rPr>
      </w:pPr>
    </w:p>
    <w:p w14:paraId="50ECC0EF"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De esa forma, el derecho a la imagen como la representación gráfica de la persona y el derecho a la propia imagen como facultad para permitir o impedir su obtención, reproducción, difusión y distribución por parte de un tercero.</w:t>
      </w:r>
    </w:p>
    <w:p w14:paraId="25B26904" w14:textId="77777777" w:rsidR="009E6893" w:rsidRPr="00614B94" w:rsidRDefault="009E6893">
      <w:pPr>
        <w:spacing w:line="360" w:lineRule="auto"/>
        <w:jc w:val="both"/>
        <w:rPr>
          <w:rFonts w:ascii="Palatino Linotype" w:eastAsia="Palatino Linotype" w:hAnsi="Palatino Linotype" w:cs="Palatino Linotype"/>
        </w:rPr>
      </w:pPr>
    </w:p>
    <w:p w14:paraId="48739046"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Al respecto, el Pleno de la Suprema Corte de Justicia de la Nación se ha pronunciado en el mismo sentido en la siguiente tesis:</w:t>
      </w:r>
    </w:p>
    <w:p w14:paraId="1472B4C2" w14:textId="77777777" w:rsidR="009E6893" w:rsidRPr="00614B94" w:rsidRDefault="009E6893">
      <w:pPr>
        <w:spacing w:line="360" w:lineRule="auto"/>
        <w:jc w:val="both"/>
        <w:rPr>
          <w:rFonts w:ascii="Palatino Linotype" w:eastAsia="Palatino Linotype" w:hAnsi="Palatino Linotype" w:cs="Palatino Linotype"/>
          <w:sz w:val="22"/>
          <w:szCs w:val="22"/>
        </w:rPr>
      </w:pPr>
    </w:p>
    <w:p w14:paraId="0F8D3C76" w14:textId="77777777" w:rsidR="009E6893" w:rsidRPr="00614B94" w:rsidRDefault="00DD198A">
      <w:pPr>
        <w:ind w:left="567" w:right="567"/>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614B94">
        <w:rPr>
          <w:rFonts w:ascii="Palatino Linotype" w:eastAsia="Palatino Linotype" w:hAnsi="Palatino Linotype" w:cs="Palatino Linotype"/>
          <w:i/>
          <w:sz w:val="22"/>
          <w:szCs w:val="22"/>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w:t>
      </w:r>
      <w:r w:rsidRPr="00614B94">
        <w:rPr>
          <w:rFonts w:ascii="Palatino Linotype" w:eastAsia="Palatino Linotype" w:hAnsi="Palatino Linotype" w:cs="Palatino Linotype"/>
          <w:i/>
          <w:sz w:val="22"/>
          <w:szCs w:val="22"/>
        </w:rPr>
        <w:lastRenderedPageBreak/>
        <w:t xml:space="preserve">un elemento esencial de la persona y de su psique, la autodeterminación sexual forma parte de ese ámbito propio y reservado de lo íntimo, la parte de la vida que se desea mantener fuera del alcance de terceros o del conocimiento público. </w:t>
      </w:r>
      <w:r w:rsidRPr="00614B94">
        <w:rPr>
          <w:rFonts w:ascii="Palatino Linotype" w:eastAsia="Palatino Linotype" w:hAnsi="Palatino Linotype" w:cs="Palatino Linotype"/>
          <w:b/>
          <w:i/>
          <w:sz w:val="22"/>
          <w:szCs w:val="22"/>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614B94">
        <w:rPr>
          <w:rFonts w:ascii="Palatino Linotype" w:eastAsia="Palatino Linotype" w:hAnsi="Palatino Linotype" w:cs="Palatino Linotype"/>
          <w:i/>
          <w:sz w:val="22"/>
          <w:szCs w:val="22"/>
        </w:rPr>
        <w:t xml:space="preserve">por lo que, si bien no son absolutos, </w:t>
      </w:r>
      <w:r w:rsidRPr="00614B94">
        <w:rPr>
          <w:rFonts w:ascii="Palatino Linotype" w:eastAsia="Palatino Linotype" w:hAnsi="Palatino Linotype" w:cs="Palatino Linotype"/>
          <w:b/>
          <w:i/>
          <w:sz w:val="22"/>
          <w:szCs w:val="22"/>
        </w:rPr>
        <w:t>sólo por ley podrá justificarse su intromisión, siempre que medie un interés superior</w:t>
      </w:r>
      <w:r w:rsidRPr="00614B94">
        <w:rPr>
          <w:rFonts w:ascii="Palatino Linotype" w:eastAsia="Palatino Linotype" w:hAnsi="Palatino Linotype" w:cs="Palatino Linotype"/>
          <w:i/>
          <w:sz w:val="22"/>
          <w:szCs w:val="22"/>
        </w:rPr>
        <w:t>.”</w:t>
      </w:r>
    </w:p>
    <w:p w14:paraId="3855475F" w14:textId="77777777" w:rsidR="009E6893" w:rsidRPr="00614B94" w:rsidRDefault="009E6893">
      <w:pPr>
        <w:spacing w:line="360" w:lineRule="auto"/>
        <w:jc w:val="both"/>
        <w:rPr>
          <w:rFonts w:ascii="Palatino Linotype" w:eastAsia="Palatino Linotype" w:hAnsi="Palatino Linotype" w:cs="Palatino Linotype"/>
          <w:sz w:val="22"/>
          <w:szCs w:val="22"/>
        </w:rPr>
      </w:pPr>
    </w:p>
    <w:p w14:paraId="3A9FCC72"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1F730F74" w14:textId="77777777" w:rsidR="009E6893" w:rsidRPr="00614B94" w:rsidRDefault="009E6893">
      <w:pPr>
        <w:spacing w:line="360" w:lineRule="auto"/>
        <w:jc w:val="both"/>
        <w:rPr>
          <w:rFonts w:ascii="Palatino Linotype" w:eastAsia="Palatino Linotype" w:hAnsi="Palatino Linotype" w:cs="Palatino Linotype"/>
        </w:rPr>
      </w:pPr>
    </w:p>
    <w:p w14:paraId="1C24870C"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05D89C9" w14:textId="77777777" w:rsidR="009E6893" w:rsidRPr="00614B94" w:rsidRDefault="009E6893">
      <w:pPr>
        <w:spacing w:line="360" w:lineRule="auto"/>
        <w:jc w:val="both"/>
        <w:rPr>
          <w:rFonts w:ascii="Palatino Linotype" w:eastAsia="Palatino Linotype" w:hAnsi="Palatino Linotype" w:cs="Palatino Linotype"/>
          <w:sz w:val="22"/>
          <w:szCs w:val="22"/>
        </w:rPr>
      </w:pPr>
    </w:p>
    <w:p w14:paraId="5F7BC739"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lastRenderedPageBreak/>
        <w:t>Ahora bien, no pasa desapercibido que la fotografía, en el presente caso, se trata de los titulares  de diversas dependencias por lo que es de señalar que el Pleno de este Instituto considera que la fotografía de los servidores públicos que tengan categoría de mando medio o superior, será de naturaleza pública, toda vez que existe un interés público de dar a conocer dichos datos, por sus atribuciones y funciones de mando y dirección que desarrolla.</w:t>
      </w:r>
    </w:p>
    <w:p w14:paraId="2A96C26E" w14:textId="77777777" w:rsidR="009E6893" w:rsidRPr="00614B94" w:rsidRDefault="009E6893">
      <w:pPr>
        <w:spacing w:line="360" w:lineRule="auto"/>
        <w:jc w:val="both"/>
        <w:rPr>
          <w:rFonts w:ascii="Palatino Linotype" w:eastAsia="Palatino Linotype" w:hAnsi="Palatino Linotype" w:cs="Palatino Linotype"/>
        </w:rPr>
      </w:pPr>
    </w:p>
    <w:p w14:paraId="74ADBEF0"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Lo anterior, se robustece con el Criterio 03/19, emitido por el Pleno de este Instituto, que precisa lo siguiente:</w:t>
      </w:r>
    </w:p>
    <w:p w14:paraId="4882FA3E" w14:textId="77777777" w:rsidR="009E6893" w:rsidRPr="00614B94" w:rsidRDefault="009E6893">
      <w:pPr>
        <w:spacing w:line="360" w:lineRule="auto"/>
        <w:ind w:left="567" w:right="567"/>
        <w:jc w:val="both"/>
        <w:rPr>
          <w:rFonts w:ascii="Palatino Linotype" w:eastAsia="Palatino Linotype" w:hAnsi="Palatino Linotype" w:cs="Palatino Linotype"/>
          <w:sz w:val="22"/>
          <w:szCs w:val="22"/>
        </w:rPr>
      </w:pPr>
    </w:p>
    <w:p w14:paraId="63C6FC81" w14:textId="77777777" w:rsidR="009E6893" w:rsidRPr="00614B94" w:rsidRDefault="00DD198A">
      <w:pPr>
        <w:ind w:left="567" w:right="567"/>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“SERVIDORES PÚBLICOS CON CATEGORÍA DE MANDO MEDIO Y SUPERIOR. LA FOTOGRAFÍA DE AQUELLOS ES DE CARÁCTER PÚBLICO. </w:t>
      </w:r>
      <w:r w:rsidRPr="00614B94">
        <w:rPr>
          <w:rFonts w:ascii="Palatino Linotype" w:eastAsia="Palatino Linotype" w:hAnsi="Palatino Linotype" w:cs="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w:t>
      </w:r>
      <w:r w:rsidRPr="00614B94">
        <w:rPr>
          <w:rFonts w:ascii="Palatino Linotype" w:eastAsia="Palatino Linotype" w:hAnsi="Palatino Linotype" w:cs="Palatino Linotype"/>
          <w:i/>
          <w:sz w:val="22"/>
          <w:szCs w:val="22"/>
        </w:rPr>
        <w:lastRenderedPageBreak/>
        <w:t>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3D1D4DA" w14:textId="77777777" w:rsidR="009E6893" w:rsidRPr="00614B94" w:rsidRDefault="009E6893">
      <w:pPr>
        <w:spacing w:line="360" w:lineRule="auto"/>
        <w:jc w:val="both"/>
        <w:rPr>
          <w:rFonts w:ascii="Palatino Linotype" w:eastAsia="Palatino Linotype" w:hAnsi="Palatino Linotype" w:cs="Palatino Linotype"/>
        </w:rPr>
      </w:pPr>
    </w:p>
    <w:p w14:paraId="03DF8FEF"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Conforme a lo anterior, se logra vislumbrar que no procede la clasificación de la fotografía de de los servidores públicos señalados, pues ostentan un cargo de dirección y, por lo tanto, no se actualiza la causal de clasificación, establecida en el artículo 143, fracción I, de la Ley de la materia.</w:t>
      </w:r>
    </w:p>
    <w:p w14:paraId="32A1640B" w14:textId="77777777" w:rsidR="009E6893" w:rsidRPr="00614B94" w:rsidRDefault="009E6893">
      <w:pPr>
        <w:spacing w:line="360" w:lineRule="auto"/>
        <w:jc w:val="both"/>
        <w:rPr>
          <w:rFonts w:ascii="Palatino Linotype" w:eastAsia="Palatino Linotype" w:hAnsi="Palatino Linotype" w:cs="Palatino Linotype"/>
        </w:rPr>
      </w:pPr>
    </w:p>
    <w:p w14:paraId="7487D7E1"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consecuencia, si bien es cierto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proporcionó los documentos que daban cuenta de parte de lo peticionado, lo cierto también es queen ellos se testó información pública, a saber, la fotografía; por lo que, para atender de manera correcta la solicitud, deberá entregarlos, en donde únicamente podrá clasificar, en términos del artículo 143, fracción I, de la Ley de Transparencia y Acceso a la Información Pública del Estado de México y Municipios, la información confidencial como el CURP. </w:t>
      </w:r>
    </w:p>
    <w:p w14:paraId="1A71C36F" w14:textId="77777777" w:rsidR="009E6893" w:rsidRPr="00614B94" w:rsidRDefault="009E6893">
      <w:pPr>
        <w:spacing w:line="360" w:lineRule="auto"/>
        <w:jc w:val="both"/>
        <w:rPr>
          <w:rFonts w:ascii="Palatino Linotype" w:eastAsia="Palatino Linotype" w:hAnsi="Palatino Linotype" w:cs="Palatino Linotype"/>
        </w:rPr>
      </w:pPr>
    </w:p>
    <w:p w14:paraId="196333FF"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Atento en a lo anterior, toda vez que se desconoce a cabalidad el contenido de la información con la que cuente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en caso de que fuese necesaria </w:t>
      </w:r>
      <w:r w:rsidRPr="00614B94">
        <w:rPr>
          <w:rFonts w:ascii="Palatino Linotype" w:eastAsia="Palatino Linotype" w:hAnsi="Palatino Linotype" w:cs="Palatino Linotype"/>
        </w:rPr>
        <w:lastRenderedPageBreak/>
        <w:t xml:space="preserve">la versión pública de los documentos que se ordenan, en términos del artículo 143 de la Ley de Transparencia y Acceso a la Información Pública del Estado de México y Municipios, deberá omitirse, eliminarse o suprimirse la información </w:t>
      </w:r>
      <w:r w:rsidRPr="00614B94">
        <w:rPr>
          <w:rFonts w:ascii="Palatino Linotype" w:eastAsia="Palatino Linotype" w:hAnsi="Palatino Linotype" w:cs="Palatino Linotype"/>
          <w:b/>
        </w:rPr>
        <w:t>confidencial</w:t>
      </w:r>
      <w:r w:rsidRPr="00614B94">
        <w:rPr>
          <w:rFonts w:ascii="Palatino Linotype" w:eastAsia="Palatino Linotype" w:hAnsi="Palatino Linotype" w:cs="Palatino Linotype"/>
        </w:rPr>
        <w:t xml:space="preserve">. </w:t>
      </w:r>
    </w:p>
    <w:p w14:paraId="0DCE79BC" w14:textId="77777777" w:rsidR="009E6893" w:rsidRPr="00614B94" w:rsidRDefault="009E6893">
      <w:pPr>
        <w:spacing w:line="360" w:lineRule="auto"/>
        <w:jc w:val="both"/>
        <w:rPr>
          <w:rFonts w:ascii="Palatino Linotype" w:eastAsia="Palatino Linotype" w:hAnsi="Palatino Linotype" w:cs="Palatino Linotype"/>
        </w:rPr>
      </w:pPr>
    </w:p>
    <w:p w14:paraId="4520C856"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5B25713" w14:textId="77777777" w:rsidR="009E6893" w:rsidRPr="00614B94" w:rsidRDefault="009E6893">
      <w:pPr>
        <w:spacing w:line="360" w:lineRule="auto"/>
        <w:jc w:val="both"/>
        <w:rPr>
          <w:rFonts w:ascii="Palatino Linotype" w:eastAsia="Palatino Linotype" w:hAnsi="Palatino Linotype" w:cs="Palatino Linotype"/>
        </w:rPr>
      </w:pPr>
    </w:p>
    <w:p w14:paraId="75C3207B"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Por ende,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w:t>
      </w:r>
      <w:r w:rsidRPr="00614B94">
        <w:rPr>
          <w:rFonts w:ascii="Palatino Linotype" w:eastAsia="Palatino Linotype" w:hAnsi="Palatino Linotype" w:cs="Palatino Linotype"/>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C211CF" w14:textId="77777777" w:rsidR="009E6893" w:rsidRPr="00614B94" w:rsidRDefault="00DD198A">
      <w:pPr>
        <w:ind w:left="851" w:right="902"/>
        <w:jc w:val="center"/>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Ley de Transparencia y Acceso a la Información Pública del Estado de México y Municipios</w:t>
      </w:r>
    </w:p>
    <w:p w14:paraId="0532073F"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 xml:space="preserve">Artículo 49. </w:t>
      </w:r>
      <w:r w:rsidRPr="00614B94">
        <w:rPr>
          <w:rFonts w:ascii="Palatino Linotype" w:eastAsia="Palatino Linotype" w:hAnsi="Palatino Linotype" w:cs="Palatino Linotype"/>
          <w:i/>
          <w:sz w:val="22"/>
          <w:szCs w:val="22"/>
        </w:rPr>
        <w:t>Los Comités de Transparencia tendrán las siguientes atribuciones:</w:t>
      </w:r>
    </w:p>
    <w:p w14:paraId="6B4CB594"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VIII.</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Aprobar</w:t>
      </w:r>
      <w:r w:rsidRPr="00614B94">
        <w:rPr>
          <w:rFonts w:ascii="Palatino Linotype" w:eastAsia="Palatino Linotype" w:hAnsi="Palatino Linotype" w:cs="Palatino Linotype"/>
          <w:i/>
          <w:sz w:val="22"/>
          <w:szCs w:val="22"/>
        </w:rPr>
        <w:t>, modificar o revocar la clasificación de la información;</w:t>
      </w:r>
    </w:p>
    <w:p w14:paraId="78DEE9B8" w14:textId="77777777" w:rsidR="009E6893" w:rsidRPr="00614B94" w:rsidRDefault="00DD198A">
      <w:pPr>
        <w:ind w:left="851" w:right="902"/>
        <w:jc w:val="both"/>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Artículo 132.</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La clasificación de la información se llevará a cabo en el momento en que:</w:t>
      </w:r>
    </w:p>
    <w:p w14:paraId="1AB93AE5"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p>
    <w:p w14:paraId="4F153131"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II.</w:t>
      </w:r>
      <w:r w:rsidRPr="00614B94">
        <w:rPr>
          <w:rFonts w:ascii="Palatino Linotype" w:eastAsia="Palatino Linotype" w:hAnsi="Palatino Linotype" w:cs="Palatino Linotype"/>
          <w:i/>
          <w:sz w:val="22"/>
          <w:szCs w:val="22"/>
        </w:rPr>
        <w:t xml:space="preserve"> Se determine mediante resolución de autoridad competente; o</w:t>
      </w:r>
    </w:p>
    <w:p w14:paraId="7B0D0202"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III</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Se generen versiones públicas para dar cumplimiento a las obligaciones de transparencia previstas en esta Ley</w:t>
      </w:r>
      <w:r w:rsidRPr="00614B94">
        <w:rPr>
          <w:rFonts w:ascii="Palatino Linotype" w:eastAsia="Palatino Linotype" w:hAnsi="Palatino Linotype" w:cs="Palatino Linotype"/>
          <w:i/>
          <w:sz w:val="22"/>
          <w:szCs w:val="22"/>
        </w:rPr>
        <w:t>.”</w:t>
      </w:r>
    </w:p>
    <w:p w14:paraId="3D13056E" w14:textId="77777777" w:rsidR="009E6893" w:rsidRPr="00614B94" w:rsidRDefault="00DD198A">
      <w:pPr>
        <w:ind w:left="851" w:right="902"/>
        <w:jc w:val="center"/>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Lineamientos Generales en materia de Clasificación y Desclasificación de la Información</w:t>
      </w:r>
    </w:p>
    <w:p w14:paraId="1DC42CCC"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r w:rsidRPr="00614B94">
        <w:rPr>
          <w:rFonts w:ascii="Palatino Linotype" w:eastAsia="Palatino Linotype" w:hAnsi="Palatino Linotype" w:cs="Palatino Linotype"/>
          <w:b/>
          <w:i/>
          <w:sz w:val="22"/>
          <w:szCs w:val="22"/>
        </w:rPr>
        <w:t>Segundo.-</w:t>
      </w:r>
      <w:r w:rsidRPr="00614B94">
        <w:rPr>
          <w:rFonts w:ascii="Palatino Linotype" w:eastAsia="Palatino Linotype" w:hAnsi="Palatino Linotype" w:cs="Palatino Linotype"/>
          <w:i/>
          <w:sz w:val="22"/>
          <w:szCs w:val="22"/>
        </w:rPr>
        <w:t xml:space="preserve"> Para efectos de los presentes Lineamientos Generales, se entenderá por:</w:t>
      </w:r>
    </w:p>
    <w:p w14:paraId="09F74DCD"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XVIII.</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Versión pública:</w:t>
      </w:r>
      <w:r w:rsidRPr="00614B9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14B94">
        <w:rPr>
          <w:rFonts w:ascii="Palatino Linotype" w:eastAsia="Palatino Linotype" w:hAnsi="Palatino Linotype" w:cs="Palatino Linotype"/>
          <w:b/>
          <w:i/>
          <w:sz w:val="22"/>
          <w:szCs w:val="22"/>
        </w:rPr>
        <w:t>fundando y motivando la</w:t>
      </w:r>
      <w:r w:rsidRPr="00614B94">
        <w:rPr>
          <w:rFonts w:ascii="Palatino Linotype" w:eastAsia="Palatino Linotype" w:hAnsi="Palatino Linotype" w:cs="Palatino Linotype"/>
          <w:i/>
          <w:sz w:val="22"/>
          <w:szCs w:val="22"/>
        </w:rPr>
        <w:t xml:space="preserve"> reserva o </w:t>
      </w:r>
      <w:r w:rsidRPr="00614B94">
        <w:rPr>
          <w:rFonts w:ascii="Palatino Linotype" w:eastAsia="Palatino Linotype" w:hAnsi="Palatino Linotype" w:cs="Palatino Linotype"/>
          <w:b/>
          <w:i/>
          <w:sz w:val="22"/>
          <w:szCs w:val="22"/>
        </w:rPr>
        <w:t>confidencialidad</w:t>
      </w:r>
      <w:r w:rsidRPr="00614B94">
        <w:rPr>
          <w:rFonts w:ascii="Palatino Linotype" w:eastAsia="Palatino Linotype" w:hAnsi="Palatino Linotype" w:cs="Palatino Linotype"/>
          <w:i/>
          <w:sz w:val="22"/>
          <w:szCs w:val="22"/>
        </w:rPr>
        <w:t>, a través de la resolución que para tal efecto emita el Comité de Transparencia.</w:t>
      </w:r>
    </w:p>
    <w:p w14:paraId="6F707415"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Cuarto.</w:t>
      </w:r>
      <w:r w:rsidRPr="00614B94">
        <w:rPr>
          <w:rFonts w:ascii="Palatino Linotype" w:eastAsia="Palatino Linotype" w:hAnsi="Palatino Linotype" w:cs="Palatino Linotype"/>
          <w:i/>
          <w:sz w:val="22"/>
          <w:szCs w:val="22"/>
        </w:rPr>
        <w:t xml:space="preserve"> </w:t>
      </w:r>
      <w:r w:rsidRPr="00614B94">
        <w:rPr>
          <w:rFonts w:ascii="Palatino Linotype" w:eastAsia="Palatino Linotype" w:hAnsi="Palatino Linotype" w:cs="Palatino Linotype"/>
          <w:b/>
          <w:i/>
          <w:sz w:val="22"/>
          <w:szCs w:val="22"/>
        </w:rPr>
        <w:t>Para clasificar la información como</w:t>
      </w:r>
      <w:r w:rsidRPr="00614B94">
        <w:rPr>
          <w:rFonts w:ascii="Palatino Linotype" w:eastAsia="Palatino Linotype" w:hAnsi="Palatino Linotype" w:cs="Palatino Linotype"/>
          <w:i/>
          <w:sz w:val="22"/>
          <w:szCs w:val="22"/>
        </w:rPr>
        <w:t xml:space="preserve"> reservada o </w:t>
      </w:r>
      <w:r w:rsidRPr="00614B94">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14B94">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2235D3"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377C494"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Quinto.</w:t>
      </w:r>
      <w:r w:rsidRPr="00614B9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614B94">
        <w:rPr>
          <w:rFonts w:ascii="Palatino Linotype" w:eastAsia="Palatino Linotype" w:hAnsi="Palatino Linotype" w:cs="Palatino Linotype"/>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4BD554F"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Sexto.</w:t>
      </w:r>
      <w:r w:rsidRPr="00614B9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7E6E9F"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366A913"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Séptimo.</w:t>
      </w:r>
      <w:r w:rsidRPr="00614B94">
        <w:rPr>
          <w:rFonts w:ascii="Palatino Linotype" w:eastAsia="Palatino Linotype" w:hAnsi="Palatino Linotype" w:cs="Palatino Linotype"/>
          <w:i/>
          <w:sz w:val="22"/>
          <w:szCs w:val="22"/>
        </w:rPr>
        <w:t xml:space="preserve"> La clasificación de la información se llevará a cabo en el momento en que:</w:t>
      </w:r>
    </w:p>
    <w:p w14:paraId="1470F32E"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I.</w:t>
      </w:r>
      <w:r w:rsidRPr="00614B94">
        <w:rPr>
          <w:rFonts w:ascii="Palatino Linotype" w:eastAsia="Palatino Linotype" w:hAnsi="Palatino Linotype" w:cs="Palatino Linotype"/>
          <w:i/>
          <w:sz w:val="22"/>
          <w:szCs w:val="22"/>
        </w:rPr>
        <w:t xml:space="preserve"> Se reciba una solicitud de acceso a la información;</w:t>
      </w:r>
    </w:p>
    <w:p w14:paraId="4C2DE4CE"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II.</w:t>
      </w:r>
      <w:r w:rsidRPr="00614B94">
        <w:rPr>
          <w:rFonts w:ascii="Palatino Linotype" w:eastAsia="Palatino Linotype" w:hAnsi="Palatino Linotype" w:cs="Palatino Linotype"/>
          <w:i/>
          <w:sz w:val="22"/>
          <w:szCs w:val="22"/>
        </w:rPr>
        <w:t xml:space="preserve"> Se determine mediante resolución de autoridad competente, o</w:t>
      </w:r>
    </w:p>
    <w:p w14:paraId="17AF9C6A"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III.</w:t>
      </w:r>
      <w:r w:rsidRPr="00614B9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7103F5C"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55B96BF"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Octavo.</w:t>
      </w:r>
      <w:r w:rsidRPr="00614B9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B2ED90"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C506E6D"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4A91F85"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72AF594"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61BF474"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Noveno.</w:t>
      </w:r>
      <w:r w:rsidRPr="00614B9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614B94">
        <w:rPr>
          <w:rFonts w:ascii="Palatino Linotype" w:eastAsia="Palatino Linotype" w:hAnsi="Palatino Linotype" w:cs="Palatino Linotype"/>
          <w:i/>
          <w:sz w:val="22"/>
          <w:szCs w:val="22"/>
        </w:rPr>
        <w:lastRenderedPageBreak/>
        <w:t>siguiendo los procedimientos establecidos en el Capítulo IX de los presentes lineamientos.</w:t>
      </w:r>
    </w:p>
    <w:p w14:paraId="497DB6C5"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Décimo.</w:t>
      </w:r>
      <w:r w:rsidRPr="00614B9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D978FB"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0033816" w14:textId="77777777" w:rsidR="009E6893" w:rsidRPr="00614B94" w:rsidRDefault="00DD198A">
      <w:pPr>
        <w:ind w:left="851" w:right="902"/>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Décimo primero.</w:t>
      </w:r>
      <w:r w:rsidRPr="00614B9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8B640E" w14:textId="77777777" w:rsidR="009E6893" w:rsidRPr="00614B94" w:rsidRDefault="009E6893">
      <w:pPr>
        <w:ind w:left="851" w:right="902"/>
        <w:jc w:val="both"/>
        <w:rPr>
          <w:rFonts w:ascii="Palatino Linotype" w:eastAsia="Palatino Linotype" w:hAnsi="Palatino Linotype" w:cs="Palatino Linotype"/>
          <w:i/>
          <w:sz w:val="22"/>
          <w:szCs w:val="22"/>
        </w:rPr>
      </w:pPr>
    </w:p>
    <w:p w14:paraId="0C8A528B" w14:textId="77777777" w:rsidR="009E6893" w:rsidRPr="00614B94" w:rsidRDefault="00DD198A">
      <w:pPr>
        <w:ind w:left="850" w:right="901"/>
        <w:jc w:val="center"/>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CAPÍTULO VIII</w:t>
      </w:r>
    </w:p>
    <w:p w14:paraId="318D4FBA" w14:textId="77777777" w:rsidR="009E6893" w:rsidRPr="00614B94" w:rsidRDefault="00DD198A">
      <w:pPr>
        <w:ind w:left="850" w:right="901"/>
        <w:jc w:val="center"/>
        <w:rPr>
          <w:rFonts w:ascii="Palatino Linotype" w:eastAsia="Palatino Linotype" w:hAnsi="Palatino Linotype" w:cs="Palatino Linotype"/>
          <w:b/>
          <w:i/>
          <w:sz w:val="22"/>
          <w:szCs w:val="22"/>
        </w:rPr>
      </w:pPr>
      <w:r w:rsidRPr="00614B94">
        <w:rPr>
          <w:rFonts w:ascii="Palatino Linotype" w:eastAsia="Palatino Linotype" w:hAnsi="Palatino Linotype" w:cs="Palatino Linotype"/>
          <w:b/>
          <w:i/>
          <w:sz w:val="22"/>
          <w:szCs w:val="22"/>
        </w:rPr>
        <w:t>DE LA LEYENDA DE CLASIFICACIÓN</w:t>
      </w:r>
    </w:p>
    <w:p w14:paraId="15385303" w14:textId="77777777" w:rsidR="009E6893" w:rsidRPr="00614B94" w:rsidRDefault="00DD198A">
      <w:pPr>
        <w:ind w:left="850"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Quincuagésimo. </w:t>
      </w:r>
      <w:r w:rsidRPr="00614B94">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14B94">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CD555A9" w14:textId="77777777" w:rsidR="009E6893" w:rsidRPr="00614B94" w:rsidRDefault="00DD198A">
      <w:pPr>
        <w:ind w:left="850"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w:t>
      </w:r>
    </w:p>
    <w:p w14:paraId="0F43F762" w14:textId="77777777" w:rsidR="009E6893" w:rsidRPr="00614B94" w:rsidRDefault="00DD198A">
      <w:pPr>
        <w:ind w:left="850" w:right="901"/>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b/>
          <w:i/>
          <w:sz w:val="22"/>
          <w:szCs w:val="22"/>
        </w:rPr>
        <w:t xml:space="preserve">Quincuagésimo tercero. </w:t>
      </w:r>
      <w:r w:rsidRPr="00614B94">
        <w:rPr>
          <w:rFonts w:ascii="Palatino Linotype" w:eastAsia="Palatino Linotype" w:hAnsi="Palatino Linotype" w:cs="Palatino Linotype"/>
          <w:b/>
          <w:i/>
          <w:sz w:val="22"/>
          <w:szCs w:val="22"/>
          <w:u w:val="single"/>
        </w:rPr>
        <w:t>El formato para señalar la clasificación parcial de un documento</w:t>
      </w:r>
      <w:r w:rsidRPr="00614B94">
        <w:rPr>
          <w:rFonts w:ascii="Palatino Linotype" w:eastAsia="Palatino Linotype" w:hAnsi="Palatino Linotype" w:cs="Palatino Linotype"/>
          <w:i/>
          <w:sz w:val="22"/>
          <w:szCs w:val="22"/>
        </w:rPr>
        <w:t>, es el siguiente:</w:t>
      </w:r>
    </w:p>
    <w:p w14:paraId="3D762CEA" w14:textId="77777777" w:rsidR="009E6893" w:rsidRPr="00614B94" w:rsidRDefault="009E6893">
      <w:pPr>
        <w:ind w:left="850" w:right="901"/>
        <w:jc w:val="both"/>
        <w:rPr>
          <w:rFonts w:ascii="Palatino Linotype" w:eastAsia="Palatino Linotype" w:hAnsi="Palatino Linotype" w:cs="Palatino Linotype"/>
          <w:i/>
          <w:sz w:val="22"/>
          <w:szCs w:val="22"/>
        </w:rPr>
      </w:pPr>
    </w:p>
    <w:tbl>
      <w:tblPr>
        <w:tblStyle w:val="affff3"/>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E6893" w:rsidRPr="00614B94" w14:paraId="20C65C0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9A5DD54" w14:textId="77777777" w:rsidR="009E6893" w:rsidRPr="00614B94" w:rsidRDefault="009E689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28D4ED" w14:textId="77777777" w:rsidR="009E6893" w:rsidRPr="00614B94" w:rsidRDefault="00DD198A">
            <w:pPr>
              <w:jc w:val="center"/>
              <w:rPr>
                <w:rFonts w:ascii="Palatino Linotype" w:eastAsia="Palatino Linotype" w:hAnsi="Palatino Linotype" w:cs="Palatino Linotype"/>
                <w:b/>
                <w:i/>
              </w:rPr>
            </w:pPr>
            <w:r w:rsidRPr="00614B94">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87D7A37" w14:textId="77777777" w:rsidR="009E6893" w:rsidRPr="00614B94" w:rsidRDefault="00DD198A">
            <w:pPr>
              <w:jc w:val="center"/>
              <w:rPr>
                <w:rFonts w:ascii="Palatino Linotype" w:eastAsia="Palatino Linotype" w:hAnsi="Palatino Linotype" w:cs="Palatino Linotype"/>
                <w:b/>
                <w:i/>
              </w:rPr>
            </w:pPr>
            <w:r w:rsidRPr="00614B94">
              <w:rPr>
                <w:rFonts w:ascii="Palatino Linotype" w:eastAsia="Palatino Linotype" w:hAnsi="Palatino Linotype" w:cs="Palatino Linotype"/>
                <w:b/>
                <w:i/>
              </w:rPr>
              <w:t>Dónde:</w:t>
            </w:r>
          </w:p>
        </w:tc>
      </w:tr>
      <w:tr w:rsidR="009E6893" w:rsidRPr="00614B94" w14:paraId="468C451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4C586C1" w14:textId="77777777" w:rsidR="009E6893" w:rsidRPr="00614B94" w:rsidRDefault="00DD198A">
            <w:pPr>
              <w:jc w:val="center"/>
              <w:rPr>
                <w:rFonts w:ascii="Palatino Linotype" w:eastAsia="Palatino Linotype" w:hAnsi="Palatino Linotype" w:cs="Palatino Linotype"/>
                <w:b/>
                <w:i/>
              </w:rPr>
            </w:pPr>
            <w:r w:rsidRPr="00614B94">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8CF90E0"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DF5B778"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anotará la fecha en la que el Comité de Transparencia confirmó la clasificación del documento, en su caso.</w:t>
            </w:r>
          </w:p>
        </w:tc>
      </w:tr>
      <w:tr w:rsidR="009E6893" w:rsidRPr="00614B94" w14:paraId="71BF99A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447787"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AA3189"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33B3726"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señalará el nombre del área del cual es titular quien clasifica.</w:t>
            </w:r>
          </w:p>
        </w:tc>
      </w:tr>
      <w:tr w:rsidR="009E6893" w:rsidRPr="00614B94" w14:paraId="3F934E2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E7758C3"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39525A8"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BD25854"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 xml:space="preserve">Se indicarán, en su caso, las partes o páginas del documento que se clasifican como reservadas. Si </w:t>
            </w:r>
            <w:r w:rsidRPr="00614B94">
              <w:rPr>
                <w:rFonts w:ascii="Palatino Linotype" w:eastAsia="Palatino Linotype" w:hAnsi="Palatino Linotype" w:cs="Palatino Linotype"/>
                <w:i/>
              </w:rPr>
              <w:lastRenderedPageBreak/>
              <w:t>el documento fuera reservado en su totalidad, se anotarán todas las páginas que lo conforman. Si el documento no contiene información reservada, se tachará este apartado.</w:t>
            </w:r>
          </w:p>
        </w:tc>
      </w:tr>
      <w:tr w:rsidR="009E6893" w:rsidRPr="00614B94" w14:paraId="07A2AAF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12929FF"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3CE597"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240B66A"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anotará el número de años o meses por los que se mantendrá el documento o las partes del mismo como reservado.</w:t>
            </w:r>
          </w:p>
        </w:tc>
      </w:tr>
      <w:tr w:rsidR="009E6893" w:rsidRPr="00614B94" w14:paraId="0556DE5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686ABBE"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7775DD8"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9582381"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señalará el nombre del ordenamiento, el o los artículos, fracción(es), párrafo(s) con base en los cuales se sustente la reserva.</w:t>
            </w:r>
          </w:p>
        </w:tc>
      </w:tr>
      <w:tr w:rsidR="009E6893" w:rsidRPr="00614B94" w14:paraId="59A1B05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9D48BC"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FC41EA"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479A452"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E6893" w:rsidRPr="00614B94" w14:paraId="37EB656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AF799B5"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7D077E3" w14:textId="77777777" w:rsidR="009E6893" w:rsidRPr="00614B94" w:rsidRDefault="00DD198A">
            <w:pPr>
              <w:jc w:val="center"/>
              <w:rPr>
                <w:rFonts w:ascii="Palatino Linotype" w:eastAsia="Palatino Linotype" w:hAnsi="Palatino Linotype" w:cs="Palatino Linotype"/>
                <w:b/>
                <w:i/>
                <w:u w:val="single"/>
              </w:rPr>
            </w:pPr>
            <w:r w:rsidRPr="00614B94">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3943614"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 xml:space="preserve">Se indicarán, en su caso, </w:t>
            </w:r>
            <w:r w:rsidRPr="00614B94">
              <w:rPr>
                <w:rFonts w:ascii="Palatino Linotype" w:eastAsia="Palatino Linotype" w:hAnsi="Palatino Linotype" w:cs="Palatino Linotype"/>
                <w:b/>
                <w:i/>
                <w:u w:val="single"/>
              </w:rPr>
              <w:t>las partes o páginas del documento que se clasifica como confidencial</w:t>
            </w:r>
            <w:r w:rsidRPr="00614B94">
              <w:rPr>
                <w:rFonts w:ascii="Palatino Linotype" w:eastAsia="Palatino Linotype" w:hAnsi="Palatino Linotype" w:cs="Palatino Linotype"/>
                <w:i/>
              </w:rPr>
              <w:t xml:space="preserve">. </w:t>
            </w:r>
            <w:r w:rsidRPr="00614B94">
              <w:rPr>
                <w:rFonts w:ascii="Palatino Linotype" w:eastAsia="Palatino Linotype" w:hAnsi="Palatino Linotype" w:cs="Palatino Linotype"/>
                <w:b/>
                <w:i/>
                <w:u w:val="single"/>
              </w:rPr>
              <w:t>Si el documento fuera confidencial en su totalidad, se anotarán todas las páginas que lo conforman</w:t>
            </w:r>
            <w:r w:rsidRPr="00614B94">
              <w:rPr>
                <w:rFonts w:ascii="Palatino Linotype" w:eastAsia="Palatino Linotype" w:hAnsi="Palatino Linotype" w:cs="Palatino Linotype"/>
                <w:i/>
              </w:rPr>
              <w:t>. Si el documento no contiene información confidencial, se tachará este apartado.</w:t>
            </w:r>
          </w:p>
        </w:tc>
      </w:tr>
      <w:tr w:rsidR="009E6893" w:rsidRPr="00614B94" w14:paraId="6115DDA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C9EB700"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FDF61E0"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7BAB746"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E6893" w:rsidRPr="00614B94" w14:paraId="7D5E9C1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EE55F15"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7D756E"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80EDDC5"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Rúbrica autógrafa de quien clasifica.</w:t>
            </w:r>
          </w:p>
        </w:tc>
      </w:tr>
      <w:tr w:rsidR="009E6893" w:rsidRPr="00614B94" w14:paraId="2EE07ED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9804AA"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F7B89D"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D72241E" w14:textId="77777777" w:rsidR="009E6893" w:rsidRPr="00614B94" w:rsidRDefault="00DD198A">
            <w:pPr>
              <w:jc w:val="both"/>
              <w:rPr>
                <w:rFonts w:ascii="Palatino Linotype" w:eastAsia="Palatino Linotype" w:hAnsi="Palatino Linotype" w:cs="Palatino Linotype"/>
                <w:i/>
              </w:rPr>
            </w:pPr>
            <w:r w:rsidRPr="00614B94">
              <w:rPr>
                <w:rFonts w:ascii="Palatino Linotype" w:eastAsia="Palatino Linotype" w:hAnsi="Palatino Linotype" w:cs="Palatino Linotype"/>
                <w:i/>
              </w:rPr>
              <w:t>Se anotará la fecha en que se desclasifica el documento.</w:t>
            </w:r>
          </w:p>
        </w:tc>
      </w:tr>
      <w:tr w:rsidR="009E6893" w:rsidRPr="00614B94" w14:paraId="237B972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5700108" w14:textId="77777777" w:rsidR="009E6893" w:rsidRPr="00614B94" w:rsidRDefault="009E689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E48FCF" w14:textId="77777777" w:rsidR="009E6893" w:rsidRPr="00614B94" w:rsidRDefault="00DD198A">
            <w:pPr>
              <w:jc w:val="center"/>
              <w:rPr>
                <w:rFonts w:ascii="Palatino Linotype" w:eastAsia="Palatino Linotype" w:hAnsi="Palatino Linotype" w:cs="Palatino Linotype"/>
                <w:i/>
              </w:rPr>
            </w:pPr>
            <w:r w:rsidRPr="00614B94">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F6DD470" w14:textId="77777777" w:rsidR="009E6893" w:rsidRPr="00614B94" w:rsidRDefault="00DD198A">
            <w:pPr>
              <w:rPr>
                <w:rFonts w:ascii="Palatino Linotype" w:eastAsia="Palatino Linotype" w:hAnsi="Palatino Linotype" w:cs="Palatino Linotype"/>
                <w:i/>
              </w:rPr>
            </w:pPr>
            <w:r w:rsidRPr="00614B94">
              <w:rPr>
                <w:rFonts w:ascii="Palatino Linotype" w:eastAsia="Palatino Linotype" w:hAnsi="Palatino Linotype" w:cs="Palatino Linotype"/>
                <w:i/>
              </w:rPr>
              <w:t>Rúbrica autógrafa de quien desclasifica.</w:t>
            </w:r>
          </w:p>
        </w:tc>
      </w:tr>
    </w:tbl>
    <w:p w14:paraId="5763153A" w14:textId="77777777" w:rsidR="009E6893" w:rsidRPr="00614B94" w:rsidRDefault="00DD198A">
      <w:pPr>
        <w:ind w:left="709" w:right="709"/>
        <w:jc w:val="both"/>
        <w:rPr>
          <w:rFonts w:ascii="Palatino Linotype" w:eastAsia="Palatino Linotype" w:hAnsi="Palatino Linotype" w:cs="Palatino Linotype"/>
          <w:sz w:val="22"/>
          <w:szCs w:val="22"/>
        </w:rPr>
      </w:pPr>
      <w:r w:rsidRPr="00614B94">
        <w:rPr>
          <w:rFonts w:ascii="Palatino Linotype" w:eastAsia="Palatino Linotype" w:hAnsi="Palatino Linotype" w:cs="Palatino Linotype"/>
          <w:sz w:val="22"/>
          <w:szCs w:val="22"/>
        </w:rPr>
        <w:lastRenderedPageBreak/>
        <w:t>(Énfasis Añadido)</w:t>
      </w:r>
    </w:p>
    <w:p w14:paraId="0F322C4A" w14:textId="77777777" w:rsidR="009E6893" w:rsidRPr="00614B94" w:rsidRDefault="009E6893">
      <w:pPr>
        <w:spacing w:line="360" w:lineRule="auto"/>
        <w:jc w:val="both"/>
        <w:rPr>
          <w:rFonts w:ascii="Palatino Linotype" w:eastAsia="Palatino Linotype" w:hAnsi="Palatino Linotype" w:cs="Palatino Linotype"/>
        </w:rPr>
      </w:pPr>
    </w:p>
    <w:p w14:paraId="12D9BAAC"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 xml:space="preserve">Es importante referir que, </w:t>
      </w:r>
      <w:r w:rsidRPr="00614B94">
        <w:rPr>
          <w:rFonts w:ascii="Palatino Linotype" w:eastAsia="Palatino Linotype" w:hAnsi="Palatino Linotype" w:cs="Palatino Linotype"/>
          <w:b/>
        </w:rPr>
        <w:t>EL SUJETO OBLIGADO</w:t>
      </w:r>
      <w:r w:rsidRPr="00614B94">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14B94">
        <w:rPr>
          <w:rFonts w:ascii="Palatino Linotype" w:eastAsia="Palatino Linotype" w:hAnsi="Palatino Linotype" w:cs="Palatino Linotype"/>
          <w:b/>
        </w:rPr>
        <w:t xml:space="preserve"> </w:t>
      </w:r>
      <w:r w:rsidRPr="00614B94">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DB1D45" w14:textId="77777777" w:rsidR="009E6893" w:rsidRPr="00614B94" w:rsidRDefault="009E6893">
      <w:pPr>
        <w:spacing w:line="360" w:lineRule="auto"/>
        <w:ind w:right="-28"/>
        <w:jc w:val="both"/>
        <w:rPr>
          <w:rFonts w:ascii="Palatino Linotype" w:eastAsia="Palatino Linotype" w:hAnsi="Palatino Linotype" w:cs="Palatino Linotype"/>
        </w:rPr>
      </w:pPr>
    </w:p>
    <w:p w14:paraId="01FEB02B" w14:textId="75A8FFE5" w:rsidR="009E6893" w:rsidRPr="00614B94" w:rsidRDefault="00DD198A">
      <w:pPr>
        <w:spacing w:line="360" w:lineRule="auto"/>
        <w:jc w:val="both"/>
        <w:rPr>
          <w:rFonts w:ascii="Palatino Linotype" w:eastAsia="Palatino Linotype" w:hAnsi="Palatino Linotype" w:cs="Palatino Linotype"/>
        </w:rPr>
      </w:pPr>
      <w:bookmarkStart w:id="6" w:name="_heading=h.ba50id1aq30d" w:colFirst="0" w:colLast="0"/>
      <w:bookmarkEnd w:id="6"/>
      <w:r w:rsidRPr="00614B94">
        <w:rPr>
          <w:rFonts w:ascii="Palatino Linotype" w:eastAsia="Palatino Linotype" w:hAnsi="Palatino Linotype" w:cs="Palatino Linotype"/>
        </w:rPr>
        <w:t>Expuesto todo lo anterior</w:t>
      </w:r>
      <w:r w:rsidRPr="00614B94">
        <w:rPr>
          <w:rFonts w:ascii="Palatino Linotype" w:eastAsia="Palatino Linotype" w:hAnsi="Palatino Linotype" w:cs="Palatino Linotype"/>
          <w:b/>
        </w:rPr>
        <w:t xml:space="preserve">, </w:t>
      </w:r>
      <w:r w:rsidRPr="00614B94">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0072440D" w:rsidRPr="00614B94">
        <w:rPr>
          <w:rFonts w:ascii="Palatino Linotype" w:eastAsia="Palatino Linotype" w:hAnsi="Palatino Linotype" w:cs="Palatino Linotype"/>
          <w:b/>
        </w:rPr>
        <w:t>LA</w:t>
      </w:r>
      <w:r w:rsidRPr="00614B94">
        <w:rPr>
          <w:rFonts w:ascii="Palatino Linotype" w:eastAsia="Palatino Linotype" w:hAnsi="Palatino Linotype" w:cs="Palatino Linotype"/>
          <w:b/>
        </w:rPr>
        <w:t xml:space="preserve"> RECURRENTE</w:t>
      </w:r>
      <w:r w:rsidRPr="00614B94">
        <w:rPr>
          <w:rFonts w:ascii="Palatino Linotype" w:eastAsia="Palatino Linotype" w:hAnsi="Palatino Linotype" w:cs="Palatino Linotype"/>
        </w:rPr>
        <w:t xml:space="preserve"> resultan </w:t>
      </w:r>
      <w:r w:rsidRPr="00614B94">
        <w:rPr>
          <w:rFonts w:ascii="Palatino Linotype" w:eastAsia="Palatino Linotype" w:hAnsi="Palatino Linotype" w:cs="Palatino Linotype"/>
          <w:b/>
        </w:rPr>
        <w:t>fundadas</w:t>
      </w:r>
      <w:r w:rsidRPr="00614B94">
        <w:rPr>
          <w:rFonts w:ascii="Palatino Linotype" w:eastAsia="Palatino Linotype" w:hAnsi="Palatino Linotype" w:cs="Palatino Linotype"/>
        </w:rPr>
        <w:t xml:space="preserve"> y suficientes para </w:t>
      </w:r>
      <w:r w:rsidRPr="00614B94">
        <w:rPr>
          <w:rFonts w:ascii="Palatino Linotype" w:eastAsia="Palatino Linotype" w:hAnsi="Palatino Linotype" w:cs="Palatino Linotype"/>
          <w:b/>
        </w:rPr>
        <w:t xml:space="preserve">MODIFICAR  </w:t>
      </w:r>
      <w:r w:rsidRPr="00614B94">
        <w:rPr>
          <w:rFonts w:ascii="Palatino Linotype" w:eastAsia="Palatino Linotype" w:hAnsi="Palatino Linotype" w:cs="Palatino Linotype"/>
        </w:rPr>
        <w:t xml:space="preserve"> la respuesta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y ordenarle haga entrega de las certificaciones de los Titulares administración pública Municipal  del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al primero de marzo de dos mil veintidós. </w:t>
      </w:r>
    </w:p>
    <w:p w14:paraId="22B91BC4" w14:textId="77777777" w:rsidR="009E6893" w:rsidRPr="00614B94" w:rsidRDefault="009E6893">
      <w:pPr>
        <w:spacing w:line="360" w:lineRule="auto"/>
        <w:ind w:right="-28"/>
        <w:jc w:val="both"/>
        <w:rPr>
          <w:rFonts w:ascii="Palatino Linotype" w:eastAsia="Palatino Linotype" w:hAnsi="Palatino Linotype" w:cs="Palatino Linotype"/>
        </w:rPr>
      </w:pPr>
    </w:p>
    <w:p w14:paraId="326B063F" w14:textId="77777777" w:rsidR="009E6893" w:rsidRPr="00614B94" w:rsidRDefault="009E6893">
      <w:pPr>
        <w:spacing w:line="360" w:lineRule="auto"/>
        <w:ind w:right="-28"/>
        <w:jc w:val="both"/>
        <w:rPr>
          <w:rFonts w:ascii="Palatino Linotype" w:eastAsia="Palatino Linotype" w:hAnsi="Palatino Linotype" w:cs="Palatino Linotype"/>
        </w:rPr>
      </w:pPr>
    </w:p>
    <w:p w14:paraId="4EDB79C6" w14:textId="77777777" w:rsidR="009E6893" w:rsidRPr="00614B94" w:rsidRDefault="00DD198A">
      <w:pPr>
        <w:shd w:val="clear" w:color="auto" w:fill="FFFFFF"/>
        <w:jc w:val="both"/>
      </w:pPr>
      <w:r w:rsidRPr="00614B94">
        <w:rPr>
          <w:rFonts w:ascii="Palatino Linotype" w:eastAsia="Palatino Linotype" w:hAnsi="Palatino Linotype" w:cs="Palatino Linotype"/>
          <w:sz w:val="22"/>
          <w:szCs w:val="22"/>
        </w:rPr>
        <w:t> </w:t>
      </w:r>
    </w:p>
    <w:p w14:paraId="54DB876E" w14:textId="77777777" w:rsidR="009E6893" w:rsidRPr="00614B94" w:rsidRDefault="00DD198A">
      <w:pPr>
        <w:spacing w:line="360" w:lineRule="auto"/>
        <w:jc w:val="both"/>
        <w:rPr>
          <w:rFonts w:ascii="Palatino Linotype" w:eastAsia="Palatino Linotype" w:hAnsi="Palatino Linotype" w:cs="Palatino Linotype"/>
        </w:rPr>
      </w:pPr>
      <w:bookmarkStart w:id="7" w:name="_heading=h.5n8wysaobgd3" w:colFirst="0" w:colLast="0"/>
      <w:bookmarkEnd w:id="7"/>
      <w:r w:rsidRPr="00614B94">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4E77363" w14:textId="77777777" w:rsidR="009E6893" w:rsidRPr="00614B94" w:rsidRDefault="009E6893">
      <w:pPr>
        <w:spacing w:line="360" w:lineRule="auto"/>
        <w:jc w:val="both"/>
        <w:rPr>
          <w:rFonts w:ascii="Palatino Linotype" w:eastAsia="Palatino Linotype" w:hAnsi="Palatino Linotype" w:cs="Palatino Linotype"/>
        </w:rPr>
      </w:pPr>
    </w:p>
    <w:p w14:paraId="3E424A12" w14:textId="77777777" w:rsidR="009E6893" w:rsidRPr="00614B94" w:rsidRDefault="00DD198A">
      <w:pPr>
        <w:spacing w:line="360" w:lineRule="auto"/>
        <w:jc w:val="center"/>
        <w:rPr>
          <w:rFonts w:ascii="Palatino Linotype" w:eastAsia="Palatino Linotype" w:hAnsi="Palatino Linotype" w:cs="Palatino Linotype"/>
          <w:b/>
          <w:sz w:val="26"/>
          <w:szCs w:val="26"/>
        </w:rPr>
      </w:pPr>
      <w:r w:rsidRPr="00614B94">
        <w:rPr>
          <w:rFonts w:ascii="Palatino Linotype" w:eastAsia="Palatino Linotype" w:hAnsi="Palatino Linotype" w:cs="Palatino Linotype"/>
          <w:b/>
          <w:sz w:val="26"/>
          <w:szCs w:val="26"/>
        </w:rPr>
        <w:t>RESUELVE</w:t>
      </w:r>
    </w:p>
    <w:p w14:paraId="10207BB8" w14:textId="77777777" w:rsidR="009E6893" w:rsidRPr="00614B94" w:rsidRDefault="009E6893">
      <w:pPr>
        <w:spacing w:line="360" w:lineRule="auto"/>
        <w:jc w:val="center"/>
        <w:rPr>
          <w:rFonts w:ascii="Palatino Linotype" w:eastAsia="Palatino Linotype" w:hAnsi="Palatino Linotype" w:cs="Palatino Linotype"/>
          <w:b/>
          <w:sz w:val="26"/>
          <w:szCs w:val="26"/>
        </w:rPr>
      </w:pPr>
    </w:p>
    <w:p w14:paraId="4936F9E4" w14:textId="77777777" w:rsidR="009E6893" w:rsidRPr="00614B94" w:rsidRDefault="00DD198A">
      <w:pPr>
        <w:spacing w:line="360" w:lineRule="auto"/>
        <w:ind w:right="49"/>
        <w:jc w:val="both"/>
        <w:rPr>
          <w:rFonts w:ascii="Palatino Linotype" w:eastAsia="Palatino Linotype" w:hAnsi="Palatino Linotype" w:cs="Palatino Linotype"/>
        </w:rPr>
      </w:pPr>
      <w:r w:rsidRPr="00614B94">
        <w:rPr>
          <w:rFonts w:ascii="Palatino Linotype" w:eastAsia="Palatino Linotype" w:hAnsi="Palatino Linotype" w:cs="Palatino Linotype"/>
          <w:b/>
        </w:rPr>
        <w:t>PRIMERO.</w:t>
      </w:r>
      <w:r w:rsidRPr="00614B94">
        <w:rPr>
          <w:rFonts w:ascii="Palatino Linotype" w:eastAsia="Palatino Linotype" w:hAnsi="Palatino Linotype" w:cs="Palatino Linotype"/>
        </w:rPr>
        <w:t xml:space="preserve"> Resultan </w:t>
      </w:r>
      <w:r w:rsidRPr="00614B94">
        <w:rPr>
          <w:rFonts w:ascii="Palatino Linotype" w:eastAsia="Palatino Linotype" w:hAnsi="Palatino Linotype" w:cs="Palatino Linotype"/>
          <w:b/>
        </w:rPr>
        <w:t>Fundados</w:t>
      </w:r>
      <w:r w:rsidRPr="00614B94">
        <w:rPr>
          <w:rFonts w:ascii="Palatino Linotype" w:eastAsia="Palatino Linotype" w:hAnsi="Palatino Linotype" w:cs="Palatino Linotype"/>
        </w:rPr>
        <w:t xml:space="preserve"> los motivos de inconformidad hechos valer por </w:t>
      </w:r>
      <w:r w:rsidRPr="00614B94">
        <w:rPr>
          <w:rFonts w:ascii="Palatino Linotype" w:eastAsia="Palatino Linotype" w:hAnsi="Palatino Linotype" w:cs="Palatino Linotype"/>
          <w:b/>
        </w:rPr>
        <w:t>EL RECURRENTE</w:t>
      </w:r>
      <w:r w:rsidRPr="00614B94">
        <w:rPr>
          <w:rFonts w:ascii="Palatino Linotype" w:eastAsia="Palatino Linotype" w:hAnsi="Palatino Linotype" w:cs="Palatino Linotype"/>
        </w:rPr>
        <w:t xml:space="preserve"> en el recurso de revisión </w:t>
      </w:r>
      <w:r w:rsidRPr="00614B94">
        <w:rPr>
          <w:rFonts w:ascii="Palatino Linotype" w:eastAsia="Palatino Linotype" w:hAnsi="Palatino Linotype" w:cs="Palatino Linotype"/>
          <w:b/>
        </w:rPr>
        <w:t>04707/INFOEM/IP/RR/2022</w:t>
      </w:r>
      <w:r w:rsidRPr="00614B94">
        <w:rPr>
          <w:rFonts w:ascii="Palatino Linotype" w:eastAsia="Palatino Linotype" w:hAnsi="Palatino Linotype" w:cs="Palatino Linotype"/>
        </w:rPr>
        <w:t xml:space="preserve">, en términos del considerando </w:t>
      </w:r>
      <w:r w:rsidRPr="00614B94">
        <w:rPr>
          <w:rFonts w:ascii="Palatino Linotype" w:eastAsia="Palatino Linotype" w:hAnsi="Palatino Linotype" w:cs="Palatino Linotype"/>
          <w:b/>
        </w:rPr>
        <w:t>QUINTO</w:t>
      </w:r>
      <w:r w:rsidRPr="00614B94">
        <w:rPr>
          <w:rFonts w:ascii="Palatino Linotype" w:eastAsia="Palatino Linotype" w:hAnsi="Palatino Linotype" w:cs="Palatino Linotype"/>
        </w:rPr>
        <w:t>.</w:t>
      </w:r>
    </w:p>
    <w:p w14:paraId="5D1D7492" w14:textId="77777777" w:rsidR="009E6893" w:rsidRPr="00614B94" w:rsidRDefault="009E6893">
      <w:pPr>
        <w:spacing w:line="360" w:lineRule="auto"/>
        <w:ind w:right="49"/>
        <w:jc w:val="both"/>
        <w:rPr>
          <w:rFonts w:ascii="Palatino Linotype" w:eastAsia="Palatino Linotype" w:hAnsi="Palatino Linotype" w:cs="Palatino Linotype"/>
        </w:rPr>
      </w:pPr>
    </w:p>
    <w:p w14:paraId="4E0DEF96" w14:textId="77777777" w:rsidR="009E6893" w:rsidRPr="00614B94" w:rsidRDefault="00DD198A">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b/>
        </w:rPr>
        <w:t xml:space="preserve">SEGUNDO. </w:t>
      </w:r>
      <w:r w:rsidRPr="00614B94">
        <w:rPr>
          <w:rFonts w:ascii="Palatino Linotype" w:eastAsia="Palatino Linotype" w:hAnsi="Palatino Linotype" w:cs="Palatino Linotype"/>
        </w:rPr>
        <w:t xml:space="preserve">Se </w:t>
      </w:r>
      <w:r w:rsidRPr="00614B94">
        <w:rPr>
          <w:rFonts w:ascii="Palatino Linotype" w:eastAsia="Palatino Linotype" w:hAnsi="Palatino Linotype" w:cs="Palatino Linotype"/>
          <w:b/>
        </w:rPr>
        <w:t xml:space="preserve">MODIFICA </w:t>
      </w:r>
      <w:r w:rsidRPr="00614B94">
        <w:rPr>
          <w:rFonts w:ascii="Palatino Linotype" w:eastAsia="Palatino Linotype" w:hAnsi="Palatino Linotype" w:cs="Palatino Linotype"/>
        </w:rPr>
        <w:t xml:space="preserve">la respuesta emitida por </w:t>
      </w:r>
      <w:r w:rsidRPr="00614B94">
        <w:rPr>
          <w:rFonts w:ascii="Palatino Linotype" w:eastAsia="Palatino Linotype" w:hAnsi="Palatino Linotype" w:cs="Palatino Linotype"/>
          <w:b/>
        </w:rPr>
        <w:t>EL</w:t>
      </w:r>
      <w:r w:rsidRPr="00614B94">
        <w:rPr>
          <w:rFonts w:ascii="Palatino Linotype" w:eastAsia="Palatino Linotype" w:hAnsi="Palatino Linotype" w:cs="Palatino Linotype"/>
        </w:rPr>
        <w:t xml:space="preserve"> </w:t>
      </w:r>
      <w:r w:rsidRPr="00614B94">
        <w:rPr>
          <w:rFonts w:ascii="Palatino Linotype" w:eastAsia="Palatino Linotype" w:hAnsi="Palatino Linotype" w:cs="Palatino Linotype"/>
          <w:b/>
        </w:rPr>
        <w:t>SUJETO OBLIGADO</w:t>
      </w:r>
      <w:r w:rsidRPr="00614B94">
        <w:rPr>
          <w:rFonts w:ascii="Palatino Linotype" w:eastAsia="Palatino Linotype" w:hAnsi="Palatino Linotype" w:cs="Palatino Linotype"/>
        </w:rPr>
        <w:t xml:space="preserve"> y se ordena que en términos del Considerando </w:t>
      </w:r>
      <w:r w:rsidRPr="00614B94">
        <w:rPr>
          <w:rFonts w:ascii="Palatino Linotype" w:eastAsia="Palatino Linotype" w:hAnsi="Palatino Linotype" w:cs="Palatino Linotype"/>
          <w:b/>
        </w:rPr>
        <w:t>Quinto</w:t>
      </w:r>
      <w:r w:rsidRPr="00614B94">
        <w:rPr>
          <w:rFonts w:ascii="Palatino Linotype" w:eastAsia="Palatino Linotype" w:hAnsi="Palatino Linotype" w:cs="Palatino Linotype"/>
        </w:rPr>
        <w:t xml:space="preserve"> haga entrega al Recurrente mediante el Sistema de Acceso a la Información Mexiquense (SAIMEX), y de ser necesario en versión pública, de lo siguiente: </w:t>
      </w:r>
    </w:p>
    <w:p w14:paraId="07AD3293" w14:textId="77777777" w:rsidR="009E6893" w:rsidRPr="00614B94" w:rsidRDefault="009E6893">
      <w:pPr>
        <w:spacing w:line="360" w:lineRule="auto"/>
        <w:jc w:val="both"/>
        <w:rPr>
          <w:rFonts w:ascii="Palatino Linotype" w:eastAsia="Palatino Linotype" w:hAnsi="Palatino Linotype" w:cs="Palatino Linotype"/>
        </w:rPr>
      </w:pPr>
    </w:p>
    <w:p w14:paraId="1A79E628" w14:textId="01D13290" w:rsidR="009E6893" w:rsidRPr="00614B94" w:rsidRDefault="00DD198A">
      <w:pPr>
        <w:tabs>
          <w:tab w:val="left" w:pos="709"/>
        </w:tabs>
        <w:ind w:left="850" w:right="899"/>
        <w:jc w:val="both"/>
        <w:rPr>
          <w:rFonts w:ascii="Palatino Linotype" w:eastAsia="Palatino Linotype" w:hAnsi="Palatino Linotype" w:cs="Palatino Linotype"/>
          <w:i/>
          <w:sz w:val="22"/>
          <w:szCs w:val="22"/>
        </w:rPr>
      </w:pPr>
      <w:r w:rsidRPr="00614B94">
        <w:rPr>
          <w:rFonts w:ascii="Palatino Linotype" w:eastAsia="Palatino Linotype" w:hAnsi="Palatino Linotype" w:cs="Palatino Linotype"/>
          <w:i/>
          <w:sz w:val="22"/>
          <w:szCs w:val="22"/>
        </w:rPr>
        <w:t xml:space="preserve">El soporte documental donde consten las certificaciones de los Titulares de la administración pública Municipal del </w:t>
      </w:r>
      <w:r w:rsidRPr="00614B94">
        <w:rPr>
          <w:rFonts w:ascii="Palatino Linotype" w:eastAsia="Palatino Linotype" w:hAnsi="Palatino Linotype" w:cs="Palatino Linotype"/>
          <w:b/>
          <w:i/>
          <w:sz w:val="22"/>
          <w:szCs w:val="22"/>
        </w:rPr>
        <w:t>SUJETO OBLIGADO</w:t>
      </w:r>
      <w:r w:rsidR="002615BD" w:rsidRPr="00614B94">
        <w:rPr>
          <w:rFonts w:ascii="Palatino Linotype" w:eastAsia="Palatino Linotype" w:hAnsi="Palatino Linotype" w:cs="Palatino Linotype"/>
          <w:b/>
          <w:i/>
          <w:sz w:val="22"/>
          <w:szCs w:val="22"/>
        </w:rPr>
        <w:t>,</w:t>
      </w:r>
      <w:r w:rsidRPr="00614B94">
        <w:rPr>
          <w:rFonts w:ascii="Palatino Linotype" w:eastAsia="Palatino Linotype" w:hAnsi="Palatino Linotype" w:cs="Palatino Linotype"/>
          <w:i/>
          <w:sz w:val="22"/>
          <w:szCs w:val="22"/>
        </w:rPr>
        <w:t xml:space="preserve"> al uno de marzo de dos mil veintidós. </w:t>
      </w:r>
    </w:p>
    <w:p w14:paraId="517F3B36" w14:textId="77777777" w:rsidR="009E6893" w:rsidRPr="00614B94" w:rsidRDefault="009E6893">
      <w:pPr>
        <w:tabs>
          <w:tab w:val="left" w:pos="709"/>
        </w:tabs>
        <w:ind w:left="850" w:right="899"/>
        <w:jc w:val="both"/>
        <w:rPr>
          <w:rFonts w:ascii="Palatino Linotype" w:eastAsia="Palatino Linotype" w:hAnsi="Palatino Linotype" w:cs="Palatino Linotype"/>
          <w:i/>
          <w:sz w:val="22"/>
          <w:szCs w:val="22"/>
        </w:rPr>
      </w:pPr>
    </w:p>
    <w:p w14:paraId="190F66AE" w14:textId="77777777" w:rsidR="009E6893" w:rsidRPr="00614B94" w:rsidRDefault="00DD198A">
      <w:pPr>
        <w:tabs>
          <w:tab w:val="left" w:pos="709"/>
        </w:tabs>
        <w:ind w:left="850" w:right="899"/>
        <w:jc w:val="both"/>
        <w:rPr>
          <w:rFonts w:ascii="Palatino Linotype" w:eastAsia="Palatino Linotype" w:hAnsi="Palatino Linotype" w:cs="Palatino Linotype"/>
          <w:i/>
          <w:sz w:val="20"/>
          <w:szCs w:val="20"/>
        </w:rPr>
      </w:pPr>
      <w:r w:rsidRPr="00614B94">
        <w:rPr>
          <w:rFonts w:ascii="Palatino Linotype" w:eastAsia="Palatino Linotype" w:hAnsi="Palatino Linotype" w:cs="Palatino Linotype"/>
          <w:i/>
          <w:sz w:val="20"/>
          <w:szCs w:val="20"/>
        </w:rPr>
        <w:t xml:space="preserve">Debiendo notificar al </w:t>
      </w:r>
      <w:r w:rsidRPr="00614B94">
        <w:rPr>
          <w:rFonts w:ascii="Palatino Linotype" w:eastAsia="Palatino Linotype" w:hAnsi="Palatino Linotype" w:cs="Palatino Linotype"/>
          <w:b/>
          <w:i/>
          <w:sz w:val="20"/>
          <w:szCs w:val="20"/>
        </w:rPr>
        <w:t>RECURRENTE</w:t>
      </w:r>
      <w:r w:rsidRPr="00614B94">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E3CFEA9" w14:textId="77777777" w:rsidR="009E6893" w:rsidRPr="00614B94" w:rsidRDefault="00DD198A">
      <w:pPr>
        <w:tabs>
          <w:tab w:val="left" w:pos="709"/>
        </w:tabs>
        <w:ind w:left="850" w:right="899"/>
        <w:jc w:val="both"/>
        <w:rPr>
          <w:rFonts w:ascii="Palatino Linotype" w:eastAsia="Palatino Linotype" w:hAnsi="Palatino Linotype" w:cs="Palatino Linotype"/>
          <w:i/>
          <w:sz w:val="20"/>
          <w:szCs w:val="20"/>
        </w:rPr>
      </w:pPr>
      <w:r w:rsidRPr="00614B94">
        <w:rPr>
          <w:rFonts w:ascii="Palatino Linotype" w:eastAsia="Palatino Linotype" w:hAnsi="Palatino Linotype" w:cs="Palatino Linotype"/>
          <w:i/>
          <w:sz w:val="20"/>
          <w:szCs w:val="20"/>
        </w:rPr>
        <w:lastRenderedPageBreak/>
        <w:t xml:space="preserve">En caso de no contar con dicha certificación </w:t>
      </w:r>
      <w:r w:rsidR="00662605" w:rsidRPr="00614B94">
        <w:rPr>
          <w:rFonts w:ascii="Palatino Linotype" w:eastAsia="Palatino Linotype" w:hAnsi="Palatino Linotype" w:cs="Palatino Linotype"/>
          <w:i/>
          <w:sz w:val="20"/>
          <w:szCs w:val="20"/>
        </w:rPr>
        <w:t>porque</w:t>
      </w:r>
      <w:r w:rsidRPr="00614B94">
        <w:rPr>
          <w:rFonts w:ascii="Palatino Linotype" w:eastAsia="Palatino Linotype" w:hAnsi="Palatino Linotype" w:cs="Palatino Linotype"/>
          <w:i/>
          <w:sz w:val="20"/>
          <w:szCs w:val="20"/>
        </w:rPr>
        <w:t xml:space="preserve"> a la fecha de la solicitud aún se encuentra en el plazo para acreditarla, deberá hacérselo saber a LA RECURRENTE de forma fundada y motivada. De lo contrario, deberá emitir el acuerdo de inexistencia de la información solicitada. </w:t>
      </w:r>
    </w:p>
    <w:p w14:paraId="650286B7" w14:textId="77777777" w:rsidR="009E6893" w:rsidRPr="00614B94" w:rsidRDefault="009E6893">
      <w:pPr>
        <w:spacing w:line="360" w:lineRule="auto"/>
        <w:jc w:val="both"/>
        <w:rPr>
          <w:rFonts w:ascii="Palatino Linotype" w:eastAsia="Palatino Linotype" w:hAnsi="Palatino Linotype" w:cs="Palatino Linotype"/>
        </w:rPr>
      </w:pPr>
    </w:p>
    <w:p w14:paraId="405F62F3" w14:textId="77777777" w:rsidR="006A01EA" w:rsidRPr="00614B94" w:rsidRDefault="006A01EA" w:rsidP="006A01EA">
      <w:pPr>
        <w:tabs>
          <w:tab w:val="left" w:pos="709"/>
        </w:tabs>
        <w:spacing w:line="360" w:lineRule="auto"/>
        <w:ind w:right="51"/>
        <w:jc w:val="both"/>
        <w:rPr>
          <w:rFonts w:ascii="Palatino Linotype" w:hAnsi="Palatino Linotype"/>
          <w:color w:val="000000" w:themeColor="text1"/>
          <w:shd w:val="clear" w:color="auto" w:fill="FFFFFF"/>
        </w:rPr>
      </w:pPr>
      <w:r w:rsidRPr="00614B94">
        <w:rPr>
          <w:rFonts w:ascii="Palatino Linotype" w:hAnsi="Palatino Linotype"/>
          <w:b/>
          <w:color w:val="000000" w:themeColor="text1"/>
          <w:sz w:val="28"/>
          <w:szCs w:val="28"/>
          <w:shd w:val="clear" w:color="auto" w:fill="FFFFFF"/>
        </w:rPr>
        <w:t>TERCERO.</w:t>
      </w:r>
      <w:r w:rsidRPr="00614B94">
        <w:rPr>
          <w:rFonts w:ascii="Palatino Linotype" w:hAnsi="Palatino Linotype"/>
          <w:b/>
          <w:color w:val="000000" w:themeColor="text1"/>
          <w:shd w:val="clear" w:color="auto" w:fill="FFFFFF"/>
        </w:rPr>
        <w:t> </w:t>
      </w:r>
      <w:r w:rsidRPr="00614B94">
        <w:rPr>
          <w:rFonts w:ascii="Palatino Linotype" w:hAnsi="Palatino Linotype"/>
          <w:b/>
          <w:color w:val="000000" w:themeColor="text1"/>
          <w:lang w:eastAsia="es-ES_tradnl"/>
        </w:rPr>
        <w:t xml:space="preserve">Notifíquese </w:t>
      </w:r>
      <w:r w:rsidRPr="00614B94">
        <w:rPr>
          <w:rFonts w:ascii="Palatino Linotype" w:hAnsi="Palatino Linotype"/>
          <w:color w:val="000000" w:themeColor="text1"/>
          <w:lang w:eastAsia="es-ES_tradnl"/>
        </w:rPr>
        <w:t xml:space="preserve">mediante </w:t>
      </w:r>
      <w:r w:rsidRPr="00614B94">
        <w:rPr>
          <w:rFonts w:ascii="Palatino Linotype" w:hAnsi="Palatino Linotype" w:cs="Arial"/>
          <w:color w:val="000000" w:themeColor="text1"/>
        </w:rPr>
        <w:t>Sistema de Acceso a la Información Mexiquense</w:t>
      </w:r>
      <w:r w:rsidRPr="00614B94">
        <w:rPr>
          <w:rFonts w:ascii="Palatino Linotype" w:hAnsi="Palatino Linotype"/>
          <w:color w:val="000000" w:themeColor="text1"/>
          <w:lang w:eastAsia="es-ES_tradnl"/>
        </w:rPr>
        <w:t xml:space="preserve"> </w:t>
      </w:r>
      <w:r w:rsidRPr="00614B94">
        <w:rPr>
          <w:rFonts w:ascii="Palatino Linotype" w:hAnsi="Palatino Linotype"/>
          <w:color w:val="000000" w:themeColor="text1"/>
          <w:shd w:val="clear" w:color="auto" w:fill="FFFFFF"/>
        </w:rPr>
        <w:t>al Titular de la Unidad de Transparencia del</w:t>
      </w:r>
      <w:r w:rsidRPr="00614B94">
        <w:rPr>
          <w:rFonts w:ascii="Palatino Linotype" w:hAnsi="Palatino Linotype"/>
          <w:b/>
          <w:color w:val="000000" w:themeColor="text1"/>
          <w:shd w:val="clear" w:color="auto" w:fill="FFFFFF"/>
        </w:rPr>
        <w:t> SUJETO OBLIGADO</w:t>
      </w:r>
      <w:r w:rsidRPr="00614B94">
        <w:rPr>
          <w:rFonts w:ascii="Palatino Linotype" w:hAnsi="Palatino Linotype"/>
          <w:color w:val="000000" w:themeColor="text1"/>
          <w:shd w:val="clear" w:color="auto" w:fill="FFFFFF"/>
        </w:rPr>
        <w:t xml:space="preserve">, para que conforme a los artículos 186, último párrafo y 189, párrafo segundo de la Ley de </w:t>
      </w:r>
      <w:r w:rsidRPr="00614B94">
        <w:rPr>
          <w:rFonts w:ascii="Palatino Linotype" w:hAnsi="Palatino Linotype" w:cs="Arial"/>
          <w:color w:val="000000" w:themeColor="text1"/>
        </w:rPr>
        <w:t>Transparencia</w:t>
      </w:r>
      <w:r w:rsidRPr="00614B94">
        <w:rPr>
          <w:rFonts w:ascii="Palatino Linotype" w:hAnsi="Palatino Linotype"/>
          <w:color w:val="000000" w:themeColor="text1"/>
          <w:shd w:val="clear" w:color="auto" w:fill="FFFFFF"/>
        </w:rPr>
        <w:t xml:space="preserve"> y Acceso a la Información Pública del Estado de México y Municipios, dé </w:t>
      </w:r>
      <w:r w:rsidRPr="00614B94">
        <w:rPr>
          <w:rFonts w:ascii="Palatino Linotype" w:hAnsi="Palatino Linotype" w:cs="Arial"/>
          <w:color w:val="000000" w:themeColor="text1"/>
        </w:rPr>
        <w:t>cumplimiento</w:t>
      </w:r>
      <w:r w:rsidRPr="00614B94">
        <w:rPr>
          <w:rFonts w:ascii="Palatino Linotype" w:hAnsi="Palatino Linotype"/>
          <w:color w:val="000000" w:themeColor="text1"/>
          <w:shd w:val="clear" w:color="auto" w:fill="FFFFFF"/>
        </w:rPr>
        <w:t xml:space="preserve"> a lo ordenado dentro del plazo de diez días hábiles, debiendo </w:t>
      </w:r>
      <w:r w:rsidRPr="00614B94">
        <w:rPr>
          <w:rFonts w:ascii="Palatino Linotype" w:hAnsi="Palatino Linotype" w:cs="Arial"/>
          <w:color w:val="000000" w:themeColor="text1"/>
        </w:rPr>
        <w:t>informar</w:t>
      </w:r>
      <w:r w:rsidRPr="00614B94">
        <w:rPr>
          <w:rFonts w:ascii="Palatino Linotype" w:hAnsi="Palatino Linotype"/>
          <w:color w:val="000000" w:themeColor="text1"/>
          <w:shd w:val="clear" w:color="auto" w:fill="FFFFFF"/>
        </w:rPr>
        <w:t xml:space="preserve"> a este Instituto en un plazo </w:t>
      </w:r>
      <w:r w:rsidRPr="00614B94">
        <w:rPr>
          <w:rFonts w:ascii="Palatino Linotype" w:hAnsi="Palatino Linotype"/>
          <w:color w:val="000000" w:themeColor="text1"/>
          <w:lang w:eastAsia="es-ES_tradnl"/>
        </w:rPr>
        <w:t>de</w:t>
      </w:r>
      <w:r w:rsidRPr="00614B94">
        <w:rPr>
          <w:rFonts w:ascii="Palatino Linotype" w:hAnsi="Palatino Linotype"/>
          <w:color w:val="000000" w:themeColor="text1"/>
          <w:shd w:val="clear" w:color="auto" w:fill="FFFFFF"/>
        </w:rPr>
        <w:t xml:space="preserve"> tres días hábiles siguientes sobre el cumplimiento dado a la presente resolución.</w:t>
      </w:r>
    </w:p>
    <w:p w14:paraId="2663E8C2" w14:textId="77777777" w:rsidR="006A01EA" w:rsidRPr="00614B94" w:rsidRDefault="006A01EA" w:rsidP="006A01EA">
      <w:pPr>
        <w:spacing w:line="360" w:lineRule="auto"/>
        <w:ind w:right="49"/>
        <w:jc w:val="both"/>
        <w:rPr>
          <w:rFonts w:ascii="Palatino Linotype" w:hAnsi="Palatino Linotype"/>
          <w:b/>
          <w:color w:val="000000" w:themeColor="text1"/>
          <w:shd w:val="clear" w:color="auto" w:fill="FFFFFF"/>
        </w:rPr>
      </w:pPr>
    </w:p>
    <w:p w14:paraId="61E52434" w14:textId="77777777" w:rsidR="006A01EA" w:rsidRPr="00614B94" w:rsidRDefault="006A01EA" w:rsidP="006A01EA">
      <w:pPr>
        <w:tabs>
          <w:tab w:val="left" w:pos="709"/>
        </w:tabs>
        <w:spacing w:line="360" w:lineRule="auto"/>
        <w:ind w:right="51"/>
        <w:jc w:val="both"/>
        <w:rPr>
          <w:rFonts w:ascii="Palatino Linotype" w:hAnsi="Palatino Linotype"/>
          <w:b/>
          <w:color w:val="000000" w:themeColor="text1"/>
          <w:szCs w:val="17"/>
          <w:lang w:eastAsia="es-ES_tradnl"/>
        </w:rPr>
      </w:pPr>
      <w:r w:rsidRPr="00614B94">
        <w:rPr>
          <w:rFonts w:ascii="Palatino Linotype" w:hAnsi="Palatino Linotype" w:cs="Arial"/>
          <w:b/>
          <w:bCs/>
          <w:color w:val="000000" w:themeColor="text1"/>
          <w:sz w:val="28"/>
        </w:rPr>
        <w:t>CUARTO.</w:t>
      </w:r>
      <w:r w:rsidRPr="00614B94">
        <w:rPr>
          <w:rFonts w:ascii="Palatino Linotype" w:hAnsi="Palatino Linotype"/>
          <w:color w:val="000000" w:themeColor="text1"/>
          <w:szCs w:val="17"/>
          <w:lang w:eastAsia="es-ES_tradnl"/>
        </w:rPr>
        <w:t xml:space="preserve"> </w:t>
      </w:r>
      <w:r w:rsidRPr="00614B94">
        <w:rPr>
          <w:rFonts w:ascii="Palatino Linotype" w:hAnsi="Palatino Linotype"/>
          <w:b/>
          <w:color w:val="000000" w:themeColor="text1"/>
          <w:szCs w:val="17"/>
          <w:lang w:eastAsia="es-ES_tradnl"/>
        </w:rPr>
        <w:t>Notifíquese</w:t>
      </w:r>
      <w:r w:rsidRPr="00614B94">
        <w:rPr>
          <w:rFonts w:ascii="Palatino Linotype" w:hAnsi="Palatino Linotype"/>
          <w:color w:val="000000" w:themeColor="text1"/>
          <w:szCs w:val="17"/>
          <w:lang w:eastAsia="es-ES_tradnl"/>
        </w:rPr>
        <w:t xml:space="preserve"> a </w:t>
      </w:r>
      <w:r w:rsidRPr="00614B94">
        <w:rPr>
          <w:rFonts w:ascii="Palatino Linotype" w:hAnsi="Palatino Linotype"/>
          <w:b/>
          <w:color w:val="000000" w:themeColor="text1"/>
          <w:szCs w:val="17"/>
          <w:lang w:eastAsia="es-ES_tradnl"/>
        </w:rPr>
        <w:t>LA</w:t>
      </w:r>
      <w:r w:rsidRPr="00614B94">
        <w:rPr>
          <w:rFonts w:ascii="Palatino Linotype" w:hAnsi="Palatino Linotype"/>
          <w:color w:val="000000" w:themeColor="text1"/>
          <w:szCs w:val="17"/>
          <w:lang w:eastAsia="es-ES_tradnl"/>
        </w:rPr>
        <w:t xml:space="preserve"> </w:t>
      </w:r>
      <w:r w:rsidRPr="00614B94">
        <w:rPr>
          <w:rFonts w:ascii="Palatino Linotype" w:hAnsi="Palatino Linotype"/>
          <w:b/>
          <w:color w:val="000000" w:themeColor="text1"/>
          <w:szCs w:val="17"/>
          <w:lang w:eastAsia="es-ES_tradnl"/>
        </w:rPr>
        <w:t>RECURRENTE</w:t>
      </w:r>
      <w:r w:rsidRPr="00614B94">
        <w:rPr>
          <w:rFonts w:ascii="Palatino Linotype" w:hAnsi="Palatino Linotype"/>
          <w:color w:val="000000" w:themeColor="text1"/>
          <w:szCs w:val="17"/>
          <w:lang w:eastAsia="es-ES_tradnl"/>
        </w:rPr>
        <w:t xml:space="preserve"> la presente resolución vía </w:t>
      </w:r>
      <w:r w:rsidRPr="00614B94">
        <w:rPr>
          <w:rFonts w:ascii="Palatino Linotype" w:hAnsi="Palatino Linotype" w:cs="Arial"/>
          <w:color w:val="000000" w:themeColor="text1"/>
        </w:rPr>
        <w:t xml:space="preserve">Sistema de Acceso a la Información Mexiquense </w:t>
      </w:r>
      <w:r w:rsidRPr="00614B94">
        <w:rPr>
          <w:rFonts w:ascii="Palatino Linotype" w:hAnsi="Palatino Linotype" w:cs="Arial"/>
          <w:b/>
          <w:bCs/>
          <w:color w:val="000000" w:themeColor="text1"/>
        </w:rPr>
        <w:t>SAIMEX</w:t>
      </w:r>
      <w:r w:rsidRPr="00614B94">
        <w:rPr>
          <w:rFonts w:ascii="Palatino Linotype" w:hAnsi="Palatino Linotype" w:cs="Arial"/>
          <w:color w:val="000000" w:themeColor="text1"/>
        </w:rPr>
        <w:t>.</w:t>
      </w:r>
    </w:p>
    <w:p w14:paraId="2EAAD4E7" w14:textId="77777777" w:rsidR="006A01EA" w:rsidRPr="00614B94" w:rsidRDefault="006A01EA" w:rsidP="006A01E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AB67EFA" w14:textId="77777777" w:rsidR="006A01EA" w:rsidRPr="00614B94" w:rsidRDefault="006A01EA" w:rsidP="006A01EA">
      <w:pPr>
        <w:tabs>
          <w:tab w:val="left" w:pos="709"/>
        </w:tabs>
        <w:spacing w:line="360" w:lineRule="auto"/>
        <w:ind w:right="51"/>
        <w:jc w:val="both"/>
        <w:rPr>
          <w:rFonts w:ascii="Palatino Linotype" w:hAnsi="Palatino Linotype"/>
          <w:color w:val="000000" w:themeColor="text1"/>
          <w:szCs w:val="17"/>
          <w:lang w:eastAsia="es-ES_tradnl"/>
        </w:rPr>
      </w:pPr>
      <w:r w:rsidRPr="00614B94">
        <w:rPr>
          <w:rFonts w:ascii="Palatino Linotype" w:hAnsi="Palatino Linotype" w:cs="Arial"/>
          <w:b/>
          <w:bCs/>
          <w:color w:val="000000" w:themeColor="text1"/>
          <w:sz w:val="28"/>
        </w:rPr>
        <w:t>QUINTO.</w:t>
      </w:r>
      <w:r w:rsidRPr="00614B94">
        <w:rPr>
          <w:rFonts w:ascii="Palatino Linotype" w:hAnsi="Palatino Linotype"/>
          <w:color w:val="000000" w:themeColor="text1"/>
          <w:szCs w:val="17"/>
          <w:lang w:eastAsia="es-ES_tradnl"/>
        </w:rPr>
        <w:t xml:space="preserve"> Hágase del conocimiento a </w:t>
      </w:r>
      <w:r w:rsidRPr="00614B94">
        <w:rPr>
          <w:rFonts w:ascii="Palatino Linotype" w:hAnsi="Palatino Linotype"/>
          <w:b/>
          <w:color w:val="000000" w:themeColor="text1"/>
          <w:szCs w:val="17"/>
          <w:lang w:eastAsia="es-ES_tradnl"/>
        </w:rPr>
        <w:t>LA</w:t>
      </w:r>
      <w:r w:rsidRPr="00614B94">
        <w:rPr>
          <w:rFonts w:ascii="Palatino Linotype" w:hAnsi="Palatino Linotype"/>
          <w:color w:val="000000" w:themeColor="text1"/>
          <w:szCs w:val="17"/>
          <w:lang w:eastAsia="es-ES_tradnl"/>
        </w:rPr>
        <w:t xml:space="preserve"> </w:t>
      </w:r>
      <w:r w:rsidRPr="00614B94">
        <w:rPr>
          <w:rFonts w:ascii="Palatino Linotype" w:hAnsi="Palatino Linotype"/>
          <w:b/>
          <w:color w:val="000000" w:themeColor="text1"/>
          <w:szCs w:val="17"/>
          <w:lang w:eastAsia="es-ES_tradnl"/>
        </w:rPr>
        <w:t>RECURRENTE</w:t>
      </w:r>
      <w:r w:rsidRPr="00614B9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6322D96" w14:textId="77777777" w:rsidR="006A01EA" w:rsidRPr="00614B94" w:rsidRDefault="006A01EA" w:rsidP="006A01EA">
      <w:pPr>
        <w:tabs>
          <w:tab w:val="left" w:pos="709"/>
        </w:tabs>
        <w:spacing w:line="360" w:lineRule="auto"/>
        <w:ind w:right="51"/>
        <w:jc w:val="both"/>
        <w:rPr>
          <w:rFonts w:ascii="Palatino Linotype" w:hAnsi="Palatino Linotype"/>
          <w:b/>
          <w:color w:val="000000" w:themeColor="text1"/>
          <w:sz w:val="28"/>
          <w:szCs w:val="28"/>
          <w:lang w:eastAsia="es-ES_tradnl"/>
        </w:rPr>
      </w:pPr>
    </w:p>
    <w:p w14:paraId="7E0BBB7D" w14:textId="77777777" w:rsidR="006A01EA" w:rsidRPr="00614B94" w:rsidRDefault="006A01EA" w:rsidP="006A01EA">
      <w:pPr>
        <w:tabs>
          <w:tab w:val="left" w:pos="709"/>
        </w:tabs>
        <w:spacing w:line="360" w:lineRule="auto"/>
        <w:ind w:right="51"/>
        <w:jc w:val="both"/>
        <w:rPr>
          <w:rFonts w:ascii="Palatino Linotype" w:hAnsi="Palatino Linotype"/>
          <w:color w:val="000000" w:themeColor="text1"/>
          <w:szCs w:val="17"/>
          <w:lang w:eastAsia="es-ES_tradnl"/>
        </w:rPr>
      </w:pPr>
      <w:r w:rsidRPr="00614B94">
        <w:rPr>
          <w:rFonts w:ascii="Palatino Linotype" w:hAnsi="Palatino Linotype"/>
          <w:b/>
          <w:color w:val="000000" w:themeColor="text1"/>
          <w:sz w:val="28"/>
          <w:szCs w:val="28"/>
          <w:lang w:eastAsia="es-ES_tradnl"/>
        </w:rPr>
        <w:t>SEXTO.</w:t>
      </w:r>
      <w:r w:rsidRPr="00614B9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614B94">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7492145F" w14:textId="77777777" w:rsidR="009E6893" w:rsidRPr="00614B94" w:rsidRDefault="009E6893">
      <w:pPr>
        <w:spacing w:line="360" w:lineRule="auto"/>
        <w:jc w:val="both"/>
        <w:rPr>
          <w:rFonts w:ascii="Palatino Linotype" w:eastAsia="Palatino Linotype" w:hAnsi="Palatino Linotype" w:cs="Palatino Linotype"/>
        </w:rPr>
      </w:pPr>
    </w:p>
    <w:p w14:paraId="1CAE798C" w14:textId="77777777" w:rsidR="004B1995" w:rsidRPr="00614B94" w:rsidRDefault="004B1995">
      <w:pPr>
        <w:spacing w:line="360" w:lineRule="auto"/>
        <w:jc w:val="both"/>
        <w:rPr>
          <w:rFonts w:ascii="Palatino Linotype" w:eastAsia="Palatino Linotype" w:hAnsi="Palatino Linotype" w:cs="Palatino Linotype"/>
        </w:rPr>
      </w:pPr>
      <w:r w:rsidRPr="00614B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4B0E96C8" w14:textId="6D096682" w:rsidR="009E6893" w:rsidRDefault="00DD198A">
      <w:pPr>
        <w:spacing w:line="360" w:lineRule="auto"/>
        <w:jc w:val="both"/>
        <w:rPr>
          <w:rFonts w:ascii="Palatino Linotype" w:eastAsia="Palatino Linotype" w:hAnsi="Palatino Linotype" w:cs="Palatino Linotype"/>
          <w:sz w:val="14"/>
          <w:szCs w:val="14"/>
        </w:rPr>
      </w:pPr>
      <w:r w:rsidRPr="00614B94">
        <w:rPr>
          <w:rFonts w:ascii="Palatino Linotype" w:eastAsia="Palatino Linotype" w:hAnsi="Palatino Linotype" w:cs="Palatino Linotype"/>
          <w:sz w:val="14"/>
          <w:szCs w:val="14"/>
        </w:rPr>
        <w:t>SCMM/BLA/DEMF/PMRE</w:t>
      </w:r>
    </w:p>
    <w:p w14:paraId="09BB4B54" w14:textId="77777777" w:rsidR="009E6893" w:rsidRDefault="00DD198A">
      <w:pPr>
        <w:rPr>
          <w:rFonts w:ascii="Palatino Linotype" w:eastAsia="Palatino Linotype" w:hAnsi="Palatino Linotype" w:cs="Palatino Linotype"/>
        </w:rPr>
      </w:pPr>
      <w:r>
        <w:br w:type="page"/>
      </w:r>
    </w:p>
    <w:p w14:paraId="714592BB" w14:textId="77777777" w:rsidR="009E6893" w:rsidRDefault="009E6893">
      <w:pPr>
        <w:spacing w:line="360" w:lineRule="auto"/>
        <w:jc w:val="both"/>
        <w:rPr>
          <w:rFonts w:ascii="Palatino Linotype" w:eastAsia="Palatino Linotype" w:hAnsi="Palatino Linotype" w:cs="Palatino Linotype"/>
        </w:rPr>
      </w:pPr>
    </w:p>
    <w:p w14:paraId="151AF923" w14:textId="77777777" w:rsidR="009E6893" w:rsidRDefault="009E6893">
      <w:pPr>
        <w:spacing w:line="360" w:lineRule="auto"/>
        <w:jc w:val="both"/>
        <w:rPr>
          <w:rFonts w:ascii="Palatino Linotype" w:eastAsia="Palatino Linotype" w:hAnsi="Palatino Linotype" w:cs="Palatino Linotype"/>
        </w:rPr>
      </w:pPr>
    </w:p>
    <w:p w14:paraId="46D46817" w14:textId="77777777" w:rsidR="009E6893" w:rsidRDefault="009E6893">
      <w:pPr>
        <w:spacing w:line="360" w:lineRule="auto"/>
        <w:jc w:val="both"/>
        <w:rPr>
          <w:rFonts w:ascii="Palatino Linotype" w:eastAsia="Palatino Linotype" w:hAnsi="Palatino Linotype" w:cs="Palatino Linotype"/>
        </w:rPr>
      </w:pPr>
    </w:p>
    <w:p w14:paraId="5DAA12EB" w14:textId="77777777" w:rsidR="009E6893" w:rsidRDefault="009E6893">
      <w:pPr>
        <w:spacing w:line="360" w:lineRule="auto"/>
        <w:jc w:val="both"/>
        <w:rPr>
          <w:rFonts w:ascii="Palatino Linotype" w:eastAsia="Palatino Linotype" w:hAnsi="Palatino Linotype" w:cs="Palatino Linotype"/>
        </w:rPr>
      </w:pPr>
    </w:p>
    <w:p w14:paraId="60A4B608" w14:textId="77777777" w:rsidR="009E6893" w:rsidRDefault="009E6893">
      <w:pPr>
        <w:spacing w:line="360" w:lineRule="auto"/>
        <w:jc w:val="both"/>
        <w:rPr>
          <w:rFonts w:ascii="Palatino Linotype" w:eastAsia="Palatino Linotype" w:hAnsi="Palatino Linotype" w:cs="Palatino Linotype"/>
        </w:rPr>
      </w:pPr>
    </w:p>
    <w:p w14:paraId="29E849FE" w14:textId="77777777" w:rsidR="009E6893" w:rsidRDefault="009E6893">
      <w:pPr>
        <w:spacing w:line="360" w:lineRule="auto"/>
        <w:jc w:val="both"/>
        <w:rPr>
          <w:rFonts w:ascii="Palatino Linotype" w:eastAsia="Palatino Linotype" w:hAnsi="Palatino Linotype" w:cs="Palatino Linotype"/>
        </w:rPr>
      </w:pPr>
    </w:p>
    <w:p w14:paraId="4F6B5D21" w14:textId="77777777" w:rsidR="009E6893" w:rsidRDefault="009E6893">
      <w:pPr>
        <w:spacing w:line="360" w:lineRule="auto"/>
        <w:jc w:val="both"/>
        <w:rPr>
          <w:rFonts w:ascii="Palatino Linotype" w:eastAsia="Palatino Linotype" w:hAnsi="Palatino Linotype" w:cs="Palatino Linotype"/>
        </w:rPr>
      </w:pPr>
    </w:p>
    <w:p w14:paraId="64E09C3E" w14:textId="77777777" w:rsidR="009E6893" w:rsidRDefault="009E6893">
      <w:pPr>
        <w:spacing w:line="360" w:lineRule="auto"/>
        <w:jc w:val="both"/>
        <w:rPr>
          <w:rFonts w:ascii="Palatino Linotype" w:eastAsia="Palatino Linotype" w:hAnsi="Palatino Linotype" w:cs="Palatino Linotype"/>
        </w:rPr>
      </w:pPr>
    </w:p>
    <w:p w14:paraId="17D6EDE3" w14:textId="77777777" w:rsidR="009E6893" w:rsidRDefault="009E6893">
      <w:pPr>
        <w:spacing w:line="360" w:lineRule="auto"/>
        <w:jc w:val="both"/>
        <w:rPr>
          <w:rFonts w:ascii="Palatino Linotype" w:eastAsia="Palatino Linotype" w:hAnsi="Palatino Linotype" w:cs="Palatino Linotype"/>
        </w:rPr>
      </w:pPr>
    </w:p>
    <w:p w14:paraId="2B70DE81" w14:textId="77777777" w:rsidR="009E6893" w:rsidRDefault="009E6893">
      <w:pPr>
        <w:spacing w:line="360" w:lineRule="auto"/>
        <w:jc w:val="both"/>
        <w:rPr>
          <w:rFonts w:ascii="Palatino Linotype" w:eastAsia="Palatino Linotype" w:hAnsi="Palatino Linotype" w:cs="Palatino Linotype"/>
        </w:rPr>
      </w:pPr>
    </w:p>
    <w:p w14:paraId="2414C7D1" w14:textId="77777777" w:rsidR="009E6893" w:rsidRDefault="009E6893">
      <w:pPr>
        <w:spacing w:line="360" w:lineRule="auto"/>
        <w:jc w:val="both"/>
        <w:rPr>
          <w:rFonts w:ascii="Palatino Linotype" w:eastAsia="Palatino Linotype" w:hAnsi="Palatino Linotype" w:cs="Palatino Linotype"/>
        </w:rPr>
      </w:pPr>
    </w:p>
    <w:p w14:paraId="4C42654E" w14:textId="77777777" w:rsidR="009E6893" w:rsidRDefault="009E6893">
      <w:pPr>
        <w:spacing w:line="360" w:lineRule="auto"/>
        <w:jc w:val="both"/>
        <w:rPr>
          <w:rFonts w:ascii="Palatino Linotype" w:eastAsia="Palatino Linotype" w:hAnsi="Palatino Linotype" w:cs="Palatino Linotype"/>
        </w:rPr>
      </w:pPr>
    </w:p>
    <w:p w14:paraId="2A354D02" w14:textId="77777777" w:rsidR="009E6893" w:rsidRDefault="009E6893">
      <w:pPr>
        <w:spacing w:line="360" w:lineRule="auto"/>
        <w:jc w:val="both"/>
        <w:rPr>
          <w:rFonts w:ascii="Palatino Linotype" w:eastAsia="Palatino Linotype" w:hAnsi="Palatino Linotype" w:cs="Palatino Linotype"/>
        </w:rPr>
      </w:pPr>
    </w:p>
    <w:p w14:paraId="59D8203D" w14:textId="77777777" w:rsidR="009E6893" w:rsidRDefault="009E6893">
      <w:pPr>
        <w:spacing w:line="360" w:lineRule="auto"/>
        <w:jc w:val="both"/>
        <w:rPr>
          <w:rFonts w:ascii="Palatino Linotype" w:eastAsia="Palatino Linotype" w:hAnsi="Palatino Linotype" w:cs="Palatino Linotype"/>
        </w:rPr>
      </w:pPr>
    </w:p>
    <w:p w14:paraId="5359AE2F" w14:textId="77777777" w:rsidR="009E6893" w:rsidRDefault="009E6893">
      <w:pPr>
        <w:spacing w:line="360" w:lineRule="auto"/>
        <w:jc w:val="both"/>
        <w:rPr>
          <w:rFonts w:ascii="Palatino Linotype" w:eastAsia="Palatino Linotype" w:hAnsi="Palatino Linotype" w:cs="Palatino Linotype"/>
        </w:rPr>
      </w:pPr>
    </w:p>
    <w:p w14:paraId="327C1BBD" w14:textId="77777777" w:rsidR="009E6893" w:rsidRDefault="009E6893">
      <w:pPr>
        <w:spacing w:line="360" w:lineRule="auto"/>
        <w:jc w:val="both"/>
        <w:rPr>
          <w:rFonts w:ascii="Palatino Linotype" w:eastAsia="Palatino Linotype" w:hAnsi="Palatino Linotype" w:cs="Palatino Linotype"/>
        </w:rPr>
      </w:pPr>
    </w:p>
    <w:p w14:paraId="5E40F341" w14:textId="77777777" w:rsidR="009E6893" w:rsidRDefault="009E6893">
      <w:pPr>
        <w:spacing w:line="360" w:lineRule="auto"/>
        <w:jc w:val="both"/>
        <w:rPr>
          <w:rFonts w:ascii="Palatino Linotype" w:eastAsia="Palatino Linotype" w:hAnsi="Palatino Linotype" w:cs="Palatino Linotype"/>
        </w:rPr>
      </w:pPr>
    </w:p>
    <w:p w14:paraId="7CC0FD65" w14:textId="77777777" w:rsidR="009E6893" w:rsidRDefault="009E6893">
      <w:pPr>
        <w:spacing w:line="360" w:lineRule="auto"/>
        <w:jc w:val="both"/>
        <w:rPr>
          <w:rFonts w:ascii="Palatino Linotype" w:eastAsia="Palatino Linotype" w:hAnsi="Palatino Linotype" w:cs="Palatino Linotype"/>
        </w:rPr>
      </w:pPr>
    </w:p>
    <w:sectPr w:rsidR="009E689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8A04" w14:textId="77777777" w:rsidR="004F44FA" w:rsidRDefault="004F44FA">
      <w:r>
        <w:separator/>
      </w:r>
    </w:p>
  </w:endnote>
  <w:endnote w:type="continuationSeparator" w:id="0">
    <w:p w14:paraId="1025AA3B" w14:textId="77777777" w:rsidR="004F44FA" w:rsidRDefault="004F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AA7F" w14:textId="77777777" w:rsidR="009E6893" w:rsidRDefault="00DD198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23F9">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23F9">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F52B" w14:textId="77777777" w:rsidR="009E6893" w:rsidRDefault="00DD198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23F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23F9">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D2B0" w14:textId="77777777" w:rsidR="004F44FA" w:rsidRDefault="004F44FA">
      <w:r>
        <w:separator/>
      </w:r>
    </w:p>
  </w:footnote>
  <w:footnote w:type="continuationSeparator" w:id="0">
    <w:p w14:paraId="5A5B3F76" w14:textId="77777777" w:rsidR="004F44FA" w:rsidRDefault="004F44FA">
      <w:r>
        <w:continuationSeparator/>
      </w:r>
    </w:p>
  </w:footnote>
  <w:footnote w:id="1">
    <w:p w14:paraId="78973E87" w14:textId="77777777" w:rsidR="009E6893" w:rsidRDefault="00DD198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CA79" w14:textId="77777777" w:rsidR="009E6893" w:rsidRDefault="004F44F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C1F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69FF" w14:textId="77777777" w:rsidR="009E6893" w:rsidRDefault="004F44F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316A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5"/>
      <w:tblW w:w="9534" w:type="dxa"/>
      <w:tblInd w:w="-142" w:type="dxa"/>
      <w:tblLayout w:type="fixed"/>
      <w:tblLook w:val="0400" w:firstRow="0" w:lastRow="0" w:firstColumn="0" w:lastColumn="0" w:noHBand="0" w:noVBand="1"/>
    </w:tblPr>
    <w:tblGrid>
      <w:gridCol w:w="3261"/>
      <w:gridCol w:w="2551"/>
      <w:gridCol w:w="3722"/>
    </w:tblGrid>
    <w:tr w:rsidR="009E6893" w14:paraId="3FCB38F9" w14:textId="77777777">
      <w:tc>
        <w:tcPr>
          <w:tcW w:w="3261" w:type="dxa"/>
          <w:vMerge w:val="restart"/>
        </w:tcPr>
        <w:p w14:paraId="348512B6"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65377BB" wp14:editId="0B2524F7">
                <wp:extent cx="1692162" cy="852673"/>
                <wp:effectExtent l="0" t="0" r="0" b="0"/>
                <wp:docPr id="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02B96FF"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34CAE65"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04707/INFOEM/IP/RR/2022</w:t>
          </w:r>
        </w:p>
      </w:tc>
    </w:tr>
    <w:tr w:rsidR="009E6893" w14:paraId="05988156" w14:textId="77777777">
      <w:tc>
        <w:tcPr>
          <w:tcW w:w="3261" w:type="dxa"/>
          <w:vMerge/>
        </w:tcPr>
        <w:p w14:paraId="725591F4" w14:textId="77777777" w:rsidR="009E6893" w:rsidRDefault="009E68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7CD3440"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65A69C4"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9E6893" w14:paraId="06F461F6" w14:textId="77777777">
      <w:trPr>
        <w:trHeight w:val="790"/>
      </w:trPr>
      <w:tc>
        <w:tcPr>
          <w:tcW w:w="3261" w:type="dxa"/>
          <w:vMerge/>
        </w:tcPr>
        <w:p w14:paraId="46A680E8" w14:textId="77777777" w:rsidR="009E6893" w:rsidRDefault="009E68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CAC14C0"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0A50D19"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85EC0CE" w14:textId="77777777" w:rsidR="009E6893" w:rsidRDefault="009E689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D6" w14:textId="77777777" w:rsidR="009E6893" w:rsidRDefault="004F44F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B07D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4"/>
      <w:tblW w:w="9900" w:type="dxa"/>
      <w:tblInd w:w="-833" w:type="dxa"/>
      <w:tblLayout w:type="fixed"/>
      <w:tblLook w:val="0400" w:firstRow="0" w:lastRow="0" w:firstColumn="0" w:lastColumn="0" w:noHBand="0" w:noVBand="1"/>
    </w:tblPr>
    <w:tblGrid>
      <w:gridCol w:w="3805"/>
      <w:gridCol w:w="3000"/>
      <w:gridCol w:w="3095"/>
    </w:tblGrid>
    <w:tr w:rsidR="009E6893" w14:paraId="3B9898A6" w14:textId="77777777">
      <w:tc>
        <w:tcPr>
          <w:tcW w:w="3805" w:type="dxa"/>
          <w:vMerge w:val="restart"/>
          <w:shd w:val="clear" w:color="auto" w:fill="auto"/>
        </w:tcPr>
        <w:p w14:paraId="2799AC54" w14:textId="77777777" w:rsidR="009E6893" w:rsidRDefault="00DD198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7DD0176" wp14:editId="248E0D0C">
                <wp:extent cx="1692162" cy="852673"/>
                <wp:effectExtent l="0" t="0" r="0" b="0"/>
                <wp:docPr id="2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D74E755"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8DB9966"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04707/INFOEM/IP/RR/2022 </w:t>
          </w:r>
        </w:p>
      </w:tc>
    </w:tr>
    <w:tr w:rsidR="009E6893" w14:paraId="5520C2DC" w14:textId="77777777">
      <w:tc>
        <w:tcPr>
          <w:tcW w:w="3805" w:type="dxa"/>
          <w:vMerge/>
          <w:shd w:val="clear" w:color="auto" w:fill="auto"/>
        </w:tcPr>
        <w:p w14:paraId="6824F3CA" w14:textId="77777777" w:rsidR="009E6893" w:rsidRDefault="009E68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A98444"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E441685" w14:textId="0C3CFAAE" w:rsidR="009E6893" w:rsidRDefault="00653B37">
          <w:pPr>
            <w:jc w:val="both"/>
            <w:rPr>
              <w:rFonts w:ascii="Palatino Linotype" w:eastAsia="Palatino Linotype" w:hAnsi="Palatino Linotype" w:cs="Palatino Linotype"/>
              <w:b/>
            </w:rPr>
          </w:pPr>
          <w:r>
            <w:rPr>
              <w:rFonts w:ascii="Palatino Linotype" w:eastAsia="Palatino Linotype" w:hAnsi="Palatino Linotype" w:cs="Palatino Linotype"/>
              <w:b/>
            </w:rPr>
            <w:t>XXXXXX XXXXX XXXXX</w:t>
          </w:r>
        </w:p>
      </w:tc>
    </w:tr>
    <w:tr w:rsidR="009E6893" w14:paraId="452B291E" w14:textId="77777777">
      <w:trPr>
        <w:trHeight w:val="228"/>
      </w:trPr>
      <w:tc>
        <w:tcPr>
          <w:tcW w:w="3805" w:type="dxa"/>
          <w:vMerge/>
          <w:shd w:val="clear" w:color="auto" w:fill="auto"/>
        </w:tcPr>
        <w:p w14:paraId="64E043E4" w14:textId="77777777" w:rsidR="009E6893" w:rsidRDefault="009E68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A997718"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C7A9176"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9E6893" w14:paraId="2AC9A47A" w14:textId="77777777">
      <w:tc>
        <w:tcPr>
          <w:tcW w:w="3805" w:type="dxa"/>
          <w:vMerge/>
          <w:shd w:val="clear" w:color="auto" w:fill="auto"/>
        </w:tcPr>
        <w:p w14:paraId="23D54828" w14:textId="77777777" w:rsidR="009E6893" w:rsidRDefault="009E68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83DDB5B" w14:textId="77777777" w:rsidR="009E6893" w:rsidRDefault="00DD198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08150E13" w14:textId="77777777" w:rsidR="009E6893" w:rsidRDefault="00DD198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4B7B14B" w14:textId="77777777" w:rsidR="009E6893" w:rsidRDefault="009E689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94090"/>
    <w:multiLevelType w:val="multilevel"/>
    <w:tmpl w:val="2556C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3C6424"/>
    <w:multiLevelType w:val="multilevel"/>
    <w:tmpl w:val="2C0EA33A"/>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93"/>
    <w:rsid w:val="002615BD"/>
    <w:rsid w:val="003D2695"/>
    <w:rsid w:val="004B1995"/>
    <w:rsid w:val="004F44FA"/>
    <w:rsid w:val="00614B94"/>
    <w:rsid w:val="00653B37"/>
    <w:rsid w:val="00662605"/>
    <w:rsid w:val="006A01EA"/>
    <w:rsid w:val="006C2FEC"/>
    <w:rsid w:val="0072440D"/>
    <w:rsid w:val="009E6893"/>
    <w:rsid w:val="00A923F9"/>
    <w:rsid w:val="00B53456"/>
    <w:rsid w:val="00DB12DC"/>
    <w:rsid w:val="00DD198A"/>
    <w:rsid w:val="00FE2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816EF"/>
  <w15:docId w15:val="{0DA76F41-AEBD-4B10-B0B2-E21D73A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7"/>
    <w:tblPr>
      <w:tblStyleRowBandSize w:val="1"/>
      <w:tblStyleColBandSize w:val="1"/>
      <w:tblCellMar>
        <w:top w:w="100" w:type="dxa"/>
        <w:left w:w="100" w:type="dxa"/>
        <w:bottom w:w="100" w:type="dxa"/>
        <w:right w:w="100" w:type="dxa"/>
      </w:tblCellMar>
    </w:tblPr>
  </w:style>
  <w:style w:type="table" w:customStyle="1" w:styleId="a0">
    <w:basedOn w:val="TableNormalf7"/>
    <w:tblPr>
      <w:tblStyleRowBandSize w:val="1"/>
      <w:tblStyleColBandSize w:val="1"/>
      <w:tblCellMar>
        <w:left w:w="115" w:type="dxa"/>
        <w:right w:w="115" w:type="dxa"/>
      </w:tblCellMar>
    </w:tblPr>
  </w:style>
  <w:style w:type="table" w:customStyle="1" w:styleId="a1">
    <w:basedOn w:val="TableNormalf7"/>
    <w:tblPr>
      <w:tblStyleRowBandSize w:val="1"/>
      <w:tblStyleColBandSize w:val="1"/>
      <w:tblCellMar>
        <w:left w:w="115" w:type="dxa"/>
        <w:right w:w="115" w:type="dxa"/>
      </w:tblCellMar>
    </w:tblPr>
  </w:style>
  <w:style w:type="table" w:customStyle="1" w:styleId="a2">
    <w:basedOn w:val="TableNormalf7"/>
    <w:tblPr>
      <w:tblStyleRowBandSize w:val="1"/>
      <w:tblStyleColBandSize w:val="1"/>
      <w:tblCellMar>
        <w:left w:w="115" w:type="dxa"/>
        <w:right w:w="115" w:type="dxa"/>
      </w:tblCellMar>
    </w:tblPr>
  </w:style>
  <w:style w:type="table" w:customStyle="1" w:styleId="a3">
    <w:basedOn w:val="TableNormalf7"/>
    <w:tblPr>
      <w:tblStyleRowBandSize w:val="1"/>
      <w:tblStyleColBandSize w:val="1"/>
      <w:tblCellMar>
        <w:left w:w="115" w:type="dxa"/>
        <w:right w:w="115" w:type="dxa"/>
      </w:tblCellMar>
    </w:tblPr>
  </w:style>
  <w:style w:type="table" w:customStyle="1" w:styleId="a4">
    <w:basedOn w:val="TableNormalf7"/>
    <w:tblPr>
      <w:tblStyleRowBandSize w:val="1"/>
      <w:tblStyleColBandSize w:val="1"/>
      <w:tblCellMar>
        <w:left w:w="115" w:type="dxa"/>
        <w:right w:w="115" w:type="dxa"/>
      </w:tblCellMar>
    </w:tblPr>
  </w:style>
  <w:style w:type="table" w:customStyle="1" w:styleId="a5">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7"/>
    <w:tblPr>
      <w:tblStyleRowBandSize w:val="1"/>
      <w:tblStyleColBandSize w:val="1"/>
      <w:tblCellMar>
        <w:left w:w="115" w:type="dxa"/>
        <w:right w:w="115" w:type="dxa"/>
      </w:tblCellMar>
    </w:tblPr>
  </w:style>
  <w:style w:type="table" w:customStyle="1" w:styleId="a7">
    <w:basedOn w:val="TableNormalf7"/>
    <w:tblPr>
      <w:tblStyleRowBandSize w:val="1"/>
      <w:tblStyleColBandSize w:val="1"/>
      <w:tblCellMar>
        <w:left w:w="115" w:type="dxa"/>
        <w:right w:w="115" w:type="dxa"/>
      </w:tblCellMar>
    </w:tblPr>
  </w:style>
  <w:style w:type="table" w:customStyle="1" w:styleId="a8">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6"/>
    <w:tblPr>
      <w:tblStyleRowBandSize w:val="1"/>
      <w:tblStyleColBandSize w:val="1"/>
      <w:tblCellMar>
        <w:left w:w="115" w:type="dxa"/>
        <w:right w:w="115" w:type="dxa"/>
      </w:tblCellMar>
    </w:tblPr>
  </w:style>
  <w:style w:type="table" w:customStyle="1" w:styleId="afff3">
    <w:basedOn w:val="TableNormal6"/>
    <w:tblPr>
      <w:tblStyleRowBandSize w:val="1"/>
      <w:tblStyleColBandSize w:val="1"/>
      <w:tblCellMar>
        <w:top w:w="100" w:type="dxa"/>
        <w:left w:w="100" w:type="dxa"/>
        <w:bottom w:w="100" w:type="dxa"/>
        <w:right w:w="100" w:type="dxa"/>
      </w:tblCellMar>
    </w:tblPr>
  </w:style>
  <w:style w:type="table" w:customStyle="1" w:styleId="a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6"/>
    <w:tblPr>
      <w:tblStyleRowBandSize w:val="1"/>
      <w:tblStyleColBandSize w:val="1"/>
      <w:tblCellMar>
        <w:top w:w="100" w:type="dxa"/>
        <w:left w:w="100" w:type="dxa"/>
        <w:bottom w:w="100" w:type="dxa"/>
        <w:right w:w="100" w:type="dxa"/>
      </w:tblCellMar>
    </w:tblPr>
  </w:style>
  <w:style w:type="table" w:customStyle="1" w:styleId="a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Hss7RpHrw/FLorc3Zudv96r1A==">AMUW2mWRkMxFu9+Vbgvpsd+8hF4iK5BrYmqPsS60KGSOfyFx6RZA3wdoUTVsvJDLCT/XHvbktuNoax4VZafbFn0+ZE4PNkzrB5Kcwt2kY5kvf7Ga1SqaTi4hTYr9u6p+7upTG1WUDUi0wEb8HXlXEdlPnMIPxKB2T6HoNNlOLfbz6PUeNm3SR2XijW2lRtNI7mZb5jVZFU+f7BPHix3bqxAMwMLojs3VzjG6e9CZQugcWjlMmODy/KwCwdtDBP+wJ2jzAJZCF3UF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8724</Words>
  <Characters>47984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8</cp:revision>
  <cp:lastPrinted>2022-06-10T02:17:00Z</cp:lastPrinted>
  <dcterms:created xsi:type="dcterms:W3CDTF">2022-06-03T01:21:00Z</dcterms:created>
  <dcterms:modified xsi:type="dcterms:W3CDTF">2022-06-29T05:12:00Z</dcterms:modified>
</cp:coreProperties>
</file>