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6694C" w14:textId="77777777" w:rsidR="00035854" w:rsidRDefault="001E746A">
      <w:pPr>
        <w:spacing w:before="240" w:after="240"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agosto de dos mil veintidós. </w:t>
      </w:r>
    </w:p>
    <w:p w14:paraId="3A2280A5" w14:textId="67E97FF2"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06099/INFOEM/IP/RR/2022</w:t>
      </w:r>
      <w:r>
        <w:rPr>
          <w:rFonts w:ascii="Palatino Linotype" w:eastAsia="Palatino Linotype" w:hAnsi="Palatino Linotype" w:cs="Palatino Linotype"/>
        </w:rPr>
        <w:t xml:space="preserve">, interpuesto por </w:t>
      </w:r>
      <w:r w:rsidR="00320EAE">
        <w:rPr>
          <w:rFonts w:ascii="Palatino Linotype" w:eastAsia="Palatino Linotype" w:hAnsi="Palatino Linotype" w:cs="Palatino Linotype"/>
          <w:b/>
        </w:rPr>
        <w:t>Xxxx Xxxxx Xxxxxx Xxxxxxx</w:t>
      </w:r>
      <w:r w:rsidR="00320EAE">
        <w:rPr>
          <w:rFonts w:ascii="Palatino Linotype" w:eastAsia="Palatino Linotype" w:hAnsi="Palatino Linotype" w:cs="Palatino Linotype"/>
        </w:rPr>
        <w:t xml:space="preserve">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Chicoloapan,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58AE137B" w14:textId="77777777" w:rsidR="00035854" w:rsidRDefault="001E746A">
      <w:pPr>
        <w:spacing w:before="240" w:after="240" w:line="360" w:lineRule="auto"/>
        <w:jc w:val="center"/>
        <w:rPr>
          <w:rFonts w:ascii="Palatino Linotype" w:eastAsia="Palatino Linotype" w:hAnsi="Palatino Linotype" w:cs="Palatino Linotype"/>
          <w:b/>
          <w:sz w:val="28"/>
          <w:szCs w:val="28"/>
        </w:rPr>
      </w:pPr>
      <w:bookmarkStart w:id="1" w:name="_heading=h.3znysh7" w:colFirst="0" w:colLast="0"/>
      <w:bookmarkEnd w:id="1"/>
      <w:r>
        <w:rPr>
          <w:rFonts w:ascii="Palatino Linotype" w:eastAsia="Palatino Linotype" w:hAnsi="Palatino Linotype" w:cs="Palatino Linotype"/>
          <w:b/>
        </w:rPr>
        <w:t>I. A N T E C E D E N T E S</w:t>
      </w:r>
    </w:p>
    <w:p w14:paraId="292E31D9"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veintiocho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00142/CHICOLOA/IP/2022, </w:t>
      </w:r>
      <w:r>
        <w:rPr>
          <w:rFonts w:ascii="Palatino Linotype" w:eastAsia="Palatino Linotype" w:hAnsi="Palatino Linotype" w:cs="Palatino Linotype"/>
        </w:rPr>
        <w:t xml:space="preserve">mediante la cual requirió la información siguiente: </w:t>
      </w:r>
    </w:p>
    <w:p w14:paraId="6C3B1557" w14:textId="77777777" w:rsidR="00035854" w:rsidRDefault="001E746A">
      <w:pPr>
        <w:spacing w:line="276" w:lineRule="auto"/>
        <w:ind w:left="851" w:right="616"/>
        <w:jc w:val="both"/>
        <w:rPr>
          <w:rFonts w:ascii="Palatino Linotype" w:eastAsia="Palatino Linotype" w:hAnsi="Palatino Linotype" w:cs="Palatino Linotype"/>
          <w:i/>
          <w:sz w:val="22"/>
          <w:szCs w:val="22"/>
        </w:rPr>
      </w:pPr>
      <w:bookmarkStart w:id="2" w:name="_heading=h.gjdgxs" w:colFirst="0" w:colLast="0"/>
      <w:bookmarkEnd w:id="2"/>
      <w:r>
        <w:rPr>
          <w:rFonts w:ascii="Palatino Linotype" w:eastAsia="Palatino Linotype" w:hAnsi="Palatino Linotype" w:cs="Palatino Linotype"/>
          <w:i/>
          <w:sz w:val="22"/>
          <w:szCs w:val="22"/>
        </w:rPr>
        <w:t>“Dictámen Técnico utilizado para derrumbar el inmueble ubicado en sureste de la Plaza de la Constitución s/n, Cabecera Municipal, Chicoloapan, Estado de México, con clave catastral …...”(Sic)</w:t>
      </w:r>
    </w:p>
    <w:p w14:paraId="31AE9DB2" w14:textId="77777777" w:rsidR="00035854" w:rsidRDefault="00035854">
      <w:pPr>
        <w:spacing w:line="276" w:lineRule="auto"/>
        <w:ind w:left="851" w:right="616"/>
        <w:jc w:val="both"/>
        <w:rPr>
          <w:rFonts w:ascii="Palatino Linotype" w:eastAsia="Palatino Linotype" w:hAnsi="Palatino Linotype" w:cs="Palatino Linotype"/>
          <w:b/>
          <w:i/>
          <w:sz w:val="22"/>
          <w:szCs w:val="22"/>
        </w:rPr>
      </w:pPr>
    </w:p>
    <w:p w14:paraId="12E48F82"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p>
    <w:p w14:paraId="65621988" w14:textId="77777777" w:rsidR="00035854" w:rsidRDefault="001E746A">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rPr>
        <w:t>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dieciocho de abril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en los términos siguientes:</w:t>
      </w:r>
    </w:p>
    <w:p w14:paraId="7F7A7628" w14:textId="77777777" w:rsidR="00035854" w:rsidRDefault="00035854">
      <w:pPr>
        <w:spacing w:line="360" w:lineRule="auto"/>
        <w:ind w:left="851" w:right="616"/>
        <w:jc w:val="both"/>
        <w:rPr>
          <w:rFonts w:ascii="Palatino Linotype" w:eastAsia="Palatino Linotype" w:hAnsi="Palatino Linotype" w:cs="Palatino Linotype"/>
          <w:i/>
          <w:sz w:val="22"/>
          <w:szCs w:val="22"/>
        </w:rPr>
      </w:pPr>
    </w:p>
    <w:p w14:paraId="1813D11F" w14:textId="77777777" w:rsidR="00035854" w:rsidRDefault="001E746A">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“…SE HACE DEL CONOCIMIENTO QUE NO </w:t>
      </w:r>
      <w:r>
        <w:rPr>
          <w:rFonts w:ascii="Palatino Linotype" w:eastAsia="Palatino Linotype" w:hAnsi="Palatino Linotype" w:cs="Palatino Linotype"/>
          <w:i/>
          <w:sz w:val="22"/>
          <w:szCs w:val="22"/>
          <w:u w:val="single"/>
        </w:rPr>
        <w:t>SON SUFIENTES LOS DATOS PROPORCIONADOS POR LO QUE ES NECESARIO CONTAR CON LAS COORDENADAS GEOREFERENCIADAS PARA LA UBICACIÓN DEL INMUEBLE</w:t>
      </w:r>
      <w:r>
        <w:rPr>
          <w:rFonts w:ascii="Palatino Linotype" w:eastAsia="Palatino Linotype" w:hAnsi="Palatino Linotype" w:cs="Palatino Linotype"/>
          <w:i/>
          <w:sz w:val="22"/>
          <w:szCs w:val="22"/>
        </w:rPr>
        <w:t>, PARA TENER CERTEZA DEL PREDIO REFERIDO EN LA SOLICITUD DE INFORMACION</w:t>
      </w:r>
      <w:r>
        <w:rPr>
          <w:rFonts w:ascii="Palatino Linotype" w:eastAsia="Palatino Linotype" w:hAnsi="Palatino Linotype" w:cs="Palatino Linotype"/>
          <w:b/>
          <w:i/>
          <w:sz w:val="22"/>
          <w:szCs w:val="22"/>
          <w:u w:val="single"/>
        </w:rPr>
        <w:t>/.”(</w:t>
      </w:r>
      <w:r>
        <w:rPr>
          <w:rFonts w:ascii="Palatino Linotype" w:eastAsia="Palatino Linotype" w:hAnsi="Palatino Linotype" w:cs="Palatino Linotype"/>
          <w:i/>
          <w:sz w:val="22"/>
          <w:szCs w:val="22"/>
        </w:rPr>
        <w:t>Sic)</w:t>
      </w:r>
    </w:p>
    <w:p w14:paraId="4B4A5E04" w14:textId="77777777" w:rsidR="00035854" w:rsidRDefault="00035854">
      <w:pPr>
        <w:ind w:left="851" w:right="900"/>
        <w:jc w:val="both"/>
        <w:rPr>
          <w:rFonts w:ascii="Palatino Linotype" w:eastAsia="Palatino Linotype" w:hAnsi="Palatino Linotype" w:cs="Palatino Linotype"/>
          <w:i/>
          <w:sz w:val="22"/>
          <w:szCs w:val="22"/>
        </w:rPr>
      </w:pPr>
    </w:p>
    <w:p w14:paraId="7F058B6D" w14:textId="77777777" w:rsidR="00035854" w:rsidRDefault="001E746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diecinueve de abril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inconforme con la respuesta, interpuso el recurso de revisión en el que expresó lo siguiente:</w:t>
      </w:r>
    </w:p>
    <w:p w14:paraId="12C2DBD9" w14:textId="77777777" w:rsidR="00035854" w:rsidRDefault="001E746A">
      <w:pPr>
        <w:spacing w:before="240" w:after="240"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5878C210" w14:textId="77777777" w:rsidR="00035854" w:rsidRDefault="00035854">
      <w:pPr>
        <w:spacing w:line="360" w:lineRule="auto"/>
        <w:ind w:left="851" w:right="900"/>
        <w:jc w:val="both"/>
        <w:rPr>
          <w:rFonts w:ascii="Palatino Linotype" w:eastAsia="Palatino Linotype" w:hAnsi="Palatino Linotype" w:cs="Palatino Linotype"/>
          <w:i/>
          <w:sz w:val="2"/>
          <w:szCs w:val="2"/>
        </w:rPr>
      </w:pPr>
    </w:p>
    <w:p w14:paraId="2BB9BC6D" w14:textId="77777777" w:rsidR="00035854" w:rsidRDefault="001E746A">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DE LA AUTORIDAD A LA SOLICITUD DE INFORMACIÓN NO ES PROCEDENTE. "." (Sic)</w:t>
      </w:r>
    </w:p>
    <w:p w14:paraId="0F7E688F" w14:textId="77777777" w:rsidR="00035854" w:rsidRDefault="00035854">
      <w:pPr>
        <w:spacing w:line="360" w:lineRule="auto"/>
        <w:ind w:right="616"/>
        <w:jc w:val="both"/>
        <w:rPr>
          <w:rFonts w:ascii="Palatino Linotype" w:eastAsia="Palatino Linotype" w:hAnsi="Palatino Linotype" w:cs="Palatino Linotype"/>
          <w:b/>
        </w:rPr>
      </w:pPr>
    </w:p>
    <w:p w14:paraId="7F7DE9F2" w14:textId="77777777" w:rsidR="00035854" w:rsidRDefault="001E746A">
      <w:pPr>
        <w:spacing w:line="360" w:lineRule="auto"/>
        <w:ind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1C84EB5E" w14:textId="77777777" w:rsidR="00035854" w:rsidRDefault="001E746A">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AUTORIDAD SOLICITA COORDENADAS GEOREFERENCIADAS PARA LA UBICACIÓN DEL INMUEBLE, PARA TENER CERTEZA DEL PREDIO REFERIDO EN LA SOLICITUD DE INFORMACION, LO CUAL NO ES PROCEDENTE, YA QUE CON LA CLAVE CATASTRAL QUE SE LES PROPORCIONÓ DEBERÍA SER SUFICIENTE, AL TENER ELLOS MISMOS TODOS LOS DATOS DEL INMUEBLE CON BASE EN DICHA CLAVE. MAS AÚN, CUANDO LA CLAVE CATASTRAL DEL INMUEBLE ES LA MISMA QUE LA AUTORIDAD REFERENCIO EN LA AUTORIZACIÓN PARA SU RECUPERACIÓN ADMINISTRATIVA EN LA SESIÓN DE CABILDO NÚMERO 129, CELEBRADA EL 2 DE DICIEMBRE DE 2021. ” (Sic)</w:t>
      </w:r>
    </w:p>
    <w:p w14:paraId="324631C4" w14:textId="77777777" w:rsidR="00035854" w:rsidRDefault="00035854">
      <w:pPr>
        <w:spacing w:line="360" w:lineRule="auto"/>
        <w:jc w:val="both"/>
        <w:rPr>
          <w:rFonts w:ascii="Palatino Linotype" w:eastAsia="Palatino Linotype" w:hAnsi="Palatino Linotype" w:cs="Palatino Linotype"/>
          <w:sz w:val="2"/>
          <w:szCs w:val="2"/>
        </w:rPr>
      </w:pPr>
    </w:p>
    <w:p w14:paraId="49F00405" w14:textId="77777777" w:rsidR="00035854" w:rsidRDefault="00035854">
      <w:pPr>
        <w:spacing w:line="360" w:lineRule="auto"/>
        <w:jc w:val="both"/>
        <w:rPr>
          <w:rFonts w:ascii="Palatino Linotype" w:eastAsia="Palatino Linotype" w:hAnsi="Palatino Linotype" w:cs="Palatino Linotype"/>
          <w:sz w:val="2"/>
          <w:szCs w:val="2"/>
        </w:rPr>
      </w:pPr>
    </w:p>
    <w:p w14:paraId="17D7092A"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2F873F77" w14:textId="77777777" w:rsidR="00035854" w:rsidRDefault="001E746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El</w:t>
      </w:r>
      <w:r>
        <w:rPr>
          <w:rFonts w:ascii="Palatino Linotype" w:eastAsia="Palatino Linotype" w:hAnsi="Palatino Linotype" w:cs="Palatino Linotype"/>
          <w:b/>
        </w:rPr>
        <w:t xml:space="preserve"> veintidós de abril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presentara su informe justificado.</w:t>
      </w:r>
    </w:p>
    <w:p w14:paraId="729A7C56" w14:textId="77777777" w:rsidR="00035854" w:rsidRDefault="001E746A">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El </w:t>
      </w:r>
      <w:r>
        <w:rPr>
          <w:rFonts w:ascii="Palatino Linotype" w:eastAsia="Palatino Linotype" w:hAnsi="Palatino Linotype" w:cs="Palatino Linotype"/>
          <w:b/>
        </w:rPr>
        <w:t>nueve de junio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 rindió informe justificado para manifestar lo que a su derecho asistiera y conviniera, mediante los archivos electrónicos descritos en el siguiente orden: </w:t>
      </w:r>
    </w:p>
    <w:p w14:paraId="2BA0F3B8" w14:textId="77777777" w:rsidR="00035854" w:rsidRDefault="001E746A">
      <w:pPr>
        <w:widowControl w:val="0"/>
        <w:numPr>
          <w:ilvl w:val="0"/>
          <w:numId w:val="4"/>
        </w:numPr>
        <w:pBdr>
          <w:top w:val="nil"/>
          <w:left w:val="nil"/>
          <w:bottom w:val="nil"/>
          <w:right w:val="nil"/>
          <w:between w:val="nil"/>
        </w:pBdr>
        <w:spacing w:before="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“BRWFC017C85EDA8_046623.pdf”: </w:t>
      </w:r>
      <w:r>
        <w:rPr>
          <w:rFonts w:ascii="Palatino Linotype" w:eastAsia="Palatino Linotype" w:hAnsi="Palatino Linotype" w:cs="Palatino Linotype"/>
          <w:color w:val="000000"/>
        </w:rPr>
        <w:t xml:space="preserve">Oficio CHIC/PM/UT/0424/2022 de fecha diecisiete de mayo de dos mil veintidós, suscrito y signado por el Titular de la Unidad de Transparencia en el que en su parte sustantiva hizo referencia a lo dispuesto por la Ley General de Protección Civil y el Reglamento del Libro Sexto del Código Administrativo del Estado de México, en relación a los derrumbes. </w:t>
      </w:r>
    </w:p>
    <w:p w14:paraId="58B292B7" w14:textId="77777777" w:rsidR="00035854" w:rsidRDefault="001E746A">
      <w:pPr>
        <w:widowControl w:val="0"/>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 xml:space="preserve">“CHI_DGOP_030_2022 (1).pdf”: </w:t>
      </w:r>
      <w:r>
        <w:rPr>
          <w:rFonts w:ascii="Palatino Linotype" w:eastAsia="Palatino Linotype" w:hAnsi="Palatino Linotype" w:cs="Palatino Linotype"/>
          <w:color w:val="000000"/>
        </w:rPr>
        <w:t xml:space="preserve">Oficio número CHI/DGOP/030/2022 del ocho de junio de dos mil veintidós, suscrito y signado por el Director General de Obras Públicas por medio del cual transcribió  los ordenamientos que dan cuenta de las atribuciones que tiene encomendadas y manifestó que: </w:t>
      </w:r>
      <w:r>
        <w:rPr>
          <w:rFonts w:ascii="Palatino Linotype" w:eastAsia="Palatino Linotype" w:hAnsi="Palatino Linotype" w:cs="Palatino Linotype"/>
          <w:i/>
          <w:color w:val="000000"/>
        </w:rPr>
        <w:t xml:space="preserve">“…el documento y/o información no se encuentra dentro de las facultades de esta área </w:t>
      </w:r>
      <w:r>
        <w:rPr>
          <w:rFonts w:ascii="Palatino Linotype" w:eastAsia="Palatino Linotype" w:hAnsi="Palatino Linotype" w:cs="Palatino Linotype"/>
          <w:i/>
          <w:color w:val="000000"/>
        </w:rPr>
        <w:lastRenderedPageBreak/>
        <w:t xml:space="preserve">administrativa.” </w:t>
      </w:r>
    </w:p>
    <w:p w14:paraId="55B34B26" w14:textId="77777777" w:rsidR="00035854" w:rsidRDefault="001E746A">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el veintiocho de junio de dos mil veintidós mediante acuerdo, fueron puestos a la vista del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quien no realizó manifestaciones, formuló alegatos u ofreció algún medio de prueba, tal como se observa en la imagen que se inserta.</w:t>
      </w:r>
    </w:p>
    <w:p w14:paraId="5A56D462" w14:textId="77777777" w:rsidR="00035854" w:rsidRDefault="001E746A">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nueve de agosto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el plazo para emitir la presente resolución</w:t>
      </w:r>
    </w:p>
    <w:p w14:paraId="501E9CCD"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1723F36" w14:textId="77777777" w:rsidR="00035854" w:rsidRDefault="00035854">
      <w:pPr>
        <w:spacing w:line="360" w:lineRule="auto"/>
        <w:jc w:val="both"/>
        <w:rPr>
          <w:rFonts w:ascii="Palatino Linotype" w:eastAsia="Palatino Linotype" w:hAnsi="Palatino Linotype" w:cs="Palatino Linotype"/>
        </w:rPr>
      </w:pPr>
    </w:p>
    <w:p w14:paraId="56EFD32E"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Pr>
          <w:rFonts w:ascii="Palatino Linotype" w:eastAsia="Palatino Linotype" w:hAnsi="Palatino Linotype" w:cs="Palatino Linotype"/>
        </w:rPr>
        <w:lastRenderedPageBreak/>
        <w:t>órganos jurisdiccionales federales, aplicables también en procedimientos análogos, como el que nos ocupa.</w:t>
      </w:r>
    </w:p>
    <w:p w14:paraId="49858060" w14:textId="77777777" w:rsidR="00035854" w:rsidRDefault="00035854">
      <w:pPr>
        <w:spacing w:line="360" w:lineRule="auto"/>
        <w:jc w:val="both"/>
        <w:rPr>
          <w:rFonts w:ascii="Palatino Linotype" w:eastAsia="Palatino Linotype" w:hAnsi="Palatino Linotype" w:cs="Palatino Linotype"/>
        </w:rPr>
      </w:pPr>
    </w:p>
    <w:p w14:paraId="219AB599"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357670" w14:textId="77777777" w:rsidR="00035854" w:rsidRDefault="00035854">
      <w:pPr>
        <w:spacing w:line="360" w:lineRule="auto"/>
        <w:jc w:val="both"/>
        <w:rPr>
          <w:rFonts w:ascii="Palatino Linotype" w:eastAsia="Palatino Linotype" w:hAnsi="Palatino Linotype" w:cs="Palatino Linotype"/>
        </w:rPr>
      </w:pPr>
    </w:p>
    <w:p w14:paraId="690D87F1"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251FE9" w14:textId="77777777" w:rsidR="00035854" w:rsidRDefault="00035854">
      <w:pPr>
        <w:spacing w:line="360" w:lineRule="auto"/>
        <w:jc w:val="both"/>
        <w:rPr>
          <w:rFonts w:ascii="Palatino Linotype" w:eastAsia="Palatino Linotype" w:hAnsi="Palatino Linotype" w:cs="Palatino Linotype"/>
        </w:rPr>
      </w:pPr>
    </w:p>
    <w:p w14:paraId="7646150B" w14:textId="77777777" w:rsidR="00035854" w:rsidRDefault="001E746A">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9A23A4F" w14:textId="77777777" w:rsidR="00035854" w:rsidRDefault="00035854">
      <w:pPr>
        <w:spacing w:line="360" w:lineRule="auto"/>
        <w:jc w:val="both"/>
        <w:rPr>
          <w:rFonts w:ascii="Palatino Linotype" w:eastAsia="Palatino Linotype" w:hAnsi="Palatino Linotype" w:cs="Palatino Linotype"/>
        </w:rPr>
      </w:pPr>
    </w:p>
    <w:p w14:paraId="5FA3D784" w14:textId="77777777" w:rsidR="00035854" w:rsidRDefault="001E746A">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B8FD5AB" w14:textId="77777777" w:rsidR="00035854" w:rsidRDefault="00035854">
      <w:pPr>
        <w:spacing w:line="360" w:lineRule="auto"/>
        <w:ind w:left="927"/>
        <w:jc w:val="both"/>
        <w:rPr>
          <w:rFonts w:ascii="Palatino Linotype" w:eastAsia="Palatino Linotype" w:hAnsi="Palatino Linotype" w:cs="Palatino Linotype"/>
        </w:rPr>
      </w:pPr>
    </w:p>
    <w:p w14:paraId="4804DE7B" w14:textId="77777777" w:rsidR="00035854" w:rsidRDefault="001E746A">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7DD7FAF5" w14:textId="77777777" w:rsidR="00035854" w:rsidRDefault="00035854">
      <w:pPr>
        <w:spacing w:line="360" w:lineRule="auto"/>
        <w:jc w:val="both"/>
        <w:rPr>
          <w:rFonts w:ascii="Palatino Linotype" w:eastAsia="Palatino Linotype" w:hAnsi="Palatino Linotype" w:cs="Palatino Linotype"/>
        </w:rPr>
      </w:pPr>
    </w:p>
    <w:p w14:paraId="61C386E2" w14:textId="77777777" w:rsidR="00035854" w:rsidRDefault="001E746A">
      <w:pPr>
        <w:numPr>
          <w:ilvl w:val="0"/>
          <w:numId w:val="1"/>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Conducta de la Autoridad: Las Acciones u omisiones realizadas en el procedimiento. Así como si la autoridad actuó con la debida diligencia.</w:t>
      </w:r>
    </w:p>
    <w:p w14:paraId="251A6BF0" w14:textId="77777777" w:rsidR="00035854" w:rsidRDefault="00035854">
      <w:pPr>
        <w:spacing w:line="360" w:lineRule="auto"/>
        <w:ind w:left="708"/>
        <w:rPr>
          <w:rFonts w:ascii="Palatino Linotype" w:eastAsia="Palatino Linotype" w:hAnsi="Palatino Linotype" w:cs="Palatino Linotype"/>
        </w:rPr>
      </w:pPr>
    </w:p>
    <w:p w14:paraId="01AB95E1" w14:textId="77777777" w:rsidR="00035854" w:rsidRDefault="001E746A">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2EA19B5A" w14:textId="77777777" w:rsidR="00035854" w:rsidRDefault="00035854">
      <w:pPr>
        <w:spacing w:line="360" w:lineRule="auto"/>
        <w:jc w:val="both"/>
        <w:rPr>
          <w:rFonts w:ascii="Palatino Linotype" w:eastAsia="Palatino Linotype" w:hAnsi="Palatino Linotype" w:cs="Palatino Linotype"/>
        </w:rPr>
      </w:pPr>
    </w:p>
    <w:p w14:paraId="08D19189"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AC8E3F9" w14:textId="77777777" w:rsidR="00035854" w:rsidRDefault="00035854">
      <w:pPr>
        <w:spacing w:line="360" w:lineRule="auto"/>
        <w:jc w:val="both"/>
        <w:rPr>
          <w:rFonts w:ascii="Palatino Linotype" w:eastAsia="Palatino Linotype" w:hAnsi="Palatino Linotype" w:cs="Palatino Linotype"/>
        </w:rPr>
      </w:pPr>
    </w:p>
    <w:p w14:paraId="37DEB1EE" w14:textId="77777777" w:rsidR="00035854" w:rsidRDefault="001E746A">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55CD5A5" w14:textId="77777777" w:rsidR="00035854" w:rsidRDefault="00035854">
      <w:pPr>
        <w:spacing w:line="360" w:lineRule="auto"/>
        <w:jc w:val="both"/>
        <w:rPr>
          <w:rFonts w:ascii="Palatino Linotype" w:eastAsia="Palatino Linotype" w:hAnsi="Palatino Linotype" w:cs="Palatino Linotype"/>
        </w:rPr>
      </w:pPr>
    </w:p>
    <w:p w14:paraId="057D0126"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Pr>
          <w:rFonts w:ascii="Palatino Linotype" w:eastAsia="Palatino Linotype" w:hAnsi="Palatino Linotype" w:cs="Palatino Linotype"/>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7A1B8FE"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0242A5DE" w14:textId="77777777" w:rsidR="00035854" w:rsidRDefault="00035854">
      <w:pPr>
        <w:spacing w:line="360" w:lineRule="auto"/>
        <w:jc w:val="both"/>
        <w:rPr>
          <w:rFonts w:ascii="Palatino Linotype" w:eastAsia="Palatino Linotype" w:hAnsi="Palatino Linotype" w:cs="Palatino Linotype"/>
        </w:rPr>
      </w:pPr>
    </w:p>
    <w:p w14:paraId="51E1F4F6"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647F6DDD" w14:textId="77777777" w:rsidR="00035854" w:rsidRDefault="00035854">
      <w:pPr>
        <w:spacing w:line="360" w:lineRule="auto"/>
        <w:jc w:val="both"/>
        <w:rPr>
          <w:rFonts w:ascii="Palatino Linotype" w:eastAsia="Palatino Linotype" w:hAnsi="Palatino Linotype" w:cs="Palatino Linotype"/>
          <w:b/>
        </w:rPr>
      </w:pPr>
    </w:p>
    <w:p w14:paraId="07A6A8BB"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1FA3C190" w14:textId="77777777" w:rsidR="00035854" w:rsidRDefault="00035854">
      <w:pPr>
        <w:spacing w:line="360" w:lineRule="auto"/>
        <w:jc w:val="both"/>
        <w:rPr>
          <w:rFonts w:ascii="Palatino Linotype" w:eastAsia="Palatino Linotype" w:hAnsi="Palatino Linotype" w:cs="Palatino Linotype"/>
        </w:rPr>
      </w:pPr>
    </w:p>
    <w:p w14:paraId="68456A8E"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A15C119" w14:textId="77777777" w:rsidR="00035854" w:rsidRDefault="00035854">
      <w:pPr>
        <w:spacing w:line="360" w:lineRule="auto"/>
        <w:jc w:val="both"/>
        <w:rPr>
          <w:rFonts w:ascii="Palatino Linotype" w:eastAsia="Palatino Linotype" w:hAnsi="Palatino Linotype" w:cs="Palatino Linotype"/>
        </w:rPr>
      </w:pPr>
    </w:p>
    <w:p w14:paraId="3F9DAB0F" w14:textId="77777777" w:rsidR="00035854" w:rsidRDefault="001E746A">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w:t>
      </w:r>
      <w:r w:rsidRPr="00A613D6">
        <w:rPr>
          <w:rFonts w:ascii="Palatino Linotype" w:eastAsia="Palatino Linotype" w:hAnsi="Palatino Linotype" w:cs="Palatino Linotype"/>
        </w:rPr>
        <w:t xml:space="preserve">el </w:t>
      </w:r>
      <w:r w:rsidRPr="00A613D6">
        <w:rPr>
          <w:rFonts w:ascii="Palatino Linotype" w:eastAsia="Palatino Linotype" w:hAnsi="Palatino Linotype" w:cs="Palatino Linotype"/>
          <w:b/>
        </w:rPr>
        <w:t>quince de agosto de dos mil veintidós</w:t>
      </w:r>
      <w:r>
        <w:rPr>
          <w:rFonts w:ascii="Palatino Linotype" w:eastAsia="Palatino Linotype" w:hAnsi="Palatino Linotype" w:cs="Palatino Linotype"/>
        </w:rPr>
        <w:t xml:space="preserve">, </w:t>
      </w:r>
      <w:bookmarkStart w:id="3" w:name="_GoBack"/>
      <w:bookmarkEnd w:id="3"/>
      <w:r>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1EB82329" w14:textId="77777777" w:rsidR="00035854" w:rsidRDefault="001E746A">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Pr>
          <w:rFonts w:ascii="Palatino Linotype" w:eastAsia="Palatino Linotype" w:hAnsi="Palatino Linotype" w:cs="Palatino Linotype"/>
          <w:b/>
        </w:rPr>
        <w:t xml:space="preserve"> </w:t>
      </w:r>
    </w:p>
    <w:p w14:paraId="1929A507" w14:textId="77777777" w:rsidR="00035854" w:rsidRDefault="001E746A">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w:t>
      </w:r>
    </w:p>
    <w:p w14:paraId="6DACBBCE"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6ADCBDE" w14:textId="77777777" w:rsidR="00035854" w:rsidRDefault="001E746A">
      <w:pPr>
        <w:spacing w:before="240" w:after="240" w:line="360" w:lineRule="auto"/>
        <w:jc w:val="both"/>
        <w:rPr>
          <w:rFonts w:ascii="Palatino Linotype" w:eastAsia="Palatino Linotype" w:hAnsi="Palatino Linotype" w:cs="Palatino Linotype"/>
        </w:rPr>
      </w:pPr>
      <w:bookmarkStart w:id="4" w:name="_heading=h.1fob9te" w:colFirst="0" w:colLast="0"/>
      <w:bookmarkEnd w:id="4"/>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xml:space="preserve">. Previo al estudio del fondo del asunto, se procede a analizar los requisitos de oportunidad y </w:t>
      </w:r>
      <w:r>
        <w:rPr>
          <w:rFonts w:ascii="Palatino Linotype" w:eastAsia="Palatino Linotype" w:hAnsi="Palatino Linotype" w:cs="Palatino Linotype"/>
        </w:rPr>
        <w:lastRenderedPageBreak/>
        <w:t>procedibilidad que debe reunir el recurso de revisión interpuesto, previstos en los artículos 178 y 180 de la Ley de Transparencia y Acceso a la Información Pública del Estado de México y Municipios.</w:t>
      </w:r>
    </w:p>
    <w:p w14:paraId="2472CB35"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dieciocho de abril de dos mil veintidós,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diecinueve de abril de dos mil veintidós</w:t>
      </w:r>
      <w:r>
        <w:rPr>
          <w:rFonts w:ascii="Palatino Linotype" w:eastAsia="Palatino Linotype" w:hAnsi="Palatino Linotype" w:cs="Palatino Linotype"/>
        </w:rPr>
        <w:t>, esto es, al primer día hábil siguiente de aquel en que tuvo conocimiento de la respuesta; evidenciándose que la interposición del recurso se encuentra dentro de los márgenes temporales previstos en el citado precepto legal.</w:t>
      </w:r>
    </w:p>
    <w:p w14:paraId="62EA75A3" w14:textId="77777777" w:rsidR="00035854" w:rsidRDefault="001E746A">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 presentado mediante el formato visible en el</w:t>
      </w:r>
      <w:r>
        <w:rPr>
          <w:rFonts w:ascii="Palatino Linotype" w:eastAsia="Palatino Linotype" w:hAnsi="Palatino Linotype" w:cs="Palatino Linotype"/>
          <w:b/>
        </w:rPr>
        <w:t xml:space="preserve"> SAIMEX. </w:t>
      </w:r>
    </w:p>
    <w:p w14:paraId="57AFCFB2"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al artículo 179, fracciones I y  XIII del ordenamiento legal citado, que a la letra dice: </w:t>
      </w:r>
    </w:p>
    <w:p w14:paraId="0EBFC592" w14:textId="77777777" w:rsidR="00035854" w:rsidRDefault="001E746A">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E0B26B6" w14:textId="77777777" w:rsidR="00035854" w:rsidRDefault="001E746A">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La negativa a la información solicitada;</w:t>
      </w:r>
    </w:p>
    <w:p w14:paraId="3CD9088E" w14:textId="77777777" w:rsidR="00035854" w:rsidRDefault="001E746A">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6D2A13EA" w14:textId="77777777" w:rsidR="00035854" w:rsidRDefault="001E746A">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IV. </w:t>
      </w:r>
      <w:r>
        <w:rPr>
          <w:rFonts w:ascii="Palatino Linotype" w:eastAsia="Palatino Linotype" w:hAnsi="Palatino Linotype" w:cs="Palatino Linotype"/>
          <w:i/>
          <w:sz w:val="22"/>
          <w:szCs w:val="22"/>
        </w:rPr>
        <w:t xml:space="preserve">La falta, deficiencia o insuficiencia de la fundamentación y/o motivación en la respuesta; y; </w:t>
      </w:r>
    </w:p>
    <w:p w14:paraId="024ADA2B" w14:textId="77777777" w:rsidR="00035854" w:rsidRDefault="001E746A">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0CA0554D" w14:textId="77777777" w:rsidR="00035854" w:rsidRDefault="00035854">
      <w:pPr>
        <w:tabs>
          <w:tab w:val="left" w:pos="7088"/>
        </w:tabs>
        <w:spacing w:before="120" w:after="120"/>
        <w:ind w:left="993" w:right="616"/>
        <w:jc w:val="both"/>
        <w:rPr>
          <w:rFonts w:ascii="Palatino Linotype" w:eastAsia="Palatino Linotype" w:hAnsi="Palatino Linotype" w:cs="Palatino Linotype"/>
          <w:i/>
          <w:sz w:val="22"/>
          <w:szCs w:val="22"/>
        </w:rPr>
      </w:pPr>
    </w:p>
    <w:p w14:paraId="7DF52EDB" w14:textId="77777777" w:rsidR="00035854" w:rsidRDefault="001E74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42138E1F"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3400EA9" w14:textId="77777777" w:rsidR="00035854" w:rsidRDefault="001E746A">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7F233D" w14:textId="77777777" w:rsidR="00035854" w:rsidRDefault="001E746A">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777BDB1" w14:textId="77777777" w:rsidR="00035854" w:rsidRDefault="001E746A">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7B51AAC" w14:textId="77777777" w:rsidR="00035854" w:rsidRDefault="001E746A">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9CD1D7C" w14:textId="77777777" w:rsidR="00035854" w:rsidRDefault="001E746A">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4CF1188E" w14:textId="77777777" w:rsidR="00035854" w:rsidRDefault="001E746A">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847D8D3"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5755FD4E"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8E36D55"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7E6211B"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290F0BD" w14:textId="77777777" w:rsidR="00035854" w:rsidRDefault="001E746A">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D7033AB"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47AD2A9"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16F055F8"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D1EC3E4"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04DCF87" w14:textId="77777777" w:rsidR="00035854" w:rsidRDefault="00035854">
      <w:pPr>
        <w:ind w:left="851" w:right="851"/>
        <w:jc w:val="both"/>
        <w:rPr>
          <w:rFonts w:ascii="Palatino Linotype" w:eastAsia="Palatino Linotype" w:hAnsi="Palatino Linotype" w:cs="Palatino Linotype"/>
          <w:i/>
          <w:sz w:val="22"/>
          <w:szCs w:val="22"/>
        </w:rPr>
      </w:pPr>
    </w:p>
    <w:p w14:paraId="041F55BF"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14:paraId="412942D9"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6F65D17"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45E2887"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B458F77"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69DD2EC" w14:textId="77777777" w:rsidR="00035854" w:rsidRDefault="00035854">
      <w:pPr>
        <w:ind w:right="851"/>
        <w:jc w:val="both"/>
        <w:rPr>
          <w:rFonts w:ascii="Palatino Linotype" w:eastAsia="Palatino Linotype" w:hAnsi="Palatino Linotype" w:cs="Palatino Linotype"/>
          <w:i/>
          <w:sz w:val="22"/>
          <w:szCs w:val="22"/>
        </w:rPr>
      </w:pPr>
    </w:p>
    <w:p w14:paraId="5FB189F7" w14:textId="77777777" w:rsidR="00035854" w:rsidRDefault="001E746A">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906A797" w14:textId="77777777" w:rsidR="00035854" w:rsidRDefault="001E746A">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Pr>
          <w:rFonts w:ascii="Palatino Linotype" w:eastAsia="Palatino Linotype" w:hAnsi="Palatino Linotype" w:cs="Palatino Linotype"/>
        </w:rPr>
        <w:t>transcribe</w:t>
      </w:r>
      <w:r>
        <w:rPr>
          <w:rFonts w:ascii="Palatino Linotype" w:eastAsia="Palatino Linotype" w:hAnsi="Palatino Linotype" w:cs="Palatino Linotype"/>
          <w:color w:val="000000"/>
        </w:rPr>
        <w:t xml:space="preserve"> para un mejor entendimiento:</w:t>
      </w:r>
    </w:p>
    <w:p w14:paraId="4F58240C" w14:textId="77777777" w:rsidR="00035854" w:rsidRDefault="001E746A">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36BB22F" w14:textId="77777777" w:rsidR="00035854" w:rsidRDefault="001E746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59F7609" w14:textId="77777777" w:rsidR="00035854" w:rsidRDefault="001E746A">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6180239D" w14:textId="77777777" w:rsidR="00035854" w:rsidRDefault="00035854">
      <w:pPr>
        <w:ind w:left="709" w:right="760"/>
        <w:jc w:val="both"/>
        <w:rPr>
          <w:rFonts w:ascii="Palatino Linotype" w:eastAsia="Palatino Linotype" w:hAnsi="Palatino Linotype" w:cs="Palatino Linotype"/>
          <w:i/>
        </w:rPr>
      </w:pPr>
    </w:p>
    <w:p w14:paraId="0BE330E7"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5D7D2DB" w14:textId="77777777" w:rsidR="00035854" w:rsidRDefault="001E746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3C0D33A" w14:textId="77777777" w:rsidR="00035854" w:rsidRDefault="001E746A">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777456B2" w14:textId="77777777" w:rsidR="00035854" w:rsidRDefault="00035854">
      <w:pPr>
        <w:spacing w:line="360" w:lineRule="auto"/>
        <w:ind w:right="-93"/>
        <w:jc w:val="both"/>
        <w:rPr>
          <w:rFonts w:ascii="Palatino Linotype" w:eastAsia="Palatino Linotype" w:hAnsi="Palatino Linotype" w:cs="Palatino Linotype"/>
          <w:color w:val="000000"/>
        </w:rPr>
      </w:pPr>
    </w:p>
    <w:p w14:paraId="452EE9D1" w14:textId="77777777" w:rsidR="00035854" w:rsidRDefault="001E746A">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3CCDA35" w14:textId="77777777" w:rsidR="00035854" w:rsidRDefault="00035854">
      <w:pPr>
        <w:spacing w:line="360" w:lineRule="auto"/>
        <w:jc w:val="both"/>
        <w:rPr>
          <w:rFonts w:ascii="Palatino Linotype" w:eastAsia="Palatino Linotype" w:hAnsi="Palatino Linotype" w:cs="Palatino Linotype"/>
          <w:color w:val="000000"/>
        </w:rPr>
      </w:pPr>
    </w:p>
    <w:p w14:paraId="54DBF094" w14:textId="77777777" w:rsidR="00035854" w:rsidRDefault="001E746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4A948FE" w14:textId="77777777" w:rsidR="00035854" w:rsidRDefault="00035854">
      <w:pPr>
        <w:spacing w:line="360" w:lineRule="auto"/>
        <w:ind w:right="49"/>
        <w:jc w:val="both"/>
        <w:rPr>
          <w:rFonts w:ascii="Palatino Linotype" w:eastAsia="Palatino Linotype" w:hAnsi="Palatino Linotype" w:cs="Palatino Linotype"/>
        </w:rPr>
      </w:pPr>
    </w:p>
    <w:p w14:paraId="3D61E8FA"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70339B34" w14:textId="77777777" w:rsidR="00035854" w:rsidRDefault="00035854">
      <w:pPr>
        <w:spacing w:line="360" w:lineRule="auto"/>
        <w:jc w:val="both"/>
        <w:rPr>
          <w:rFonts w:ascii="Palatino Linotype" w:eastAsia="Palatino Linotype" w:hAnsi="Palatino Linotype" w:cs="Palatino Linotype"/>
        </w:rPr>
      </w:pPr>
    </w:p>
    <w:p w14:paraId="06D618AC"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5E7D3ED9" w14:textId="77777777" w:rsidR="00035854" w:rsidRDefault="00035854">
      <w:pPr>
        <w:ind w:left="851" w:right="851"/>
        <w:jc w:val="both"/>
        <w:rPr>
          <w:rFonts w:ascii="Palatino Linotype" w:eastAsia="Palatino Linotype" w:hAnsi="Palatino Linotype" w:cs="Palatino Linotype"/>
          <w:b/>
          <w:i/>
          <w:sz w:val="22"/>
          <w:szCs w:val="22"/>
        </w:rPr>
      </w:pPr>
    </w:p>
    <w:p w14:paraId="05E0E5CD"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1FDC8A38" w14:textId="77777777" w:rsidR="00035854" w:rsidRDefault="00035854">
      <w:pPr>
        <w:ind w:left="851" w:right="851"/>
        <w:jc w:val="both"/>
        <w:rPr>
          <w:rFonts w:ascii="Palatino Linotype" w:eastAsia="Palatino Linotype" w:hAnsi="Palatino Linotype" w:cs="Palatino Linotype"/>
          <w:i/>
          <w:sz w:val="22"/>
          <w:szCs w:val="22"/>
        </w:rPr>
      </w:pPr>
    </w:p>
    <w:p w14:paraId="6AAF4847"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En los casos en que ciertas facultades, competencias o funciones no se hayan ejercido, se debe motivar la respuesta en función de las causas que motiven tal circunstancia. </w:t>
      </w:r>
    </w:p>
    <w:p w14:paraId="6174C600" w14:textId="77777777" w:rsidR="00035854" w:rsidRDefault="00035854">
      <w:pPr>
        <w:ind w:left="851" w:right="851"/>
        <w:jc w:val="both"/>
        <w:rPr>
          <w:rFonts w:ascii="Palatino Linotype" w:eastAsia="Palatino Linotype" w:hAnsi="Palatino Linotype" w:cs="Palatino Linotype"/>
          <w:i/>
          <w:sz w:val="22"/>
          <w:szCs w:val="22"/>
        </w:rPr>
      </w:pPr>
    </w:p>
    <w:p w14:paraId="57DCD1A7"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D63E3D6" w14:textId="77777777" w:rsidR="00035854" w:rsidRDefault="00035854">
      <w:pPr>
        <w:ind w:left="851" w:right="851"/>
        <w:jc w:val="both"/>
        <w:rPr>
          <w:rFonts w:ascii="Palatino Linotype" w:eastAsia="Palatino Linotype" w:hAnsi="Palatino Linotype" w:cs="Palatino Linotype"/>
          <w:i/>
          <w:sz w:val="22"/>
          <w:szCs w:val="22"/>
        </w:rPr>
      </w:pPr>
    </w:p>
    <w:p w14:paraId="0C285F5D" w14:textId="77777777" w:rsidR="00035854" w:rsidRDefault="001E746A">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03DF255E" w14:textId="77777777" w:rsidR="00035854" w:rsidRDefault="00035854">
      <w:pPr>
        <w:spacing w:line="360" w:lineRule="auto"/>
        <w:jc w:val="both"/>
        <w:rPr>
          <w:rFonts w:ascii="Palatino Linotype" w:eastAsia="Palatino Linotype" w:hAnsi="Palatino Linotype" w:cs="Palatino Linotype"/>
        </w:rPr>
      </w:pPr>
    </w:p>
    <w:p w14:paraId="22A92B91"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4EF917CA" w14:textId="77777777" w:rsidR="00035854" w:rsidRDefault="00035854">
      <w:pPr>
        <w:spacing w:line="360" w:lineRule="auto"/>
        <w:jc w:val="both"/>
        <w:rPr>
          <w:rFonts w:ascii="Palatino Linotype" w:eastAsia="Palatino Linotype" w:hAnsi="Palatino Linotype" w:cs="Palatino Linotype"/>
        </w:rPr>
      </w:pPr>
    </w:p>
    <w:p w14:paraId="4512907A"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14:paraId="743D67F7" w14:textId="77777777" w:rsidR="00035854" w:rsidRDefault="00035854">
      <w:pPr>
        <w:ind w:left="851" w:right="899"/>
        <w:jc w:val="both"/>
        <w:rPr>
          <w:rFonts w:ascii="Palatino Linotype" w:eastAsia="Palatino Linotype" w:hAnsi="Palatino Linotype" w:cs="Palatino Linotype"/>
          <w:i/>
          <w:sz w:val="22"/>
          <w:szCs w:val="22"/>
        </w:rPr>
      </w:pPr>
    </w:p>
    <w:p w14:paraId="72CA7227" w14:textId="77777777" w:rsidR="00035854" w:rsidRDefault="001E746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5B8A3315" w14:textId="77777777" w:rsidR="00035854" w:rsidRDefault="001E746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FD6A2A4" w14:textId="77777777" w:rsidR="00035854" w:rsidRDefault="001E746A">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82A4AA4" w14:textId="77777777" w:rsidR="00035854" w:rsidRDefault="00035854">
      <w:pPr>
        <w:ind w:left="851" w:right="899"/>
        <w:jc w:val="both"/>
        <w:rPr>
          <w:rFonts w:ascii="Palatino Linotype" w:eastAsia="Palatino Linotype" w:hAnsi="Palatino Linotype" w:cs="Palatino Linotype"/>
          <w:sz w:val="22"/>
          <w:szCs w:val="22"/>
        </w:rPr>
      </w:pPr>
    </w:p>
    <w:p w14:paraId="197E3FFC"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B696830" w14:textId="77777777" w:rsidR="00035854" w:rsidRDefault="00035854">
      <w:pPr>
        <w:ind w:left="851" w:right="899"/>
        <w:jc w:val="both"/>
        <w:rPr>
          <w:rFonts w:ascii="Palatino Linotype" w:eastAsia="Palatino Linotype" w:hAnsi="Palatino Linotype" w:cs="Palatino Linotype"/>
        </w:rPr>
      </w:pPr>
    </w:p>
    <w:p w14:paraId="35CEB169" w14:textId="77777777" w:rsidR="00035854" w:rsidRDefault="001E746A">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578D6EB" w14:textId="77777777" w:rsidR="00035854" w:rsidRDefault="001E746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7D9E40B" w14:textId="77777777" w:rsidR="00035854" w:rsidRDefault="001E746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D0E3857" w14:textId="77777777" w:rsidR="00035854" w:rsidRDefault="001E746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59419E0" w14:textId="77777777" w:rsidR="00035854" w:rsidRDefault="001E746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5DB19006" w14:textId="77777777" w:rsidR="00035854" w:rsidRDefault="001E746A">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3) Que se trate de información registrada en cualquier soporte documental, que en ejercicio de las atribuciones conferidas, se encuentre en posesión de los Sujetos Obligados.” </w:t>
      </w:r>
    </w:p>
    <w:p w14:paraId="7FEF145C" w14:textId="77777777" w:rsidR="00035854" w:rsidRDefault="001E74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11ED19FE" w14:textId="77777777" w:rsidR="00035854" w:rsidRDefault="001E74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ese contexto, es conveniente reiterar que el entonces solicitante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el dictamen técnico para derrumbar el inmueble ubicado en sureste de la Plaza de la Constitución S/N, en la cabecera municipal de Chicoloapan; solicitud a en la que refirió la clave catastral del inmueble.</w:t>
      </w:r>
    </w:p>
    <w:p w14:paraId="500ACF75" w14:textId="77777777" w:rsidR="00035854" w:rsidRDefault="001E74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respuesta a la solicitud de información,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que  no son suficientes los datos proporcionados ya que es necesario contar con las coordenadas georreferenciadas para la ubicación del inmueble. </w:t>
      </w:r>
    </w:p>
    <w:p w14:paraId="49C59F75" w14:textId="77777777" w:rsidR="00035854" w:rsidRDefault="001E746A">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oportuno primeramente señalar que 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manifestó la imposibilidad de entregar la información solicitada porque no le fueron suficientes los elementos aportados por el entonces solicitante para la localización del inmueble, por lo que es procedente citar lo dispuesto en el artículo 159 de la</w:t>
      </w:r>
      <w:r>
        <w:rPr>
          <w:rFonts w:ascii="Palatino Linotype" w:eastAsia="Palatino Linotype" w:hAnsi="Palatino Linotype" w:cs="Palatino Linotype"/>
          <w:b/>
        </w:rPr>
        <w:t xml:space="preserve"> Ley de Transparencia y Acceso a la Información Pública del Estado de México y Municipios.</w:t>
      </w:r>
    </w:p>
    <w:p w14:paraId="3D83312F"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D029E34" w14:textId="77777777" w:rsidR="00035854" w:rsidRDefault="001E746A">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“Articulo 159. </w:t>
      </w:r>
      <w:r>
        <w:rPr>
          <w:rFonts w:ascii="Palatino Linotype" w:eastAsia="Palatino Linotype" w:hAnsi="Palatino Linotype" w:cs="Palatino Linotype"/>
          <w:b/>
          <w:i/>
          <w:sz w:val="22"/>
          <w:szCs w:val="22"/>
          <w:u w:val="single"/>
        </w:rPr>
        <w:t>Cuando los detalles proporcionados para localizar los documentos resulten insuficientes, incompletos o sean erróneos</w:t>
      </w:r>
      <w:r>
        <w:rPr>
          <w:rFonts w:ascii="Palatino Linotype" w:eastAsia="Palatino Linotype" w:hAnsi="Palatino Linotype" w:cs="Palatino Linotype"/>
          <w:i/>
          <w:sz w:val="22"/>
          <w:szCs w:val="22"/>
        </w:rPr>
        <w:t xml:space="preserve">, la Unidad de Transparencia podrá requerir al solicitante, </w:t>
      </w:r>
      <w:r>
        <w:rPr>
          <w:rFonts w:ascii="Palatino Linotype" w:eastAsia="Palatino Linotype" w:hAnsi="Palatino Linotype" w:cs="Palatino Linotype"/>
          <w:b/>
          <w:i/>
          <w:sz w:val="22"/>
          <w:szCs w:val="22"/>
          <w:u w:val="single"/>
        </w:rPr>
        <w:t xml:space="preserve">por una sola vez y dentro de un plazo que no podrá exceder de cinco días hábiles </w:t>
      </w:r>
      <w:r>
        <w:rPr>
          <w:rFonts w:ascii="Palatino Linotype" w:eastAsia="Palatino Linotype" w:hAnsi="Palatino Linotype" w:cs="Palatino Linotype"/>
          <w:i/>
          <w:sz w:val="22"/>
          <w:szCs w:val="22"/>
        </w:rPr>
        <w:t>contados a partir de la presentación de la solicitud, para que, en un término de hasta diez días hábiles, indique otros elementos que complementen, corrijan o amplíen los datos proporcionados o bien, precise uno o varios requerimientos de información...”</w:t>
      </w:r>
    </w:p>
    <w:p w14:paraId="187C31B2"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F8B366E"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la luz de lo anterior es evidente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le asiste el derecho de requerir la complementación, corrección, ampliación o la precisión de los requerimientos de información; sin embargo, tal requerimiento debe realizarse dentro del plazo legal establecido el cual no fue observado, ya que hasta el momento de responder a la solicitud de información refirió que no cuenta con los elementos suficientes para localizar la información; manifestación que resulta inoperante toda vez que no se pronunció en el momento procesal oportuno. </w:t>
      </w:r>
    </w:p>
    <w:p w14:paraId="4AB3FFB7"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65DCBB"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consiguiente, en los casos en los que la solicitud no sea clara y precisa,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deberá requerir al solicitante para que aclare e indique otros elementos que complementen, corrijan o amplíen los datos proporcionados, dentro del plazo de </w:t>
      </w:r>
      <w:r>
        <w:rPr>
          <w:rFonts w:ascii="Palatino Linotype" w:eastAsia="Palatino Linotype" w:hAnsi="Palatino Linotype" w:cs="Palatino Linotype"/>
          <w:b/>
          <w:u w:val="single"/>
        </w:rPr>
        <w:t>cinco días hábiles</w:t>
      </w:r>
      <w:r>
        <w:rPr>
          <w:rFonts w:ascii="Palatino Linotype" w:eastAsia="Palatino Linotype" w:hAnsi="Palatino Linotype" w:cs="Palatino Linotype"/>
        </w:rPr>
        <w:t xml:space="preserve"> a partir de que se ha presentado la misma.</w:t>
      </w:r>
    </w:p>
    <w:p w14:paraId="3CD1D630"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912CAC6" w14:textId="77777777" w:rsidR="00035854" w:rsidRDefault="001E746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Cabe precisar, que de las constancias que  integran el SAIMEX se advierte que el Titular de la Unidad de Transparencia en cumplimiento a lo dispuesto en los artículos 50 y 53 fracciones II, V y VI  de la Ley de Transparencia y Acceso a la Información Pública del Estado de México y Municipios, tramitó</w:t>
      </w:r>
      <w:r>
        <w:rPr>
          <w:rFonts w:ascii="Palatino Linotype" w:eastAsia="Palatino Linotype" w:hAnsi="Palatino Linotype" w:cs="Palatino Linotype"/>
          <w:b/>
        </w:rPr>
        <w:t xml:space="preserve"> </w:t>
      </w:r>
      <w:r>
        <w:rPr>
          <w:rFonts w:ascii="Palatino Linotype" w:eastAsia="Palatino Linotype" w:hAnsi="Palatino Linotype" w:cs="Palatino Linotype"/>
        </w:rPr>
        <w:t>ante el Área poseedora de la información lo que se solicita, a efecto de entregarla al particular, de acuerdo a la forma en que la Unidad Administrativa correspondiente que la genere, recopile, administre, maneje, procese, archive o conserve, esto de conformidad con los artículos 51 y 53 fracción IV de la Ley en cita, que refieren:</w:t>
      </w:r>
    </w:p>
    <w:p w14:paraId="40F9F7E1" w14:textId="77777777" w:rsidR="00035854" w:rsidRDefault="00035854">
      <w:pPr>
        <w:tabs>
          <w:tab w:val="left" w:pos="709"/>
        </w:tabs>
        <w:ind w:left="851" w:right="760"/>
        <w:jc w:val="both"/>
        <w:rPr>
          <w:rFonts w:ascii="Palatino Linotype" w:eastAsia="Palatino Linotype" w:hAnsi="Palatino Linotype" w:cs="Palatino Linotype"/>
          <w:i/>
          <w:sz w:val="20"/>
          <w:szCs w:val="20"/>
        </w:rPr>
      </w:pPr>
    </w:p>
    <w:p w14:paraId="50A7466F" w14:textId="77777777" w:rsidR="00035854" w:rsidRDefault="001E746A">
      <w:pPr>
        <w:tabs>
          <w:tab w:val="left" w:pos="709"/>
        </w:tabs>
        <w:ind w:left="851" w:right="760"/>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rPr>
        <w:t>Ley de Transparencia y Acceso a la Información Pública del Estado de México y Municipios</w:t>
      </w:r>
    </w:p>
    <w:p w14:paraId="3C45E60B" w14:textId="77777777" w:rsidR="00035854" w:rsidRDefault="00035854">
      <w:pPr>
        <w:tabs>
          <w:tab w:val="left" w:pos="709"/>
        </w:tabs>
        <w:ind w:left="851" w:right="760"/>
        <w:jc w:val="both"/>
        <w:rPr>
          <w:rFonts w:ascii="Palatino Linotype" w:eastAsia="Palatino Linotype" w:hAnsi="Palatino Linotype" w:cs="Palatino Linotype"/>
          <w:i/>
          <w:sz w:val="20"/>
          <w:szCs w:val="20"/>
        </w:rPr>
      </w:pPr>
    </w:p>
    <w:p w14:paraId="6097060A"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14:paraId="1CCFA9DE" w14:textId="77777777" w:rsidR="00035854" w:rsidRDefault="00035854">
      <w:pPr>
        <w:tabs>
          <w:tab w:val="left" w:pos="709"/>
        </w:tabs>
        <w:ind w:left="851" w:right="760"/>
        <w:jc w:val="both"/>
        <w:rPr>
          <w:rFonts w:ascii="Palatino Linotype" w:eastAsia="Palatino Linotype" w:hAnsi="Palatino Linotype" w:cs="Palatino Linotype"/>
          <w:i/>
          <w:sz w:val="22"/>
          <w:szCs w:val="22"/>
        </w:rPr>
      </w:pPr>
    </w:p>
    <w:p w14:paraId="65B46344"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51. Los sujetos obligados designarán a un responsable para atender la Unidad de Transparencia, quien fungirá como enlace entre éstos y los solicitantes. </w:t>
      </w:r>
      <w:r>
        <w:rPr>
          <w:rFonts w:ascii="Palatino Linotype" w:eastAsia="Palatino Linotype" w:hAnsi="Palatino Linotype" w:cs="Palatino Linotype"/>
          <w:b/>
          <w:i/>
          <w:sz w:val="22"/>
          <w:szCs w:val="22"/>
          <w:u w:val="single"/>
        </w:rPr>
        <w:t>Dicha Unidad será la encargada de tramitar internamente la solicitud de información</w:t>
      </w:r>
      <w:r>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4511BB1"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6A03608"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Artículo 53. Las Unidades de Transparencia tendrán las siguientes funciones:</w:t>
      </w:r>
    </w:p>
    <w:p w14:paraId="0B45BDDB"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D913215"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Recibir, tramitar y dar respuesta a las solicitudes de acceso a la información; </w:t>
      </w:r>
    </w:p>
    <w:p w14:paraId="163B19F6"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5FAD08" w14:textId="77777777" w:rsidR="00035854" w:rsidRDefault="001E746A">
      <w:pPr>
        <w:tabs>
          <w:tab w:val="left" w:pos="709"/>
        </w:tabs>
        <w:ind w:left="851" w:right="76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14:paraId="157E14BA"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 Entregar, en su caso, a los particulares la información solicitada; </w:t>
      </w:r>
    </w:p>
    <w:p w14:paraId="20EDF120" w14:textId="77777777" w:rsidR="00035854" w:rsidRDefault="001E746A">
      <w:pPr>
        <w:tabs>
          <w:tab w:val="left" w:pos="709"/>
        </w:tabs>
        <w:ind w:left="851"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Efectuar las notificaciones a los solicitantes;”</w:t>
      </w:r>
    </w:p>
    <w:p w14:paraId="63480C06" w14:textId="77777777" w:rsidR="00035854" w:rsidRDefault="00035854">
      <w:pPr>
        <w:spacing w:line="360" w:lineRule="auto"/>
        <w:jc w:val="both"/>
        <w:rPr>
          <w:rFonts w:ascii="Palatino Linotype" w:eastAsia="Palatino Linotype" w:hAnsi="Palatino Linotype" w:cs="Palatino Linotype"/>
          <w:sz w:val="22"/>
          <w:szCs w:val="22"/>
        </w:rPr>
      </w:pPr>
    </w:p>
    <w:p w14:paraId="5E02333F"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el asunto que nos ocupa, es de señalar que, el Titular de la Unidad de Transparencia realizó el requerimiento correspondiente al Servidor Público Habilitado el </w:t>
      </w:r>
      <w:r>
        <w:rPr>
          <w:rFonts w:ascii="Palatino Linotype" w:eastAsia="Palatino Linotype" w:hAnsi="Palatino Linotype" w:cs="Palatino Linotype"/>
        </w:rPr>
        <w:t>mismo</w:t>
      </w:r>
      <w:r>
        <w:rPr>
          <w:rFonts w:ascii="Palatino Linotype" w:eastAsia="Palatino Linotype" w:hAnsi="Palatino Linotype" w:cs="Palatino Linotype"/>
          <w:color w:val="000000"/>
        </w:rPr>
        <w:t xml:space="preserve"> día en que el particular presentó la solicitud de información, es decir, el veintiocho de marzo de dos mil veintidós, y fue hasta el dieciocho de abril de mimo año, esto es,  el décimo día hábil posterior a la  presentación de la solicitud, el Servidor Público Habilitado respondió que:</w:t>
      </w:r>
      <w:r>
        <w:rPr>
          <w:rFonts w:ascii="Palatino Linotype" w:eastAsia="Palatino Linotype" w:hAnsi="Palatino Linotype" w:cs="Palatino Linotype"/>
          <w:i/>
          <w:color w:val="000000"/>
        </w:rPr>
        <w:t>”…</w:t>
      </w:r>
      <w:r>
        <w:rPr>
          <w:color w:val="000000"/>
        </w:rPr>
        <w:t xml:space="preserve"> </w:t>
      </w:r>
      <w:r>
        <w:rPr>
          <w:rFonts w:ascii="Palatino Linotype" w:eastAsia="Palatino Linotype" w:hAnsi="Palatino Linotype" w:cs="Palatino Linotype"/>
          <w:i/>
          <w:color w:val="000000"/>
        </w:rPr>
        <w:t xml:space="preserve">NO SON SUFIENTES LOS DATOS PROPORCIONADOS POR LO QUE ES NECESARIO CONTAR CON LAS COORDENADAS GEOREFERENCIADAS PARA LA UBICACIÓN DEL INMUEBLE, PARA TENER CERTEZA DEL PREDIO REFERIDO…”; </w:t>
      </w:r>
      <w:r>
        <w:rPr>
          <w:rFonts w:ascii="Palatino Linotype" w:eastAsia="Palatino Linotype" w:hAnsi="Palatino Linotype" w:cs="Palatino Linotype"/>
          <w:color w:val="000000"/>
        </w:rPr>
        <w:t xml:space="preserve">tal como se advierte en la siguiente imagen. </w:t>
      </w:r>
    </w:p>
    <w:p w14:paraId="1574D566"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14:paraId="3E2B77E8"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noProof/>
          <w:color w:val="000000"/>
          <w:lang w:val="es-MX"/>
        </w:rPr>
        <w:drawing>
          <wp:inline distT="0" distB="0" distL="0" distR="0" wp14:anchorId="2A1912A0" wp14:editId="1EEC55F3">
            <wp:extent cx="5612130" cy="1933575"/>
            <wp:effectExtent l="12700" t="12700" r="12700" b="127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933575"/>
                    </a:xfrm>
                    <a:prstGeom prst="rect">
                      <a:avLst/>
                    </a:prstGeom>
                    <a:ln w="12700">
                      <a:solidFill>
                        <a:srgbClr val="000000"/>
                      </a:solidFill>
                      <a:prstDash val="solid"/>
                    </a:ln>
                  </pic:spPr>
                </pic:pic>
              </a:graphicData>
            </a:graphic>
          </wp:inline>
        </w:drawing>
      </w:r>
    </w:p>
    <w:p w14:paraId="24A3CE8F"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B37FE2B"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lo que,  el Pleno de este Instituto insta al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para que  tome las medidas necesarias para que en el trámite para atención a las solicitudes de información se observen los plazos y formalidades establecidos en la Ley en la materia, con el objeto de respetar y garantizar adecuadamente el ejercicio del derecho de acceso a la información pública. </w:t>
      </w:r>
    </w:p>
    <w:p w14:paraId="6E1E96A1"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685849E"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 la solicitud formulada por el particular, se advierte que aportó los elementos necesarios para localizar la información solicitada, ya que refirió que el inmueble se encuentra ubicado en el sureste de la Plaza Constitución, en la Cabecera Municipal, aunado a que el mismo solicitante proporcionó la clave catastral. </w:t>
      </w:r>
    </w:p>
    <w:p w14:paraId="6B3D6B0D"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E40C0C5"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es preciso referir que  el </w:t>
      </w:r>
      <w:r>
        <w:rPr>
          <w:rFonts w:ascii="Palatino Linotype" w:eastAsia="Palatino Linotype" w:hAnsi="Palatino Linotype" w:cs="Palatino Linotype"/>
          <w:color w:val="222222"/>
        </w:rPr>
        <w:t xml:space="preserve">artículo 179 del </w:t>
      </w:r>
      <w:r>
        <w:rPr>
          <w:rFonts w:ascii="Palatino Linotype" w:eastAsia="Palatino Linotype" w:hAnsi="Palatino Linotype" w:cs="Palatino Linotype"/>
          <w:color w:val="000000"/>
        </w:rPr>
        <w:t xml:space="preserve">Código Financiero del Estado de México y Municipios, establece que la </w:t>
      </w:r>
      <w:r>
        <w:rPr>
          <w:rFonts w:ascii="Palatino Linotype" w:eastAsia="Palatino Linotype" w:hAnsi="Palatino Linotype" w:cs="Palatino Linotype"/>
          <w:b/>
          <w:color w:val="000000"/>
          <w:u w:val="single"/>
        </w:rPr>
        <w:t>clave catastral</w:t>
      </w:r>
      <w:r>
        <w:rPr>
          <w:rFonts w:ascii="Palatino Linotype" w:eastAsia="Palatino Linotype" w:hAnsi="Palatino Linotype" w:cs="Palatino Linotype"/>
          <w:color w:val="000000"/>
        </w:rPr>
        <w:t xml:space="preserve"> el código alfanumérico único e irrepetible y está compuesto de dieciséis caracteres, que se asigna para efectos de </w:t>
      </w:r>
      <w:r>
        <w:rPr>
          <w:rFonts w:ascii="Palatino Linotype" w:eastAsia="Palatino Linotype" w:hAnsi="Palatino Linotype" w:cs="Palatino Linotype"/>
          <w:color w:val="000000"/>
          <w:u w:val="single"/>
        </w:rPr>
        <w:t>localización geográfica, identificación, inscripción, control y registro de los inmuebles</w:t>
      </w:r>
      <w:r>
        <w:rPr>
          <w:rFonts w:ascii="Palatino Linotype" w:eastAsia="Palatino Linotype" w:hAnsi="Palatino Linotype" w:cs="Palatino Linotype"/>
          <w:color w:val="000000"/>
        </w:rPr>
        <w:t>; los diez primeros deben ser caracteres numéricos y los seis últimos pueden ser alfanuméricos; su integración corresponde invariablemente y en estricto orden, a esta estructura: los tres primeros identifican al código del municipio, las dos siguientes a la zona catastral, los tres que siguen a la manzana y los dos siguientes al número de lote o predio; cuando se trate de condominios, las siguientes dos posiciones identifican el edificio y las cuatro últimas el número de departamento, en los casos de propiedades individuales estos seis últimos caracteres se codifican con ceros.”</w:t>
      </w:r>
    </w:p>
    <w:p w14:paraId="0530008A" w14:textId="77777777" w:rsidR="00035854" w:rsidRDefault="00035854">
      <w:pPr>
        <w:spacing w:line="360" w:lineRule="auto"/>
        <w:jc w:val="both"/>
        <w:rPr>
          <w:rFonts w:ascii="Palatino Linotype" w:eastAsia="Palatino Linotype" w:hAnsi="Palatino Linotype" w:cs="Palatino Linotype"/>
        </w:rPr>
      </w:pPr>
    </w:p>
    <w:p w14:paraId="1D915FBD"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consiguiente, la clave catastral proporcionada por el </w:t>
      </w:r>
      <w:r>
        <w:rPr>
          <w:rFonts w:ascii="Palatino Linotype" w:eastAsia="Palatino Linotype" w:hAnsi="Palatino Linotype" w:cs="Palatino Linotype"/>
          <w:b/>
          <w:color w:val="000000"/>
        </w:rPr>
        <w:t xml:space="preserve"> RECURRENTE </w:t>
      </w:r>
      <w:r>
        <w:rPr>
          <w:rFonts w:ascii="Palatino Linotype" w:eastAsia="Palatino Linotype" w:hAnsi="Palatino Linotype" w:cs="Palatino Linotype"/>
          <w:color w:val="000000"/>
        </w:rPr>
        <w:t xml:space="preserve">en la solicitud refiere un predio determinado y permite la ubicación del inmueble sobre el cual se requiere la información. </w:t>
      </w:r>
    </w:p>
    <w:p w14:paraId="6D129293"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8E0517" w14:textId="77777777" w:rsidR="00035854" w:rsidRDefault="001E74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es de señalar que una vez que el </w:t>
      </w:r>
      <w:r>
        <w:rPr>
          <w:rFonts w:ascii="Palatino Linotype" w:eastAsia="Palatino Linotype" w:hAnsi="Palatino Linotype" w:cs="Palatino Linotype"/>
          <w:b/>
        </w:rPr>
        <w:t>RECURRENTE</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conoció la respuesta, interpuso el recurso de revisión en el que manifestó como razones y/o motivos de inconformidad, que la clave catastral proporcionada al momento de formular la solicitud debería ser suficiente ya que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posee los datos del inmueble, más </w:t>
      </w:r>
      <w:r>
        <w:rPr>
          <w:rFonts w:ascii="Palatino Linotype" w:eastAsia="Palatino Linotype" w:hAnsi="Palatino Linotype" w:cs="Palatino Linotype"/>
        </w:rPr>
        <w:t>aún</w:t>
      </w:r>
      <w:r>
        <w:rPr>
          <w:rFonts w:ascii="Palatino Linotype" w:eastAsia="Palatino Linotype" w:hAnsi="Palatino Linotype" w:cs="Palatino Linotype"/>
          <w:color w:val="000000"/>
        </w:rPr>
        <w:t xml:space="preserve"> cuando se trata de la clave catastral que refirió en la autorización para recuperación administrativa en la sesión de cabildo número 129 celebrada el primero de diciembre de dos mil veintiuno.</w:t>
      </w:r>
    </w:p>
    <w:p w14:paraId="6F662E93" w14:textId="77777777" w:rsidR="00035854" w:rsidRDefault="0003585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3E15BAE8" w14:textId="77777777" w:rsidR="00035854" w:rsidRDefault="001E74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cabe señalar que de la respuesta del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no se advierte que el mismo sea incompetente para generar, administrar o poseer la información solicitada, sino que únicamente refirió que no contaba con los elementos suficientes para localizar la información; no obstante, al hacer uso de su derecho, a través del informe justificado el Director General de Obras Públicas refirió que de conformidad con lo dispuesto en los artículos 242 y 243 del Bando Municipal vigente y los artículos 60 y 61 del Reglamento Orgánico Municipal no forma parte de sus atribuciones o facultades generar el documento o información solicitada.  </w:t>
      </w:r>
    </w:p>
    <w:p w14:paraId="62B039B6" w14:textId="77777777" w:rsidR="00035854" w:rsidRDefault="0003585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1DA2D662" w14:textId="77777777" w:rsidR="00035854" w:rsidRDefault="001E746A">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No obstante lo anterior, es oportuno citar  que de conformidad con el </w:t>
      </w:r>
      <w:r>
        <w:rPr>
          <w:rFonts w:ascii="Palatino Linotype" w:eastAsia="Palatino Linotype" w:hAnsi="Palatino Linotype" w:cs="Palatino Linotype"/>
          <w:b/>
          <w:color w:val="000000"/>
        </w:rPr>
        <w:t>Código Administrativo del Estado de México</w:t>
      </w:r>
      <w:r>
        <w:rPr>
          <w:rFonts w:ascii="Palatino Linotype" w:eastAsia="Palatino Linotype" w:hAnsi="Palatino Linotype" w:cs="Palatino Linotype"/>
          <w:color w:val="000000"/>
        </w:rPr>
        <w:t xml:space="preserve">, es atribución de los Municipios el expedir </w:t>
      </w:r>
      <w:r>
        <w:rPr>
          <w:rFonts w:ascii="Palatino Linotype" w:eastAsia="Palatino Linotype" w:hAnsi="Palatino Linotype" w:cs="Palatino Linotype"/>
          <w:color w:val="000000"/>
          <w:u w:val="single"/>
        </w:rPr>
        <w:t>licencias, permisos y constancias en materia de construcción</w:t>
      </w:r>
      <w:r>
        <w:rPr>
          <w:rFonts w:ascii="Palatino Linotype" w:eastAsia="Palatino Linotype" w:hAnsi="Palatino Linotype" w:cs="Palatino Linotype"/>
          <w:color w:val="000000"/>
        </w:rPr>
        <w:t xml:space="preserve">; fijar las restricciones a las que deban sujetarse las construcciones; </w:t>
      </w:r>
      <w:r>
        <w:rPr>
          <w:rFonts w:ascii="Palatino Linotype" w:eastAsia="Palatino Linotype" w:hAnsi="Palatino Linotype" w:cs="Palatino Linotype"/>
          <w:b/>
          <w:color w:val="000000"/>
          <w:u w:val="single"/>
        </w:rPr>
        <w:t>vigilar que su proceso, terminación o demolición, se realice conforme a lo dispuesto por dicho Código, las Normas Técnicas, los planes municipales de desarrollo urbano y demás normatividad aplicable</w:t>
      </w:r>
      <w:r>
        <w:rPr>
          <w:rFonts w:ascii="Palatino Linotype" w:eastAsia="Palatino Linotype" w:hAnsi="Palatino Linotype" w:cs="Palatino Linotype"/>
          <w:color w:val="000000"/>
        </w:rPr>
        <w:t xml:space="preserve">; así como, contar con servidores públicos especializados en la materia; para lo cual, el artículo 18.6 fracciones II, III y VI establece como atribuciones de los Municipios las siguientes: </w:t>
      </w:r>
    </w:p>
    <w:p w14:paraId="0B072A39" w14:textId="77777777" w:rsidR="00035854" w:rsidRDefault="00035854">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2CEB7E29"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18.6.-</w:t>
      </w:r>
      <w:r>
        <w:rPr>
          <w:rFonts w:ascii="Palatino Linotype" w:eastAsia="Palatino Linotype" w:hAnsi="Palatino Linotype" w:cs="Palatino Linotype"/>
          <w:i/>
          <w:color w:val="000000"/>
          <w:sz w:val="22"/>
          <w:szCs w:val="22"/>
        </w:rPr>
        <w:t xml:space="preserve"> Son atribuciones de los Municipios:</w:t>
      </w:r>
    </w:p>
    <w:p w14:paraId="6153C03C"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6502B9BA"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w:t>
      </w:r>
      <w:r>
        <w:rPr>
          <w:rFonts w:ascii="Palatino Linotype" w:eastAsia="Palatino Linotype" w:hAnsi="Palatino Linotype" w:cs="Palatino Linotype"/>
          <w:b/>
          <w:i/>
          <w:color w:val="000000"/>
          <w:sz w:val="22"/>
          <w:szCs w:val="22"/>
          <w:u w:val="single"/>
        </w:rPr>
        <w:t>Expedir licencias, permisos</w:t>
      </w:r>
      <w:r>
        <w:rPr>
          <w:rFonts w:ascii="Palatino Linotype" w:eastAsia="Palatino Linotype" w:hAnsi="Palatino Linotype" w:cs="Palatino Linotype"/>
          <w:i/>
          <w:color w:val="000000"/>
          <w:sz w:val="22"/>
          <w:szCs w:val="22"/>
        </w:rPr>
        <w:t xml:space="preserve"> y constancias en materia de construcción, de conformidad con lo dispuesto por este Libro, las Normas Técnicas, los planes municipales de desarrollo urbano y demás normatividad aplicable;</w:t>
      </w:r>
    </w:p>
    <w:p w14:paraId="349BFF0B"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w:t>
      </w:r>
      <w:r>
        <w:rPr>
          <w:rFonts w:ascii="Palatino Linotype" w:eastAsia="Palatino Linotype" w:hAnsi="Palatino Linotype" w:cs="Palatino Linotype"/>
          <w:b/>
          <w:i/>
          <w:color w:val="000000"/>
          <w:sz w:val="22"/>
          <w:szCs w:val="22"/>
          <w:u w:val="single"/>
        </w:rPr>
        <w:t>Fijar las restricciones a que deban sujetarse las construcciones</w:t>
      </w:r>
      <w:r>
        <w:rPr>
          <w:rFonts w:ascii="Palatino Linotype" w:eastAsia="Palatino Linotype" w:hAnsi="Palatino Linotype" w:cs="Palatino Linotype"/>
          <w:i/>
          <w:color w:val="000000"/>
          <w:sz w:val="22"/>
          <w:szCs w:val="22"/>
        </w:rPr>
        <w:t>;</w:t>
      </w:r>
    </w:p>
    <w:p w14:paraId="5F94271B"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1AD160B"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i/>
          <w:color w:val="000000"/>
          <w:sz w:val="22"/>
          <w:szCs w:val="22"/>
        </w:rPr>
        <w:t xml:space="preserve">VI. Vigilar que las construcciones en proceso, terminadas o </w:t>
      </w:r>
      <w:r>
        <w:rPr>
          <w:rFonts w:ascii="Palatino Linotype" w:eastAsia="Palatino Linotype" w:hAnsi="Palatino Linotype" w:cs="Palatino Linotype"/>
          <w:b/>
          <w:i/>
          <w:color w:val="000000"/>
          <w:sz w:val="22"/>
          <w:szCs w:val="22"/>
          <w:u w:val="single"/>
        </w:rPr>
        <w:t>en demolición</w:t>
      </w:r>
      <w:r>
        <w:rPr>
          <w:rFonts w:ascii="Palatino Linotype" w:eastAsia="Palatino Linotype" w:hAnsi="Palatino Linotype" w:cs="Palatino Linotype"/>
          <w:i/>
          <w:color w:val="000000"/>
          <w:sz w:val="22"/>
          <w:szCs w:val="22"/>
        </w:rPr>
        <w:t xml:space="preserve">, se </w:t>
      </w:r>
      <w:r>
        <w:rPr>
          <w:rFonts w:ascii="Palatino Linotype" w:eastAsia="Palatino Linotype" w:hAnsi="Palatino Linotype" w:cs="Palatino Linotype"/>
          <w:b/>
          <w:i/>
          <w:color w:val="000000"/>
          <w:sz w:val="22"/>
          <w:szCs w:val="22"/>
          <w:u w:val="single"/>
        </w:rPr>
        <w:t>ajusten a las disposiciones de este Libro</w:t>
      </w:r>
      <w:r>
        <w:rPr>
          <w:rFonts w:ascii="Palatino Linotype" w:eastAsia="Palatino Linotype" w:hAnsi="Palatino Linotype" w:cs="Palatino Linotype"/>
          <w:i/>
          <w:color w:val="000000"/>
          <w:sz w:val="22"/>
          <w:szCs w:val="22"/>
        </w:rPr>
        <w:t xml:space="preserve">, de los planes municipales de desarrollo urbano, </w:t>
      </w:r>
      <w:r>
        <w:rPr>
          <w:rFonts w:ascii="Palatino Linotype" w:eastAsia="Palatino Linotype" w:hAnsi="Palatino Linotype" w:cs="Palatino Linotype"/>
          <w:b/>
          <w:i/>
          <w:color w:val="000000"/>
          <w:sz w:val="22"/>
          <w:szCs w:val="22"/>
          <w:u w:val="single"/>
        </w:rPr>
        <w:t>de las licencias y permisos de construcción y demás normatividad aplicable;</w:t>
      </w:r>
    </w:p>
    <w:p w14:paraId="783378A9" w14:textId="77777777" w:rsidR="00035854" w:rsidRDefault="00035854">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p>
    <w:p w14:paraId="69A8F556"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el artículo 18.20 del ordenamiento jurídico antes citado, establece que la Licencia de Construcción tiene por objeto autorizar: </w:t>
      </w:r>
    </w:p>
    <w:p w14:paraId="11D8CD85"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55122A9" w14:textId="77777777" w:rsidR="00035854" w:rsidRDefault="001E746A">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18.20</w:t>
      </w:r>
      <w:r>
        <w:rPr>
          <w:rFonts w:ascii="Palatino Linotype" w:eastAsia="Palatino Linotype" w:hAnsi="Palatino Linotype" w:cs="Palatino Linotype"/>
          <w:i/>
          <w:color w:val="000000"/>
          <w:sz w:val="22"/>
          <w:szCs w:val="22"/>
        </w:rPr>
        <w:t>.- La licencia de construcción tiene por objeto autorizar:</w:t>
      </w:r>
    </w:p>
    <w:p w14:paraId="54AB81D6" w14:textId="77777777" w:rsidR="00035854" w:rsidRDefault="001E746A">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w:t>
      </w:r>
    </w:p>
    <w:p w14:paraId="52A0E3C8" w14:textId="77777777" w:rsidR="00035854" w:rsidRDefault="001E746A">
      <w:pPr>
        <w:pBdr>
          <w:top w:val="nil"/>
          <w:left w:val="nil"/>
          <w:bottom w:val="nil"/>
          <w:right w:val="nil"/>
          <w:between w:val="nil"/>
        </w:pBdr>
        <w:spacing w:line="276" w:lineRule="auto"/>
        <w:ind w:left="851" w:right="616"/>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i/>
          <w:color w:val="000000"/>
          <w:sz w:val="22"/>
          <w:szCs w:val="22"/>
        </w:rPr>
        <w:t xml:space="preserve">III. </w:t>
      </w:r>
      <w:r>
        <w:rPr>
          <w:rFonts w:ascii="Palatino Linotype" w:eastAsia="Palatino Linotype" w:hAnsi="Palatino Linotype" w:cs="Palatino Linotype"/>
          <w:b/>
          <w:i/>
          <w:color w:val="000000"/>
          <w:sz w:val="22"/>
          <w:szCs w:val="22"/>
          <w:u w:val="single"/>
        </w:rPr>
        <w:t>Demolición parcial o total;</w:t>
      </w:r>
    </w:p>
    <w:p w14:paraId="014F3EDC" w14:textId="77777777" w:rsidR="00035854" w:rsidRDefault="001E746A">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82B312C" w14:textId="77777777" w:rsidR="00035854" w:rsidRDefault="001E746A">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sz w:val="22"/>
          <w:szCs w:val="22"/>
          <w:u w:val="single"/>
        </w:rPr>
      </w:pPr>
      <w:r>
        <w:rPr>
          <w:rFonts w:ascii="Palatino Linotype" w:eastAsia="Palatino Linotype" w:hAnsi="Palatino Linotype" w:cs="Palatino Linotype"/>
          <w:i/>
          <w:color w:val="000000"/>
          <w:sz w:val="22"/>
          <w:szCs w:val="22"/>
        </w:rPr>
        <w:t xml:space="preserve">La autoridad municipal que </w:t>
      </w:r>
      <w:r>
        <w:rPr>
          <w:rFonts w:ascii="Palatino Linotype" w:eastAsia="Palatino Linotype" w:hAnsi="Palatino Linotype" w:cs="Palatino Linotype"/>
          <w:i/>
          <w:color w:val="000000"/>
          <w:sz w:val="22"/>
          <w:szCs w:val="22"/>
          <w:u w:val="single"/>
        </w:rPr>
        <w:t>emita la licencia de construcción deberá revisar que en el proyecto que autoriza se observen las disposiciones de este Libro, las Normas Técnicas y demás disposiciones jurídicas aplicables.</w:t>
      </w:r>
    </w:p>
    <w:p w14:paraId="0C0A481F" w14:textId="77777777" w:rsidR="00035854" w:rsidRDefault="00035854">
      <w:pPr>
        <w:pBdr>
          <w:top w:val="nil"/>
          <w:left w:val="nil"/>
          <w:bottom w:val="nil"/>
          <w:right w:val="nil"/>
          <w:between w:val="nil"/>
        </w:pBdr>
        <w:spacing w:line="360" w:lineRule="auto"/>
        <w:ind w:left="851" w:right="616"/>
        <w:jc w:val="both"/>
        <w:rPr>
          <w:rFonts w:ascii="Palatino Linotype" w:eastAsia="Palatino Linotype" w:hAnsi="Palatino Linotype" w:cs="Palatino Linotype"/>
          <w:color w:val="000000"/>
        </w:rPr>
      </w:pPr>
    </w:p>
    <w:p w14:paraId="017D71C2"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Correlativo a lo anterior, el artículo 18.21 establece los documentos mínimos que deben acompañar a la licencia de construcción, siendo los siguientes: </w:t>
      </w:r>
    </w:p>
    <w:p w14:paraId="4481BE32"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06A7023"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b/>
          <w:i/>
          <w:color w:val="000000"/>
          <w:sz w:val="22"/>
          <w:szCs w:val="22"/>
          <w:u w:val="single"/>
        </w:rPr>
      </w:pPr>
      <w:r>
        <w:rPr>
          <w:rFonts w:ascii="Palatino Linotype" w:eastAsia="Palatino Linotype" w:hAnsi="Palatino Linotype" w:cs="Palatino Linotype"/>
          <w:b/>
          <w:i/>
          <w:color w:val="000000"/>
          <w:sz w:val="22"/>
          <w:szCs w:val="22"/>
        </w:rPr>
        <w:t>“Artículo 18.21</w:t>
      </w:r>
      <w:r>
        <w:rPr>
          <w:rFonts w:ascii="Palatino Linotype" w:eastAsia="Palatino Linotype" w:hAnsi="Palatino Linotype" w:cs="Palatino Linotype"/>
          <w:i/>
          <w:color w:val="000000"/>
          <w:sz w:val="22"/>
          <w:szCs w:val="22"/>
        </w:rPr>
        <w:t xml:space="preserve">.- A la </w:t>
      </w:r>
      <w:r>
        <w:rPr>
          <w:rFonts w:ascii="Palatino Linotype" w:eastAsia="Palatino Linotype" w:hAnsi="Palatino Linotype" w:cs="Palatino Linotype"/>
          <w:b/>
          <w:i/>
          <w:color w:val="000000"/>
          <w:sz w:val="22"/>
          <w:szCs w:val="22"/>
          <w:u w:val="single"/>
        </w:rPr>
        <w:t>solicitud de licencia de construcción se acompañará como mínimo:</w:t>
      </w:r>
    </w:p>
    <w:p w14:paraId="4E5CCA34"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Documento que acredite la personalidad del solicitante; </w:t>
      </w:r>
    </w:p>
    <w:p w14:paraId="58C5FE69"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Documento que acredite la propiedad o la posesión en concepto de propietario del inmueble; </w:t>
      </w:r>
    </w:p>
    <w:p w14:paraId="3EBDF3F6"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De acuerdo al tipo de licencia de construcción que se solicite, adicionalmente se requerirá:</w:t>
      </w:r>
    </w:p>
    <w:p w14:paraId="1844FAD6"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957AEBF"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C). </w:t>
      </w:r>
      <w:r>
        <w:rPr>
          <w:rFonts w:ascii="Palatino Linotype" w:eastAsia="Palatino Linotype" w:hAnsi="Palatino Linotype" w:cs="Palatino Linotype"/>
          <w:b/>
          <w:i/>
          <w:color w:val="000000"/>
          <w:sz w:val="22"/>
          <w:szCs w:val="22"/>
          <w:u w:val="single"/>
        </w:rPr>
        <w:t>Para demolición parcial o total</w:t>
      </w:r>
      <w:r>
        <w:rPr>
          <w:rFonts w:ascii="Palatino Linotype" w:eastAsia="Palatino Linotype" w:hAnsi="Palatino Linotype" w:cs="Palatino Linotype"/>
          <w:i/>
          <w:color w:val="000000"/>
          <w:sz w:val="22"/>
          <w:szCs w:val="22"/>
        </w:rPr>
        <w:t>:</w:t>
      </w:r>
    </w:p>
    <w:p w14:paraId="23D7A869" w14:textId="77777777" w:rsidR="00035854" w:rsidRDefault="00035854">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p>
    <w:p w14:paraId="23648183"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1. Croquis arquitectónico de la construcción existente, indicando el área a demoler; </w:t>
      </w:r>
    </w:p>
    <w:p w14:paraId="61C94F5C" w14:textId="77777777" w:rsidR="00035854" w:rsidRDefault="00035854">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p>
    <w:p w14:paraId="02F67549"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u w:val="single"/>
        </w:rPr>
      </w:pPr>
      <w:r>
        <w:rPr>
          <w:rFonts w:ascii="Palatino Linotype" w:eastAsia="Palatino Linotype" w:hAnsi="Palatino Linotype" w:cs="Palatino Linotype"/>
          <w:i/>
          <w:color w:val="000000"/>
          <w:sz w:val="22"/>
          <w:szCs w:val="22"/>
        </w:rPr>
        <w:t xml:space="preserve">2. </w:t>
      </w:r>
      <w:r>
        <w:rPr>
          <w:rFonts w:ascii="Palatino Linotype" w:eastAsia="Palatino Linotype" w:hAnsi="Palatino Linotype" w:cs="Palatino Linotype"/>
          <w:b/>
          <w:i/>
          <w:color w:val="000000"/>
          <w:sz w:val="22"/>
          <w:szCs w:val="22"/>
          <w:u w:val="single"/>
        </w:rPr>
        <w:t>Memoria y programa del proceso de demolición</w:t>
      </w:r>
      <w:r>
        <w:rPr>
          <w:rFonts w:ascii="Palatino Linotype" w:eastAsia="Palatino Linotype" w:hAnsi="Palatino Linotype" w:cs="Palatino Linotype"/>
          <w:i/>
          <w:color w:val="000000"/>
          <w:sz w:val="22"/>
          <w:szCs w:val="22"/>
          <w:u w:val="single"/>
        </w:rPr>
        <w:t xml:space="preserve">, en el que se indicará el orden, volumen estimado y fechas aproximadas en que se demolerán los elementos de la construcción. Tratándose de demoliciones con un área mayor de cuarenta metros cuadrados en planta baja o de veinte metros cuadrados en niveles superiores, la memoria y el programa deberán ser firmados por perito responsable de obra; </w:t>
      </w:r>
    </w:p>
    <w:p w14:paraId="43FE2479" w14:textId="77777777" w:rsidR="00035854" w:rsidRDefault="00035854">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p>
    <w:p w14:paraId="07C9FD38" w14:textId="77777777" w:rsidR="00035854" w:rsidRDefault="001E746A">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3. Autorización de la demolición por parte de las autoridades federales que correspondan, cuando ésta se localice en zonas declaradas como patrimonio histórico, artístico y arqueológico o cuando se trate de inmuebles que se ubiquen en zonas de conservación patrimonial previstas por los planes de desarrollo urbano.</w:t>
      </w:r>
    </w:p>
    <w:p w14:paraId="6B040DDB" w14:textId="77777777" w:rsidR="00035854" w:rsidRDefault="00035854">
      <w:pPr>
        <w:pBdr>
          <w:top w:val="nil"/>
          <w:left w:val="nil"/>
          <w:bottom w:val="nil"/>
          <w:right w:val="nil"/>
          <w:between w:val="nil"/>
        </w:pBdr>
        <w:spacing w:line="360" w:lineRule="auto"/>
        <w:ind w:left="851" w:right="616"/>
        <w:jc w:val="both"/>
        <w:rPr>
          <w:rFonts w:ascii="Palatino Linotype" w:eastAsia="Palatino Linotype" w:hAnsi="Palatino Linotype" w:cs="Palatino Linotype"/>
          <w:color w:val="000000"/>
          <w:sz w:val="22"/>
          <w:szCs w:val="22"/>
        </w:rPr>
      </w:pPr>
    </w:p>
    <w:p w14:paraId="15947376"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Asimismo, el artículo el artículo 18.60 establece: </w:t>
      </w:r>
    </w:p>
    <w:p w14:paraId="7B1E34BB"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0D9D2FB"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lastRenderedPageBreak/>
        <w:t>“Artículo 18.60.-</w:t>
      </w:r>
      <w:r>
        <w:rPr>
          <w:rFonts w:ascii="Palatino Linotype" w:eastAsia="Palatino Linotype" w:hAnsi="Palatino Linotype" w:cs="Palatino Linotype"/>
          <w:i/>
          <w:color w:val="000000"/>
          <w:sz w:val="22"/>
          <w:szCs w:val="22"/>
        </w:rPr>
        <w:t xml:space="preserve"> En caso de prever el uso de explosivos, </w:t>
      </w:r>
      <w:r>
        <w:rPr>
          <w:rFonts w:ascii="Palatino Linotype" w:eastAsia="Palatino Linotype" w:hAnsi="Palatino Linotype" w:cs="Palatino Linotype"/>
          <w:b/>
          <w:i/>
          <w:color w:val="000000"/>
          <w:sz w:val="22"/>
          <w:szCs w:val="22"/>
          <w:u w:val="single"/>
        </w:rPr>
        <w:t>el programa de demolición</w:t>
      </w:r>
      <w:r>
        <w:rPr>
          <w:rFonts w:ascii="Palatino Linotype" w:eastAsia="Palatino Linotype" w:hAnsi="Palatino Linotype" w:cs="Palatino Linotype"/>
          <w:i/>
          <w:color w:val="000000"/>
          <w:sz w:val="22"/>
          <w:szCs w:val="22"/>
        </w:rPr>
        <w:t xml:space="preserve"> señalará con toda precisión el o los días y la o las horas en que se realizarán las explosiones, debiendo la autoridad municipal avisar a los vecinos la fecha y hora exacta de las explosiones, cuando menos con veinticuatro horas de anticipación. </w:t>
      </w:r>
    </w:p>
    <w:p w14:paraId="4F7FDA7F"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color w:val="000000"/>
        </w:rPr>
      </w:pPr>
      <w:r>
        <w:rPr>
          <w:rFonts w:ascii="Palatino Linotype" w:eastAsia="Palatino Linotype" w:hAnsi="Palatino Linotype" w:cs="Palatino Linotype"/>
          <w:i/>
          <w:color w:val="000000"/>
          <w:sz w:val="22"/>
          <w:szCs w:val="22"/>
        </w:rPr>
        <w:t>El uso de explosivos para demoliciones quedará condicionado a que la Secretaría de la Defensa Nacional otorgue el permiso correspondiente</w:t>
      </w:r>
      <w:r>
        <w:rPr>
          <w:color w:val="000000"/>
        </w:rPr>
        <w:t xml:space="preserve">.” </w:t>
      </w:r>
    </w:p>
    <w:p w14:paraId="76EE28E1"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9A32B69"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de los preceptos normativos citados se colige que como requisito para la emisión de la licencia de construcción, en los casos de demolición parcial o total, el Municipio deberá requerir como uno de los requisitos mínimos una memoria y programa del proceso de demolición, en el que se indicará el procedimiento, volumen y fechas aproximadas en que se demolerán los elementos de la construcción. </w:t>
      </w:r>
    </w:p>
    <w:p w14:paraId="73C535BB"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FAB37EC" w14:textId="77777777" w:rsidR="00035854" w:rsidRDefault="001E746A">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cabe señalar que el </w:t>
      </w:r>
      <w:r>
        <w:rPr>
          <w:rFonts w:ascii="Palatino Linotype" w:eastAsia="Palatino Linotype" w:hAnsi="Palatino Linotype" w:cs="Palatino Linotype"/>
          <w:b/>
          <w:color w:val="000000"/>
        </w:rPr>
        <w:t>Reglamento Orgánico Municipal de Chicoloapan</w:t>
      </w:r>
      <w:r>
        <w:rPr>
          <w:rFonts w:ascii="Palatino Linotype" w:eastAsia="Palatino Linotype" w:hAnsi="Palatino Linotype" w:cs="Palatino Linotype"/>
          <w:color w:val="000000"/>
        </w:rPr>
        <w:t xml:space="preserve"> en el artículo 40 fracción XVII establece: </w:t>
      </w:r>
    </w:p>
    <w:p w14:paraId="168D55A5" w14:textId="77777777" w:rsidR="00035854" w:rsidRDefault="00035854">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71B46A0"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40</w:t>
      </w:r>
      <w:r>
        <w:rPr>
          <w:rFonts w:ascii="Palatino Linotype" w:eastAsia="Palatino Linotype" w:hAnsi="Palatino Linotype" w:cs="Palatino Linotype"/>
          <w:i/>
          <w:color w:val="000000"/>
          <w:sz w:val="22"/>
          <w:szCs w:val="22"/>
        </w:rPr>
        <w:t xml:space="preserve">.- Para el ejercicio de la función pública de la </w:t>
      </w:r>
      <w:r>
        <w:rPr>
          <w:rFonts w:ascii="Palatino Linotype" w:eastAsia="Palatino Linotype" w:hAnsi="Palatino Linotype" w:cs="Palatino Linotype"/>
          <w:b/>
          <w:i/>
          <w:color w:val="000000"/>
          <w:sz w:val="22"/>
          <w:szCs w:val="22"/>
        </w:rPr>
        <w:t>Dirección de Desarrollo Urbano</w:t>
      </w:r>
      <w:r>
        <w:rPr>
          <w:rFonts w:ascii="Palatino Linotype" w:eastAsia="Palatino Linotype" w:hAnsi="Palatino Linotype" w:cs="Palatino Linotype"/>
          <w:i/>
          <w:color w:val="000000"/>
          <w:sz w:val="22"/>
          <w:szCs w:val="22"/>
        </w:rPr>
        <w:t>, corresponden a su titular las siguientes facultades:</w:t>
      </w:r>
    </w:p>
    <w:p w14:paraId="7C713DFD"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1F641942"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XVII. </w:t>
      </w:r>
      <w:r>
        <w:rPr>
          <w:rFonts w:ascii="Palatino Linotype" w:eastAsia="Palatino Linotype" w:hAnsi="Palatino Linotype" w:cs="Palatino Linotype"/>
          <w:b/>
          <w:i/>
          <w:color w:val="000000"/>
          <w:sz w:val="22"/>
          <w:szCs w:val="22"/>
        </w:rPr>
        <w:t>Expedir en el ámbito de su competencia</w:t>
      </w:r>
      <w:r>
        <w:rPr>
          <w:rFonts w:ascii="Palatino Linotype" w:eastAsia="Palatino Linotype" w:hAnsi="Palatino Linotype" w:cs="Palatino Linotype"/>
          <w:i/>
          <w:color w:val="000000"/>
          <w:sz w:val="22"/>
          <w:szCs w:val="22"/>
        </w:rPr>
        <w:t xml:space="preserve"> y en términos del Código Administrativo del Estado del México y del reglamento respectivo, </w:t>
      </w:r>
      <w:r>
        <w:rPr>
          <w:rFonts w:ascii="Palatino Linotype" w:eastAsia="Palatino Linotype" w:hAnsi="Palatino Linotype" w:cs="Palatino Linotype"/>
          <w:b/>
          <w:i/>
          <w:color w:val="000000"/>
          <w:sz w:val="22"/>
          <w:szCs w:val="22"/>
          <w:u w:val="single"/>
        </w:rPr>
        <w:t xml:space="preserve">las licencias de </w:t>
      </w:r>
      <w:r>
        <w:rPr>
          <w:rFonts w:ascii="Palatino Linotype" w:eastAsia="Palatino Linotype" w:hAnsi="Palatino Linotype" w:cs="Palatino Linotype"/>
          <w:i/>
          <w:color w:val="000000"/>
          <w:sz w:val="22"/>
          <w:szCs w:val="22"/>
        </w:rPr>
        <w:t xml:space="preserve">construcción, constancias de terminación o suspensión de obra, constancias de alineamiento, constancias de número oficial, ocupación temporal de la vía pública, </w:t>
      </w:r>
      <w:r>
        <w:rPr>
          <w:rFonts w:ascii="Palatino Linotype" w:eastAsia="Palatino Linotype" w:hAnsi="Palatino Linotype" w:cs="Palatino Linotype"/>
          <w:b/>
          <w:i/>
          <w:color w:val="000000"/>
          <w:sz w:val="22"/>
          <w:szCs w:val="22"/>
          <w:u w:val="single"/>
        </w:rPr>
        <w:lastRenderedPageBreak/>
        <w:t>demoliciones</w:t>
      </w:r>
      <w:r>
        <w:rPr>
          <w:rFonts w:ascii="Palatino Linotype" w:eastAsia="Palatino Linotype" w:hAnsi="Palatino Linotype" w:cs="Palatino Linotype"/>
          <w:i/>
          <w:color w:val="000000"/>
          <w:sz w:val="22"/>
          <w:szCs w:val="22"/>
        </w:rPr>
        <w:t>, excavaciones y demás documentos administrativos de su competencia;</w:t>
      </w:r>
    </w:p>
    <w:p w14:paraId="5E29C6AD" w14:textId="77777777" w:rsidR="00035854" w:rsidRDefault="001E746A">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03B7C28D" w14:textId="77777777" w:rsidR="00035854" w:rsidRDefault="001E746A">
      <w:pPr>
        <w:spacing w:line="360" w:lineRule="auto"/>
        <w:ind w:right="62"/>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de los ordenamientos previamente citados se advierte en el caso de haberse llevado a cabo la demolición del inmueble referido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debe contar con la memoria y programa del proceso de demolición. </w:t>
      </w:r>
    </w:p>
    <w:p w14:paraId="3BAF5DAF" w14:textId="77777777" w:rsidR="00035854" w:rsidRDefault="00035854">
      <w:pPr>
        <w:spacing w:line="360" w:lineRule="auto"/>
        <w:ind w:right="62"/>
        <w:jc w:val="both"/>
        <w:rPr>
          <w:rFonts w:ascii="Palatino Linotype" w:eastAsia="Palatino Linotype" w:hAnsi="Palatino Linotype" w:cs="Palatino Linotype"/>
        </w:rPr>
      </w:pPr>
    </w:p>
    <w:p w14:paraId="51A9E0D5" w14:textId="77777777" w:rsidR="00035854" w:rsidRDefault="001E746A">
      <w:pPr>
        <w:spacing w:line="360" w:lineRule="auto"/>
        <w:ind w:right="62"/>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es importante precisar que si bien es cierto que del texto literal de la solicitud se aprecia que el particular posiblemente al no ser experto y en un intento de requerir la información señala que requiere: </w:t>
      </w:r>
      <w:r>
        <w:rPr>
          <w:rFonts w:ascii="Palatino Linotype" w:eastAsia="Palatino Linotype" w:hAnsi="Palatino Linotype" w:cs="Palatino Linotype"/>
          <w:i/>
        </w:rPr>
        <w:t xml:space="preserve">“dictamen técnico utilizado para derrumbar…” </w:t>
      </w:r>
      <w:r>
        <w:rPr>
          <w:rFonts w:ascii="Palatino Linotype" w:eastAsia="Palatino Linotype" w:hAnsi="Palatino Linotype" w:cs="Palatino Linotype"/>
        </w:rPr>
        <w:t xml:space="preserve"> y en la normatividad no se aprecian atribuciones para generar un documento con esa denominación,  también lo es que el Municipio es competente para expedir </w:t>
      </w:r>
      <w:r>
        <w:rPr>
          <w:rFonts w:ascii="Palatino Linotype" w:eastAsia="Palatino Linotype" w:hAnsi="Palatino Linotype" w:cs="Palatino Linotype"/>
          <w:b/>
          <w:u w:val="single"/>
        </w:rPr>
        <w:t>licencias, permisos y constancias en materia de construcción,</w:t>
      </w:r>
      <w:r>
        <w:rPr>
          <w:rFonts w:ascii="Palatino Linotype" w:eastAsia="Palatino Linotype" w:hAnsi="Palatino Linotype" w:cs="Palatino Linotype"/>
        </w:rPr>
        <w:t xml:space="preserve"> y que para el caso de la solicitud de licencia de construcción para demolición parcial o total, se deberá entregar como uno de los requisitos </w:t>
      </w:r>
      <w:r>
        <w:rPr>
          <w:rFonts w:ascii="Palatino Linotype" w:eastAsia="Palatino Linotype" w:hAnsi="Palatino Linotype" w:cs="Palatino Linotype"/>
          <w:b/>
          <w:u w:val="single"/>
        </w:rPr>
        <w:t>mínimos la memoria y programa del proceso de demolición</w:t>
      </w:r>
      <w:r>
        <w:rPr>
          <w:rFonts w:ascii="Palatino Linotype" w:eastAsia="Palatino Linotype" w:hAnsi="Palatino Linotype" w:cs="Palatino Linotype"/>
        </w:rPr>
        <w:t xml:space="preserve">, en el que se indica procedimiento, volumen estimado, y fechas aproximadas de demolición, documento que debe obrar en los archivos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independientemente de que se trate de un inmueble propiedad de particulares o que se trate de un inmueble propiedad del Ayuntamiento, ya que se insiste, este documento contiene indica procedimiento, volumen estimado, y fechas aproximadas de demolición </w:t>
      </w:r>
    </w:p>
    <w:p w14:paraId="7D23388C" w14:textId="77777777" w:rsidR="00035854" w:rsidRDefault="001E746A">
      <w:pPr>
        <w:tabs>
          <w:tab w:val="left" w:pos="7938"/>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entendido, el Pleno de este Instituto determina realizar la suplencia de la deficiencia de la solicitud, a fin de garantizar el derecho de acceso a la información </w:t>
      </w:r>
      <w:r>
        <w:rPr>
          <w:rFonts w:ascii="Palatino Linotype" w:eastAsia="Palatino Linotype" w:hAnsi="Palatino Linotype" w:cs="Palatino Linotype"/>
        </w:rPr>
        <w:lastRenderedPageBreak/>
        <w:t xml:space="preserve">del particular, lo anterior en términos de lo </w:t>
      </w:r>
      <w:r>
        <w:rPr>
          <w:rFonts w:ascii="Palatino Linotype" w:eastAsia="Palatino Linotype" w:hAnsi="Palatino Linotype" w:cs="Palatino Linotype"/>
          <w:color w:val="000000"/>
        </w:rPr>
        <w:t xml:space="preserve">establecido en el artículo 13 de la Ley en la materia que cita: </w:t>
      </w:r>
    </w:p>
    <w:p w14:paraId="4B3D45A6" w14:textId="77777777" w:rsidR="00035854" w:rsidRDefault="001E746A">
      <w:pPr>
        <w:tabs>
          <w:tab w:val="left" w:pos="7938"/>
        </w:tabs>
        <w:spacing w:before="240" w:after="240" w:line="360"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13. El Instituto, en el ámbito de sus atribuciones, deberá suplir cualquier deficiencia para garantizar el ejercicio del derecho de acceso a la información. </w:t>
      </w:r>
    </w:p>
    <w:p w14:paraId="08A5D5A3" w14:textId="77777777" w:rsidR="00035854" w:rsidRDefault="001E746A">
      <w:pPr>
        <w:spacing w:line="360" w:lineRule="auto"/>
        <w:ind w:right="49"/>
        <w:jc w:val="both"/>
        <w:rPr>
          <w:rFonts w:ascii="Palatino Linotype" w:eastAsia="Palatino Linotype" w:hAnsi="Palatino Linotype" w:cs="Palatino Linotype"/>
        </w:rPr>
      </w:pPr>
      <w:bookmarkStart w:id="5" w:name="_heading=h.30j0zll" w:colFirst="0" w:colLast="0"/>
      <w:bookmarkEnd w:id="5"/>
      <w:r>
        <w:rPr>
          <w:rFonts w:ascii="Palatino Linotype" w:eastAsia="Palatino Linotype" w:hAnsi="Palatino Linotype" w:cs="Palatino Linotype"/>
        </w:rPr>
        <w:t xml:space="preserve">Por lo anterior, el Pleno de este Instituto determina dable ordenar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que previa búsqueda exhaustiva y razonable, haga entrega de la memoria y programa del proceso de demolición del inmueble descrito en la solicitud de información </w:t>
      </w:r>
      <w:r>
        <w:rPr>
          <w:rFonts w:ascii="Palatino Linotype" w:eastAsia="Palatino Linotype" w:hAnsi="Palatino Linotype" w:cs="Palatino Linotype"/>
          <w:b/>
        </w:rPr>
        <w:t xml:space="preserve">00142/CHICOLOAPAN/IP/2022; </w:t>
      </w:r>
      <w:r>
        <w:rPr>
          <w:rFonts w:ascii="Palatino Linotype" w:eastAsia="Palatino Linotype" w:hAnsi="Palatino Linotype" w:cs="Palatino Linotype"/>
        </w:rPr>
        <w:t xml:space="preserve">de ser procedente en versión pública, en términos del siguiente considerando. </w:t>
      </w:r>
    </w:p>
    <w:p w14:paraId="5D018A02" w14:textId="77777777" w:rsidR="00035854" w:rsidRDefault="00035854">
      <w:pPr>
        <w:spacing w:line="360" w:lineRule="auto"/>
        <w:ind w:right="49"/>
        <w:jc w:val="both"/>
        <w:rPr>
          <w:rFonts w:ascii="Palatino Linotype" w:eastAsia="Palatino Linotype" w:hAnsi="Palatino Linotype" w:cs="Palatino Linotype"/>
        </w:rPr>
      </w:pPr>
    </w:p>
    <w:p w14:paraId="1F18469F" w14:textId="77777777" w:rsidR="00035854" w:rsidRDefault="001E746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si luego de la búsqueda exhaustiva y razonable de la información, no se encontrara soporte documental relativo memoria y programa del proceso de demolición del inmueble señalado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por no haberse llevado a cabo la demolición del inmueble,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atender las formalidades que establece el fundamento jurídico plasmado en el artículo 19 de la </w:t>
      </w:r>
      <w:r>
        <w:rPr>
          <w:rFonts w:ascii="Palatino Linotype" w:eastAsia="Palatino Linotype" w:hAnsi="Palatino Linotype" w:cs="Palatino Linotype"/>
          <w:b/>
        </w:rPr>
        <w:t>Ley de Transparencia y Acceso a la Información Pública del Estado de México y Municipios</w:t>
      </w:r>
      <w:r>
        <w:rPr>
          <w:rFonts w:ascii="Palatino Linotype" w:eastAsia="Palatino Linotype" w:hAnsi="Palatino Linotype" w:cs="Palatino Linotype"/>
        </w:rPr>
        <w:t xml:space="preserve"> y que es del tenor literal siguiente:</w:t>
      </w:r>
    </w:p>
    <w:p w14:paraId="0159F7B7" w14:textId="77777777" w:rsidR="00035854" w:rsidRDefault="00035854">
      <w:pPr>
        <w:spacing w:line="360" w:lineRule="auto"/>
        <w:ind w:right="616"/>
        <w:jc w:val="both"/>
        <w:rPr>
          <w:rFonts w:ascii="Palatino Linotype" w:eastAsia="Palatino Linotype" w:hAnsi="Palatino Linotype" w:cs="Palatino Linotype"/>
        </w:rPr>
      </w:pPr>
    </w:p>
    <w:p w14:paraId="7380D290" w14:textId="77777777" w:rsidR="00035854" w:rsidRDefault="001E746A">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19.</w:t>
      </w:r>
      <w:r>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w:t>
      </w:r>
    </w:p>
    <w:p w14:paraId="301AC92A" w14:textId="77777777" w:rsidR="00035854" w:rsidRDefault="00035854">
      <w:pPr>
        <w:spacing w:line="276" w:lineRule="auto"/>
        <w:ind w:left="851" w:right="616"/>
        <w:jc w:val="both"/>
        <w:rPr>
          <w:rFonts w:ascii="Palatino Linotype" w:eastAsia="Palatino Linotype" w:hAnsi="Palatino Linotype" w:cs="Palatino Linotype"/>
          <w:i/>
          <w:sz w:val="22"/>
          <w:szCs w:val="22"/>
        </w:rPr>
      </w:pPr>
    </w:p>
    <w:p w14:paraId="0EA41006" w14:textId="77777777" w:rsidR="00035854" w:rsidRDefault="001E746A">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En los casos en que ciertas facultades, competencias o funciones no se hayan ejercido, se debe motivar la respuesta en función de las causas que motiven tal circunstancia</w:t>
      </w:r>
      <w:r>
        <w:rPr>
          <w:rFonts w:ascii="Palatino Linotype" w:eastAsia="Palatino Linotype" w:hAnsi="Palatino Linotype" w:cs="Palatino Linotype"/>
          <w:i/>
          <w:sz w:val="22"/>
          <w:szCs w:val="22"/>
        </w:rPr>
        <w:t>.</w:t>
      </w:r>
    </w:p>
    <w:p w14:paraId="47077FC2" w14:textId="77777777" w:rsidR="00035854" w:rsidRDefault="00035854">
      <w:pPr>
        <w:spacing w:line="276" w:lineRule="auto"/>
        <w:ind w:left="851" w:right="616"/>
        <w:jc w:val="both"/>
        <w:rPr>
          <w:rFonts w:ascii="Palatino Linotype" w:eastAsia="Palatino Linotype" w:hAnsi="Palatino Linotype" w:cs="Palatino Linotype"/>
          <w:i/>
          <w:sz w:val="22"/>
          <w:szCs w:val="22"/>
        </w:rPr>
      </w:pPr>
    </w:p>
    <w:p w14:paraId="05BD1D8E" w14:textId="77777777" w:rsidR="00035854" w:rsidRDefault="001E746A">
      <w:pPr>
        <w:spacing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3238F87" w14:textId="77777777" w:rsidR="00035854" w:rsidRDefault="00035854">
      <w:pPr>
        <w:spacing w:line="360" w:lineRule="auto"/>
        <w:ind w:right="49"/>
        <w:jc w:val="both"/>
        <w:rPr>
          <w:rFonts w:ascii="Palatino Linotype" w:eastAsia="Palatino Linotype" w:hAnsi="Palatino Linotype" w:cs="Palatino Linotype"/>
        </w:rPr>
      </w:pPr>
    </w:p>
    <w:p w14:paraId="4645F7B3" w14:textId="77777777" w:rsidR="00035854" w:rsidRDefault="00035854">
      <w:pPr>
        <w:spacing w:line="360" w:lineRule="auto"/>
        <w:ind w:right="49"/>
        <w:jc w:val="both"/>
        <w:rPr>
          <w:rFonts w:ascii="Palatino Linotype" w:eastAsia="Palatino Linotype" w:hAnsi="Palatino Linotype" w:cs="Palatino Linotype"/>
        </w:rPr>
      </w:pPr>
    </w:p>
    <w:p w14:paraId="053C56B6" w14:textId="77777777" w:rsidR="00035854" w:rsidRDefault="001E746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estos casos,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76D73EEF" w14:textId="77777777" w:rsidR="00035854" w:rsidRDefault="00035854">
      <w:pPr>
        <w:spacing w:line="360" w:lineRule="auto"/>
        <w:ind w:right="49"/>
        <w:jc w:val="both"/>
        <w:rPr>
          <w:rFonts w:ascii="Palatino Linotype" w:eastAsia="Palatino Linotype" w:hAnsi="Palatino Linotype" w:cs="Palatino Linotype"/>
        </w:rPr>
      </w:pPr>
    </w:p>
    <w:p w14:paraId="3A964738" w14:textId="77777777" w:rsidR="00035854" w:rsidRDefault="001E746A">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de ser el caso que dicha información no se encuentre en los archivos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de manifestar, de manera precisa y clara, las razones que expliquen las causas por las que no se posee la información requerida, en términos del segundo párrafo del precepto normativo en cita. </w:t>
      </w:r>
    </w:p>
    <w:p w14:paraId="3236F481" w14:textId="77777777" w:rsidR="00035854" w:rsidRDefault="00035854">
      <w:pPr>
        <w:spacing w:line="360" w:lineRule="auto"/>
        <w:ind w:right="616"/>
        <w:jc w:val="both"/>
        <w:rPr>
          <w:rFonts w:ascii="Palatino Linotype" w:eastAsia="Palatino Linotype" w:hAnsi="Palatino Linotype" w:cs="Palatino Linotype"/>
        </w:rPr>
      </w:pPr>
    </w:p>
    <w:p w14:paraId="014EC572"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Cómo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elaborar la versión pública, atento a lo siguiente:</w:t>
      </w:r>
    </w:p>
    <w:p w14:paraId="45F94BF4" w14:textId="77777777" w:rsidR="00035854" w:rsidRDefault="001E746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tiene como limitante el respeto a la intimidad y a la vida privada de las personas, es por ello que este Instituto debe </w:t>
      </w:r>
      <w:r>
        <w:rPr>
          <w:rFonts w:ascii="Palatino Linotype" w:eastAsia="Palatino Linotype" w:hAnsi="Palatino Linotype" w:cs="Palatino Linotype"/>
        </w:rPr>
        <w:lastRenderedPageBreak/>
        <w:t>cuidar que los datos personales que obren en poder de los Sujetos Obligados sean protegidos y únicamente se den a conocer aquéllos que garanticen la rendición de cuentas y la transparencia en el ejercicio de las atribuciones que tienen conferidas.</w:t>
      </w:r>
    </w:p>
    <w:p w14:paraId="07E3A98F" w14:textId="77777777" w:rsidR="00035854" w:rsidRDefault="001E746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43EC90B1" w14:textId="77777777" w:rsidR="00035854" w:rsidRDefault="001E746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6577A38D" w14:textId="77777777" w:rsidR="00035854" w:rsidRDefault="001E746A">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39CA3C7A"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E7EEF83"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06B72A3E"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BDC4219"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0BE08E0E"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0B661D0"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FD34147"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567C1D07"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2728662" w14:textId="77777777" w:rsidR="00035854" w:rsidRDefault="001E746A">
      <w:pPr>
        <w:tabs>
          <w:tab w:val="left" w:pos="1276"/>
        </w:tabs>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E9A4C92" w14:textId="77777777" w:rsidR="00035854" w:rsidRDefault="001E746A">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0785753" w14:textId="77777777" w:rsidR="00035854" w:rsidRDefault="001E746A">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3BB06A2" w14:textId="77777777" w:rsidR="00035854" w:rsidRDefault="001E746A">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14:paraId="48FA5BE1" w14:textId="77777777" w:rsidR="00035854" w:rsidRDefault="001E746A">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7A39736" w14:textId="77777777" w:rsidR="00035854" w:rsidRDefault="001E746A">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9ECCF9A" w14:textId="77777777" w:rsidR="00035854" w:rsidRDefault="001E746A">
      <w:pPr>
        <w:spacing w:before="120" w:after="120" w:line="276"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CE530BF" w14:textId="77777777" w:rsidR="00035854" w:rsidRDefault="001E746A">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Pr>
          <w:rFonts w:ascii="Palatino Linotype" w:eastAsia="Palatino Linotype" w:hAnsi="Palatino Linotype" w:cs="Palatino Linotype"/>
        </w:rPr>
        <w:lastRenderedPageBreak/>
        <w:t xml:space="preserve">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F8BD525" w14:textId="77777777" w:rsidR="00035854" w:rsidRDefault="001E746A">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27CCA66"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386DA2B7" w14:textId="77777777" w:rsidR="00035854" w:rsidRDefault="001E746A">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de señalar que la clasificación de la información no opera con la simple supresión de datos que se haga en los documentos de que se trate o con la simple decisión que tome el Servidor Público Habilitado o el Responsable de la </w:t>
      </w:r>
      <w:r>
        <w:rPr>
          <w:rFonts w:ascii="Palatino Linotype" w:eastAsia="Palatino Linotype" w:hAnsi="Palatino Linotype" w:cs="Palatino Linotype"/>
        </w:rPr>
        <w:lastRenderedPageBreak/>
        <w:t>Unidad de Transparencia del Sujeto Obligado, sino que ello deberá realizarse en términos de lo que disponen los artículos 49 fracción VIII, 53, fracción X y 59, fracción V, de la Ley en consulta, cuyo sentido literal es el siguiente:</w:t>
      </w:r>
    </w:p>
    <w:p w14:paraId="61082377" w14:textId="77777777" w:rsidR="00035854" w:rsidRDefault="001E746A">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10457608" w14:textId="77777777" w:rsidR="00035854" w:rsidRDefault="001E746A">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53CDD6AA" w14:textId="77777777" w:rsidR="00035854" w:rsidRDefault="001E746A">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1AB115B8" w14:textId="77777777" w:rsidR="00035854" w:rsidRDefault="001E746A">
      <w:pPr>
        <w:spacing w:before="120" w:after="120" w:line="276" w:lineRule="auto"/>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169B0525" w14:textId="77777777" w:rsidR="00035854" w:rsidRDefault="001E746A">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542112FD" w14:textId="77777777" w:rsidR="00035854" w:rsidRDefault="001E746A">
      <w:pPr>
        <w:spacing w:before="120" w:after="12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13E256BE" w14:textId="77777777" w:rsidR="00035854" w:rsidRDefault="00035854">
      <w:pPr>
        <w:spacing w:before="120"/>
        <w:ind w:left="992" w:right="1043"/>
        <w:jc w:val="both"/>
        <w:rPr>
          <w:rFonts w:ascii="Palatino Linotype" w:eastAsia="Palatino Linotype" w:hAnsi="Palatino Linotype" w:cs="Palatino Linotype"/>
          <w:i/>
          <w:sz w:val="22"/>
          <w:szCs w:val="22"/>
        </w:rPr>
      </w:pPr>
    </w:p>
    <w:p w14:paraId="6D2680E6" w14:textId="77777777" w:rsidR="00035854" w:rsidRDefault="001E746A">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92BFB80" w14:textId="77777777" w:rsidR="00035854" w:rsidRDefault="001E746A">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 xml:space="preserve">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275C58C2" w14:textId="77777777" w:rsidR="00035854" w:rsidRDefault="001E746A">
      <w:pPr>
        <w:tabs>
          <w:tab w:val="left" w:pos="8222"/>
        </w:tabs>
        <w:spacing w:before="120" w:after="120"/>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1CC5DCAD" w14:textId="77777777" w:rsidR="00035854" w:rsidRDefault="001E746A">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DAF9649" w14:textId="77777777" w:rsidR="00035854" w:rsidRDefault="001E746A">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04256CA1" w14:textId="77777777" w:rsidR="00035854" w:rsidRDefault="001E746A">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2AC50494"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634D5C0F" w14:textId="77777777" w:rsidR="00035854" w:rsidRDefault="001E746A">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29D1916E"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C4E49A"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0782D844"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1AF66E5"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10B2FE5"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2539095C"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1828C580" w14:textId="77777777" w:rsidR="00035854" w:rsidRDefault="001E746A">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6F2D6B85" w14:textId="77777777" w:rsidR="00035854" w:rsidRDefault="001E746A">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3C82AF5C" w14:textId="77777777" w:rsidR="00035854" w:rsidRDefault="001E746A">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C8E3D27"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77CCEE1C"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BD7AC93"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C043561"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880A9FE"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7B067ADE"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2A491C1"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7883BD"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062AF58"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4ED99F6" w14:textId="77777777" w:rsidR="00035854" w:rsidRDefault="001E746A">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3A3847C9"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9"/>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93"/>
        <w:gridCol w:w="3421"/>
        <w:gridCol w:w="968"/>
        <w:gridCol w:w="3446"/>
      </w:tblGrid>
      <w:tr w:rsidR="00035854" w14:paraId="7DE8A4AB" w14:textId="77777777">
        <w:tc>
          <w:tcPr>
            <w:tcW w:w="4414" w:type="dxa"/>
            <w:gridSpan w:val="2"/>
          </w:tcPr>
          <w:p w14:paraId="1C26C68F" w14:textId="77777777" w:rsidR="00035854" w:rsidRDefault="001E746A">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169C1BF1" w14:textId="77777777" w:rsidR="00035854" w:rsidRDefault="001E746A">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035854" w14:paraId="57C373AF" w14:textId="77777777">
        <w:tc>
          <w:tcPr>
            <w:tcW w:w="993" w:type="dxa"/>
          </w:tcPr>
          <w:p w14:paraId="61023632" w14:textId="77777777" w:rsidR="00035854" w:rsidRDefault="001E746A">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2CE60298" w14:textId="77777777" w:rsidR="00035854" w:rsidRDefault="001E746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0EFE4050" w14:textId="77777777" w:rsidR="00035854" w:rsidRDefault="001E746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4AF5EE4A" w14:textId="77777777" w:rsidR="00035854" w:rsidRDefault="001E746A">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035854" w14:paraId="47B35836" w14:textId="77777777">
        <w:tc>
          <w:tcPr>
            <w:tcW w:w="8828" w:type="dxa"/>
            <w:gridSpan w:val="4"/>
          </w:tcPr>
          <w:p w14:paraId="0039E282" w14:textId="77777777" w:rsidR="00035854" w:rsidRDefault="001E746A">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035854" w14:paraId="0A019415" w14:textId="77777777">
        <w:tc>
          <w:tcPr>
            <w:tcW w:w="993" w:type="dxa"/>
          </w:tcPr>
          <w:p w14:paraId="464BF84B"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6B8133F4"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56B30842"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2D50A61E"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035854" w14:paraId="3D550A46" w14:textId="77777777">
        <w:tc>
          <w:tcPr>
            <w:tcW w:w="993" w:type="dxa"/>
          </w:tcPr>
          <w:p w14:paraId="799AB288"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3EC0017E"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670622CD"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7171FF1E"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035854" w14:paraId="0CEFD27F" w14:textId="77777777">
        <w:tc>
          <w:tcPr>
            <w:tcW w:w="993" w:type="dxa"/>
          </w:tcPr>
          <w:p w14:paraId="0277FA52"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Información reservada</w:t>
            </w:r>
          </w:p>
        </w:tc>
        <w:tc>
          <w:tcPr>
            <w:tcW w:w="3421" w:type="dxa"/>
          </w:tcPr>
          <w:p w14:paraId="4FCADBED"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3463FF86"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7B4E7BC9"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035854" w14:paraId="3552A171" w14:textId="77777777">
        <w:tc>
          <w:tcPr>
            <w:tcW w:w="993" w:type="dxa"/>
          </w:tcPr>
          <w:p w14:paraId="676B0B01"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10922066"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0F1A645"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61848E44"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035854" w14:paraId="3705CCA4" w14:textId="77777777">
        <w:tc>
          <w:tcPr>
            <w:tcW w:w="993" w:type="dxa"/>
          </w:tcPr>
          <w:p w14:paraId="3E08449E"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5E3D2FB2"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6C5BB8BF"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15CB659C"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035854" w14:paraId="6687EDB8" w14:textId="77777777">
        <w:tc>
          <w:tcPr>
            <w:tcW w:w="993" w:type="dxa"/>
          </w:tcPr>
          <w:p w14:paraId="7488878B"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14:paraId="34C4C2C7"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7B7119B1"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3CF38D7E"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035854" w14:paraId="3BD2AAF6" w14:textId="77777777">
        <w:tc>
          <w:tcPr>
            <w:tcW w:w="993" w:type="dxa"/>
          </w:tcPr>
          <w:p w14:paraId="07B7889C"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27007734"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57E9D803"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4110C7ED"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035854" w14:paraId="595BA9D1" w14:textId="77777777">
        <w:tc>
          <w:tcPr>
            <w:tcW w:w="993" w:type="dxa"/>
          </w:tcPr>
          <w:p w14:paraId="1BF56D5F"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31718C5C"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6C227DC3"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023F819A"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035854" w14:paraId="62A45C5F" w14:textId="77777777">
        <w:tc>
          <w:tcPr>
            <w:tcW w:w="993" w:type="dxa"/>
          </w:tcPr>
          <w:p w14:paraId="2C8E8B99"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14:paraId="738E40CC"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3358D89B"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727A8DF1"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035854" w14:paraId="1A9B4A67" w14:textId="77777777">
        <w:tc>
          <w:tcPr>
            <w:tcW w:w="993" w:type="dxa"/>
          </w:tcPr>
          <w:p w14:paraId="5678923C"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6A8EECF3"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0825085D"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0FBE8259"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035854" w14:paraId="0DBEBF69" w14:textId="77777777">
        <w:tc>
          <w:tcPr>
            <w:tcW w:w="993" w:type="dxa"/>
          </w:tcPr>
          <w:p w14:paraId="5282227D" w14:textId="77777777" w:rsidR="00035854" w:rsidRDefault="00035854">
            <w:pPr>
              <w:jc w:val="both"/>
              <w:rPr>
                <w:rFonts w:ascii="Palatino Linotype" w:eastAsia="Palatino Linotype" w:hAnsi="Palatino Linotype" w:cs="Palatino Linotype"/>
                <w:sz w:val="12"/>
                <w:szCs w:val="12"/>
              </w:rPr>
            </w:pPr>
          </w:p>
        </w:tc>
        <w:tc>
          <w:tcPr>
            <w:tcW w:w="3421" w:type="dxa"/>
          </w:tcPr>
          <w:p w14:paraId="657203C7" w14:textId="77777777" w:rsidR="00035854" w:rsidRDefault="00035854">
            <w:pPr>
              <w:jc w:val="both"/>
              <w:rPr>
                <w:rFonts w:ascii="Palatino Linotype" w:eastAsia="Palatino Linotype" w:hAnsi="Palatino Linotype" w:cs="Palatino Linotype"/>
                <w:sz w:val="12"/>
                <w:szCs w:val="12"/>
              </w:rPr>
            </w:pPr>
          </w:p>
        </w:tc>
        <w:tc>
          <w:tcPr>
            <w:tcW w:w="968" w:type="dxa"/>
          </w:tcPr>
          <w:p w14:paraId="6207D87C"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6208FC2A"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035854" w14:paraId="5D3E3047" w14:textId="77777777">
        <w:tc>
          <w:tcPr>
            <w:tcW w:w="993" w:type="dxa"/>
          </w:tcPr>
          <w:p w14:paraId="69C1E50D" w14:textId="77777777" w:rsidR="00035854" w:rsidRDefault="00035854">
            <w:pPr>
              <w:jc w:val="both"/>
              <w:rPr>
                <w:rFonts w:ascii="Palatino Linotype" w:eastAsia="Palatino Linotype" w:hAnsi="Palatino Linotype" w:cs="Palatino Linotype"/>
                <w:sz w:val="12"/>
                <w:szCs w:val="12"/>
              </w:rPr>
            </w:pPr>
          </w:p>
        </w:tc>
        <w:tc>
          <w:tcPr>
            <w:tcW w:w="3421" w:type="dxa"/>
          </w:tcPr>
          <w:p w14:paraId="4E7D0F9E" w14:textId="77777777" w:rsidR="00035854" w:rsidRDefault="00035854">
            <w:pPr>
              <w:jc w:val="both"/>
              <w:rPr>
                <w:rFonts w:ascii="Palatino Linotype" w:eastAsia="Palatino Linotype" w:hAnsi="Palatino Linotype" w:cs="Palatino Linotype"/>
                <w:sz w:val="12"/>
                <w:szCs w:val="12"/>
              </w:rPr>
            </w:pPr>
          </w:p>
        </w:tc>
        <w:tc>
          <w:tcPr>
            <w:tcW w:w="968" w:type="dxa"/>
          </w:tcPr>
          <w:p w14:paraId="2ECD0FD1" w14:textId="77777777" w:rsidR="00035854" w:rsidRDefault="001E746A">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0BE4A297" w14:textId="77777777" w:rsidR="00035854" w:rsidRDefault="001E746A">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35CF0130" w14:textId="77777777" w:rsidR="00035854" w:rsidRDefault="00035854">
      <w:pPr>
        <w:tabs>
          <w:tab w:val="left" w:pos="7938"/>
        </w:tabs>
        <w:spacing w:line="360" w:lineRule="auto"/>
        <w:jc w:val="both"/>
        <w:rPr>
          <w:rFonts w:ascii="Palatino Linotype" w:eastAsia="Palatino Linotype" w:hAnsi="Palatino Linotype" w:cs="Palatino Linotype"/>
        </w:rPr>
      </w:pPr>
    </w:p>
    <w:p w14:paraId="616D6FC5" w14:textId="77777777" w:rsidR="00035854" w:rsidRDefault="001E746A">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3E65B088" w14:textId="77777777" w:rsidR="00035854" w:rsidRDefault="00035854">
      <w:pPr>
        <w:tabs>
          <w:tab w:val="left" w:pos="7938"/>
        </w:tabs>
        <w:spacing w:line="360" w:lineRule="auto"/>
        <w:jc w:val="both"/>
        <w:rPr>
          <w:rFonts w:ascii="Palatino Linotype" w:eastAsia="Palatino Linotype" w:hAnsi="Palatino Linotype" w:cs="Palatino Linotype"/>
        </w:rPr>
      </w:pPr>
    </w:p>
    <w:p w14:paraId="5E3234AF" w14:textId="77777777" w:rsidR="00035854" w:rsidRDefault="001E746A">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mérito de lo expuesto en líneas anteriores, resultan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dentro del recurso de revisión </w:t>
      </w:r>
      <w:r>
        <w:rPr>
          <w:rFonts w:ascii="Palatino Linotype" w:eastAsia="Palatino Linotype" w:hAnsi="Palatino Linotype" w:cs="Palatino Linotype"/>
          <w:b/>
        </w:rPr>
        <w:t>06099/INFOEM/IP/RR/2022</w:t>
      </w:r>
      <w:r>
        <w:rPr>
          <w:rFonts w:ascii="Palatino Linotype" w:eastAsia="Palatino Linotype" w:hAnsi="Palatino Linotype" w:cs="Palatino Linotype"/>
        </w:rPr>
        <w:t xml:space="preserve">; por ello, y con fundamento en la </w:t>
      </w:r>
      <w:r>
        <w:rPr>
          <w:rFonts w:ascii="Palatino Linotype" w:eastAsia="Palatino Linotype" w:hAnsi="Palatino Linotype" w:cs="Palatino Linotype"/>
        </w:rPr>
        <w:lastRenderedPageBreak/>
        <w:t xml:space="preserve">fracción III del numeral 186 de la Ley de Transparencia y Acceso a la Información Pública del Estado de México y Municipios,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a la solicitud de información número </w:t>
      </w:r>
      <w:r>
        <w:rPr>
          <w:rFonts w:ascii="Palatino Linotype" w:eastAsia="Palatino Linotype" w:hAnsi="Palatino Linotype" w:cs="Palatino Linotype"/>
          <w:b/>
        </w:rPr>
        <w:t>00142/CHICOLOA/IP/2022</w:t>
      </w:r>
      <w:r>
        <w:rPr>
          <w:rFonts w:ascii="Palatino Linotype" w:eastAsia="Palatino Linotype" w:hAnsi="Palatino Linotype" w:cs="Palatino Linotype"/>
        </w:rPr>
        <w:t>.</w:t>
      </w:r>
    </w:p>
    <w:p w14:paraId="471C1143"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ACF2291" w14:textId="77777777" w:rsidR="00035854" w:rsidRDefault="001E746A">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176DC562" w14:textId="77777777" w:rsidR="00035854" w:rsidRDefault="001E746A">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06099/INFOEM/IP/RR/2022,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REVOCA </w:t>
      </w:r>
      <w:r>
        <w:rPr>
          <w:rFonts w:ascii="Palatino Linotype" w:eastAsia="Palatino Linotype" w:hAnsi="Palatino Linotype" w:cs="Palatino Linotype"/>
        </w:rPr>
        <w:t>la respuesta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6939F69F" w14:textId="77777777" w:rsidR="00035854" w:rsidRDefault="001E746A">
      <w:pPr>
        <w:spacing w:before="240" w:after="36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en términos de los Considerandos Cuarto y Quinto de esta resolución, haga entrega vía Sistema de Acceso a la Información Mexiquense (SAIMEX), previa búsqueda exhaustiva y razonable, de ser el caso en versión pública, la siguiente información:</w:t>
      </w:r>
    </w:p>
    <w:p w14:paraId="6FB7308A" w14:textId="77777777" w:rsidR="00035854" w:rsidRDefault="001E746A">
      <w:pPr>
        <w:numPr>
          <w:ilvl w:val="0"/>
          <w:numId w:val="2"/>
        </w:numPr>
        <w:pBdr>
          <w:top w:val="nil"/>
          <w:left w:val="nil"/>
          <w:bottom w:val="nil"/>
          <w:right w:val="nil"/>
          <w:between w:val="nil"/>
        </w:pBdr>
        <w:spacing w:line="360" w:lineRule="auto"/>
        <w:ind w:left="851" w:right="49" w:hanging="49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Memoria y programa del proceso de demolición del inmueble descrito en la solicitud de información 00142/CHICOLOAPAN/IP/2022</w:t>
      </w:r>
    </w:p>
    <w:p w14:paraId="61CE04DC" w14:textId="77777777" w:rsidR="00035854" w:rsidRDefault="001E746A">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w:t>
      </w:r>
      <w:r>
        <w:rPr>
          <w:rFonts w:ascii="Palatino Linotype" w:eastAsia="Palatino Linotype" w:hAnsi="Palatino Linotype" w:cs="Palatino Linotype"/>
          <w:i/>
          <w:color w:val="000000"/>
        </w:rPr>
        <w:lastRenderedPageBreak/>
        <w:t>que se formulen y se pongan a disposición del recurrente, mismo que igualmente hará de su conocimiento.</w:t>
      </w:r>
    </w:p>
    <w:p w14:paraId="379D46F6" w14:textId="77777777" w:rsidR="00035854" w:rsidRDefault="001E746A">
      <w:pPr>
        <w:pBdr>
          <w:top w:val="nil"/>
          <w:left w:val="nil"/>
          <w:bottom w:val="nil"/>
          <w:right w:val="nil"/>
          <w:between w:val="nil"/>
        </w:pBdr>
        <w:spacing w:after="120"/>
        <w:ind w:left="851" w:right="4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De ser el caso que la información que se ordena no se encuentre en los archivos del </w:t>
      </w:r>
      <w:r>
        <w:rPr>
          <w:rFonts w:ascii="Palatino Linotype" w:eastAsia="Palatino Linotype" w:hAnsi="Palatino Linotype" w:cs="Palatino Linotype"/>
          <w:b/>
          <w:i/>
          <w:color w:val="000000"/>
        </w:rPr>
        <w:t xml:space="preserve">SUJETO OBLIGADO </w:t>
      </w:r>
      <w:r>
        <w:rPr>
          <w:rFonts w:ascii="Palatino Linotype" w:eastAsia="Palatino Linotype" w:hAnsi="Palatino Linotype" w:cs="Palatino Linotype"/>
          <w:i/>
          <w:color w:val="000000"/>
        </w:rPr>
        <w:t xml:space="preserve">porque no se haya llevado a cabo la demolición del inmueble deberá de manifestar, de manera precisa y clara, las razones que expliquen las causas, en términos del segundo párrafo del artículo 19 de la Ley de Transparencia y Acceso a la Información Pública del Estado de México y Municipios. </w:t>
      </w:r>
    </w:p>
    <w:p w14:paraId="27B81972" w14:textId="77777777" w:rsidR="00035854" w:rsidRDefault="00035854">
      <w:pPr>
        <w:spacing w:before="120" w:after="120"/>
        <w:ind w:right="49"/>
        <w:jc w:val="both"/>
        <w:rPr>
          <w:rFonts w:ascii="Palatino Linotype" w:eastAsia="Palatino Linotype" w:hAnsi="Palatino Linotype" w:cs="Palatino Linotype"/>
          <w:color w:val="FF0000"/>
        </w:rPr>
      </w:pPr>
    </w:p>
    <w:p w14:paraId="5CB4E83A" w14:textId="77777777" w:rsidR="00035854" w:rsidRDefault="001E746A">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vía SAIMEX </w:t>
      </w:r>
      <w:r>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233DF3A8"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AB92DCE" w14:textId="77777777" w:rsidR="00035854" w:rsidRDefault="001E746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D1EED09" w14:textId="77777777" w:rsidR="00035854" w:rsidRDefault="001E746A">
      <w:pPr>
        <w:spacing w:before="240" w:after="240" w:line="360" w:lineRule="auto"/>
        <w:jc w:val="both"/>
        <w:rPr>
          <w:rFonts w:ascii="Palatino Linotype" w:eastAsia="Palatino Linotype" w:hAnsi="Palatino Linotype" w:cs="Palatino Linotype"/>
          <w:sz w:val="20"/>
          <w:szCs w:val="20"/>
        </w:rPr>
      </w:pPr>
      <w:bookmarkStart w:id="6" w:name="_heading=h.2et92p0" w:colFirst="0" w:colLast="0"/>
      <w:bookmarkEnd w:id="6"/>
      <w:r>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NOVENA SESIÓN ORDINARIA CELEBRADA EL DIECISIETE DE AGOSTO DE DOS MIL VEINTIDÓS, ANTE EL SECRETARIO TÉCNICO DEL PLENO, ALEXIS TAPIA RAMÍREZ.</w:t>
      </w:r>
    </w:p>
    <w:p w14:paraId="36784AC3" w14:textId="5F77DB7A" w:rsidR="00035854" w:rsidRDefault="005A5C84">
      <w:pPr>
        <w:spacing w:before="240" w:after="240"/>
        <w:jc w:val="both"/>
        <w:rPr>
          <w:rFonts w:ascii="Palatino Linotype" w:eastAsia="Palatino Linotype" w:hAnsi="Palatino Linotype" w:cs="Palatino Linotype"/>
          <w:sz w:val="20"/>
          <w:szCs w:val="20"/>
        </w:rPr>
      </w:pPr>
      <w:r>
        <w:rPr>
          <w:rFonts w:ascii="Palatino Linotype" w:eastAsia="Palatino Linotype" w:hAnsi="Palatino Linotype" w:cs="Palatino Linotype"/>
          <w:noProof/>
          <w:sz w:val="20"/>
          <w:szCs w:val="20"/>
          <w:lang w:val="es-MX"/>
        </w:rPr>
        <mc:AlternateContent>
          <mc:Choice Requires="wps">
            <w:drawing>
              <wp:anchor distT="0" distB="0" distL="114300" distR="114300" simplePos="0" relativeHeight="251659264" behindDoc="0" locked="0" layoutInCell="1" allowOverlap="1" wp14:anchorId="142BD1E8" wp14:editId="1AEA18E4">
                <wp:simplePos x="0" y="0"/>
                <wp:positionH relativeFrom="column">
                  <wp:posOffset>243840</wp:posOffset>
                </wp:positionH>
                <wp:positionV relativeFrom="paragraph">
                  <wp:posOffset>42544</wp:posOffset>
                </wp:positionV>
                <wp:extent cx="5162550" cy="44862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162550" cy="448627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BC2AE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2pt,3.35pt" to="425.7pt,3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" strokecolor="black [3213]"/>
            </w:pict>
          </mc:Fallback>
        </mc:AlternateContent>
      </w:r>
    </w:p>
    <w:p w14:paraId="3FD8E22C" w14:textId="77777777" w:rsidR="00035854" w:rsidRDefault="00035854">
      <w:pPr>
        <w:spacing w:before="240" w:after="240"/>
        <w:jc w:val="both"/>
        <w:rPr>
          <w:rFonts w:ascii="Palatino Linotype" w:eastAsia="Palatino Linotype" w:hAnsi="Palatino Linotype" w:cs="Palatino Linotype"/>
          <w:sz w:val="20"/>
          <w:szCs w:val="20"/>
        </w:rPr>
      </w:pPr>
    </w:p>
    <w:p w14:paraId="7E6988D3" w14:textId="77777777" w:rsidR="00035854" w:rsidRDefault="00035854">
      <w:pPr>
        <w:spacing w:before="240" w:after="240"/>
        <w:jc w:val="both"/>
        <w:rPr>
          <w:rFonts w:ascii="Palatino Linotype" w:eastAsia="Palatino Linotype" w:hAnsi="Palatino Linotype" w:cs="Palatino Linotype"/>
          <w:sz w:val="20"/>
          <w:szCs w:val="20"/>
        </w:rPr>
      </w:pPr>
    </w:p>
    <w:p w14:paraId="31B2F480" w14:textId="77777777" w:rsidR="00035854" w:rsidRDefault="00035854">
      <w:pPr>
        <w:spacing w:before="240" w:after="240"/>
        <w:jc w:val="both"/>
        <w:rPr>
          <w:rFonts w:ascii="Palatino Linotype" w:eastAsia="Palatino Linotype" w:hAnsi="Palatino Linotype" w:cs="Palatino Linotype"/>
          <w:sz w:val="20"/>
          <w:szCs w:val="20"/>
        </w:rPr>
      </w:pPr>
    </w:p>
    <w:p w14:paraId="395A9111" w14:textId="77777777" w:rsidR="00035854" w:rsidRDefault="00035854">
      <w:pPr>
        <w:spacing w:before="240" w:after="240"/>
        <w:jc w:val="both"/>
        <w:rPr>
          <w:rFonts w:ascii="Palatino Linotype" w:eastAsia="Palatino Linotype" w:hAnsi="Palatino Linotype" w:cs="Palatino Linotype"/>
          <w:sz w:val="20"/>
          <w:szCs w:val="20"/>
        </w:rPr>
      </w:pPr>
    </w:p>
    <w:p w14:paraId="627C065A" w14:textId="77777777" w:rsidR="00035854" w:rsidRDefault="00035854">
      <w:pPr>
        <w:spacing w:before="240" w:after="240"/>
        <w:jc w:val="both"/>
        <w:rPr>
          <w:rFonts w:ascii="Palatino Linotype" w:eastAsia="Palatino Linotype" w:hAnsi="Palatino Linotype" w:cs="Palatino Linotype"/>
          <w:sz w:val="20"/>
          <w:szCs w:val="20"/>
        </w:rPr>
      </w:pPr>
    </w:p>
    <w:p w14:paraId="4B0C87FB" w14:textId="77777777" w:rsidR="00035854" w:rsidRDefault="00035854">
      <w:pPr>
        <w:spacing w:before="240" w:after="240"/>
        <w:jc w:val="both"/>
        <w:rPr>
          <w:rFonts w:ascii="Palatino Linotype" w:eastAsia="Palatino Linotype" w:hAnsi="Palatino Linotype" w:cs="Palatino Linotype"/>
          <w:sz w:val="20"/>
          <w:szCs w:val="20"/>
        </w:rPr>
      </w:pPr>
    </w:p>
    <w:p w14:paraId="3AC9877E" w14:textId="77777777" w:rsidR="00035854" w:rsidRDefault="00035854">
      <w:pPr>
        <w:spacing w:before="240" w:after="240"/>
        <w:jc w:val="both"/>
        <w:rPr>
          <w:rFonts w:ascii="Palatino Linotype" w:eastAsia="Palatino Linotype" w:hAnsi="Palatino Linotype" w:cs="Palatino Linotype"/>
          <w:sz w:val="20"/>
          <w:szCs w:val="20"/>
        </w:rPr>
      </w:pPr>
    </w:p>
    <w:p w14:paraId="605FC869" w14:textId="77777777" w:rsidR="00035854" w:rsidRDefault="00035854">
      <w:pPr>
        <w:spacing w:before="240" w:after="240"/>
        <w:jc w:val="both"/>
        <w:rPr>
          <w:rFonts w:ascii="Palatino Linotype" w:eastAsia="Palatino Linotype" w:hAnsi="Palatino Linotype" w:cs="Palatino Linotype"/>
          <w:sz w:val="20"/>
          <w:szCs w:val="20"/>
        </w:rPr>
      </w:pPr>
    </w:p>
    <w:p w14:paraId="5598439A" w14:textId="77777777" w:rsidR="00035854" w:rsidRDefault="00035854">
      <w:pPr>
        <w:spacing w:before="240" w:after="240"/>
        <w:jc w:val="both"/>
        <w:rPr>
          <w:rFonts w:ascii="Palatino Linotype" w:eastAsia="Palatino Linotype" w:hAnsi="Palatino Linotype" w:cs="Palatino Linotype"/>
          <w:sz w:val="20"/>
          <w:szCs w:val="20"/>
        </w:rPr>
      </w:pPr>
    </w:p>
    <w:p w14:paraId="4D665485" w14:textId="77777777" w:rsidR="00035854" w:rsidRDefault="00035854">
      <w:pPr>
        <w:spacing w:before="240" w:after="240"/>
        <w:jc w:val="both"/>
        <w:rPr>
          <w:rFonts w:ascii="Palatino Linotype" w:eastAsia="Palatino Linotype" w:hAnsi="Palatino Linotype" w:cs="Palatino Linotype"/>
          <w:sz w:val="20"/>
          <w:szCs w:val="20"/>
        </w:rPr>
      </w:pPr>
    </w:p>
    <w:p w14:paraId="69C54988" w14:textId="77777777" w:rsidR="00035854" w:rsidRDefault="00035854">
      <w:pPr>
        <w:spacing w:before="240" w:after="240"/>
        <w:jc w:val="both"/>
        <w:rPr>
          <w:rFonts w:ascii="Palatino Linotype" w:eastAsia="Palatino Linotype" w:hAnsi="Palatino Linotype" w:cs="Palatino Linotype"/>
          <w:sz w:val="20"/>
          <w:szCs w:val="20"/>
        </w:rPr>
      </w:pPr>
    </w:p>
    <w:p w14:paraId="50A2D0BB" w14:textId="77777777" w:rsidR="00035854" w:rsidRDefault="00035854">
      <w:pPr>
        <w:spacing w:before="240" w:after="240"/>
        <w:jc w:val="both"/>
        <w:rPr>
          <w:rFonts w:ascii="Palatino Linotype" w:eastAsia="Palatino Linotype" w:hAnsi="Palatino Linotype" w:cs="Palatino Linotype"/>
          <w:sz w:val="20"/>
          <w:szCs w:val="20"/>
        </w:rPr>
      </w:pPr>
    </w:p>
    <w:p w14:paraId="112E661C" w14:textId="77777777" w:rsidR="00035854" w:rsidRDefault="00035854">
      <w:pPr>
        <w:spacing w:before="240" w:after="240"/>
        <w:jc w:val="both"/>
        <w:rPr>
          <w:rFonts w:ascii="Palatino Linotype" w:eastAsia="Palatino Linotype" w:hAnsi="Palatino Linotype" w:cs="Palatino Linotype"/>
          <w:sz w:val="20"/>
          <w:szCs w:val="20"/>
        </w:rPr>
      </w:pPr>
    </w:p>
    <w:p w14:paraId="3C100149" w14:textId="77777777" w:rsidR="00035854" w:rsidRDefault="00035854">
      <w:pPr>
        <w:spacing w:before="240" w:after="240"/>
        <w:jc w:val="both"/>
        <w:rPr>
          <w:rFonts w:ascii="Palatino Linotype" w:eastAsia="Palatino Linotype" w:hAnsi="Palatino Linotype" w:cs="Palatino Linotype"/>
          <w:sz w:val="20"/>
          <w:szCs w:val="20"/>
        </w:rPr>
      </w:pPr>
    </w:p>
    <w:p w14:paraId="4D0E2170" w14:textId="77777777" w:rsidR="00035854" w:rsidRDefault="00035854">
      <w:pPr>
        <w:spacing w:before="240" w:after="240"/>
        <w:jc w:val="both"/>
        <w:rPr>
          <w:rFonts w:ascii="Palatino Linotype" w:eastAsia="Palatino Linotype" w:hAnsi="Palatino Linotype" w:cs="Palatino Linotype"/>
          <w:sz w:val="20"/>
          <w:szCs w:val="20"/>
        </w:rPr>
      </w:pPr>
    </w:p>
    <w:p w14:paraId="3225B050" w14:textId="77777777" w:rsidR="00035854" w:rsidRDefault="00035854">
      <w:pPr>
        <w:spacing w:before="240" w:after="240"/>
        <w:jc w:val="both"/>
        <w:rPr>
          <w:rFonts w:ascii="Palatino Linotype" w:eastAsia="Palatino Linotype" w:hAnsi="Palatino Linotype" w:cs="Palatino Linotype"/>
          <w:sz w:val="20"/>
          <w:szCs w:val="20"/>
        </w:rPr>
      </w:pPr>
    </w:p>
    <w:p w14:paraId="6AE9B2BE" w14:textId="77777777" w:rsidR="00035854" w:rsidRDefault="00035854">
      <w:pPr>
        <w:spacing w:before="240" w:after="240"/>
        <w:jc w:val="both"/>
        <w:rPr>
          <w:rFonts w:ascii="Palatino Linotype" w:eastAsia="Palatino Linotype" w:hAnsi="Palatino Linotype" w:cs="Palatino Linotype"/>
          <w:sz w:val="20"/>
          <w:szCs w:val="20"/>
        </w:rPr>
      </w:pPr>
    </w:p>
    <w:p w14:paraId="227B2061" w14:textId="77777777" w:rsidR="00035854" w:rsidRDefault="00035854">
      <w:pPr>
        <w:spacing w:before="240" w:after="240"/>
        <w:jc w:val="both"/>
        <w:rPr>
          <w:rFonts w:ascii="Palatino Linotype" w:eastAsia="Palatino Linotype" w:hAnsi="Palatino Linotype" w:cs="Palatino Linotype"/>
          <w:sz w:val="20"/>
          <w:szCs w:val="20"/>
        </w:rPr>
      </w:pPr>
    </w:p>
    <w:p w14:paraId="6895FEBB" w14:textId="77777777" w:rsidR="00035854" w:rsidRDefault="00035854">
      <w:pPr>
        <w:spacing w:before="240" w:after="240"/>
        <w:jc w:val="both"/>
        <w:rPr>
          <w:rFonts w:ascii="Palatino Linotype" w:eastAsia="Palatino Linotype" w:hAnsi="Palatino Linotype" w:cs="Palatino Linotype"/>
          <w:sz w:val="20"/>
          <w:szCs w:val="20"/>
        </w:rPr>
      </w:pPr>
    </w:p>
    <w:p w14:paraId="5D5A2F70" w14:textId="77777777" w:rsidR="00035854" w:rsidRDefault="00035854">
      <w:pPr>
        <w:spacing w:before="240" w:after="240"/>
        <w:jc w:val="both"/>
        <w:rPr>
          <w:rFonts w:ascii="Palatino Linotype" w:eastAsia="Palatino Linotype" w:hAnsi="Palatino Linotype" w:cs="Palatino Linotype"/>
          <w:sz w:val="20"/>
          <w:szCs w:val="20"/>
        </w:rPr>
      </w:pPr>
    </w:p>
    <w:p w14:paraId="67DABDEB" w14:textId="77777777" w:rsidR="00035854" w:rsidRDefault="00035854">
      <w:pPr>
        <w:spacing w:before="240" w:after="240"/>
        <w:jc w:val="both"/>
        <w:rPr>
          <w:rFonts w:ascii="Palatino Linotype" w:eastAsia="Palatino Linotype" w:hAnsi="Palatino Linotype" w:cs="Palatino Linotype"/>
          <w:sz w:val="20"/>
          <w:szCs w:val="20"/>
        </w:rPr>
      </w:pPr>
    </w:p>
    <w:p w14:paraId="4DB4BF3B" w14:textId="77777777" w:rsidR="00035854" w:rsidRDefault="00035854">
      <w:pPr>
        <w:spacing w:before="240" w:after="240"/>
        <w:jc w:val="both"/>
        <w:rPr>
          <w:rFonts w:ascii="Palatino Linotype" w:eastAsia="Palatino Linotype" w:hAnsi="Palatino Linotype" w:cs="Palatino Linotype"/>
          <w:sz w:val="20"/>
          <w:szCs w:val="20"/>
        </w:rPr>
      </w:pPr>
    </w:p>
    <w:sectPr w:rsidR="00035854">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436D7D" w14:textId="77777777" w:rsidR="00BF0664" w:rsidRDefault="00BF0664">
      <w:r>
        <w:separator/>
      </w:r>
    </w:p>
  </w:endnote>
  <w:endnote w:type="continuationSeparator" w:id="0">
    <w:p w14:paraId="6A62E09E" w14:textId="77777777" w:rsidR="00BF0664" w:rsidRDefault="00BF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A77C5" w14:textId="77777777" w:rsidR="00035854" w:rsidRDefault="001E746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613D6">
      <w:rPr>
        <w:rFonts w:ascii="Palatino Linotype" w:eastAsia="Palatino Linotype" w:hAnsi="Palatino Linotype" w:cs="Palatino Linotype"/>
        <w:b/>
        <w:noProof/>
        <w:color w:val="000000"/>
        <w:sz w:val="20"/>
        <w:szCs w:val="20"/>
      </w:rPr>
      <w:t>37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613D6">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3FD18F9E" w14:textId="77777777" w:rsidR="00035854" w:rsidRDefault="0003585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28086" w14:textId="77777777" w:rsidR="00035854" w:rsidRDefault="001E746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20EA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20EAE">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8E98081" w14:textId="77777777" w:rsidR="00035854" w:rsidRDefault="0003585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59A97B" w14:textId="77777777" w:rsidR="00BF0664" w:rsidRDefault="00BF0664">
      <w:r>
        <w:separator/>
      </w:r>
    </w:p>
  </w:footnote>
  <w:footnote w:type="continuationSeparator" w:id="0">
    <w:p w14:paraId="0A24D62C" w14:textId="77777777" w:rsidR="00BF0664" w:rsidRDefault="00BF0664">
      <w:r>
        <w:continuationSeparator/>
      </w:r>
    </w:p>
  </w:footnote>
  <w:footnote w:id="1">
    <w:p w14:paraId="57782704" w14:textId="77777777" w:rsidR="00035854" w:rsidRDefault="001E746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377D9A79" w14:textId="77777777" w:rsidR="00035854" w:rsidRDefault="001E746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E12AA0" w14:textId="77777777" w:rsidR="00035854" w:rsidRDefault="001E746A">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A84E6C2" wp14:editId="2795450B">
          <wp:simplePos x="0" y="0"/>
          <wp:positionH relativeFrom="column">
            <wp:posOffset>-1080127</wp:posOffset>
          </wp:positionH>
          <wp:positionV relativeFrom="paragraph">
            <wp:posOffset>-396394</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035854" w14:paraId="4119941A" w14:textId="77777777">
      <w:tc>
        <w:tcPr>
          <w:tcW w:w="2489" w:type="dxa"/>
          <w:shd w:val="clear" w:color="auto" w:fill="auto"/>
        </w:tcPr>
        <w:p w14:paraId="732D307C" w14:textId="77777777" w:rsidR="00035854" w:rsidRDefault="001E746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27AA089F" w14:textId="77777777" w:rsidR="00035854" w:rsidRDefault="001E746A">
          <w:pPr>
            <w:ind w:right="175"/>
            <w:jc w:val="both"/>
            <w:rPr>
              <w:rFonts w:ascii="Palatino Linotype" w:eastAsia="Palatino Linotype" w:hAnsi="Palatino Linotype" w:cs="Palatino Linotype"/>
              <w:b/>
            </w:rPr>
          </w:pPr>
          <w:r>
            <w:rPr>
              <w:rFonts w:ascii="Palatino Linotype" w:eastAsia="Palatino Linotype" w:hAnsi="Palatino Linotype" w:cs="Palatino Linotype"/>
              <w:b/>
            </w:rPr>
            <w:t>06099/INFOEM/IP/RR/2022</w:t>
          </w:r>
        </w:p>
      </w:tc>
    </w:tr>
    <w:tr w:rsidR="00035854" w14:paraId="5C85338D" w14:textId="77777777">
      <w:trPr>
        <w:trHeight w:val="228"/>
      </w:trPr>
      <w:tc>
        <w:tcPr>
          <w:tcW w:w="2489" w:type="dxa"/>
          <w:shd w:val="clear" w:color="auto" w:fill="auto"/>
          <w:vAlign w:val="center"/>
        </w:tcPr>
        <w:p w14:paraId="0D538935" w14:textId="77777777" w:rsidR="00035854" w:rsidRDefault="001E746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58C36EF9" w14:textId="77777777" w:rsidR="00035854" w:rsidRDefault="001E746A">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Chicoloapan</w:t>
          </w:r>
        </w:p>
      </w:tc>
    </w:tr>
    <w:tr w:rsidR="00035854" w14:paraId="2442C159" w14:textId="77777777">
      <w:trPr>
        <w:trHeight w:val="311"/>
      </w:trPr>
      <w:tc>
        <w:tcPr>
          <w:tcW w:w="2489" w:type="dxa"/>
          <w:shd w:val="clear" w:color="auto" w:fill="auto"/>
          <w:vAlign w:val="center"/>
        </w:tcPr>
        <w:p w14:paraId="7D17940B" w14:textId="77777777" w:rsidR="00035854" w:rsidRDefault="001E746A">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0C975273" w14:textId="77777777" w:rsidR="00035854" w:rsidRDefault="001E746A">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30003652" w14:textId="77777777" w:rsidR="00035854" w:rsidRDefault="001E746A">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20046" w14:textId="77777777" w:rsidR="00035854" w:rsidRDefault="001E746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2486830D" wp14:editId="575E4B35">
          <wp:simplePos x="0" y="0"/>
          <wp:positionH relativeFrom="column">
            <wp:posOffset>-943605</wp:posOffset>
          </wp:positionH>
          <wp:positionV relativeFrom="paragraph">
            <wp:posOffset>-360675</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6095" w:type="dxa"/>
      <w:tblInd w:w="3261" w:type="dxa"/>
      <w:tblLayout w:type="fixed"/>
      <w:tblLook w:val="0400" w:firstRow="0" w:lastRow="0" w:firstColumn="0" w:lastColumn="0" w:noHBand="0" w:noVBand="1"/>
    </w:tblPr>
    <w:tblGrid>
      <w:gridCol w:w="2551"/>
      <w:gridCol w:w="3544"/>
    </w:tblGrid>
    <w:tr w:rsidR="00035854" w14:paraId="00F6A4C3" w14:textId="77777777">
      <w:tc>
        <w:tcPr>
          <w:tcW w:w="2551" w:type="dxa"/>
          <w:shd w:val="clear" w:color="auto" w:fill="auto"/>
          <w:vAlign w:val="center"/>
        </w:tcPr>
        <w:p w14:paraId="1EB1626F" w14:textId="77777777" w:rsidR="00035854" w:rsidRDefault="001E746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161A1079" w14:textId="77777777" w:rsidR="00035854" w:rsidRDefault="001E746A">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06099/INFOEM/IP/RR/2022</w:t>
          </w:r>
        </w:p>
      </w:tc>
    </w:tr>
    <w:tr w:rsidR="00035854" w14:paraId="7D0B6871" w14:textId="77777777">
      <w:trPr>
        <w:trHeight w:val="130"/>
      </w:trPr>
      <w:tc>
        <w:tcPr>
          <w:tcW w:w="2551" w:type="dxa"/>
          <w:shd w:val="clear" w:color="auto" w:fill="auto"/>
          <w:vAlign w:val="center"/>
        </w:tcPr>
        <w:p w14:paraId="111B862A" w14:textId="77777777" w:rsidR="00035854" w:rsidRDefault="001E746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544" w:type="dxa"/>
          <w:shd w:val="clear" w:color="auto" w:fill="auto"/>
          <w:vAlign w:val="center"/>
        </w:tcPr>
        <w:p w14:paraId="67F6AB02" w14:textId="0D6F43E7" w:rsidR="00035854" w:rsidRDefault="00320EAE" w:rsidP="00320EAE">
          <w:pPr>
            <w:jc w:val="both"/>
            <w:rPr>
              <w:rFonts w:ascii="Palatino Linotype" w:eastAsia="Palatino Linotype" w:hAnsi="Palatino Linotype" w:cs="Palatino Linotype"/>
              <w:b/>
            </w:rPr>
          </w:pPr>
          <w:r>
            <w:rPr>
              <w:rFonts w:ascii="Palatino Linotype" w:eastAsia="Palatino Linotype" w:hAnsi="Palatino Linotype" w:cs="Palatino Linotype"/>
              <w:b/>
            </w:rPr>
            <w:t>Xxxx</w:t>
          </w:r>
          <w:r w:rsidR="001E746A">
            <w:rPr>
              <w:rFonts w:ascii="Palatino Linotype" w:eastAsia="Palatino Linotype" w:hAnsi="Palatino Linotype" w:cs="Palatino Linotype"/>
              <w:b/>
            </w:rPr>
            <w:t xml:space="preserve"> </w:t>
          </w:r>
          <w:r>
            <w:rPr>
              <w:rFonts w:ascii="Palatino Linotype" w:eastAsia="Palatino Linotype" w:hAnsi="Palatino Linotype" w:cs="Palatino Linotype"/>
              <w:b/>
            </w:rPr>
            <w:t>Xxxxx</w:t>
          </w:r>
          <w:r w:rsidR="001E746A">
            <w:rPr>
              <w:rFonts w:ascii="Palatino Linotype" w:eastAsia="Palatino Linotype" w:hAnsi="Palatino Linotype" w:cs="Palatino Linotype"/>
              <w:b/>
            </w:rPr>
            <w:t xml:space="preserve"> </w:t>
          </w:r>
          <w:r>
            <w:rPr>
              <w:rFonts w:ascii="Palatino Linotype" w:eastAsia="Palatino Linotype" w:hAnsi="Palatino Linotype" w:cs="Palatino Linotype"/>
              <w:b/>
            </w:rPr>
            <w:t>Xxxxxx</w:t>
          </w:r>
          <w:r w:rsidR="001E746A">
            <w:rPr>
              <w:rFonts w:ascii="Palatino Linotype" w:eastAsia="Palatino Linotype" w:hAnsi="Palatino Linotype" w:cs="Palatino Linotype"/>
              <w:b/>
            </w:rPr>
            <w:t xml:space="preserve"> </w:t>
          </w:r>
          <w:r>
            <w:rPr>
              <w:rFonts w:ascii="Palatino Linotype" w:eastAsia="Palatino Linotype" w:hAnsi="Palatino Linotype" w:cs="Palatino Linotype"/>
              <w:b/>
            </w:rPr>
            <w:t>Xxxxxxx</w:t>
          </w:r>
        </w:p>
      </w:tc>
    </w:tr>
    <w:tr w:rsidR="00035854" w14:paraId="2EAEAA82" w14:textId="77777777">
      <w:trPr>
        <w:trHeight w:val="228"/>
      </w:trPr>
      <w:tc>
        <w:tcPr>
          <w:tcW w:w="2551" w:type="dxa"/>
          <w:shd w:val="clear" w:color="auto" w:fill="auto"/>
          <w:vAlign w:val="center"/>
        </w:tcPr>
        <w:p w14:paraId="39B2B12F" w14:textId="77777777" w:rsidR="00035854" w:rsidRDefault="001E746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544" w:type="dxa"/>
          <w:shd w:val="clear" w:color="auto" w:fill="auto"/>
          <w:vAlign w:val="center"/>
        </w:tcPr>
        <w:p w14:paraId="174434EA" w14:textId="77777777" w:rsidR="00035854" w:rsidRDefault="001E746A">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Ayuntamiento de Chicoloapan</w:t>
          </w:r>
        </w:p>
      </w:tc>
    </w:tr>
    <w:tr w:rsidR="00035854" w14:paraId="3A77DB7F" w14:textId="77777777">
      <w:tc>
        <w:tcPr>
          <w:tcW w:w="2551" w:type="dxa"/>
          <w:shd w:val="clear" w:color="auto" w:fill="auto"/>
          <w:vAlign w:val="center"/>
        </w:tcPr>
        <w:p w14:paraId="7DD00B39" w14:textId="77777777" w:rsidR="00035854" w:rsidRDefault="001E746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314B8D48" w14:textId="77777777" w:rsidR="00035854" w:rsidRDefault="001E746A">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232C76E6" w14:textId="77777777" w:rsidR="00035854" w:rsidRDefault="00035854">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515EC"/>
    <w:multiLevelType w:val="multilevel"/>
    <w:tmpl w:val="6CD21A7E"/>
    <w:lvl w:ilvl="0">
      <w:start w:val="1"/>
      <w:numFmt w:val="lowerLetter"/>
      <w:pStyle w:val="Listaconvietas3"/>
      <w:lvlText w:val="%1)"/>
      <w:lvlJc w:val="left"/>
      <w:pPr>
        <w:ind w:left="720" w:hanging="360"/>
      </w:pPr>
      <w:rPr>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75375E"/>
    <w:multiLevelType w:val="multilevel"/>
    <w:tmpl w:val="96AE265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52F34BA"/>
    <w:multiLevelType w:val="multilevel"/>
    <w:tmpl w:val="23CEE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DAC3706"/>
    <w:multiLevelType w:val="multilevel"/>
    <w:tmpl w:val="258273D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854"/>
    <w:rsid w:val="00035854"/>
    <w:rsid w:val="0008408B"/>
    <w:rsid w:val="000D7DD5"/>
    <w:rsid w:val="001E746A"/>
    <w:rsid w:val="00320EAE"/>
    <w:rsid w:val="004E5153"/>
    <w:rsid w:val="005A5C84"/>
    <w:rsid w:val="00623BEF"/>
    <w:rsid w:val="00912311"/>
    <w:rsid w:val="00953ED7"/>
    <w:rsid w:val="00A613D6"/>
    <w:rsid w:val="00BF0664"/>
    <w:rsid w:val="00F543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F0B9"/>
  <w15:docId w15:val="{578D5AC9-B0F8-40C7-B71C-1B5DF7F9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0"/>
    <w:rPr>
      <w:sz w:val="22"/>
      <w:szCs w:val="22"/>
    </w:rPr>
    <w:tblPr>
      <w:tblStyleRowBandSize w:val="1"/>
      <w:tblStyleColBandSize w:val="1"/>
      <w:tblCellMar>
        <w:left w:w="108" w:type="dxa"/>
        <w:right w:w="108" w:type="dxa"/>
      </w:tblCellMar>
    </w:tblPr>
  </w:style>
  <w:style w:type="table" w:customStyle="1" w:styleId="11">
    <w:name w:val="11"/>
    <w:basedOn w:val="TableNormal1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table" w:customStyle="1" w:styleId="8">
    <w:name w:val="8"/>
    <w:basedOn w:val="TableNormal1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rPr>
      <w:sz w:val="22"/>
      <w:szCs w:val="22"/>
    </w:rPr>
    <w:tblPr>
      <w:tblStyleRowBandSize w:val="1"/>
      <w:tblStyleColBandSize w:val="1"/>
      <w:tblCellMar>
        <w:left w:w="115" w:type="dxa"/>
        <w:right w:w="115" w:type="dxa"/>
      </w:tblCellMar>
    </w:tblPr>
  </w:style>
  <w:style w:type="table" w:customStyle="1" w:styleId="6">
    <w:name w:val="6"/>
    <w:basedOn w:val="TableNormal10"/>
    <w:rPr>
      <w:sz w:val="22"/>
      <w:szCs w:val="22"/>
    </w:rPr>
    <w:tblPr>
      <w:tblStyleRowBandSize w:val="1"/>
      <w:tblStyleColBandSize w:val="1"/>
      <w:tblCellMar>
        <w:left w:w="115" w:type="dxa"/>
        <w:right w:w="115" w:type="dxa"/>
      </w:tblCellMar>
    </w:tblPr>
  </w:style>
  <w:style w:type="table" w:customStyle="1" w:styleId="5">
    <w:name w:val="5"/>
    <w:basedOn w:val="TableNormal20"/>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0"/>
    <w:rPr>
      <w:sz w:val="22"/>
      <w:szCs w:val="22"/>
    </w:rPr>
    <w:tblPr>
      <w:tblStyleRowBandSize w:val="1"/>
      <w:tblStyleColBandSize w:val="1"/>
      <w:tblCellMar>
        <w:left w:w="115" w:type="dxa"/>
        <w:right w:w="115" w:type="dxa"/>
      </w:tblCellMar>
    </w:tblPr>
  </w:style>
  <w:style w:type="table" w:customStyle="1" w:styleId="3">
    <w:name w:val="3"/>
    <w:basedOn w:val="TableNormal20"/>
    <w:rPr>
      <w:sz w:val="22"/>
      <w:szCs w:val="22"/>
    </w:rPr>
    <w:tblPr>
      <w:tblStyleRowBandSize w:val="1"/>
      <w:tblStyleColBandSize w:val="1"/>
      <w:tblCellMar>
        <w:left w:w="115" w:type="dxa"/>
        <w:right w:w="115" w:type="dxa"/>
      </w:tblCellMar>
    </w:tblPr>
  </w:style>
  <w:style w:type="table" w:customStyle="1" w:styleId="2">
    <w:name w:val="2"/>
    <w:basedOn w:val="TableNormal30"/>
    <w:rPr>
      <w:sz w:val="22"/>
      <w:szCs w:val="22"/>
    </w:rPr>
    <w:tblPr>
      <w:tblStyleRowBandSize w:val="1"/>
      <w:tblStyleColBandSize w:val="1"/>
      <w:tblCellMar>
        <w:left w:w="115" w:type="dxa"/>
        <w:right w:w="115" w:type="dxa"/>
      </w:tblCellMar>
    </w:tblPr>
  </w:style>
  <w:style w:type="table" w:customStyle="1" w:styleId="1">
    <w:name w:val="1"/>
    <w:basedOn w:val="TableNormal30"/>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3"/>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2">
    <w:basedOn w:val="TableNormal3"/>
    <w:rPr>
      <w:sz w:val="22"/>
      <w:szCs w:val="22"/>
    </w:rPr>
    <w:tblPr>
      <w:tblStyleRowBandSize w:val="1"/>
      <w:tblStyleColBandSize w:val="1"/>
      <w:tblCellMar>
        <w:left w:w="115" w:type="dxa"/>
        <w:right w:w="115" w:type="dxa"/>
      </w:tblCellMar>
    </w:tblPr>
  </w:style>
  <w:style w:type="table" w:customStyle="1" w:styleId="a3">
    <w:basedOn w:val="TableNormal3"/>
    <w:rPr>
      <w:sz w:val="22"/>
      <w:szCs w:val="22"/>
    </w:rPr>
    <w:tblPr>
      <w:tblStyleRowBandSize w:val="1"/>
      <w:tblStyleColBandSize w:val="1"/>
      <w:tblCellMar>
        <w:left w:w="115" w:type="dxa"/>
        <w:right w:w="115" w:type="dxa"/>
      </w:tblCellMar>
    </w:tblPr>
  </w:style>
  <w:style w:type="table" w:customStyle="1" w:styleId="a4">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5">
    <w:basedOn w:val="TableNormal2"/>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8">
    <w:basedOn w:val="TableNormal1"/>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9">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a">
    <w:basedOn w:val="TableNormal0"/>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ab">
    <w:basedOn w:val="TableNormal0"/>
    <w:rPr>
      <w:rFonts w:ascii="Calibri" w:eastAsia="Calibri" w:hAnsi="Calibri" w:cs="Calibri"/>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MGSu02ApzzaEu5QEYPO2JPAMrA==">AMUW2mWewRnU3r/Ta2KVkPZddmjzcG07LcwP9O4Gd4Zg/m1fWxCmk2UIQtadDMBnFPr7rTa9eRHlOyJ6c4wiHG/bZ7mq5jNWL1YFEfeU8DyzCNO8/4HHljFljslH3uraGT+bnWo/0Uc/lh5EM+wDx2142p+/CBaYOEP/4oW8KV8TOkgYfVGARGuclIHZukI5a+No5HuyHsky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9986</Words>
  <Characters>54926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64783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4</cp:revision>
  <cp:lastPrinted>2022-08-19T15:32:00Z</cp:lastPrinted>
  <dcterms:created xsi:type="dcterms:W3CDTF">2022-09-05T21:27:00Z</dcterms:created>
  <dcterms:modified xsi:type="dcterms:W3CDTF">2022-09-05T21:30:00Z</dcterms:modified>
</cp:coreProperties>
</file>