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780B2B" w:rsidRDefault="009F09BC" w:rsidP="009F09BC">
      <w:pPr>
        <w:tabs>
          <w:tab w:val="left" w:pos="3465"/>
        </w:tabs>
        <w:spacing w:before="240" w:after="360" w:line="360" w:lineRule="auto"/>
        <w:jc w:val="both"/>
        <w:rPr>
          <w:rFonts w:ascii="Palatino Linotype" w:hAnsi="Palatino Linotype"/>
        </w:rPr>
      </w:pPr>
      <w:bookmarkStart w:id="0" w:name="_GoBack"/>
      <w:bookmarkEnd w:id="0"/>
      <w:r w:rsidRPr="00780B2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010F6" w:rsidRPr="00780B2B">
        <w:rPr>
          <w:rFonts w:ascii="Palatino Linotype" w:hAnsi="Palatino Linotype"/>
        </w:rPr>
        <w:t>treinta</w:t>
      </w:r>
      <w:r w:rsidR="00BB5D7F" w:rsidRPr="00780B2B">
        <w:rPr>
          <w:rFonts w:ascii="Palatino Linotype" w:hAnsi="Palatino Linotype"/>
        </w:rPr>
        <w:t xml:space="preserve"> </w:t>
      </w:r>
      <w:r w:rsidR="006A04B6" w:rsidRPr="00780B2B">
        <w:rPr>
          <w:rFonts w:ascii="Palatino Linotype" w:hAnsi="Palatino Linotype"/>
        </w:rPr>
        <w:t>(</w:t>
      </w:r>
      <w:r w:rsidR="008010F6" w:rsidRPr="00780B2B">
        <w:rPr>
          <w:rFonts w:ascii="Palatino Linotype" w:hAnsi="Palatino Linotype"/>
        </w:rPr>
        <w:t>30</w:t>
      </w:r>
      <w:r w:rsidRPr="00780B2B">
        <w:rPr>
          <w:rFonts w:ascii="Palatino Linotype" w:hAnsi="Palatino Linotype"/>
        </w:rPr>
        <w:t xml:space="preserve">) de </w:t>
      </w:r>
      <w:r w:rsidR="008010F6" w:rsidRPr="00780B2B">
        <w:rPr>
          <w:rFonts w:ascii="Palatino Linotype" w:hAnsi="Palatino Linotype"/>
        </w:rPr>
        <w:t>nov</w:t>
      </w:r>
      <w:r w:rsidR="00BB5D7F" w:rsidRPr="00780B2B">
        <w:rPr>
          <w:rFonts w:ascii="Palatino Linotype" w:hAnsi="Palatino Linotype"/>
        </w:rPr>
        <w:t>iembre</w:t>
      </w:r>
      <w:r w:rsidR="00E61C13" w:rsidRPr="00780B2B">
        <w:rPr>
          <w:rFonts w:ascii="Palatino Linotype" w:hAnsi="Palatino Linotype"/>
        </w:rPr>
        <w:t xml:space="preserve"> de dos mil veintidós</w:t>
      </w:r>
      <w:r w:rsidRPr="00780B2B">
        <w:rPr>
          <w:rFonts w:ascii="Palatino Linotype" w:hAnsi="Palatino Linotype"/>
        </w:rPr>
        <w:t>.</w:t>
      </w:r>
    </w:p>
    <w:p w:rsidR="009F09BC" w:rsidRPr="00780B2B" w:rsidRDefault="009F09BC" w:rsidP="009F09BC">
      <w:pPr>
        <w:spacing w:before="240" w:after="360" w:line="360" w:lineRule="auto"/>
        <w:jc w:val="both"/>
        <w:rPr>
          <w:rFonts w:ascii="Palatino Linotype" w:hAnsi="Palatino Linotype"/>
          <w:b/>
        </w:rPr>
      </w:pPr>
      <w:r w:rsidRPr="00780B2B">
        <w:rPr>
          <w:rFonts w:ascii="Palatino Linotype" w:hAnsi="Palatino Linotype"/>
          <w:b/>
        </w:rPr>
        <w:t>VISTO</w:t>
      </w:r>
      <w:r w:rsidRPr="00780B2B">
        <w:rPr>
          <w:rFonts w:ascii="Palatino Linotype" w:hAnsi="Palatino Linotype"/>
        </w:rPr>
        <w:t xml:space="preserve"> l</w:t>
      </w:r>
      <w:r w:rsidR="005E342B" w:rsidRPr="00780B2B">
        <w:rPr>
          <w:rFonts w:ascii="Palatino Linotype" w:hAnsi="Palatino Linotype"/>
        </w:rPr>
        <w:t>os</w:t>
      </w:r>
      <w:r w:rsidRPr="00780B2B">
        <w:rPr>
          <w:rFonts w:ascii="Palatino Linotype" w:hAnsi="Palatino Linotype"/>
        </w:rPr>
        <w:t xml:space="preserve"> expediente</w:t>
      </w:r>
      <w:r w:rsidR="005E342B" w:rsidRPr="00780B2B">
        <w:rPr>
          <w:rFonts w:ascii="Palatino Linotype" w:hAnsi="Palatino Linotype"/>
        </w:rPr>
        <w:t>s</w:t>
      </w:r>
      <w:r w:rsidRPr="00780B2B">
        <w:rPr>
          <w:rFonts w:ascii="Palatino Linotype" w:hAnsi="Palatino Linotype"/>
        </w:rPr>
        <w:t xml:space="preserve"> electrónico</w:t>
      </w:r>
      <w:r w:rsidR="005E342B" w:rsidRPr="00780B2B">
        <w:rPr>
          <w:rFonts w:ascii="Palatino Linotype" w:hAnsi="Palatino Linotype"/>
        </w:rPr>
        <w:t>s</w:t>
      </w:r>
      <w:r w:rsidRPr="00780B2B">
        <w:rPr>
          <w:rFonts w:ascii="Palatino Linotype" w:hAnsi="Palatino Linotype"/>
        </w:rPr>
        <w:t xml:space="preserve"> formado</w:t>
      </w:r>
      <w:r w:rsidR="005E342B" w:rsidRPr="00780B2B">
        <w:rPr>
          <w:rFonts w:ascii="Palatino Linotype" w:hAnsi="Palatino Linotype"/>
        </w:rPr>
        <w:t>s</w:t>
      </w:r>
      <w:r w:rsidRPr="00780B2B">
        <w:rPr>
          <w:rFonts w:ascii="Palatino Linotype" w:hAnsi="Palatino Linotype"/>
        </w:rPr>
        <w:t xml:space="preserve"> con motivo de</w:t>
      </w:r>
      <w:r w:rsidR="005E342B" w:rsidRPr="00780B2B">
        <w:rPr>
          <w:rFonts w:ascii="Palatino Linotype" w:hAnsi="Palatino Linotype"/>
        </w:rPr>
        <w:t xml:space="preserve"> </w:t>
      </w:r>
      <w:r w:rsidRPr="00780B2B">
        <w:rPr>
          <w:rFonts w:ascii="Palatino Linotype" w:hAnsi="Palatino Linotype"/>
        </w:rPr>
        <w:t>l</w:t>
      </w:r>
      <w:r w:rsidR="005E342B" w:rsidRPr="00780B2B">
        <w:rPr>
          <w:rFonts w:ascii="Palatino Linotype" w:hAnsi="Palatino Linotype"/>
        </w:rPr>
        <w:t>os</w:t>
      </w:r>
      <w:r w:rsidRPr="00780B2B">
        <w:rPr>
          <w:rFonts w:ascii="Palatino Linotype" w:hAnsi="Palatino Linotype"/>
        </w:rPr>
        <w:t xml:space="preserve"> recurso de revisión </w:t>
      </w:r>
      <w:r w:rsidR="008010F6" w:rsidRPr="00780B2B">
        <w:rPr>
          <w:rFonts w:ascii="Palatino Linotype" w:hAnsi="Palatino Linotype"/>
          <w:b/>
        </w:rPr>
        <w:t>16088/INFOEM/IP/RR/2022</w:t>
      </w:r>
      <w:r w:rsidR="005E342B" w:rsidRPr="00780B2B">
        <w:rPr>
          <w:rFonts w:ascii="Palatino Linotype" w:hAnsi="Palatino Linotype"/>
          <w:b/>
        </w:rPr>
        <w:t>, 16089/INFOEM/IP/RR/2022 y 16091/INFOEM/IP/RR/2022</w:t>
      </w:r>
      <w:r w:rsidR="005E342B" w:rsidRPr="00780B2B">
        <w:rPr>
          <w:rFonts w:ascii="Palatino Linotype" w:hAnsi="Palatino Linotype"/>
        </w:rPr>
        <w:t xml:space="preserve"> acumulados,</w:t>
      </w:r>
      <w:r w:rsidRPr="00780B2B">
        <w:rPr>
          <w:rFonts w:ascii="Palatino Linotype" w:hAnsi="Palatino Linotype" w:cs="Arial"/>
          <w:b/>
          <w:bCs/>
        </w:rPr>
        <w:t xml:space="preserve"> </w:t>
      </w:r>
      <w:r w:rsidRPr="00780B2B">
        <w:rPr>
          <w:rFonts w:ascii="Palatino Linotype" w:hAnsi="Palatino Linotype"/>
        </w:rPr>
        <w:t>promovido</w:t>
      </w:r>
      <w:r w:rsidR="005E342B" w:rsidRPr="00780B2B">
        <w:rPr>
          <w:rFonts w:ascii="Palatino Linotype" w:hAnsi="Palatino Linotype"/>
        </w:rPr>
        <w:t>s</w:t>
      </w:r>
      <w:r w:rsidRPr="00780B2B">
        <w:rPr>
          <w:rFonts w:ascii="Palatino Linotype" w:hAnsi="Palatino Linotype"/>
        </w:rPr>
        <w:t xml:space="preserve"> por </w:t>
      </w:r>
      <w:r w:rsidR="00195954" w:rsidRPr="00780B2B">
        <w:rPr>
          <w:rFonts w:ascii="Palatino Linotype" w:hAnsi="Palatino Linotype"/>
          <w:b/>
        </w:rPr>
        <w:t>un particular que no proporciono datos de identificación</w:t>
      </w:r>
      <w:r w:rsidRPr="00780B2B">
        <w:rPr>
          <w:rFonts w:ascii="Palatino Linotype" w:hAnsi="Palatino Linotype"/>
        </w:rPr>
        <w:t xml:space="preserve">, a quien en lo sucesivo se le identificará como </w:t>
      </w:r>
      <w:r w:rsidR="00FF73DB" w:rsidRPr="00780B2B">
        <w:rPr>
          <w:rFonts w:ascii="Palatino Linotype" w:hAnsi="Palatino Linotype"/>
          <w:b/>
        </w:rPr>
        <w:t>EL RECURRENTE</w:t>
      </w:r>
      <w:r w:rsidRPr="00780B2B">
        <w:rPr>
          <w:rFonts w:ascii="Palatino Linotype" w:hAnsi="Palatino Linotype" w:cs="Arial"/>
        </w:rPr>
        <w:t>, en contra de la</w:t>
      </w:r>
      <w:r w:rsidR="005E342B" w:rsidRPr="00780B2B">
        <w:rPr>
          <w:rFonts w:ascii="Palatino Linotype" w:hAnsi="Palatino Linotype" w:cs="Arial"/>
        </w:rPr>
        <w:t>s</w:t>
      </w:r>
      <w:r w:rsidRPr="00780B2B">
        <w:rPr>
          <w:rFonts w:ascii="Palatino Linotype" w:hAnsi="Palatino Linotype" w:cs="Arial"/>
        </w:rPr>
        <w:t xml:space="preserve"> respuesta</w:t>
      </w:r>
      <w:r w:rsidR="005E342B" w:rsidRPr="00780B2B">
        <w:rPr>
          <w:rFonts w:ascii="Palatino Linotype" w:hAnsi="Palatino Linotype" w:cs="Arial"/>
        </w:rPr>
        <w:t>s</w:t>
      </w:r>
      <w:r w:rsidRPr="00780B2B">
        <w:rPr>
          <w:rFonts w:ascii="Palatino Linotype" w:hAnsi="Palatino Linotype" w:cs="Arial"/>
        </w:rPr>
        <w:t xml:space="preserve"> del </w:t>
      </w:r>
      <w:r w:rsidR="00190A91" w:rsidRPr="00780B2B">
        <w:rPr>
          <w:rFonts w:ascii="Palatino Linotype" w:hAnsi="Palatino Linotype" w:cs="Arial"/>
          <w:b/>
        </w:rPr>
        <w:t>Sistema Municipal Para el Desarrollo Integral de la Familia de la Paz</w:t>
      </w:r>
      <w:r w:rsidRPr="00780B2B">
        <w:rPr>
          <w:rFonts w:ascii="Palatino Linotype" w:hAnsi="Palatino Linotype" w:cs="Arial"/>
          <w:b/>
        </w:rPr>
        <w:t>,</w:t>
      </w:r>
      <w:r w:rsidRPr="00780B2B">
        <w:rPr>
          <w:rFonts w:ascii="Palatino Linotype" w:hAnsi="Palatino Linotype"/>
          <w:b/>
        </w:rPr>
        <w:t xml:space="preserve"> </w:t>
      </w:r>
      <w:r w:rsidRPr="00780B2B">
        <w:rPr>
          <w:rFonts w:ascii="Palatino Linotype" w:hAnsi="Palatino Linotype"/>
        </w:rPr>
        <w:t>en lo sucesivo el</w:t>
      </w:r>
      <w:r w:rsidRPr="00780B2B">
        <w:rPr>
          <w:rFonts w:ascii="Palatino Linotype" w:hAnsi="Palatino Linotype"/>
          <w:b/>
        </w:rPr>
        <w:t xml:space="preserve"> SUJETO OBLIGADO</w:t>
      </w:r>
      <w:r w:rsidRPr="00780B2B">
        <w:rPr>
          <w:rFonts w:ascii="Palatino Linotype" w:hAnsi="Palatino Linotype"/>
        </w:rPr>
        <w:t>, se procede a dictar la presente resolución, con base en los siguientes:</w:t>
      </w:r>
    </w:p>
    <w:p w:rsidR="009F09BC" w:rsidRPr="00780B2B"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780B2B">
        <w:rPr>
          <w:rFonts w:ascii="Palatino Linotype" w:hAnsi="Palatino Linotype"/>
          <w:b/>
          <w:color w:val="000000" w:themeColor="text1"/>
          <w:sz w:val="24"/>
          <w:szCs w:val="24"/>
        </w:rPr>
        <w:t>ANTECEDENTES</w:t>
      </w:r>
      <w:bookmarkEnd w:id="1"/>
      <w:bookmarkEnd w:id="2"/>
      <w:bookmarkEnd w:id="3"/>
    </w:p>
    <w:p w:rsidR="009F09BC" w:rsidRPr="00780B2B"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780B2B">
        <w:rPr>
          <w:rFonts w:ascii="Palatino Linotype" w:eastAsia="Calibri" w:hAnsi="Palatino Linotype" w:cs="Arial"/>
          <w:lang w:val="es-ES"/>
        </w:rPr>
        <w:t xml:space="preserve">El día </w:t>
      </w:r>
      <w:r w:rsidR="00190A91" w:rsidRPr="00780B2B">
        <w:rPr>
          <w:rFonts w:ascii="Palatino Linotype" w:eastAsia="Calibri" w:hAnsi="Palatino Linotype" w:cs="Arial"/>
          <w:lang w:val="es-ES"/>
        </w:rPr>
        <w:t>trece</w:t>
      </w:r>
      <w:r w:rsidR="00D0226D" w:rsidRPr="00780B2B">
        <w:rPr>
          <w:rFonts w:ascii="Palatino Linotype" w:eastAsia="Calibri" w:hAnsi="Palatino Linotype" w:cs="Arial"/>
          <w:lang w:val="es-ES"/>
        </w:rPr>
        <w:t xml:space="preserve"> </w:t>
      </w:r>
      <w:r w:rsidRPr="00780B2B">
        <w:rPr>
          <w:rFonts w:ascii="Palatino Linotype" w:eastAsia="Calibri" w:hAnsi="Palatino Linotype" w:cs="Arial"/>
          <w:lang w:val="es-ES"/>
        </w:rPr>
        <w:t>(</w:t>
      </w:r>
      <w:r w:rsidR="00190A91" w:rsidRPr="00780B2B">
        <w:rPr>
          <w:rFonts w:ascii="Palatino Linotype" w:eastAsia="Calibri" w:hAnsi="Palatino Linotype" w:cs="Arial"/>
          <w:lang w:val="es-ES"/>
        </w:rPr>
        <w:t>13</w:t>
      </w:r>
      <w:r w:rsidRPr="00780B2B">
        <w:rPr>
          <w:rFonts w:ascii="Palatino Linotype" w:eastAsia="Calibri" w:hAnsi="Palatino Linotype" w:cs="Arial"/>
          <w:lang w:val="es-ES"/>
        </w:rPr>
        <w:t xml:space="preserve">) de </w:t>
      </w:r>
      <w:r w:rsidR="00190A91" w:rsidRPr="00780B2B">
        <w:rPr>
          <w:rFonts w:ascii="Palatino Linotype" w:eastAsia="Calibri" w:hAnsi="Palatino Linotype" w:cs="Arial"/>
          <w:lang w:val="es-ES"/>
        </w:rPr>
        <w:t>octubre</w:t>
      </w:r>
      <w:r w:rsidR="00E61C13" w:rsidRPr="00780B2B">
        <w:rPr>
          <w:rFonts w:ascii="Palatino Linotype" w:eastAsia="Calibri" w:hAnsi="Palatino Linotype" w:cs="Arial"/>
          <w:lang w:val="es-ES"/>
        </w:rPr>
        <w:t xml:space="preserve"> de dos mil veintidós</w:t>
      </w:r>
      <w:r w:rsidRPr="00780B2B">
        <w:rPr>
          <w:rFonts w:ascii="Palatino Linotype" w:hAnsi="Palatino Linotype"/>
          <w:b/>
        </w:rPr>
        <w:t xml:space="preserve">, </w:t>
      </w:r>
      <w:r w:rsidRPr="00780B2B">
        <w:rPr>
          <w:rFonts w:ascii="Palatino Linotype" w:eastAsia="Calibri" w:hAnsi="Palatino Linotype" w:cs="Arial"/>
          <w:lang w:val="es-ES"/>
        </w:rPr>
        <w:t xml:space="preserve">se presentó ante el </w:t>
      </w:r>
      <w:r w:rsidRPr="00780B2B">
        <w:rPr>
          <w:rFonts w:ascii="Palatino Linotype" w:eastAsia="Calibri" w:hAnsi="Palatino Linotype" w:cs="Arial"/>
          <w:b/>
          <w:lang w:val="es-ES"/>
        </w:rPr>
        <w:t>SUJETO OBLIGADO</w:t>
      </w:r>
      <w:r w:rsidRPr="00780B2B">
        <w:rPr>
          <w:rFonts w:ascii="Palatino Linotype" w:eastAsia="Calibri" w:hAnsi="Palatino Linotype" w:cs="Arial"/>
        </w:rPr>
        <w:t xml:space="preserve"> vía </w:t>
      </w:r>
      <w:r w:rsidR="008A699B" w:rsidRPr="00780B2B">
        <w:rPr>
          <w:rFonts w:ascii="Palatino Linotype" w:eastAsia="Calibri" w:hAnsi="Palatino Linotype" w:cs="Arial"/>
          <w:lang w:val="es-ES"/>
        </w:rPr>
        <w:t>SAIMEX, la</w:t>
      </w:r>
      <w:r w:rsidR="004F094F" w:rsidRPr="00780B2B">
        <w:rPr>
          <w:rFonts w:ascii="Palatino Linotype" w:eastAsia="Calibri" w:hAnsi="Palatino Linotype" w:cs="Arial"/>
          <w:lang w:val="es-ES"/>
        </w:rPr>
        <w:t>s</w:t>
      </w:r>
      <w:r w:rsidR="008A699B" w:rsidRPr="00780B2B">
        <w:rPr>
          <w:rFonts w:ascii="Palatino Linotype" w:eastAsia="Calibri" w:hAnsi="Palatino Linotype" w:cs="Arial"/>
          <w:lang w:val="es-ES"/>
        </w:rPr>
        <w:t xml:space="preserve"> solicitud</w:t>
      </w:r>
      <w:r w:rsidR="004F094F" w:rsidRPr="00780B2B">
        <w:rPr>
          <w:rFonts w:ascii="Palatino Linotype" w:eastAsia="Calibri" w:hAnsi="Palatino Linotype" w:cs="Arial"/>
          <w:lang w:val="es-ES"/>
        </w:rPr>
        <w:t>es</w:t>
      </w:r>
      <w:r w:rsidRPr="00780B2B">
        <w:rPr>
          <w:rFonts w:ascii="Palatino Linotype" w:eastAsia="Calibri" w:hAnsi="Palatino Linotype" w:cs="Arial"/>
          <w:lang w:val="es-ES"/>
        </w:rPr>
        <w:t xml:space="preserve"> de información pública</w:t>
      </w:r>
      <w:r w:rsidR="004F094F" w:rsidRPr="00780B2B">
        <w:rPr>
          <w:rFonts w:ascii="Palatino Linotype" w:eastAsia="Calibri" w:hAnsi="Palatino Linotype" w:cs="Arial"/>
          <w:lang w:val="es-ES"/>
        </w:rPr>
        <w:t>s</w:t>
      </w:r>
      <w:r w:rsidR="008A699B" w:rsidRPr="00780B2B">
        <w:rPr>
          <w:rFonts w:ascii="Palatino Linotype" w:eastAsia="Calibri" w:hAnsi="Palatino Linotype" w:cs="Arial"/>
          <w:lang w:val="es-ES"/>
        </w:rPr>
        <w:t xml:space="preserve"> registrada</w:t>
      </w:r>
      <w:r w:rsidR="004F094F" w:rsidRPr="00780B2B">
        <w:rPr>
          <w:rFonts w:ascii="Palatino Linotype" w:eastAsia="Calibri" w:hAnsi="Palatino Linotype" w:cs="Arial"/>
          <w:lang w:val="es-ES"/>
        </w:rPr>
        <w:t>s</w:t>
      </w:r>
      <w:r w:rsidRPr="00780B2B">
        <w:rPr>
          <w:rFonts w:ascii="Palatino Linotype" w:eastAsia="Calibri" w:hAnsi="Palatino Linotype" w:cs="Arial"/>
          <w:lang w:val="es-ES"/>
        </w:rPr>
        <w:t xml:space="preserve"> con </w:t>
      </w:r>
      <w:r w:rsidR="008A699B" w:rsidRPr="00780B2B">
        <w:rPr>
          <w:rFonts w:ascii="Palatino Linotype" w:eastAsia="Calibri" w:hAnsi="Palatino Linotype" w:cs="Arial"/>
          <w:lang w:val="es-ES"/>
        </w:rPr>
        <w:t>l</w:t>
      </w:r>
      <w:r w:rsidR="004F094F" w:rsidRPr="00780B2B">
        <w:rPr>
          <w:rFonts w:ascii="Palatino Linotype" w:eastAsia="Calibri" w:hAnsi="Palatino Linotype" w:cs="Arial"/>
          <w:lang w:val="es-ES"/>
        </w:rPr>
        <w:t>os</w:t>
      </w:r>
      <w:r w:rsidR="008A699B" w:rsidRPr="00780B2B">
        <w:rPr>
          <w:rFonts w:ascii="Palatino Linotype" w:eastAsia="Calibri" w:hAnsi="Palatino Linotype" w:cs="Arial"/>
          <w:lang w:val="es-ES"/>
        </w:rPr>
        <w:t xml:space="preserve"> </w:t>
      </w:r>
      <w:r w:rsidRPr="00780B2B">
        <w:rPr>
          <w:rFonts w:ascii="Palatino Linotype" w:eastAsia="Calibri" w:hAnsi="Palatino Linotype" w:cs="Arial"/>
          <w:lang w:val="es-ES"/>
        </w:rPr>
        <w:t>número</w:t>
      </w:r>
      <w:r w:rsidR="004F094F" w:rsidRPr="00780B2B">
        <w:rPr>
          <w:rFonts w:ascii="Palatino Linotype" w:eastAsia="Calibri" w:hAnsi="Palatino Linotype" w:cs="Arial"/>
          <w:lang w:val="es-ES"/>
        </w:rPr>
        <w:t>s</w:t>
      </w:r>
      <w:r w:rsidRPr="00780B2B">
        <w:rPr>
          <w:rFonts w:ascii="Palatino Linotype" w:hAnsi="Palatino Linotype"/>
          <w:b/>
          <w:bCs/>
          <w:color w:val="000000" w:themeColor="text1"/>
        </w:rPr>
        <w:t xml:space="preserve"> </w:t>
      </w:r>
      <w:r w:rsidR="00190A91" w:rsidRPr="00780B2B">
        <w:rPr>
          <w:rFonts w:ascii="Palatino Linotype" w:hAnsi="Palatino Linotype"/>
          <w:b/>
          <w:bCs/>
          <w:color w:val="000000" w:themeColor="text1"/>
        </w:rPr>
        <w:t>00017/DIFLAPAZ/IP/2022</w:t>
      </w:r>
      <w:r w:rsidR="004F094F" w:rsidRPr="00780B2B">
        <w:rPr>
          <w:rFonts w:ascii="Palatino Linotype" w:hAnsi="Palatino Linotype"/>
          <w:b/>
          <w:bCs/>
          <w:color w:val="000000" w:themeColor="text1"/>
        </w:rPr>
        <w:t>, 00018/DIFLAPAZ/IP/2022 y 00020/DIFLAPAZ/IP/2022</w:t>
      </w:r>
      <w:r w:rsidRPr="00780B2B">
        <w:rPr>
          <w:rFonts w:ascii="Palatino Linotype" w:hAnsi="Palatino Linotype"/>
          <w:b/>
          <w:bCs/>
          <w:color w:val="000000" w:themeColor="text1"/>
        </w:rPr>
        <w:t xml:space="preserve">; </w:t>
      </w:r>
      <w:r w:rsidRPr="00780B2B">
        <w:rPr>
          <w:rFonts w:ascii="Palatino Linotype" w:eastAsia="Calibri" w:hAnsi="Palatino Linotype" w:cs="Arial"/>
          <w:lang w:val="es-ES"/>
        </w:rPr>
        <w:t>mediante la cual se solicitó la siguiente información:</w:t>
      </w:r>
    </w:p>
    <w:p w:rsidR="008A699B" w:rsidRPr="00780B2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780B2B" w:rsidRDefault="008A699B" w:rsidP="008A699B">
      <w:pPr>
        <w:pStyle w:val="Prrafodelista"/>
        <w:spacing w:line="360" w:lineRule="auto"/>
        <w:ind w:left="426" w:right="474"/>
        <w:jc w:val="both"/>
        <w:rPr>
          <w:rFonts w:ascii="Palatino Linotype" w:hAnsi="Palatino Linotype"/>
          <w:i/>
        </w:rPr>
      </w:pPr>
      <w:r w:rsidRPr="00780B2B">
        <w:rPr>
          <w:rFonts w:ascii="Palatino Linotype" w:hAnsi="Palatino Linotype"/>
          <w:i/>
        </w:rPr>
        <w:t>“</w:t>
      </w:r>
      <w:r w:rsidR="008010F6" w:rsidRPr="00780B2B">
        <w:rPr>
          <w:rFonts w:ascii="Palatino Linotype" w:hAnsi="Palatino Linotype"/>
          <w:i/>
        </w:rPr>
        <w:t xml:space="preserve">Solicito que me envíen en formato </w:t>
      </w:r>
      <w:proofErr w:type="spellStart"/>
      <w:r w:rsidR="008010F6" w:rsidRPr="00780B2B">
        <w:rPr>
          <w:rFonts w:ascii="Palatino Linotype" w:hAnsi="Palatino Linotype"/>
          <w:i/>
        </w:rPr>
        <w:t>pdf</w:t>
      </w:r>
      <w:proofErr w:type="spellEnd"/>
      <w:r w:rsidR="008010F6" w:rsidRPr="00780B2B">
        <w:rPr>
          <w:rFonts w:ascii="Palatino Linotype" w:hAnsi="Palatino Linotype"/>
          <w:i/>
        </w:rPr>
        <w:t xml:space="preserve"> el recibo de </w:t>
      </w:r>
      <w:proofErr w:type="spellStart"/>
      <w:r w:rsidR="008010F6" w:rsidRPr="00780B2B">
        <w:rPr>
          <w:rFonts w:ascii="Palatino Linotype" w:hAnsi="Palatino Linotype"/>
          <w:i/>
        </w:rPr>
        <w:t>nomina</w:t>
      </w:r>
      <w:proofErr w:type="spellEnd"/>
      <w:r w:rsidR="008010F6" w:rsidRPr="00780B2B">
        <w:rPr>
          <w:rFonts w:ascii="Palatino Linotype" w:hAnsi="Palatino Linotype"/>
          <w:i/>
        </w:rPr>
        <w:t xml:space="preserve"> de la actual presidente del DIF, lo requiero de la primer quincena de septiembre del presente año 2022. Requiero que me envíen los nombres completos de todos los psicólogos que se </w:t>
      </w:r>
      <w:r w:rsidR="008010F6" w:rsidRPr="00780B2B">
        <w:rPr>
          <w:rFonts w:ascii="Palatino Linotype" w:hAnsi="Palatino Linotype"/>
          <w:i/>
        </w:rPr>
        <w:lastRenderedPageBreak/>
        <w:t xml:space="preserve">encuentran actualmente dados de alta y trabajando para el sistema DIF de la Paz Requiero que me envíen en formato PDF los recibos de </w:t>
      </w:r>
      <w:proofErr w:type="spellStart"/>
      <w:r w:rsidR="008010F6" w:rsidRPr="00780B2B">
        <w:rPr>
          <w:rFonts w:ascii="Palatino Linotype" w:hAnsi="Palatino Linotype"/>
          <w:i/>
        </w:rPr>
        <w:t>nomina</w:t>
      </w:r>
      <w:proofErr w:type="spellEnd"/>
      <w:r w:rsidR="008010F6" w:rsidRPr="00780B2B">
        <w:rPr>
          <w:rFonts w:ascii="Palatino Linotype" w:hAnsi="Palatino Linotype"/>
          <w:i/>
        </w:rPr>
        <w:t xml:space="preserve"> de la presidente del DIF, de la administración 2003 - 2006, dichos recibos los requiero de la primer y segunda quincena del mes de enero del año 2004.</w:t>
      </w:r>
      <w:r w:rsidR="00D0226D" w:rsidRPr="00780B2B">
        <w:rPr>
          <w:rFonts w:ascii="Palatino Linotype" w:hAnsi="Palatino Linotype"/>
          <w:i/>
        </w:rPr>
        <w:t>"</w:t>
      </w:r>
    </w:p>
    <w:p w:rsidR="004F094F" w:rsidRPr="00780B2B" w:rsidRDefault="004F094F" w:rsidP="008A699B">
      <w:pPr>
        <w:pStyle w:val="Prrafodelista"/>
        <w:spacing w:line="360" w:lineRule="auto"/>
        <w:ind w:left="426" w:right="474"/>
        <w:jc w:val="both"/>
        <w:rPr>
          <w:rFonts w:ascii="Palatino Linotype" w:hAnsi="Palatino Linotype"/>
          <w:i/>
        </w:rPr>
      </w:pPr>
    </w:p>
    <w:p w:rsidR="004F094F" w:rsidRPr="00780B2B" w:rsidRDefault="004F094F" w:rsidP="008A699B">
      <w:pPr>
        <w:pStyle w:val="Prrafodelista"/>
        <w:spacing w:line="360" w:lineRule="auto"/>
        <w:ind w:left="426" w:right="474"/>
        <w:jc w:val="both"/>
        <w:rPr>
          <w:rFonts w:ascii="Palatino Linotype" w:hAnsi="Palatino Linotype"/>
          <w:i/>
        </w:rPr>
      </w:pPr>
      <w:r w:rsidRPr="00780B2B">
        <w:rPr>
          <w:rFonts w:ascii="Palatino Linotype" w:hAnsi="Palatino Linotype"/>
          <w:i/>
        </w:rPr>
        <w:t xml:space="preserve">“solicito que me envíen en formato </w:t>
      </w:r>
      <w:proofErr w:type="spellStart"/>
      <w:r w:rsidRPr="00780B2B">
        <w:rPr>
          <w:rFonts w:ascii="Palatino Linotype" w:hAnsi="Palatino Linotype"/>
          <w:i/>
        </w:rPr>
        <w:t>pdf</w:t>
      </w:r>
      <w:proofErr w:type="spellEnd"/>
      <w:r w:rsidRPr="00780B2B">
        <w:rPr>
          <w:rFonts w:ascii="Palatino Linotype" w:hAnsi="Palatino Linotype"/>
          <w:i/>
        </w:rPr>
        <w:t xml:space="preserve"> los recibos de </w:t>
      </w:r>
      <w:proofErr w:type="spellStart"/>
      <w:r w:rsidRPr="00780B2B">
        <w:rPr>
          <w:rFonts w:ascii="Palatino Linotype" w:hAnsi="Palatino Linotype"/>
          <w:i/>
        </w:rPr>
        <w:t>nomina</w:t>
      </w:r>
      <w:proofErr w:type="spellEnd"/>
      <w:r w:rsidRPr="00780B2B">
        <w:rPr>
          <w:rFonts w:ascii="Palatino Linotype" w:hAnsi="Palatino Linotype"/>
          <w:i/>
        </w:rPr>
        <w:t xml:space="preserve"> correspondientes a la primer y segunda quincena del mes de septiembre del presente año 2022, lo anterior lo solicito de todo el personal en todas sus categorías que se encuentra adscrito a la unidad de transparencia del sistema municipal DIF, LA PAZ. </w:t>
      </w:r>
      <w:proofErr w:type="gramStart"/>
      <w:r w:rsidRPr="00780B2B">
        <w:rPr>
          <w:rFonts w:ascii="Palatino Linotype" w:hAnsi="Palatino Linotype"/>
          <w:i/>
        </w:rPr>
        <w:t>incluyendo</w:t>
      </w:r>
      <w:proofErr w:type="gramEnd"/>
      <w:r w:rsidRPr="00780B2B">
        <w:rPr>
          <w:rFonts w:ascii="Palatino Linotype" w:hAnsi="Palatino Linotype"/>
          <w:i/>
        </w:rPr>
        <w:t xml:space="preserve"> personal </w:t>
      </w:r>
      <w:proofErr w:type="spellStart"/>
      <w:r w:rsidRPr="00780B2B">
        <w:rPr>
          <w:rFonts w:ascii="Palatino Linotype" w:hAnsi="Palatino Linotype"/>
          <w:i/>
        </w:rPr>
        <w:t>sindicalisado</w:t>
      </w:r>
      <w:proofErr w:type="spellEnd"/>
      <w:r w:rsidRPr="00780B2B">
        <w:rPr>
          <w:rFonts w:ascii="Palatino Linotype" w:hAnsi="Palatino Linotype"/>
          <w:i/>
        </w:rPr>
        <w:t>.”</w:t>
      </w:r>
    </w:p>
    <w:p w:rsidR="004F094F" w:rsidRPr="00780B2B" w:rsidRDefault="004F094F" w:rsidP="008A699B">
      <w:pPr>
        <w:pStyle w:val="Prrafodelista"/>
        <w:spacing w:line="360" w:lineRule="auto"/>
        <w:ind w:left="426" w:right="474"/>
        <w:jc w:val="both"/>
        <w:rPr>
          <w:rFonts w:ascii="Palatino Linotype" w:hAnsi="Palatino Linotype"/>
          <w:i/>
        </w:rPr>
      </w:pPr>
    </w:p>
    <w:p w:rsidR="004F094F" w:rsidRPr="00780B2B" w:rsidRDefault="004F094F" w:rsidP="008A699B">
      <w:pPr>
        <w:pStyle w:val="Prrafodelista"/>
        <w:spacing w:line="360" w:lineRule="auto"/>
        <w:ind w:left="426" w:right="474"/>
        <w:jc w:val="both"/>
        <w:rPr>
          <w:rFonts w:ascii="Palatino Linotype" w:hAnsi="Palatino Linotype"/>
          <w:i/>
        </w:rPr>
      </w:pPr>
      <w:r w:rsidRPr="00780B2B">
        <w:rPr>
          <w:rFonts w:ascii="Palatino Linotype" w:hAnsi="Palatino Linotype"/>
          <w:i/>
        </w:rPr>
        <w:t xml:space="preserve">“solcito que me </w:t>
      </w:r>
      <w:proofErr w:type="spellStart"/>
      <w:r w:rsidRPr="00780B2B">
        <w:rPr>
          <w:rFonts w:ascii="Palatino Linotype" w:hAnsi="Palatino Linotype"/>
          <w:i/>
        </w:rPr>
        <w:t>envien</w:t>
      </w:r>
      <w:proofErr w:type="spellEnd"/>
      <w:r w:rsidRPr="00780B2B">
        <w:rPr>
          <w:rFonts w:ascii="Palatino Linotype" w:hAnsi="Palatino Linotype"/>
          <w:i/>
        </w:rPr>
        <w:t xml:space="preserve"> nombres completos de los trabajadores”</w:t>
      </w:r>
    </w:p>
    <w:p w:rsidR="00D50382" w:rsidRPr="00780B2B" w:rsidRDefault="00D50382" w:rsidP="00D50382">
      <w:pPr>
        <w:pStyle w:val="Prrafodelista"/>
        <w:spacing w:line="360" w:lineRule="auto"/>
        <w:ind w:left="851" w:right="34"/>
        <w:jc w:val="both"/>
        <w:rPr>
          <w:rFonts w:ascii="Palatino Linotype" w:hAnsi="Palatino Linotype"/>
        </w:rPr>
      </w:pPr>
    </w:p>
    <w:p w:rsidR="009F09BC" w:rsidRPr="00780B2B" w:rsidRDefault="009F09BC" w:rsidP="00C85059">
      <w:pPr>
        <w:pStyle w:val="Prrafodelista"/>
        <w:numPr>
          <w:ilvl w:val="0"/>
          <w:numId w:val="2"/>
        </w:numPr>
        <w:spacing w:line="360" w:lineRule="auto"/>
        <w:ind w:left="851" w:right="34"/>
        <w:jc w:val="both"/>
        <w:rPr>
          <w:rFonts w:ascii="Palatino Linotype" w:hAnsi="Palatino Linotype"/>
        </w:rPr>
      </w:pPr>
      <w:r w:rsidRPr="00780B2B">
        <w:rPr>
          <w:rFonts w:ascii="Palatino Linotype" w:eastAsia="Times New Roman" w:hAnsi="Palatino Linotype" w:cs="Arial"/>
          <w:lang w:val="es-ES"/>
        </w:rPr>
        <w:t>Se eligió como modalidad de entrega de la información</w:t>
      </w:r>
      <w:r w:rsidRPr="00780B2B">
        <w:rPr>
          <w:rFonts w:ascii="Palatino Linotype" w:hAnsi="Palatino Linotype"/>
        </w:rPr>
        <w:t xml:space="preserve">: A través del </w:t>
      </w:r>
      <w:r w:rsidRPr="00780B2B">
        <w:rPr>
          <w:rFonts w:ascii="Palatino Linotype" w:hAnsi="Palatino Linotype"/>
          <w:b/>
        </w:rPr>
        <w:t>SAIMEX</w:t>
      </w:r>
      <w:r w:rsidR="0069487D" w:rsidRPr="00780B2B">
        <w:rPr>
          <w:rFonts w:ascii="Palatino Linotype" w:hAnsi="Palatino Linotype"/>
          <w:b/>
        </w:rPr>
        <w:t>.</w:t>
      </w:r>
    </w:p>
    <w:p w:rsidR="0069487D" w:rsidRPr="00780B2B" w:rsidRDefault="0069487D" w:rsidP="0069487D">
      <w:pPr>
        <w:pStyle w:val="Prrafodelista"/>
        <w:spacing w:line="360" w:lineRule="auto"/>
        <w:ind w:left="851" w:right="34"/>
        <w:jc w:val="both"/>
        <w:rPr>
          <w:rFonts w:ascii="Palatino Linotype" w:hAnsi="Palatino Linotype"/>
        </w:rPr>
      </w:pPr>
    </w:p>
    <w:p w:rsidR="00E61C13" w:rsidRPr="00780B2B" w:rsidRDefault="00D0226D" w:rsidP="004F09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80B2B">
        <w:rPr>
          <w:rFonts w:ascii="Palatino Linotype" w:hAnsi="Palatino Linotype" w:cs="Arial"/>
          <w:color w:val="000000" w:themeColor="text1"/>
        </w:rPr>
        <w:t xml:space="preserve">El </w:t>
      </w:r>
      <w:r w:rsidR="00190A91" w:rsidRPr="00780B2B">
        <w:rPr>
          <w:rFonts w:ascii="Palatino Linotype" w:hAnsi="Palatino Linotype" w:cs="Arial"/>
          <w:color w:val="000000" w:themeColor="text1"/>
        </w:rPr>
        <w:t>uno</w:t>
      </w:r>
      <w:r w:rsidR="009F09BC" w:rsidRPr="00780B2B">
        <w:rPr>
          <w:rFonts w:ascii="Palatino Linotype" w:hAnsi="Palatino Linotype" w:cs="Arial"/>
          <w:color w:val="000000" w:themeColor="text1"/>
        </w:rPr>
        <w:t xml:space="preserve"> (</w:t>
      </w:r>
      <w:r w:rsidR="00190A91" w:rsidRPr="00780B2B">
        <w:rPr>
          <w:rFonts w:ascii="Palatino Linotype" w:hAnsi="Palatino Linotype" w:cs="Arial"/>
          <w:color w:val="000000" w:themeColor="text1"/>
        </w:rPr>
        <w:t>01</w:t>
      </w:r>
      <w:r w:rsidR="009F09BC" w:rsidRPr="00780B2B">
        <w:rPr>
          <w:rFonts w:ascii="Palatino Linotype" w:hAnsi="Palatino Linotype" w:cs="Arial"/>
          <w:color w:val="000000" w:themeColor="text1"/>
        </w:rPr>
        <w:t xml:space="preserve">) de </w:t>
      </w:r>
      <w:r w:rsidR="00190A91" w:rsidRPr="00780B2B">
        <w:rPr>
          <w:rFonts w:ascii="Palatino Linotype" w:hAnsi="Palatino Linotype" w:cs="Arial"/>
          <w:color w:val="000000" w:themeColor="text1"/>
        </w:rPr>
        <w:t>noviembre</w:t>
      </w:r>
      <w:r w:rsidR="002C4997" w:rsidRPr="00780B2B">
        <w:rPr>
          <w:rFonts w:ascii="Palatino Linotype" w:hAnsi="Palatino Linotype" w:cs="Arial"/>
          <w:color w:val="000000" w:themeColor="text1"/>
        </w:rPr>
        <w:t xml:space="preserve"> de dos mil veintidós</w:t>
      </w:r>
      <w:r w:rsidR="009F09BC" w:rsidRPr="00780B2B">
        <w:rPr>
          <w:rFonts w:ascii="Palatino Linotype" w:hAnsi="Palatino Linotype" w:cs="Arial"/>
          <w:color w:val="000000" w:themeColor="text1"/>
        </w:rPr>
        <w:t xml:space="preserve">, el </w:t>
      </w:r>
      <w:r w:rsidR="009F09BC" w:rsidRPr="00780B2B">
        <w:rPr>
          <w:rFonts w:ascii="Palatino Linotype" w:hAnsi="Palatino Linotype" w:cs="Arial"/>
          <w:b/>
          <w:color w:val="000000" w:themeColor="text1"/>
        </w:rPr>
        <w:t>SUJETO OBLIGADO</w:t>
      </w:r>
      <w:r w:rsidR="009F09BC" w:rsidRPr="00780B2B">
        <w:rPr>
          <w:rFonts w:ascii="Palatino Linotype" w:hAnsi="Palatino Linotype" w:cs="Arial"/>
          <w:color w:val="000000" w:themeColor="text1"/>
        </w:rPr>
        <w:t xml:space="preserve">, dio respuesta a la solicitud de información </w:t>
      </w:r>
      <w:r w:rsidR="004F094F" w:rsidRPr="00780B2B">
        <w:rPr>
          <w:rFonts w:ascii="Palatino Linotype" w:hAnsi="Palatino Linotype" w:cs="Arial"/>
          <w:color w:val="000000" w:themeColor="text1"/>
        </w:rPr>
        <w:t xml:space="preserve"> 00017/DIFLAPAZ/IP/2022 mediante</w:t>
      </w:r>
      <w:r w:rsidR="00F27CBE" w:rsidRPr="00780B2B">
        <w:rPr>
          <w:rFonts w:ascii="Palatino Linotype" w:hAnsi="Palatino Linotype" w:cs="Arial"/>
          <w:color w:val="000000" w:themeColor="text1"/>
        </w:rPr>
        <w:t xml:space="preserve"> dos archivos de nombres 17-2022.pdf y 17-2022.pdf, cuyo contenido </w:t>
      </w:r>
      <w:r w:rsidR="00F347DB" w:rsidRPr="00780B2B">
        <w:rPr>
          <w:rFonts w:ascii="Palatino Linotype" w:hAnsi="Palatino Linotype" w:cs="Arial"/>
          <w:color w:val="000000" w:themeColor="text1"/>
        </w:rPr>
        <w:t xml:space="preserve">corresponde </w:t>
      </w:r>
      <w:r w:rsidR="00F347DB" w:rsidRPr="00780B2B">
        <w:rPr>
          <w:rFonts w:ascii="Palatino Linotype" w:hAnsi="Palatino Linotype" w:cs="Arial"/>
          <w:i/>
          <w:color w:val="000000" w:themeColor="text1"/>
        </w:rPr>
        <w:t xml:space="preserve">grosso modo </w:t>
      </w:r>
      <w:r w:rsidR="00F347DB" w:rsidRPr="00780B2B">
        <w:rPr>
          <w:rFonts w:ascii="Palatino Linotype" w:hAnsi="Palatino Linotype" w:cs="Arial"/>
          <w:color w:val="000000" w:themeColor="text1"/>
        </w:rPr>
        <w:t>al siguiente:</w:t>
      </w:r>
    </w:p>
    <w:p w:rsidR="00D0226D" w:rsidRPr="00780B2B" w:rsidRDefault="00D0226D" w:rsidP="00D0226D">
      <w:pPr>
        <w:pStyle w:val="Prrafodelista"/>
        <w:tabs>
          <w:tab w:val="left" w:pos="0"/>
        </w:tabs>
        <w:spacing w:line="360" w:lineRule="auto"/>
        <w:ind w:left="0" w:right="49"/>
        <w:jc w:val="both"/>
        <w:rPr>
          <w:rFonts w:ascii="Palatino Linotype" w:hAnsi="Palatino Linotype" w:cs="Arial"/>
          <w:color w:val="000000" w:themeColor="text1"/>
        </w:rPr>
      </w:pPr>
      <w:r w:rsidRPr="00780B2B">
        <w:rPr>
          <w:rFonts w:ascii="Palatino Linotype" w:hAnsi="Palatino Linotype" w:cs="Arial"/>
          <w:color w:val="000000" w:themeColor="text1"/>
        </w:rPr>
        <w:tab/>
      </w:r>
    </w:p>
    <w:p w:rsidR="00D50382" w:rsidRPr="00780B2B" w:rsidRDefault="00F347DB" w:rsidP="00D50382">
      <w:pPr>
        <w:pStyle w:val="Prrafodelista"/>
        <w:tabs>
          <w:tab w:val="left" w:pos="0"/>
        </w:tabs>
        <w:spacing w:line="360" w:lineRule="auto"/>
        <w:ind w:left="0" w:right="49"/>
        <w:jc w:val="center"/>
        <w:rPr>
          <w:rFonts w:ascii="Palatino Linotype" w:hAnsi="Palatino Linotype" w:cs="Arial"/>
          <w:i/>
          <w:color w:val="000000" w:themeColor="text1"/>
        </w:rPr>
      </w:pPr>
      <w:r w:rsidRPr="00780B2B">
        <w:rPr>
          <w:rFonts w:ascii="Palatino Linotype" w:hAnsi="Palatino Linotype" w:cs="Arial"/>
          <w:i/>
          <w:noProof/>
          <w:color w:val="000000" w:themeColor="text1"/>
          <w:lang w:val="es-MX" w:eastAsia="es-MX"/>
        </w:rPr>
        <w:lastRenderedPageBreak/>
        <w:drawing>
          <wp:inline distT="0" distB="0" distL="0" distR="0">
            <wp:extent cx="4905375" cy="41433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4143375"/>
                    </a:xfrm>
                    <a:prstGeom prst="rect">
                      <a:avLst/>
                    </a:prstGeom>
                    <a:noFill/>
                    <a:ln>
                      <a:solidFill>
                        <a:schemeClr val="tx1"/>
                      </a:solidFill>
                    </a:ln>
                  </pic:spPr>
                </pic:pic>
              </a:graphicData>
            </a:graphic>
          </wp:inline>
        </w:drawing>
      </w:r>
    </w:p>
    <w:p w:rsidR="004F094F" w:rsidRPr="00780B2B" w:rsidRDefault="004F094F" w:rsidP="00D50382">
      <w:pPr>
        <w:pStyle w:val="Prrafodelista"/>
        <w:tabs>
          <w:tab w:val="left" w:pos="0"/>
        </w:tabs>
        <w:spacing w:line="360" w:lineRule="auto"/>
        <w:ind w:left="0" w:right="49"/>
        <w:jc w:val="center"/>
        <w:rPr>
          <w:rFonts w:ascii="Palatino Linotype" w:hAnsi="Palatino Linotype" w:cs="Arial"/>
          <w:i/>
          <w:color w:val="000000" w:themeColor="text1"/>
        </w:rPr>
      </w:pPr>
    </w:p>
    <w:p w:rsidR="004F094F" w:rsidRPr="00780B2B" w:rsidRDefault="004F094F" w:rsidP="004F094F">
      <w:pPr>
        <w:pStyle w:val="Prrafodelista"/>
        <w:numPr>
          <w:ilvl w:val="0"/>
          <w:numId w:val="1"/>
        </w:numPr>
        <w:tabs>
          <w:tab w:val="left" w:pos="0"/>
        </w:tabs>
        <w:spacing w:line="360" w:lineRule="auto"/>
        <w:ind w:right="49"/>
        <w:jc w:val="both"/>
        <w:rPr>
          <w:rFonts w:ascii="Palatino Linotype" w:hAnsi="Palatino Linotype" w:cs="Arial"/>
          <w:i/>
          <w:color w:val="000000" w:themeColor="text1"/>
        </w:rPr>
      </w:pPr>
      <w:r w:rsidRPr="00780B2B">
        <w:rPr>
          <w:rFonts w:ascii="Palatino Linotype" w:hAnsi="Palatino Linotype" w:cs="Arial"/>
          <w:color w:val="000000" w:themeColor="text1"/>
        </w:rPr>
        <w:t>En misma fecha se dio contestación a la solicitud de información 00018/DIFLAPAZ/IP/2022, mediante el siguiente escrito:</w:t>
      </w:r>
    </w:p>
    <w:p w:rsidR="004F094F" w:rsidRPr="00780B2B" w:rsidRDefault="004F094F" w:rsidP="004F094F">
      <w:pPr>
        <w:pStyle w:val="Prrafodelista"/>
        <w:tabs>
          <w:tab w:val="left" w:pos="0"/>
        </w:tabs>
        <w:spacing w:line="360" w:lineRule="auto"/>
        <w:ind w:left="360" w:right="49"/>
        <w:jc w:val="both"/>
        <w:rPr>
          <w:rFonts w:ascii="Palatino Linotype" w:hAnsi="Palatino Linotype" w:cs="Arial"/>
          <w:color w:val="000000" w:themeColor="text1"/>
        </w:rPr>
      </w:pPr>
      <w:r w:rsidRPr="00780B2B">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249555</wp:posOffset>
                </wp:positionV>
                <wp:extent cx="5588000" cy="1562100"/>
                <wp:effectExtent l="0" t="0" r="31750" b="19050"/>
                <wp:wrapNone/>
                <wp:docPr id="8" name="Conector recto 8"/>
                <wp:cNvGraphicFramePr/>
                <a:graphic xmlns:a="http://schemas.openxmlformats.org/drawingml/2006/main">
                  <a:graphicData uri="http://schemas.microsoft.com/office/word/2010/wordprocessingShape">
                    <wps:wsp>
                      <wps:cNvCnPr/>
                      <wps:spPr>
                        <a:xfrm>
                          <a:off x="0" y="0"/>
                          <a:ext cx="5588000" cy="156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E9CAE" id="Conector recto 8"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19.65pt" to="828.8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" strokecolor="black [3200]" strokeweight=".5pt">
                <v:stroke joinstyle="miter"/>
                <w10:wrap anchorx="margin"/>
              </v:line>
            </w:pict>
          </mc:Fallback>
        </mc:AlternateContent>
      </w:r>
    </w:p>
    <w:p w:rsidR="004F094F" w:rsidRPr="00780B2B" w:rsidRDefault="004F094F" w:rsidP="004F094F">
      <w:pPr>
        <w:tabs>
          <w:tab w:val="left" w:pos="0"/>
        </w:tabs>
        <w:spacing w:line="360" w:lineRule="auto"/>
        <w:ind w:right="49"/>
        <w:jc w:val="center"/>
        <w:rPr>
          <w:rFonts w:ascii="Palatino Linotype" w:hAnsi="Palatino Linotype" w:cs="Arial"/>
          <w:i/>
          <w:color w:val="000000" w:themeColor="text1"/>
        </w:rPr>
      </w:pPr>
      <w:r w:rsidRPr="00780B2B">
        <w:rPr>
          <w:rFonts w:ascii="Palatino Linotype" w:hAnsi="Palatino Linotype" w:cs="Arial"/>
          <w:i/>
          <w:noProof/>
          <w:color w:val="000000" w:themeColor="text1"/>
          <w:lang w:val="es-MX" w:eastAsia="es-MX"/>
        </w:rPr>
        <w:lastRenderedPageBreak/>
        <w:drawing>
          <wp:inline distT="0" distB="0" distL="0" distR="0">
            <wp:extent cx="5099050" cy="3176457"/>
            <wp:effectExtent l="19050" t="19050" r="25400"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419" cy="3176687"/>
                    </a:xfrm>
                    <a:prstGeom prst="rect">
                      <a:avLst/>
                    </a:prstGeom>
                    <a:noFill/>
                    <a:ln>
                      <a:solidFill>
                        <a:schemeClr val="tx1"/>
                      </a:solidFill>
                    </a:ln>
                  </pic:spPr>
                </pic:pic>
              </a:graphicData>
            </a:graphic>
          </wp:inline>
        </w:drawing>
      </w:r>
    </w:p>
    <w:p w:rsidR="004F094F" w:rsidRPr="00780B2B" w:rsidRDefault="004F094F" w:rsidP="004F094F">
      <w:pPr>
        <w:tabs>
          <w:tab w:val="left" w:pos="0"/>
        </w:tabs>
        <w:spacing w:line="360" w:lineRule="auto"/>
        <w:ind w:right="49"/>
        <w:jc w:val="center"/>
        <w:rPr>
          <w:rFonts w:ascii="Palatino Linotype" w:hAnsi="Palatino Linotype" w:cs="Arial"/>
          <w:i/>
          <w:color w:val="000000" w:themeColor="text1"/>
        </w:rPr>
      </w:pPr>
    </w:p>
    <w:p w:rsidR="004F094F" w:rsidRPr="00780B2B" w:rsidRDefault="004F094F" w:rsidP="004F09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80B2B">
        <w:rPr>
          <w:rFonts w:ascii="Palatino Linotype" w:hAnsi="Palatino Linotype" w:cs="Arial"/>
          <w:color w:val="000000" w:themeColor="text1"/>
        </w:rPr>
        <w:t>Por otro lado, a la solicitud de información 00020/DIFLAPAZ/IP/2022, recayó la respuesta siguiente:</w:t>
      </w:r>
    </w:p>
    <w:p w:rsidR="004F094F" w:rsidRPr="00780B2B" w:rsidRDefault="004F094F" w:rsidP="004F094F">
      <w:pPr>
        <w:pStyle w:val="Prrafodelista"/>
        <w:tabs>
          <w:tab w:val="left" w:pos="0"/>
        </w:tabs>
        <w:spacing w:line="360" w:lineRule="auto"/>
        <w:ind w:left="0" w:right="49"/>
        <w:jc w:val="both"/>
        <w:rPr>
          <w:rFonts w:ascii="Palatino Linotype" w:hAnsi="Palatino Linotype" w:cs="Arial"/>
          <w:i/>
          <w:color w:val="000000" w:themeColor="text1"/>
        </w:rPr>
      </w:pPr>
    </w:p>
    <w:p w:rsidR="004F094F" w:rsidRPr="00780B2B" w:rsidRDefault="004F094F" w:rsidP="004F094F">
      <w:pPr>
        <w:pStyle w:val="Prrafodelista"/>
        <w:tabs>
          <w:tab w:val="left" w:pos="0"/>
        </w:tabs>
        <w:spacing w:line="360" w:lineRule="auto"/>
        <w:ind w:left="0" w:right="49"/>
        <w:jc w:val="center"/>
        <w:rPr>
          <w:rFonts w:ascii="Palatino Linotype" w:hAnsi="Palatino Linotype" w:cs="Arial"/>
          <w:i/>
          <w:color w:val="000000" w:themeColor="text1"/>
        </w:rPr>
      </w:pPr>
      <w:r w:rsidRPr="00780B2B">
        <w:rPr>
          <w:rFonts w:ascii="Palatino Linotype" w:hAnsi="Palatino Linotype" w:cs="Arial"/>
          <w:i/>
          <w:noProof/>
          <w:color w:val="000000" w:themeColor="text1"/>
          <w:lang w:val="es-MX" w:eastAsia="es-MX"/>
        </w:rPr>
        <w:drawing>
          <wp:inline distT="0" distB="0" distL="0" distR="0">
            <wp:extent cx="5245100" cy="1989930"/>
            <wp:effectExtent l="19050" t="19050" r="12700"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889" cy="1992506"/>
                    </a:xfrm>
                    <a:prstGeom prst="rect">
                      <a:avLst/>
                    </a:prstGeom>
                    <a:noFill/>
                    <a:ln>
                      <a:solidFill>
                        <a:schemeClr val="tx1"/>
                      </a:solidFill>
                    </a:ln>
                  </pic:spPr>
                </pic:pic>
              </a:graphicData>
            </a:graphic>
          </wp:inline>
        </w:drawing>
      </w:r>
    </w:p>
    <w:p w:rsidR="004F094F" w:rsidRPr="00780B2B" w:rsidRDefault="004F094F" w:rsidP="004F094F">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80B2B"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80B2B">
        <w:rPr>
          <w:rFonts w:ascii="Palatino Linotype" w:eastAsia="Times New Roman" w:hAnsi="Palatino Linotype" w:cs="Arial"/>
          <w:color w:val="000000" w:themeColor="text1"/>
          <w:lang w:val="es-ES"/>
        </w:rPr>
        <w:lastRenderedPageBreak/>
        <w:t>E</w:t>
      </w:r>
      <w:r w:rsidR="002C4997" w:rsidRPr="00780B2B">
        <w:rPr>
          <w:rFonts w:ascii="Palatino Linotype" w:eastAsia="Times New Roman" w:hAnsi="Palatino Linotype" w:cs="Arial"/>
          <w:color w:val="000000" w:themeColor="text1"/>
          <w:lang w:val="es-ES"/>
        </w:rPr>
        <w:t xml:space="preserve">l </w:t>
      </w:r>
      <w:r w:rsidR="00F347DB" w:rsidRPr="00780B2B">
        <w:rPr>
          <w:rFonts w:ascii="Palatino Linotype" w:eastAsia="Times New Roman" w:hAnsi="Palatino Linotype" w:cs="Arial"/>
          <w:color w:val="000000" w:themeColor="text1"/>
          <w:lang w:val="es-ES"/>
        </w:rPr>
        <w:t>tres</w:t>
      </w:r>
      <w:r w:rsidR="002C4997" w:rsidRPr="00780B2B">
        <w:rPr>
          <w:rFonts w:ascii="Palatino Linotype" w:eastAsia="Times New Roman" w:hAnsi="Palatino Linotype" w:cs="Arial"/>
          <w:color w:val="000000" w:themeColor="text1"/>
          <w:lang w:val="es-ES"/>
        </w:rPr>
        <w:t xml:space="preserve"> </w:t>
      </w:r>
      <w:r w:rsidRPr="00780B2B">
        <w:rPr>
          <w:rFonts w:ascii="Palatino Linotype" w:eastAsia="Times New Roman" w:hAnsi="Palatino Linotype" w:cs="Arial"/>
          <w:color w:val="000000" w:themeColor="text1"/>
          <w:lang w:val="es-ES"/>
        </w:rPr>
        <w:t>(</w:t>
      </w:r>
      <w:r w:rsidR="00D0226D" w:rsidRPr="00780B2B">
        <w:rPr>
          <w:rFonts w:ascii="Palatino Linotype" w:eastAsia="Times New Roman" w:hAnsi="Palatino Linotype" w:cs="Arial"/>
          <w:color w:val="000000" w:themeColor="text1"/>
          <w:lang w:val="es-ES"/>
        </w:rPr>
        <w:t>0</w:t>
      </w:r>
      <w:r w:rsidR="00F347DB" w:rsidRPr="00780B2B">
        <w:rPr>
          <w:rFonts w:ascii="Palatino Linotype" w:eastAsia="Times New Roman" w:hAnsi="Palatino Linotype" w:cs="Arial"/>
          <w:color w:val="000000" w:themeColor="text1"/>
          <w:lang w:val="es-ES"/>
        </w:rPr>
        <w:t>3</w:t>
      </w:r>
      <w:r w:rsidRPr="00780B2B">
        <w:rPr>
          <w:rFonts w:ascii="Palatino Linotype" w:eastAsia="Times New Roman" w:hAnsi="Palatino Linotype" w:cs="Arial"/>
          <w:color w:val="000000" w:themeColor="text1"/>
          <w:lang w:val="es-ES"/>
        </w:rPr>
        <w:t xml:space="preserve">) de </w:t>
      </w:r>
      <w:r w:rsidR="00F347DB" w:rsidRPr="00780B2B">
        <w:rPr>
          <w:rFonts w:ascii="Palatino Linotype" w:eastAsia="Times New Roman" w:hAnsi="Palatino Linotype" w:cs="Arial"/>
          <w:color w:val="000000" w:themeColor="text1"/>
          <w:lang w:val="es-ES"/>
        </w:rPr>
        <w:t>noviembre</w:t>
      </w:r>
      <w:r w:rsidRPr="00780B2B">
        <w:rPr>
          <w:rFonts w:ascii="Palatino Linotype" w:eastAsia="Times New Roman" w:hAnsi="Palatino Linotype" w:cs="Arial"/>
          <w:color w:val="000000" w:themeColor="text1"/>
          <w:lang w:val="es-ES"/>
        </w:rPr>
        <w:t xml:space="preserve"> de </w:t>
      </w:r>
      <w:r w:rsidR="00025C53" w:rsidRPr="00780B2B">
        <w:rPr>
          <w:rFonts w:ascii="Palatino Linotype" w:eastAsia="Times New Roman" w:hAnsi="Palatino Linotype" w:cs="Arial"/>
          <w:color w:val="000000" w:themeColor="text1"/>
          <w:lang w:val="es-ES"/>
        </w:rPr>
        <w:t>dos mil veintidós</w:t>
      </w:r>
      <w:r w:rsidRPr="00780B2B">
        <w:rPr>
          <w:rFonts w:ascii="Palatino Linotype" w:eastAsia="Times New Roman" w:hAnsi="Palatino Linotype" w:cs="Arial"/>
          <w:color w:val="000000" w:themeColor="text1"/>
          <w:lang w:val="es-ES"/>
        </w:rPr>
        <w:t>, el particular interpuso l</w:t>
      </w:r>
      <w:r w:rsidR="004F094F" w:rsidRPr="00780B2B">
        <w:rPr>
          <w:rFonts w:ascii="Palatino Linotype" w:eastAsia="Times New Roman" w:hAnsi="Palatino Linotype" w:cs="Arial"/>
          <w:color w:val="000000" w:themeColor="text1"/>
          <w:lang w:val="es-ES"/>
        </w:rPr>
        <w:t>os</w:t>
      </w:r>
      <w:r w:rsidRPr="00780B2B">
        <w:rPr>
          <w:rFonts w:ascii="Palatino Linotype" w:eastAsia="Times New Roman" w:hAnsi="Palatino Linotype" w:cs="Arial"/>
          <w:color w:val="000000" w:themeColor="text1"/>
          <w:lang w:val="es-ES"/>
        </w:rPr>
        <w:t xml:space="preserve"> recurso</w:t>
      </w:r>
      <w:r w:rsidR="004F094F" w:rsidRPr="00780B2B">
        <w:rPr>
          <w:rFonts w:ascii="Palatino Linotype" w:eastAsia="Times New Roman" w:hAnsi="Palatino Linotype" w:cs="Arial"/>
          <w:color w:val="000000" w:themeColor="text1"/>
          <w:lang w:val="es-ES"/>
        </w:rPr>
        <w:t>s</w:t>
      </w:r>
      <w:r w:rsidRPr="00780B2B">
        <w:rPr>
          <w:rFonts w:ascii="Palatino Linotype" w:eastAsia="Times New Roman" w:hAnsi="Palatino Linotype" w:cs="Arial"/>
          <w:color w:val="000000" w:themeColor="text1"/>
          <w:lang w:val="es-ES"/>
        </w:rPr>
        <w:t xml:space="preserve"> de revisión en contra de la</w:t>
      </w:r>
      <w:r w:rsidR="004F094F" w:rsidRPr="00780B2B">
        <w:rPr>
          <w:rFonts w:ascii="Palatino Linotype" w:eastAsia="Times New Roman" w:hAnsi="Palatino Linotype" w:cs="Arial"/>
          <w:color w:val="000000" w:themeColor="text1"/>
          <w:lang w:val="es-ES"/>
        </w:rPr>
        <w:t>s</w:t>
      </w:r>
      <w:r w:rsidRPr="00780B2B">
        <w:rPr>
          <w:rFonts w:ascii="Palatino Linotype" w:eastAsia="Times New Roman" w:hAnsi="Palatino Linotype" w:cs="Arial"/>
          <w:color w:val="000000" w:themeColor="text1"/>
          <w:lang w:val="es-ES"/>
        </w:rPr>
        <w:t xml:space="preserve"> respuesta</w:t>
      </w:r>
      <w:r w:rsidR="004F094F" w:rsidRPr="00780B2B">
        <w:rPr>
          <w:rFonts w:ascii="Palatino Linotype" w:eastAsia="Times New Roman" w:hAnsi="Palatino Linotype" w:cs="Arial"/>
          <w:color w:val="000000" w:themeColor="text1"/>
          <w:lang w:val="es-ES"/>
        </w:rPr>
        <w:t>s</w:t>
      </w:r>
      <w:r w:rsidRPr="00780B2B">
        <w:rPr>
          <w:rFonts w:ascii="Palatino Linotype" w:eastAsia="Times New Roman" w:hAnsi="Palatino Linotype" w:cs="Arial"/>
          <w:color w:val="000000" w:themeColor="text1"/>
          <w:lang w:val="es-ES"/>
        </w:rPr>
        <w:t>, manifestando l</w:t>
      </w:r>
      <w:r w:rsidR="002C4997" w:rsidRPr="00780B2B">
        <w:rPr>
          <w:rFonts w:ascii="Palatino Linotype" w:eastAsia="Times New Roman" w:hAnsi="Palatino Linotype" w:cs="Arial"/>
          <w:color w:val="000000" w:themeColor="text1"/>
          <w:lang w:val="es-ES"/>
        </w:rPr>
        <w:t>a</w:t>
      </w:r>
      <w:r w:rsidRPr="00780B2B">
        <w:rPr>
          <w:rFonts w:ascii="Palatino Linotype" w:eastAsia="Times New Roman" w:hAnsi="Palatino Linotype" w:cs="Arial"/>
          <w:color w:val="000000" w:themeColor="text1"/>
          <w:lang w:val="es-ES"/>
        </w:rPr>
        <w:t xml:space="preserve">s </w:t>
      </w:r>
      <w:r w:rsidR="002C4997" w:rsidRPr="00780B2B">
        <w:rPr>
          <w:rFonts w:ascii="Palatino Linotype" w:eastAsia="Times New Roman" w:hAnsi="Palatino Linotype" w:cs="Arial"/>
          <w:color w:val="000000" w:themeColor="text1"/>
          <w:lang w:val="es-ES"/>
        </w:rPr>
        <w:t>siguientes</w:t>
      </w:r>
      <w:r w:rsidRPr="00780B2B">
        <w:rPr>
          <w:rFonts w:ascii="Palatino Linotype" w:eastAsia="Times New Roman" w:hAnsi="Palatino Linotype" w:cs="Arial"/>
          <w:color w:val="000000" w:themeColor="text1"/>
          <w:lang w:val="es-ES"/>
        </w:rPr>
        <w:t xml:space="preserve"> razones o motivos de inconformidad:</w:t>
      </w:r>
    </w:p>
    <w:p w:rsidR="009F09BC" w:rsidRPr="00780B2B"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4F094F" w:rsidRPr="00780B2B" w:rsidRDefault="004F094F" w:rsidP="009F09BC">
      <w:pPr>
        <w:pStyle w:val="Prrafodelista"/>
        <w:tabs>
          <w:tab w:val="left" w:pos="0"/>
        </w:tabs>
        <w:spacing w:line="360" w:lineRule="auto"/>
        <w:ind w:left="0" w:right="49"/>
        <w:jc w:val="both"/>
        <w:rPr>
          <w:rFonts w:ascii="Palatino Linotype" w:hAnsi="Palatino Linotype" w:cs="Arial"/>
          <w:b/>
          <w:color w:val="000000" w:themeColor="text1"/>
        </w:rPr>
      </w:pPr>
      <w:r w:rsidRPr="00780B2B">
        <w:rPr>
          <w:rFonts w:ascii="Palatino Linotype" w:hAnsi="Palatino Linotype" w:cs="Arial"/>
          <w:b/>
          <w:color w:val="000000" w:themeColor="text1"/>
        </w:rPr>
        <w:t>00017/DIFLAPAZ/IP/2022</w:t>
      </w:r>
    </w:p>
    <w:p w:rsidR="009F09BC" w:rsidRPr="00780B2B" w:rsidRDefault="009F09BC" w:rsidP="00F347DB">
      <w:pPr>
        <w:pStyle w:val="Prrafodelista"/>
        <w:numPr>
          <w:ilvl w:val="0"/>
          <w:numId w:val="2"/>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780B2B">
        <w:rPr>
          <w:rStyle w:val="Ttulo2Car"/>
          <w:rFonts w:ascii="Palatino Linotype" w:hAnsi="Palatino Linotype"/>
          <w:b/>
          <w:color w:val="auto"/>
          <w:sz w:val="24"/>
          <w:szCs w:val="24"/>
        </w:rPr>
        <w:t>Acto impugnado</w:t>
      </w:r>
      <w:bookmarkEnd w:id="4"/>
      <w:r w:rsidRPr="00780B2B">
        <w:rPr>
          <w:rStyle w:val="Ttulo2Car"/>
          <w:rFonts w:ascii="Palatino Linotype" w:hAnsi="Palatino Linotype"/>
          <w:b/>
          <w:color w:val="000000" w:themeColor="text1"/>
          <w:sz w:val="24"/>
          <w:szCs w:val="24"/>
        </w:rPr>
        <w:t xml:space="preserve">: </w:t>
      </w:r>
      <w:r w:rsidRPr="00780B2B">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F347DB" w:rsidRPr="00780B2B">
        <w:rPr>
          <w:rStyle w:val="Ttulo2Car"/>
          <w:rFonts w:ascii="Palatino Linotype" w:hAnsi="Palatino Linotype"/>
          <w:i/>
          <w:color w:val="000000" w:themeColor="text1"/>
          <w:sz w:val="24"/>
          <w:szCs w:val="24"/>
        </w:rPr>
        <w:t>LA NEGATIVA A LA ENTREGA DE INFORMACIÓN</w:t>
      </w:r>
      <w:r w:rsidRPr="00780B2B">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F347DB" w:rsidRPr="00780B2B" w:rsidRDefault="00F347DB" w:rsidP="00F347DB">
      <w:pPr>
        <w:pStyle w:val="Prrafodelista"/>
        <w:spacing w:line="360" w:lineRule="auto"/>
        <w:ind w:left="1004"/>
        <w:jc w:val="both"/>
        <w:rPr>
          <w:rFonts w:ascii="Palatino Linotype" w:hAnsi="Palatino Linotype"/>
          <w:i/>
          <w:color w:val="000000" w:themeColor="text1"/>
        </w:rPr>
      </w:pPr>
    </w:p>
    <w:p w:rsidR="009F09BC" w:rsidRPr="00780B2B" w:rsidRDefault="009F09BC" w:rsidP="00F347DB">
      <w:pPr>
        <w:pStyle w:val="Prrafodelista"/>
        <w:numPr>
          <w:ilvl w:val="0"/>
          <w:numId w:val="2"/>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780B2B">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780B2B">
        <w:rPr>
          <w:rFonts w:ascii="Palatino Linotype" w:hAnsi="Palatino Linotype"/>
          <w:b/>
          <w:color w:val="000000" w:themeColor="text1"/>
        </w:rPr>
        <w:t xml:space="preserve"> </w:t>
      </w:r>
      <w:r w:rsidRPr="00780B2B">
        <w:rPr>
          <w:rFonts w:ascii="Palatino Linotype" w:hAnsi="Palatino Linotype"/>
          <w:i/>
          <w:color w:val="000000" w:themeColor="text1"/>
        </w:rPr>
        <w:t>“</w:t>
      </w:r>
      <w:r w:rsidR="00F347DB" w:rsidRPr="00780B2B">
        <w:rPr>
          <w:rFonts w:ascii="Palatino Linotype" w:hAnsi="Palatino Linotype"/>
          <w:i/>
          <w:color w:val="000000" w:themeColor="text1"/>
        </w:rPr>
        <w:t>ME PARECE COMPLETAMENTE ABSURDA LA RESPUESTA A MI SOLICITUD, YA QUE LOS SUELDOS O LA CANTIDAD QUE SUPUESTAMENTE RECIBEN POR CONCEPTO DE HONORARIOS LAS PRESIDENTES DEL DIF DEBEN SER PÚBLICOS. ADEMAS DE QUE LA INFORMACIÓN QUE SE ENCUENTRA EN EL PORTAL DE IPOMEX SE ENCUENTRA INCOMPLETA, Y YO REQUIERO QUE ME ENVÍEN LA INFORMACIÓN POR ESTE MEDIO EN NINGÚN MOMENTO LES PEDÍ UNA LIGA.</w:t>
      </w:r>
      <w:r w:rsidRPr="00780B2B">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780B2B" w:rsidRDefault="0082142B" w:rsidP="0082142B">
      <w:pPr>
        <w:pStyle w:val="Prrafodelista"/>
        <w:rPr>
          <w:rFonts w:ascii="Palatino Linotype" w:hAnsi="Palatino Linotype"/>
          <w:i/>
          <w:color w:val="000000" w:themeColor="text1"/>
        </w:rPr>
      </w:pPr>
    </w:p>
    <w:p w:rsidR="004F094F" w:rsidRPr="00780B2B" w:rsidRDefault="004F094F" w:rsidP="004F094F">
      <w:pPr>
        <w:pStyle w:val="Prrafodelista"/>
        <w:tabs>
          <w:tab w:val="left" w:pos="0"/>
        </w:tabs>
        <w:spacing w:line="360" w:lineRule="auto"/>
        <w:ind w:left="0" w:right="49"/>
        <w:jc w:val="both"/>
        <w:rPr>
          <w:rFonts w:ascii="Palatino Linotype" w:hAnsi="Palatino Linotype" w:cs="Arial"/>
          <w:b/>
          <w:color w:val="000000" w:themeColor="text1"/>
        </w:rPr>
      </w:pPr>
      <w:r w:rsidRPr="00780B2B">
        <w:rPr>
          <w:rFonts w:ascii="Palatino Linotype" w:hAnsi="Palatino Linotype" w:cs="Arial"/>
          <w:b/>
          <w:color w:val="000000" w:themeColor="text1"/>
        </w:rPr>
        <w:t>00018/DIFLAPAZ/IP/2022</w:t>
      </w:r>
    </w:p>
    <w:p w:rsidR="004F094F" w:rsidRPr="00780B2B" w:rsidRDefault="004F094F" w:rsidP="004F094F">
      <w:pPr>
        <w:pStyle w:val="Prrafodelista"/>
        <w:numPr>
          <w:ilvl w:val="0"/>
          <w:numId w:val="2"/>
        </w:numPr>
        <w:spacing w:line="360" w:lineRule="auto"/>
        <w:jc w:val="both"/>
        <w:rPr>
          <w:rFonts w:ascii="Palatino Linotype" w:hAnsi="Palatino Linotype"/>
          <w:i/>
          <w:color w:val="000000" w:themeColor="text1"/>
        </w:rPr>
      </w:pPr>
      <w:r w:rsidRPr="00780B2B">
        <w:rPr>
          <w:rStyle w:val="Ttulo2Car"/>
          <w:rFonts w:ascii="Palatino Linotype" w:hAnsi="Palatino Linotype"/>
          <w:b/>
          <w:color w:val="auto"/>
          <w:sz w:val="24"/>
          <w:szCs w:val="24"/>
        </w:rPr>
        <w:t>Acto impugnado</w:t>
      </w:r>
      <w:r w:rsidRPr="00780B2B">
        <w:rPr>
          <w:rStyle w:val="Ttulo2Car"/>
          <w:rFonts w:ascii="Palatino Linotype" w:hAnsi="Palatino Linotype"/>
          <w:b/>
          <w:color w:val="000000" w:themeColor="text1"/>
          <w:sz w:val="24"/>
          <w:szCs w:val="24"/>
        </w:rPr>
        <w:t xml:space="preserve">: </w:t>
      </w:r>
      <w:r w:rsidRPr="00780B2B">
        <w:rPr>
          <w:rStyle w:val="Ttulo2Car"/>
          <w:rFonts w:ascii="Palatino Linotype" w:hAnsi="Palatino Linotype"/>
          <w:i/>
          <w:color w:val="000000" w:themeColor="text1"/>
          <w:sz w:val="24"/>
          <w:szCs w:val="24"/>
        </w:rPr>
        <w:t>“LA NEGATIVA A LA ENTREGA DE INFORMACIÓN</w:t>
      </w:r>
      <w:r w:rsidRPr="00780B2B">
        <w:rPr>
          <w:rFonts w:ascii="Palatino Linotype" w:hAnsi="Palatino Linotype"/>
        </w:rPr>
        <w:t>”</w:t>
      </w:r>
    </w:p>
    <w:p w:rsidR="004F094F" w:rsidRPr="00780B2B" w:rsidRDefault="004F094F" w:rsidP="004F094F">
      <w:pPr>
        <w:pStyle w:val="Prrafodelista"/>
        <w:spacing w:line="360" w:lineRule="auto"/>
        <w:ind w:left="1004"/>
        <w:jc w:val="both"/>
        <w:rPr>
          <w:rFonts w:ascii="Palatino Linotype" w:hAnsi="Palatino Linotype"/>
          <w:i/>
          <w:color w:val="000000" w:themeColor="text1"/>
        </w:rPr>
      </w:pPr>
    </w:p>
    <w:p w:rsidR="004F094F" w:rsidRPr="00780B2B" w:rsidRDefault="004F094F" w:rsidP="004F094F">
      <w:pPr>
        <w:pStyle w:val="Prrafodelista"/>
        <w:numPr>
          <w:ilvl w:val="0"/>
          <w:numId w:val="2"/>
        </w:numPr>
        <w:spacing w:line="360" w:lineRule="auto"/>
        <w:jc w:val="both"/>
        <w:rPr>
          <w:rFonts w:ascii="Palatino Linotype" w:hAnsi="Palatino Linotype"/>
          <w:i/>
          <w:color w:val="000000" w:themeColor="text1"/>
        </w:rPr>
      </w:pPr>
      <w:r w:rsidRPr="00780B2B">
        <w:rPr>
          <w:rStyle w:val="Ttulo2Car"/>
          <w:rFonts w:ascii="Palatino Linotype" w:hAnsi="Palatino Linotype"/>
          <w:b/>
          <w:color w:val="000000" w:themeColor="text1"/>
          <w:sz w:val="24"/>
          <w:szCs w:val="24"/>
        </w:rPr>
        <w:t xml:space="preserve">Razones o </w:t>
      </w:r>
      <w:r w:rsidRPr="00780B2B">
        <w:rPr>
          <w:rStyle w:val="Ttulo2Car"/>
          <w:rFonts w:ascii="Palatino Linotype" w:hAnsi="Palatino Linotype"/>
          <w:b/>
          <w:color w:val="auto"/>
          <w:sz w:val="24"/>
          <w:szCs w:val="24"/>
        </w:rPr>
        <w:t>Motivos</w:t>
      </w:r>
      <w:r w:rsidRPr="00780B2B">
        <w:rPr>
          <w:rStyle w:val="Ttulo2Car"/>
          <w:rFonts w:ascii="Palatino Linotype" w:hAnsi="Palatino Linotype"/>
          <w:b/>
          <w:color w:val="000000" w:themeColor="text1"/>
          <w:sz w:val="24"/>
          <w:szCs w:val="24"/>
        </w:rPr>
        <w:t xml:space="preserve"> de inconformidad:</w:t>
      </w:r>
      <w:r w:rsidRPr="00780B2B">
        <w:rPr>
          <w:rFonts w:ascii="Palatino Linotype" w:hAnsi="Palatino Linotype"/>
          <w:b/>
          <w:color w:val="000000" w:themeColor="text1"/>
        </w:rPr>
        <w:t xml:space="preserve"> </w:t>
      </w:r>
      <w:r w:rsidRPr="00780B2B">
        <w:rPr>
          <w:rFonts w:ascii="Palatino Linotype" w:hAnsi="Palatino Linotype"/>
          <w:i/>
          <w:color w:val="000000" w:themeColor="text1"/>
        </w:rPr>
        <w:t xml:space="preserve">“EN NINGUN MOMENTO SOLICITE UNA LIGA ADEMAS DE QUE LA TITULAR DE TRANSPARENCIA ES LA ÚNICA QUE RESPONDE A MI SOLICITUD NO ENVÍA EL SUSTENTO DOCUMENTAL ENVIADO A RECURSOS </w:t>
      </w:r>
      <w:r w:rsidRPr="00780B2B">
        <w:rPr>
          <w:rFonts w:ascii="Palatino Linotype" w:hAnsi="Palatino Linotype"/>
          <w:i/>
          <w:color w:val="000000" w:themeColor="text1"/>
        </w:rPr>
        <w:lastRenderedPageBreak/>
        <w:t>HUMANOS O TESORERÍA, PUNTUALIZANDO QUE REQUIERO RECIBOS DE NOMINA NO UNA LIGA DE INTERNET, QUE POR DEMÁS SE ENCUENTRA IMCOMPLETA”</w:t>
      </w:r>
    </w:p>
    <w:p w:rsidR="004F094F" w:rsidRPr="00780B2B" w:rsidRDefault="004F094F" w:rsidP="004F094F">
      <w:pPr>
        <w:pStyle w:val="Prrafodelista"/>
        <w:rPr>
          <w:rFonts w:ascii="Palatino Linotype" w:hAnsi="Palatino Linotype"/>
          <w:i/>
          <w:color w:val="000000" w:themeColor="text1"/>
        </w:rPr>
      </w:pPr>
    </w:p>
    <w:p w:rsidR="004F094F" w:rsidRPr="00780B2B" w:rsidRDefault="004F094F" w:rsidP="004F094F">
      <w:pPr>
        <w:pStyle w:val="Prrafodelista"/>
        <w:tabs>
          <w:tab w:val="left" w:pos="0"/>
        </w:tabs>
        <w:spacing w:line="360" w:lineRule="auto"/>
        <w:ind w:left="0" w:right="49"/>
        <w:jc w:val="both"/>
        <w:rPr>
          <w:rFonts w:ascii="Palatino Linotype" w:hAnsi="Palatino Linotype" w:cs="Arial"/>
          <w:b/>
          <w:color w:val="000000" w:themeColor="text1"/>
        </w:rPr>
      </w:pPr>
      <w:r w:rsidRPr="00780B2B">
        <w:rPr>
          <w:rFonts w:ascii="Palatino Linotype" w:hAnsi="Palatino Linotype" w:cs="Arial"/>
          <w:b/>
          <w:color w:val="000000" w:themeColor="text1"/>
        </w:rPr>
        <w:t>00020/DIFLAPAZ/IP/2022</w:t>
      </w:r>
    </w:p>
    <w:p w:rsidR="004F094F" w:rsidRPr="00780B2B" w:rsidRDefault="004F094F" w:rsidP="004F094F">
      <w:pPr>
        <w:pStyle w:val="Prrafodelista"/>
        <w:numPr>
          <w:ilvl w:val="0"/>
          <w:numId w:val="2"/>
        </w:numPr>
        <w:spacing w:line="360" w:lineRule="auto"/>
        <w:jc w:val="both"/>
        <w:rPr>
          <w:rFonts w:ascii="Palatino Linotype" w:hAnsi="Palatino Linotype"/>
          <w:i/>
          <w:color w:val="000000" w:themeColor="text1"/>
        </w:rPr>
      </w:pPr>
      <w:r w:rsidRPr="00780B2B">
        <w:rPr>
          <w:rStyle w:val="Ttulo2Car"/>
          <w:rFonts w:ascii="Palatino Linotype" w:hAnsi="Palatino Linotype"/>
          <w:b/>
          <w:color w:val="auto"/>
          <w:sz w:val="24"/>
          <w:szCs w:val="24"/>
        </w:rPr>
        <w:t>Acto impugnado</w:t>
      </w:r>
      <w:r w:rsidRPr="00780B2B">
        <w:rPr>
          <w:rStyle w:val="Ttulo2Car"/>
          <w:rFonts w:ascii="Palatino Linotype" w:hAnsi="Palatino Linotype"/>
          <w:b/>
          <w:color w:val="000000" w:themeColor="text1"/>
          <w:sz w:val="24"/>
          <w:szCs w:val="24"/>
        </w:rPr>
        <w:t xml:space="preserve">: </w:t>
      </w:r>
      <w:r w:rsidRPr="00780B2B">
        <w:rPr>
          <w:rStyle w:val="Ttulo2Car"/>
          <w:rFonts w:ascii="Palatino Linotype" w:hAnsi="Palatino Linotype"/>
          <w:i/>
          <w:color w:val="000000" w:themeColor="text1"/>
          <w:sz w:val="24"/>
          <w:szCs w:val="24"/>
        </w:rPr>
        <w:t>“LA NEGATIVA A LA ENTREGA DE INFORMACIÓN</w:t>
      </w:r>
      <w:r w:rsidRPr="00780B2B">
        <w:rPr>
          <w:rFonts w:ascii="Palatino Linotype" w:hAnsi="Palatino Linotype"/>
        </w:rPr>
        <w:t>”</w:t>
      </w:r>
    </w:p>
    <w:p w:rsidR="004F094F" w:rsidRPr="00780B2B" w:rsidRDefault="004F094F" w:rsidP="004F094F">
      <w:pPr>
        <w:pStyle w:val="Prrafodelista"/>
        <w:spacing w:line="360" w:lineRule="auto"/>
        <w:ind w:left="1004"/>
        <w:jc w:val="both"/>
        <w:rPr>
          <w:rFonts w:ascii="Palatino Linotype" w:hAnsi="Palatino Linotype"/>
          <w:i/>
          <w:color w:val="000000" w:themeColor="text1"/>
        </w:rPr>
      </w:pPr>
    </w:p>
    <w:p w:rsidR="004F094F" w:rsidRPr="00780B2B" w:rsidRDefault="004F094F" w:rsidP="004F094F">
      <w:pPr>
        <w:pStyle w:val="Prrafodelista"/>
        <w:spacing w:line="360" w:lineRule="auto"/>
        <w:jc w:val="both"/>
        <w:rPr>
          <w:rFonts w:ascii="Palatino Linotype" w:hAnsi="Palatino Linotype"/>
          <w:i/>
          <w:color w:val="000000" w:themeColor="text1"/>
        </w:rPr>
      </w:pPr>
      <w:r w:rsidRPr="00780B2B">
        <w:rPr>
          <w:rStyle w:val="Ttulo2Car"/>
          <w:rFonts w:ascii="Palatino Linotype" w:hAnsi="Palatino Linotype"/>
          <w:b/>
          <w:color w:val="000000" w:themeColor="text1"/>
          <w:sz w:val="24"/>
          <w:szCs w:val="24"/>
        </w:rPr>
        <w:t>Razones o Motivos de inconformidad:</w:t>
      </w:r>
      <w:r w:rsidRPr="00780B2B">
        <w:rPr>
          <w:rFonts w:ascii="Palatino Linotype" w:hAnsi="Palatino Linotype"/>
          <w:b/>
          <w:color w:val="000000" w:themeColor="text1"/>
        </w:rPr>
        <w:t xml:space="preserve"> </w:t>
      </w:r>
      <w:r w:rsidRPr="00780B2B">
        <w:rPr>
          <w:rFonts w:ascii="Palatino Linotype" w:hAnsi="Palatino Linotype"/>
          <w:i/>
          <w:color w:val="000000" w:themeColor="text1"/>
        </w:rPr>
        <w:t>“LA PAGINA Y/O LA LIGA QUE ENVÍAN ES INCORRECTA ADEMAS DE QUE EN EL PORTAN DE IPOMEX LA INFORMACIÓN SE ENCUENTRA INCOMPLETA REQUIERO QUE POR ESTE MEDIO ME ENTREGUEN LA INFORMACIÓN”</w:t>
      </w:r>
    </w:p>
    <w:p w:rsidR="004F094F" w:rsidRPr="00780B2B" w:rsidRDefault="004F094F" w:rsidP="004F094F">
      <w:pPr>
        <w:pStyle w:val="Prrafodelista"/>
        <w:rPr>
          <w:rFonts w:ascii="Palatino Linotype" w:hAnsi="Palatino Linotype"/>
          <w:i/>
          <w:color w:val="000000" w:themeColor="text1"/>
        </w:rPr>
      </w:pPr>
    </w:p>
    <w:p w:rsidR="00090954" w:rsidRPr="00780B2B"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780B2B">
        <w:rPr>
          <w:rFonts w:ascii="Palatino Linotype" w:eastAsia="Times New Roman" w:hAnsi="Palatino Linotype" w:cs="Arial"/>
          <w:color w:val="000000" w:themeColor="text1"/>
          <w:lang w:val="es-ES"/>
        </w:rPr>
        <w:t>Consecutivamente</w:t>
      </w:r>
      <w:r w:rsidRPr="00780B2B">
        <w:rPr>
          <w:rFonts w:ascii="Palatino Linotype" w:hAnsi="Palatino Linotype"/>
          <w:i/>
        </w:rPr>
        <w:t xml:space="preserve">, </w:t>
      </w:r>
      <w:r w:rsidRPr="00780B2B">
        <w:rPr>
          <w:rFonts w:ascii="Palatino Linotype" w:hAnsi="Palatino Linotype"/>
        </w:rPr>
        <w:t xml:space="preserve">con fundamento en lo dispuesto por el artículo 185 </w:t>
      </w:r>
      <w:proofErr w:type="gramStart"/>
      <w:r w:rsidRPr="00780B2B">
        <w:rPr>
          <w:rFonts w:ascii="Palatino Linotype" w:eastAsia="Times New Roman" w:hAnsi="Palatino Linotype" w:cs="Arial"/>
          <w:color w:val="000000" w:themeColor="text1"/>
          <w:lang w:val="es-ES"/>
        </w:rPr>
        <w:t>fracción</w:t>
      </w:r>
      <w:proofErr w:type="gramEnd"/>
      <w:r w:rsidRPr="00780B2B">
        <w:rPr>
          <w:rFonts w:ascii="Palatino Linotype" w:hAnsi="Palatino Linotype"/>
        </w:rPr>
        <w:t xml:space="preserve"> I de la Ley de Transparencia y Acceso a la Información Pública del Estado de </w:t>
      </w:r>
      <w:r w:rsidRPr="00780B2B">
        <w:rPr>
          <w:rFonts w:ascii="Palatino Linotype" w:hAnsi="Palatino Linotype"/>
          <w:lang w:val="es-ES"/>
        </w:rPr>
        <w:t xml:space="preserve">México y Municipios, </w:t>
      </w:r>
      <w:r w:rsidRPr="00780B2B">
        <w:rPr>
          <w:rFonts w:ascii="Palatino Linotype" w:hAnsi="Palatino Linotype"/>
        </w:rPr>
        <w:t>los recursos de referencia, fueron turnados</w:t>
      </w:r>
      <w:r w:rsidRPr="00780B2B">
        <w:rPr>
          <w:rFonts w:ascii="Palatino Linotype" w:hAnsi="Palatino Linotype"/>
          <w:b/>
          <w:lang w:val="es-ES"/>
        </w:rPr>
        <w:t xml:space="preserve"> </w:t>
      </w:r>
      <w:r w:rsidRPr="00780B2B">
        <w:rPr>
          <w:rFonts w:ascii="Palatino Linotype" w:hAnsi="Palatino Linotype"/>
          <w:lang w:val="es-ES"/>
        </w:rPr>
        <w:t xml:space="preserve">a los </w:t>
      </w:r>
      <w:r w:rsidRPr="00780B2B">
        <w:rPr>
          <w:rFonts w:ascii="Palatino Linotype" w:hAnsi="Palatino Linotype"/>
          <w:b/>
          <w:lang w:val="es-ES"/>
        </w:rPr>
        <w:t xml:space="preserve">Comisionados María del Rosario Mejía Ayala, Luis Gustavo Parra Noriega </w:t>
      </w:r>
      <w:r w:rsidRPr="00780B2B">
        <w:rPr>
          <w:rFonts w:ascii="Palatino Linotype" w:hAnsi="Palatino Linotype"/>
          <w:lang w:val="es-ES"/>
        </w:rPr>
        <w:t xml:space="preserve">y </w:t>
      </w:r>
      <w:r w:rsidRPr="00780B2B">
        <w:rPr>
          <w:rFonts w:ascii="Palatino Linotype" w:hAnsi="Palatino Linotype"/>
          <w:b/>
          <w:lang w:val="es-ES"/>
        </w:rPr>
        <w:t xml:space="preserve">Guadalupe Ramírez Peña </w:t>
      </w:r>
      <w:r w:rsidRPr="00780B2B">
        <w:rPr>
          <w:rFonts w:ascii="Palatino Linotype" w:hAnsi="Palatino Linotype"/>
          <w:lang w:val="es-ES"/>
        </w:rPr>
        <w:t>respectivamente,</w:t>
      </w:r>
      <w:r w:rsidRPr="00780B2B">
        <w:rPr>
          <w:rFonts w:ascii="Palatino Linotype" w:hAnsi="Palatino Linotype"/>
          <w:b/>
          <w:lang w:val="es-ES"/>
        </w:rPr>
        <w:t xml:space="preserve"> </w:t>
      </w:r>
      <w:r w:rsidRPr="00780B2B">
        <w:rPr>
          <w:rFonts w:ascii="Palatino Linotype" w:hAnsi="Palatino Linotype"/>
          <w:lang w:val="es-ES"/>
        </w:rPr>
        <w:t>con el objeto de su análisis.</w:t>
      </w:r>
    </w:p>
    <w:p w:rsidR="00090954" w:rsidRPr="00780B2B" w:rsidRDefault="00090954" w:rsidP="00090954">
      <w:pPr>
        <w:pStyle w:val="Prrafodelista"/>
        <w:tabs>
          <w:tab w:val="left" w:pos="0"/>
        </w:tabs>
        <w:spacing w:line="360" w:lineRule="auto"/>
        <w:ind w:left="0" w:right="49"/>
        <w:jc w:val="both"/>
        <w:rPr>
          <w:rFonts w:ascii="Palatino Linotype" w:hAnsi="Palatino Linotype"/>
        </w:rPr>
      </w:pPr>
    </w:p>
    <w:p w:rsidR="00090954" w:rsidRPr="00780B2B" w:rsidRDefault="00090954" w:rsidP="00090954">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780B2B">
        <w:rPr>
          <w:rFonts w:ascii="Palatino Linotype" w:eastAsia="Calibri" w:hAnsi="Palatino Linotype" w:cs="Arial"/>
          <w:lang w:val="es-ES"/>
        </w:rPr>
        <w:t xml:space="preserve">Los Comisionados Ponentes de origen con fundamento en lo dispuesto por el artículo 185 fracción II de la ley de la materia, a través de los acuerdos de admisión de fechas siete (07), ocho (08) y  nueve (09) de noviembre del año en curso, pusieron a disposición de las partes los expedientes electrónicos </w:t>
      </w:r>
      <w:r w:rsidRPr="00780B2B">
        <w:rPr>
          <w:rFonts w:ascii="Palatino Linotype" w:eastAsia="Calibri" w:hAnsi="Palatino Linotype" w:cs="Arial"/>
        </w:rPr>
        <w:t>en la vía interpuesta</w:t>
      </w:r>
      <w:r w:rsidRPr="00780B2B">
        <w:rPr>
          <w:rFonts w:ascii="Palatino Linotype" w:eastAsia="Calibri" w:hAnsi="Palatino Linotype" w:cs="Arial"/>
          <w:lang w:val="es-AR"/>
        </w:rPr>
        <w:t xml:space="preserve">; </w:t>
      </w:r>
      <w:r w:rsidRPr="00780B2B">
        <w:rPr>
          <w:rFonts w:ascii="Palatino Linotype" w:eastAsia="Calibri" w:hAnsi="Palatino Linotype" w:cs="Arial"/>
          <w:lang w:val="es-ES"/>
        </w:rPr>
        <w:t xml:space="preserve">a efecto de que en un plazo máximo de siete días manifestaran lo que a su derecho </w:t>
      </w:r>
      <w:r w:rsidRPr="00780B2B">
        <w:rPr>
          <w:rFonts w:ascii="Palatino Linotype" w:eastAsia="Calibri" w:hAnsi="Palatino Linotype" w:cs="Arial"/>
          <w:lang w:val="es-ES"/>
        </w:rPr>
        <w:lastRenderedPageBreak/>
        <w:t xml:space="preserve">conviniera, ofrecieran pruebas y alegatos según corresponda a los casos concretos, y el </w:t>
      </w:r>
      <w:r w:rsidRPr="00780B2B">
        <w:rPr>
          <w:rFonts w:ascii="Palatino Linotype" w:eastAsia="Calibri" w:hAnsi="Palatino Linotype" w:cs="Arial"/>
          <w:b/>
          <w:lang w:val="es-ES"/>
        </w:rPr>
        <w:t>SUJETO OBLIGADO</w:t>
      </w:r>
      <w:r w:rsidRPr="00780B2B">
        <w:rPr>
          <w:rFonts w:ascii="Palatino Linotype" w:eastAsia="Calibri" w:hAnsi="Palatino Linotype" w:cs="Arial"/>
          <w:lang w:val="es-ES"/>
        </w:rPr>
        <w:t xml:space="preserve"> presentará los Informes Justificados procedentes.</w:t>
      </w:r>
    </w:p>
    <w:p w:rsidR="00090954" w:rsidRPr="00780B2B"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rsidR="00090954" w:rsidRPr="00780B2B"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780B2B">
        <w:rPr>
          <w:rFonts w:ascii="Palatino Linotype" w:hAnsi="Palatino Linotype"/>
        </w:rPr>
        <w:t>Posteriormente el Pleno de este Órgano Autónomo, en la</w:t>
      </w:r>
      <w:r w:rsidRPr="00780B2B">
        <w:rPr>
          <w:rFonts w:ascii="Palatino Linotype" w:hAnsi="Palatino Linotype"/>
          <w:b/>
        </w:rPr>
        <w:t xml:space="preserve"> Cuadragésima Primera Sesión </w:t>
      </w:r>
      <w:r w:rsidRPr="00780B2B">
        <w:rPr>
          <w:rFonts w:ascii="Palatino Linotype" w:eastAsia="Calibri" w:hAnsi="Palatino Linotype" w:cs="Arial"/>
          <w:lang w:val="es-ES"/>
        </w:rPr>
        <w:t>Ordinaria</w:t>
      </w:r>
      <w:r w:rsidRPr="00780B2B">
        <w:rPr>
          <w:rFonts w:ascii="Palatino Linotype" w:hAnsi="Palatino Linotype"/>
          <w:b/>
        </w:rPr>
        <w:t xml:space="preserve"> </w:t>
      </w:r>
      <w:r w:rsidRPr="00780B2B">
        <w:rPr>
          <w:rFonts w:ascii="Palatino Linotype" w:eastAsia="Calibri" w:hAnsi="Palatino Linotype" w:cs="Arial"/>
          <w:lang w:val="es-ES"/>
        </w:rPr>
        <w:t>de</w:t>
      </w:r>
      <w:r w:rsidRPr="00780B2B">
        <w:rPr>
          <w:rFonts w:ascii="Palatino Linotype" w:hAnsi="Palatino Linotype"/>
        </w:rPr>
        <w:t xml:space="preserve"> fecha</w:t>
      </w:r>
      <w:r w:rsidRPr="00780B2B">
        <w:rPr>
          <w:rFonts w:ascii="Palatino Linotype" w:hAnsi="Palatino Linotype"/>
          <w:b/>
        </w:rPr>
        <w:t xml:space="preserve"> dieciséis (16) de noviembre</w:t>
      </w:r>
      <w:r w:rsidRPr="00780B2B">
        <w:rPr>
          <w:rFonts w:ascii="Palatino Linotype" w:hAnsi="Palatino Linotype"/>
        </w:rPr>
        <w:t xml:space="preserve"> </w:t>
      </w:r>
      <w:r w:rsidRPr="00780B2B">
        <w:rPr>
          <w:rFonts w:ascii="Palatino Linotype" w:hAnsi="Palatino Linotype"/>
          <w:b/>
        </w:rPr>
        <w:t>de dos mil veintidós</w:t>
      </w:r>
      <w:r w:rsidRPr="00780B2B">
        <w:rPr>
          <w:rFonts w:ascii="Palatino Linotype" w:hAnsi="Palatino Linotype"/>
        </w:rPr>
        <w:t xml:space="preserve">; ordenó la acumulación de los recursos de revisión de mérito, a efecto de que la Ponencia de la </w:t>
      </w:r>
      <w:r w:rsidRPr="00780B2B">
        <w:rPr>
          <w:rFonts w:ascii="Palatino Linotype" w:hAnsi="Palatino Linotype"/>
          <w:b/>
        </w:rPr>
        <w:t xml:space="preserve">Comisionada María del Rosario Mejía Ayala </w:t>
      </w:r>
      <w:r w:rsidRPr="00780B2B">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80B2B">
        <w:rPr>
          <w:rFonts w:ascii="Palatino Linotype" w:hAnsi="Palatino Linotype"/>
          <w:i/>
          <w:vertAlign w:val="superscript"/>
        </w:rPr>
        <w:footnoteReference w:id="1"/>
      </w:r>
      <w:r w:rsidRPr="00780B2B">
        <w:rPr>
          <w:rFonts w:ascii="Palatino Linotype" w:hAnsi="Palatino Linotype"/>
        </w:rPr>
        <w:t>, que señala:</w:t>
      </w:r>
    </w:p>
    <w:p w:rsidR="00090954" w:rsidRPr="00780B2B" w:rsidRDefault="00090954" w:rsidP="00090954">
      <w:pPr>
        <w:pStyle w:val="Prrafodelista"/>
        <w:tabs>
          <w:tab w:val="left" w:pos="0"/>
        </w:tabs>
        <w:spacing w:line="360" w:lineRule="auto"/>
        <w:ind w:left="0" w:right="49"/>
        <w:jc w:val="both"/>
        <w:rPr>
          <w:rFonts w:ascii="Palatino Linotype" w:hAnsi="Palatino Linotype"/>
        </w:rPr>
      </w:pPr>
    </w:p>
    <w:p w:rsidR="00090954" w:rsidRPr="00780B2B" w:rsidRDefault="00090954" w:rsidP="00090954">
      <w:pPr>
        <w:pStyle w:val="Prrafodelista"/>
        <w:tabs>
          <w:tab w:val="left" w:pos="426"/>
        </w:tabs>
        <w:spacing w:line="360" w:lineRule="auto"/>
        <w:ind w:left="567" w:right="616"/>
        <w:jc w:val="both"/>
        <w:rPr>
          <w:rFonts w:ascii="Palatino Linotype" w:hAnsi="Palatino Linotype"/>
          <w:i/>
          <w:lang w:val="es-ES"/>
        </w:rPr>
      </w:pPr>
      <w:r w:rsidRPr="00780B2B">
        <w:rPr>
          <w:rFonts w:ascii="Palatino Linotype" w:hAnsi="Palatino Linotype"/>
          <w:b/>
          <w:i/>
          <w:lang w:val="es-ES"/>
        </w:rPr>
        <w:t>“ONCE.</w:t>
      </w:r>
      <w:r w:rsidRPr="00780B2B">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090954" w:rsidRPr="00780B2B" w:rsidRDefault="00090954" w:rsidP="00090954">
      <w:pPr>
        <w:pStyle w:val="Prrafodelista"/>
        <w:tabs>
          <w:tab w:val="left" w:pos="426"/>
        </w:tabs>
        <w:spacing w:line="360" w:lineRule="auto"/>
        <w:ind w:left="567" w:right="616"/>
        <w:jc w:val="both"/>
        <w:rPr>
          <w:rFonts w:ascii="Palatino Linotype" w:hAnsi="Palatino Linotype"/>
          <w:i/>
          <w:lang w:val="es-ES"/>
        </w:rPr>
      </w:pPr>
      <w:r w:rsidRPr="00780B2B">
        <w:rPr>
          <w:rFonts w:ascii="Palatino Linotype" w:hAnsi="Palatino Linotype"/>
          <w:i/>
          <w:lang w:val="es-ES"/>
        </w:rPr>
        <w:t>…</w:t>
      </w:r>
      <w:r w:rsidRPr="00780B2B">
        <w:rPr>
          <w:rFonts w:ascii="Palatino Linotype" w:hAnsi="Palatino Linotype"/>
          <w:i/>
          <w:lang w:val="es-ES"/>
        </w:rPr>
        <w:tab/>
      </w:r>
    </w:p>
    <w:p w:rsidR="00090954" w:rsidRPr="00780B2B" w:rsidRDefault="00090954" w:rsidP="00090954">
      <w:pPr>
        <w:pStyle w:val="Prrafodelista"/>
        <w:tabs>
          <w:tab w:val="left" w:pos="426"/>
        </w:tabs>
        <w:spacing w:line="360" w:lineRule="auto"/>
        <w:ind w:left="567" w:right="616"/>
        <w:jc w:val="both"/>
        <w:rPr>
          <w:rFonts w:ascii="Palatino Linotype" w:hAnsi="Palatino Linotype"/>
          <w:i/>
          <w:lang w:val="es-ES"/>
        </w:rPr>
      </w:pPr>
      <w:r w:rsidRPr="00780B2B">
        <w:rPr>
          <w:rFonts w:ascii="Palatino Linotype" w:hAnsi="Palatino Linotype"/>
          <w:i/>
          <w:lang w:val="es-ES"/>
        </w:rPr>
        <w:t>b) Las partes o los actos impugnados sean iguales</w:t>
      </w:r>
    </w:p>
    <w:p w:rsidR="00090954" w:rsidRPr="00780B2B" w:rsidRDefault="00090954" w:rsidP="00090954">
      <w:pPr>
        <w:pStyle w:val="Prrafodelista"/>
        <w:tabs>
          <w:tab w:val="left" w:pos="426"/>
        </w:tabs>
        <w:spacing w:line="360" w:lineRule="auto"/>
        <w:ind w:left="567" w:right="616"/>
        <w:jc w:val="both"/>
        <w:rPr>
          <w:rFonts w:ascii="Palatino Linotype" w:hAnsi="Palatino Linotype"/>
          <w:i/>
          <w:lang w:val="es-ES"/>
        </w:rPr>
      </w:pPr>
      <w:r w:rsidRPr="00780B2B">
        <w:rPr>
          <w:rFonts w:ascii="Palatino Linotype" w:hAnsi="Palatino Linotype"/>
          <w:i/>
          <w:lang w:val="es-ES"/>
        </w:rPr>
        <w:t>c) Cuando se trate del mismo solicitante, el mismo SUJETO OBLIGADO, aunque se trate de solicitudes diversas;</w:t>
      </w:r>
    </w:p>
    <w:p w:rsidR="00090954" w:rsidRPr="00780B2B" w:rsidRDefault="00090954" w:rsidP="00090954">
      <w:pPr>
        <w:pStyle w:val="Prrafodelista"/>
        <w:tabs>
          <w:tab w:val="left" w:pos="426"/>
        </w:tabs>
        <w:spacing w:line="360" w:lineRule="auto"/>
        <w:ind w:left="567" w:right="616"/>
        <w:jc w:val="both"/>
        <w:rPr>
          <w:rFonts w:ascii="Palatino Linotype" w:hAnsi="Palatino Linotype"/>
          <w:i/>
          <w:lang w:val="es-ES"/>
        </w:rPr>
      </w:pPr>
      <w:r w:rsidRPr="00780B2B">
        <w:rPr>
          <w:rFonts w:ascii="Palatino Linotype" w:hAnsi="Palatino Linotype"/>
          <w:i/>
          <w:lang w:val="es-ES"/>
        </w:rPr>
        <w:t>(…)”</w:t>
      </w:r>
    </w:p>
    <w:p w:rsidR="00090954" w:rsidRPr="00780B2B" w:rsidRDefault="00090954" w:rsidP="00090954">
      <w:pPr>
        <w:pStyle w:val="Prrafodelista"/>
        <w:tabs>
          <w:tab w:val="left" w:pos="426"/>
        </w:tabs>
        <w:spacing w:line="360" w:lineRule="auto"/>
        <w:ind w:left="567" w:right="616"/>
        <w:jc w:val="both"/>
        <w:rPr>
          <w:rFonts w:ascii="Palatino Linotype" w:hAnsi="Palatino Linotype"/>
          <w:lang w:val="es-ES"/>
        </w:rPr>
      </w:pPr>
      <w:r w:rsidRPr="00780B2B">
        <w:rPr>
          <w:rFonts w:ascii="Palatino Linotype" w:hAnsi="Palatino Linotype"/>
          <w:lang w:val="es-ES"/>
        </w:rPr>
        <w:lastRenderedPageBreak/>
        <w:t>(Énfasis añadido)</w:t>
      </w:r>
    </w:p>
    <w:p w:rsidR="00090954" w:rsidRPr="00780B2B" w:rsidRDefault="00090954" w:rsidP="00090954">
      <w:pPr>
        <w:pStyle w:val="Prrafodelista"/>
        <w:tabs>
          <w:tab w:val="left" w:pos="426"/>
        </w:tabs>
        <w:spacing w:line="360" w:lineRule="auto"/>
        <w:ind w:left="567" w:right="616"/>
        <w:jc w:val="both"/>
        <w:rPr>
          <w:rFonts w:ascii="Palatino Linotype" w:hAnsi="Palatino Linotype"/>
          <w:lang w:val="es-ES"/>
        </w:rPr>
      </w:pPr>
    </w:p>
    <w:p w:rsidR="00090954" w:rsidRPr="00780B2B"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780B2B">
        <w:rPr>
          <w:rFonts w:ascii="Palatino Linotype" w:hAnsi="Palatino Linotype"/>
        </w:rPr>
        <w:t>Es así que,</w:t>
      </w:r>
      <w:r w:rsidRPr="00780B2B">
        <w:rPr>
          <w:rFonts w:ascii="Palatino Linotype" w:hAnsi="Palatino Linotype"/>
          <w:i/>
        </w:rPr>
        <w:t xml:space="preserve"> </w:t>
      </w:r>
      <w:r w:rsidRPr="00780B2B">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090954" w:rsidRPr="00780B2B" w:rsidRDefault="00090954" w:rsidP="00090954">
      <w:pPr>
        <w:pStyle w:val="Prrafodelista"/>
        <w:tabs>
          <w:tab w:val="left" w:pos="0"/>
        </w:tabs>
        <w:spacing w:line="360" w:lineRule="auto"/>
        <w:ind w:left="0" w:right="49"/>
        <w:jc w:val="both"/>
        <w:rPr>
          <w:rFonts w:ascii="Palatino Linotype" w:hAnsi="Palatino Linotype"/>
        </w:rPr>
      </w:pPr>
    </w:p>
    <w:p w:rsidR="00090954" w:rsidRPr="00780B2B" w:rsidRDefault="00090954" w:rsidP="00090954">
      <w:pPr>
        <w:tabs>
          <w:tab w:val="left" w:pos="567"/>
        </w:tabs>
        <w:spacing w:line="360" w:lineRule="auto"/>
        <w:ind w:left="567" w:right="616"/>
        <w:jc w:val="center"/>
        <w:rPr>
          <w:rFonts w:ascii="Palatino Linotype" w:hAnsi="Palatino Linotype"/>
          <w:b/>
          <w:i/>
        </w:rPr>
      </w:pPr>
      <w:r w:rsidRPr="00780B2B">
        <w:rPr>
          <w:rFonts w:ascii="Palatino Linotype" w:hAnsi="Palatino Linotype"/>
          <w:b/>
          <w:i/>
        </w:rPr>
        <w:t>Código de Procedimientos Administrativos del Estado de México.</w:t>
      </w:r>
    </w:p>
    <w:p w:rsidR="00090954" w:rsidRPr="00780B2B" w:rsidRDefault="00090954" w:rsidP="00090954">
      <w:pPr>
        <w:spacing w:line="360" w:lineRule="auto"/>
        <w:ind w:left="567" w:right="616"/>
        <w:jc w:val="both"/>
        <w:rPr>
          <w:rFonts w:ascii="Palatino Linotype" w:hAnsi="Palatino Linotype"/>
          <w:i/>
        </w:rPr>
      </w:pPr>
      <w:r w:rsidRPr="00780B2B">
        <w:rPr>
          <w:rFonts w:ascii="Palatino Linotype" w:hAnsi="Palatino Linotype"/>
          <w:b/>
          <w:i/>
        </w:rPr>
        <w:t>“Artículo 18.-</w:t>
      </w:r>
      <w:r w:rsidRPr="00780B2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90954" w:rsidRPr="00780B2B" w:rsidRDefault="00090954" w:rsidP="00090954">
      <w:pPr>
        <w:tabs>
          <w:tab w:val="left" w:pos="567"/>
        </w:tabs>
        <w:spacing w:line="360" w:lineRule="auto"/>
        <w:ind w:right="616"/>
        <w:jc w:val="both"/>
        <w:rPr>
          <w:rFonts w:ascii="Palatino Linotype" w:hAnsi="Palatino Linotype"/>
          <w:i/>
        </w:rPr>
      </w:pPr>
    </w:p>
    <w:p w:rsidR="00090954" w:rsidRPr="00780B2B" w:rsidRDefault="00090954" w:rsidP="00090954">
      <w:pPr>
        <w:spacing w:line="360" w:lineRule="auto"/>
        <w:ind w:left="567" w:right="618"/>
        <w:jc w:val="both"/>
        <w:rPr>
          <w:rFonts w:ascii="Palatino Linotype" w:hAnsi="Palatino Linotype"/>
          <w:b/>
          <w:i/>
        </w:rPr>
      </w:pPr>
      <w:r w:rsidRPr="00780B2B">
        <w:rPr>
          <w:rFonts w:ascii="Palatino Linotype" w:hAnsi="Palatino Linotype"/>
          <w:b/>
          <w:i/>
        </w:rPr>
        <w:t>Ley de Transparencia y Acceso a la Información Pública del Estado de México y Municipios</w:t>
      </w:r>
    </w:p>
    <w:p w:rsidR="00090954" w:rsidRPr="00780B2B" w:rsidRDefault="00090954" w:rsidP="00090954">
      <w:pPr>
        <w:spacing w:line="360" w:lineRule="auto"/>
        <w:ind w:left="567" w:right="618"/>
        <w:jc w:val="both"/>
        <w:rPr>
          <w:rFonts w:ascii="Palatino Linotype" w:hAnsi="Palatino Linotype"/>
          <w:i/>
        </w:rPr>
      </w:pPr>
      <w:r w:rsidRPr="00780B2B">
        <w:rPr>
          <w:rFonts w:ascii="Palatino Linotype" w:hAnsi="Palatino Linotype"/>
          <w:b/>
          <w:i/>
        </w:rPr>
        <w:lastRenderedPageBreak/>
        <w:t>“Artículo 195.</w:t>
      </w:r>
      <w:r w:rsidRPr="00780B2B">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090954" w:rsidRPr="00780B2B" w:rsidRDefault="00090954" w:rsidP="00090954">
      <w:pPr>
        <w:spacing w:line="360" w:lineRule="auto"/>
        <w:ind w:left="567" w:right="-142"/>
        <w:contextualSpacing/>
        <w:jc w:val="both"/>
        <w:rPr>
          <w:rFonts w:ascii="Palatino Linotype" w:hAnsi="Palatino Linotype"/>
        </w:rPr>
      </w:pPr>
      <w:r w:rsidRPr="00780B2B">
        <w:rPr>
          <w:rFonts w:ascii="Palatino Linotype" w:hAnsi="Palatino Linotype"/>
        </w:rPr>
        <w:t xml:space="preserve"> (Énfasis añadido)</w:t>
      </w:r>
    </w:p>
    <w:p w:rsidR="009F09BC" w:rsidRPr="00780B2B" w:rsidRDefault="009F09BC" w:rsidP="00090954">
      <w:pPr>
        <w:pStyle w:val="Prrafodelista"/>
        <w:numPr>
          <w:ilvl w:val="0"/>
          <w:numId w:val="1"/>
        </w:numPr>
        <w:spacing w:before="240" w:after="240" w:line="360" w:lineRule="auto"/>
        <w:ind w:left="0" w:firstLine="0"/>
        <w:jc w:val="both"/>
        <w:rPr>
          <w:rFonts w:ascii="Palatino Linotype" w:hAnsi="Palatino Linotype"/>
        </w:rPr>
      </w:pPr>
      <w:r w:rsidRPr="00780B2B">
        <w:rPr>
          <w:rFonts w:ascii="Palatino Linotype" w:hAnsi="Palatino Linotype"/>
          <w:color w:val="000000"/>
        </w:rPr>
        <w:t xml:space="preserve">El </w:t>
      </w:r>
      <w:r w:rsidRPr="00780B2B">
        <w:rPr>
          <w:rFonts w:ascii="Palatino Linotype" w:hAnsi="Palatino Linotype"/>
          <w:b/>
          <w:color w:val="000000"/>
        </w:rPr>
        <w:t xml:space="preserve">SUJETO </w:t>
      </w:r>
      <w:r w:rsidRPr="00780B2B">
        <w:rPr>
          <w:rFonts w:ascii="Palatino Linotype" w:eastAsia="Calibri" w:hAnsi="Palatino Linotype" w:cs="Arial"/>
          <w:b/>
          <w:lang w:val="es-ES"/>
        </w:rPr>
        <w:t>OBLIGADO</w:t>
      </w:r>
      <w:r w:rsidR="007A6A1A" w:rsidRPr="00780B2B">
        <w:rPr>
          <w:rFonts w:ascii="Palatino Linotype" w:hAnsi="Palatino Linotype"/>
          <w:color w:val="000000"/>
        </w:rPr>
        <w:t xml:space="preserve"> </w:t>
      </w:r>
      <w:r w:rsidR="003D6B14" w:rsidRPr="00780B2B">
        <w:rPr>
          <w:rFonts w:ascii="Palatino Linotype" w:hAnsi="Palatino Linotype"/>
          <w:color w:val="000000"/>
        </w:rPr>
        <w:t xml:space="preserve">en fecha veintidós (22) de noviembre del año en curso, rindió </w:t>
      </w:r>
      <w:r w:rsidR="003D6B14" w:rsidRPr="00780B2B">
        <w:rPr>
          <w:rFonts w:ascii="Palatino Linotype" w:eastAsia="Calibri" w:hAnsi="Palatino Linotype" w:cs="Arial"/>
          <w:lang w:val="es-ES"/>
        </w:rPr>
        <w:t>el</w:t>
      </w:r>
      <w:r w:rsidR="003D6B14" w:rsidRPr="00780B2B">
        <w:rPr>
          <w:rFonts w:ascii="Palatino Linotype" w:hAnsi="Palatino Linotype"/>
          <w:color w:val="000000"/>
        </w:rPr>
        <w:t xml:space="preserve"> informe justificado correspondiente</w:t>
      </w:r>
      <w:r w:rsidR="00090954" w:rsidRPr="00780B2B">
        <w:rPr>
          <w:rFonts w:ascii="Palatino Linotype" w:hAnsi="Palatino Linotype"/>
          <w:color w:val="000000"/>
        </w:rPr>
        <w:t xml:space="preserve"> por lo que hace al recurso de revisión 16088/INFOEM/IP/RR/2022</w:t>
      </w:r>
      <w:r w:rsidR="00701315" w:rsidRPr="00780B2B">
        <w:rPr>
          <w:rFonts w:ascii="Palatino Linotype" w:hAnsi="Palatino Linotype"/>
          <w:color w:val="000000"/>
        </w:rPr>
        <w:t>, mismo que fue hecho del conocimiento del particular mediante acuerdo de día veintitrés (23) del mismo mes y año</w:t>
      </w:r>
      <w:r w:rsidR="002C4997" w:rsidRPr="00780B2B">
        <w:rPr>
          <w:rFonts w:ascii="Palatino Linotype" w:hAnsi="Palatino Linotype"/>
          <w:color w:val="000000"/>
        </w:rPr>
        <w:t xml:space="preserve">. </w:t>
      </w:r>
      <w:r w:rsidRPr="00780B2B">
        <w:rPr>
          <w:rFonts w:ascii="Palatino Linotype" w:hAnsi="Palatino Linotype"/>
          <w:color w:val="000000"/>
        </w:rPr>
        <w:t xml:space="preserve">Por su parte </w:t>
      </w:r>
      <w:r w:rsidR="002B59F0" w:rsidRPr="00780B2B">
        <w:rPr>
          <w:rFonts w:ascii="Palatino Linotype" w:hAnsi="Palatino Linotype"/>
          <w:b/>
          <w:color w:val="000000"/>
        </w:rPr>
        <w:t>EL PARTICULAR</w:t>
      </w:r>
      <w:r w:rsidRPr="00780B2B">
        <w:rPr>
          <w:rFonts w:ascii="Palatino Linotype" w:hAnsi="Palatino Linotype"/>
          <w:b/>
          <w:color w:val="000000"/>
        </w:rPr>
        <w:t xml:space="preserve"> </w:t>
      </w:r>
      <w:r w:rsidR="00701315" w:rsidRPr="00780B2B">
        <w:rPr>
          <w:rFonts w:ascii="Palatino Linotype" w:hAnsi="Palatino Linotype"/>
          <w:color w:val="000000"/>
        </w:rPr>
        <w:t>dejó de realizar manifestaciones que a su derecho conviniera y asistiera</w:t>
      </w:r>
      <w:r w:rsidR="00090954" w:rsidRPr="00780B2B">
        <w:rPr>
          <w:rFonts w:ascii="Palatino Linotype" w:hAnsi="Palatino Linotype"/>
          <w:color w:val="000000"/>
        </w:rPr>
        <w:t xml:space="preserve"> en los tres recursos de revisión objeto der acumulación</w:t>
      </w:r>
      <w:r w:rsidR="00B04B63" w:rsidRPr="00780B2B">
        <w:rPr>
          <w:rFonts w:ascii="Palatino Linotype" w:hAnsi="Palatino Linotype"/>
          <w:color w:val="000000"/>
        </w:rPr>
        <w:t>.</w:t>
      </w:r>
    </w:p>
    <w:p w:rsidR="00ED6E75" w:rsidRPr="00780B2B" w:rsidRDefault="00ED6E75" w:rsidP="00ED6E75">
      <w:pPr>
        <w:pStyle w:val="Prrafodelista"/>
        <w:spacing w:before="240" w:after="240" w:line="360" w:lineRule="auto"/>
        <w:ind w:left="0"/>
        <w:jc w:val="both"/>
        <w:rPr>
          <w:rFonts w:ascii="Palatino Linotype" w:hAnsi="Palatino Linotype"/>
        </w:rPr>
      </w:pPr>
    </w:p>
    <w:p w:rsidR="009F09BC" w:rsidRPr="00780B2B" w:rsidRDefault="0070131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780B2B">
        <w:rPr>
          <w:rFonts w:ascii="Palatino Linotype" w:hAnsi="Palatino Linotype"/>
        </w:rPr>
        <w:t>Mediante acuerdo</w:t>
      </w:r>
      <w:r w:rsidR="00C35712" w:rsidRPr="00780B2B">
        <w:rPr>
          <w:rFonts w:ascii="Palatino Linotype" w:hAnsi="Palatino Linotype"/>
        </w:rPr>
        <w:t xml:space="preserve"> de fecha </w:t>
      </w:r>
      <w:r w:rsidR="00090954" w:rsidRPr="00780B2B">
        <w:rPr>
          <w:rFonts w:ascii="Palatino Linotype" w:hAnsi="Palatino Linotype"/>
        </w:rPr>
        <w:t xml:space="preserve">veinticuatro (24) de noviembre de 2022 se decretó el cierre de </w:t>
      </w:r>
      <w:r w:rsidR="00090954" w:rsidRPr="00780B2B">
        <w:rPr>
          <w:rFonts w:ascii="Palatino Linotype" w:hAnsi="Palatino Linotype"/>
          <w:color w:val="000000"/>
        </w:rPr>
        <w:t>instrucción</w:t>
      </w:r>
      <w:r w:rsidR="00090954" w:rsidRPr="00780B2B">
        <w:rPr>
          <w:rFonts w:ascii="Palatino Linotype" w:hAnsi="Palatino Linotype"/>
        </w:rPr>
        <w:t xml:space="preserve"> dentro de los expedientes correspondientes a las solicitudes de información 00020/DIFLAPAZ/IP/2022 y 00018/DIFLAPAZ/IP/2022 y por lo que hace al expediente de la solicitud de información 00017/DIFLAPAZ/IP/2022, el </w:t>
      </w:r>
      <w:r w:rsidRPr="00780B2B">
        <w:rPr>
          <w:rFonts w:ascii="Palatino Linotype" w:hAnsi="Palatino Linotype"/>
        </w:rPr>
        <w:t>veintinueve</w:t>
      </w:r>
      <w:r w:rsidR="0001674C" w:rsidRPr="00780B2B">
        <w:rPr>
          <w:rFonts w:ascii="Palatino Linotype" w:hAnsi="Palatino Linotype"/>
        </w:rPr>
        <w:t xml:space="preserve"> (</w:t>
      </w:r>
      <w:r w:rsidRPr="00780B2B">
        <w:rPr>
          <w:rFonts w:ascii="Palatino Linotype" w:hAnsi="Palatino Linotype"/>
        </w:rPr>
        <w:t>29</w:t>
      </w:r>
      <w:r w:rsidR="0001674C" w:rsidRPr="00780B2B">
        <w:rPr>
          <w:rFonts w:ascii="Palatino Linotype" w:hAnsi="Palatino Linotype"/>
        </w:rPr>
        <w:t>) de</w:t>
      </w:r>
      <w:r w:rsidR="00090954" w:rsidRPr="00780B2B">
        <w:rPr>
          <w:rFonts w:ascii="Palatino Linotype" w:hAnsi="Palatino Linotype"/>
        </w:rPr>
        <w:t>l mismo mes y año</w:t>
      </w:r>
      <w:r w:rsidR="0001674C" w:rsidRPr="00780B2B">
        <w:rPr>
          <w:rFonts w:ascii="Palatino Linotype" w:hAnsi="Palatino Linotype"/>
        </w:rPr>
        <w:t xml:space="preserve">, </w:t>
      </w:r>
      <w:r w:rsidR="009F09BC" w:rsidRPr="00780B2B">
        <w:rPr>
          <w:rFonts w:ascii="Palatino Linotype" w:hAnsi="Palatino Linotype" w:cs="Arial"/>
        </w:rPr>
        <w:t>por lo que no ha</w:t>
      </w:r>
      <w:r w:rsidRPr="00780B2B">
        <w:rPr>
          <w:rFonts w:ascii="Palatino Linotype" w:hAnsi="Palatino Linotype" w:cs="Arial"/>
        </w:rPr>
        <w:t>biendo más que hacer constar, y-</w:t>
      </w:r>
      <w:r w:rsidR="00090954" w:rsidRPr="00780B2B">
        <w:rPr>
          <w:rFonts w:ascii="Palatino Linotype" w:hAnsi="Palatino Linotype" w:cs="Arial"/>
        </w:rPr>
        <w:t>------------------------------------------------------------------------------------------------</w:t>
      </w:r>
    </w:p>
    <w:p w:rsidR="00701315" w:rsidRPr="00780B2B" w:rsidRDefault="00701315" w:rsidP="00701315">
      <w:pPr>
        <w:pStyle w:val="Prrafodelista"/>
        <w:rPr>
          <w:rFonts w:ascii="Palatino Linotype" w:hAnsi="Palatino Linotype"/>
          <w:b/>
          <w:color w:val="000000" w:themeColor="text1"/>
        </w:rPr>
      </w:pPr>
    </w:p>
    <w:p w:rsidR="009F09BC" w:rsidRPr="00780B2B" w:rsidRDefault="009F09BC" w:rsidP="00701315">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780B2B">
        <w:rPr>
          <w:rFonts w:ascii="Palatino Linotype" w:hAnsi="Palatino Linotype"/>
          <w:b/>
          <w:color w:val="000000" w:themeColor="text1"/>
          <w:sz w:val="24"/>
          <w:szCs w:val="24"/>
        </w:rPr>
        <w:t>CONSIDERANDO</w:t>
      </w:r>
      <w:bookmarkEnd w:id="134"/>
      <w:bookmarkEnd w:id="135"/>
    </w:p>
    <w:p w:rsidR="009F09BC" w:rsidRPr="00780B2B" w:rsidRDefault="009F09BC" w:rsidP="009F09BC">
      <w:pPr>
        <w:rPr>
          <w:rFonts w:ascii="Palatino Linotype" w:hAnsi="Palatino Linotype"/>
          <w:lang w:val="es-MX" w:eastAsia="en-US"/>
        </w:rPr>
      </w:pPr>
    </w:p>
    <w:p w:rsidR="009F09BC" w:rsidRPr="00780B2B" w:rsidRDefault="009F09BC" w:rsidP="009F09BC">
      <w:pPr>
        <w:pStyle w:val="Ttulo2"/>
        <w:rPr>
          <w:rFonts w:ascii="Palatino Linotype" w:hAnsi="Palatino Linotype"/>
          <w:b/>
          <w:color w:val="auto"/>
          <w:sz w:val="24"/>
          <w:szCs w:val="24"/>
        </w:rPr>
      </w:pPr>
      <w:bookmarkStart w:id="136" w:name="_Toc491791303"/>
      <w:bookmarkStart w:id="137" w:name="_Toc83128579"/>
      <w:r w:rsidRPr="00780B2B">
        <w:rPr>
          <w:rFonts w:ascii="Palatino Linotype" w:hAnsi="Palatino Linotype"/>
          <w:b/>
          <w:color w:val="auto"/>
          <w:sz w:val="24"/>
          <w:szCs w:val="24"/>
        </w:rPr>
        <w:t>PRIMERO. De la competencia</w:t>
      </w:r>
      <w:bookmarkEnd w:id="136"/>
      <w:bookmarkEnd w:id="137"/>
    </w:p>
    <w:p w:rsidR="009F09BC" w:rsidRPr="00780B2B" w:rsidRDefault="009F09BC" w:rsidP="009F09BC">
      <w:pPr>
        <w:rPr>
          <w:rFonts w:ascii="Palatino Linotype" w:hAnsi="Palatino Linotype"/>
          <w:lang w:val="es-MX" w:eastAsia="en-US"/>
        </w:rPr>
      </w:pPr>
    </w:p>
    <w:p w:rsidR="00353F1D" w:rsidRPr="00780B2B" w:rsidRDefault="00353F1D" w:rsidP="00C85059">
      <w:pPr>
        <w:pStyle w:val="Prrafodelista"/>
        <w:numPr>
          <w:ilvl w:val="0"/>
          <w:numId w:val="1"/>
        </w:numPr>
        <w:spacing w:line="360" w:lineRule="auto"/>
        <w:ind w:left="0" w:firstLine="0"/>
        <w:jc w:val="both"/>
        <w:rPr>
          <w:rFonts w:ascii="Palatino Linotype" w:hAnsi="Palatino Linotype"/>
          <w:color w:val="000000" w:themeColor="text1"/>
        </w:rPr>
      </w:pPr>
      <w:r w:rsidRPr="00780B2B">
        <w:rPr>
          <w:rFonts w:ascii="Palatino Linotype" w:hAnsi="Palatino Linotype"/>
          <w:color w:val="000000" w:themeColor="text1"/>
        </w:rPr>
        <w:t xml:space="preserve">El </w:t>
      </w:r>
      <w:r w:rsidRPr="00780B2B">
        <w:rPr>
          <w:rFonts w:ascii="Palatino Linotype" w:hAnsi="Palatino Linotype"/>
        </w:rPr>
        <w:t>Instituto</w:t>
      </w:r>
      <w:r w:rsidRPr="00780B2B">
        <w:rPr>
          <w:rFonts w:ascii="Palatino Linotype" w:hAnsi="Palatino Linotype"/>
          <w:color w:val="000000" w:themeColor="text1"/>
        </w:rPr>
        <w:t xml:space="preserve"> de Transparencia, Acceso a la Información Pública y Protección de Datos Personales del Estado de México y Municipios, es competente para conocer </w:t>
      </w:r>
      <w:r w:rsidRPr="00780B2B">
        <w:rPr>
          <w:rFonts w:ascii="Palatino Linotype" w:hAnsi="Palatino Linotype"/>
          <w:color w:val="000000" w:themeColor="text1"/>
        </w:rPr>
        <w:lastRenderedPageBreak/>
        <w:t>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780B2B"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780B2B" w:rsidRDefault="009F09BC" w:rsidP="009F09BC">
      <w:pPr>
        <w:pStyle w:val="Ttulo2"/>
        <w:rPr>
          <w:rFonts w:ascii="Palatino Linotype" w:hAnsi="Palatino Linotype"/>
          <w:b/>
          <w:color w:val="auto"/>
          <w:sz w:val="24"/>
          <w:szCs w:val="24"/>
        </w:rPr>
      </w:pPr>
      <w:bookmarkStart w:id="138" w:name="_Toc491791304"/>
      <w:bookmarkStart w:id="139" w:name="_Toc83128580"/>
      <w:r w:rsidRPr="00780B2B">
        <w:rPr>
          <w:rFonts w:ascii="Palatino Linotype" w:hAnsi="Palatino Linotype"/>
          <w:b/>
          <w:color w:val="auto"/>
          <w:sz w:val="24"/>
          <w:szCs w:val="24"/>
        </w:rPr>
        <w:t>SEGUNDO. De la oportunidad y procedencia.</w:t>
      </w:r>
      <w:bookmarkEnd w:id="138"/>
      <w:bookmarkEnd w:id="139"/>
    </w:p>
    <w:p w:rsidR="009F09BC" w:rsidRPr="00780B2B" w:rsidRDefault="009F09BC" w:rsidP="009F09BC">
      <w:pPr>
        <w:rPr>
          <w:rFonts w:ascii="Palatino Linotype" w:hAnsi="Palatino Linotype"/>
          <w:lang w:val="es-MX" w:eastAsia="en-US"/>
        </w:rPr>
      </w:pPr>
    </w:p>
    <w:p w:rsidR="009F09BC" w:rsidRPr="00780B2B" w:rsidRDefault="002649F6"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eastAsia="Calibri" w:hAnsi="Palatino Linotype" w:cs="Arial"/>
        </w:rPr>
        <w:t>Los</w:t>
      </w:r>
      <w:r w:rsidR="00AD63B4" w:rsidRPr="00780B2B">
        <w:rPr>
          <w:rFonts w:ascii="Palatino Linotype" w:eastAsia="Calibri" w:hAnsi="Palatino Linotype" w:cs="Arial"/>
        </w:rPr>
        <w:t xml:space="preserve"> </w:t>
      </w:r>
      <w:r w:rsidR="009F09BC" w:rsidRPr="00780B2B">
        <w:rPr>
          <w:rFonts w:ascii="Palatino Linotype" w:eastAsia="Calibri" w:hAnsi="Palatino Linotype" w:cs="Arial"/>
        </w:rPr>
        <w:t>medio</w:t>
      </w:r>
      <w:r w:rsidRPr="00780B2B">
        <w:rPr>
          <w:rFonts w:ascii="Palatino Linotype" w:eastAsia="Calibri" w:hAnsi="Palatino Linotype" w:cs="Arial"/>
        </w:rPr>
        <w:t>s</w:t>
      </w:r>
      <w:r w:rsidR="009F09BC" w:rsidRPr="00780B2B">
        <w:rPr>
          <w:rFonts w:ascii="Palatino Linotype" w:eastAsia="Calibri" w:hAnsi="Palatino Linotype" w:cs="Arial"/>
        </w:rPr>
        <w:t xml:space="preserve"> de impugnación fue</w:t>
      </w:r>
      <w:r w:rsidRPr="00780B2B">
        <w:rPr>
          <w:rFonts w:ascii="Palatino Linotype" w:eastAsia="Calibri" w:hAnsi="Palatino Linotype" w:cs="Arial"/>
        </w:rPr>
        <w:t>ron</w:t>
      </w:r>
      <w:r w:rsidR="009F09BC" w:rsidRPr="00780B2B">
        <w:rPr>
          <w:rFonts w:ascii="Palatino Linotype" w:eastAsia="Calibri" w:hAnsi="Palatino Linotype" w:cs="Arial"/>
        </w:rPr>
        <w:t xml:space="preserve"> presentado</w:t>
      </w:r>
      <w:r w:rsidRPr="00780B2B">
        <w:rPr>
          <w:rFonts w:ascii="Palatino Linotype" w:eastAsia="Calibri" w:hAnsi="Palatino Linotype" w:cs="Arial"/>
        </w:rPr>
        <w:t>s</w:t>
      </w:r>
      <w:r w:rsidR="009F09BC" w:rsidRPr="00780B2B">
        <w:rPr>
          <w:rFonts w:ascii="Palatino Linotype" w:eastAsia="Calibri" w:hAnsi="Palatino Linotype" w:cs="Arial"/>
        </w:rPr>
        <w:t xml:space="preserve"> a través del </w:t>
      </w:r>
      <w:r w:rsidR="009F09BC" w:rsidRPr="00780B2B">
        <w:rPr>
          <w:rFonts w:ascii="Palatino Linotype" w:eastAsia="Calibri" w:hAnsi="Palatino Linotype" w:cs="Arial"/>
          <w:b/>
        </w:rPr>
        <w:t>SAIMEX,</w:t>
      </w:r>
      <w:r w:rsidRPr="00780B2B">
        <w:rPr>
          <w:rFonts w:ascii="Palatino Linotype" w:eastAsia="Calibri" w:hAnsi="Palatino Linotype" w:cs="Arial"/>
        </w:rPr>
        <w:t xml:space="preserve"> en </w:t>
      </w:r>
      <w:r w:rsidR="009F09BC" w:rsidRPr="00780B2B">
        <w:rPr>
          <w:rFonts w:ascii="Palatino Linotype" w:eastAsia="Calibri" w:hAnsi="Palatino Linotype" w:cs="Arial"/>
        </w:rPr>
        <w:t>l</w:t>
      </w:r>
      <w:r w:rsidRPr="00780B2B">
        <w:rPr>
          <w:rFonts w:ascii="Palatino Linotype" w:eastAsia="Calibri" w:hAnsi="Palatino Linotype" w:cs="Arial"/>
        </w:rPr>
        <w:t>os</w:t>
      </w:r>
      <w:r w:rsidR="009F09BC" w:rsidRPr="00780B2B">
        <w:rPr>
          <w:rFonts w:ascii="Palatino Linotype" w:eastAsia="Calibri" w:hAnsi="Palatino Linotype" w:cs="Arial"/>
        </w:rPr>
        <w:t xml:space="preserve"> formato</w:t>
      </w:r>
      <w:r w:rsidRPr="00780B2B">
        <w:rPr>
          <w:rFonts w:ascii="Palatino Linotype" w:eastAsia="Calibri" w:hAnsi="Palatino Linotype" w:cs="Arial"/>
        </w:rPr>
        <w:t>s</w:t>
      </w:r>
      <w:r w:rsidR="009F09BC" w:rsidRPr="00780B2B">
        <w:rPr>
          <w:rFonts w:ascii="Palatino Linotype" w:eastAsia="Calibri" w:hAnsi="Palatino Linotype" w:cs="Arial"/>
        </w:rPr>
        <w:t xml:space="preserve"> previamente aprobado</w:t>
      </w:r>
      <w:r w:rsidRPr="00780B2B">
        <w:rPr>
          <w:rFonts w:ascii="Palatino Linotype" w:eastAsia="Calibri" w:hAnsi="Palatino Linotype" w:cs="Arial"/>
        </w:rPr>
        <w:t>s</w:t>
      </w:r>
      <w:r w:rsidR="009F09BC" w:rsidRPr="00780B2B">
        <w:rPr>
          <w:rFonts w:ascii="Palatino Linotype" w:eastAsia="Calibri" w:hAnsi="Palatino Linotype" w:cs="Arial"/>
        </w:rPr>
        <w:t xml:space="preserve"> para tal efecto y dentro del plazo legal de quince días hábiles otorgados; para el caso en particular es de señalar que el </w:t>
      </w:r>
      <w:r w:rsidR="009F09BC" w:rsidRPr="00780B2B">
        <w:rPr>
          <w:rFonts w:ascii="Palatino Linotype" w:eastAsia="Calibri" w:hAnsi="Palatino Linotype" w:cs="Arial"/>
          <w:b/>
        </w:rPr>
        <w:t>SUJETO OBLIGADO</w:t>
      </w:r>
      <w:r w:rsidR="00425842" w:rsidRPr="00780B2B">
        <w:rPr>
          <w:rFonts w:ascii="Palatino Linotype" w:eastAsia="Calibri" w:hAnsi="Palatino Linotype" w:cs="Arial"/>
        </w:rPr>
        <w:t xml:space="preserve"> entregó su</w:t>
      </w:r>
      <w:r w:rsidRPr="00780B2B">
        <w:rPr>
          <w:rFonts w:ascii="Palatino Linotype" w:eastAsia="Calibri" w:hAnsi="Palatino Linotype" w:cs="Arial"/>
        </w:rPr>
        <w:t>s</w:t>
      </w:r>
      <w:r w:rsidR="009F09BC" w:rsidRPr="00780B2B">
        <w:rPr>
          <w:rFonts w:ascii="Palatino Linotype" w:eastAsia="Calibri" w:hAnsi="Palatino Linotype" w:cs="Arial"/>
        </w:rPr>
        <w:t xml:space="preserve"> respuesta</w:t>
      </w:r>
      <w:r w:rsidRPr="00780B2B">
        <w:rPr>
          <w:rFonts w:ascii="Palatino Linotype" w:eastAsia="Calibri" w:hAnsi="Palatino Linotype" w:cs="Arial"/>
        </w:rPr>
        <w:t>s</w:t>
      </w:r>
      <w:r w:rsidR="009F09BC" w:rsidRPr="00780B2B">
        <w:rPr>
          <w:rFonts w:ascii="Palatino Linotype" w:eastAsia="Calibri" w:hAnsi="Palatino Linotype" w:cs="Arial"/>
        </w:rPr>
        <w:t xml:space="preserve"> </w:t>
      </w:r>
      <w:r w:rsidR="00425842" w:rsidRPr="00780B2B">
        <w:rPr>
          <w:rFonts w:ascii="Palatino Linotype" w:eastAsia="Calibri" w:hAnsi="Palatino Linotype" w:cs="Arial"/>
        </w:rPr>
        <w:t>e</w:t>
      </w:r>
      <w:r w:rsidR="00E55966" w:rsidRPr="00780B2B">
        <w:rPr>
          <w:rFonts w:ascii="Palatino Linotype" w:eastAsia="Calibri" w:hAnsi="Palatino Linotype" w:cs="Arial"/>
        </w:rPr>
        <w:t xml:space="preserve">l </w:t>
      </w:r>
      <w:r w:rsidR="00701315" w:rsidRPr="00780B2B">
        <w:rPr>
          <w:rFonts w:ascii="Palatino Linotype" w:eastAsia="Calibri" w:hAnsi="Palatino Linotype" w:cs="Arial"/>
        </w:rPr>
        <w:t>uno</w:t>
      </w:r>
      <w:r w:rsidR="00E55966" w:rsidRPr="00780B2B">
        <w:rPr>
          <w:rFonts w:ascii="Palatino Linotype" w:eastAsia="Calibri" w:hAnsi="Palatino Linotype" w:cs="Arial"/>
        </w:rPr>
        <w:t xml:space="preserve"> (</w:t>
      </w:r>
      <w:r w:rsidR="00701315" w:rsidRPr="00780B2B">
        <w:rPr>
          <w:rFonts w:ascii="Palatino Linotype" w:eastAsia="Calibri" w:hAnsi="Palatino Linotype" w:cs="Arial"/>
        </w:rPr>
        <w:t>01</w:t>
      </w:r>
      <w:r w:rsidR="009F09BC" w:rsidRPr="00780B2B">
        <w:rPr>
          <w:rFonts w:ascii="Palatino Linotype" w:eastAsia="Calibri" w:hAnsi="Palatino Linotype" w:cs="Arial"/>
        </w:rPr>
        <w:t xml:space="preserve">) de </w:t>
      </w:r>
      <w:r w:rsidR="00701315" w:rsidRPr="00780B2B">
        <w:rPr>
          <w:rFonts w:ascii="Palatino Linotype" w:eastAsia="Calibri" w:hAnsi="Palatino Linotype" w:cs="Arial"/>
        </w:rPr>
        <w:t>noviembre</w:t>
      </w:r>
      <w:r w:rsidR="00425842" w:rsidRPr="00780B2B">
        <w:rPr>
          <w:rFonts w:ascii="Palatino Linotype" w:eastAsia="Calibri" w:hAnsi="Palatino Linotype" w:cs="Arial"/>
        </w:rPr>
        <w:t xml:space="preserve"> de dos mil veintidós</w:t>
      </w:r>
      <w:r w:rsidR="009F09BC" w:rsidRPr="00780B2B">
        <w:rPr>
          <w:rFonts w:ascii="Palatino Linotype" w:eastAsia="Calibri" w:hAnsi="Palatino Linotype" w:cs="Arial"/>
        </w:rPr>
        <w:t xml:space="preserve">, </w:t>
      </w:r>
      <w:r w:rsidR="009F09BC" w:rsidRPr="00780B2B">
        <w:rPr>
          <w:rFonts w:ascii="Palatino Linotype" w:hAnsi="Palatino Linotype" w:cs="Arial"/>
        </w:rPr>
        <w:t xml:space="preserve">de tal forma que </w:t>
      </w:r>
      <w:r w:rsidR="00425842" w:rsidRPr="00780B2B">
        <w:rPr>
          <w:rFonts w:ascii="Palatino Linotype" w:hAnsi="Palatino Linotype" w:cs="Arial"/>
        </w:rPr>
        <w:t>e</w:t>
      </w:r>
      <w:r w:rsidR="009F09BC" w:rsidRPr="00780B2B">
        <w:rPr>
          <w:rFonts w:ascii="Palatino Linotype" w:hAnsi="Palatino Linotype" w:cs="Arial"/>
        </w:rPr>
        <w:t>l plazo para interponer l</w:t>
      </w:r>
      <w:r w:rsidRPr="00780B2B">
        <w:rPr>
          <w:rFonts w:ascii="Palatino Linotype" w:hAnsi="Palatino Linotype" w:cs="Arial"/>
        </w:rPr>
        <w:t>os</w:t>
      </w:r>
      <w:r w:rsidR="009F09BC" w:rsidRPr="00780B2B">
        <w:rPr>
          <w:rFonts w:ascii="Palatino Linotype" w:hAnsi="Palatino Linotype" w:cs="Arial"/>
        </w:rPr>
        <w:t xml:space="preserve"> recurso</w:t>
      </w:r>
      <w:r w:rsidRPr="00780B2B">
        <w:rPr>
          <w:rFonts w:ascii="Palatino Linotype" w:hAnsi="Palatino Linotype" w:cs="Arial"/>
        </w:rPr>
        <w:t>s</w:t>
      </w:r>
      <w:r w:rsidR="009F09BC" w:rsidRPr="00780B2B">
        <w:rPr>
          <w:rFonts w:ascii="Palatino Linotype" w:hAnsi="Palatino Linotype" w:cs="Arial"/>
        </w:rPr>
        <w:t xml:space="preserve"> de revisión </w:t>
      </w:r>
      <w:r w:rsidR="00425842" w:rsidRPr="00780B2B">
        <w:rPr>
          <w:rFonts w:ascii="Palatino Linotype" w:hAnsi="Palatino Linotype" w:cs="Arial"/>
        </w:rPr>
        <w:t>transcurrió</w:t>
      </w:r>
      <w:r w:rsidR="009F09BC" w:rsidRPr="00780B2B">
        <w:rPr>
          <w:rFonts w:ascii="Palatino Linotype" w:hAnsi="Palatino Linotype" w:cs="Arial"/>
        </w:rPr>
        <w:t xml:space="preserve"> del día </w:t>
      </w:r>
      <w:r w:rsidR="00701315" w:rsidRPr="00780B2B">
        <w:rPr>
          <w:rFonts w:ascii="Palatino Linotype" w:hAnsi="Palatino Linotype" w:cs="Arial"/>
        </w:rPr>
        <w:t>tres</w:t>
      </w:r>
      <w:r w:rsidR="00425842" w:rsidRPr="00780B2B">
        <w:rPr>
          <w:rFonts w:ascii="Palatino Linotype" w:hAnsi="Palatino Linotype" w:cs="Arial"/>
        </w:rPr>
        <w:t xml:space="preserve"> (</w:t>
      </w:r>
      <w:r w:rsidR="003A668E" w:rsidRPr="00780B2B">
        <w:rPr>
          <w:rFonts w:ascii="Palatino Linotype" w:hAnsi="Palatino Linotype" w:cs="Arial"/>
        </w:rPr>
        <w:t>0</w:t>
      </w:r>
      <w:r w:rsidR="00701315" w:rsidRPr="00780B2B">
        <w:rPr>
          <w:rFonts w:ascii="Palatino Linotype" w:hAnsi="Palatino Linotype" w:cs="Arial"/>
        </w:rPr>
        <w:t xml:space="preserve">3) </w:t>
      </w:r>
      <w:r w:rsidR="00E55966" w:rsidRPr="00780B2B">
        <w:rPr>
          <w:rFonts w:ascii="Palatino Linotype" w:hAnsi="Palatino Linotype" w:cs="Arial"/>
        </w:rPr>
        <w:t xml:space="preserve">al </w:t>
      </w:r>
      <w:r w:rsidR="003A668E" w:rsidRPr="00780B2B">
        <w:rPr>
          <w:rFonts w:ascii="Palatino Linotype" w:hAnsi="Palatino Linotype" w:cs="Arial"/>
        </w:rPr>
        <w:t>veinti</w:t>
      </w:r>
      <w:r w:rsidR="00701315" w:rsidRPr="00780B2B">
        <w:rPr>
          <w:rFonts w:ascii="Palatino Linotype" w:hAnsi="Palatino Linotype" w:cs="Arial"/>
        </w:rPr>
        <w:t>cuatro</w:t>
      </w:r>
      <w:r w:rsidR="009F09BC" w:rsidRPr="00780B2B">
        <w:rPr>
          <w:rFonts w:ascii="Palatino Linotype" w:hAnsi="Palatino Linotype" w:cs="Arial"/>
        </w:rPr>
        <w:t xml:space="preserve"> (</w:t>
      </w:r>
      <w:r w:rsidR="003A668E" w:rsidRPr="00780B2B">
        <w:rPr>
          <w:rFonts w:ascii="Palatino Linotype" w:hAnsi="Palatino Linotype" w:cs="Arial"/>
        </w:rPr>
        <w:t>2</w:t>
      </w:r>
      <w:r w:rsidR="00701315" w:rsidRPr="00780B2B">
        <w:rPr>
          <w:rFonts w:ascii="Palatino Linotype" w:hAnsi="Palatino Linotype" w:cs="Arial"/>
        </w:rPr>
        <w:t>4</w:t>
      </w:r>
      <w:r w:rsidR="009F09BC" w:rsidRPr="00780B2B">
        <w:rPr>
          <w:rFonts w:ascii="Palatino Linotype" w:hAnsi="Palatino Linotype" w:cs="Arial"/>
        </w:rPr>
        <w:t>)</w:t>
      </w:r>
      <w:r w:rsidR="0001674C" w:rsidRPr="00780B2B">
        <w:rPr>
          <w:rFonts w:ascii="Palatino Linotype" w:hAnsi="Palatino Linotype" w:cs="Arial"/>
        </w:rPr>
        <w:t xml:space="preserve"> de </w:t>
      </w:r>
      <w:r w:rsidR="00701315" w:rsidRPr="00780B2B">
        <w:rPr>
          <w:rFonts w:ascii="Palatino Linotype" w:hAnsi="Palatino Linotype" w:cs="Arial"/>
        </w:rPr>
        <w:t>noviembre</w:t>
      </w:r>
      <w:r w:rsidR="0001674C" w:rsidRPr="00780B2B">
        <w:rPr>
          <w:rFonts w:ascii="Palatino Linotype" w:hAnsi="Palatino Linotype" w:cs="Arial"/>
        </w:rPr>
        <w:t xml:space="preserve"> de dos mil </w:t>
      </w:r>
      <w:r w:rsidR="00425842" w:rsidRPr="00780B2B">
        <w:rPr>
          <w:rFonts w:ascii="Palatino Linotype" w:hAnsi="Palatino Linotype" w:cs="Arial"/>
        </w:rPr>
        <w:t>veintidós</w:t>
      </w:r>
      <w:r w:rsidR="0001674C" w:rsidRPr="00780B2B">
        <w:rPr>
          <w:rFonts w:ascii="Palatino Linotype" w:hAnsi="Palatino Linotype" w:cs="Arial"/>
        </w:rPr>
        <w:t>; e</w:t>
      </w:r>
      <w:r w:rsidR="009F09BC" w:rsidRPr="00780B2B">
        <w:rPr>
          <w:rFonts w:ascii="Palatino Linotype" w:hAnsi="Palatino Linotype" w:cs="Arial"/>
        </w:rPr>
        <w:t xml:space="preserve">n consecuencia, </w:t>
      </w:r>
      <w:r w:rsidR="00BD475D" w:rsidRPr="00780B2B">
        <w:rPr>
          <w:rFonts w:ascii="Palatino Linotype" w:hAnsi="Palatino Linotype" w:cs="Arial"/>
        </w:rPr>
        <w:t>e</w:t>
      </w:r>
      <w:r w:rsidR="009F09BC" w:rsidRPr="00780B2B">
        <w:rPr>
          <w:rFonts w:ascii="Palatino Linotype" w:hAnsi="Palatino Linotype" w:cs="Arial"/>
        </w:rPr>
        <w:t xml:space="preserve">l ahora </w:t>
      </w:r>
      <w:r w:rsidR="009F09BC" w:rsidRPr="00780B2B">
        <w:rPr>
          <w:rFonts w:ascii="Palatino Linotype" w:hAnsi="Palatino Linotype" w:cs="Arial"/>
          <w:b/>
        </w:rPr>
        <w:t>RECURRENTE</w:t>
      </w:r>
      <w:r w:rsidR="009F09BC" w:rsidRPr="00780B2B">
        <w:rPr>
          <w:rFonts w:ascii="Palatino Linotype" w:hAnsi="Palatino Linotype" w:cs="Arial"/>
        </w:rPr>
        <w:t xml:space="preserve"> presentó </w:t>
      </w:r>
      <w:r w:rsidR="00CA1063" w:rsidRPr="00780B2B">
        <w:rPr>
          <w:rFonts w:ascii="Palatino Linotype" w:hAnsi="Palatino Linotype" w:cs="Arial"/>
        </w:rPr>
        <w:t>su</w:t>
      </w:r>
      <w:r w:rsidRPr="00780B2B">
        <w:rPr>
          <w:rFonts w:ascii="Palatino Linotype" w:hAnsi="Palatino Linotype" w:cs="Arial"/>
        </w:rPr>
        <w:t>s</w:t>
      </w:r>
      <w:r w:rsidR="00CA1063" w:rsidRPr="00780B2B">
        <w:rPr>
          <w:rFonts w:ascii="Palatino Linotype" w:hAnsi="Palatino Linotype" w:cs="Arial"/>
        </w:rPr>
        <w:t xml:space="preserve"> inconformidad</w:t>
      </w:r>
      <w:r w:rsidRPr="00780B2B">
        <w:rPr>
          <w:rFonts w:ascii="Palatino Linotype" w:hAnsi="Palatino Linotype" w:cs="Arial"/>
        </w:rPr>
        <w:t>es</w:t>
      </w:r>
      <w:r w:rsidR="00CA1063" w:rsidRPr="00780B2B">
        <w:rPr>
          <w:rFonts w:ascii="Palatino Linotype" w:hAnsi="Palatino Linotype" w:cs="Arial"/>
        </w:rPr>
        <w:t xml:space="preserve"> el día </w:t>
      </w:r>
      <w:r w:rsidR="00701315" w:rsidRPr="00780B2B">
        <w:rPr>
          <w:rFonts w:ascii="Palatino Linotype" w:hAnsi="Palatino Linotype" w:cs="Arial"/>
        </w:rPr>
        <w:t>tres</w:t>
      </w:r>
      <w:r w:rsidR="0082142B" w:rsidRPr="00780B2B">
        <w:rPr>
          <w:rFonts w:ascii="Palatino Linotype" w:hAnsi="Palatino Linotype" w:cs="Arial"/>
        </w:rPr>
        <w:t xml:space="preserve"> </w:t>
      </w:r>
      <w:r w:rsidR="009F09BC" w:rsidRPr="00780B2B">
        <w:rPr>
          <w:rFonts w:ascii="Palatino Linotype" w:hAnsi="Palatino Linotype" w:cs="Arial"/>
        </w:rPr>
        <w:t>(</w:t>
      </w:r>
      <w:r w:rsidR="003A668E" w:rsidRPr="00780B2B">
        <w:rPr>
          <w:rFonts w:ascii="Palatino Linotype" w:hAnsi="Palatino Linotype" w:cs="Arial"/>
        </w:rPr>
        <w:t>0</w:t>
      </w:r>
      <w:r w:rsidR="00701315" w:rsidRPr="00780B2B">
        <w:rPr>
          <w:rFonts w:ascii="Palatino Linotype" w:hAnsi="Palatino Linotype" w:cs="Arial"/>
        </w:rPr>
        <w:t>3</w:t>
      </w:r>
      <w:r w:rsidR="009F09BC" w:rsidRPr="00780B2B">
        <w:rPr>
          <w:rFonts w:ascii="Palatino Linotype" w:hAnsi="Palatino Linotype" w:cs="Arial"/>
        </w:rPr>
        <w:t xml:space="preserve">) de </w:t>
      </w:r>
      <w:r w:rsidR="00701315" w:rsidRPr="00780B2B">
        <w:rPr>
          <w:rFonts w:ascii="Palatino Linotype" w:hAnsi="Palatino Linotype" w:cs="Arial"/>
        </w:rPr>
        <w:t>noviembre</w:t>
      </w:r>
      <w:r w:rsidR="007142D6" w:rsidRPr="00780B2B">
        <w:rPr>
          <w:rFonts w:ascii="Palatino Linotype" w:hAnsi="Palatino Linotype" w:cs="Arial"/>
        </w:rPr>
        <w:t xml:space="preserve"> de dos mil veintidós</w:t>
      </w:r>
      <w:r w:rsidR="009F09BC" w:rsidRPr="00780B2B">
        <w:rPr>
          <w:rFonts w:ascii="Palatino Linotype" w:hAnsi="Palatino Linotype" w:cs="Arial"/>
        </w:rPr>
        <w:t xml:space="preserve">; </w:t>
      </w:r>
      <w:r w:rsidR="0062406B" w:rsidRPr="00780B2B">
        <w:rPr>
          <w:rFonts w:ascii="Palatino Linotype" w:hAnsi="Palatino Linotype" w:cs="Arial"/>
        </w:rPr>
        <w:t xml:space="preserve">es decir </w:t>
      </w:r>
      <w:r w:rsidR="0082142B" w:rsidRPr="00780B2B">
        <w:rPr>
          <w:rFonts w:ascii="Palatino Linotype" w:hAnsi="Palatino Linotype" w:cs="Arial"/>
        </w:rPr>
        <w:t>dentro d</w:t>
      </w:r>
      <w:r w:rsidR="009F09BC" w:rsidRPr="00780B2B">
        <w:rPr>
          <w:rFonts w:ascii="Palatino Linotype" w:hAnsi="Palatino Linotype" w:cs="Arial"/>
        </w:rPr>
        <w:t>el lapso legalmente establecido para tal efecto.</w:t>
      </w:r>
    </w:p>
    <w:p w:rsidR="0062406B" w:rsidRPr="00780B2B" w:rsidRDefault="0062406B" w:rsidP="0062406B">
      <w:pPr>
        <w:pStyle w:val="Prrafodelista"/>
        <w:spacing w:line="360" w:lineRule="auto"/>
        <w:ind w:left="0"/>
        <w:jc w:val="both"/>
        <w:rPr>
          <w:rFonts w:ascii="Palatino Linotype" w:hAnsi="Palatino Linotype"/>
        </w:rPr>
      </w:pPr>
    </w:p>
    <w:p w:rsidR="00456048" w:rsidRPr="00780B2B" w:rsidRDefault="00456048"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hAnsi="Palatino Linotype"/>
        </w:rPr>
        <w:lastRenderedPageBreak/>
        <w:t xml:space="preserve">Por otro lado, de la revisión al expediente electrónico del SAIMEX se desprende que la </w:t>
      </w:r>
      <w:r w:rsidRPr="00780B2B">
        <w:rPr>
          <w:rFonts w:ascii="Palatino Linotype" w:eastAsia="Calibri" w:hAnsi="Palatino Linotype" w:cs="Arial"/>
        </w:rPr>
        <w:t>parte</w:t>
      </w:r>
      <w:r w:rsidRPr="00780B2B">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56048" w:rsidRPr="00780B2B" w:rsidRDefault="00456048" w:rsidP="00BD475D">
      <w:pPr>
        <w:rPr>
          <w:rFonts w:ascii="Palatino Linotype" w:hAnsi="Palatino Linotype"/>
        </w:rPr>
      </w:pPr>
    </w:p>
    <w:p w:rsidR="00456048" w:rsidRPr="00780B2B" w:rsidRDefault="00456048"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56048" w:rsidRPr="00780B2B" w:rsidRDefault="00456048" w:rsidP="00456048">
      <w:pPr>
        <w:pStyle w:val="Prrafodelista"/>
        <w:rPr>
          <w:rFonts w:ascii="Palatino Linotype" w:hAnsi="Palatino Linotype"/>
        </w:rPr>
      </w:pPr>
    </w:p>
    <w:p w:rsidR="00456048" w:rsidRPr="00780B2B" w:rsidRDefault="00456048"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w:t>
      </w:r>
      <w:r w:rsidRPr="00780B2B">
        <w:rPr>
          <w:rFonts w:ascii="Palatino Linotype" w:hAnsi="Palatino Linotype"/>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56048" w:rsidRPr="00780B2B" w:rsidRDefault="00456048" w:rsidP="00456048">
      <w:pPr>
        <w:pStyle w:val="Prrafodelista"/>
        <w:rPr>
          <w:rFonts w:ascii="Palatino Linotype" w:hAnsi="Palatino Linotype"/>
        </w:rPr>
      </w:pPr>
    </w:p>
    <w:p w:rsidR="00456048" w:rsidRPr="00780B2B" w:rsidRDefault="00456048"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56048" w:rsidRPr="00780B2B" w:rsidRDefault="00456048" w:rsidP="00456048">
      <w:pPr>
        <w:pStyle w:val="Prrafodelista"/>
        <w:rPr>
          <w:rFonts w:ascii="Palatino Linotype" w:hAnsi="Palatino Linotype"/>
        </w:rPr>
      </w:pPr>
    </w:p>
    <w:p w:rsidR="00456048" w:rsidRPr="00780B2B" w:rsidRDefault="00456048"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hAnsi="Palatino Linotype"/>
        </w:rPr>
        <w:t xml:space="preserve">Por lo que el nombre del solicitando y recurrente no puede ser considerado un requisito indispensable de </w:t>
      </w:r>
      <w:proofErr w:type="spellStart"/>
      <w:r w:rsidRPr="00780B2B">
        <w:rPr>
          <w:rFonts w:ascii="Palatino Linotype" w:hAnsi="Palatino Linotype"/>
        </w:rPr>
        <w:t>procedibilidad</w:t>
      </w:r>
      <w:proofErr w:type="spellEnd"/>
      <w:r w:rsidRPr="00780B2B">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proofErr w:type="spellStart"/>
      <w:r w:rsidRPr="00780B2B">
        <w:rPr>
          <w:rFonts w:ascii="Palatino Linotype" w:hAnsi="Palatino Linotype"/>
        </w:rPr>
        <w:t>Resolutor</w:t>
      </w:r>
      <w:proofErr w:type="spellEnd"/>
      <w:r w:rsidRPr="00780B2B">
        <w:rPr>
          <w:rFonts w:ascii="Palatino Linotype" w:hAnsi="Palatino Linotype"/>
        </w:rPr>
        <w:t>.</w:t>
      </w:r>
    </w:p>
    <w:p w:rsidR="00456048" w:rsidRPr="00780B2B" w:rsidRDefault="00456048" w:rsidP="00456048">
      <w:pPr>
        <w:pStyle w:val="Prrafodelista"/>
        <w:rPr>
          <w:rFonts w:ascii="Palatino Linotype" w:eastAsia="Calibri" w:hAnsi="Palatino Linotype" w:cs="Arial"/>
        </w:rPr>
      </w:pPr>
    </w:p>
    <w:p w:rsidR="009F09BC" w:rsidRPr="00780B2B" w:rsidRDefault="009F09BC" w:rsidP="00C85059">
      <w:pPr>
        <w:pStyle w:val="Prrafodelista"/>
        <w:numPr>
          <w:ilvl w:val="0"/>
          <w:numId w:val="1"/>
        </w:numPr>
        <w:spacing w:line="360" w:lineRule="auto"/>
        <w:ind w:left="0" w:firstLine="0"/>
        <w:jc w:val="both"/>
        <w:rPr>
          <w:rFonts w:ascii="Palatino Linotype" w:hAnsi="Palatino Linotype"/>
        </w:rPr>
      </w:pPr>
      <w:r w:rsidRPr="00780B2B">
        <w:rPr>
          <w:rFonts w:ascii="Palatino Linotype" w:eastAsia="Calibri" w:hAnsi="Palatino Linotype" w:cs="Arial"/>
        </w:rPr>
        <w:t xml:space="preserve">Asimismo, </w:t>
      </w:r>
      <w:r w:rsidR="00CF0D2B" w:rsidRPr="00780B2B">
        <w:rPr>
          <w:rFonts w:ascii="Palatino Linotype" w:eastAsia="Calibri" w:hAnsi="Palatino Linotype" w:cs="Arial"/>
        </w:rPr>
        <w:t>e</w:t>
      </w:r>
      <w:r w:rsidRPr="00780B2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780B2B" w:rsidRDefault="00CF0D2B" w:rsidP="007142AB">
      <w:pPr>
        <w:rPr>
          <w:rFonts w:ascii="Palatino Linotype" w:hAnsi="Palatino Linotype"/>
        </w:rPr>
      </w:pPr>
    </w:p>
    <w:p w:rsidR="009F09BC" w:rsidRPr="00780B2B" w:rsidRDefault="00FF73DB" w:rsidP="00CF0D2B">
      <w:pPr>
        <w:pStyle w:val="Ttulo1"/>
        <w:spacing w:before="0" w:line="360" w:lineRule="auto"/>
        <w:rPr>
          <w:rFonts w:ascii="Palatino Linotype" w:hAnsi="Palatino Linotype"/>
          <w:b/>
          <w:color w:val="000000" w:themeColor="text1"/>
          <w:sz w:val="24"/>
          <w:szCs w:val="24"/>
        </w:rPr>
      </w:pPr>
      <w:bookmarkStart w:id="140" w:name="_Toc87274189"/>
      <w:r w:rsidRPr="00780B2B">
        <w:rPr>
          <w:rFonts w:ascii="Palatino Linotype" w:hAnsi="Palatino Linotype" w:cs="Arial"/>
          <w:b/>
          <w:color w:val="000000" w:themeColor="text1"/>
          <w:sz w:val="24"/>
        </w:rPr>
        <w:t xml:space="preserve">TERCERO. </w:t>
      </w:r>
      <w:bookmarkStart w:id="141" w:name="_Toc34246179"/>
      <w:bookmarkStart w:id="142" w:name="_Toc50033991"/>
      <w:bookmarkStart w:id="143" w:name="_Toc51259588"/>
      <w:bookmarkStart w:id="144" w:name="_Toc83128581"/>
      <w:bookmarkStart w:id="145" w:name="_Toc501021589"/>
      <w:bookmarkEnd w:id="140"/>
      <w:r w:rsidR="009F09BC" w:rsidRPr="00780B2B">
        <w:rPr>
          <w:rFonts w:ascii="Palatino Linotype" w:hAnsi="Palatino Linotype"/>
          <w:b/>
          <w:color w:val="000000" w:themeColor="text1"/>
          <w:sz w:val="24"/>
          <w:szCs w:val="24"/>
        </w:rPr>
        <w:t>De</w:t>
      </w:r>
      <w:r w:rsidRPr="00780B2B">
        <w:rPr>
          <w:rFonts w:ascii="Palatino Linotype" w:hAnsi="Palatino Linotype"/>
          <w:b/>
          <w:color w:val="000000" w:themeColor="text1"/>
          <w:sz w:val="24"/>
          <w:szCs w:val="24"/>
        </w:rPr>
        <w:t xml:space="preserve">l planteamiento de la </w:t>
      </w:r>
      <w:r w:rsidRPr="00780B2B">
        <w:rPr>
          <w:rFonts w:ascii="Palatino Linotype" w:hAnsi="Palatino Linotype"/>
          <w:b/>
          <w:i/>
          <w:color w:val="000000" w:themeColor="text1"/>
          <w:sz w:val="24"/>
          <w:szCs w:val="24"/>
        </w:rPr>
        <w:t>Litis</w:t>
      </w:r>
      <w:r w:rsidR="009F09BC" w:rsidRPr="00780B2B">
        <w:rPr>
          <w:rFonts w:ascii="Palatino Linotype" w:hAnsi="Palatino Linotype"/>
          <w:b/>
          <w:color w:val="000000" w:themeColor="text1"/>
          <w:sz w:val="24"/>
          <w:szCs w:val="24"/>
        </w:rPr>
        <w:t>.</w:t>
      </w:r>
      <w:bookmarkEnd w:id="141"/>
      <w:bookmarkEnd w:id="142"/>
      <w:bookmarkEnd w:id="143"/>
      <w:bookmarkEnd w:id="144"/>
      <w:bookmarkEnd w:id="145"/>
    </w:p>
    <w:p w:rsidR="009F09BC" w:rsidRPr="00780B2B" w:rsidRDefault="009F09BC" w:rsidP="009F09BC">
      <w:pPr>
        <w:rPr>
          <w:rFonts w:ascii="Palatino Linotype" w:hAnsi="Palatino Linotype"/>
          <w:lang w:val="es-MX" w:eastAsia="en-US"/>
        </w:rPr>
      </w:pPr>
    </w:p>
    <w:p w:rsidR="009F09BC" w:rsidRPr="00780B2B" w:rsidRDefault="009F09BC" w:rsidP="00EF0A0B">
      <w:pPr>
        <w:pStyle w:val="Prrafodelista"/>
        <w:numPr>
          <w:ilvl w:val="0"/>
          <w:numId w:val="1"/>
        </w:numPr>
        <w:spacing w:line="360" w:lineRule="auto"/>
        <w:ind w:left="0" w:firstLine="0"/>
        <w:jc w:val="both"/>
        <w:rPr>
          <w:rFonts w:ascii="Palatino Linotype" w:hAnsi="Palatino Linotype" w:cs="Arial"/>
        </w:rPr>
      </w:pPr>
      <w:r w:rsidRPr="00780B2B">
        <w:rPr>
          <w:rFonts w:ascii="Palatino Linotype" w:hAnsi="Palatino Linotype" w:cs="Arial"/>
        </w:rPr>
        <w:lastRenderedPageBreak/>
        <w:t xml:space="preserve">Se </w:t>
      </w:r>
      <w:r w:rsidRPr="00780B2B">
        <w:rPr>
          <w:rFonts w:ascii="Palatino Linotype" w:eastAsia="Calibri" w:hAnsi="Palatino Linotype" w:cs="Arial"/>
        </w:rPr>
        <w:t>solicitó</w:t>
      </w:r>
      <w:r w:rsidRPr="00780B2B">
        <w:rPr>
          <w:rFonts w:ascii="Palatino Linotype" w:hAnsi="Palatino Linotype" w:cs="Arial"/>
        </w:rPr>
        <w:t xml:space="preserve"> </w:t>
      </w:r>
      <w:r w:rsidR="00AD63B4" w:rsidRPr="00780B2B">
        <w:rPr>
          <w:rFonts w:ascii="Palatino Linotype" w:hAnsi="Palatino Linotype" w:cs="Arial"/>
        </w:rPr>
        <w:t xml:space="preserve">tener acceso, a la </w:t>
      </w:r>
      <w:r w:rsidRPr="00780B2B">
        <w:rPr>
          <w:rFonts w:ascii="Palatino Linotype" w:hAnsi="Palatino Linotype" w:cs="Arial"/>
        </w:rPr>
        <w:t>información que</w:t>
      </w:r>
      <w:r w:rsidR="00E55966" w:rsidRPr="00780B2B">
        <w:rPr>
          <w:rFonts w:ascii="Palatino Linotype" w:hAnsi="Palatino Linotype" w:cs="Arial"/>
        </w:rPr>
        <w:t xml:space="preserve"> se ha tenido a bien transcribir en el párrafo 1 de la presente resolución, a la que el </w:t>
      </w:r>
      <w:r w:rsidR="00E55966" w:rsidRPr="00780B2B">
        <w:rPr>
          <w:rFonts w:ascii="Palatino Linotype" w:hAnsi="Palatino Linotype" w:cs="Arial"/>
          <w:b/>
        </w:rPr>
        <w:t>SUJETO OBLIGADO</w:t>
      </w:r>
      <w:r w:rsidR="00E55966" w:rsidRPr="00780B2B">
        <w:rPr>
          <w:rFonts w:ascii="Palatino Linotype" w:hAnsi="Palatino Linotype" w:cs="Arial"/>
        </w:rPr>
        <w:t xml:space="preserve"> dio contestación </w:t>
      </w:r>
      <w:r w:rsidR="00701315" w:rsidRPr="00780B2B">
        <w:rPr>
          <w:rFonts w:ascii="Palatino Linotype" w:hAnsi="Palatino Linotype" w:cs="Arial"/>
        </w:rPr>
        <w:t xml:space="preserve">refiriendo que el sueldo de la titular del Sistema Municipal Para el Desarrollo Integral de la Familia de la Paz, es honorario, que respecto a la información requerida de administraciones pasadas, ya no se poseía en </w:t>
      </w:r>
      <w:r w:rsidR="00EF0A0B" w:rsidRPr="00780B2B">
        <w:rPr>
          <w:rFonts w:ascii="Palatino Linotype" w:hAnsi="Palatino Linotype" w:cs="Arial"/>
        </w:rPr>
        <w:t>razón</w:t>
      </w:r>
      <w:r w:rsidR="00701315" w:rsidRPr="00780B2B">
        <w:rPr>
          <w:rFonts w:ascii="Palatino Linotype" w:hAnsi="Palatino Linotype" w:cs="Arial"/>
        </w:rPr>
        <w:t xml:space="preserve"> de su antigüedad y que el listado de servidores públicos podía ser visualizado en su portal de transparencia, en el sistema IPOMEX</w:t>
      </w:r>
      <w:r w:rsidR="00B04B63" w:rsidRPr="00780B2B">
        <w:rPr>
          <w:rFonts w:ascii="Palatino Linotype" w:hAnsi="Palatino Linotype" w:cs="Arial"/>
        </w:rPr>
        <w:t xml:space="preserve">, </w:t>
      </w:r>
      <w:r w:rsidR="00A02E71" w:rsidRPr="00780B2B">
        <w:rPr>
          <w:rFonts w:ascii="Palatino Linotype" w:hAnsi="Palatino Linotype" w:cs="Arial"/>
        </w:rPr>
        <w:t xml:space="preserve">inconforme con la respuesta </w:t>
      </w:r>
      <w:r w:rsidR="002B59F0" w:rsidRPr="00780B2B">
        <w:rPr>
          <w:rFonts w:ascii="Palatino Linotype" w:hAnsi="Palatino Linotype" w:cs="Arial"/>
          <w:b/>
        </w:rPr>
        <w:t>EL PARTICULAR</w:t>
      </w:r>
      <w:r w:rsidRPr="00780B2B">
        <w:rPr>
          <w:rFonts w:ascii="Palatino Linotype" w:hAnsi="Palatino Linotype" w:cs="Arial"/>
        </w:rPr>
        <w:t xml:space="preserve">, expuso </w:t>
      </w:r>
      <w:r w:rsidR="00CF0D2B" w:rsidRPr="00780B2B">
        <w:rPr>
          <w:rFonts w:ascii="Palatino Linotype" w:hAnsi="Palatino Linotype" w:cs="Arial"/>
          <w:i/>
        </w:rPr>
        <w:t>grosso modo</w:t>
      </w:r>
      <w:r w:rsidR="00CF0D2B" w:rsidRPr="00780B2B">
        <w:rPr>
          <w:rFonts w:ascii="Palatino Linotype" w:hAnsi="Palatino Linotype" w:cs="Arial"/>
        </w:rPr>
        <w:t xml:space="preserve"> </w:t>
      </w:r>
      <w:r w:rsidRPr="00780B2B">
        <w:rPr>
          <w:rFonts w:ascii="Palatino Linotype" w:hAnsi="Palatino Linotype" w:cs="Arial"/>
        </w:rPr>
        <w:t xml:space="preserve">su </w:t>
      </w:r>
      <w:r w:rsidR="00403D64" w:rsidRPr="00780B2B">
        <w:rPr>
          <w:rFonts w:ascii="Palatino Linotype" w:hAnsi="Palatino Linotype" w:cs="Arial"/>
        </w:rPr>
        <w:t xml:space="preserve">inconformidad </w:t>
      </w:r>
      <w:r w:rsidR="009D0241" w:rsidRPr="00780B2B">
        <w:rPr>
          <w:rFonts w:ascii="Palatino Linotype" w:hAnsi="Palatino Linotype" w:cs="Arial"/>
        </w:rPr>
        <w:t xml:space="preserve">por </w:t>
      </w:r>
      <w:r w:rsidR="00EF0A0B" w:rsidRPr="00780B2B">
        <w:rPr>
          <w:rFonts w:ascii="Palatino Linotype" w:hAnsi="Palatino Linotype" w:cs="Arial"/>
        </w:rPr>
        <w:t>l</w:t>
      </w:r>
      <w:r w:rsidR="00BD475D" w:rsidRPr="00780B2B">
        <w:rPr>
          <w:rFonts w:ascii="Palatino Linotype" w:hAnsi="Palatino Linotype" w:cs="Arial"/>
        </w:rPr>
        <w:t>a negativa del ente obligado de proporcionar la información solicitada</w:t>
      </w:r>
      <w:r w:rsidR="00403D64" w:rsidRPr="00780B2B">
        <w:rPr>
          <w:rFonts w:ascii="Palatino Linotype" w:hAnsi="Palatino Linotype" w:cs="Arial"/>
        </w:rPr>
        <w:t>.</w:t>
      </w:r>
    </w:p>
    <w:p w:rsidR="0074110E" w:rsidRPr="00780B2B" w:rsidRDefault="0074110E" w:rsidP="0074110E">
      <w:pPr>
        <w:spacing w:line="360" w:lineRule="auto"/>
        <w:contextualSpacing/>
        <w:jc w:val="both"/>
        <w:rPr>
          <w:rFonts w:ascii="Palatino Linotype" w:hAnsi="Palatino Linotype" w:cs="Arial"/>
        </w:rPr>
      </w:pPr>
    </w:p>
    <w:p w:rsidR="009F09BC" w:rsidRPr="00780B2B" w:rsidRDefault="009F09BC" w:rsidP="003C6804">
      <w:pPr>
        <w:pStyle w:val="Prrafodelista"/>
        <w:numPr>
          <w:ilvl w:val="0"/>
          <w:numId w:val="1"/>
        </w:numPr>
        <w:spacing w:line="360" w:lineRule="auto"/>
        <w:ind w:left="0" w:firstLine="0"/>
        <w:jc w:val="both"/>
        <w:rPr>
          <w:rFonts w:ascii="Palatino Linotype" w:eastAsia="MS Mincho" w:hAnsi="Palatino Linotype" w:cs="Arial"/>
        </w:rPr>
      </w:pPr>
      <w:r w:rsidRPr="00780B2B">
        <w:rPr>
          <w:rFonts w:ascii="Palatino Linotype" w:eastAsia="MS Mincho" w:hAnsi="Palatino Linotype" w:cs="Arial"/>
        </w:rPr>
        <w:t xml:space="preserve">En </w:t>
      </w:r>
      <w:r w:rsidRPr="00780B2B">
        <w:rPr>
          <w:rFonts w:ascii="Palatino Linotype" w:hAnsi="Palatino Linotype" w:cs="Arial"/>
          <w:lang w:eastAsia="es-MX"/>
        </w:rPr>
        <w:t>dichas</w:t>
      </w:r>
      <w:r w:rsidRPr="00780B2B">
        <w:rPr>
          <w:rFonts w:ascii="Palatino Linotype" w:eastAsia="Times New Roman" w:hAnsi="Palatino Linotype" w:cs="Arial"/>
        </w:rPr>
        <w:t xml:space="preserve"> condiciones, la </w:t>
      </w:r>
      <w:r w:rsidRPr="00780B2B">
        <w:rPr>
          <w:rFonts w:ascii="Palatino Linotype" w:eastAsia="Times New Roman" w:hAnsi="Palatino Linotype" w:cs="Arial"/>
          <w:i/>
        </w:rPr>
        <w:t>Litis</w:t>
      </w:r>
      <w:r w:rsidRPr="00780B2B">
        <w:rPr>
          <w:rFonts w:ascii="Palatino Linotype" w:eastAsia="Times New Roman" w:hAnsi="Palatino Linotype" w:cs="Arial"/>
        </w:rPr>
        <w:t xml:space="preserve"> a resolver en este recurso se circunscribe a determinar si </w:t>
      </w:r>
      <w:r w:rsidR="007142AB" w:rsidRPr="00780B2B">
        <w:rPr>
          <w:rFonts w:ascii="Palatino Linotype" w:eastAsia="MS Mincho" w:hAnsi="Palatino Linotype" w:cs="Arial"/>
        </w:rPr>
        <w:t>se actualiza</w:t>
      </w:r>
      <w:r w:rsidRPr="00780B2B">
        <w:rPr>
          <w:rFonts w:ascii="Palatino Linotype" w:eastAsia="MS Mincho" w:hAnsi="Palatino Linotype" w:cs="Arial"/>
        </w:rPr>
        <w:t xml:space="preserve"> la causal de procedencia prevista en el artículo 179, </w:t>
      </w:r>
      <w:r w:rsidRPr="00780B2B">
        <w:rPr>
          <w:rFonts w:ascii="Palatino Linotype" w:eastAsia="MS Mincho" w:hAnsi="Palatino Linotype" w:cs="Arial"/>
          <w:b/>
        </w:rPr>
        <w:t xml:space="preserve">fracción </w:t>
      </w:r>
      <w:r w:rsidR="00A02E71" w:rsidRPr="00780B2B">
        <w:rPr>
          <w:rFonts w:ascii="Palatino Linotype" w:eastAsia="MS Mincho" w:hAnsi="Palatino Linotype" w:cs="Arial"/>
          <w:b/>
        </w:rPr>
        <w:t>I</w:t>
      </w:r>
      <w:r w:rsidRPr="00780B2B">
        <w:rPr>
          <w:rFonts w:ascii="Palatino Linotype" w:eastAsia="MS Mincho" w:hAnsi="Palatino Linotype" w:cs="Arial"/>
        </w:rPr>
        <w:t xml:space="preserve"> de la </w:t>
      </w:r>
      <w:r w:rsidRPr="00780B2B">
        <w:rPr>
          <w:rFonts w:ascii="Palatino Linotype" w:eastAsia="MS Mincho" w:hAnsi="Palatino Linotype" w:cs="Arial"/>
          <w:b/>
        </w:rPr>
        <w:t>Ley de Transparencia y Acceso a la Información Pública del Estado de México y Municipios</w:t>
      </w:r>
      <w:r w:rsidRPr="00780B2B">
        <w:rPr>
          <w:rFonts w:ascii="Palatino Linotype" w:eastAsia="MS Mincho" w:hAnsi="Palatino Linotype" w:cs="Arial"/>
        </w:rPr>
        <w:t xml:space="preserve">; </w:t>
      </w:r>
      <w:r w:rsidRPr="00780B2B">
        <w:rPr>
          <w:rFonts w:ascii="Palatino Linotype" w:eastAsia="Times New Roman" w:hAnsi="Palatino Linotype" w:cs="Arial"/>
          <w:color w:val="000000" w:themeColor="text1"/>
          <w:lang w:val="es-ES" w:eastAsia="es-MX"/>
        </w:rPr>
        <w:t xml:space="preserve">fracción que determina </w:t>
      </w:r>
      <w:r w:rsidR="005B6702" w:rsidRPr="00780B2B">
        <w:rPr>
          <w:rFonts w:ascii="Palatino Linotype" w:eastAsia="Times New Roman" w:hAnsi="Palatino Linotype" w:cs="Arial"/>
          <w:color w:val="000000" w:themeColor="text1"/>
          <w:lang w:val="es-ES" w:eastAsia="es-MX"/>
        </w:rPr>
        <w:t>la hipótesis jurídica</w:t>
      </w:r>
      <w:r w:rsidRPr="00780B2B">
        <w:rPr>
          <w:rFonts w:ascii="Palatino Linotype" w:eastAsia="Times New Roman" w:hAnsi="Palatino Linotype" w:cs="Arial"/>
          <w:color w:val="000000" w:themeColor="text1"/>
          <w:lang w:val="es-ES" w:eastAsia="es-MX"/>
        </w:rPr>
        <w:t xml:space="preserve"> relativa </w:t>
      </w:r>
      <w:r w:rsidR="005B6702" w:rsidRPr="00780B2B">
        <w:rPr>
          <w:rFonts w:ascii="Palatino Linotype" w:eastAsia="Times New Roman" w:hAnsi="Palatino Linotype" w:cs="Arial"/>
          <w:color w:val="000000" w:themeColor="text1"/>
          <w:lang w:val="es-ES" w:eastAsia="es-MX"/>
        </w:rPr>
        <w:t xml:space="preserve">a </w:t>
      </w:r>
      <w:r w:rsidR="003C6804" w:rsidRPr="00780B2B">
        <w:rPr>
          <w:rFonts w:ascii="Palatino Linotype" w:eastAsia="Times New Roman" w:hAnsi="Palatino Linotype" w:cs="Arial"/>
          <w:color w:val="000000" w:themeColor="text1"/>
          <w:lang w:val="es-ES" w:eastAsia="es-MX"/>
        </w:rPr>
        <w:t>la negativa a la información solicitada</w:t>
      </w:r>
      <w:r w:rsidRPr="00780B2B">
        <w:rPr>
          <w:rFonts w:ascii="Palatino Linotype" w:eastAsia="Times New Roman" w:hAnsi="Palatino Linotype" w:cs="Arial"/>
          <w:color w:val="000000" w:themeColor="text1"/>
          <w:lang w:val="es-ES" w:eastAsia="es-MX"/>
        </w:rPr>
        <w:t xml:space="preserve">; </w:t>
      </w:r>
      <w:r w:rsidRPr="00780B2B">
        <w:rPr>
          <w:rFonts w:ascii="Palatino Linotype" w:eastAsia="MS Mincho" w:hAnsi="Palatino Linotype" w:cs="Arial"/>
        </w:rPr>
        <w:t xml:space="preserve">contexto del cual se dolió </w:t>
      </w:r>
      <w:r w:rsidR="00FF73DB" w:rsidRPr="00780B2B">
        <w:rPr>
          <w:rFonts w:ascii="Palatino Linotype" w:eastAsia="MS Mincho" w:hAnsi="Palatino Linotype" w:cs="Arial"/>
          <w:b/>
        </w:rPr>
        <w:t>EL RECURRENTE</w:t>
      </w:r>
      <w:r w:rsidRPr="00780B2B">
        <w:rPr>
          <w:rFonts w:ascii="Palatino Linotype" w:eastAsia="MS Mincho" w:hAnsi="Palatino Linotype" w:cs="Arial"/>
          <w:b/>
        </w:rPr>
        <w:t xml:space="preserve"> </w:t>
      </w:r>
      <w:r w:rsidRPr="00780B2B">
        <w:rPr>
          <w:rFonts w:ascii="Palatino Linotype" w:eastAsia="MS Mincho" w:hAnsi="Palatino Linotype" w:cs="Arial"/>
        </w:rPr>
        <w:t>al momento de interponer su inconformidad.</w:t>
      </w:r>
      <w:r w:rsidRPr="00780B2B">
        <w:rPr>
          <w:rFonts w:ascii="Palatino Linotype" w:eastAsia="Times New Roman" w:hAnsi="Palatino Linotype" w:cs="Arial"/>
          <w:color w:val="000000" w:themeColor="text1"/>
          <w:lang w:val="es-ES" w:eastAsia="es-MX"/>
        </w:rPr>
        <w:t xml:space="preserve"> De modo tal </w:t>
      </w:r>
      <w:r w:rsidRPr="00780B2B">
        <w:rPr>
          <w:rFonts w:ascii="Palatino Linotype" w:hAnsi="Palatino Linotype" w:cs="Arial"/>
          <w:color w:val="000000" w:themeColor="text1"/>
        </w:rPr>
        <w:t xml:space="preserve">que el presente recurso de revisión se abocara en determinar si el </w:t>
      </w:r>
      <w:r w:rsidRPr="00780B2B">
        <w:rPr>
          <w:rFonts w:ascii="Palatino Linotype" w:hAnsi="Palatino Linotype" w:cs="Arial"/>
          <w:b/>
          <w:color w:val="000000" w:themeColor="text1"/>
        </w:rPr>
        <w:t>SUJETO</w:t>
      </w:r>
      <w:r w:rsidRPr="00780B2B">
        <w:rPr>
          <w:rFonts w:ascii="Palatino Linotype" w:hAnsi="Palatino Linotype" w:cs="Arial"/>
          <w:color w:val="000000" w:themeColor="text1"/>
        </w:rPr>
        <w:t xml:space="preserve"> </w:t>
      </w:r>
      <w:r w:rsidRPr="00780B2B">
        <w:rPr>
          <w:rFonts w:ascii="Palatino Linotype" w:hAnsi="Palatino Linotype" w:cs="Arial"/>
          <w:b/>
          <w:color w:val="000000" w:themeColor="text1"/>
        </w:rPr>
        <w:t>OBLIGADO</w:t>
      </w:r>
      <w:r w:rsidRPr="00780B2B">
        <w:rPr>
          <w:rFonts w:ascii="Palatino Linotype" w:hAnsi="Palatino Linotype" w:cs="Arial"/>
          <w:color w:val="000000" w:themeColor="text1"/>
        </w:rPr>
        <w:t xml:space="preserve"> con su respuesta ciertamente </w:t>
      </w:r>
      <w:r w:rsidRPr="00780B2B">
        <w:rPr>
          <w:rFonts w:ascii="Palatino Linotype" w:eastAsia="Times New Roman" w:hAnsi="Palatino Linotype"/>
          <w:color w:val="000000" w:themeColor="text1"/>
        </w:rPr>
        <w:t>actualiza la causal de procedencia</w:t>
      </w:r>
      <w:r w:rsidRPr="00780B2B">
        <w:rPr>
          <w:rFonts w:ascii="Palatino Linotype" w:eastAsia="Times New Roman" w:hAnsi="Palatino Linotype"/>
          <w:b/>
          <w:color w:val="000000" w:themeColor="text1"/>
        </w:rPr>
        <w:t xml:space="preserve"> </w:t>
      </w:r>
      <w:r w:rsidRPr="00780B2B">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FF73DB" w:rsidRPr="00780B2B" w:rsidRDefault="00FF73DB" w:rsidP="00FF73DB">
      <w:pPr>
        <w:pStyle w:val="Ttulo1"/>
        <w:spacing w:before="0" w:line="360" w:lineRule="auto"/>
        <w:rPr>
          <w:rFonts w:ascii="Palatino Linotype" w:hAnsi="Palatino Linotype"/>
          <w:b/>
          <w:color w:val="000000" w:themeColor="text1"/>
          <w:sz w:val="24"/>
          <w:szCs w:val="24"/>
        </w:rPr>
      </w:pPr>
    </w:p>
    <w:p w:rsidR="00FF73DB" w:rsidRPr="00780B2B" w:rsidRDefault="00906BB0" w:rsidP="00FF73DB">
      <w:pPr>
        <w:pStyle w:val="Ttulo1"/>
        <w:spacing w:before="0" w:line="360" w:lineRule="auto"/>
        <w:rPr>
          <w:rFonts w:ascii="Palatino Linotype" w:hAnsi="Palatino Linotype"/>
          <w:b/>
          <w:color w:val="000000" w:themeColor="text1"/>
          <w:sz w:val="24"/>
          <w:szCs w:val="24"/>
        </w:rPr>
      </w:pPr>
      <w:r w:rsidRPr="00780B2B">
        <w:rPr>
          <w:rFonts w:ascii="Palatino Linotype" w:hAnsi="Palatino Linotype"/>
          <w:b/>
          <w:color w:val="000000" w:themeColor="text1"/>
          <w:sz w:val="24"/>
          <w:szCs w:val="24"/>
        </w:rPr>
        <w:t>CUAR</w:t>
      </w:r>
      <w:r w:rsidR="00FF73DB" w:rsidRPr="00780B2B">
        <w:rPr>
          <w:rFonts w:ascii="Palatino Linotype" w:hAnsi="Palatino Linotype"/>
          <w:b/>
          <w:color w:val="000000" w:themeColor="text1"/>
          <w:sz w:val="24"/>
          <w:szCs w:val="24"/>
        </w:rPr>
        <w:t>TO. Del estudio y resolución del asunto.</w:t>
      </w:r>
    </w:p>
    <w:p w:rsidR="00A02E71" w:rsidRPr="00780B2B" w:rsidRDefault="00A02E71" w:rsidP="003C6804">
      <w:pPr>
        <w:rPr>
          <w:rFonts w:ascii="Palatino Linotype" w:eastAsia="MS Mincho" w:hAnsi="Palatino Linotype" w:cs="Arial"/>
        </w:rPr>
      </w:pPr>
    </w:p>
    <w:p w:rsidR="005B6702" w:rsidRPr="00780B2B"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lastRenderedPageBreak/>
        <w:t xml:space="preserve">Acotada la </w:t>
      </w:r>
      <w:r w:rsidRPr="00780B2B">
        <w:rPr>
          <w:rFonts w:ascii="Palatino Linotype" w:hAnsi="Palatino Linotype"/>
          <w:i/>
          <w:color w:val="000000" w:themeColor="text1"/>
        </w:rPr>
        <w:t>Litis</w:t>
      </w:r>
      <w:r w:rsidRPr="00780B2B">
        <w:rPr>
          <w:rFonts w:ascii="Palatino Linotype" w:hAnsi="Palatino Linotype"/>
          <w:color w:val="000000" w:themeColor="text1"/>
        </w:rPr>
        <w:t xml:space="preserve"> del presente asunto, primeramente es menester precisar</w:t>
      </w:r>
      <w:r w:rsidRPr="00780B2B">
        <w:rPr>
          <w:rFonts w:ascii="Palatino Linotype" w:hAnsi="Palatino Linotype"/>
          <w:bCs/>
          <w:color w:val="000000" w:themeColor="text1"/>
          <w:lang w:val="es-MX"/>
        </w:rPr>
        <w:t xml:space="preserve"> que </w:t>
      </w:r>
      <w:r w:rsidRPr="00780B2B">
        <w:rPr>
          <w:rFonts w:ascii="Palatino Linotype" w:hAnsi="Palatino Linotype"/>
          <w:bCs/>
          <w:color w:val="000000" w:themeColor="text1"/>
        </w:rPr>
        <w:t xml:space="preserve">este Órgano Garante parte del hecho que el Derecho de </w:t>
      </w:r>
      <w:r w:rsidRPr="00780B2B">
        <w:rPr>
          <w:rFonts w:ascii="Palatino Linotype" w:eastAsia="MS Mincho" w:hAnsi="Palatino Linotype" w:cs="Arial"/>
        </w:rPr>
        <w:t>Acceso</w:t>
      </w:r>
      <w:r w:rsidRPr="00780B2B">
        <w:rPr>
          <w:rFonts w:ascii="Palatino Linotype" w:hAnsi="Palatino Linotype"/>
          <w:bCs/>
          <w:color w:val="000000" w:themeColor="text1"/>
        </w:rPr>
        <w:t xml:space="preserve"> a la Información Pública, es un derecho humano reconocido en el Pacto de Derechos Civiles y Políticos en su artículo 19.2; en la </w:t>
      </w:r>
      <w:r w:rsidRPr="00780B2B">
        <w:rPr>
          <w:rFonts w:ascii="Palatino Linotype" w:hAnsi="Palatino Linotype"/>
          <w:lang w:val="es-MX" w:eastAsia="en-US"/>
        </w:rPr>
        <w:t>Convención</w:t>
      </w:r>
      <w:r w:rsidRPr="00780B2B">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w:t>
      </w:r>
      <w:r w:rsidR="002B59F0" w:rsidRPr="00780B2B">
        <w:rPr>
          <w:rFonts w:ascii="Palatino Linotype" w:hAnsi="Palatino Linotype"/>
          <w:b/>
          <w:bCs/>
          <w:color w:val="000000" w:themeColor="text1"/>
        </w:rPr>
        <w:t>EL PARTICULAR</w:t>
      </w:r>
      <w:r w:rsidRPr="00780B2B">
        <w:rPr>
          <w:rFonts w:ascii="Palatino Linotype" w:hAnsi="Palatino Linotype"/>
          <w:bCs/>
          <w:color w:val="000000" w:themeColor="text1"/>
        </w:rPr>
        <w:t xml:space="preserve"> del Estado de México, por lo que al respecto el </w:t>
      </w:r>
      <w:r w:rsidRPr="00780B2B">
        <w:rPr>
          <w:rFonts w:ascii="Palatino Linotype" w:hAnsi="Palatino Linotype"/>
          <w:b/>
          <w:bCs/>
          <w:color w:val="000000" w:themeColor="text1"/>
        </w:rPr>
        <w:t>SUJETO OBLIGADO</w:t>
      </w:r>
      <w:r w:rsidRPr="00780B2B">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80B2B">
        <w:rPr>
          <w:rFonts w:ascii="Palatino Linotype" w:hAnsi="Palatino Linotype"/>
          <w:b/>
          <w:bCs/>
          <w:color w:val="000000" w:themeColor="text1"/>
        </w:rPr>
        <w:t xml:space="preserve">Constitución Política de los Estados Unidos Mexicanos </w:t>
      </w:r>
      <w:r w:rsidRPr="00780B2B">
        <w:rPr>
          <w:rFonts w:ascii="Palatino Linotype" w:hAnsi="Palatino Linotype"/>
          <w:bCs/>
          <w:color w:val="000000" w:themeColor="text1"/>
        </w:rPr>
        <w:t xml:space="preserve">al señalar la obligación de “promover, respetar, proteger y </w:t>
      </w:r>
      <w:r w:rsidRPr="00780B2B">
        <w:rPr>
          <w:rFonts w:ascii="Palatino Linotype" w:hAnsi="Palatino Linotype"/>
          <w:b/>
          <w:bCs/>
          <w:color w:val="000000" w:themeColor="text1"/>
        </w:rPr>
        <w:t>garantizar</w:t>
      </w:r>
      <w:r w:rsidRPr="00780B2B">
        <w:rPr>
          <w:rFonts w:ascii="Palatino Linotype" w:hAnsi="Palatino Linotype"/>
          <w:bCs/>
          <w:color w:val="000000" w:themeColor="text1"/>
        </w:rPr>
        <w:t xml:space="preserve"> los derechos humanos”, entre los cuales se encuentra dicho derecho.</w:t>
      </w:r>
    </w:p>
    <w:p w:rsidR="005B6702" w:rsidRPr="00780B2B"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Por </w:t>
      </w:r>
      <w:r w:rsidRPr="00780B2B">
        <w:rPr>
          <w:rFonts w:ascii="Palatino Linotype" w:hAnsi="Palatino Linotype"/>
          <w:color w:val="000000" w:themeColor="text1"/>
          <w:lang w:val="es-MX"/>
        </w:rPr>
        <w:t xml:space="preserve">lo anterior, se deduce que el derecho de acceso a la información pública es un </w:t>
      </w:r>
      <w:r w:rsidRPr="00780B2B">
        <w:rPr>
          <w:rFonts w:ascii="Palatino Linotype" w:hAnsi="Palatino Linotype"/>
          <w:color w:val="000000" w:themeColor="text1"/>
        </w:rPr>
        <w:t>derecho</w:t>
      </w:r>
      <w:r w:rsidRPr="00780B2B">
        <w:rPr>
          <w:rFonts w:ascii="Palatino Linotype" w:hAnsi="Palatino Linotype"/>
          <w:color w:val="000000" w:themeColor="text1"/>
          <w:lang w:val="es-MX"/>
        </w:rPr>
        <w:t xml:space="preserve"> humano convencional y constitucionalmente reconocido; en </w:t>
      </w:r>
      <w:r w:rsidRPr="00780B2B">
        <w:rPr>
          <w:rFonts w:ascii="Palatino Linotype" w:hAnsi="Palatino Linotype"/>
          <w:color w:val="000000" w:themeColor="text1"/>
        </w:rPr>
        <w:t>consecuencia</w:t>
      </w:r>
      <w:r w:rsidRPr="00780B2B">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780B2B" w:rsidRDefault="0037157C" w:rsidP="0037157C">
      <w:pPr>
        <w:pStyle w:val="Prrafodelista"/>
        <w:rPr>
          <w:rFonts w:ascii="Palatino Linotype" w:hAnsi="Palatino Linotype"/>
          <w:color w:val="000000" w:themeColor="text1"/>
        </w:rPr>
      </w:pPr>
    </w:p>
    <w:p w:rsidR="005B6702" w:rsidRPr="00780B2B"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Así las cosas, </w:t>
      </w:r>
      <w:r w:rsidRPr="00780B2B">
        <w:rPr>
          <w:rFonts w:ascii="Palatino Linotype" w:hAnsi="Palatino Linotype"/>
          <w:color w:val="000000" w:themeColor="text1"/>
          <w:lang w:val="es-MX"/>
        </w:rPr>
        <w:t xml:space="preserve">podemos definir el Derecho de Acceso a la Información Pública como: </w:t>
      </w:r>
      <w:r w:rsidRPr="00780B2B">
        <w:rPr>
          <w:rFonts w:ascii="Palatino Linotype" w:hAnsi="Palatino Linotype"/>
          <w:i/>
          <w:color w:val="000000" w:themeColor="text1"/>
          <w:lang w:val="es-MX"/>
        </w:rPr>
        <w:t>La igualdad de oportunidades para recibir, buscar e impartir información</w:t>
      </w:r>
      <w:r w:rsidRPr="00780B2B">
        <w:rPr>
          <w:rFonts w:ascii="Palatino Linotype" w:hAnsi="Palatino Linotype"/>
          <w:i/>
          <w:color w:val="000000" w:themeColor="text1"/>
          <w:vertAlign w:val="superscript"/>
          <w:lang w:val="es-MX"/>
        </w:rPr>
        <w:footnoteReference w:id="2"/>
      </w:r>
      <w:r w:rsidRPr="00780B2B">
        <w:rPr>
          <w:rFonts w:ascii="Palatino Linotype" w:hAnsi="Palatino Linotype"/>
          <w:i/>
          <w:color w:val="000000" w:themeColor="text1"/>
          <w:lang w:val="es-MX"/>
        </w:rPr>
        <w:t xml:space="preserve">en posesión de </w:t>
      </w:r>
      <w:r w:rsidRPr="00780B2B">
        <w:rPr>
          <w:rFonts w:ascii="Palatino Linotype" w:hAnsi="Palatino Linotype"/>
          <w:color w:val="000000" w:themeColor="text1"/>
        </w:rPr>
        <w:t>cualquier</w:t>
      </w:r>
      <w:r w:rsidRPr="00780B2B">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w:t>
      </w:r>
      <w:r w:rsidRPr="00780B2B">
        <w:rPr>
          <w:rFonts w:ascii="Palatino Linotype" w:hAnsi="Palatino Linotype"/>
          <w:i/>
          <w:color w:val="000000" w:themeColor="text1"/>
          <w:lang w:val="es-MX"/>
        </w:rPr>
        <w:lastRenderedPageBreak/>
        <w:t>de autoridad en el ámbito federal, estatal y municipal,</w:t>
      </w:r>
      <w:r w:rsidRPr="00780B2B">
        <w:rPr>
          <w:rFonts w:ascii="Palatino Linotype" w:hAnsi="Palatino Linotype"/>
          <w:i/>
          <w:color w:val="000000" w:themeColor="text1"/>
          <w:vertAlign w:val="superscript"/>
          <w:lang w:val="es-MX"/>
        </w:rPr>
        <w:footnoteReference w:id="3"/>
      </w:r>
      <w:r w:rsidRPr="00780B2B">
        <w:rPr>
          <w:rFonts w:ascii="Palatino Linotype" w:hAnsi="Palatino Linotype"/>
          <w:color w:val="000000" w:themeColor="text1"/>
          <w:lang w:val="es-MX"/>
        </w:rPr>
        <w:t>que se constituye como una herramienta fundamental para ejercer</w:t>
      </w:r>
      <w:r w:rsidRPr="00780B2B">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780B2B">
        <w:rPr>
          <w:rFonts w:ascii="Palatino Linotype" w:hAnsi="Palatino Linotype"/>
          <w:i/>
          <w:color w:val="000000" w:themeColor="text1"/>
          <w:vertAlign w:val="superscript"/>
          <w:lang w:val="es-MX"/>
        </w:rPr>
        <w:footnoteReference w:id="4"/>
      </w:r>
      <w:r w:rsidRPr="00780B2B">
        <w:rPr>
          <w:rFonts w:ascii="Palatino Linotype" w:hAnsi="Palatino Linotype"/>
          <w:i/>
          <w:color w:val="000000" w:themeColor="text1"/>
          <w:lang w:val="es-MX"/>
        </w:rPr>
        <w:t xml:space="preserve"> </w:t>
      </w:r>
      <w:r w:rsidRPr="00780B2B">
        <w:rPr>
          <w:rFonts w:ascii="Palatino Linotype" w:hAnsi="Palatino Linotype"/>
          <w:color w:val="000000" w:themeColor="text1"/>
          <w:lang w:val="es-MX"/>
        </w:rPr>
        <w:t>fomentando</w:t>
      </w:r>
      <w:r w:rsidRPr="00780B2B">
        <w:rPr>
          <w:rFonts w:ascii="Palatino Linotype" w:hAnsi="Palatino Linotype"/>
          <w:i/>
          <w:color w:val="000000" w:themeColor="text1"/>
          <w:lang w:val="es-MX"/>
        </w:rPr>
        <w:t xml:space="preserve"> la transparencia de las actividades estatales y </w:t>
      </w:r>
      <w:r w:rsidRPr="00780B2B">
        <w:rPr>
          <w:rFonts w:ascii="Palatino Linotype" w:hAnsi="Palatino Linotype"/>
          <w:color w:val="000000" w:themeColor="text1"/>
          <w:lang w:val="es-MX"/>
        </w:rPr>
        <w:t>promoviendo</w:t>
      </w:r>
      <w:r w:rsidRPr="00780B2B">
        <w:rPr>
          <w:rFonts w:ascii="Palatino Linotype" w:hAnsi="Palatino Linotype"/>
          <w:i/>
          <w:color w:val="000000" w:themeColor="text1"/>
          <w:lang w:val="es-MX"/>
        </w:rPr>
        <w:t xml:space="preserve"> la responsabilidad de los funcionarios sobre su gestión pública,</w:t>
      </w:r>
      <w:r w:rsidRPr="00780B2B">
        <w:rPr>
          <w:rFonts w:ascii="Palatino Linotype" w:hAnsi="Palatino Linotype"/>
          <w:i/>
          <w:color w:val="000000" w:themeColor="text1"/>
          <w:vertAlign w:val="superscript"/>
          <w:lang w:val="es-MX"/>
        </w:rPr>
        <w:footnoteReference w:id="5"/>
      </w:r>
      <w:r w:rsidRPr="00780B2B">
        <w:rPr>
          <w:rFonts w:ascii="Palatino Linotype" w:hAnsi="Palatino Linotype"/>
          <w:color w:val="000000" w:themeColor="text1"/>
          <w:lang w:val="es-MX"/>
        </w:rPr>
        <w:t>que permite</w:t>
      </w:r>
      <w:r w:rsidRPr="00780B2B">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780B2B" w:rsidRDefault="005B6702" w:rsidP="005B6702">
      <w:pPr>
        <w:pStyle w:val="Prrafodelista"/>
        <w:rPr>
          <w:rFonts w:ascii="Palatino Linotype" w:hAnsi="Palatino Linotype"/>
          <w:color w:val="000000" w:themeColor="text1"/>
        </w:rPr>
      </w:pPr>
    </w:p>
    <w:p w:rsidR="005B6702" w:rsidRPr="00780B2B"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Por otro lado, </w:t>
      </w:r>
      <w:r w:rsidRPr="00780B2B">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Pr="00780B2B" w:rsidRDefault="005B6702" w:rsidP="005B6702">
      <w:pPr>
        <w:pStyle w:val="Prrafodelista"/>
        <w:rPr>
          <w:rFonts w:ascii="Palatino Linotype" w:hAnsi="Palatino Linotype"/>
          <w:color w:val="000000" w:themeColor="text1"/>
        </w:rPr>
      </w:pPr>
    </w:p>
    <w:p w:rsidR="006132F8" w:rsidRPr="00780B2B" w:rsidRDefault="002C77D6" w:rsidP="003C6804">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Precisado lo anterior, es d</w:t>
      </w:r>
      <w:r w:rsidR="003C6804" w:rsidRPr="00780B2B">
        <w:rPr>
          <w:rFonts w:ascii="Palatino Linotype" w:hAnsi="Palatino Linotype"/>
          <w:color w:val="000000" w:themeColor="text1"/>
        </w:rPr>
        <w:t>able primeramente</w:t>
      </w:r>
      <w:r w:rsidRPr="00780B2B">
        <w:rPr>
          <w:rFonts w:ascii="Palatino Linotype" w:hAnsi="Palatino Linotype"/>
          <w:color w:val="000000" w:themeColor="text1"/>
        </w:rPr>
        <w:t xml:space="preserve"> recordar </w:t>
      </w:r>
      <w:r w:rsidR="003C6804" w:rsidRPr="00780B2B">
        <w:rPr>
          <w:rFonts w:ascii="Palatino Linotype" w:hAnsi="Palatino Linotype"/>
          <w:color w:val="000000" w:themeColor="text1"/>
        </w:rPr>
        <w:t xml:space="preserve">que el motivo de inconformidad </w:t>
      </w:r>
      <w:r w:rsidR="006132F8" w:rsidRPr="00780B2B">
        <w:rPr>
          <w:rFonts w:ascii="Palatino Linotype" w:hAnsi="Palatino Linotype"/>
          <w:color w:val="000000" w:themeColor="text1"/>
        </w:rPr>
        <w:t xml:space="preserve">versó en la negativa del </w:t>
      </w:r>
      <w:r w:rsidR="006132F8" w:rsidRPr="00780B2B">
        <w:rPr>
          <w:rFonts w:ascii="Palatino Linotype" w:hAnsi="Palatino Linotype"/>
          <w:b/>
          <w:color w:val="000000" w:themeColor="text1"/>
        </w:rPr>
        <w:t>SUJETO OBLIGADO</w:t>
      </w:r>
      <w:r w:rsidR="00BF07B4" w:rsidRPr="00780B2B">
        <w:rPr>
          <w:rFonts w:ascii="Palatino Linotype" w:hAnsi="Palatino Linotype"/>
          <w:color w:val="000000" w:themeColor="text1"/>
        </w:rPr>
        <w:t xml:space="preserve"> a entregar la </w:t>
      </w:r>
      <w:r w:rsidR="00BF07B4" w:rsidRPr="00780B2B">
        <w:rPr>
          <w:rFonts w:ascii="Palatino Linotype" w:hAnsi="Palatino Linotype"/>
          <w:color w:val="000000" w:themeColor="text1"/>
        </w:rPr>
        <w:lastRenderedPageBreak/>
        <w:t xml:space="preserve">información requerida, de tal manera </w:t>
      </w:r>
      <w:r w:rsidR="00D24F8C" w:rsidRPr="00780B2B">
        <w:rPr>
          <w:rFonts w:ascii="Palatino Linotype" w:hAnsi="Palatino Linotype"/>
          <w:color w:val="000000" w:themeColor="text1"/>
        </w:rPr>
        <w:t>que,</w:t>
      </w:r>
      <w:r w:rsidR="00BF07B4" w:rsidRPr="00780B2B">
        <w:rPr>
          <w:rFonts w:ascii="Palatino Linotype" w:hAnsi="Palatino Linotype"/>
          <w:color w:val="000000" w:themeColor="text1"/>
        </w:rPr>
        <w:t xml:space="preserve"> a efecto de dirimir la controversia, se procede a realizar el siguiente cuadro comparativo que determine si se colmó o no cada uno de los rubros de la solicitud de información:</w:t>
      </w:r>
    </w:p>
    <w:p w:rsidR="00BF07B4" w:rsidRPr="00780B2B" w:rsidRDefault="00BF07B4" w:rsidP="00BF07B4">
      <w:pPr>
        <w:pStyle w:val="Prrafodelista"/>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942"/>
        <w:gridCol w:w="3574"/>
        <w:gridCol w:w="2312"/>
      </w:tblGrid>
      <w:tr w:rsidR="00D24F8C" w:rsidRPr="00780B2B" w:rsidTr="00D24F8C">
        <w:tc>
          <w:tcPr>
            <w:tcW w:w="2942" w:type="dxa"/>
          </w:tcPr>
          <w:p w:rsidR="00D24F8C" w:rsidRPr="00780B2B" w:rsidRDefault="00D24F8C" w:rsidP="00D24F8C">
            <w:pPr>
              <w:contextualSpacing/>
              <w:jc w:val="center"/>
              <w:rPr>
                <w:rFonts w:ascii="Palatino Linotype" w:hAnsi="Palatino Linotype"/>
                <w:b/>
                <w:color w:val="000000" w:themeColor="text1"/>
              </w:rPr>
            </w:pPr>
            <w:r w:rsidRPr="00780B2B">
              <w:rPr>
                <w:rFonts w:ascii="Palatino Linotype" w:hAnsi="Palatino Linotype"/>
                <w:b/>
                <w:color w:val="000000" w:themeColor="text1"/>
              </w:rPr>
              <w:t>SOLICITUD DE INFORMACIÓN</w:t>
            </w:r>
          </w:p>
        </w:tc>
        <w:tc>
          <w:tcPr>
            <w:tcW w:w="3574" w:type="dxa"/>
          </w:tcPr>
          <w:p w:rsidR="00D24F8C" w:rsidRPr="00780B2B" w:rsidRDefault="00D24F8C" w:rsidP="00D24F8C">
            <w:pPr>
              <w:contextualSpacing/>
              <w:jc w:val="center"/>
              <w:rPr>
                <w:rFonts w:ascii="Palatino Linotype" w:hAnsi="Palatino Linotype"/>
                <w:b/>
                <w:color w:val="000000" w:themeColor="text1"/>
              </w:rPr>
            </w:pPr>
            <w:r w:rsidRPr="00780B2B">
              <w:rPr>
                <w:rFonts w:ascii="Palatino Linotype" w:hAnsi="Palatino Linotype"/>
                <w:b/>
                <w:color w:val="000000" w:themeColor="text1"/>
              </w:rPr>
              <w:t>RESPUESTA</w:t>
            </w:r>
          </w:p>
        </w:tc>
        <w:tc>
          <w:tcPr>
            <w:tcW w:w="2312" w:type="dxa"/>
          </w:tcPr>
          <w:p w:rsidR="00D24F8C" w:rsidRPr="00780B2B" w:rsidRDefault="00D24F8C" w:rsidP="00D24F8C">
            <w:pPr>
              <w:contextualSpacing/>
              <w:jc w:val="center"/>
              <w:rPr>
                <w:rFonts w:ascii="Palatino Linotype" w:hAnsi="Palatino Linotype"/>
                <w:b/>
                <w:color w:val="000000" w:themeColor="text1"/>
              </w:rPr>
            </w:pPr>
            <w:r w:rsidRPr="00780B2B">
              <w:rPr>
                <w:rFonts w:ascii="Palatino Linotype" w:hAnsi="Palatino Linotype"/>
                <w:b/>
                <w:color w:val="000000" w:themeColor="text1"/>
              </w:rPr>
              <w:t>CUMPLIMIENTO</w:t>
            </w:r>
          </w:p>
        </w:tc>
      </w:tr>
      <w:tr w:rsidR="00D24F8C" w:rsidRPr="00780B2B" w:rsidTr="00D24F8C">
        <w:tc>
          <w:tcPr>
            <w:tcW w:w="2942" w:type="dxa"/>
          </w:tcPr>
          <w:p w:rsidR="00D24F8C" w:rsidRPr="00780B2B" w:rsidRDefault="00D24F8C" w:rsidP="00D24F8C">
            <w:pPr>
              <w:jc w:val="both"/>
              <w:rPr>
                <w:rFonts w:ascii="Palatino Linotype" w:hAnsi="Palatino Linotype"/>
              </w:rPr>
            </w:pPr>
            <w:r w:rsidRPr="00780B2B">
              <w:rPr>
                <w:rFonts w:ascii="Palatino Linotype" w:hAnsi="Palatino Linotype"/>
              </w:rPr>
              <w:t>Recibo de nómina de la actual presidente del DIF, correspondiente a la primera quincena de septiembre de 2022.</w:t>
            </w:r>
          </w:p>
          <w:p w:rsidR="00D24F8C" w:rsidRPr="00780B2B" w:rsidRDefault="00D24F8C" w:rsidP="00D24F8C">
            <w:pPr>
              <w:spacing w:line="360" w:lineRule="auto"/>
              <w:contextualSpacing/>
              <w:jc w:val="both"/>
              <w:rPr>
                <w:rFonts w:ascii="Palatino Linotype" w:hAnsi="Palatino Linotype"/>
                <w:color w:val="000000" w:themeColor="text1"/>
              </w:rPr>
            </w:pPr>
          </w:p>
        </w:tc>
        <w:tc>
          <w:tcPr>
            <w:tcW w:w="3574" w:type="dxa"/>
          </w:tcPr>
          <w:p w:rsidR="00D24F8C" w:rsidRPr="00780B2B" w:rsidRDefault="00D24F8C" w:rsidP="00BF07B4">
            <w:pPr>
              <w:spacing w:line="360" w:lineRule="auto"/>
              <w:contextualSpacing/>
              <w:jc w:val="both"/>
              <w:rPr>
                <w:rFonts w:ascii="Palatino Linotype" w:hAnsi="Palatino Linotype"/>
                <w:color w:val="000000" w:themeColor="text1"/>
              </w:rPr>
            </w:pPr>
            <w:r w:rsidRPr="00780B2B">
              <w:rPr>
                <w:rFonts w:ascii="Palatino Linotype" w:hAnsi="Palatino Linotype"/>
                <w:color w:val="000000" w:themeColor="text1"/>
              </w:rPr>
              <w:t>Se refiere que no existen recibos de nómina al ser un cargo honorifico.</w:t>
            </w:r>
          </w:p>
        </w:tc>
        <w:tc>
          <w:tcPr>
            <w:tcW w:w="2312" w:type="dxa"/>
          </w:tcPr>
          <w:p w:rsidR="00D24F8C" w:rsidRPr="00780B2B" w:rsidRDefault="00D24F8C" w:rsidP="00D24F8C">
            <w:pPr>
              <w:spacing w:line="360" w:lineRule="auto"/>
              <w:contextualSpacing/>
              <w:jc w:val="center"/>
              <w:rPr>
                <w:rFonts w:ascii="Palatino Linotype" w:hAnsi="Palatino Linotype"/>
                <w:color w:val="000000" w:themeColor="text1"/>
                <w:sz w:val="48"/>
                <w:szCs w:val="48"/>
              </w:rPr>
            </w:pPr>
            <w:r w:rsidRPr="00780B2B">
              <w:rPr>
                <w:rFonts w:ascii="Segoe UI Symbol" w:hAnsi="Segoe UI Symbol" w:cs="Segoe UI Symbol"/>
                <w:color w:val="000000" w:themeColor="text1"/>
                <w:sz w:val="48"/>
                <w:szCs w:val="48"/>
              </w:rPr>
              <w:t>✓</w:t>
            </w:r>
          </w:p>
        </w:tc>
      </w:tr>
      <w:tr w:rsidR="00D24F8C" w:rsidRPr="00780B2B" w:rsidTr="00D24F8C">
        <w:tc>
          <w:tcPr>
            <w:tcW w:w="2942" w:type="dxa"/>
          </w:tcPr>
          <w:p w:rsidR="00D24F8C" w:rsidRPr="00780B2B" w:rsidRDefault="00D24F8C" w:rsidP="00D24F8C">
            <w:pPr>
              <w:jc w:val="both"/>
              <w:rPr>
                <w:rFonts w:ascii="Palatino Linotype" w:hAnsi="Palatino Linotype"/>
              </w:rPr>
            </w:pPr>
            <w:r w:rsidRPr="00780B2B">
              <w:rPr>
                <w:rFonts w:ascii="Palatino Linotype" w:hAnsi="Palatino Linotype"/>
              </w:rPr>
              <w:t>Nombre de los psicólogos adscritos a la fecha de la solicitud de información, al Sistema DIF de la Paz.</w:t>
            </w:r>
          </w:p>
          <w:p w:rsidR="00D24F8C" w:rsidRPr="00780B2B" w:rsidRDefault="00D24F8C" w:rsidP="00D24F8C">
            <w:pPr>
              <w:spacing w:line="360" w:lineRule="auto"/>
              <w:contextualSpacing/>
              <w:jc w:val="both"/>
              <w:rPr>
                <w:rFonts w:ascii="Palatino Linotype" w:hAnsi="Palatino Linotype"/>
                <w:color w:val="000000" w:themeColor="text1"/>
              </w:rPr>
            </w:pPr>
          </w:p>
        </w:tc>
        <w:tc>
          <w:tcPr>
            <w:tcW w:w="3574" w:type="dxa"/>
          </w:tcPr>
          <w:p w:rsidR="00D24F8C" w:rsidRPr="00780B2B" w:rsidRDefault="00D24F8C" w:rsidP="00BF07B4">
            <w:pPr>
              <w:spacing w:line="360" w:lineRule="auto"/>
              <w:contextualSpacing/>
              <w:jc w:val="both"/>
              <w:rPr>
                <w:rFonts w:ascii="Palatino Linotype" w:hAnsi="Palatino Linotype"/>
                <w:color w:val="000000" w:themeColor="text1"/>
              </w:rPr>
            </w:pPr>
            <w:r w:rsidRPr="00780B2B">
              <w:rPr>
                <w:rFonts w:ascii="Palatino Linotype" w:hAnsi="Palatino Linotype"/>
                <w:color w:val="000000" w:themeColor="text1"/>
              </w:rPr>
              <w:t xml:space="preserve">Se manifiesta que los nombres de todo el personal adscrito al </w:t>
            </w:r>
            <w:r w:rsidRPr="00780B2B">
              <w:rPr>
                <w:rFonts w:ascii="Palatino Linotype" w:hAnsi="Palatino Linotype"/>
                <w:b/>
                <w:color w:val="000000" w:themeColor="text1"/>
              </w:rPr>
              <w:t>SUJETO OBLIGADO</w:t>
            </w:r>
            <w:r w:rsidRPr="00780B2B">
              <w:rPr>
                <w:rFonts w:ascii="Palatino Linotype" w:hAnsi="Palatino Linotype"/>
                <w:color w:val="000000" w:themeColor="text1"/>
              </w:rPr>
              <w:t xml:space="preserve"> pueden ser consultado</w:t>
            </w:r>
            <w:r w:rsidR="00906BB0" w:rsidRPr="00780B2B">
              <w:rPr>
                <w:rFonts w:ascii="Palatino Linotype" w:hAnsi="Palatino Linotype"/>
                <w:color w:val="000000" w:themeColor="text1"/>
              </w:rPr>
              <w:t>s</w:t>
            </w:r>
            <w:r w:rsidRPr="00780B2B">
              <w:rPr>
                <w:rFonts w:ascii="Palatino Linotype" w:hAnsi="Palatino Linotype"/>
                <w:color w:val="000000" w:themeColor="text1"/>
              </w:rPr>
              <w:t xml:space="preserve"> en el portal de IPOMEX.</w:t>
            </w:r>
          </w:p>
          <w:p w:rsidR="00D24F8C" w:rsidRPr="00780B2B" w:rsidRDefault="00D24F8C" w:rsidP="00BF07B4">
            <w:pPr>
              <w:spacing w:line="360" w:lineRule="auto"/>
              <w:contextualSpacing/>
              <w:jc w:val="both"/>
              <w:rPr>
                <w:rFonts w:ascii="Palatino Linotype" w:hAnsi="Palatino Linotype"/>
                <w:color w:val="000000" w:themeColor="text1"/>
              </w:rPr>
            </w:pPr>
          </w:p>
        </w:tc>
        <w:tc>
          <w:tcPr>
            <w:tcW w:w="2312" w:type="dxa"/>
          </w:tcPr>
          <w:p w:rsidR="00D24F8C" w:rsidRPr="00780B2B" w:rsidRDefault="00D24F8C" w:rsidP="00D24F8C">
            <w:pPr>
              <w:spacing w:line="360" w:lineRule="auto"/>
              <w:contextualSpacing/>
              <w:jc w:val="center"/>
              <w:rPr>
                <w:rFonts w:ascii="Palatino Linotype" w:hAnsi="Palatino Linotype"/>
                <w:color w:val="000000" w:themeColor="text1"/>
                <w:sz w:val="48"/>
                <w:szCs w:val="48"/>
              </w:rPr>
            </w:pPr>
            <w:r w:rsidRPr="00780B2B">
              <w:rPr>
                <w:rFonts w:ascii="Segoe UI Symbol" w:hAnsi="Segoe UI Symbol" w:cs="Segoe UI Symbol"/>
                <w:color w:val="000000" w:themeColor="text1"/>
                <w:sz w:val="48"/>
                <w:szCs w:val="48"/>
              </w:rPr>
              <w:t>X</w:t>
            </w:r>
          </w:p>
        </w:tc>
      </w:tr>
      <w:tr w:rsidR="002649F6" w:rsidRPr="00780B2B" w:rsidTr="00D24F8C">
        <w:tc>
          <w:tcPr>
            <w:tcW w:w="2942" w:type="dxa"/>
          </w:tcPr>
          <w:p w:rsidR="002649F6" w:rsidRPr="00780B2B" w:rsidRDefault="002649F6" w:rsidP="002649F6">
            <w:pPr>
              <w:jc w:val="both"/>
              <w:rPr>
                <w:rFonts w:ascii="Palatino Linotype" w:hAnsi="Palatino Linotype"/>
              </w:rPr>
            </w:pPr>
            <w:r w:rsidRPr="00780B2B">
              <w:rPr>
                <w:rFonts w:ascii="Palatino Linotype" w:hAnsi="Palatino Linotype"/>
              </w:rPr>
              <w:t>Recibos de nómina de la primer y segunda quincena del mes de septiembre de 2022, de todo el personal adscrito a la Unidad de Transparencia del Sujeto Obligado, incluyendo sindicalizados.</w:t>
            </w:r>
          </w:p>
        </w:tc>
        <w:tc>
          <w:tcPr>
            <w:tcW w:w="3574" w:type="dxa"/>
          </w:tcPr>
          <w:p w:rsidR="002649F6" w:rsidRPr="00780B2B" w:rsidRDefault="002649F6" w:rsidP="002649F6">
            <w:pPr>
              <w:spacing w:line="360" w:lineRule="auto"/>
              <w:contextualSpacing/>
              <w:jc w:val="both"/>
              <w:rPr>
                <w:rFonts w:ascii="Palatino Linotype" w:hAnsi="Palatino Linotype"/>
                <w:color w:val="000000" w:themeColor="text1"/>
              </w:rPr>
            </w:pPr>
            <w:r w:rsidRPr="00780B2B">
              <w:rPr>
                <w:rFonts w:ascii="Palatino Linotype" w:hAnsi="Palatino Linotype"/>
                <w:color w:val="000000" w:themeColor="text1"/>
              </w:rPr>
              <w:t xml:space="preserve">Se manifiesta que las remuneraciones de todo el personal adscrito al </w:t>
            </w:r>
            <w:r w:rsidRPr="00780B2B">
              <w:rPr>
                <w:rFonts w:ascii="Palatino Linotype" w:hAnsi="Palatino Linotype"/>
                <w:b/>
                <w:color w:val="000000" w:themeColor="text1"/>
              </w:rPr>
              <w:t>SUJETO OBLIGADO</w:t>
            </w:r>
            <w:r w:rsidRPr="00780B2B">
              <w:rPr>
                <w:rFonts w:ascii="Palatino Linotype" w:hAnsi="Palatino Linotype"/>
                <w:color w:val="000000" w:themeColor="text1"/>
              </w:rPr>
              <w:t xml:space="preserve"> pueden ser consultadas en el portal de IPOMEX.</w:t>
            </w:r>
          </w:p>
          <w:p w:rsidR="002649F6" w:rsidRPr="00780B2B" w:rsidRDefault="002649F6" w:rsidP="00BF07B4">
            <w:pPr>
              <w:spacing w:line="360" w:lineRule="auto"/>
              <w:contextualSpacing/>
              <w:jc w:val="both"/>
              <w:rPr>
                <w:rFonts w:ascii="Palatino Linotype" w:hAnsi="Palatino Linotype"/>
                <w:color w:val="000000" w:themeColor="text1"/>
              </w:rPr>
            </w:pPr>
          </w:p>
        </w:tc>
        <w:tc>
          <w:tcPr>
            <w:tcW w:w="2312" w:type="dxa"/>
          </w:tcPr>
          <w:p w:rsidR="002649F6" w:rsidRPr="00780B2B" w:rsidRDefault="002649F6" w:rsidP="00D24F8C">
            <w:pPr>
              <w:spacing w:line="360" w:lineRule="auto"/>
              <w:contextualSpacing/>
              <w:jc w:val="center"/>
              <w:rPr>
                <w:rFonts w:ascii="Segoe UI Symbol" w:hAnsi="Segoe UI Symbol" w:cs="Segoe UI Symbol"/>
                <w:color w:val="000000" w:themeColor="text1"/>
                <w:sz w:val="48"/>
                <w:szCs w:val="48"/>
              </w:rPr>
            </w:pPr>
            <w:r w:rsidRPr="00780B2B">
              <w:rPr>
                <w:rFonts w:ascii="Segoe UI Symbol" w:hAnsi="Segoe UI Symbol" w:cs="Segoe UI Symbol"/>
                <w:color w:val="000000" w:themeColor="text1"/>
                <w:sz w:val="48"/>
                <w:szCs w:val="48"/>
              </w:rPr>
              <w:t>X</w:t>
            </w:r>
          </w:p>
        </w:tc>
      </w:tr>
      <w:tr w:rsidR="002649F6" w:rsidRPr="00780B2B" w:rsidTr="00D24F8C">
        <w:tc>
          <w:tcPr>
            <w:tcW w:w="2942" w:type="dxa"/>
          </w:tcPr>
          <w:p w:rsidR="002649F6" w:rsidRPr="00780B2B" w:rsidRDefault="002649F6" w:rsidP="002649F6">
            <w:pPr>
              <w:jc w:val="both"/>
              <w:rPr>
                <w:rFonts w:ascii="Palatino Linotype" w:hAnsi="Palatino Linotype"/>
              </w:rPr>
            </w:pPr>
            <w:r w:rsidRPr="00780B2B">
              <w:rPr>
                <w:rFonts w:ascii="Palatino Linotype" w:hAnsi="Palatino Linotype"/>
              </w:rPr>
              <w:lastRenderedPageBreak/>
              <w:t>Nombres completos de los trabajadores</w:t>
            </w:r>
          </w:p>
        </w:tc>
        <w:tc>
          <w:tcPr>
            <w:tcW w:w="3574" w:type="dxa"/>
          </w:tcPr>
          <w:p w:rsidR="002649F6" w:rsidRPr="00780B2B" w:rsidRDefault="002649F6" w:rsidP="002649F6">
            <w:pPr>
              <w:spacing w:line="360" w:lineRule="auto"/>
              <w:contextualSpacing/>
              <w:jc w:val="both"/>
              <w:rPr>
                <w:rFonts w:ascii="Palatino Linotype" w:hAnsi="Palatino Linotype"/>
                <w:color w:val="000000" w:themeColor="text1"/>
              </w:rPr>
            </w:pPr>
            <w:r w:rsidRPr="00780B2B">
              <w:rPr>
                <w:rFonts w:ascii="Palatino Linotype" w:hAnsi="Palatino Linotype"/>
                <w:color w:val="000000" w:themeColor="text1"/>
              </w:rPr>
              <w:t xml:space="preserve">Se manifiesta que los nombres de todo el personal adscrito al </w:t>
            </w:r>
            <w:r w:rsidRPr="00780B2B">
              <w:rPr>
                <w:rFonts w:ascii="Palatino Linotype" w:hAnsi="Palatino Linotype"/>
                <w:b/>
                <w:color w:val="000000" w:themeColor="text1"/>
              </w:rPr>
              <w:t>SUJETO OBLIGADO</w:t>
            </w:r>
            <w:r w:rsidRPr="00780B2B">
              <w:rPr>
                <w:rFonts w:ascii="Palatino Linotype" w:hAnsi="Palatino Linotype"/>
                <w:color w:val="000000" w:themeColor="text1"/>
              </w:rPr>
              <w:t xml:space="preserve"> pueden ser consultados en el portal de IPOMEX.</w:t>
            </w:r>
          </w:p>
        </w:tc>
        <w:tc>
          <w:tcPr>
            <w:tcW w:w="2312" w:type="dxa"/>
          </w:tcPr>
          <w:p w:rsidR="002649F6" w:rsidRPr="00780B2B" w:rsidRDefault="002649F6" w:rsidP="00D24F8C">
            <w:pPr>
              <w:spacing w:line="360" w:lineRule="auto"/>
              <w:contextualSpacing/>
              <w:jc w:val="center"/>
              <w:rPr>
                <w:rFonts w:ascii="Segoe UI Symbol" w:hAnsi="Segoe UI Symbol" w:cs="Segoe UI Symbol"/>
                <w:color w:val="000000" w:themeColor="text1"/>
                <w:sz w:val="48"/>
                <w:szCs w:val="48"/>
              </w:rPr>
            </w:pPr>
            <w:r w:rsidRPr="00780B2B">
              <w:rPr>
                <w:rFonts w:ascii="Segoe UI Symbol" w:hAnsi="Segoe UI Symbol" w:cs="Segoe UI Symbol"/>
                <w:color w:val="000000" w:themeColor="text1"/>
                <w:sz w:val="48"/>
                <w:szCs w:val="48"/>
              </w:rPr>
              <w:t>X</w:t>
            </w:r>
          </w:p>
        </w:tc>
      </w:tr>
      <w:tr w:rsidR="00D24F8C" w:rsidRPr="00780B2B" w:rsidTr="00D24F8C">
        <w:tc>
          <w:tcPr>
            <w:tcW w:w="2942" w:type="dxa"/>
          </w:tcPr>
          <w:p w:rsidR="00D24F8C" w:rsidRPr="00780B2B" w:rsidRDefault="00D24F8C" w:rsidP="00D24F8C">
            <w:pPr>
              <w:jc w:val="both"/>
            </w:pPr>
            <w:r w:rsidRPr="00780B2B">
              <w:rPr>
                <w:rFonts w:ascii="Palatino Linotype" w:hAnsi="Palatino Linotype"/>
              </w:rPr>
              <w:t>Recibos de nómina de la Presidenta del Sistema DIF de la Paz, de la administración 2003 - 2006, correspondientes de la primer y segunda quincena del mes de enero del año 2004.</w:t>
            </w:r>
          </w:p>
          <w:p w:rsidR="00D24F8C" w:rsidRPr="00780B2B" w:rsidRDefault="00D24F8C" w:rsidP="00D24F8C">
            <w:pPr>
              <w:spacing w:line="360" w:lineRule="auto"/>
              <w:contextualSpacing/>
              <w:jc w:val="both"/>
              <w:rPr>
                <w:rFonts w:ascii="Palatino Linotype" w:hAnsi="Palatino Linotype"/>
                <w:color w:val="000000" w:themeColor="text1"/>
              </w:rPr>
            </w:pPr>
          </w:p>
        </w:tc>
        <w:tc>
          <w:tcPr>
            <w:tcW w:w="3574" w:type="dxa"/>
          </w:tcPr>
          <w:p w:rsidR="00D24F8C" w:rsidRPr="00780B2B" w:rsidRDefault="00D24F8C" w:rsidP="00BF07B4">
            <w:pPr>
              <w:spacing w:line="360" w:lineRule="auto"/>
              <w:contextualSpacing/>
              <w:jc w:val="both"/>
              <w:rPr>
                <w:rFonts w:ascii="Palatino Linotype" w:hAnsi="Palatino Linotype"/>
                <w:color w:val="000000" w:themeColor="text1"/>
              </w:rPr>
            </w:pPr>
            <w:r w:rsidRPr="00780B2B">
              <w:rPr>
                <w:rFonts w:ascii="Palatino Linotype" w:hAnsi="Palatino Linotype"/>
                <w:color w:val="000000" w:themeColor="text1"/>
              </w:rPr>
              <w:t>Se manifiesta que derivado de la antigüedad de lo solicitado, causo baja documental.</w:t>
            </w:r>
          </w:p>
        </w:tc>
        <w:tc>
          <w:tcPr>
            <w:tcW w:w="2312" w:type="dxa"/>
          </w:tcPr>
          <w:p w:rsidR="00D24F8C" w:rsidRPr="00780B2B" w:rsidRDefault="00D24F8C" w:rsidP="00D24F8C">
            <w:pPr>
              <w:spacing w:line="360" w:lineRule="auto"/>
              <w:contextualSpacing/>
              <w:jc w:val="center"/>
              <w:rPr>
                <w:rFonts w:ascii="Palatino Linotype" w:hAnsi="Palatino Linotype"/>
                <w:color w:val="000000" w:themeColor="text1"/>
                <w:sz w:val="48"/>
                <w:szCs w:val="48"/>
              </w:rPr>
            </w:pPr>
            <w:r w:rsidRPr="00780B2B">
              <w:rPr>
                <w:rFonts w:ascii="Segoe UI Symbol" w:hAnsi="Segoe UI Symbol" w:cs="Segoe UI Symbol"/>
                <w:color w:val="000000" w:themeColor="text1"/>
                <w:sz w:val="48"/>
                <w:szCs w:val="48"/>
              </w:rPr>
              <w:t>✓</w:t>
            </w:r>
          </w:p>
        </w:tc>
      </w:tr>
    </w:tbl>
    <w:p w:rsidR="00BF07B4" w:rsidRPr="00780B2B" w:rsidRDefault="00BF07B4" w:rsidP="00BF07B4">
      <w:pPr>
        <w:spacing w:line="360" w:lineRule="auto"/>
        <w:contextualSpacing/>
        <w:jc w:val="both"/>
        <w:rPr>
          <w:rFonts w:ascii="Palatino Linotype" w:hAnsi="Palatino Linotype"/>
          <w:color w:val="000000" w:themeColor="text1"/>
        </w:rPr>
      </w:pPr>
    </w:p>
    <w:p w:rsidR="006132F8" w:rsidRPr="00780B2B" w:rsidRDefault="00D24F8C" w:rsidP="009506C9">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Como se </w:t>
      </w:r>
      <w:r w:rsidR="007F2F6F" w:rsidRPr="00780B2B">
        <w:rPr>
          <w:rFonts w:ascii="Palatino Linotype" w:hAnsi="Palatino Linotype"/>
          <w:color w:val="000000" w:themeColor="text1"/>
        </w:rPr>
        <w:t>desprende</w:t>
      </w:r>
      <w:r w:rsidRPr="00780B2B">
        <w:rPr>
          <w:rFonts w:ascii="Palatino Linotype" w:hAnsi="Palatino Linotype"/>
          <w:color w:val="000000" w:themeColor="text1"/>
        </w:rPr>
        <w:t xml:space="preserve"> del anterior cuadro, la primera solicitud de información se calificó que colma el d</w:t>
      </w:r>
      <w:r w:rsidR="009506C9" w:rsidRPr="00780B2B">
        <w:rPr>
          <w:rFonts w:ascii="Palatino Linotype" w:hAnsi="Palatino Linotype"/>
          <w:color w:val="000000" w:themeColor="text1"/>
        </w:rPr>
        <w:t xml:space="preserve">erecho del solicitante toda vez que la inexistencia de lo solicitado se sustenta en que corresponde a un cargo honorifico; dicho en otras palabras, que concierne a un cargo que se asume voluntariamente en beneficio de la sociedad, por el cual no se no recibe </w:t>
      </w:r>
      <w:r w:rsidR="00906BB0" w:rsidRPr="00780B2B">
        <w:rPr>
          <w:rFonts w:ascii="Palatino Linotype" w:hAnsi="Palatino Linotype"/>
          <w:color w:val="000000" w:themeColor="text1"/>
        </w:rPr>
        <w:t xml:space="preserve">retribución económica, contexto que se refrendó el </w:t>
      </w:r>
      <w:r w:rsidR="00906BB0" w:rsidRPr="00780B2B">
        <w:rPr>
          <w:rFonts w:ascii="Palatino Linotype" w:hAnsi="Palatino Linotype"/>
          <w:b/>
          <w:color w:val="000000" w:themeColor="text1"/>
        </w:rPr>
        <w:t>SUJETO OBLIGADO</w:t>
      </w:r>
      <w:r w:rsidR="00906BB0" w:rsidRPr="00780B2B">
        <w:rPr>
          <w:rFonts w:ascii="Palatino Linotype" w:hAnsi="Palatino Linotype"/>
          <w:color w:val="000000" w:themeColor="text1"/>
        </w:rPr>
        <w:t xml:space="preserve"> al momento de rendir su informe justificado, de la siguiente manera:</w:t>
      </w:r>
    </w:p>
    <w:p w:rsidR="00906BB0" w:rsidRPr="00780B2B" w:rsidRDefault="00906BB0" w:rsidP="00906BB0">
      <w:pPr>
        <w:spacing w:line="360" w:lineRule="auto"/>
        <w:contextualSpacing/>
        <w:jc w:val="both"/>
        <w:rPr>
          <w:rFonts w:ascii="Palatino Linotype" w:hAnsi="Palatino Linotype"/>
          <w:color w:val="000000" w:themeColor="text1"/>
        </w:rPr>
      </w:pPr>
    </w:p>
    <w:p w:rsidR="00906BB0" w:rsidRPr="00780B2B" w:rsidRDefault="007F2F6F" w:rsidP="00906BB0">
      <w:pPr>
        <w:spacing w:line="360" w:lineRule="auto"/>
        <w:contextualSpacing/>
        <w:jc w:val="center"/>
        <w:rPr>
          <w:rFonts w:ascii="Palatino Linotype" w:hAnsi="Palatino Linotype"/>
          <w:color w:val="000000" w:themeColor="text1"/>
        </w:rPr>
      </w:pPr>
      <w:r w:rsidRPr="00780B2B">
        <w:rPr>
          <w:rFonts w:ascii="Palatino Linotype" w:hAnsi="Palatino Linotype"/>
          <w:noProof/>
          <w:color w:val="000000" w:themeColor="text1"/>
          <w:lang w:val="es-MX" w:eastAsia="es-MX"/>
        </w:rPr>
        <w:lastRenderedPageBreak/>
        <w:drawing>
          <wp:inline distT="0" distB="0" distL="0" distR="0">
            <wp:extent cx="5256988" cy="2409825"/>
            <wp:effectExtent l="19050" t="19050" r="203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540" cy="2411453"/>
                    </a:xfrm>
                    <a:prstGeom prst="rect">
                      <a:avLst/>
                    </a:prstGeom>
                    <a:noFill/>
                    <a:ln>
                      <a:solidFill>
                        <a:schemeClr val="tx1"/>
                      </a:solidFill>
                    </a:ln>
                  </pic:spPr>
                </pic:pic>
              </a:graphicData>
            </a:graphic>
          </wp:inline>
        </w:drawing>
      </w:r>
    </w:p>
    <w:p w:rsidR="009506C9" w:rsidRPr="00780B2B" w:rsidRDefault="009506C9" w:rsidP="009506C9">
      <w:pPr>
        <w:spacing w:line="360" w:lineRule="auto"/>
        <w:contextualSpacing/>
        <w:jc w:val="both"/>
        <w:rPr>
          <w:rFonts w:ascii="Palatino Linotype" w:hAnsi="Palatino Linotype"/>
          <w:color w:val="000000" w:themeColor="text1"/>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cs="Arial"/>
        </w:rPr>
      </w:pPr>
      <w:r w:rsidRPr="00780B2B">
        <w:rPr>
          <w:rFonts w:ascii="Palatino Linotype" w:hAnsi="Palatino Linotype" w:cs="Arial"/>
        </w:rPr>
        <w:t xml:space="preserve">Luego entonces, al no </w:t>
      </w:r>
      <w:r w:rsidR="007F2F6F" w:rsidRPr="00780B2B">
        <w:rPr>
          <w:rFonts w:ascii="Palatino Linotype" w:hAnsi="Palatino Linotype" w:cs="Arial"/>
        </w:rPr>
        <w:t xml:space="preserve">generar, poseer o administrar </w:t>
      </w:r>
      <w:r w:rsidRPr="00780B2B">
        <w:rPr>
          <w:rFonts w:ascii="Palatino Linotype" w:hAnsi="Palatino Linotype" w:cs="Arial"/>
        </w:rPr>
        <w:t xml:space="preserve">ningún soporte documental al respecto en sus archivos, es obvio que la información requerida no puede obrar fácticamente en los archivos del </w:t>
      </w:r>
      <w:r w:rsidRPr="00780B2B">
        <w:rPr>
          <w:rFonts w:ascii="Palatino Linotype" w:hAnsi="Palatino Linotype" w:cs="Arial"/>
          <w:b/>
        </w:rPr>
        <w:t>SUJETO OBLIGADO</w:t>
      </w:r>
      <w:r w:rsidRPr="00780B2B">
        <w:rPr>
          <w:rFonts w:ascii="Palatino Linotype" w:hAnsi="Palatino Linotype" w:cs="Arial"/>
        </w:rPr>
        <w:t>, ya que no puede probarse por ser lógica y materialmente imposible, en razón de que, al no haber generado dicha información, no la posee, no administra, y no cuenta con la misma.</w:t>
      </w:r>
    </w:p>
    <w:p w:rsidR="00807626" w:rsidRPr="00780B2B" w:rsidRDefault="00807626" w:rsidP="00807626">
      <w:pPr>
        <w:spacing w:line="360" w:lineRule="auto"/>
        <w:contextualSpacing/>
        <w:jc w:val="both"/>
        <w:rPr>
          <w:rFonts w:ascii="Palatino Linotype" w:hAnsi="Palatino Linotype" w:cs="Arial"/>
        </w:rPr>
      </w:pPr>
    </w:p>
    <w:p w:rsidR="00807626" w:rsidRPr="00780B2B" w:rsidRDefault="00807626" w:rsidP="00807626">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780B2B">
        <w:rPr>
          <w:rFonts w:ascii="Palatino Linotype" w:hAnsi="Palatino Linotype" w:cs="Arial"/>
        </w:rPr>
        <w:t xml:space="preserve">En </w:t>
      </w:r>
      <w:r w:rsidRPr="00780B2B">
        <w:rPr>
          <w:rFonts w:ascii="Palatino Linotype" w:hAnsi="Palatino Linotype"/>
          <w:color w:val="000000"/>
        </w:rPr>
        <w:t>este</w:t>
      </w:r>
      <w:r w:rsidRPr="00780B2B">
        <w:rPr>
          <w:rFonts w:ascii="Palatino Linotype" w:hAnsi="Palatino Linotype" w:cs="Arial"/>
        </w:rPr>
        <w:t xml:space="preserve"> sentido, no se trata de un caso por el cual la negación del hecho implique la </w:t>
      </w:r>
      <w:r w:rsidRPr="00780B2B">
        <w:rPr>
          <w:rFonts w:ascii="Palatino Linotype" w:hAnsi="Palatino Linotype"/>
        </w:rPr>
        <w:t>afirmación</w:t>
      </w:r>
      <w:r w:rsidRPr="00780B2B">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780B2B">
        <w:rPr>
          <w:rFonts w:ascii="Palatino Linotype" w:hAnsi="Palatino Linotype" w:cs="Arial"/>
          <w:color w:val="222222"/>
        </w:rPr>
        <w:t>:</w:t>
      </w:r>
    </w:p>
    <w:p w:rsidR="00807626" w:rsidRPr="00780B2B" w:rsidRDefault="00807626" w:rsidP="00807626">
      <w:pPr>
        <w:pStyle w:val="Prrafodelista"/>
        <w:rPr>
          <w:rFonts w:ascii="Palatino Linotype" w:hAnsi="Palatino Linotype" w:cs="Arial"/>
          <w:b/>
          <w:bCs/>
          <w:i/>
          <w:iCs/>
          <w:color w:val="222222"/>
        </w:rPr>
      </w:pPr>
    </w:p>
    <w:p w:rsidR="00807626" w:rsidRPr="00780B2B" w:rsidRDefault="00807626" w:rsidP="00807626">
      <w:pPr>
        <w:pStyle w:val="Prrafodelista"/>
        <w:spacing w:line="360" w:lineRule="auto"/>
        <w:ind w:left="425" w:right="476"/>
        <w:jc w:val="both"/>
        <w:rPr>
          <w:rFonts w:ascii="Palatino Linotype" w:hAnsi="Palatino Linotype" w:cs="Arial"/>
          <w:i/>
          <w:iCs/>
          <w:color w:val="222222"/>
        </w:rPr>
      </w:pPr>
      <w:r w:rsidRPr="00780B2B">
        <w:rPr>
          <w:rFonts w:ascii="Palatino Linotype" w:hAnsi="Palatino Linotype" w:cs="Arial"/>
          <w:b/>
          <w:bCs/>
          <w:i/>
          <w:iCs/>
          <w:color w:val="222222"/>
        </w:rPr>
        <w:t xml:space="preserve">“HECHOS NEGATIVOS, NO SON SUSCEPTIBLES DE DEMOSTRACIÓN. </w:t>
      </w:r>
      <w:r w:rsidRPr="00780B2B">
        <w:rPr>
          <w:rFonts w:ascii="Palatino Linotype" w:hAnsi="Palatino Linotype" w:cs="Arial"/>
          <w:i/>
          <w:iCs/>
          <w:color w:val="222222"/>
        </w:rPr>
        <w:t xml:space="preserve">Tratándose de un hecho negativo, el Juez no tiene por qué </w:t>
      </w:r>
      <w:r w:rsidRPr="00780B2B">
        <w:rPr>
          <w:rFonts w:ascii="Palatino Linotype" w:hAnsi="Palatino Linotype" w:cs="Arial"/>
          <w:i/>
          <w:iCs/>
          <w:color w:val="222222"/>
        </w:rPr>
        <w:lastRenderedPageBreak/>
        <w:t>invocar prueba alguna de la que se desprenda, ya que es bien sabido que esta clase de hechos no son susceptibles de demostración.</w:t>
      </w:r>
    </w:p>
    <w:p w:rsidR="00807626" w:rsidRPr="00780B2B" w:rsidRDefault="00807626" w:rsidP="00807626">
      <w:pPr>
        <w:pStyle w:val="Prrafodelista"/>
        <w:spacing w:line="360" w:lineRule="auto"/>
        <w:ind w:left="425" w:right="476"/>
        <w:jc w:val="both"/>
        <w:rPr>
          <w:rFonts w:ascii="Palatino Linotype" w:eastAsia="MS Mincho" w:hAnsi="Palatino Linotype" w:cs="Arial"/>
          <w:color w:val="000000" w:themeColor="text1"/>
          <w:lang w:val="es-MX"/>
        </w:rPr>
      </w:pPr>
    </w:p>
    <w:p w:rsidR="00807626" w:rsidRPr="00780B2B" w:rsidRDefault="00807626" w:rsidP="00807626">
      <w:pPr>
        <w:pStyle w:val="Prrafodelista"/>
        <w:shd w:val="clear" w:color="auto" w:fill="FFFFFF"/>
        <w:spacing w:line="360" w:lineRule="auto"/>
        <w:ind w:left="425" w:right="476"/>
        <w:jc w:val="both"/>
        <w:rPr>
          <w:rFonts w:ascii="Palatino Linotype" w:hAnsi="Palatino Linotype" w:cs="Arial"/>
          <w:i/>
          <w:iCs/>
          <w:color w:val="222222"/>
        </w:rPr>
      </w:pPr>
      <w:r w:rsidRPr="00780B2B">
        <w:rPr>
          <w:rFonts w:ascii="Palatino Linotype" w:hAnsi="Palatino Linotype" w:cs="Arial"/>
          <w:i/>
          <w:iCs/>
          <w:color w:val="222222"/>
        </w:rPr>
        <w:t>Amparo en revisión 2022/61. José García Florín (Menor). 9 de octubre de 1961. Cinco votos. Ponente: José Rivera Pérez Campos.”</w:t>
      </w:r>
    </w:p>
    <w:p w:rsidR="00807626" w:rsidRPr="00780B2B" w:rsidRDefault="00807626" w:rsidP="00807626">
      <w:pPr>
        <w:pStyle w:val="Prrafodelista"/>
        <w:shd w:val="clear" w:color="auto" w:fill="FFFFFF"/>
        <w:spacing w:line="360" w:lineRule="auto"/>
        <w:ind w:left="425" w:right="476"/>
        <w:jc w:val="both"/>
        <w:rPr>
          <w:rFonts w:ascii="Palatino Linotype" w:hAnsi="Palatino Linotype" w:cs="Arial"/>
          <w:i/>
          <w:iCs/>
          <w:color w:val="222222"/>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cs="Arial"/>
          <w:iCs/>
          <w:color w:val="222222"/>
        </w:rPr>
      </w:pPr>
      <w:r w:rsidRPr="00780B2B">
        <w:rPr>
          <w:rFonts w:ascii="Palatino Linotype" w:hAnsi="Palatino Linotype" w:cs="Arial"/>
          <w:iCs/>
          <w:color w:val="222222"/>
        </w:rPr>
        <w:t xml:space="preserve">De igual </w:t>
      </w:r>
      <w:r w:rsidRPr="00780B2B">
        <w:rPr>
          <w:rFonts w:ascii="Palatino Linotype" w:hAnsi="Palatino Linotype" w:cs="Arial"/>
        </w:rPr>
        <w:t>forma</w:t>
      </w:r>
      <w:r w:rsidRPr="00780B2B">
        <w:rPr>
          <w:rFonts w:ascii="Palatino Linotype" w:hAnsi="Palatino Linotype" w:cs="Arial"/>
          <w:iCs/>
          <w:color w:val="222222"/>
        </w:rPr>
        <w:t xml:space="preserve">, es </w:t>
      </w:r>
      <w:r w:rsidRPr="00780B2B">
        <w:rPr>
          <w:rFonts w:ascii="Palatino Linotype" w:hAnsi="Palatino Linotype" w:cs="Arial"/>
        </w:rPr>
        <w:t>aplicable</w:t>
      </w:r>
      <w:r w:rsidRPr="00780B2B">
        <w:rPr>
          <w:rFonts w:ascii="Palatino Linotype" w:hAnsi="Palatino Linotype" w:cs="Arial"/>
          <w:iCs/>
          <w:color w:val="222222"/>
        </w:rPr>
        <w:t xml:space="preserve"> el Criterio 7/2017, emitido en la Segunda Época por el </w:t>
      </w:r>
      <w:r w:rsidRPr="00780B2B">
        <w:rPr>
          <w:rFonts w:ascii="Palatino Linotype" w:hAnsi="Palatino Linotype" w:cs="Arial"/>
        </w:rPr>
        <w:t>Instituto</w:t>
      </w:r>
      <w:r w:rsidRPr="00780B2B">
        <w:rPr>
          <w:rFonts w:ascii="Palatino Linotype" w:hAnsi="Palatino Linotype" w:cs="Arial"/>
          <w:iCs/>
          <w:color w:val="222222"/>
        </w:rPr>
        <w:t xml:space="preserve"> Nacional de Transparencia, Acceso a la Información y Protección de Datos Personales, el cual señala lo siguiente:</w:t>
      </w:r>
    </w:p>
    <w:p w:rsidR="00807626" w:rsidRPr="00780B2B" w:rsidRDefault="00807626" w:rsidP="00807626">
      <w:pPr>
        <w:pStyle w:val="Prrafodelista"/>
        <w:spacing w:line="360" w:lineRule="auto"/>
        <w:ind w:left="0"/>
        <w:jc w:val="both"/>
        <w:rPr>
          <w:rFonts w:ascii="Palatino Linotype" w:hAnsi="Palatino Linotype" w:cs="Arial"/>
          <w:iCs/>
          <w:color w:val="222222"/>
        </w:rPr>
      </w:pPr>
    </w:p>
    <w:p w:rsidR="00807626" w:rsidRPr="00780B2B" w:rsidRDefault="00807626" w:rsidP="00807626">
      <w:pPr>
        <w:tabs>
          <w:tab w:val="left" w:pos="426"/>
        </w:tabs>
        <w:spacing w:line="360" w:lineRule="auto"/>
        <w:ind w:left="425" w:right="476"/>
        <w:contextualSpacing/>
        <w:jc w:val="both"/>
        <w:rPr>
          <w:rFonts w:ascii="Palatino Linotype" w:eastAsia="MS Mincho" w:hAnsi="Palatino Linotype" w:cs="Arial"/>
          <w:color w:val="000000" w:themeColor="text1"/>
        </w:rPr>
      </w:pPr>
      <w:r w:rsidRPr="00780B2B">
        <w:rPr>
          <w:rFonts w:ascii="Palatino Linotype" w:eastAsia="MS Mincho" w:hAnsi="Palatino Linotype" w:cs="Arial"/>
          <w:color w:val="000000" w:themeColor="text1"/>
        </w:rPr>
        <w:t xml:space="preserve"> “</w:t>
      </w:r>
      <w:r w:rsidRPr="00780B2B">
        <w:rPr>
          <w:rFonts w:ascii="Palatino Linotype" w:hAnsi="Palatino Linotype" w:cs="Arial"/>
          <w:b/>
          <w:i/>
          <w:color w:val="222222"/>
        </w:rPr>
        <w:t xml:space="preserve">Casos en los que no es necesario que el Comité de Transparencia confirme formalmente la inexistencia de la información. </w:t>
      </w:r>
      <w:r w:rsidRPr="00780B2B">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807626" w:rsidRPr="00780B2B" w:rsidRDefault="00807626" w:rsidP="00807626">
      <w:pPr>
        <w:shd w:val="clear" w:color="auto" w:fill="FFFFFF"/>
        <w:spacing w:line="360" w:lineRule="auto"/>
        <w:ind w:left="425" w:right="476"/>
        <w:jc w:val="both"/>
        <w:rPr>
          <w:rFonts w:ascii="Palatino Linotype" w:hAnsi="Palatino Linotype" w:cs="Arial"/>
          <w:i/>
          <w:color w:val="222222"/>
        </w:rPr>
      </w:pPr>
      <w:r w:rsidRPr="00780B2B">
        <w:rPr>
          <w:rFonts w:ascii="Palatino Linotype" w:hAnsi="Palatino Linotype" w:cs="Arial"/>
          <w:i/>
          <w:color w:val="222222"/>
        </w:rPr>
        <w:lastRenderedPageBreak/>
        <w:t>Resoluciones:</w:t>
      </w:r>
    </w:p>
    <w:p w:rsidR="00807626" w:rsidRPr="00780B2B" w:rsidRDefault="00807626" w:rsidP="00807626">
      <w:pPr>
        <w:shd w:val="clear" w:color="auto" w:fill="FFFFFF"/>
        <w:spacing w:line="360" w:lineRule="auto"/>
        <w:ind w:left="425" w:right="476"/>
        <w:jc w:val="both"/>
        <w:rPr>
          <w:rFonts w:ascii="Palatino Linotype" w:hAnsi="Palatino Linotype" w:cs="Arial"/>
          <w:i/>
          <w:color w:val="222222"/>
        </w:rPr>
      </w:pPr>
      <w:r w:rsidRPr="00780B2B">
        <w:rPr>
          <w:rFonts w:ascii="Palatino Linotype" w:hAnsi="Palatino Linotype" w:cs="Arial"/>
          <w:i/>
          <w:color w:val="222222"/>
        </w:rPr>
        <w:t>•</w:t>
      </w:r>
      <w:r w:rsidRPr="00780B2B">
        <w:rPr>
          <w:rFonts w:ascii="Palatino Linotype" w:hAnsi="Palatino Linotype" w:cs="Arial"/>
          <w:i/>
          <w:color w:val="222222"/>
        </w:rPr>
        <w:tab/>
        <w:t xml:space="preserve">RRA 2959/16. Secretaría de Gobernación. 23 de noviembre de 2016. Por unanimidad. Comisionado Ponente </w:t>
      </w:r>
      <w:proofErr w:type="spellStart"/>
      <w:r w:rsidRPr="00780B2B">
        <w:rPr>
          <w:rFonts w:ascii="Palatino Linotype" w:hAnsi="Palatino Linotype" w:cs="Arial"/>
          <w:i/>
          <w:color w:val="222222"/>
        </w:rPr>
        <w:t>Rosendoevgueni</w:t>
      </w:r>
      <w:proofErr w:type="spellEnd"/>
      <w:r w:rsidRPr="00780B2B">
        <w:rPr>
          <w:rFonts w:ascii="Palatino Linotype" w:hAnsi="Palatino Linotype" w:cs="Arial"/>
          <w:i/>
          <w:color w:val="222222"/>
        </w:rPr>
        <w:t xml:space="preserve"> Monterrey </w:t>
      </w:r>
      <w:proofErr w:type="spellStart"/>
      <w:r w:rsidRPr="00780B2B">
        <w:rPr>
          <w:rFonts w:ascii="Palatino Linotype" w:hAnsi="Palatino Linotype" w:cs="Arial"/>
          <w:i/>
          <w:color w:val="222222"/>
        </w:rPr>
        <w:t>Chepov</w:t>
      </w:r>
      <w:proofErr w:type="spellEnd"/>
      <w:r w:rsidRPr="00780B2B">
        <w:rPr>
          <w:rFonts w:ascii="Palatino Linotype" w:hAnsi="Palatino Linotype" w:cs="Arial"/>
          <w:i/>
          <w:color w:val="222222"/>
        </w:rPr>
        <w:t>.</w:t>
      </w:r>
    </w:p>
    <w:p w:rsidR="00807626" w:rsidRPr="00780B2B" w:rsidRDefault="00807626" w:rsidP="00807626">
      <w:pPr>
        <w:shd w:val="clear" w:color="auto" w:fill="FFFFFF"/>
        <w:spacing w:line="360" w:lineRule="auto"/>
        <w:ind w:left="425" w:right="476"/>
        <w:jc w:val="both"/>
        <w:rPr>
          <w:rFonts w:ascii="Palatino Linotype" w:hAnsi="Palatino Linotype" w:cs="Arial"/>
          <w:i/>
          <w:color w:val="222222"/>
        </w:rPr>
      </w:pPr>
      <w:r w:rsidRPr="00780B2B">
        <w:rPr>
          <w:rFonts w:ascii="Palatino Linotype" w:hAnsi="Palatino Linotype" w:cs="Arial"/>
          <w:i/>
          <w:color w:val="222222"/>
        </w:rPr>
        <w:t>•</w:t>
      </w:r>
      <w:r w:rsidRPr="00780B2B">
        <w:rPr>
          <w:rFonts w:ascii="Palatino Linotype" w:hAnsi="Palatino Linotype" w:cs="Arial"/>
          <w:i/>
          <w:color w:val="222222"/>
        </w:rPr>
        <w:tab/>
        <w:t>RRA 3186/16. Petróleos Mexicanos. 13 de diciembre de 2016. Por unanimidad. Comisionado Ponente Francisco Javier Acuña Llamas.</w:t>
      </w:r>
    </w:p>
    <w:p w:rsidR="00807626" w:rsidRPr="00780B2B" w:rsidRDefault="00807626" w:rsidP="00807626">
      <w:pPr>
        <w:shd w:val="clear" w:color="auto" w:fill="FFFFFF"/>
        <w:spacing w:line="360" w:lineRule="auto"/>
        <w:ind w:left="425" w:right="476"/>
        <w:jc w:val="both"/>
        <w:rPr>
          <w:rFonts w:ascii="Palatino Linotype" w:hAnsi="Palatino Linotype" w:cs="Arial"/>
          <w:i/>
          <w:color w:val="222222"/>
        </w:rPr>
      </w:pPr>
      <w:r w:rsidRPr="00780B2B">
        <w:rPr>
          <w:rFonts w:ascii="Palatino Linotype" w:hAnsi="Palatino Linotype" w:cs="Arial"/>
          <w:i/>
          <w:color w:val="222222"/>
        </w:rPr>
        <w:t>•</w:t>
      </w:r>
      <w:r w:rsidRPr="00780B2B">
        <w:rPr>
          <w:rFonts w:ascii="Palatino Linotype" w:hAnsi="Palatino Linotype" w:cs="Arial"/>
          <w:i/>
          <w:color w:val="222222"/>
        </w:rPr>
        <w:tab/>
        <w:t>RRA 4216/16. Cámara de Diputados. 05 de enero de 2017. Por unanimidad. Comisionada Ponente Areli Cano Guadiana.”</w:t>
      </w:r>
    </w:p>
    <w:p w:rsidR="00807626" w:rsidRPr="00780B2B" w:rsidRDefault="00807626" w:rsidP="00807626">
      <w:pPr>
        <w:shd w:val="clear" w:color="auto" w:fill="FFFFFF"/>
        <w:spacing w:line="360" w:lineRule="auto"/>
        <w:ind w:left="425" w:right="476"/>
        <w:jc w:val="both"/>
        <w:rPr>
          <w:rFonts w:ascii="Palatino Linotype" w:hAnsi="Palatino Linotype" w:cs="Arial"/>
          <w:i/>
          <w:color w:val="222222"/>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i/>
        </w:rPr>
      </w:pPr>
      <w:r w:rsidRPr="00780B2B">
        <w:rPr>
          <w:rFonts w:ascii="Palatino Linotype" w:eastAsia="Palatino Linotype" w:hAnsi="Palatino Linotype" w:cs="Palatino Linotype"/>
          <w:color w:val="000000"/>
        </w:rPr>
        <w:t xml:space="preserve">Por otro lado, no pasa inadvertido que este </w:t>
      </w:r>
      <w:r w:rsidRPr="00780B2B">
        <w:rPr>
          <w:rFonts w:ascii="Palatino Linotype" w:eastAsia="MS Mincho" w:hAnsi="Palatino Linotype" w:cs="Arial"/>
        </w:rPr>
        <w:t>Instituto</w:t>
      </w:r>
      <w:r w:rsidRPr="00780B2B">
        <w:rPr>
          <w:rFonts w:ascii="Palatino Linotype" w:eastAsia="Palatino Linotype" w:hAnsi="Palatino Linotype" w:cs="Palatino Linotype"/>
          <w:color w:val="000000"/>
        </w:rPr>
        <w:t xml:space="preserve"> no está facultado para dudar de la veracidad de la </w:t>
      </w:r>
      <w:r w:rsidRPr="00780B2B">
        <w:rPr>
          <w:rFonts w:ascii="Palatino Linotype" w:eastAsia="MS Mincho" w:hAnsi="Palatino Linotype" w:cs="Arial"/>
        </w:rPr>
        <w:t>información</w:t>
      </w:r>
      <w:r w:rsidRPr="00780B2B">
        <w:rPr>
          <w:rFonts w:ascii="Palatino Linotype" w:eastAsia="Palatino Linotype" w:hAnsi="Palatino Linotype" w:cs="Palatino Linotype"/>
          <w:color w:val="000000"/>
        </w:rPr>
        <w:t xml:space="preserve"> que le fue entregada al hoy </w:t>
      </w:r>
      <w:r w:rsidRPr="00780B2B">
        <w:rPr>
          <w:rFonts w:ascii="Palatino Linotype" w:eastAsia="Palatino Linotype" w:hAnsi="Palatino Linotype" w:cs="Palatino Linotype"/>
          <w:b/>
          <w:color w:val="000000"/>
        </w:rPr>
        <w:t>RECURRENTE</w:t>
      </w:r>
      <w:r w:rsidRPr="00780B2B">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780B2B">
        <w:rPr>
          <w:rFonts w:ascii="Palatino Linotype" w:hAnsi="Palatino Linotype" w:cs="Arial"/>
        </w:rPr>
        <w:t xml:space="preserve">situación que se aleja de las atribuciones de este Instituto </w:t>
      </w:r>
      <w:r w:rsidRPr="00780B2B">
        <w:rPr>
          <w:rFonts w:ascii="Palatino Linotype" w:hAnsi="Palatino Linotype"/>
          <w:i/>
          <w:color w:val="000000"/>
        </w:rPr>
        <w:t>máxime</w:t>
      </w:r>
      <w:r w:rsidRPr="00780B2B">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Ello a colación de las expresiones vertidas en el escrito de recurso de revisión, a saber: “</w:t>
      </w:r>
      <w:r w:rsidRPr="00780B2B">
        <w:rPr>
          <w:rFonts w:ascii="Palatino Linotype" w:hAnsi="Palatino Linotype"/>
          <w:b/>
          <w:i/>
          <w:color w:val="000000"/>
        </w:rPr>
        <w:t>ME PARECE COMPLETAMENTE ABSURDA LA RESPUESTA A MI SOLICITUD, YA QUE LOS SUELDOS O LA CANTIDAD QUE SUPUESTAMENTE RECIBEN POR CONCEPTO DE HONORARIOS LAS PRESIDENTES DEL DIF DEBEN SER PÚBLICOS</w:t>
      </w:r>
      <w:r w:rsidRPr="00780B2B">
        <w:rPr>
          <w:rFonts w:ascii="Palatino Linotype" w:hAnsi="Palatino Linotype"/>
          <w:i/>
          <w:color w:val="000000"/>
        </w:rPr>
        <w:t xml:space="preserve">.” </w:t>
      </w:r>
      <w:r w:rsidRPr="00780B2B">
        <w:rPr>
          <w:rFonts w:ascii="Palatino Linotype" w:hAnsi="Palatino Linotype"/>
          <w:color w:val="000000"/>
        </w:rPr>
        <w:t>(Sic)</w:t>
      </w:r>
    </w:p>
    <w:p w:rsidR="00807626" w:rsidRPr="00780B2B" w:rsidRDefault="00807626" w:rsidP="00807626">
      <w:pPr>
        <w:pStyle w:val="Prrafodelista"/>
        <w:rPr>
          <w:rFonts w:ascii="Palatino Linotype" w:hAnsi="Palatino Linotype"/>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rPr>
      </w:pPr>
      <w:r w:rsidRPr="00780B2B">
        <w:rPr>
          <w:rFonts w:ascii="Palatino Linotype" w:eastAsia="Palatino Linotype" w:hAnsi="Palatino Linotype" w:cs="Palatino Linotype"/>
          <w:color w:val="000000"/>
        </w:rPr>
        <w:lastRenderedPageBreak/>
        <w:t>Sirviendo</w:t>
      </w:r>
      <w:r w:rsidRPr="00780B2B">
        <w:rPr>
          <w:rFonts w:ascii="Palatino Linotype" w:hAnsi="Palatino Linotype"/>
        </w:rPr>
        <w:t xml:space="preserve"> de apoyo a lo anterior por analogía, el criterio 31-10 emitido por el ahora </w:t>
      </w:r>
      <w:r w:rsidRPr="00780B2B">
        <w:rPr>
          <w:rFonts w:ascii="Palatino Linotype" w:hAnsi="Palatino Linotype"/>
          <w:color w:val="000000" w:themeColor="text1"/>
        </w:rPr>
        <w:t>Instituto</w:t>
      </w:r>
      <w:r w:rsidRPr="00780B2B">
        <w:rPr>
          <w:rFonts w:ascii="Palatino Linotype" w:hAnsi="Palatino Linotype"/>
        </w:rPr>
        <w:t xml:space="preserve"> </w:t>
      </w:r>
      <w:r w:rsidRPr="00780B2B">
        <w:rPr>
          <w:rFonts w:ascii="Palatino Linotype" w:eastAsia="Palatino Linotype" w:hAnsi="Palatino Linotype" w:cs="Palatino Linotype"/>
          <w:color w:val="000000"/>
        </w:rPr>
        <w:t>Nacional</w:t>
      </w:r>
      <w:r w:rsidRPr="00780B2B">
        <w:rPr>
          <w:rFonts w:ascii="Palatino Linotype" w:hAnsi="Palatino Linotype"/>
        </w:rPr>
        <w:t xml:space="preserve"> de Transparencia, Acceso a la Información y Protección de Datos Personales, que a la letra dice:</w:t>
      </w:r>
    </w:p>
    <w:p w:rsidR="00807626" w:rsidRPr="00780B2B" w:rsidRDefault="00807626" w:rsidP="00807626">
      <w:pPr>
        <w:pStyle w:val="Prrafodelista"/>
        <w:rPr>
          <w:rFonts w:ascii="Palatino Linotype" w:hAnsi="Palatino Linotype"/>
        </w:rPr>
      </w:pPr>
    </w:p>
    <w:p w:rsidR="00807626" w:rsidRPr="00780B2B" w:rsidRDefault="00807626" w:rsidP="00807626">
      <w:pPr>
        <w:pStyle w:val="Default"/>
        <w:spacing w:line="360" w:lineRule="auto"/>
        <w:ind w:left="851" w:right="850"/>
        <w:jc w:val="both"/>
        <w:rPr>
          <w:rFonts w:ascii="Palatino Linotype" w:hAnsi="Palatino Linotype"/>
          <w:i/>
        </w:rPr>
      </w:pPr>
      <w:r w:rsidRPr="00780B2B">
        <w:rPr>
          <w:rFonts w:ascii="Palatino Linotype" w:hAnsi="Palatino Linotype"/>
          <w:i/>
        </w:rPr>
        <w:t xml:space="preserve">“El Instituto Federal de Acceso a la Información y Protección de Datos </w:t>
      </w:r>
      <w:r w:rsidRPr="00780B2B">
        <w:rPr>
          <w:rFonts w:ascii="Palatino Linotype" w:hAnsi="Palatino Linotype"/>
          <w:b/>
          <w:i/>
        </w:rPr>
        <w:t>no cuenta con facultades para pronunciarse respecto de la veracidad de los documentos proporcionados por los sujetos obligados.</w:t>
      </w:r>
      <w:r w:rsidRPr="00780B2B">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07626" w:rsidRPr="00780B2B" w:rsidRDefault="00807626" w:rsidP="00807626">
      <w:pPr>
        <w:pStyle w:val="Default"/>
        <w:spacing w:line="360" w:lineRule="auto"/>
        <w:ind w:left="851" w:right="850"/>
        <w:jc w:val="both"/>
        <w:rPr>
          <w:rFonts w:ascii="Palatino Linotype" w:hAnsi="Palatino Linotype"/>
          <w:i/>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i/>
        </w:rPr>
      </w:pPr>
      <w:r w:rsidRPr="00780B2B">
        <w:rPr>
          <w:rFonts w:ascii="Palatino Linotype" w:hAnsi="Palatino Linotype" w:cs="Arial"/>
        </w:rPr>
        <w:t>Así como lo dispuesto por</w:t>
      </w:r>
      <w:r w:rsidRPr="00780B2B">
        <w:rPr>
          <w:rFonts w:ascii="Palatino Linotype" w:hAnsi="Palatino Linotype"/>
        </w:rPr>
        <w:t xml:space="preserve"> la </w:t>
      </w:r>
      <w:r w:rsidRPr="00780B2B">
        <w:rPr>
          <w:rFonts w:ascii="Palatino Linotype" w:hAnsi="Palatino Linotype"/>
          <w:b/>
        </w:rPr>
        <w:t xml:space="preserve">Ley de Transparencia y Acceso a la Información Pública del </w:t>
      </w:r>
      <w:r w:rsidRPr="00780B2B">
        <w:rPr>
          <w:rFonts w:ascii="Palatino Linotype" w:hAnsi="Palatino Linotype" w:cs="Arial"/>
          <w:b/>
        </w:rPr>
        <w:t>Estado</w:t>
      </w:r>
      <w:r w:rsidRPr="00780B2B">
        <w:rPr>
          <w:rFonts w:ascii="Palatino Linotype" w:hAnsi="Palatino Linotype"/>
          <w:b/>
        </w:rPr>
        <w:t xml:space="preserve"> de México y Municipios</w:t>
      </w:r>
      <w:r w:rsidRPr="00780B2B">
        <w:rPr>
          <w:rFonts w:ascii="Palatino Linotype" w:hAnsi="Palatino Linotype"/>
        </w:rPr>
        <w:t xml:space="preserve"> en su artículo 3, el cual establece que </w:t>
      </w:r>
      <w:r w:rsidRPr="00780B2B">
        <w:rPr>
          <w:rFonts w:ascii="Palatino Linotype" w:hAnsi="Palatino Linotype"/>
        </w:rPr>
        <w:lastRenderedPageBreak/>
        <w:t>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07626" w:rsidRPr="00780B2B" w:rsidRDefault="00807626" w:rsidP="00807626">
      <w:pPr>
        <w:pStyle w:val="Prrafodelista"/>
        <w:spacing w:line="360" w:lineRule="auto"/>
        <w:ind w:left="0"/>
        <w:jc w:val="both"/>
        <w:rPr>
          <w:rFonts w:ascii="Palatino Linotype" w:hAnsi="Palatino Linotype"/>
          <w:i/>
        </w:rPr>
      </w:pPr>
    </w:p>
    <w:p w:rsidR="00807626" w:rsidRPr="00780B2B" w:rsidRDefault="00807626" w:rsidP="00807626">
      <w:pPr>
        <w:pStyle w:val="Prrafodelista"/>
        <w:spacing w:line="360" w:lineRule="auto"/>
        <w:ind w:left="567" w:right="680"/>
        <w:jc w:val="both"/>
        <w:rPr>
          <w:rFonts w:ascii="Palatino Linotype" w:hAnsi="Palatino Linotype" w:cs="Arial"/>
          <w:b/>
          <w:i/>
        </w:rPr>
      </w:pPr>
      <w:r w:rsidRPr="00780B2B">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80B2B">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807626" w:rsidRPr="00780B2B" w:rsidRDefault="00807626" w:rsidP="00807626">
      <w:pPr>
        <w:spacing w:line="360" w:lineRule="auto"/>
        <w:ind w:right="902"/>
        <w:jc w:val="both"/>
        <w:rPr>
          <w:rFonts w:ascii="Palatino Linotype" w:hAnsi="Palatino Linotype" w:cs="Arial"/>
          <w:b/>
        </w:rPr>
      </w:pPr>
    </w:p>
    <w:p w:rsidR="00807626" w:rsidRPr="00780B2B" w:rsidRDefault="00807626" w:rsidP="0080762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780B2B">
        <w:rPr>
          <w:rFonts w:ascii="Palatino Linotype" w:hAnsi="Palatino Linotype" w:cs="Arial"/>
        </w:rPr>
        <w:t>Numerales</w:t>
      </w:r>
      <w:r w:rsidRPr="00780B2B">
        <w:rPr>
          <w:rFonts w:ascii="Palatino Linotype" w:hAnsi="Palatino Linotype" w:cs="Arial"/>
          <w:noProof/>
          <w:lang w:eastAsia="es-MX"/>
        </w:rPr>
        <w:t xml:space="preserve"> que compelen al </w:t>
      </w:r>
      <w:r w:rsidRPr="00780B2B">
        <w:rPr>
          <w:rFonts w:ascii="Palatino Linotype" w:hAnsi="Palatino Linotype" w:cs="Arial"/>
          <w:b/>
          <w:noProof/>
          <w:lang w:eastAsia="es-MX"/>
        </w:rPr>
        <w:t>SUJETO OBLIGADO</w:t>
      </w:r>
      <w:r w:rsidRPr="00780B2B">
        <w:rPr>
          <w:rFonts w:ascii="Palatino Linotype" w:hAnsi="Palatino Linotype" w:cs="Arial"/>
          <w:noProof/>
          <w:lang w:eastAsia="es-MX"/>
        </w:rPr>
        <w:t xml:space="preserve"> apegarse en todo momento a los </w:t>
      </w:r>
      <w:r w:rsidRPr="00780B2B">
        <w:rPr>
          <w:rFonts w:ascii="Palatino Linotype" w:hAnsi="Palatino Linotype" w:cs="Arial"/>
        </w:rPr>
        <w:t>criterios</w:t>
      </w:r>
      <w:r w:rsidRPr="00780B2B">
        <w:rPr>
          <w:rFonts w:ascii="Palatino Linotype" w:hAnsi="Palatino Linotype" w:cs="Arial"/>
          <w:noProof/>
          <w:lang w:eastAsia="es-MX"/>
        </w:rPr>
        <w:t xml:space="preserve"> ya expuestos, impidiendo a este Órgano Colegiado cuestionar la veracidad de la información;</w:t>
      </w:r>
      <w:r w:rsidRPr="00780B2B">
        <w:rPr>
          <w:rFonts w:ascii="Palatino Linotype" w:eastAsia="Palatino Linotype" w:hAnsi="Palatino Linotype" w:cs="Palatino Linotype"/>
          <w:color w:val="000000"/>
        </w:rPr>
        <w:t xml:space="preserve"> luego entonces, se tienen por colmadas las solicitudes de información de mérito.</w:t>
      </w:r>
    </w:p>
    <w:p w:rsidR="007F2F6F" w:rsidRPr="00780B2B" w:rsidRDefault="007F2F6F" w:rsidP="007F2F6F">
      <w:pPr>
        <w:spacing w:line="360" w:lineRule="auto"/>
        <w:contextualSpacing/>
        <w:jc w:val="both"/>
        <w:rPr>
          <w:rFonts w:ascii="Palatino Linotype" w:eastAsia="Palatino Linotype" w:hAnsi="Palatino Linotype" w:cs="Palatino Linotype"/>
          <w:color w:val="000000"/>
        </w:rPr>
      </w:pPr>
    </w:p>
    <w:p w:rsidR="009506C9" w:rsidRPr="00780B2B" w:rsidRDefault="00807626" w:rsidP="00807626">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Seguidamente, deviene la solicitud de información relativa al nombre de los psicólogos adscritos a la fecha de la solicitud de información, al Sistema DIF de la Paz, la cual no se calificó como colmada por las siguientes consideraciones.</w:t>
      </w:r>
    </w:p>
    <w:p w:rsidR="00807626" w:rsidRPr="00780B2B" w:rsidRDefault="007F2F6F" w:rsidP="00807626">
      <w:pPr>
        <w:numPr>
          <w:ilvl w:val="0"/>
          <w:numId w:val="1"/>
        </w:numPr>
        <w:spacing w:line="360" w:lineRule="auto"/>
        <w:ind w:left="0" w:firstLine="0"/>
        <w:contextualSpacing/>
        <w:jc w:val="both"/>
        <w:rPr>
          <w:rFonts w:ascii="Palatino Linotype" w:hAnsi="Palatino Linotype"/>
          <w:color w:val="000000"/>
        </w:rPr>
      </w:pPr>
      <w:r w:rsidRPr="00780B2B">
        <w:rPr>
          <w:rFonts w:ascii="Palatino Linotype" w:hAnsi="Palatino Linotype" w:cs="Arial"/>
          <w:color w:val="000000" w:themeColor="text1"/>
        </w:rPr>
        <w:lastRenderedPageBreak/>
        <w:t>Primeramente</w:t>
      </w:r>
      <w:r w:rsidR="00807626" w:rsidRPr="00780B2B">
        <w:rPr>
          <w:rFonts w:ascii="Palatino Linotype" w:hAnsi="Palatino Linotype" w:cs="Arial"/>
          <w:color w:val="000000" w:themeColor="text1"/>
        </w:rPr>
        <w:t xml:space="preserve">, es de mencionar que </w:t>
      </w:r>
      <w:r w:rsidR="00807626" w:rsidRPr="00780B2B">
        <w:rPr>
          <w:rFonts w:ascii="Palatino Linotype" w:eastAsia="Calibri" w:hAnsi="Palatino Linotype"/>
        </w:rPr>
        <w:t xml:space="preserve">la entrega un hipervínculo, del cual se pueden </w:t>
      </w:r>
      <w:r w:rsidR="00807626" w:rsidRPr="00780B2B">
        <w:rPr>
          <w:rFonts w:ascii="Palatino Linotype" w:eastAsia="Palatino Linotype" w:hAnsi="Palatino Linotype" w:cs="Palatino Linotype"/>
          <w:color w:val="000000"/>
        </w:rPr>
        <w:t>obtener</w:t>
      </w:r>
      <w:r w:rsidR="00807626" w:rsidRPr="00780B2B">
        <w:rPr>
          <w:rFonts w:ascii="Palatino Linotype" w:eastAsia="Calibri" w:hAnsi="Palatino Linotype"/>
        </w:rPr>
        <w:t xml:space="preserve"> la información</w:t>
      </w:r>
      <w:r w:rsidR="00807626" w:rsidRPr="00780B2B">
        <w:rPr>
          <w:rFonts w:ascii="Palatino Linotype" w:hAnsi="Palatino Linotype"/>
          <w:color w:val="000000"/>
        </w:rPr>
        <w:t>, ciertamente también puede colmar el derecho de acceso a la información de los particulares cuando se cumplan los requisitos que establece la ley de la materia.</w:t>
      </w:r>
    </w:p>
    <w:p w:rsidR="002649F6" w:rsidRPr="00780B2B" w:rsidRDefault="002649F6" w:rsidP="002649F6">
      <w:pPr>
        <w:pStyle w:val="Prrafodelista"/>
        <w:rPr>
          <w:rFonts w:ascii="Palatino Linotype" w:hAnsi="Palatino Linotype"/>
          <w:color w:val="000000"/>
        </w:rPr>
      </w:pPr>
    </w:p>
    <w:p w:rsidR="00807626" w:rsidRPr="00780B2B" w:rsidRDefault="00807626" w:rsidP="00807626">
      <w:pPr>
        <w:numPr>
          <w:ilvl w:val="0"/>
          <w:numId w:val="1"/>
        </w:numPr>
        <w:spacing w:line="360" w:lineRule="auto"/>
        <w:ind w:left="0" w:firstLine="0"/>
        <w:contextualSpacing/>
        <w:jc w:val="both"/>
        <w:rPr>
          <w:rFonts w:ascii="Palatino Linotype" w:eastAsia="MS Mincho" w:hAnsi="Palatino Linotype" w:cs="Tahoma"/>
        </w:rPr>
      </w:pPr>
      <w:r w:rsidRPr="00780B2B">
        <w:rPr>
          <w:rFonts w:ascii="Palatino Linotype" w:eastAsia="MS Mincho" w:hAnsi="Palatino Linotype" w:cs="Tahoma"/>
        </w:rPr>
        <w:t xml:space="preserve">En esa tesitura, la Ley de Transparencia y Acceso a la Información Pública del Estado de México y </w:t>
      </w:r>
      <w:r w:rsidRPr="00780B2B">
        <w:rPr>
          <w:rFonts w:ascii="Palatino Linotype" w:hAnsi="Palatino Linotype" w:cs="Arial"/>
          <w:color w:val="000000" w:themeColor="text1"/>
        </w:rPr>
        <w:t>Municipios</w:t>
      </w:r>
      <w:r w:rsidRPr="00780B2B">
        <w:rPr>
          <w:rFonts w:ascii="Palatino Linotype" w:eastAsia="MS Mincho" w:hAnsi="Palatino Linotype" w:cs="Tahoma"/>
        </w:rPr>
        <w:t xml:space="preserve"> en su artículo 161, establece lo siguiente:</w:t>
      </w:r>
    </w:p>
    <w:p w:rsidR="00807626" w:rsidRPr="00780B2B" w:rsidRDefault="00807626" w:rsidP="00807626">
      <w:pPr>
        <w:pStyle w:val="Prrafodelista"/>
        <w:rPr>
          <w:rFonts w:ascii="Palatino Linotype" w:eastAsia="MS Mincho" w:hAnsi="Palatino Linotype" w:cs="Tahoma"/>
        </w:rPr>
      </w:pPr>
    </w:p>
    <w:p w:rsidR="00807626" w:rsidRPr="00780B2B" w:rsidRDefault="00807626" w:rsidP="00807626">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780B2B">
        <w:rPr>
          <w:rFonts w:ascii="Palatino Linotype" w:eastAsia="MS Mincho" w:hAnsi="Palatino Linotype" w:cs="Tahoma"/>
          <w:i/>
        </w:rPr>
        <w:t>“</w:t>
      </w:r>
      <w:r w:rsidRPr="00780B2B">
        <w:rPr>
          <w:rFonts w:ascii="Palatino Linotype" w:eastAsia="MS Mincho" w:hAnsi="Palatino Linotype" w:cs="Tahoma"/>
          <w:b/>
          <w:i/>
        </w:rPr>
        <w:t>Artículo 161.</w:t>
      </w:r>
      <w:r w:rsidRPr="00780B2B">
        <w:rPr>
          <w:rFonts w:ascii="Palatino Linotype" w:eastAsia="MS Mincho" w:hAnsi="Palatino Linotype" w:cs="Tahoma"/>
          <w:i/>
        </w:rPr>
        <w:t xml:space="preserve"> </w:t>
      </w:r>
      <w:r w:rsidRPr="00780B2B">
        <w:rPr>
          <w:rFonts w:ascii="Palatino Linotype" w:eastAsia="MS Mincho" w:hAnsi="Palatino Linotype" w:cs="Tahoma"/>
          <w:b/>
          <w:i/>
        </w:rPr>
        <w:t>Cuando la información requerida por el solicitante ya esté disponible al público en medios</w:t>
      </w:r>
      <w:r w:rsidRPr="00780B2B">
        <w:rPr>
          <w:rFonts w:ascii="Palatino Linotype" w:eastAsia="MS Mincho" w:hAnsi="Palatino Linotype" w:cs="Tahoma"/>
          <w:i/>
        </w:rPr>
        <w:t xml:space="preserve"> </w:t>
      </w:r>
      <w:r w:rsidRPr="00780B2B">
        <w:rPr>
          <w:rFonts w:ascii="Palatino Linotype" w:eastAsia="MS Mincho" w:hAnsi="Palatino Linotype" w:cs="Tahoma"/>
          <w:b/>
          <w:i/>
        </w:rPr>
        <w:t>impresos, tales como</w:t>
      </w:r>
      <w:r w:rsidRPr="00780B2B">
        <w:rPr>
          <w:rFonts w:ascii="Palatino Linotype" w:eastAsia="MS Mincho" w:hAnsi="Palatino Linotype" w:cs="Tahoma"/>
          <w:i/>
        </w:rPr>
        <w:t xml:space="preserve"> libros, compendios, trípticos, registros públicos, </w:t>
      </w:r>
      <w:r w:rsidRPr="00780B2B">
        <w:rPr>
          <w:rFonts w:ascii="Palatino Linotype" w:eastAsia="MS Mincho" w:hAnsi="Palatino Linotype" w:cs="Tahoma"/>
          <w:b/>
          <w:i/>
        </w:rPr>
        <w:t>en formatos electrónicos disponibles en Internet</w:t>
      </w:r>
      <w:r w:rsidRPr="00780B2B">
        <w:rPr>
          <w:rFonts w:ascii="Palatino Linotype" w:eastAsia="MS Mincho" w:hAnsi="Palatino Linotype" w:cs="Tahoma"/>
          <w:i/>
        </w:rPr>
        <w:t xml:space="preserve"> o en cualquier otro medio, </w:t>
      </w:r>
      <w:r w:rsidRPr="00780B2B">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780B2B">
        <w:rPr>
          <w:rFonts w:ascii="Palatino Linotype" w:eastAsia="MS Mincho" w:hAnsi="Palatino Linotype" w:cs="Tahoma"/>
          <w:i/>
        </w:rPr>
        <w:t xml:space="preserve">en un plazo no mayor a cinco días hábiles. </w:t>
      </w:r>
      <w:r w:rsidRPr="00780B2B">
        <w:rPr>
          <w:rFonts w:ascii="Palatino Linotype" w:eastAsia="MS Mincho" w:hAnsi="Palatino Linotype" w:cs="Tahoma"/>
          <w:b/>
          <w:i/>
        </w:rPr>
        <w:t xml:space="preserve">La fuente deberá ser precisa y concreta </w:t>
      </w:r>
      <w:r w:rsidRPr="00780B2B">
        <w:rPr>
          <w:rFonts w:ascii="Palatino Linotype" w:eastAsia="MS Mincho" w:hAnsi="Palatino Linotype" w:cs="Tahoma"/>
          <w:i/>
        </w:rPr>
        <w:t>y no debe implicar que el solicitante realice una búsqueda en toda la información que se encuentre disponible.”</w:t>
      </w:r>
    </w:p>
    <w:p w:rsidR="00807626" w:rsidRPr="00780B2B" w:rsidRDefault="00807626" w:rsidP="00807626">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780B2B">
        <w:rPr>
          <w:rFonts w:ascii="Palatino Linotype" w:eastAsia="MS Mincho" w:hAnsi="Palatino Linotype" w:cs="Tahoma"/>
        </w:rPr>
        <w:t>(Énfasis añadido)</w:t>
      </w:r>
    </w:p>
    <w:p w:rsidR="00807626" w:rsidRPr="00780B2B" w:rsidRDefault="00807626" w:rsidP="00807626">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p>
    <w:p w:rsidR="00807626" w:rsidRPr="00780B2B" w:rsidRDefault="00807626" w:rsidP="00807626">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780B2B">
        <w:rPr>
          <w:rFonts w:ascii="Palatino Linotype" w:hAnsi="Palatino Linotype" w:cs="Arial"/>
        </w:rPr>
        <w:t>D</w:t>
      </w:r>
      <w:r w:rsidRPr="00780B2B">
        <w:rPr>
          <w:rFonts w:ascii="Palatino Linotype" w:hAnsi="Palatino Linotype"/>
          <w:color w:val="000000"/>
        </w:rPr>
        <w:t xml:space="preserve">e dicho dispositivo legal se desprende que, si se puede obtener lo </w:t>
      </w:r>
      <w:r w:rsidRPr="00780B2B">
        <w:rPr>
          <w:rFonts w:ascii="Palatino Linotype" w:hAnsi="Palatino Linotype" w:cs="Arial"/>
        </w:rPr>
        <w:t>peticionado</w:t>
      </w:r>
      <w:r w:rsidRPr="00780B2B">
        <w:rPr>
          <w:rFonts w:ascii="Palatino Linotype" w:hAnsi="Palatino Linotype"/>
          <w:color w:val="000000"/>
        </w:rPr>
        <w:t xml:space="preserve">, a través de un hipervínculo, siendo este, especifico dirigiendo a la </w:t>
      </w:r>
      <w:r w:rsidRPr="00780B2B">
        <w:rPr>
          <w:rFonts w:ascii="Palatino Linotype" w:eastAsia="MS Mincho" w:hAnsi="Palatino Linotype" w:cs="Tahoma"/>
        </w:rPr>
        <w:t>información</w:t>
      </w:r>
      <w:r w:rsidRPr="00780B2B">
        <w:rPr>
          <w:rFonts w:ascii="Palatino Linotype" w:hAnsi="Palatino Linotype"/>
          <w:color w:val="000000"/>
        </w:rPr>
        <w:t xml:space="preserve"> sin que implique que el particular haga una búsqueda en el universo de información que pudiera </w:t>
      </w:r>
      <w:r w:rsidRPr="00780B2B">
        <w:rPr>
          <w:rFonts w:ascii="Palatino Linotype" w:eastAsia="MS Mincho" w:hAnsi="Palatino Linotype" w:cs="Tahoma"/>
        </w:rPr>
        <w:t>obrar</w:t>
      </w:r>
      <w:r w:rsidRPr="00780B2B">
        <w:rPr>
          <w:rFonts w:ascii="Palatino Linotype" w:hAnsi="Palatino Linotype"/>
          <w:color w:val="000000"/>
        </w:rPr>
        <w:t xml:space="preserve"> en el hipervínculo entregado, entonces se deberá tener por colmada la solicitud de información.</w:t>
      </w:r>
    </w:p>
    <w:p w:rsidR="00ED1392" w:rsidRPr="00780B2B" w:rsidRDefault="00807626" w:rsidP="00807626">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lastRenderedPageBreak/>
        <w:t xml:space="preserve">No obstante, del caso </w:t>
      </w:r>
      <w:r w:rsidRPr="00780B2B">
        <w:rPr>
          <w:rFonts w:ascii="Palatino Linotype" w:hAnsi="Palatino Linotype" w:cs="Arial"/>
        </w:rPr>
        <w:t>concreto</w:t>
      </w:r>
      <w:r w:rsidR="00ED1392" w:rsidRPr="00780B2B">
        <w:rPr>
          <w:rFonts w:ascii="Palatino Linotype" w:hAnsi="Palatino Linotype"/>
          <w:color w:val="000000" w:themeColor="text1"/>
        </w:rPr>
        <w:t xml:space="preserve">, el </w:t>
      </w:r>
      <w:r w:rsidR="00ED1392" w:rsidRPr="00780B2B">
        <w:rPr>
          <w:rFonts w:ascii="Palatino Linotype" w:hAnsi="Palatino Linotype"/>
          <w:b/>
          <w:color w:val="000000" w:themeColor="text1"/>
        </w:rPr>
        <w:t>SUJETO OBLIGADO</w:t>
      </w:r>
      <w:r w:rsidR="00ED1392" w:rsidRPr="00780B2B">
        <w:rPr>
          <w:rFonts w:ascii="Palatino Linotype" w:hAnsi="Palatino Linotype"/>
          <w:color w:val="000000" w:themeColor="text1"/>
        </w:rPr>
        <w:t xml:space="preserve"> no entregó el hipervínculo específico donde a su decir se podía obtener lo solicitado; sino que </w:t>
      </w:r>
      <w:r w:rsidR="00426227" w:rsidRPr="00780B2B">
        <w:rPr>
          <w:rFonts w:ascii="Palatino Linotype" w:hAnsi="Palatino Linotype"/>
          <w:color w:val="000000" w:themeColor="text1"/>
        </w:rPr>
        <w:t>correspondió</w:t>
      </w:r>
      <w:r w:rsidR="00ED1392" w:rsidRPr="00780B2B">
        <w:rPr>
          <w:rFonts w:ascii="Palatino Linotype" w:hAnsi="Palatino Linotype"/>
          <w:color w:val="000000" w:themeColor="text1"/>
        </w:rPr>
        <w:t xml:space="preserve"> únicamente a una mención lo que implica que el particular de propia cuenta, realice una investigación en Internet del enlace que se refiere en la respuesta, de modo tal que no se concluye que el rubro de referencia no puede colmar la </w:t>
      </w:r>
      <w:r w:rsidR="00426227" w:rsidRPr="00780B2B">
        <w:rPr>
          <w:rFonts w:ascii="Palatino Linotype" w:hAnsi="Palatino Linotype"/>
          <w:color w:val="000000" w:themeColor="text1"/>
        </w:rPr>
        <w:t xml:space="preserve">pretensión del hoy recurrente, por lo que resulta dable ordenar a que entregue la información de referencia, resultando intrascendente realizar un estudio pormenorizado de la fuente obligacional del </w:t>
      </w:r>
      <w:r w:rsidR="00426227" w:rsidRPr="00780B2B">
        <w:rPr>
          <w:rFonts w:ascii="Palatino Linotype" w:hAnsi="Palatino Linotype"/>
          <w:b/>
          <w:color w:val="000000" w:themeColor="text1"/>
        </w:rPr>
        <w:t>SUJETO OBLIGADO</w:t>
      </w:r>
      <w:r w:rsidR="00426227" w:rsidRPr="00780B2B">
        <w:rPr>
          <w:rFonts w:ascii="Palatino Linotype" w:hAnsi="Palatino Linotype"/>
          <w:color w:val="000000" w:themeColor="text1"/>
        </w:rPr>
        <w:t xml:space="preserve"> para determinar si genera, posee o administra la información, toda vez que este ya asumió que si cuenta con ella de modo tal que resultaría ocioso realizar el estudio de referencia en el que se concluya algo que –se insiste– ya se asumió.</w:t>
      </w:r>
    </w:p>
    <w:p w:rsidR="00426227" w:rsidRPr="00780B2B" w:rsidRDefault="00426227" w:rsidP="00426227">
      <w:pPr>
        <w:pStyle w:val="Prrafodelista"/>
        <w:rPr>
          <w:rFonts w:ascii="Palatino Linotype" w:hAnsi="Palatino Linotype"/>
          <w:color w:val="000000" w:themeColor="text1"/>
        </w:rPr>
      </w:pPr>
    </w:p>
    <w:p w:rsidR="00426227" w:rsidRPr="00780B2B" w:rsidRDefault="00426227" w:rsidP="00426227">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No obstante, lo anterior, no es impedimento para mencionar que dentro de los servicios que ofrece el Sistema Municipal Para el Desarrollo Integral de la Familia de la Paz, ciertamente está el de psicología como se aprecia de la siguiente captura de pantalla, obtenida de su sitio de Internet oficial:</w:t>
      </w:r>
    </w:p>
    <w:p w:rsidR="00426227" w:rsidRPr="00780B2B" w:rsidRDefault="002649F6" w:rsidP="00426227">
      <w:pPr>
        <w:pStyle w:val="Prrafodelista"/>
        <w:rPr>
          <w:rFonts w:ascii="Palatino Linotype" w:hAnsi="Palatino Linotype"/>
          <w:color w:val="000000" w:themeColor="text1"/>
        </w:rPr>
      </w:pPr>
      <w:r w:rsidRPr="00780B2B">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198755</wp:posOffset>
                </wp:positionV>
                <wp:extent cx="5581650" cy="1955800"/>
                <wp:effectExtent l="0" t="0" r="19050" b="25400"/>
                <wp:wrapNone/>
                <wp:docPr id="4" name="Conector recto 4"/>
                <wp:cNvGraphicFramePr/>
                <a:graphic xmlns:a="http://schemas.openxmlformats.org/drawingml/2006/main">
                  <a:graphicData uri="http://schemas.microsoft.com/office/word/2010/wordprocessingShape">
                    <wps:wsp>
                      <wps:cNvCnPr/>
                      <wps:spPr>
                        <a:xfrm>
                          <a:off x="0" y="0"/>
                          <a:ext cx="5581650" cy="195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E851"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65pt" to="439.4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" strokecolor="black [3200]" strokeweight=".5pt">
                <v:stroke joinstyle="miter"/>
                <w10:wrap anchorx="margin"/>
              </v:line>
            </w:pict>
          </mc:Fallback>
        </mc:AlternateContent>
      </w:r>
    </w:p>
    <w:p w:rsidR="00426227" w:rsidRPr="00780B2B" w:rsidRDefault="00426227" w:rsidP="00426227">
      <w:pPr>
        <w:spacing w:line="360" w:lineRule="auto"/>
        <w:contextualSpacing/>
        <w:jc w:val="center"/>
        <w:rPr>
          <w:rFonts w:ascii="Palatino Linotype" w:hAnsi="Palatino Linotype"/>
          <w:color w:val="000000" w:themeColor="text1"/>
        </w:rPr>
      </w:pPr>
      <w:r w:rsidRPr="00780B2B">
        <w:rPr>
          <w:rFonts w:ascii="Palatino Linotype" w:hAnsi="Palatino Linotype"/>
          <w:noProof/>
          <w:color w:val="000000" w:themeColor="text1"/>
          <w:lang w:val="es-MX" w:eastAsia="es-MX"/>
        </w:rPr>
        <w:lastRenderedPageBreak/>
        <w:drawing>
          <wp:inline distT="0" distB="0" distL="0" distR="0">
            <wp:extent cx="5181600" cy="5288437"/>
            <wp:effectExtent l="19050" t="19050" r="1905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3340" cy="5290213"/>
                    </a:xfrm>
                    <a:prstGeom prst="rect">
                      <a:avLst/>
                    </a:prstGeom>
                    <a:noFill/>
                    <a:ln>
                      <a:solidFill>
                        <a:schemeClr val="tx1"/>
                      </a:solidFill>
                    </a:ln>
                  </pic:spPr>
                </pic:pic>
              </a:graphicData>
            </a:graphic>
          </wp:inline>
        </w:drawing>
      </w:r>
    </w:p>
    <w:p w:rsidR="00ED1392" w:rsidRPr="00780B2B" w:rsidRDefault="00ED1392" w:rsidP="00ED1392">
      <w:pPr>
        <w:pStyle w:val="Prrafodelista"/>
        <w:rPr>
          <w:rFonts w:ascii="Palatino Linotype" w:hAnsi="Palatino Linotype"/>
          <w:color w:val="000000" w:themeColor="text1"/>
        </w:rPr>
      </w:pPr>
    </w:p>
    <w:p w:rsidR="002649F6" w:rsidRPr="00780B2B" w:rsidRDefault="002649F6" w:rsidP="00426227">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Por cuanto hace a</w:t>
      </w:r>
      <w:r w:rsidR="00E364B6" w:rsidRPr="00780B2B">
        <w:rPr>
          <w:rFonts w:ascii="Palatino Linotype" w:hAnsi="Palatino Linotype"/>
          <w:color w:val="000000" w:themeColor="text1"/>
        </w:rPr>
        <w:t xml:space="preserve"> la solicitud de información tocante a</w:t>
      </w:r>
      <w:r w:rsidRPr="00780B2B">
        <w:rPr>
          <w:rFonts w:ascii="Palatino Linotype" w:hAnsi="Palatino Linotype"/>
          <w:color w:val="000000" w:themeColor="text1"/>
        </w:rPr>
        <w:t xml:space="preserve"> los nombres de todos los trabajadores adscrito al </w:t>
      </w:r>
      <w:r w:rsidRPr="00780B2B">
        <w:rPr>
          <w:rFonts w:ascii="Palatino Linotype" w:hAnsi="Palatino Linotype"/>
          <w:b/>
          <w:color w:val="000000" w:themeColor="text1"/>
        </w:rPr>
        <w:t>SUJETO OBLIGADO</w:t>
      </w:r>
      <w:r w:rsidR="00E364B6" w:rsidRPr="00780B2B">
        <w:rPr>
          <w:rFonts w:ascii="Palatino Linotype" w:hAnsi="Palatino Linotype"/>
          <w:color w:val="000000" w:themeColor="text1"/>
        </w:rPr>
        <w:t xml:space="preserve"> también se emitió una respuesta en la misma tesitura, con la diferencia que si se entregó un hipervínculo; empero el mismo también implica que el particular realice una búsqueda de la información requerida ya que este no es directo y específico para que cumpla con la normatividad </w:t>
      </w:r>
      <w:r w:rsidR="00E364B6" w:rsidRPr="00780B2B">
        <w:rPr>
          <w:rFonts w:ascii="Palatino Linotype" w:hAnsi="Palatino Linotype"/>
          <w:color w:val="000000" w:themeColor="text1"/>
        </w:rPr>
        <w:lastRenderedPageBreak/>
        <w:t>antes señalada; toda vez que este dirige únicamente a la página principal del sistema IPOMEX como se observa:</w:t>
      </w:r>
    </w:p>
    <w:p w:rsidR="002649F6" w:rsidRPr="00780B2B" w:rsidRDefault="00E364B6" w:rsidP="002649F6">
      <w:pPr>
        <w:spacing w:line="360" w:lineRule="auto"/>
        <w:contextualSpacing/>
        <w:jc w:val="both"/>
        <w:rPr>
          <w:rFonts w:ascii="Palatino Linotype" w:hAnsi="Palatino Linotype"/>
          <w:color w:val="000000" w:themeColor="text1"/>
        </w:rPr>
      </w:pPr>
      <w:r w:rsidRPr="00780B2B">
        <w:rPr>
          <w:rFonts w:ascii="Palatino Linotype" w:hAnsi="Palatino Linotype"/>
          <w:noProof/>
          <w:color w:val="000000" w:themeColor="text1"/>
          <w:lang w:val="es-MX" w:eastAsia="es-MX"/>
        </w:rPr>
        <w:drawing>
          <wp:inline distT="0" distB="0" distL="0" distR="0">
            <wp:extent cx="5600700" cy="22098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2209800"/>
                    </a:xfrm>
                    <a:prstGeom prst="rect">
                      <a:avLst/>
                    </a:prstGeom>
                    <a:noFill/>
                    <a:ln>
                      <a:solidFill>
                        <a:schemeClr val="tx1"/>
                      </a:solidFill>
                    </a:ln>
                  </pic:spPr>
                </pic:pic>
              </a:graphicData>
            </a:graphic>
          </wp:inline>
        </w:drawing>
      </w:r>
    </w:p>
    <w:p w:rsidR="00E364B6" w:rsidRPr="00780B2B" w:rsidRDefault="00E364B6" w:rsidP="002649F6">
      <w:pPr>
        <w:spacing w:line="360" w:lineRule="auto"/>
        <w:contextualSpacing/>
        <w:jc w:val="both"/>
        <w:rPr>
          <w:rFonts w:ascii="Palatino Linotype" w:hAnsi="Palatino Linotype"/>
          <w:color w:val="000000" w:themeColor="text1"/>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Luego entonces, tampoco se tiene por colmado el rubro en comento, trayendo a contexto los anteriores argumentos, para considerar dable ordenar se entregue el soporte documental donde conste el nombre de todo el personal adscrito al Sistema Municipal Para el Desarrollo Integral de la Familia de la Paz.</w:t>
      </w:r>
    </w:p>
    <w:p w:rsidR="00E364B6" w:rsidRPr="00780B2B" w:rsidRDefault="00E364B6" w:rsidP="00E364B6">
      <w:pPr>
        <w:spacing w:line="360" w:lineRule="auto"/>
        <w:contextualSpacing/>
        <w:jc w:val="both"/>
        <w:rPr>
          <w:rFonts w:ascii="Palatino Linotype" w:hAnsi="Palatino Linotype"/>
          <w:color w:val="000000" w:themeColor="text1"/>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Caso similar acontece en la solicitud de información relativa a los</w:t>
      </w:r>
      <w:r w:rsidRPr="00780B2B">
        <w:rPr>
          <w:rFonts w:ascii="Palatino Linotype" w:hAnsi="Palatino Linotype"/>
        </w:rPr>
        <w:t xml:space="preserve"> recibos de nómina de la primer y segunda quincena del mes de septiembre de 2022, de todo el personal adscrito a la Unidad de Transparencia del Sujeto Obligado, incluyendo sindicalizados, en el que de igual manera se señala el mismo hipervínculo.</w:t>
      </w:r>
    </w:p>
    <w:p w:rsidR="00E364B6" w:rsidRPr="00780B2B" w:rsidRDefault="00E364B6" w:rsidP="00E364B6">
      <w:pPr>
        <w:pStyle w:val="Prrafodelista"/>
        <w:rPr>
          <w:rFonts w:ascii="Palatino Linotype" w:hAnsi="Palatino Linotype"/>
          <w:color w:val="000000" w:themeColor="text1"/>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No obstante que además de que como ya se ha venido señalando el enlace no cumple con lo establecido en la ley de la metería, también es de señalar </w:t>
      </w:r>
      <w:r w:rsidRPr="00780B2B">
        <w:rPr>
          <w:rFonts w:ascii="Palatino Linotype" w:hAnsi="Palatino Linotype"/>
          <w:b/>
          <w:color w:val="000000" w:themeColor="text1"/>
        </w:rPr>
        <w:t xml:space="preserve">que no </w:t>
      </w:r>
      <w:r w:rsidRPr="00780B2B">
        <w:rPr>
          <w:rFonts w:ascii="Palatino Linotype" w:hAnsi="Palatino Linotype"/>
          <w:b/>
          <w:color w:val="000000" w:themeColor="text1"/>
        </w:rPr>
        <w:lastRenderedPageBreak/>
        <w:t>corresponde con lo solicitado</w:t>
      </w:r>
      <w:r w:rsidRPr="00780B2B">
        <w:rPr>
          <w:rFonts w:ascii="Palatino Linotype" w:hAnsi="Palatino Linotype"/>
          <w:color w:val="000000" w:themeColor="text1"/>
        </w:rPr>
        <w:t xml:space="preserve">, toda vez que el hoy </w:t>
      </w:r>
      <w:r w:rsidRPr="00780B2B">
        <w:rPr>
          <w:rFonts w:ascii="Palatino Linotype" w:hAnsi="Palatino Linotype"/>
          <w:b/>
          <w:color w:val="000000" w:themeColor="text1"/>
        </w:rPr>
        <w:t>RECURRENTE</w:t>
      </w:r>
      <w:r w:rsidRPr="00780B2B">
        <w:rPr>
          <w:rFonts w:ascii="Palatino Linotype" w:hAnsi="Palatino Linotype"/>
          <w:color w:val="000000" w:themeColor="text1"/>
        </w:rPr>
        <w:t xml:space="preserve"> no requirió percepciones, sino recibos de nómina en formato PDF.</w:t>
      </w:r>
    </w:p>
    <w:p w:rsidR="00E364B6" w:rsidRPr="00780B2B" w:rsidRDefault="00E364B6" w:rsidP="00E364B6">
      <w:pPr>
        <w:pStyle w:val="Prrafodelista"/>
        <w:rPr>
          <w:rFonts w:ascii="Palatino Linotype" w:hAnsi="Palatino Linotype"/>
          <w:color w:val="000000" w:themeColor="text1"/>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hAnsi="Palatino Linotype"/>
          <w:color w:val="000000" w:themeColor="text1"/>
        </w:rPr>
        <w:t>Ahora bien, relativo a lo solicitado y que toralmente versa en recibos de nómina, n</w:t>
      </w:r>
      <w:r w:rsidRPr="00780B2B">
        <w:rPr>
          <w:rFonts w:ascii="Palatino Linotype" w:eastAsia="Palatino Linotype" w:hAnsi="Palatino Linotype" w:cs="Palatino Linotype"/>
        </w:rPr>
        <w:t xml:space="preserve">o debe perderse de vista que los artículos 7 y 23 fracciones I y XI, de la Ley de Transparencia y </w:t>
      </w:r>
      <w:r w:rsidRPr="00780B2B">
        <w:rPr>
          <w:rFonts w:ascii="Palatino Linotype" w:hAnsi="Palatino Linotype"/>
          <w:color w:val="000000" w:themeColor="text1"/>
        </w:rPr>
        <w:t>Acceso</w:t>
      </w:r>
      <w:r w:rsidRPr="00780B2B">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lastRenderedPageBreak/>
        <w:t>I. El Poder Ejecutivo del Estado de México, las dependencias, organismos auxiliares, órganos, entidades, fideicomisos y fondos públicos, así como la Procuraduría General de Justicia;</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E364B6" w:rsidRPr="00780B2B" w:rsidRDefault="00E364B6" w:rsidP="00E364B6">
      <w:pPr>
        <w:spacing w:before="240" w:after="240"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E364B6" w:rsidRPr="00780B2B" w:rsidRDefault="00E364B6" w:rsidP="00E364B6">
      <w:pPr>
        <w:spacing w:line="360" w:lineRule="auto"/>
        <w:ind w:left="567"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E364B6" w:rsidRPr="00780B2B" w:rsidRDefault="00E364B6" w:rsidP="00E364B6">
      <w:pPr>
        <w:spacing w:line="360" w:lineRule="auto"/>
        <w:ind w:left="567" w:right="851"/>
        <w:jc w:val="both"/>
        <w:rPr>
          <w:rFonts w:ascii="Palatino Linotype" w:eastAsia="Palatino Linotype" w:hAnsi="Palatino Linotype" w:cs="Palatino Linotype"/>
          <w:sz w:val="22"/>
          <w:szCs w:val="22"/>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Ahora bien, continuando con el análisis, para el caso de las remuneraciones, debemos definirlas como todo tipo de retribución que recibe un trabajador por las labores realizadas,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E364B6" w:rsidRPr="00780B2B" w:rsidRDefault="00E364B6" w:rsidP="00E364B6">
      <w:pPr>
        <w:spacing w:line="360" w:lineRule="auto"/>
        <w:contextualSpacing/>
        <w:jc w:val="both"/>
        <w:rPr>
          <w:rFonts w:ascii="Palatino Linotype" w:eastAsia="Palatino Linotype" w:hAnsi="Palatino Linotype" w:cs="Palatino Linotype"/>
        </w:rPr>
      </w:pPr>
    </w:p>
    <w:p w:rsidR="00E364B6" w:rsidRPr="00780B2B" w:rsidRDefault="00E364B6" w:rsidP="00E364B6">
      <w:pPr>
        <w:spacing w:line="360" w:lineRule="auto"/>
        <w:ind w:left="426" w:right="616"/>
        <w:jc w:val="both"/>
        <w:rPr>
          <w:rFonts w:ascii="Palatino Linotype" w:eastAsia="Palatino Linotype" w:hAnsi="Palatino Linotype" w:cs="Palatino Linotype"/>
          <w:i/>
          <w:sz w:val="22"/>
          <w:szCs w:val="22"/>
        </w:rPr>
      </w:pPr>
      <w:bookmarkStart w:id="146" w:name="bookmark=id.gjdgxs" w:colFirst="0" w:colLast="0"/>
      <w:bookmarkEnd w:id="146"/>
      <w:r w:rsidRPr="00780B2B">
        <w:rPr>
          <w:rFonts w:ascii="Palatino Linotype" w:eastAsia="Palatino Linotype" w:hAnsi="Palatino Linotype" w:cs="Palatino Linotype"/>
          <w:i/>
          <w:sz w:val="22"/>
          <w:szCs w:val="22"/>
        </w:rPr>
        <w:lastRenderedPageBreak/>
        <w:t>“</w:t>
      </w:r>
      <w:r w:rsidRPr="00780B2B">
        <w:rPr>
          <w:rFonts w:ascii="Palatino Linotype" w:eastAsia="Palatino Linotype" w:hAnsi="Palatino Linotype" w:cs="Palatino Linotype"/>
          <w:b/>
          <w:i/>
          <w:sz w:val="22"/>
          <w:szCs w:val="22"/>
          <w:u w:val="single"/>
        </w:rPr>
        <w:t>Artículo 84.- El salario se integra con</w:t>
      </w:r>
      <w:r w:rsidRPr="00780B2B">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780B2B">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780B2B">
        <w:rPr>
          <w:rFonts w:ascii="Palatino Linotype" w:eastAsia="Palatino Linotype" w:hAnsi="Palatino Linotype" w:cs="Palatino Linotype"/>
          <w:i/>
          <w:sz w:val="22"/>
          <w:szCs w:val="22"/>
        </w:rPr>
        <w:t>”</w:t>
      </w:r>
    </w:p>
    <w:p w:rsidR="00E364B6" w:rsidRPr="00780B2B" w:rsidRDefault="00E364B6" w:rsidP="00E364B6">
      <w:pPr>
        <w:spacing w:line="360" w:lineRule="auto"/>
        <w:ind w:left="567" w:right="900"/>
        <w:jc w:val="both"/>
        <w:rPr>
          <w:rFonts w:ascii="Palatino Linotype" w:eastAsia="Palatino Linotype" w:hAnsi="Palatino Linotype" w:cs="Palatino Linotype"/>
          <w:i/>
          <w:sz w:val="22"/>
          <w:szCs w:val="22"/>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E364B6" w:rsidRPr="00780B2B" w:rsidRDefault="00E364B6" w:rsidP="00E364B6">
      <w:pPr>
        <w:ind w:right="900"/>
        <w:jc w:val="both"/>
        <w:rPr>
          <w:rFonts w:ascii="Palatino Linotype" w:eastAsia="Palatino Linotype" w:hAnsi="Palatino Linotype" w:cs="Palatino Linotype"/>
          <w:i/>
          <w:sz w:val="22"/>
          <w:szCs w:val="22"/>
        </w:rPr>
      </w:pPr>
    </w:p>
    <w:p w:rsidR="00E364B6" w:rsidRPr="00780B2B" w:rsidRDefault="00E364B6" w:rsidP="00E364B6">
      <w:pPr>
        <w:spacing w:line="360" w:lineRule="auto"/>
        <w:ind w:left="709" w:right="616"/>
        <w:jc w:val="both"/>
        <w:rPr>
          <w:rFonts w:ascii="Palatino Linotype" w:eastAsia="Palatino Linotype" w:hAnsi="Palatino Linotype" w:cs="Palatino Linotype"/>
          <w:b/>
          <w:i/>
          <w:sz w:val="22"/>
          <w:szCs w:val="22"/>
          <w:u w:val="single"/>
        </w:rPr>
      </w:pPr>
      <w:r w:rsidRPr="00780B2B">
        <w:rPr>
          <w:rFonts w:ascii="Palatino Linotype" w:eastAsia="Palatino Linotype" w:hAnsi="Palatino Linotype" w:cs="Palatino Linotype"/>
          <w:b/>
          <w:i/>
          <w:sz w:val="22"/>
          <w:szCs w:val="22"/>
        </w:rPr>
        <w:t>“ARTÍCULO 40.</w:t>
      </w:r>
      <w:r w:rsidRPr="00780B2B">
        <w:rPr>
          <w:rFonts w:ascii="Palatino Linotype" w:eastAsia="Palatino Linotype" w:hAnsi="Palatino Linotype" w:cs="Palatino Linotype"/>
          <w:i/>
          <w:sz w:val="22"/>
          <w:szCs w:val="22"/>
        </w:rPr>
        <w:t xml:space="preserve"> </w:t>
      </w:r>
      <w:r w:rsidRPr="00780B2B">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780B2B">
        <w:rPr>
          <w:rFonts w:ascii="Palatino Linotype" w:eastAsia="Palatino Linotype" w:hAnsi="Palatino Linotype" w:cs="Palatino Linotype"/>
          <w:i/>
          <w:sz w:val="22"/>
          <w:szCs w:val="22"/>
        </w:rPr>
        <w:t xml:space="preserve"> el titular del Poder Ejecutivo, </w:t>
      </w:r>
      <w:r w:rsidRPr="00780B2B">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b/>
          <w:i/>
          <w:sz w:val="22"/>
          <w:szCs w:val="22"/>
        </w:rPr>
        <w:t>…</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b/>
          <w:i/>
          <w:sz w:val="22"/>
          <w:szCs w:val="22"/>
        </w:rPr>
        <w:t>ARTÍCULO 97.-</w:t>
      </w:r>
      <w:r w:rsidRPr="00780B2B">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lastRenderedPageBreak/>
        <w:t>…</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b/>
          <w:i/>
          <w:sz w:val="22"/>
          <w:szCs w:val="22"/>
        </w:rPr>
        <w:t>ARTÍCULO 220 K.-</w:t>
      </w:r>
      <w:r w:rsidRPr="00780B2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w:t>
      </w:r>
    </w:p>
    <w:p w:rsidR="00E364B6" w:rsidRPr="00780B2B" w:rsidRDefault="00E364B6" w:rsidP="00E364B6">
      <w:pPr>
        <w:spacing w:line="360" w:lineRule="auto"/>
        <w:ind w:left="709" w:right="616"/>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780B2B">
        <w:rPr>
          <w:rFonts w:ascii="Palatino Linotype" w:eastAsia="Palatino Linotype" w:hAnsi="Palatino Linotype" w:cs="Palatino Linotype"/>
          <w:i/>
          <w:sz w:val="22"/>
          <w:szCs w:val="22"/>
        </w:rPr>
        <w:t>;”</w:t>
      </w:r>
    </w:p>
    <w:p w:rsidR="00E364B6" w:rsidRPr="00780B2B" w:rsidRDefault="00E364B6" w:rsidP="00E364B6">
      <w:pPr>
        <w:spacing w:line="360" w:lineRule="auto"/>
        <w:ind w:left="709" w:right="616"/>
        <w:jc w:val="both"/>
        <w:rPr>
          <w:rFonts w:ascii="Palatino Linotype" w:eastAsia="Palatino Linotype" w:hAnsi="Palatino Linotype" w:cs="Palatino Linotype"/>
          <w:sz w:val="22"/>
          <w:szCs w:val="22"/>
        </w:rPr>
      </w:pPr>
      <w:r w:rsidRPr="00780B2B">
        <w:rPr>
          <w:rFonts w:ascii="Palatino Linotype" w:eastAsia="Palatino Linotype" w:hAnsi="Palatino Linotype" w:cs="Palatino Linotype"/>
          <w:sz w:val="22"/>
          <w:szCs w:val="22"/>
        </w:rPr>
        <w:t>(Énfasis añadido)</w:t>
      </w:r>
    </w:p>
    <w:p w:rsidR="00E364B6" w:rsidRPr="00780B2B" w:rsidRDefault="00E364B6" w:rsidP="00E364B6">
      <w:pPr>
        <w:spacing w:line="360" w:lineRule="auto"/>
        <w:ind w:right="49"/>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rsidR="00E364B6" w:rsidRPr="00780B2B" w:rsidRDefault="00E364B6" w:rsidP="00E364B6">
      <w:pPr>
        <w:spacing w:line="360" w:lineRule="auto"/>
        <w:ind w:right="49"/>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Ahora bien,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E364B6" w:rsidRPr="00780B2B" w:rsidRDefault="00E364B6" w:rsidP="00E364B6">
      <w:pPr>
        <w:pStyle w:val="Prrafodelista"/>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lastRenderedPageBreak/>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E364B6" w:rsidRPr="00780B2B" w:rsidRDefault="00E364B6" w:rsidP="00E364B6">
      <w:pPr>
        <w:pStyle w:val="Prrafodelista"/>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b/>
        </w:rPr>
      </w:pPr>
      <w:r w:rsidRPr="00780B2B">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780B2B">
        <w:rPr>
          <w:rFonts w:ascii="Palatino Linotype" w:eastAsia="Palatino Linotype" w:hAnsi="Palatino Linotype" w:cs="Palatino Linotype"/>
          <w:b/>
        </w:rPr>
        <w:t xml:space="preserve">las remuneraciones brutas y netas de todos los servidores públicos, </w:t>
      </w:r>
      <w:r w:rsidRPr="00780B2B">
        <w:rPr>
          <w:rFonts w:ascii="Palatino Linotype" w:eastAsia="Palatino Linotype" w:hAnsi="Palatino Linotype" w:cs="Palatino Linotype"/>
          <w:b/>
          <w:u w:val="single"/>
        </w:rPr>
        <w:t>que incluya todas las percepciones</w:t>
      </w:r>
      <w:r w:rsidRPr="00780B2B">
        <w:rPr>
          <w:rFonts w:ascii="Palatino Linotype" w:eastAsia="Palatino Linotype" w:hAnsi="Palatino Linotype" w:cs="Palatino Linotype"/>
          <w:b/>
        </w:rPr>
        <w:t>, entre las cuales, se encuentran los sueldos, prestaciones, gratificaciones, primas, comisiones, dietas, bonos, estímulos, ingresos, entre otros.</w:t>
      </w:r>
    </w:p>
    <w:p w:rsidR="00E364B6" w:rsidRPr="00780B2B" w:rsidRDefault="00E364B6" w:rsidP="00E364B6">
      <w:pPr>
        <w:pStyle w:val="Prrafodelista"/>
        <w:rPr>
          <w:rFonts w:ascii="Palatino Linotype" w:eastAsia="Palatino Linotype" w:hAnsi="Palatino Linotype" w:cs="Palatino Linotype"/>
          <w:b/>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w:t>
      </w:r>
      <w:r w:rsidRPr="00780B2B">
        <w:rPr>
          <w:rFonts w:ascii="Palatino Linotype" w:eastAsia="Palatino Linotype" w:hAnsi="Palatino Linotype" w:cs="Palatino Linotype"/>
        </w:rPr>
        <w:lastRenderedPageBreak/>
        <w:t>y un año después de que se extingue la relación laboral a través de los sistemas de digitalización o de información magnética o electrónica.</w:t>
      </w:r>
    </w:p>
    <w:p w:rsidR="00E364B6" w:rsidRPr="00780B2B" w:rsidRDefault="00E364B6" w:rsidP="00E364B6">
      <w:pPr>
        <w:spacing w:line="360" w:lineRule="auto"/>
        <w:ind w:left="360"/>
        <w:contextualSpacing/>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w:t>
      </w:r>
      <w:r w:rsidRPr="00780B2B">
        <w:rPr>
          <w:rFonts w:ascii="Palatino Linotype" w:eastAsia="Palatino Linotype" w:hAnsi="Palatino Linotype" w:cs="Palatino Linotype"/>
          <w:u w:val="single"/>
        </w:rPr>
        <w:t xml:space="preserve"> </w:t>
      </w:r>
      <w:r w:rsidRPr="00780B2B">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E364B6" w:rsidRPr="00780B2B" w:rsidRDefault="00E364B6" w:rsidP="00E364B6">
      <w:pPr>
        <w:spacing w:line="360" w:lineRule="auto"/>
        <w:ind w:left="360"/>
        <w:contextualSpacing/>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E364B6" w:rsidRPr="00780B2B" w:rsidRDefault="00E364B6" w:rsidP="00E364B6">
      <w:pPr>
        <w:pStyle w:val="Prrafodelista"/>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Arial Unicode MS" w:hAnsi="Palatino Linotype" w:cs="Arial"/>
        </w:rPr>
      </w:pPr>
      <w:r w:rsidRPr="00780B2B">
        <w:rPr>
          <w:rFonts w:ascii="Palatino Linotype" w:eastAsia="Arial Unicode MS" w:hAnsi="Palatino Linotype" w:cs="Arial"/>
          <w:lang w:val="es-419"/>
        </w:rPr>
        <w:t xml:space="preserve">Por otro lado, la Ley del Trabajo de los Servidores Públicos del Estado de México y Municipios, refiere que </w:t>
      </w:r>
      <w:r w:rsidRPr="00780B2B">
        <w:rPr>
          <w:rFonts w:ascii="Palatino Linotype" w:eastAsia="Arial Unicode MS" w:hAnsi="Palatino Linotype" w:cs="Arial"/>
        </w:rPr>
        <w:t>el</w:t>
      </w:r>
      <w:r w:rsidRPr="00780B2B">
        <w:rPr>
          <w:rFonts w:ascii="Palatino Linotype" w:eastAsia="Arial Unicode MS" w:hAnsi="Palatino Linotype" w:cs="Arial"/>
          <w:lang w:val="es-419"/>
        </w:rPr>
        <w:t xml:space="preserve"> </w:t>
      </w:r>
      <w:r w:rsidRPr="00780B2B">
        <w:rPr>
          <w:rFonts w:ascii="Palatino Linotype" w:eastAsia="Palatino Linotype" w:hAnsi="Palatino Linotype" w:cs="Palatino Linotype"/>
        </w:rPr>
        <w:t>aguinaldo</w:t>
      </w:r>
      <w:r w:rsidRPr="00780B2B">
        <w:rPr>
          <w:rFonts w:ascii="Palatino Linotype" w:eastAsia="Arial Unicode MS" w:hAnsi="Palatino Linotype" w:cs="Arial"/>
        </w:rPr>
        <w:t xml:space="preserve"> es la prestación a la que</w:t>
      </w:r>
      <w:r w:rsidRPr="00780B2B">
        <w:rPr>
          <w:rFonts w:ascii="Palatino Linotype" w:eastAsia="Arial Unicode MS" w:hAnsi="Palatino Linotype" w:cs="Arial"/>
          <w:lang w:val="es-419"/>
        </w:rPr>
        <w:t xml:space="preserve"> </w:t>
      </w:r>
      <w:r w:rsidRPr="00780B2B">
        <w:rPr>
          <w:rFonts w:ascii="Palatino Linotype" w:eastAsia="Arial Unicode MS" w:hAnsi="Palatino Linotype" w:cs="Arial"/>
        </w:rPr>
        <w:t xml:space="preserve">tendrán derecho </w:t>
      </w:r>
      <w:r w:rsidRPr="00780B2B">
        <w:rPr>
          <w:rFonts w:ascii="Palatino Linotype" w:eastAsia="Arial Unicode MS" w:hAnsi="Palatino Linotype" w:cs="Arial"/>
          <w:lang w:val="es-419"/>
        </w:rPr>
        <w:t>los servidores públicos anual</w:t>
      </w:r>
      <w:r w:rsidRPr="00780B2B">
        <w:rPr>
          <w:rFonts w:ascii="Palatino Linotype" w:eastAsia="Arial Unicode MS" w:hAnsi="Palatino Linotype" w:cs="Arial"/>
        </w:rPr>
        <w:t>mente</w:t>
      </w:r>
      <w:r w:rsidRPr="00780B2B">
        <w:rPr>
          <w:rFonts w:ascii="Palatino Linotype" w:eastAsia="Arial Unicode MS" w:hAnsi="Palatino Linotype" w:cs="Arial"/>
          <w:lang w:val="es-419"/>
        </w:rPr>
        <w:t>, equivalente a 40 días de sueldo base, cuando menos,</w:t>
      </w:r>
      <w:r w:rsidRPr="00780B2B">
        <w:rPr>
          <w:rFonts w:ascii="Palatino Linotype" w:eastAsia="Arial Unicode MS" w:hAnsi="Palatino Linotype" w:cs="Arial"/>
        </w:rPr>
        <w:t xml:space="preserve"> también señala que para los Servidores Públicos que hayan prestado sus servicios por un lapso menor a un año, tendrán derecho a que se les pague la </w:t>
      </w:r>
      <w:r w:rsidRPr="00780B2B">
        <w:rPr>
          <w:rFonts w:ascii="Palatino Linotype" w:eastAsia="Arial Unicode MS" w:hAnsi="Palatino Linotype" w:cs="Arial"/>
        </w:rPr>
        <w:lastRenderedPageBreak/>
        <w:t>parte proporcional del aguinaldo de acuerdo a los días efectivamente trabajados</w:t>
      </w:r>
      <w:r w:rsidRPr="00780B2B">
        <w:rPr>
          <w:rFonts w:ascii="Palatino Linotype" w:eastAsia="Arial Unicode MS" w:hAnsi="Palatino Linotype" w:cs="Arial"/>
          <w:lang w:val="es-419"/>
        </w:rPr>
        <w:t xml:space="preserve"> y estará comprendido en el presupuesto de egresos correspondiente, misma que cabe </w:t>
      </w:r>
      <w:r w:rsidRPr="00780B2B">
        <w:rPr>
          <w:rFonts w:ascii="Palatino Linotype" w:eastAsia="Arial Unicode MS" w:hAnsi="Palatino Linotype" w:cs="Arial"/>
        </w:rPr>
        <w:t>precisar</w:t>
      </w:r>
      <w:r w:rsidRPr="00780B2B">
        <w:rPr>
          <w:rFonts w:ascii="Palatino Linotype" w:eastAsia="Arial Unicode MS" w:hAnsi="Palatino Linotype" w:cs="Arial"/>
          <w:lang w:val="es-419"/>
        </w:rPr>
        <w:t xml:space="preserve">, es una </w:t>
      </w:r>
      <w:r w:rsidRPr="00780B2B">
        <w:rPr>
          <w:rFonts w:ascii="Palatino Linotype" w:eastAsia="Arial Unicode MS" w:hAnsi="Palatino Linotype" w:cs="Arial"/>
        </w:rPr>
        <w:t>prestación enmarcada en la legislación antes referida ya que todos los servidores públicos gozan de la misma, sin excepción alguna.</w:t>
      </w:r>
    </w:p>
    <w:p w:rsidR="00E364B6" w:rsidRPr="00780B2B" w:rsidRDefault="00E364B6" w:rsidP="00E364B6">
      <w:pPr>
        <w:pStyle w:val="Prrafodelista"/>
        <w:rPr>
          <w:rFonts w:ascii="Palatino Linotype" w:eastAsia="Arial Unicode MS" w:hAnsi="Palatino Linotype" w:cs="Arial"/>
        </w:rPr>
      </w:pPr>
    </w:p>
    <w:p w:rsidR="00E364B6" w:rsidRPr="00780B2B" w:rsidRDefault="00E364B6" w:rsidP="00E364B6">
      <w:pPr>
        <w:numPr>
          <w:ilvl w:val="0"/>
          <w:numId w:val="1"/>
        </w:numPr>
        <w:spacing w:line="360" w:lineRule="auto"/>
        <w:ind w:left="0" w:firstLine="0"/>
        <w:contextualSpacing/>
        <w:jc w:val="both"/>
        <w:rPr>
          <w:rFonts w:ascii="Palatino Linotype" w:eastAsia="Arial Unicode MS" w:hAnsi="Palatino Linotype" w:cs="Arial"/>
        </w:rPr>
      </w:pPr>
      <w:r w:rsidRPr="00780B2B">
        <w:rPr>
          <w:rFonts w:ascii="Palatino Linotype" w:eastAsia="Arial Unicode MS" w:hAnsi="Palatino Linotype" w:cs="Arial"/>
        </w:rPr>
        <w:t>Asimismo</w:t>
      </w:r>
      <w:r w:rsidRPr="00780B2B">
        <w:rPr>
          <w:rFonts w:ascii="Palatino Linotype" w:eastAsia="Arial Unicode MS" w:hAnsi="Palatino Linotype" w:cs="Arial"/>
          <w:lang w:val="es-419"/>
        </w:rPr>
        <w:t>, respecto a las gratificaciones</w:t>
      </w:r>
      <w:r w:rsidRPr="00780B2B">
        <w:rPr>
          <w:rFonts w:ascii="Palatino Linotype" w:eastAsia="Arial Unicode MS" w:hAnsi="Palatino Linotype" w:cs="Arial"/>
        </w:rPr>
        <w:t xml:space="preserve"> especiales</w:t>
      </w:r>
      <w:r w:rsidRPr="00780B2B">
        <w:rPr>
          <w:rFonts w:ascii="Palatino Linotype" w:eastAsia="Arial Unicode MS" w:hAnsi="Palatino Linotype" w:cs="Arial"/>
          <w:lang w:val="es-419"/>
        </w:rPr>
        <w:t xml:space="preserve">, el Código Financiero del Estado de México y Municipios establece en su artículo 289 que la asignación de remuneraciones se fijará con base en los criterios y elementos señalados por </w:t>
      </w:r>
      <w:r w:rsidRPr="00780B2B">
        <w:rPr>
          <w:rFonts w:ascii="Palatino Linotype" w:eastAsia="Arial Unicode MS" w:hAnsi="Palatino Linotype" w:cs="Arial"/>
        </w:rPr>
        <w:t>dicho</w:t>
      </w:r>
      <w:r w:rsidRPr="00780B2B">
        <w:rPr>
          <w:rFonts w:ascii="Palatino Linotype" w:eastAsia="Arial Unicode MS" w:hAnsi="Palatino Linotype" w:cs="Arial"/>
          <w:lang w:val="es-419"/>
        </w:rPr>
        <w:t xml:space="preserve"> artículo y ningún servidor público estará facultado para establecer percepciones, cualquiera que sea su denominación, de manera discrecional. Los bonos, estímulos, premios, gratificaciones o compensaciones adicionales a lo autorizado en el Presupuesto de Egresos que se asignen a servidores públicos estatales y municipales, independientemente de que se pague en numerario o en especie, cualquiera que sea el medio de pago, solo se podrán erogar si se cuenta con la suficiencia presupuestaria, debiendo informarlo a la Legislatura del Estado; en </w:t>
      </w:r>
      <w:r w:rsidRPr="00780B2B">
        <w:rPr>
          <w:rFonts w:ascii="Palatino Linotype" w:eastAsia="Arial Unicode MS" w:hAnsi="Palatino Linotype" w:cs="Arial"/>
        </w:rPr>
        <w:t xml:space="preserve">otras </w:t>
      </w:r>
      <w:r w:rsidRPr="00780B2B">
        <w:rPr>
          <w:rFonts w:ascii="Palatino Linotype" w:eastAsia="Arial Unicode MS" w:hAnsi="Palatino Linotype" w:cs="Arial"/>
          <w:lang w:val="es-419"/>
        </w:rPr>
        <w:t>palabras</w:t>
      </w:r>
      <w:r w:rsidRPr="00780B2B">
        <w:rPr>
          <w:rFonts w:ascii="Palatino Linotype" w:eastAsia="Arial Unicode MS" w:hAnsi="Palatino Linotype" w:cs="Arial"/>
        </w:rPr>
        <w:t xml:space="preserve"> las gratificaciones especiales están sujetas a la suficiencia presupuestaria de cada entidad gubernamental, en el caso particular que nos ocupa, </w:t>
      </w:r>
      <w:r w:rsidRPr="00780B2B">
        <w:rPr>
          <w:rFonts w:ascii="Palatino Linotype" w:eastAsia="Arial Unicode MS" w:hAnsi="Palatino Linotype" w:cs="Arial"/>
          <w:lang w:val="es-419"/>
        </w:rPr>
        <w:t xml:space="preserve"> </w:t>
      </w:r>
      <w:r w:rsidRPr="00780B2B">
        <w:rPr>
          <w:rFonts w:ascii="Palatino Linotype" w:eastAsia="Arial Unicode MS" w:hAnsi="Palatino Linotype" w:cs="Arial"/>
        </w:rPr>
        <w:t>depende de que presupuesto le asigne la Comisión de Conciliación y Arbitraje Médico del Estado de México y Municipios a esta partida de gratificaciones especiales.</w:t>
      </w:r>
    </w:p>
    <w:p w:rsidR="00E364B6" w:rsidRPr="00780B2B" w:rsidRDefault="00E364B6" w:rsidP="00E364B6">
      <w:pPr>
        <w:spacing w:line="360" w:lineRule="auto"/>
        <w:contextualSpacing/>
        <w:jc w:val="both"/>
        <w:rPr>
          <w:rFonts w:ascii="Palatino Linotype" w:eastAsia="Arial Unicode MS" w:hAnsi="Palatino Linotype" w:cs="Arial"/>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rPr>
      </w:pPr>
      <w:r w:rsidRPr="00780B2B">
        <w:rPr>
          <w:rFonts w:ascii="Palatino Linotype" w:eastAsia="Arial Unicode MS" w:hAnsi="Palatino Linotype" w:cs="Arial"/>
        </w:rPr>
        <w:t>En tal sentido, antes de comenzar con el estudio del presente Recurso de Revisión, p</w:t>
      </w:r>
      <w:proofErr w:type="spellStart"/>
      <w:r w:rsidRPr="00780B2B">
        <w:rPr>
          <w:rFonts w:ascii="Palatino Linotype" w:eastAsia="Arial Unicode MS" w:hAnsi="Palatino Linotype" w:cs="Arial"/>
          <w:lang w:val="es-419"/>
        </w:rPr>
        <w:t>rimeramente</w:t>
      </w:r>
      <w:proofErr w:type="spellEnd"/>
      <w:r w:rsidRPr="00780B2B">
        <w:rPr>
          <w:rFonts w:ascii="Palatino Linotype" w:eastAsia="Arial Unicode MS" w:hAnsi="Palatino Linotype" w:cs="Arial"/>
          <w:lang w:val="es-419"/>
        </w:rPr>
        <w:t xml:space="preserve">, enfaticemos </w:t>
      </w:r>
      <w:r w:rsidRPr="00780B2B">
        <w:rPr>
          <w:rFonts w:ascii="Palatino Linotype" w:hAnsi="Palatino Linotype"/>
        </w:rPr>
        <w:t xml:space="preserve">lo que el derecho de acceso a la información </w:t>
      </w:r>
      <w:r w:rsidRPr="00780B2B">
        <w:rPr>
          <w:rFonts w:ascii="Palatino Linotype" w:hAnsi="Palatino Linotype"/>
        </w:rPr>
        <w:lastRenderedPageBreak/>
        <w:t>pública refiere, contemplado en el artículo 6°, Apartado A de la Constitución Política de los Estados Unidos Mexicanos, que señala:</w:t>
      </w:r>
    </w:p>
    <w:p w:rsidR="00E364B6" w:rsidRPr="00780B2B" w:rsidRDefault="00E364B6" w:rsidP="00E364B6">
      <w:pPr>
        <w:jc w:val="both"/>
        <w:rPr>
          <w:rFonts w:ascii="Palatino Linotype" w:hAnsi="Palatino Linotype"/>
          <w:sz w:val="22"/>
          <w:szCs w:val="22"/>
        </w:rPr>
      </w:pP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w:t>
      </w:r>
      <w:r w:rsidRPr="00780B2B">
        <w:rPr>
          <w:rFonts w:ascii="Palatino Linotype" w:hAnsi="Palatino Linotype" w:cs="Arial"/>
          <w:b/>
          <w:i/>
        </w:rPr>
        <w:t>Artículo 6o.</w:t>
      </w:r>
      <w:r w:rsidRPr="00780B2B">
        <w:rPr>
          <w:rFonts w:ascii="Palatino Linotype" w:hAnsi="Palatino Linotype" w:cs="Arial"/>
          <w:i/>
        </w:rPr>
        <w:t xml:space="preserve">  . .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t>A.</w:t>
      </w:r>
      <w:r w:rsidRPr="00780B2B">
        <w:rPr>
          <w:rFonts w:ascii="Palatino Linotype" w:hAnsi="Palatino Linotype" w:cs="Arial"/>
          <w:i/>
          <w:lang w:eastAsia="es-MX"/>
        </w:rPr>
        <w:t xml:space="preserve"> Para el ejercicio del </w:t>
      </w:r>
      <w:r w:rsidRPr="00780B2B">
        <w:rPr>
          <w:rFonts w:ascii="Palatino Linotype" w:hAnsi="Palatino Linotype" w:cs="Arial"/>
          <w:bCs/>
          <w:i/>
        </w:rPr>
        <w:t>derecho</w:t>
      </w:r>
      <w:r w:rsidRPr="00780B2B">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b/>
          <w:bCs/>
          <w:i/>
          <w:lang w:eastAsia="es-MX"/>
        </w:rPr>
        <w:t xml:space="preserve">I. </w:t>
      </w:r>
      <w:r w:rsidRPr="00780B2B">
        <w:rPr>
          <w:rFonts w:ascii="Palatino Linotype" w:hAnsi="Palatino Linotype" w:cs="Arial"/>
          <w:i/>
          <w:lang w:eastAsia="es-MX"/>
        </w:rPr>
        <w:t xml:space="preserve">Toda la información en posesión de cualquier autoridad, entidad, órgano y organismo de los Poderes Ejecutivo, </w:t>
      </w:r>
      <w:r w:rsidRPr="00780B2B">
        <w:rPr>
          <w:rFonts w:ascii="Palatino Linotype" w:hAnsi="Palatino Linotype" w:cs="Arial"/>
          <w:i/>
        </w:rPr>
        <w:t>Legislativo</w:t>
      </w:r>
      <w:r w:rsidRPr="00780B2B">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80B2B">
        <w:rPr>
          <w:rFonts w:ascii="Palatino Linotype" w:hAnsi="Palatino Linotype" w:cs="Arial"/>
          <w:i/>
        </w:rPr>
        <w:t xml:space="preserve"> </w:t>
      </w:r>
      <w:r w:rsidRPr="00780B2B">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t xml:space="preserve">II. </w:t>
      </w:r>
      <w:r w:rsidRPr="00780B2B">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lastRenderedPageBreak/>
        <w:t xml:space="preserve">III. </w:t>
      </w:r>
      <w:r w:rsidRPr="00780B2B">
        <w:rPr>
          <w:rFonts w:ascii="Palatino Linotype" w:hAnsi="Palatino Linotype" w:cs="Arial"/>
          <w:i/>
          <w:lang w:eastAsia="es-MX"/>
        </w:rPr>
        <w:t xml:space="preserve">Toda persona, sin necesidad de </w:t>
      </w:r>
      <w:r w:rsidRPr="00780B2B">
        <w:rPr>
          <w:rFonts w:ascii="Palatino Linotype" w:hAnsi="Palatino Linotype" w:cs="Arial"/>
          <w:i/>
        </w:rPr>
        <w:t>acreditar</w:t>
      </w:r>
      <w:r w:rsidRPr="00780B2B">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t xml:space="preserve">IV. </w:t>
      </w:r>
      <w:r w:rsidRPr="00780B2B">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t xml:space="preserve">V. </w:t>
      </w:r>
      <w:r w:rsidRPr="00780B2B">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364B6" w:rsidRPr="00780B2B" w:rsidRDefault="00E364B6" w:rsidP="00E364B6">
      <w:pPr>
        <w:spacing w:line="360" w:lineRule="auto"/>
        <w:ind w:left="851" w:right="901"/>
        <w:jc w:val="both"/>
        <w:rPr>
          <w:rFonts w:ascii="Palatino Linotype" w:hAnsi="Palatino Linotype" w:cs="Arial"/>
          <w:i/>
          <w:lang w:eastAsia="es-MX"/>
        </w:rPr>
      </w:pPr>
      <w:r w:rsidRPr="00780B2B">
        <w:rPr>
          <w:rFonts w:ascii="Palatino Linotype" w:hAnsi="Palatino Linotype" w:cs="Arial"/>
          <w:b/>
          <w:bCs/>
          <w:i/>
          <w:lang w:eastAsia="es-MX"/>
        </w:rPr>
        <w:t xml:space="preserve">VI. </w:t>
      </w:r>
      <w:r w:rsidRPr="00780B2B">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b/>
          <w:bCs/>
          <w:i/>
          <w:lang w:eastAsia="es-MX"/>
        </w:rPr>
        <w:t xml:space="preserve">VII. </w:t>
      </w:r>
      <w:r w:rsidRPr="00780B2B">
        <w:rPr>
          <w:rFonts w:ascii="Palatino Linotype" w:hAnsi="Palatino Linotype" w:cs="Arial"/>
          <w:i/>
          <w:lang w:eastAsia="es-MX"/>
        </w:rPr>
        <w:t>La inobservancia a las disposiciones en materia de acceso a la información pública será sancionada en los términos que dispongan las leyes.</w:t>
      </w:r>
      <w:r w:rsidRPr="00780B2B">
        <w:rPr>
          <w:rFonts w:ascii="Palatino Linotype" w:hAnsi="Palatino Linotype" w:cs="Arial"/>
          <w:i/>
        </w:rPr>
        <w:t xml:space="preserve">” </w:t>
      </w:r>
    </w:p>
    <w:p w:rsidR="00E364B6" w:rsidRPr="00780B2B" w:rsidRDefault="00E364B6" w:rsidP="00E364B6">
      <w:pPr>
        <w:spacing w:line="360" w:lineRule="auto"/>
        <w:ind w:left="851" w:right="901"/>
        <w:jc w:val="both"/>
        <w:rPr>
          <w:rFonts w:ascii="Palatino Linotype" w:hAnsi="Palatino Linotype"/>
        </w:rPr>
      </w:pPr>
      <w:r w:rsidRPr="00780B2B">
        <w:rPr>
          <w:rFonts w:ascii="Palatino Linotype" w:hAnsi="Palatino Linotype"/>
        </w:rPr>
        <w:t>(Énfasis añadido)</w:t>
      </w:r>
    </w:p>
    <w:p w:rsidR="00E364B6" w:rsidRPr="00780B2B" w:rsidRDefault="00E364B6" w:rsidP="00E364B6">
      <w:pPr>
        <w:spacing w:line="360" w:lineRule="auto"/>
        <w:ind w:left="851" w:right="901"/>
        <w:jc w:val="both"/>
        <w:rPr>
          <w:rFonts w:ascii="Palatino Linotype" w:hAnsi="Palatino Linotype" w:cs="Arial"/>
          <w:i/>
          <w:lang w:eastAsia="es-MX"/>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rPr>
      </w:pPr>
      <w:r w:rsidRPr="00780B2B">
        <w:rPr>
          <w:rFonts w:ascii="Palatino Linotype" w:hAnsi="Palatino Linotype"/>
        </w:rPr>
        <w:t xml:space="preserve">Por su parte, la Constitución Política del Estado Libre y Soberano de México, en su </w:t>
      </w:r>
      <w:r w:rsidRPr="00780B2B">
        <w:rPr>
          <w:rFonts w:ascii="Palatino Linotype" w:eastAsia="Arial Unicode MS" w:hAnsi="Palatino Linotype" w:cs="Arial"/>
        </w:rPr>
        <w:t>artículo</w:t>
      </w:r>
      <w:r w:rsidRPr="00780B2B">
        <w:rPr>
          <w:rFonts w:ascii="Palatino Linotype" w:hAnsi="Palatino Linotype"/>
        </w:rPr>
        <w:t xml:space="preserve"> 5°, párrafo trigésimo, trigésimo primero y trigésimo segundo, fracción I, dispone lo siguiente:</w:t>
      </w:r>
    </w:p>
    <w:p w:rsidR="00E364B6" w:rsidRPr="00780B2B" w:rsidRDefault="00E364B6" w:rsidP="00E364B6">
      <w:pPr>
        <w:spacing w:line="360" w:lineRule="auto"/>
        <w:jc w:val="both"/>
        <w:rPr>
          <w:rFonts w:ascii="Palatino Linotype" w:hAnsi="Palatino Linotype"/>
        </w:rPr>
      </w:pPr>
    </w:p>
    <w:p w:rsidR="00E364B6" w:rsidRPr="00780B2B" w:rsidRDefault="00E364B6" w:rsidP="00E364B6">
      <w:pPr>
        <w:spacing w:line="360" w:lineRule="auto"/>
        <w:ind w:left="851" w:right="901"/>
        <w:jc w:val="both"/>
        <w:rPr>
          <w:rFonts w:ascii="Palatino Linotype" w:hAnsi="Palatino Linotype" w:cs="Arial"/>
          <w:b/>
          <w:i/>
        </w:rPr>
      </w:pPr>
      <w:r w:rsidRPr="00780B2B">
        <w:rPr>
          <w:rFonts w:ascii="Palatino Linotype" w:hAnsi="Palatino Linotype" w:cs="Arial"/>
          <w:i/>
        </w:rPr>
        <w:t>“</w:t>
      </w:r>
      <w:r w:rsidRPr="00780B2B">
        <w:rPr>
          <w:rFonts w:ascii="Palatino Linotype" w:hAnsi="Palatino Linotype" w:cs="Arial"/>
          <w:b/>
          <w:i/>
        </w:rPr>
        <w:t xml:space="preserve">Artículo 5.  … </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 . .</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Este derecho se regirá por los principios y bases siguientes:</w:t>
      </w:r>
    </w:p>
    <w:p w:rsidR="00E364B6" w:rsidRPr="00780B2B" w:rsidRDefault="00E364B6" w:rsidP="00E364B6">
      <w:pPr>
        <w:spacing w:line="360" w:lineRule="auto"/>
        <w:ind w:left="851" w:right="901"/>
        <w:jc w:val="both"/>
        <w:rPr>
          <w:rFonts w:ascii="Palatino Linotype" w:hAnsi="Palatino Linotype"/>
        </w:rPr>
      </w:pPr>
      <w:r w:rsidRPr="00780B2B">
        <w:rPr>
          <w:rFonts w:ascii="Palatino Linotype" w:hAnsi="Palatino Linotype" w:cs="Arial"/>
          <w:i/>
        </w:rPr>
        <w:t xml:space="preserve">I. </w:t>
      </w:r>
      <w:r w:rsidRPr="00780B2B">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780B2B">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w:t>
      </w:r>
      <w:r w:rsidRPr="00780B2B">
        <w:rPr>
          <w:rFonts w:ascii="Palatino Linotype" w:hAnsi="Palatino Linotype" w:cs="Arial"/>
          <w:i/>
        </w:rPr>
        <w:lastRenderedPageBreak/>
        <w:t>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80B2B">
        <w:rPr>
          <w:rFonts w:ascii="Palatino Linotype" w:hAnsi="Palatino Linotype"/>
        </w:rPr>
        <w:t xml:space="preserve"> </w:t>
      </w:r>
    </w:p>
    <w:p w:rsidR="00E364B6" w:rsidRPr="00780B2B" w:rsidRDefault="00E364B6" w:rsidP="00E364B6">
      <w:pPr>
        <w:spacing w:line="360" w:lineRule="auto"/>
        <w:ind w:left="851" w:right="901"/>
        <w:jc w:val="both"/>
        <w:rPr>
          <w:rFonts w:ascii="Palatino Linotype" w:hAnsi="Palatino Linotype"/>
        </w:rPr>
      </w:pPr>
      <w:r w:rsidRPr="00780B2B">
        <w:rPr>
          <w:rFonts w:ascii="Palatino Linotype" w:hAnsi="Palatino Linotype"/>
        </w:rPr>
        <w:t>(Énfasis añadido)</w:t>
      </w:r>
    </w:p>
    <w:p w:rsidR="00E364B6" w:rsidRPr="00780B2B" w:rsidRDefault="00E364B6" w:rsidP="00E364B6">
      <w:pPr>
        <w:spacing w:line="360" w:lineRule="auto"/>
        <w:ind w:left="851" w:right="901"/>
        <w:jc w:val="both"/>
        <w:rPr>
          <w:rFonts w:ascii="Palatino Linotype" w:hAnsi="Palatino Linotype" w:cs="Arial"/>
          <w:i/>
        </w:rPr>
      </w:pPr>
    </w:p>
    <w:p w:rsidR="00E364B6" w:rsidRPr="00780B2B" w:rsidRDefault="00E364B6" w:rsidP="00E364B6">
      <w:pPr>
        <w:numPr>
          <w:ilvl w:val="0"/>
          <w:numId w:val="1"/>
        </w:numPr>
        <w:spacing w:line="360" w:lineRule="auto"/>
        <w:ind w:left="0" w:firstLine="0"/>
        <w:contextualSpacing/>
        <w:jc w:val="both"/>
        <w:rPr>
          <w:rFonts w:ascii="Palatino Linotype" w:hAnsi="Palatino Linotype"/>
        </w:rPr>
      </w:pPr>
      <w:r w:rsidRPr="00780B2B">
        <w:rPr>
          <w:rFonts w:ascii="Palatino Linotype" w:hAnsi="Palatino Linotype"/>
        </w:rPr>
        <w:t>Asimismo, se tiene que la Ley de Transparencia y Acceso a la Información Pública del Estado de México y Municipios, prevé en su artículo 23, lo siguiente:</w:t>
      </w:r>
    </w:p>
    <w:p w:rsidR="00E364B6" w:rsidRPr="00780B2B" w:rsidRDefault="00E364B6" w:rsidP="00E364B6">
      <w:pPr>
        <w:spacing w:line="360" w:lineRule="auto"/>
        <w:jc w:val="both"/>
        <w:rPr>
          <w:rFonts w:ascii="Palatino Linotype" w:hAnsi="Palatino Linotype"/>
        </w:rPr>
      </w:pP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w:t>
      </w:r>
      <w:r w:rsidRPr="00780B2B">
        <w:rPr>
          <w:rFonts w:ascii="Palatino Linotype" w:hAnsi="Palatino Linotype" w:cs="Arial"/>
          <w:b/>
          <w:i/>
        </w:rPr>
        <w:t>Artículo 23.</w:t>
      </w:r>
      <w:r w:rsidRPr="00780B2B">
        <w:rPr>
          <w:rFonts w:ascii="Palatino Linotype" w:hAnsi="Palatino Linotype" w:cs="Arial"/>
          <w:i/>
        </w:rPr>
        <w:t xml:space="preserve"> Son sujetos obligados a transparentar y permitir el acceso a su información y proteger los datos personales que obren en su poder:</w:t>
      </w:r>
    </w:p>
    <w:p w:rsidR="00E364B6" w:rsidRPr="00780B2B" w:rsidRDefault="00E364B6" w:rsidP="00E364B6">
      <w:pPr>
        <w:spacing w:line="360" w:lineRule="auto"/>
        <w:ind w:left="851" w:right="901"/>
        <w:jc w:val="both"/>
        <w:rPr>
          <w:rFonts w:ascii="Palatino Linotype" w:hAnsi="Palatino Linotype" w:cs="Arial"/>
          <w:b/>
          <w:i/>
        </w:rPr>
      </w:pPr>
      <w:r w:rsidRPr="00780B2B">
        <w:rPr>
          <w:rFonts w:ascii="Palatino Linotype" w:hAnsi="Palatino Linotype" w:cs="Arial"/>
          <w:b/>
          <w:i/>
        </w:rPr>
        <w:t>I. El Poder Ejecutivo del Estado de México, las dependencias, organismos auxiliares, órganos, entidades, fideicomisos y fondos públicos, así como la Procuraduría General de Justicia;</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II. El Poder Legislativo del Estado, los organismos, órganos y entidades de la Legislatura y sus dependencias;</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III. El Poder Judicial, sus organismos, órganos y entidades, así como el Consejo de la Judicatura del Estado;</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IV. Los ayuntamientos y las dependencias, organismos, órganos y entidades de la administración municipal;</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V. Los órganos autónomos;</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VI. Los tribunales administrativos y autoridades jurisdiccionales en materia laboral;</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lastRenderedPageBreak/>
        <w:t>VII. Los partidos políticos y agrupaciones políticas, en los términos de las disposiciones aplicables;</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VIII. Los fideicomisos y fondos públicos que cuenten con financiamiento público, parcial o total, o con participación de entidades de gobierno;</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IX. Los sindicatos que reciban y/o ejerzan recursos públicos en el ámbito estatal y municipal;</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X. Cualquier persona física o jurídico colectiva que reciba y ejerza recursos públicos en el ámbito estatal o municipal; y</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XI. Cualquier otra autoridad, entidad, órgano u organismo de los poderes estatal o municipal, que reciba recursos públicos.</w:t>
      </w:r>
    </w:p>
    <w:p w:rsidR="00E364B6" w:rsidRPr="00780B2B" w:rsidRDefault="00E364B6" w:rsidP="00E364B6">
      <w:pPr>
        <w:spacing w:line="360" w:lineRule="auto"/>
        <w:ind w:left="851" w:right="901"/>
        <w:jc w:val="both"/>
        <w:rPr>
          <w:rFonts w:ascii="Palatino Linotype" w:hAnsi="Palatino Linotype" w:cs="Arial"/>
          <w:b/>
          <w:i/>
        </w:rPr>
      </w:pPr>
      <w:r w:rsidRPr="00780B2B">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364B6" w:rsidRPr="00780B2B" w:rsidRDefault="00E364B6" w:rsidP="00E364B6">
      <w:pPr>
        <w:spacing w:line="360" w:lineRule="auto"/>
        <w:ind w:left="851" w:right="901"/>
        <w:jc w:val="both"/>
        <w:rPr>
          <w:rFonts w:ascii="Palatino Linotype" w:hAnsi="Palatino Linotype" w:cs="Arial"/>
          <w:b/>
          <w:i/>
        </w:rPr>
      </w:pPr>
      <w:r w:rsidRPr="00780B2B">
        <w:rPr>
          <w:rFonts w:ascii="Palatino Linotype" w:hAnsi="Palatino Linotype" w:cs="Arial"/>
          <w:b/>
          <w:i/>
        </w:rPr>
        <w:t>Los servidores públicos deberán transparentar sus acciones así como garantizar y respetar el derecho de acceso a la información pública.</w:t>
      </w:r>
    </w:p>
    <w:p w:rsidR="00E364B6" w:rsidRPr="00780B2B" w:rsidRDefault="00E364B6" w:rsidP="00E364B6">
      <w:pPr>
        <w:spacing w:line="360" w:lineRule="auto"/>
        <w:ind w:left="851" w:right="901"/>
        <w:jc w:val="both"/>
        <w:rPr>
          <w:rFonts w:ascii="Palatino Linotype" w:hAnsi="Palatino Linotype" w:cs="Arial"/>
          <w:i/>
        </w:rPr>
      </w:pPr>
      <w:r w:rsidRPr="00780B2B">
        <w:rPr>
          <w:rFonts w:ascii="Palatino Linotype" w:hAnsi="Palatino Linotype" w:cs="Arial"/>
          <w:i/>
        </w:rPr>
        <w:t>(Énfasis añadido)</w:t>
      </w:r>
    </w:p>
    <w:p w:rsidR="00E364B6" w:rsidRPr="00780B2B" w:rsidRDefault="00E364B6" w:rsidP="00E364B6">
      <w:pPr>
        <w:ind w:left="851" w:right="901"/>
        <w:jc w:val="both"/>
        <w:rPr>
          <w:rFonts w:ascii="Palatino Linotype" w:hAnsi="Palatino Linotype" w:cs="Arial"/>
          <w:i/>
          <w:sz w:val="22"/>
          <w:szCs w:val="22"/>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En esa tesitura, es dable traer a contexto el Anexo IV.2 Clasificación por objeto del gasto, del Manual para la Planeación, Programación y Presupuesto de Egresos Municipal para el ejercicio fiscal dos mil veinte, establece que los Presupuestos de </w:t>
      </w:r>
      <w:r w:rsidRPr="00780B2B">
        <w:rPr>
          <w:rFonts w:ascii="Palatino Linotype" w:eastAsia="Palatino Linotype" w:hAnsi="Palatino Linotype" w:cs="Palatino Linotype"/>
        </w:rPr>
        <w:lastRenderedPageBreak/>
        <w:t xml:space="preserve">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E364B6" w:rsidRPr="00780B2B" w:rsidRDefault="00E364B6" w:rsidP="00E364B6">
      <w:pPr>
        <w:spacing w:line="360" w:lineRule="auto"/>
        <w:contextualSpacing/>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E364B6" w:rsidRPr="00780B2B" w:rsidRDefault="00E364B6" w:rsidP="00E364B6">
      <w:pPr>
        <w:spacing w:line="360" w:lineRule="auto"/>
        <w:contextualSpacing/>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De la misma manera, el Glosario de términos más usuales en la Administración Pública Federal, emitido por la Secretaría de Hacienda y Crédito Público (</w:t>
      </w:r>
      <w:r w:rsidRPr="00780B2B">
        <w:rPr>
          <w:rFonts w:ascii="Palatino Linotype" w:eastAsia="Palatino Linotype" w:hAnsi="Palatino Linotype" w:cs="Palatino Linotype"/>
          <w:i/>
        </w:rPr>
        <w:t>http://www.apartados.hacienda.gob.mx/contabilidad/documentos/inform</w:t>
      </w:r>
      <w:r w:rsidRPr="00780B2B">
        <w:rPr>
          <w:rFonts w:ascii="Palatino Linotype" w:eastAsia="Palatino Linotype" w:hAnsi="Palatino Linotype" w:cs="Palatino Linotype"/>
          <w:i/>
        </w:rPr>
        <w:br/>
      </w:r>
      <w:proofErr w:type="spellStart"/>
      <w:r w:rsidRPr="00780B2B">
        <w:rPr>
          <w:rFonts w:ascii="Palatino Linotype" w:eastAsia="Palatino Linotype" w:hAnsi="Palatino Linotype" w:cs="Palatino Linotype"/>
          <w:i/>
        </w:rPr>
        <w:t>e_cuenta</w:t>
      </w:r>
      <w:proofErr w:type="spellEnd"/>
      <w:r w:rsidRPr="00780B2B">
        <w:rPr>
          <w:rFonts w:ascii="Palatino Linotype" w:eastAsia="Palatino Linotype" w:hAnsi="Palatino Linotype" w:cs="Palatino Linotype"/>
          <w:i/>
        </w:rPr>
        <w:t>/1998/</w:t>
      </w:r>
      <w:proofErr w:type="spellStart"/>
      <w:r w:rsidRPr="00780B2B">
        <w:rPr>
          <w:rFonts w:ascii="Palatino Linotype" w:eastAsia="Palatino Linotype" w:hAnsi="Palatino Linotype" w:cs="Palatino Linotype"/>
          <w:i/>
        </w:rPr>
        <w:t>cuenta_publica</w:t>
      </w:r>
      <w:proofErr w:type="spellEnd"/>
      <w:r w:rsidRPr="00780B2B">
        <w:rPr>
          <w:rFonts w:ascii="Palatino Linotype" w:eastAsia="Palatino Linotype" w:hAnsi="Palatino Linotype" w:cs="Palatino Linotype"/>
          <w:i/>
        </w:rPr>
        <w:t>/Glosario/n.htm</w:t>
      </w:r>
      <w:r w:rsidRPr="00780B2B">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E364B6" w:rsidRPr="00780B2B" w:rsidRDefault="00E364B6" w:rsidP="00E364B6">
      <w:pPr>
        <w:pStyle w:val="Prrafodelista"/>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lastRenderedPageBreak/>
        <w:t xml:space="preserve">Conforme a lo anterior, se puede advertir que la nómina se puede referir a lo siguiente: </w:t>
      </w:r>
    </w:p>
    <w:p w:rsidR="00E364B6" w:rsidRPr="00780B2B" w:rsidRDefault="00E364B6" w:rsidP="00E364B6">
      <w:pPr>
        <w:pStyle w:val="Prrafodelista"/>
        <w:rPr>
          <w:rFonts w:ascii="Palatino Linotype" w:eastAsia="Palatino Linotype" w:hAnsi="Palatino Linotype" w:cs="Palatino Linotype"/>
        </w:rPr>
      </w:pPr>
    </w:p>
    <w:p w:rsidR="00E364B6" w:rsidRPr="00780B2B" w:rsidRDefault="00E364B6" w:rsidP="00E364B6">
      <w:pPr>
        <w:spacing w:after="160" w:line="360" w:lineRule="auto"/>
        <w:ind w:left="284"/>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a) Relación de trabajadores con las percepciones monetarias de cada uno. </w:t>
      </w:r>
    </w:p>
    <w:p w:rsidR="00E364B6" w:rsidRPr="00780B2B" w:rsidRDefault="00E364B6" w:rsidP="00E364B6">
      <w:pPr>
        <w:spacing w:after="160" w:line="360" w:lineRule="auto"/>
        <w:ind w:left="284"/>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b) </w:t>
      </w:r>
      <w:r w:rsidRPr="00780B2B">
        <w:rPr>
          <w:rFonts w:ascii="Palatino Linotype" w:eastAsia="Palatino Linotype" w:hAnsi="Palatino Linotype" w:cs="Palatino Linotype"/>
          <w:b/>
        </w:rPr>
        <w:t>Recibo individual que contiene las prestaciones y deducciones de un trabajador.</w:t>
      </w:r>
    </w:p>
    <w:p w:rsidR="00E364B6" w:rsidRPr="00780B2B" w:rsidRDefault="00E364B6" w:rsidP="00E364B6">
      <w:pPr>
        <w:spacing w:after="160" w:line="360" w:lineRule="auto"/>
        <w:ind w:left="284"/>
        <w:jc w:val="both"/>
        <w:rPr>
          <w:rFonts w:ascii="Palatino Linotype" w:eastAsia="Palatino Linotype" w:hAnsi="Palatino Linotype" w:cs="Palatino Linotype"/>
        </w:rPr>
      </w:pPr>
      <w:r w:rsidRPr="00780B2B">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E364B6" w:rsidRPr="00780B2B" w:rsidRDefault="00E364B6" w:rsidP="00E364B6">
      <w:pPr>
        <w:spacing w:line="360" w:lineRule="auto"/>
        <w:contextualSpacing/>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00F52D0F" w:rsidRPr="00780B2B" w:rsidRDefault="00F52D0F" w:rsidP="00F52D0F">
      <w:pPr>
        <w:pStyle w:val="Prrafodelista"/>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 xml:space="preserve">Al respecto, el artículo 350 del Código Financiero del Estado de México y Municipios, establece que, dentro de los primeros veinte días hábiles, las Tesorerías Municipales, enviarán para su análisis y evaluación al Órgano Superior de </w:t>
      </w:r>
      <w:r w:rsidRPr="00780B2B">
        <w:rPr>
          <w:rFonts w:ascii="Palatino Linotype" w:eastAsia="Palatino Linotype" w:hAnsi="Palatino Linotype" w:cs="Palatino Linotype"/>
        </w:rPr>
        <w:lastRenderedPageBreak/>
        <w:t>Fiscalización del Estado de México, la información Patrimonial, Presupuestal, de la Obra Pública y de Nómina, en los términos siguientes:</w:t>
      </w:r>
    </w:p>
    <w:p w:rsidR="00E364B6" w:rsidRPr="00780B2B" w:rsidRDefault="00E364B6" w:rsidP="00E364B6">
      <w:pPr>
        <w:spacing w:line="360" w:lineRule="auto"/>
        <w:ind w:right="49"/>
        <w:jc w:val="both"/>
        <w:rPr>
          <w:rFonts w:ascii="Palatino Linotype" w:eastAsia="Palatino Linotype" w:hAnsi="Palatino Linotype" w:cs="Palatino Linotype"/>
        </w:rPr>
      </w:pPr>
    </w:p>
    <w:p w:rsidR="00E364B6" w:rsidRPr="00780B2B" w:rsidRDefault="00E364B6" w:rsidP="00E364B6">
      <w:pPr>
        <w:spacing w:line="360" w:lineRule="auto"/>
        <w:ind w:left="851" w:right="851"/>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w:t>
      </w:r>
      <w:r w:rsidRPr="00780B2B">
        <w:rPr>
          <w:rFonts w:ascii="Palatino Linotype" w:eastAsia="Palatino Linotype" w:hAnsi="Palatino Linotype" w:cs="Palatino Linotype"/>
          <w:b/>
          <w:i/>
          <w:sz w:val="22"/>
          <w:szCs w:val="22"/>
        </w:rPr>
        <w:t>Artículo 350.-</w:t>
      </w:r>
      <w:r w:rsidRPr="00780B2B">
        <w:rPr>
          <w:rFonts w:ascii="Palatino Linotype" w:eastAsia="Palatino Linotype" w:hAnsi="Palatino Linotype" w:cs="Palatino Linotype"/>
          <w:i/>
          <w:sz w:val="22"/>
          <w:szCs w:val="22"/>
        </w:rPr>
        <w:t xml:space="preserve"> Mensualmente dentro de los primeros veinte días hábiles, la Secretaría y </w:t>
      </w:r>
      <w:r w:rsidRPr="00780B2B">
        <w:rPr>
          <w:rFonts w:ascii="Palatino Linotype" w:eastAsia="Palatino Linotype" w:hAnsi="Palatino Linotype" w:cs="Palatino Linotype"/>
          <w:b/>
          <w:i/>
          <w:sz w:val="22"/>
          <w:szCs w:val="22"/>
        </w:rPr>
        <w:t>las Tesorerías, enviarán para su análisis y evaluación</w:t>
      </w:r>
      <w:r w:rsidRPr="00780B2B">
        <w:rPr>
          <w:rFonts w:ascii="Palatino Linotype" w:eastAsia="Palatino Linotype" w:hAnsi="Palatino Linotype" w:cs="Palatino Linotype"/>
          <w:i/>
          <w:sz w:val="22"/>
          <w:szCs w:val="22"/>
        </w:rPr>
        <w:t xml:space="preserve"> al Órgano Superior de Fiscalización del Estado de México, la siguiente información:</w:t>
      </w:r>
    </w:p>
    <w:p w:rsidR="00E364B6" w:rsidRPr="00780B2B" w:rsidRDefault="00E364B6" w:rsidP="00E364B6">
      <w:pPr>
        <w:spacing w:line="276" w:lineRule="auto"/>
        <w:ind w:left="851" w:right="849"/>
        <w:jc w:val="both"/>
        <w:rPr>
          <w:rFonts w:ascii="Palatino Linotype" w:eastAsia="Palatino Linotype" w:hAnsi="Palatino Linotype" w:cs="Palatino Linotype"/>
          <w:i/>
          <w:sz w:val="22"/>
          <w:szCs w:val="22"/>
        </w:rPr>
      </w:pPr>
    </w:p>
    <w:p w:rsidR="00E364B6" w:rsidRPr="00780B2B" w:rsidRDefault="00E364B6" w:rsidP="00E364B6">
      <w:pPr>
        <w:spacing w:line="276" w:lineRule="auto"/>
        <w:ind w:left="851" w:right="849"/>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I. Información patrimonial.</w:t>
      </w:r>
    </w:p>
    <w:p w:rsidR="00E364B6" w:rsidRPr="00780B2B" w:rsidRDefault="00E364B6" w:rsidP="00E364B6">
      <w:pPr>
        <w:spacing w:line="276" w:lineRule="auto"/>
        <w:ind w:left="851" w:right="849"/>
        <w:jc w:val="both"/>
        <w:rPr>
          <w:rFonts w:ascii="Palatino Linotype" w:eastAsia="Palatino Linotype" w:hAnsi="Palatino Linotype" w:cs="Palatino Linotype"/>
          <w:i/>
          <w:sz w:val="22"/>
          <w:szCs w:val="22"/>
        </w:rPr>
      </w:pPr>
      <w:r w:rsidRPr="00780B2B">
        <w:rPr>
          <w:rFonts w:ascii="Palatino Linotype" w:eastAsia="Palatino Linotype" w:hAnsi="Palatino Linotype" w:cs="Palatino Linotype"/>
          <w:i/>
          <w:sz w:val="22"/>
          <w:szCs w:val="22"/>
        </w:rPr>
        <w:t>II. Información presupuestal.</w:t>
      </w:r>
    </w:p>
    <w:p w:rsidR="00E364B6" w:rsidRPr="00780B2B" w:rsidRDefault="00E364B6" w:rsidP="00E364B6">
      <w:pPr>
        <w:spacing w:line="276" w:lineRule="auto"/>
        <w:ind w:left="851" w:right="849"/>
        <w:jc w:val="both"/>
        <w:rPr>
          <w:rFonts w:ascii="Palatino Linotype" w:eastAsia="Palatino Linotype" w:hAnsi="Palatino Linotype" w:cs="Palatino Linotype"/>
          <w:b/>
          <w:i/>
          <w:sz w:val="22"/>
          <w:szCs w:val="22"/>
        </w:rPr>
      </w:pPr>
      <w:r w:rsidRPr="00780B2B">
        <w:rPr>
          <w:rFonts w:ascii="Palatino Linotype" w:eastAsia="Palatino Linotype" w:hAnsi="Palatino Linotype" w:cs="Palatino Linotype"/>
          <w:i/>
          <w:sz w:val="22"/>
          <w:szCs w:val="22"/>
        </w:rPr>
        <w:t>III. Información de la obra pública.</w:t>
      </w:r>
    </w:p>
    <w:p w:rsidR="00E364B6" w:rsidRPr="00780B2B" w:rsidRDefault="00E364B6" w:rsidP="00E364B6">
      <w:pPr>
        <w:spacing w:line="276" w:lineRule="auto"/>
        <w:ind w:left="851" w:right="849"/>
        <w:jc w:val="both"/>
        <w:rPr>
          <w:rFonts w:ascii="Palatino Linotype" w:eastAsia="Palatino Linotype" w:hAnsi="Palatino Linotype" w:cs="Palatino Linotype"/>
          <w:b/>
          <w:i/>
          <w:sz w:val="22"/>
          <w:szCs w:val="22"/>
        </w:rPr>
      </w:pPr>
      <w:r w:rsidRPr="00780B2B">
        <w:rPr>
          <w:rFonts w:ascii="Palatino Linotype" w:eastAsia="Palatino Linotype" w:hAnsi="Palatino Linotype" w:cs="Palatino Linotype"/>
          <w:b/>
          <w:i/>
          <w:sz w:val="22"/>
          <w:szCs w:val="22"/>
        </w:rPr>
        <w:t>IV. Información de nómina.”</w:t>
      </w:r>
    </w:p>
    <w:p w:rsidR="00E364B6" w:rsidRPr="00780B2B" w:rsidRDefault="00E364B6" w:rsidP="00E364B6">
      <w:pPr>
        <w:spacing w:after="160" w:line="360" w:lineRule="auto"/>
        <w:jc w:val="both"/>
        <w:rPr>
          <w:rFonts w:ascii="Palatino Linotype" w:eastAsia="Palatino Linotype" w:hAnsi="Palatino Linotype" w:cs="Palatino Linotype"/>
        </w:rPr>
      </w:pPr>
    </w:p>
    <w:p w:rsidR="00E364B6" w:rsidRPr="00780B2B" w:rsidRDefault="00E364B6" w:rsidP="00E364B6">
      <w:pPr>
        <w:numPr>
          <w:ilvl w:val="0"/>
          <w:numId w:val="1"/>
        </w:numPr>
        <w:spacing w:line="360" w:lineRule="auto"/>
        <w:ind w:left="0" w:firstLine="0"/>
        <w:contextualSpacing/>
        <w:jc w:val="both"/>
        <w:rPr>
          <w:rFonts w:ascii="Palatino Linotype" w:eastAsia="Palatino Linotype" w:hAnsi="Palatino Linotype" w:cs="Palatino Linotype"/>
        </w:rPr>
      </w:pPr>
      <w:r w:rsidRPr="00780B2B">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 traído a contexto a manera de ejemplo ya que es uno de los tres ejercicios fiscales solicitados, entre los formatos que maneja en el Módulo 4, se advierte que se encuentra la Conciliación de Nómina Mensual, mismo que será integrado de manera mensual, tal como se muestra a continuación:</w:t>
      </w:r>
    </w:p>
    <w:p w:rsidR="00E364B6" w:rsidRPr="00780B2B" w:rsidRDefault="00E364B6" w:rsidP="00E364B6">
      <w:pPr>
        <w:spacing w:line="360" w:lineRule="auto"/>
        <w:jc w:val="both"/>
      </w:pPr>
      <w:r w:rsidRPr="00780B2B">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2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5" DrawAspect="Content" ObjectID="_1732361637" r:id="rId15"/>
        </w:object>
      </w:r>
    </w:p>
    <w:p w:rsidR="00E364B6" w:rsidRPr="00780B2B" w:rsidRDefault="00E364B6" w:rsidP="00E364B6">
      <w:pPr>
        <w:spacing w:line="360" w:lineRule="auto"/>
        <w:jc w:val="both"/>
      </w:pPr>
    </w:p>
    <w:p w:rsidR="00E364B6" w:rsidRPr="00780B2B" w:rsidRDefault="00E364B6" w:rsidP="00E364B6">
      <w:pPr>
        <w:numPr>
          <w:ilvl w:val="0"/>
          <w:numId w:val="1"/>
        </w:numPr>
        <w:pBdr>
          <w:top w:val="nil"/>
          <w:left w:val="nil"/>
          <w:bottom w:val="nil"/>
          <w:right w:val="nil"/>
          <w:between w:val="nil"/>
        </w:pBdr>
        <w:spacing w:before="280" w:after="280" w:line="360" w:lineRule="auto"/>
        <w:ind w:left="0" w:firstLine="0"/>
        <w:contextualSpacing/>
        <w:jc w:val="both"/>
        <w:rPr>
          <w:color w:val="000000"/>
        </w:rPr>
      </w:pPr>
      <w:r w:rsidRPr="00780B2B">
        <w:rPr>
          <w:rFonts w:ascii="Palatino Linotype" w:eastAsia="Palatino Linotype" w:hAnsi="Palatino Linotype" w:cs="Palatino Linotype"/>
          <w:color w:val="000000"/>
        </w:rPr>
        <w:t xml:space="preserve">Ahora bien, los “Lineamientos para la Integración del Informe Mensual Municipal”, emitidos por el Órgano Superior de Fiscalización del Estado de México, OSFEM, en cada ejercicio fiscal, definen los criterios, formatos, documentación </w:t>
      </w:r>
      <w:r w:rsidRPr="00780B2B">
        <w:rPr>
          <w:rFonts w:ascii="Palatino Linotype" w:eastAsia="Palatino Linotype" w:hAnsi="Palatino Linotype" w:cs="Palatino Linotype"/>
          <w:color w:val="000000"/>
        </w:rPr>
        <w:lastRenderedPageBreak/>
        <w:t xml:space="preserve">necesaria para presentar los informes mensuales por parte de los Sujetos Obligados; homologar la información y </w:t>
      </w:r>
      <w:proofErr w:type="spellStart"/>
      <w:r w:rsidRPr="00780B2B">
        <w:rPr>
          <w:rFonts w:ascii="Palatino Linotype" w:eastAsia="Palatino Linotype" w:hAnsi="Palatino Linotype" w:cs="Palatino Linotype"/>
          <w:color w:val="000000"/>
        </w:rPr>
        <w:t>eficientar</w:t>
      </w:r>
      <w:proofErr w:type="spellEnd"/>
      <w:r w:rsidRPr="00780B2B">
        <w:rPr>
          <w:rFonts w:ascii="Palatino Linotype" w:eastAsia="Palatino Linotype" w:hAnsi="Palatino Linotype" w:cs="Palatino Linotype"/>
          <w:color w:val="000000"/>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que se destaca el 4 que contiene los </w:t>
      </w:r>
      <w:r w:rsidRPr="00780B2B">
        <w:rPr>
          <w:rFonts w:ascii="Palatino Linotype" w:eastAsia="Palatino Linotype" w:hAnsi="Palatino Linotype" w:cs="Palatino Linotype"/>
          <w:i/>
          <w:color w:val="000000"/>
        </w:rPr>
        <w:t>recibos de nómina</w:t>
      </w:r>
      <w:r w:rsidRPr="00780B2B">
        <w:rPr>
          <w:rFonts w:ascii="Palatino Linotype" w:eastAsia="Palatino Linotype" w:hAnsi="Palatino Linotype" w:cs="Palatino Linotype"/>
          <w:color w:val="000000"/>
        </w:rPr>
        <w:t>; el cual deberá entregar dentro de los 20 días hábiles siguientes terminado el mes, conforme al siguiente orden:</w:t>
      </w:r>
    </w:p>
    <w:p w:rsidR="00E364B6" w:rsidRPr="00780B2B" w:rsidRDefault="00E364B6" w:rsidP="00E364B6">
      <w:pPr>
        <w:pBdr>
          <w:top w:val="nil"/>
          <w:left w:val="nil"/>
          <w:bottom w:val="nil"/>
          <w:right w:val="nil"/>
          <w:between w:val="nil"/>
        </w:pBdr>
        <w:spacing w:before="280" w:after="280" w:line="360" w:lineRule="auto"/>
        <w:contextualSpacing/>
        <w:jc w:val="both"/>
        <w:rPr>
          <w:color w:val="000000"/>
        </w:rPr>
      </w:pPr>
    </w:p>
    <w:p w:rsidR="00E364B6" w:rsidRPr="00780B2B" w:rsidRDefault="00E364B6" w:rsidP="00E364B6">
      <w:pPr>
        <w:pBdr>
          <w:top w:val="nil"/>
          <w:left w:val="nil"/>
          <w:bottom w:val="nil"/>
          <w:right w:val="nil"/>
          <w:between w:val="nil"/>
        </w:pBdr>
        <w:spacing w:before="280" w:after="280"/>
        <w:jc w:val="center"/>
        <w:rPr>
          <w:color w:val="000000"/>
        </w:rPr>
      </w:pPr>
      <w:r w:rsidRPr="00780B2B">
        <w:rPr>
          <w:rFonts w:ascii="Palatino Linotype" w:eastAsia="Palatino Linotype" w:hAnsi="Palatino Linotype" w:cs="Palatino Linotype"/>
          <w:noProof/>
          <w:color w:val="000000"/>
          <w:lang w:val="es-MX" w:eastAsia="es-MX"/>
        </w:rPr>
        <w:drawing>
          <wp:inline distT="0" distB="0" distL="0" distR="0" wp14:anchorId="0A78F5BB" wp14:editId="5D77CB57">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6"/>
                    <a:srcRect/>
                    <a:stretch>
                      <a:fillRect/>
                    </a:stretch>
                  </pic:blipFill>
                  <pic:spPr>
                    <a:xfrm>
                      <a:off x="0" y="0"/>
                      <a:ext cx="5191125" cy="1924050"/>
                    </a:xfrm>
                    <a:prstGeom prst="rect">
                      <a:avLst/>
                    </a:prstGeom>
                    <a:ln>
                      <a:solidFill>
                        <a:schemeClr val="tx1"/>
                      </a:solidFill>
                    </a:ln>
                  </pic:spPr>
                </pic:pic>
              </a:graphicData>
            </a:graphic>
          </wp:inline>
        </w:drawing>
      </w:r>
    </w:p>
    <w:p w:rsidR="00E364B6" w:rsidRPr="00780B2B" w:rsidRDefault="00E364B6" w:rsidP="00E364B6">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E364B6" w:rsidRPr="00780B2B" w:rsidRDefault="00E364B6" w:rsidP="00E364B6">
      <w:pPr>
        <w:numPr>
          <w:ilvl w:val="0"/>
          <w:numId w:val="1"/>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sidRPr="00780B2B">
        <w:rPr>
          <w:rFonts w:ascii="Palatino Linotype" w:eastAsia="Palatino Linotype" w:hAnsi="Palatino Linotype" w:cs="Palatino Linotype"/>
          <w:color w:val="000000"/>
        </w:rPr>
        <w:t xml:space="preserve">De lo anterior, se advierte que los </w:t>
      </w:r>
      <w:r w:rsidR="00F52D0F" w:rsidRPr="00780B2B">
        <w:rPr>
          <w:rFonts w:ascii="Palatino Linotype" w:eastAsia="Palatino Linotype" w:hAnsi="Palatino Linotype" w:cs="Palatino Linotype"/>
          <w:color w:val="000000"/>
        </w:rPr>
        <w:t>entes municipales</w:t>
      </w:r>
      <w:r w:rsidRPr="00780B2B">
        <w:rPr>
          <w:rFonts w:ascii="Palatino Linotype" w:eastAsia="Palatino Linotype" w:hAnsi="Palatino Linotype" w:cs="Palatino Linotype"/>
          <w:color w:val="000000"/>
        </w:rPr>
        <w:t xml:space="preserve"> tienen la obligación de entregar al Órgano Superior de Fiscalización del Estado de México, los informes mensuales en los que se incluye la información relativa a los recibos de nómina en cada ejercicio fiscal.</w:t>
      </w:r>
    </w:p>
    <w:p w:rsidR="00E364B6" w:rsidRPr="00780B2B" w:rsidRDefault="00E364B6" w:rsidP="00E364B6">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780B2B">
        <w:rPr>
          <w:rFonts w:ascii="Times New Roman" w:eastAsia="Times New Roman" w:hAnsi="Times New Roman" w:cs="Times New Roman"/>
          <w:color w:val="000000"/>
        </w:rPr>
        <w:object w:dxaOrig="8790" w:dyaOrig="10860">
          <v:shape id="_x0000_i1026" type="#_x0000_t75" style="width:433.75pt;height:535.7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6" DrawAspect="Content" ObjectID="_1732361638" r:id="rId18"/>
        </w:object>
      </w:r>
    </w:p>
    <w:p w:rsidR="00E364B6" w:rsidRPr="00780B2B" w:rsidRDefault="00E364B6" w:rsidP="00F52D0F">
      <w:pPr>
        <w:numPr>
          <w:ilvl w:val="0"/>
          <w:numId w:val="1"/>
        </w:numPr>
        <w:pBdr>
          <w:top w:val="nil"/>
          <w:left w:val="nil"/>
          <w:bottom w:val="nil"/>
          <w:right w:val="nil"/>
          <w:between w:val="nil"/>
        </w:pBdr>
        <w:spacing w:line="360" w:lineRule="auto"/>
        <w:ind w:left="0" w:firstLine="0"/>
        <w:contextualSpacing/>
        <w:jc w:val="both"/>
        <w:rPr>
          <w:rFonts w:ascii="Palatino Linotype" w:hAnsi="Palatino Linotype" w:cs="Arial"/>
          <w:b/>
        </w:rPr>
      </w:pPr>
      <w:r w:rsidRPr="00780B2B">
        <w:rPr>
          <w:rFonts w:ascii="Palatino Linotype" w:eastAsia="Palatino Linotype" w:hAnsi="Palatino Linotype" w:cs="Palatino Linotype"/>
        </w:rPr>
        <w:lastRenderedPageBreak/>
        <w:t xml:space="preserve">Es por lo anterior que resulta dable revocar la respuesta del </w:t>
      </w:r>
      <w:r w:rsidRPr="00780B2B">
        <w:rPr>
          <w:rFonts w:ascii="Palatino Linotype" w:eastAsia="Palatino Linotype" w:hAnsi="Palatino Linotype" w:cs="Palatino Linotype"/>
          <w:b/>
        </w:rPr>
        <w:t>Sujeto Obligado</w:t>
      </w:r>
      <w:r w:rsidRPr="00780B2B">
        <w:rPr>
          <w:rFonts w:ascii="Palatino Linotype" w:eastAsia="Palatino Linotype" w:hAnsi="Palatino Linotype" w:cs="Palatino Linotype"/>
        </w:rPr>
        <w:t xml:space="preserve"> y ordenar la haga entrega de los </w:t>
      </w:r>
      <w:r w:rsidR="00F52D0F" w:rsidRPr="00780B2B">
        <w:rPr>
          <w:rFonts w:ascii="Palatino Linotype" w:eastAsia="Palatino Linotype" w:hAnsi="Palatino Linotype" w:cs="Palatino Linotype"/>
          <w:b/>
        </w:rPr>
        <w:t>recibos de nómina de la primer y segunda quincena del mes de septiembre de 2022, de todo el personal adscrito a la Unidad de Transparencia del Sujeto Obligado, incluyendo sindicalizados</w:t>
      </w:r>
      <w:r w:rsidRPr="00780B2B">
        <w:rPr>
          <w:rFonts w:ascii="Palatino Linotype" w:hAnsi="Palatino Linotype" w:cs="Arial"/>
        </w:rPr>
        <w:t>, cabe destacar que al ser los recibos de nómina, naturalmente contendrán datos personales, por lo que su entrega deberá ser en versión pública.</w:t>
      </w:r>
    </w:p>
    <w:p w:rsidR="00E364B6" w:rsidRPr="00780B2B" w:rsidRDefault="00E364B6" w:rsidP="00E364B6">
      <w:pPr>
        <w:spacing w:line="360" w:lineRule="auto"/>
        <w:contextualSpacing/>
        <w:jc w:val="both"/>
        <w:rPr>
          <w:rFonts w:ascii="Palatino Linotype" w:hAnsi="Palatino Linotype"/>
          <w:color w:val="000000" w:themeColor="text1"/>
        </w:rPr>
      </w:pPr>
    </w:p>
    <w:p w:rsidR="00426227" w:rsidRPr="00780B2B" w:rsidRDefault="00426227" w:rsidP="00426227">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 xml:space="preserve">Por ultimo deviene la solicitud de información relativa a los recibos de nómina de la Presidenta del Sistema DIF de la Paz, de la administración 2003 - 2006, correspondientes de la primer y segunda quincena del mes de enero del año 2004, la cual se tuvo por colmada toda vez que se actualiza la figura jurídica denominada </w:t>
      </w:r>
      <w:r w:rsidR="007F2F6F" w:rsidRPr="00780B2B">
        <w:rPr>
          <w:rFonts w:ascii="Palatino Linotype" w:hAnsi="Palatino Linotype"/>
          <w:color w:val="000000" w:themeColor="text1"/>
        </w:rPr>
        <w:t>“</w:t>
      </w:r>
      <w:r w:rsidRPr="00780B2B">
        <w:rPr>
          <w:rFonts w:ascii="Palatino Linotype" w:hAnsi="Palatino Linotype"/>
          <w:color w:val="000000" w:themeColor="text1"/>
        </w:rPr>
        <w:t>actos consentidos</w:t>
      </w:r>
      <w:r w:rsidR="007F2F6F" w:rsidRPr="00780B2B">
        <w:rPr>
          <w:rFonts w:ascii="Palatino Linotype" w:hAnsi="Palatino Linotype"/>
          <w:color w:val="000000" w:themeColor="text1"/>
        </w:rPr>
        <w:t>”</w:t>
      </w:r>
      <w:r w:rsidRPr="00780B2B">
        <w:rPr>
          <w:rFonts w:ascii="Palatino Linotype" w:hAnsi="Palatino Linotype"/>
          <w:color w:val="000000" w:themeColor="text1"/>
        </w:rPr>
        <w:t>, por las siguientes consideraciones.</w:t>
      </w:r>
    </w:p>
    <w:p w:rsidR="00F52D0F" w:rsidRPr="00780B2B" w:rsidRDefault="00F52D0F" w:rsidP="00F52D0F">
      <w:pPr>
        <w:pStyle w:val="Prrafodelista"/>
        <w:rPr>
          <w:rFonts w:ascii="Palatino Linotype" w:hAnsi="Palatino Linotype"/>
          <w:color w:val="000000" w:themeColor="text1"/>
        </w:rPr>
      </w:pPr>
    </w:p>
    <w:p w:rsidR="00426227" w:rsidRPr="00780B2B" w:rsidRDefault="00426227" w:rsidP="00F52D0F">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color w:val="000000" w:themeColor="text1"/>
        </w:rPr>
        <w:t>De la lectura literal al escrito de recurso de revisión,</w:t>
      </w:r>
      <w:r w:rsidR="00F52D0F" w:rsidRPr="00780B2B">
        <w:rPr>
          <w:rFonts w:ascii="Palatino Linotype" w:hAnsi="Palatino Linotype"/>
          <w:color w:val="000000" w:themeColor="text1"/>
        </w:rPr>
        <w:t xml:space="preserve"> interpuesto en contra de la solicitud de información</w:t>
      </w:r>
      <w:r w:rsidRPr="00780B2B">
        <w:rPr>
          <w:rFonts w:ascii="Palatino Linotype" w:hAnsi="Palatino Linotype"/>
          <w:color w:val="000000" w:themeColor="text1"/>
        </w:rPr>
        <w:t xml:space="preserve"> </w:t>
      </w:r>
      <w:r w:rsidR="00F52D0F" w:rsidRPr="00780B2B">
        <w:rPr>
          <w:rFonts w:ascii="Palatino Linotype" w:hAnsi="Palatino Linotype"/>
          <w:color w:val="000000" w:themeColor="text1"/>
        </w:rPr>
        <w:t xml:space="preserve">00017/DIFLAPAZ/IP/2022, </w:t>
      </w:r>
      <w:r w:rsidRPr="00780B2B">
        <w:rPr>
          <w:rFonts w:ascii="Palatino Linotype" w:hAnsi="Palatino Linotype"/>
          <w:color w:val="000000" w:themeColor="text1"/>
        </w:rPr>
        <w:t xml:space="preserve">se aprecia que el hoy </w:t>
      </w:r>
      <w:r w:rsidRPr="00780B2B">
        <w:rPr>
          <w:rFonts w:ascii="Palatino Linotype" w:hAnsi="Palatino Linotype"/>
          <w:b/>
          <w:color w:val="000000" w:themeColor="text1"/>
        </w:rPr>
        <w:t>RECURRENTE</w:t>
      </w:r>
      <w:r w:rsidRPr="00780B2B">
        <w:rPr>
          <w:rFonts w:ascii="Palatino Linotype" w:hAnsi="Palatino Linotype"/>
          <w:color w:val="000000" w:themeColor="text1"/>
        </w:rPr>
        <w:t xml:space="preserve"> se inconforma específicamente por la falta de entrega </w:t>
      </w:r>
      <w:r w:rsidR="009B2AC6" w:rsidRPr="00780B2B">
        <w:rPr>
          <w:rFonts w:ascii="Palatino Linotype" w:hAnsi="Palatino Linotype"/>
          <w:color w:val="000000" w:themeColor="text1"/>
        </w:rPr>
        <w:t>de las percepciones</w:t>
      </w:r>
      <w:r w:rsidRPr="00780B2B">
        <w:rPr>
          <w:rFonts w:ascii="Palatino Linotype" w:hAnsi="Palatino Linotype"/>
          <w:color w:val="000000" w:themeColor="text1"/>
        </w:rPr>
        <w:t xml:space="preserve"> de la Presidenta del DIF y del hipervínculo o enlace </w:t>
      </w:r>
      <w:r w:rsidR="009B2AC6" w:rsidRPr="00780B2B">
        <w:rPr>
          <w:rFonts w:ascii="Palatino Linotype" w:hAnsi="Palatino Linotype"/>
          <w:color w:val="000000" w:themeColor="text1"/>
        </w:rPr>
        <w:t xml:space="preserve">que </w:t>
      </w:r>
      <w:r w:rsidRPr="00780B2B">
        <w:rPr>
          <w:rFonts w:ascii="Palatino Linotype" w:hAnsi="Palatino Linotype"/>
          <w:color w:val="000000" w:themeColor="text1"/>
        </w:rPr>
        <w:t xml:space="preserve">el </w:t>
      </w:r>
      <w:r w:rsidRPr="00780B2B">
        <w:rPr>
          <w:rFonts w:ascii="Palatino Linotype" w:hAnsi="Palatino Linotype"/>
          <w:b/>
          <w:color w:val="000000" w:themeColor="text1"/>
        </w:rPr>
        <w:t xml:space="preserve">SUJETO </w:t>
      </w:r>
      <w:r w:rsidRPr="00780B2B">
        <w:rPr>
          <w:rFonts w:ascii="Palatino Linotype" w:hAnsi="Palatino Linotype"/>
          <w:color w:val="000000" w:themeColor="text1"/>
        </w:rPr>
        <w:t>OBLIGADO</w:t>
      </w:r>
      <w:r w:rsidR="009B2AC6" w:rsidRPr="00780B2B">
        <w:rPr>
          <w:rFonts w:ascii="Palatino Linotype" w:hAnsi="Palatino Linotype"/>
          <w:b/>
          <w:color w:val="000000" w:themeColor="text1"/>
        </w:rPr>
        <w:t xml:space="preserve"> </w:t>
      </w:r>
      <w:r w:rsidR="009B2AC6" w:rsidRPr="00780B2B">
        <w:rPr>
          <w:rFonts w:ascii="Palatino Linotype" w:hAnsi="Palatino Linotype"/>
          <w:color w:val="000000" w:themeColor="text1"/>
        </w:rPr>
        <w:t>refiere en su respuesta, y que corresponde al rubro anteriormente analizado</w:t>
      </w:r>
      <w:r w:rsidR="00F52D0F" w:rsidRPr="00780B2B">
        <w:rPr>
          <w:rFonts w:ascii="Palatino Linotype" w:hAnsi="Palatino Linotype"/>
          <w:color w:val="000000" w:themeColor="text1"/>
        </w:rPr>
        <w:t xml:space="preserve"> relativo a “</w:t>
      </w:r>
      <w:r w:rsidR="00F52D0F" w:rsidRPr="00780B2B">
        <w:rPr>
          <w:rFonts w:ascii="Palatino Linotype" w:hAnsi="Palatino Linotype"/>
          <w:i/>
          <w:color w:val="000000" w:themeColor="text1"/>
        </w:rPr>
        <w:t>los nombres completos de todos los psicólogos que se encuentran actualmente dados de alta y trabajando para el sistema DIF de la Paz”</w:t>
      </w:r>
      <w:r w:rsidR="009B2AC6" w:rsidRPr="00780B2B">
        <w:rPr>
          <w:rFonts w:ascii="Palatino Linotype" w:hAnsi="Palatino Linotype"/>
          <w:i/>
          <w:color w:val="000000" w:themeColor="text1"/>
        </w:rPr>
        <w:t>,</w:t>
      </w:r>
      <w:r w:rsidR="009B2AC6" w:rsidRPr="00780B2B">
        <w:rPr>
          <w:rFonts w:ascii="Palatino Linotype" w:hAnsi="Palatino Linotype"/>
          <w:color w:val="000000" w:themeColor="text1"/>
        </w:rPr>
        <w:t xml:space="preserve"> dejando de combatir o señalar lo tocante a los recibos de nómina en comento.</w:t>
      </w:r>
    </w:p>
    <w:p w:rsidR="009B2AC6" w:rsidRPr="00780B2B" w:rsidRDefault="009B2AC6" w:rsidP="009B2AC6">
      <w:pPr>
        <w:pStyle w:val="Prrafodelista"/>
        <w:rPr>
          <w:rFonts w:ascii="Palatino Linotype" w:hAnsi="Palatino Linotype"/>
          <w:color w:val="000000" w:themeColor="text1"/>
        </w:rPr>
      </w:pPr>
    </w:p>
    <w:p w:rsidR="009B2AC6" w:rsidRPr="00780B2B" w:rsidRDefault="009B2AC6" w:rsidP="009B2AC6">
      <w:pPr>
        <w:numPr>
          <w:ilvl w:val="0"/>
          <w:numId w:val="1"/>
        </w:numPr>
        <w:spacing w:line="360" w:lineRule="auto"/>
        <w:ind w:left="0" w:firstLine="0"/>
        <w:contextualSpacing/>
        <w:jc w:val="both"/>
        <w:rPr>
          <w:rFonts w:ascii="Palatino Linotype" w:eastAsia="MS Mincho" w:hAnsi="Palatino Linotype" w:cs="Arial"/>
        </w:rPr>
      </w:pPr>
      <w:r w:rsidRPr="00780B2B">
        <w:rPr>
          <w:rFonts w:ascii="Palatino Linotype" w:hAnsi="Palatino Linotype"/>
          <w:color w:val="000000" w:themeColor="text1"/>
        </w:rPr>
        <w:t xml:space="preserve">En ese sentido el hoy </w:t>
      </w:r>
      <w:r w:rsidRPr="00780B2B">
        <w:rPr>
          <w:rFonts w:ascii="Palatino Linotype" w:hAnsi="Palatino Linotype"/>
          <w:b/>
          <w:color w:val="000000" w:themeColor="text1"/>
        </w:rPr>
        <w:t>RECURRENTE</w:t>
      </w:r>
      <w:r w:rsidRPr="00780B2B">
        <w:rPr>
          <w:rFonts w:ascii="Palatino Linotype" w:hAnsi="Palatino Linotype"/>
          <w:color w:val="000000" w:themeColor="text1"/>
        </w:rPr>
        <w:t xml:space="preserve"> no se inconforma por la totalidad de la respuesta; sino solo de los rubros antes mencionados; l</w:t>
      </w:r>
      <w:r w:rsidRPr="00780B2B">
        <w:rPr>
          <w:rFonts w:ascii="Palatino Linotype" w:eastAsia="MS Mincho" w:hAnsi="Palatino Linotype" w:cs="Arial"/>
        </w:rPr>
        <w:t xml:space="preserve">uego entonces, al no existir </w:t>
      </w:r>
      <w:r w:rsidRPr="00780B2B">
        <w:rPr>
          <w:rFonts w:ascii="Palatino Linotype" w:eastAsia="MS Mincho" w:hAnsi="Palatino Linotype" w:cs="Arial"/>
        </w:rPr>
        <w:lastRenderedPageBreak/>
        <w:t xml:space="preserve">inconformidad respecto al resto de información remitida en calidad de respuesta, es que se tiene por </w:t>
      </w:r>
      <w:r w:rsidRPr="00780B2B">
        <w:rPr>
          <w:rFonts w:ascii="Palatino Linotype" w:hAnsi="Palatino Linotype"/>
          <w:color w:val="000000" w:themeColor="text1"/>
        </w:rPr>
        <w:t>consentida</w:t>
      </w:r>
      <w:r w:rsidRPr="00780B2B">
        <w:rPr>
          <w:rFonts w:ascii="Palatino Linotype" w:eastAsia="MS Mincho" w:hAnsi="Palatino Linotype" w:cs="Arial"/>
        </w:rPr>
        <w:t>, ya</w:t>
      </w:r>
      <w:r w:rsidRPr="00780B2B">
        <w:rPr>
          <w:rFonts w:ascii="Palatino Linotype" w:hAnsi="Palatino Linotype" w:cs="Arial"/>
          <w:b/>
        </w:rPr>
        <w:t xml:space="preserve"> </w:t>
      </w:r>
      <w:r w:rsidRPr="00780B2B">
        <w:rPr>
          <w:rFonts w:ascii="Palatino Linotype" w:hAnsi="Palatino Linotype" w:cs="Arial"/>
        </w:rPr>
        <w:t xml:space="preserve">que la falta de impugnación respecto de los requerimientos que no fueron manifestados en el recurso de revisión, debe entenderse como </w:t>
      </w:r>
      <w:r w:rsidRPr="00780B2B">
        <w:rPr>
          <w:rFonts w:ascii="Palatino Linotype" w:hAnsi="Palatino Linotype" w:cs="Arial"/>
          <w:b/>
        </w:rPr>
        <w:t>actos consentidos</w:t>
      </w:r>
      <w:r w:rsidRPr="00780B2B">
        <w:rPr>
          <w:rFonts w:ascii="Palatino Linotype" w:hAnsi="Palatino Linotype" w:cs="Arial"/>
        </w:rPr>
        <w:t>.</w:t>
      </w:r>
    </w:p>
    <w:p w:rsidR="009B2AC6" w:rsidRPr="00780B2B" w:rsidRDefault="009B2AC6" w:rsidP="009B2AC6">
      <w:pPr>
        <w:pStyle w:val="Prrafodelista"/>
        <w:rPr>
          <w:rFonts w:ascii="Palatino Linotype" w:eastAsia="MS Mincho" w:hAnsi="Palatino Linotype" w:cs="Arial"/>
        </w:rPr>
      </w:pPr>
    </w:p>
    <w:p w:rsidR="009B2AC6" w:rsidRPr="00780B2B" w:rsidRDefault="009B2AC6" w:rsidP="009B2AC6">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Mincho" w:hAnsi="Palatino Linotype" w:cs="Arial"/>
        </w:rPr>
        <w:t>Esto</w:t>
      </w:r>
      <w:r w:rsidRPr="00780B2B">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9B2AC6" w:rsidRPr="00780B2B" w:rsidRDefault="009B2AC6" w:rsidP="009B2AC6">
      <w:pPr>
        <w:pStyle w:val="Prrafodelista"/>
        <w:rPr>
          <w:rFonts w:ascii="Palatino Linotype" w:hAnsi="Palatino Linotype" w:cs="Arial"/>
        </w:rPr>
      </w:pPr>
    </w:p>
    <w:p w:rsidR="009B2AC6" w:rsidRPr="00780B2B" w:rsidRDefault="009B2AC6" w:rsidP="009B2AC6">
      <w:pPr>
        <w:pStyle w:val="Prrafodelista"/>
        <w:spacing w:line="360" w:lineRule="auto"/>
        <w:ind w:left="502" w:right="426"/>
        <w:jc w:val="both"/>
        <w:rPr>
          <w:rFonts w:ascii="Palatino Linotype" w:hAnsi="Palatino Linotype" w:cs="Arial"/>
          <w:i/>
        </w:rPr>
      </w:pPr>
      <w:r w:rsidRPr="00780B2B">
        <w:rPr>
          <w:rFonts w:ascii="Palatino Linotype" w:hAnsi="Palatino Linotype" w:cs="Arial"/>
          <w:b/>
          <w:bCs/>
          <w:i/>
          <w:iCs/>
        </w:rPr>
        <w:t>“REVISIÓN EN AMPARO. LOS RESOLUTIVOS NO COMBATIDOS DEBEN DECLARARSE FIRMES. </w:t>
      </w:r>
      <w:r w:rsidRPr="00780B2B">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780B2B">
        <w:rPr>
          <w:rFonts w:ascii="Palatino Linotype" w:hAnsi="Palatino Linotype" w:cs="Arial"/>
          <w:i/>
          <w:iCs/>
        </w:rPr>
        <w:t> Esto es, en el caso referido, no obstante que la materia de la revisión comprende a todos los resolutivos que afectan a EL RECURRENTE, </w:t>
      </w:r>
      <w:r w:rsidRPr="00780B2B">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80B2B">
        <w:rPr>
          <w:rFonts w:ascii="Palatino Linotype" w:hAnsi="Palatino Linotype" w:cs="Arial"/>
          <w:i/>
          <w:iCs/>
        </w:rPr>
        <w:t>.”</w:t>
      </w:r>
    </w:p>
    <w:p w:rsidR="009B2AC6" w:rsidRPr="00780B2B" w:rsidRDefault="009B2AC6" w:rsidP="009B2AC6">
      <w:pPr>
        <w:pStyle w:val="Prrafodelista"/>
        <w:spacing w:line="360" w:lineRule="auto"/>
        <w:ind w:left="502" w:right="426"/>
        <w:jc w:val="both"/>
        <w:rPr>
          <w:rFonts w:ascii="Palatino Linotype" w:hAnsi="Palatino Linotype" w:cs="Arial"/>
        </w:rPr>
      </w:pPr>
      <w:r w:rsidRPr="00780B2B">
        <w:rPr>
          <w:rFonts w:ascii="Palatino Linotype" w:hAnsi="Palatino Linotype" w:cs="Arial"/>
        </w:rPr>
        <w:t>(Énfasis añadido)</w:t>
      </w:r>
    </w:p>
    <w:p w:rsidR="009B2AC6" w:rsidRPr="00780B2B" w:rsidRDefault="009B2AC6" w:rsidP="009B2AC6">
      <w:pPr>
        <w:spacing w:line="360" w:lineRule="auto"/>
        <w:ind w:right="426"/>
        <w:jc w:val="both"/>
        <w:rPr>
          <w:rFonts w:ascii="Palatino Linotype" w:hAnsi="Palatino Linotype" w:cs="Arial"/>
        </w:rPr>
      </w:pPr>
    </w:p>
    <w:p w:rsidR="009B2AC6" w:rsidRPr="00780B2B" w:rsidRDefault="009B2AC6" w:rsidP="009B2AC6">
      <w:pPr>
        <w:numPr>
          <w:ilvl w:val="0"/>
          <w:numId w:val="1"/>
        </w:numPr>
        <w:spacing w:line="360" w:lineRule="auto"/>
        <w:ind w:left="0" w:firstLine="0"/>
        <w:contextualSpacing/>
        <w:jc w:val="both"/>
        <w:rPr>
          <w:rFonts w:ascii="Palatino Linotype" w:hAnsi="Palatino Linotype" w:cs="Arial"/>
        </w:rPr>
      </w:pPr>
      <w:r w:rsidRPr="00780B2B">
        <w:rPr>
          <w:rFonts w:ascii="Palatino Linotype" w:hAnsi="Palatino Linotype" w:cs="Arial"/>
        </w:rPr>
        <w:lastRenderedPageBreak/>
        <w:t xml:space="preserve">Consecuentemente, </w:t>
      </w:r>
      <w:r w:rsidRPr="00780B2B">
        <w:rPr>
          <w:rFonts w:ascii="Palatino Linotype" w:hAnsi="Palatino Linotype" w:cs="Arial"/>
          <w:b/>
        </w:rPr>
        <w:t xml:space="preserve">la parte de la respuesta que no fue impugnada debe declararse consentida por el recurrente, toda vez que no realizó </w:t>
      </w:r>
      <w:r w:rsidRPr="00780B2B">
        <w:rPr>
          <w:rFonts w:ascii="Palatino Linotype" w:eastAsia="MS Mincho" w:hAnsi="Palatino Linotype" w:cs="Arial"/>
        </w:rPr>
        <w:t>manifestaciones</w:t>
      </w:r>
      <w:r w:rsidRPr="00780B2B">
        <w:rPr>
          <w:rFonts w:ascii="Palatino Linotype" w:hAnsi="Palatino Linotype" w:cs="Arial"/>
          <w:b/>
        </w:rPr>
        <w:t xml:space="preserve"> de inconformidad</w:t>
      </w:r>
      <w:r w:rsidRPr="00780B2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9B2AC6" w:rsidRPr="00780B2B" w:rsidRDefault="009B2AC6" w:rsidP="009B2AC6">
      <w:pPr>
        <w:pStyle w:val="Prrafodelista"/>
        <w:spacing w:line="360" w:lineRule="auto"/>
        <w:ind w:left="0"/>
        <w:jc w:val="both"/>
        <w:rPr>
          <w:rFonts w:ascii="Palatino Linotype" w:hAnsi="Palatino Linotype" w:cs="Arial"/>
        </w:rPr>
      </w:pPr>
    </w:p>
    <w:p w:rsidR="009B2AC6" w:rsidRPr="00780B2B" w:rsidRDefault="009B2AC6" w:rsidP="009B2AC6">
      <w:pPr>
        <w:pStyle w:val="Prrafodelista"/>
        <w:spacing w:line="360" w:lineRule="auto"/>
        <w:ind w:left="502" w:right="426"/>
        <w:jc w:val="both"/>
        <w:rPr>
          <w:rFonts w:ascii="Palatino Linotype" w:hAnsi="Palatino Linotype" w:cs="Arial"/>
          <w:i/>
        </w:rPr>
      </w:pPr>
      <w:r w:rsidRPr="00780B2B">
        <w:rPr>
          <w:rFonts w:ascii="Palatino Linotype" w:hAnsi="Palatino Linotype" w:cs="Arial"/>
          <w:b/>
          <w:bCs/>
          <w:i/>
          <w:iCs/>
        </w:rPr>
        <w:t>“ACTOS CONSENTIDOS. SON LOS QUE NO SE IMPUGNAN MEDIANTE EL RECURSO IDÓNEO. </w:t>
      </w:r>
      <w:r w:rsidRPr="00780B2B">
        <w:rPr>
          <w:rFonts w:ascii="Palatino Linotype" w:hAnsi="Palatino Linotype" w:cs="Arial"/>
          <w:i/>
          <w:iCs/>
          <w:u w:val="single"/>
        </w:rPr>
        <w:t>Debe reputarse como consentido el acto que no se impugnó por el medio establecido por la ley</w:t>
      </w:r>
      <w:r w:rsidRPr="00780B2B">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B2AC6" w:rsidRPr="00780B2B" w:rsidRDefault="009B2AC6" w:rsidP="009B2AC6">
      <w:pPr>
        <w:pStyle w:val="Prrafodelista"/>
        <w:spacing w:line="360" w:lineRule="auto"/>
        <w:ind w:left="502" w:right="426"/>
        <w:jc w:val="both"/>
        <w:rPr>
          <w:rFonts w:ascii="Palatino Linotype" w:hAnsi="Palatino Linotype" w:cs="Arial"/>
        </w:rPr>
      </w:pPr>
      <w:r w:rsidRPr="00780B2B">
        <w:rPr>
          <w:rFonts w:ascii="Palatino Linotype" w:hAnsi="Palatino Linotype" w:cs="Arial"/>
        </w:rPr>
        <w:t>(Énfasis añadido)</w:t>
      </w:r>
    </w:p>
    <w:p w:rsidR="00F52D0F" w:rsidRPr="00780B2B" w:rsidRDefault="00F52D0F" w:rsidP="009B2AC6">
      <w:pPr>
        <w:pStyle w:val="Prrafodelista"/>
        <w:spacing w:line="360" w:lineRule="auto"/>
        <w:ind w:left="502" w:right="426"/>
        <w:jc w:val="both"/>
        <w:rPr>
          <w:rFonts w:ascii="Palatino Linotype" w:hAnsi="Palatino Linotype" w:cs="Arial"/>
        </w:rPr>
      </w:pPr>
    </w:p>
    <w:p w:rsidR="009B2AC6" w:rsidRPr="00780B2B" w:rsidRDefault="009B2AC6" w:rsidP="009B2AC6">
      <w:pPr>
        <w:numPr>
          <w:ilvl w:val="0"/>
          <w:numId w:val="1"/>
        </w:numPr>
        <w:spacing w:line="360" w:lineRule="auto"/>
        <w:ind w:left="0" w:firstLine="0"/>
        <w:contextualSpacing/>
        <w:jc w:val="both"/>
        <w:rPr>
          <w:rFonts w:ascii="Palatino Linotype" w:eastAsia="MS Mincho" w:hAnsi="Palatino Linotype" w:cs="Arial"/>
        </w:rPr>
      </w:pPr>
      <w:r w:rsidRPr="00780B2B">
        <w:rPr>
          <w:rFonts w:ascii="Palatino Linotype" w:eastAsia="MS Mincho" w:hAnsi="Palatino Linotype" w:cs="Arial"/>
        </w:rPr>
        <w:t xml:space="preserve">Así las cosas, al no pronunciarse respecto de las respuestas que allí se vertieron se </w:t>
      </w:r>
      <w:r w:rsidRPr="00780B2B">
        <w:rPr>
          <w:rFonts w:ascii="Palatino Linotype" w:hAnsi="Palatino Linotype" w:cs="Arial"/>
        </w:rPr>
        <w:t>considera</w:t>
      </w:r>
      <w:r w:rsidRPr="00780B2B">
        <w:rPr>
          <w:rFonts w:ascii="Palatino Linotype" w:eastAsia="MS Mincho" w:hAnsi="Palatino Linotype" w:cs="Arial"/>
        </w:rPr>
        <w:t xml:space="preserve"> que se encuentra conforme con ellas, pues se insiste su inconformidad radicó en </w:t>
      </w:r>
      <w:r w:rsidRPr="00780B2B">
        <w:rPr>
          <w:rFonts w:ascii="Palatino Linotype" w:eastAsia="MS Mincho" w:hAnsi="Palatino Linotype" w:cs="Arial"/>
          <w:b/>
        </w:rPr>
        <w:t>la falta de pronunciamiento de algunos rubros específicos</w:t>
      </w:r>
      <w:r w:rsidR="007F2F6F" w:rsidRPr="00780B2B">
        <w:rPr>
          <w:rFonts w:ascii="Palatino Linotype" w:eastAsia="MS Mincho" w:hAnsi="Palatino Linotype" w:cs="Arial"/>
        </w:rPr>
        <w:t>, teniendo por colmado el punto de mérito.</w:t>
      </w:r>
    </w:p>
    <w:p w:rsidR="00F12DA9" w:rsidRPr="00780B2B" w:rsidRDefault="00F12DA9" w:rsidP="00F12DA9">
      <w:pPr>
        <w:pStyle w:val="Prrafodelista"/>
        <w:rPr>
          <w:rFonts w:ascii="Palatino Linotype" w:eastAsia="Calibri" w:hAnsi="Palatino Linotype" w:cs="Tahoma"/>
          <w:bCs/>
          <w:lang w:eastAsia="en-US"/>
        </w:rPr>
      </w:pPr>
      <w:bookmarkStart w:id="147" w:name="_Toc2871952"/>
      <w:bookmarkStart w:id="148" w:name="_Toc531859120"/>
      <w:bookmarkStart w:id="149" w:name="_Toc38560292"/>
      <w:bookmarkStart w:id="150" w:name="_Toc36732268"/>
      <w:bookmarkStart w:id="151" w:name="_Toc36648201"/>
      <w:bookmarkStart w:id="152" w:name="_Toc29481474"/>
      <w:bookmarkStart w:id="153" w:name="_Toc26461369"/>
      <w:bookmarkStart w:id="154" w:name="_Toc24023250"/>
      <w:bookmarkStart w:id="155" w:name="_Toc20246253"/>
      <w:bookmarkStart w:id="156" w:name="_Toc524000321"/>
      <w:bookmarkStart w:id="157" w:name="_Toc499201876"/>
      <w:bookmarkStart w:id="158" w:name="_Toc498503756"/>
      <w:bookmarkStart w:id="159" w:name="_Toc497297048"/>
      <w:bookmarkStart w:id="160" w:name="_Toc495606558"/>
      <w:bookmarkStart w:id="161" w:name="_Toc493790438"/>
      <w:bookmarkStart w:id="162" w:name="_Toc487025370"/>
      <w:bookmarkStart w:id="163" w:name="_Toc473799824"/>
    </w:p>
    <w:p w:rsidR="00EF33AE" w:rsidRPr="00780B2B" w:rsidRDefault="00B04B63" w:rsidP="00EF33AE">
      <w:pPr>
        <w:pStyle w:val="Ttulo2"/>
        <w:rPr>
          <w:rFonts w:ascii="Palatino Linotype" w:hAnsi="Palatino Linotype"/>
          <w:b/>
          <w:color w:val="auto"/>
          <w:sz w:val="24"/>
        </w:rPr>
      </w:pPr>
      <w:bookmarkStart w:id="164" w:name="_Toc86848768"/>
      <w:r w:rsidRPr="00780B2B">
        <w:rPr>
          <w:rFonts w:ascii="Palatino Linotype" w:hAnsi="Palatino Linotype"/>
          <w:b/>
          <w:color w:val="auto"/>
          <w:sz w:val="24"/>
        </w:rPr>
        <w:t>SEX</w:t>
      </w:r>
      <w:r w:rsidR="00EF33AE" w:rsidRPr="00780B2B">
        <w:rPr>
          <w:rFonts w:ascii="Palatino Linotype" w:hAnsi="Palatino Linotype"/>
          <w:b/>
          <w:color w:val="auto"/>
          <w:sz w:val="24"/>
        </w:rPr>
        <w:t xml:space="preserve">TO. De la </w:t>
      </w:r>
      <w:bookmarkEnd w:id="147"/>
      <w:bookmarkEnd w:id="148"/>
      <w:r w:rsidR="00EF33AE" w:rsidRPr="00780B2B">
        <w:rPr>
          <w:rFonts w:ascii="Palatino Linotype" w:hAnsi="Palatino Linotype"/>
          <w:b/>
          <w:color w:val="auto"/>
          <w:sz w:val="24"/>
        </w:rPr>
        <w:t>versión pública</w:t>
      </w:r>
      <w:bookmarkEnd w:id="149"/>
      <w:bookmarkEnd w:id="150"/>
      <w:bookmarkEnd w:id="151"/>
      <w:bookmarkEnd w:id="152"/>
      <w:bookmarkEnd w:id="153"/>
      <w:bookmarkEnd w:id="154"/>
      <w:bookmarkEnd w:id="155"/>
      <w:bookmarkEnd w:id="164"/>
    </w:p>
    <w:p w:rsidR="00EF33AE" w:rsidRPr="00780B2B" w:rsidRDefault="00EF33AE" w:rsidP="00EF33AE">
      <w:pPr>
        <w:rPr>
          <w:lang w:eastAsia="en-US"/>
        </w:rPr>
      </w:pPr>
    </w:p>
    <w:bookmarkEnd w:id="156"/>
    <w:bookmarkEnd w:id="157"/>
    <w:bookmarkEnd w:id="158"/>
    <w:bookmarkEnd w:id="159"/>
    <w:bookmarkEnd w:id="160"/>
    <w:bookmarkEnd w:id="161"/>
    <w:bookmarkEnd w:id="162"/>
    <w:bookmarkEnd w:id="163"/>
    <w:p w:rsidR="00EF33AE" w:rsidRPr="00780B2B" w:rsidRDefault="007F2F6F" w:rsidP="006A5CB8">
      <w:pPr>
        <w:numPr>
          <w:ilvl w:val="0"/>
          <w:numId w:val="1"/>
        </w:numPr>
        <w:spacing w:line="360" w:lineRule="auto"/>
        <w:ind w:left="0" w:firstLine="0"/>
        <w:contextualSpacing/>
        <w:jc w:val="both"/>
        <w:rPr>
          <w:rFonts w:ascii="Palatino Linotype" w:hAnsi="Palatino Linotype"/>
        </w:rPr>
      </w:pPr>
      <w:r w:rsidRPr="00780B2B">
        <w:rPr>
          <w:rFonts w:ascii="Palatino Linotype" w:hAnsi="Palatino Linotype"/>
        </w:rPr>
        <w:lastRenderedPageBreak/>
        <w:t xml:space="preserve">De </w:t>
      </w:r>
      <w:r w:rsidR="00EF33AE" w:rsidRPr="00780B2B">
        <w:rPr>
          <w:rFonts w:ascii="Palatino Linotype" w:hAnsi="Palatino Linotype"/>
        </w:rPr>
        <w:t>la información que se ha tenido a bien ordenar</w:t>
      </w:r>
      <w:r w:rsidR="009B2AC6" w:rsidRPr="00780B2B">
        <w:rPr>
          <w:rFonts w:ascii="Palatino Linotype" w:hAnsi="Palatino Linotype"/>
        </w:rPr>
        <w:t xml:space="preserve">; </w:t>
      </w:r>
      <w:r w:rsidR="00F52D0F" w:rsidRPr="00780B2B">
        <w:rPr>
          <w:rFonts w:ascii="Palatino Linotype" w:hAnsi="Palatino Linotype"/>
        </w:rPr>
        <w:t xml:space="preserve">además de los recibos de nómina, </w:t>
      </w:r>
      <w:r w:rsidR="009B2AC6" w:rsidRPr="00780B2B">
        <w:rPr>
          <w:rFonts w:ascii="Palatino Linotype" w:hAnsi="Palatino Linotype"/>
        </w:rPr>
        <w:t xml:space="preserve">es decir los </w:t>
      </w:r>
      <w:r w:rsidR="009B2AC6" w:rsidRPr="00780B2B">
        <w:rPr>
          <w:rFonts w:ascii="Palatino Linotype" w:hAnsi="Palatino Linotype"/>
          <w:b/>
        </w:rPr>
        <w:t>nombres de los psicólogos</w:t>
      </w:r>
      <w:r w:rsidR="00F52D0F" w:rsidRPr="00780B2B">
        <w:rPr>
          <w:rFonts w:ascii="Palatino Linotype" w:hAnsi="Palatino Linotype"/>
          <w:b/>
        </w:rPr>
        <w:t xml:space="preserve"> y de todo el personal</w:t>
      </w:r>
      <w:r w:rsidR="009B2AC6" w:rsidRPr="00780B2B">
        <w:rPr>
          <w:rFonts w:ascii="Palatino Linotype" w:hAnsi="Palatino Linotype"/>
          <w:b/>
        </w:rPr>
        <w:t xml:space="preserve"> adscrito al SUJETO OBLIGADO, dada su propia y especial naturaleza</w:t>
      </w:r>
      <w:r w:rsidR="00EF33AE" w:rsidRPr="00780B2B">
        <w:rPr>
          <w:rFonts w:ascii="Palatino Linotype" w:hAnsi="Palatino Linotype"/>
          <w:b/>
        </w:rPr>
        <w:t xml:space="preserve"> </w:t>
      </w:r>
      <w:r w:rsidR="00F12DA9" w:rsidRPr="00780B2B">
        <w:rPr>
          <w:rFonts w:ascii="Palatino Linotype" w:hAnsi="Palatino Linotype"/>
          <w:b/>
        </w:rPr>
        <w:t xml:space="preserve">evidentemente </w:t>
      </w:r>
      <w:r w:rsidR="009B2AC6" w:rsidRPr="00780B2B">
        <w:rPr>
          <w:rFonts w:ascii="Palatino Linotype" w:hAnsi="Palatino Linotype"/>
          <w:b/>
        </w:rPr>
        <w:t>corresponde a información pública</w:t>
      </w:r>
      <w:r w:rsidR="009B2AC6" w:rsidRPr="00780B2B">
        <w:rPr>
          <w:rFonts w:ascii="Palatino Linotype" w:hAnsi="Palatino Linotype"/>
        </w:rPr>
        <w:t>,</w:t>
      </w:r>
      <w:r w:rsidR="009B2AC6" w:rsidRPr="00780B2B">
        <w:rPr>
          <w:rFonts w:ascii="Palatino Linotype" w:hAnsi="Palatino Linotype"/>
          <w:b/>
        </w:rPr>
        <w:t xml:space="preserve"> </w:t>
      </w:r>
      <w:r w:rsidR="009B2AC6" w:rsidRPr="00780B2B">
        <w:rPr>
          <w:rFonts w:ascii="Palatino Linotype" w:hAnsi="Palatino Linotype"/>
        </w:rPr>
        <w:t>sin embargo es de recordar que el derecho de acceso a la información pública corresponde a un derecho que versa sobre documentos, de modo tal que si del soporte documental donde conste o se adviertan los nombres</w:t>
      </w:r>
      <w:r w:rsidR="00906BB0" w:rsidRPr="00780B2B">
        <w:rPr>
          <w:rFonts w:ascii="Palatino Linotype" w:hAnsi="Palatino Linotype"/>
        </w:rPr>
        <w:t xml:space="preserve"> que se opte entregar</w:t>
      </w:r>
      <w:r w:rsidR="009B2AC6" w:rsidRPr="00780B2B">
        <w:rPr>
          <w:rFonts w:ascii="Palatino Linotype" w:hAnsi="Palatino Linotype"/>
        </w:rPr>
        <w:t>, contiene algún otro dato personal</w:t>
      </w:r>
      <w:r w:rsidR="00906BB0" w:rsidRPr="00780B2B">
        <w:rPr>
          <w:rFonts w:ascii="Palatino Linotype" w:hAnsi="Palatino Linotype"/>
        </w:rPr>
        <w:t xml:space="preserve"> susceptible</w:t>
      </w:r>
      <w:r w:rsidR="00EF33AE" w:rsidRPr="00780B2B">
        <w:rPr>
          <w:rFonts w:ascii="Palatino Linotype" w:hAnsi="Palatino Linotype"/>
        </w:rPr>
        <w:t xml:space="preserve"> de s</w:t>
      </w:r>
      <w:r w:rsidR="009B2AC6" w:rsidRPr="00780B2B">
        <w:rPr>
          <w:rFonts w:ascii="Palatino Linotype" w:hAnsi="Palatino Linotype"/>
        </w:rPr>
        <w:t>er protegido</w:t>
      </w:r>
      <w:r w:rsidR="00EF33AE" w:rsidRPr="00780B2B">
        <w:rPr>
          <w:rFonts w:ascii="Palatino Linotype" w:hAnsi="Palatino Linotype"/>
        </w:rPr>
        <w:t xml:space="preserve"> mediante una versión pública, </w:t>
      </w:r>
      <w:r w:rsidR="009B2AC6" w:rsidRPr="00780B2B">
        <w:rPr>
          <w:rFonts w:ascii="Palatino Linotype" w:hAnsi="Palatino Linotype"/>
        </w:rPr>
        <w:t>como lo puede ser de manera enunciativa mas no limitati</w:t>
      </w:r>
      <w:r w:rsidR="00906BB0" w:rsidRPr="00780B2B">
        <w:rPr>
          <w:rFonts w:ascii="Palatino Linotype" w:hAnsi="Palatino Linotype"/>
        </w:rPr>
        <w:t>va,</w:t>
      </w:r>
      <w:r w:rsidR="009B2AC6" w:rsidRPr="00780B2B">
        <w:rPr>
          <w:rFonts w:ascii="Palatino Linotype" w:hAnsi="Palatino Linotype"/>
        </w:rPr>
        <w:t xml:space="preserve"> </w:t>
      </w:r>
      <w:proofErr w:type="spellStart"/>
      <w:r w:rsidR="009B2AC6" w:rsidRPr="00780B2B">
        <w:rPr>
          <w:rFonts w:ascii="Palatino Linotype" w:hAnsi="Palatino Linotype"/>
        </w:rPr>
        <w:t>curriculums</w:t>
      </w:r>
      <w:proofErr w:type="spellEnd"/>
      <w:r w:rsidR="009B2AC6" w:rsidRPr="00780B2B">
        <w:rPr>
          <w:rFonts w:ascii="Palatino Linotype" w:hAnsi="Palatino Linotype"/>
        </w:rPr>
        <w:t xml:space="preserve"> vitae, conciliación de nómina, etcétera, se deberá entregar –se insiste– en versión pública, </w:t>
      </w:r>
      <w:r w:rsidR="00EF33AE" w:rsidRPr="00780B2B">
        <w:rPr>
          <w:rFonts w:ascii="Palatino Linotype" w:hAnsi="Palatino Linotype"/>
        </w:rPr>
        <w:t xml:space="preserve">la cual deberá estar soportada por el Acta del Comité de Transparencia que se emita para tal efecto, debiéndola poner a disposición del hoy </w:t>
      </w:r>
      <w:r w:rsidR="00EF33AE" w:rsidRPr="00780B2B">
        <w:rPr>
          <w:rFonts w:ascii="Palatino Linotype" w:hAnsi="Palatino Linotype"/>
          <w:b/>
        </w:rPr>
        <w:t>RECURRENTE</w:t>
      </w:r>
      <w:r w:rsidR="00EF33AE" w:rsidRPr="00780B2B">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rsidR="00EF33AE" w:rsidRPr="00780B2B" w:rsidRDefault="00EF33AE" w:rsidP="00EF33AE">
      <w:pPr>
        <w:pStyle w:val="Prrafodelista"/>
        <w:spacing w:line="360" w:lineRule="auto"/>
        <w:ind w:left="0"/>
        <w:jc w:val="both"/>
        <w:rPr>
          <w:rFonts w:ascii="Palatino Linotype" w:hAnsi="Palatino Linotype"/>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hAnsi="Palatino Linotype"/>
        </w:rPr>
        <w:t>La</w:t>
      </w:r>
      <w:r w:rsidRPr="00780B2B">
        <w:rPr>
          <w:rFonts w:ascii="Palatino Linotype" w:eastAsia="MS Gothic" w:hAnsi="Palatino Linotype"/>
          <w:szCs w:val="26"/>
        </w:rPr>
        <w:t xml:space="preserve"> </w:t>
      </w:r>
      <w:r w:rsidRPr="00780B2B">
        <w:rPr>
          <w:rFonts w:ascii="Palatino Linotype" w:hAnsi="Palatino Linotype" w:cs="Arial"/>
          <w:color w:val="000000" w:themeColor="text1"/>
        </w:rPr>
        <w:t>clasificación</w:t>
      </w:r>
      <w:r w:rsidRPr="00780B2B">
        <w:rPr>
          <w:rFonts w:ascii="Palatino Linotype" w:eastAsia="MS Gothic" w:hAnsi="Palatino Linotype"/>
          <w:szCs w:val="26"/>
        </w:rPr>
        <w:t xml:space="preserve">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80B2B">
        <w:rPr>
          <w:rFonts w:ascii="Palatino Linotype" w:eastAsia="MS Gothic" w:hAnsi="Palatino Linotype"/>
          <w:szCs w:val="26"/>
          <w:vertAlign w:val="superscript"/>
        </w:rPr>
        <w:footnoteReference w:id="6"/>
      </w:r>
      <w:r w:rsidRPr="00780B2B">
        <w:rPr>
          <w:rFonts w:ascii="Palatino Linotype" w:eastAsia="MS Gothic" w:hAnsi="Palatino Linotype"/>
          <w:szCs w:val="26"/>
        </w:rPr>
        <w:t xml:space="preserve"> aunque cualquier límite o restricción, </w:t>
      </w:r>
      <w:r w:rsidRPr="00780B2B">
        <w:rPr>
          <w:rFonts w:ascii="Palatino Linotype" w:eastAsia="MS Gothic" w:hAnsi="Palatino Linotype"/>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780B2B">
        <w:rPr>
          <w:rFonts w:ascii="Palatino Linotype" w:eastAsia="MS Gothic" w:hAnsi="Palatino Linotype"/>
          <w:szCs w:val="26"/>
          <w:vertAlign w:val="superscript"/>
        </w:rPr>
        <w:footnoteReference w:id="7"/>
      </w:r>
      <w:r w:rsidRPr="00780B2B">
        <w:rPr>
          <w:rFonts w:ascii="Palatino Linotype" w:eastAsia="MS Gothic" w:hAnsi="Palatino Linotype"/>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El grave problema que enfrentamos en general, los acuerdos de clasificación de la </w:t>
      </w:r>
      <w:r w:rsidRPr="00780B2B">
        <w:rPr>
          <w:rFonts w:ascii="Palatino Linotype" w:hAnsi="Palatino Linotype" w:cs="Arial"/>
          <w:color w:val="000000" w:themeColor="text1"/>
        </w:rPr>
        <w:t>información</w:t>
      </w:r>
      <w:r w:rsidRPr="00780B2B">
        <w:rPr>
          <w:rFonts w:ascii="Palatino Linotype" w:eastAsia="MS Gothic" w:hAnsi="Palatino Linotype"/>
          <w:szCs w:val="26"/>
        </w:rPr>
        <w:t xml:space="preserve"> que emiten los sujetos obligados, siguen sin observar los requisitos, tanto por la complejidad del procedimiento como por la falta de atención de los operadores jurídicos.</w:t>
      </w:r>
    </w:p>
    <w:p w:rsidR="00EF33AE" w:rsidRPr="00780B2B" w:rsidRDefault="00EF33AE" w:rsidP="00EF33AE">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65" w:name="_Toc86848769"/>
      <w:bookmarkStart w:id="166" w:name="_Toc83128591"/>
      <w:bookmarkStart w:id="167" w:name="_Toc71674122"/>
      <w:bookmarkStart w:id="168" w:name="_Toc71291223"/>
      <w:bookmarkStart w:id="169" w:name="_Toc71290717"/>
      <w:bookmarkStart w:id="170" w:name="_Toc70593358"/>
      <w:bookmarkStart w:id="171" w:name="_Toc70070911"/>
      <w:bookmarkStart w:id="172" w:name="_Toc67584835"/>
      <w:bookmarkStart w:id="173" w:name="_Toc66371800"/>
      <w:bookmarkStart w:id="174" w:name="_Toc65170174"/>
      <w:bookmarkStart w:id="175" w:name="_Toc57154368"/>
      <w:bookmarkStart w:id="176" w:name="_Toc52444649"/>
      <w:bookmarkStart w:id="177" w:name="_Toc51863315"/>
      <w:r w:rsidRPr="00780B2B">
        <w:rPr>
          <w:rFonts w:ascii="Palatino Linotype" w:hAnsi="Palatino Linotype" w:cs="Arial"/>
          <w:b/>
        </w:rPr>
        <w:lastRenderedPageBreak/>
        <w:t>Requisitos previos.</w:t>
      </w:r>
      <w:bookmarkEnd w:id="165"/>
      <w:bookmarkEnd w:id="166"/>
      <w:bookmarkEnd w:id="167"/>
      <w:bookmarkEnd w:id="168"/>
      <w:bookmarkEnd w:id="169"/>
      <w:bookmarkEnd w:id="170"/>
      <w:bookmarkEnd w:id="171"/>
      <w:bookmarkEnd w:id="172"/>
      <w:bookmarkEnd w:id="173"/>
      <w:bookmarkEnd w:id="174"/>
      <w:bookmarkEnd w:id="175"/>
      <w:bookmarkEnd w:id="176"/>
      <w:bookmarkEnd w:id="177"/>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Los artículos 122 y 100 de la Ley Estatal y de la Ley General, respectivamente, señalan </w:t>
      </w:r>
      <w:r w:rsidRPr="00780B2B">
        <w:rPr>
          <w:rFonts w:ascii="Palatino Linotype" w:hAnsi="Palatino Linotype"/>
        </w:rPr>
        <w:t>que</w:t>
      </w:r>
      <w:r w:rsidRPr="00780B2B">
        <w:rPr>
          <w:rFonts w:ascii="Palatino Linotype" w:eastAsia="MS Gothic" w:hAnsi="Palatino Linotype"/>
          <w:szCs w:val="26"/>
        </w:rPr>
        <w:t xml:space="preserve"> los </w:t>
      </w:r>
      <w:r w:rsidRPr="00780B2B">
        <w:rPr>
          <w:rFonts w:ascii="Palatino Linotype" w:hAnsi="Palatino Linotype" w:cs="Arial"/>
          <w:color w:val="000000" w:themeColor="text1"/>
        </w:rPr>
        <w:t>sujetos</w:t>
      </w:r>
      <w:r w:rsidRPr="00780B2B">
        <w:rPr>
          <w:rFonts w:ascii="Palatino Linotype" w:eastAsia="MS Gothic" w:hAnsi="Palatino Linotype"/>
          <w:szCs w:val="26"/>
        </w:rPr>
        <w:t xml:space="preserve">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5D049A" w:rsidRPr="00780B2B" w:rsidRDefault="005D049A" w:rsidP="005D049A">
      <w:pPr>
        <w:spacing w:line="360" w:lineRule="auto"/>
        <w:contextualSpacing/>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Además, se debe señalar el procedimiento, de los tres que establecen los artículos 132 y 106 de la Ley Estatal y General, respectivamente, por el que se realiza dicha clasificación, a </w:t>
      </w:r>
      <w:r w:rsidRPr="00780B2B">
        <w:rPr>
          <w:rFonts w:ascii="Palatino Linotype" w:hAnsi="Palatino Linotype" w:cs="Arial"/>
          <w:color w:val="000000" w:themeColor="text1"/>
        </w:rPr>
        <w:t>saber</w:t>
      </w:r>
      <w:r w:rsidRPr="00780B2B">
        <w:rPr>
          <w:rFonts w:ascii="Palatino Linotype" w:eastAsia="MS Gothic" w:hAnsi="Palatino Linotype"/>
          <w:szCs w:val="26"/>
        </w:rPr>
        <w:t>, cuando se atiende una solicitud de acceso a la información, porque lo determina una autoridad competente o porque se va a generar una versión pública para cumplir con sus obligaciones.</w:t>
      </w:r>
    </w:p>
    <w:p w:rsidR="00EF33AE" w:rsidRPr="00780B2B" w:rsidRDefault="00EF33AE" w:rsidP="00EF33AE">
      <w:pPr>
        <w:pStyle w:val="Prrafodelista"/>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El último de estos requisitos previos consiste en que no se pueden emitir acuerdos de </w:t>
      </w:r>
      <w:r w:rsidRPr="00780B2B">
        <w:rPr>
          <w:rFonts w:ascii="Palatino Linotype" w:hAnsi="Palatino Linotype" w:cs="Arial"/>
          <w:color w:val="000000" w:themeColor="text1"/>
        </w:rPr>
        <w:t>carácter</w:t>
      </w:r>
      <w:r w:rsidRPr="00780B2B">
        <w:rPr>
          <w:rFonts w:ascii="Palatino Linotype" w:eastAsia="MS Gothic" w:hAnsi="Palatino Linotype"/>
          <w:szCs w:val="26"/>
        </w:rPr>
        <w:t xml:space="preserve"> general ni particular, según lo disponen los artículos 134 y 108 de la Ley Estatal y de la Ley General, respectivamente, esto es, </w:t>
      </w:r>
      <w:r w:rsidRPr="00780B2B">
        <w:rPr>
          <w:rFonts w:ascii="Palatino Linotype" w:eastAsia="MS Gothic" w:hAnsi="Palatino Linotype"/>
          <w:b/>
          <w:szCs w:val="26"/>
          <w:u w:val="single"/>
        </w:rPr>
        <w:t>no se puede hacer un acuerdo para clasificar de manera general todos los documentos de un expediente o área</w:t>
      </w:r>
      <w:r w:rsidRPr="00780B2B">
        <w:rPr>
          <w:rFonts w:ascii="Palatino Linotype" w:eastAsia="MS Gothic" w:hAnsi="Palatino Linotype"/>
          <w:b/>
          <w:szCs w:val="26"/>
        </w:rPr>
        <w:t xml:space="preserve">,  </w:t>
      </w:r>
      <w:r w:rsidRPr="00780B2B">
        <w:rPr>
          <w:rFonts w:ascii="Palatino Linotype" w:eastAsia="MS Gothic" w:hAnsi="Palatino Linotype"/>
          <w:szCs w:val="26"/>
        </w:rPr>
        <w:t xml:space="preserve">sin individualizar su análisis y tampoco se puede hacer un </w:t>
      </w:r>
      <w:r w:rsidRPr="00780B2B">
        <w:rPr>
          <w:rFonts w:ascii="Palatino Linotype" w:eastAsia="MS Gothic" w:hAnsi="Palatino Linotype"/>
          <w:szCs w:val="26"/>
        </w:rPr>
        <w:lastRenderedPageBreak/>
        <w:t>acuerdo por cada dato que se vaya a clasificar dentro de un documento con diez datos, por ejemplo, susceptibles de ser clasificados.</w:t>
      </w:r>
    </w:p>
    <w:p w:rsidR="00E77284" w:rsidRPr="00780B2B" w:rsidRDefault="00E77284" w:rsidP="00E77284">
      <w:pPr>
        <w:pStyle w:val="Prrafodelista"/>
        <w:rPr>
          <w:rFonts w:ascii="Palatino Linotype" w:hAnsi="Palatino Linotype" w:cs="Arial"/>
        </w:rPr>
      </w:pPr>
    </w:p>
    <w:p w:rsidR="00EF33AE" w:rsidRPr="00780B2B" w:rsidRDefault="00EF33AE" w:rsidP="00EF33AE">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78" w:name="_Toc86848770"/>
      <w:bookmarkStart w:id="179" w:name="_Toc83128592"/>
      <w:bookmarkStart w:id="180" w:name="_Toc71674123"/>
      <w:bookmarkStart w:id="181" w:name="_Toc71291224"/>
      <w:bookmarkStart w:id="182" w:name="_Toc71290718"/>
      <w:bookmarkStart w:id="183" w:name="_Toc70593359"/>
      <w:bookmarkStart w:id="184" w:name="_Toc70070912"/>
      <w:bookmarkStart w:id="185" w:name="_Toc67584836"/>
      <w:bookmarkStart w:id="186" w:name="_Toc66371801"/>
      <w:bookmarkStart w:id="187" w:name="_Toc65170175"/>
      <w:bookmarkStart w:id="188" w:name="_Toc57154369"/>
      <w:bookmarkStart w:id="189" w:name="_Toc52444650"/>
      <w:bookmarkStart w:id="190" w:name="_Toc51863316"/>
      <w:r w:rsidRPr="00780B2B">
        <w:rPr>
          <w:rFonts w:ascii="Palatino Linotype" w:hAnsi="Palatino Linotype" w:cs="Arial"/>
          <w:b/>
        </w:rPr>
        <w:t>Supuestos de clasificación.</w:t>
      </w:r>
      <w:bookmarkEnd w:id="178"/>
      <w:bookmarkEnd w:id="179"/>
      <w:bookmarkEnd w:id="180"/>
      <w:bookmarkEnd w:id="181"/>
      <w:bookmarkEnd w:id="182"/>
      <w:bookmarkEnd w:id="183"/>
      <w:bookmarkEnd w:id="184"/>
      <w:bookmarkEnd w:id="185"/>
      <w:bookmarkEnd w:id="186"/>
      <w:bookmarkEnd w:id="187"/>
      <w:bookmarkEnd w:id="188"/>
      <w:bookmarkEnd w:id="189"/>
      <w:bookmarkEnd w:id="190"/>
    </w:p>
    <w:p w:rsidR="00EF33AE" w:rsidRPr="00780B2B" w:rsidRDefault="00EF33AE" w:rsidP="00EF33AE">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Las disposiciones constitucionales y legales en la materia establecen los dos supuestos generales para clasificar la información: por reserva y por confidencialidad.</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Los artículos 143 y 116 de la Ley Estatal y de la Ley General, respectivamente, señalan los supuestos para que la información pueda ser clasificada como confidencial:</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EF33A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80B2B">
        <w:rPr>
          <w:rFonts w:ascii="Palatino Linotype" w:hAnsi="Palatino Linotype" w:cs="Bookman Old Style"/>
          <w:bCs/>
          <w:i/>
          <w:color w:val="000000"/>
        </w:rPr>
        <w:t xml:space="preserve">“I. </w:t>
      </w:r>
      <w:r w:rsidRPr="00780B2B">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EF33AE" w:rsidRPr="00780B2B" w:rsidRDefault="00EF33AE" w:rsidP="00EF33A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80B2B">
        <w:rPr>
          <w:rFonts w:ascii="Palatino Linotype" w:hAnsi="Palatino Linotype" w:cs="Bookman Old Style"/>
          <w:bCs/>
          <w:i/>
          <w:color w:val="000000"/>
        </w:rPr>
        <w:t xml:space="preserve">II. </w:t>
      </w:r>
      <w:r w:rsidRPr="00780B2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F33AE" w:rsidRPr="00780B2B" w:rsidRDefault="00EF33AE" w:rsidP="00EF33A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80B2B">
        <w:rPr>
          <w:rFonts w:ascii="Palatino Linotype" w:hAnsi="Palatino Linotype" w:cs="Bookman Old Style"/>
          <w:bCs/>
          <w:i/>
          <w:color w:val="000000"/>
        </w:rPr>
        <w:t xml:space="preserve">III. </w:t>
      </w:r>
      <w:r w:rsidRPr="00780B2B">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EF33AE" w:rsidRPr="00780B2B" w:rsidRDefault="00EF33AE" w:rsidP="00EF33A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80B2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EF33AE" w:rsidRPr="00780B2B" w:rsidRDefault="00EF33AE" w:rsidP="00EF33A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780B2B">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F33AE" w:rsidRPr="00780B2B" w:rsidRDefault="00EF33AE" w:rsidP="00EF33AE">
      <w:pPr>
        <w:pStyle w:val="Prrafodelista"/>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Como consecuencia de lo anterior, el </w:t>
      </w:r>
      <w:r w:rsidRPr="00780B2B">
        <w:rPr>
          <w:rFonts w:ascii="Palatino Linotype" w:eastAsia="MS Gothic" w:hAnsi="Palatino Linotype"/>
          <w:b/>
          <w:szCs w:val="26"/>
        </w:rPr>
        <w:t>SUJETO OBLIGADO</w:t>
      </w:r>
      <w:r w:rsidRPr="00780B2B">
        <w:rPr>
          <w:rFonts w:ascii="Palatino Linotype" w:eastAsia="MS Gothic" w:hAnsi="Palatino Linotype"/>
          <w:szCs w:val="26"/>
        </w:rPr>
        <w:t xml:space="preserve"> debe identificar claramente el tipo de información y hacer un juicio de subsunción o encaje</w:t>
      </w:r>
      <w:r w:rsidRPr="00780B2B">
        <w:rPr>
          <w:rFonts w:ascii="Palatino Linotype" w:eastAsia="MS Gothic" w:hAnsi="Palatino Linotype"/>
          <w:szCs w:val="26"/>
          <w:vertAlign w:val="superscript"/>
        </w:rPr>
        <w:footnoteReference w:id="8"/>
      </w:r>
      <w:r w:rsidRPr="00780B2B">
        <w:rPr>
          <w:rFonts w:ascii="Palatino Linotype" w:eastAsia="MS Gothic" w:hAnsi="Palatino Linotype"/>
          <w:szCs w:val="26"/>
        </w:rPr>
        <w:t xml:space="preserve"> para acreditar que el supuesto de hecho corresponde estrictamente con la hipótesis jurídica. Esto también lo debe de realizar el servidor público habilitado y el titular del área que administra la información.</w:t>
      </w:r>
    </w:p>
    <w:p w:rsidR="00EF33AE" w:rsidRPr="00780B2B" w:rsidRDefault="00EF33AE" w:rsidP="00EF33AE">
      <w:pPr>
        <w:pStyle w:val="Prrafodelista"/>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rsidR="00EF33AE" w:rsidRPr="00780B2B" w:rsidRDefault="00EF33AE" w:rsidP="00EF33AE">
      <w:pPr>
        <w:pStyle w:val="Prrafodelista"/>
        <w:rPr>
          <w:rFonts w:ascii="Palatino Linotype" w:hAnsi="Palatino Linotype" w:cs="Arial"/>
        </w:rPr>
      </w:pP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w:t>
      </w:r>
      <w:r w:rsidRPr="00780B2B">
        <w:rPr>
          <w:rFonts w:ascii="Palatino Linotype" w:hAnsi="Palatino Linotype" w:cs="Arial"/>
          <w:b/>
          <w:i/>
        </w:rPr>
        <w:t>Quincuagésimo.</w:t>
      </w:r>
      <w:r w:rsidRPr="00780B2B">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b/>
          <w:i/>
        </w:rPr>
        <w:t>Quincuagésimo primero.</w:t>
      </w:r>
      <w:r w:rsidRPr="00780B2B">
        <w:rPr>
          <w:rFonts w:ascii="Palatino Linotype" w:hAnsi="Palatino Linotype" w:cs="Arial"/>
          <w:i/>
        </w:rPr>
        <w:t xml:space="preserve"> La leyenda en los documentos clasificados indicará:</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I. La fecha de sesión del Comité de Transparencia en donde se confirmó la clasificación, en su caso;</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II. El nombre del área;</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III. La palabra reservado o confidencial;</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IV. Las partes o secciones reservadas o confidenciales, en su caso;</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V. El fundamento legal;</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VI. El periodo de reserva, y</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VII. La rúbrica del titular del área.</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b/>
          <w:i/>
        </w:rPr>
        <w:t>Quincuagésimo segundo.</w:t>
      </w:r>
      <w:r w:rsidRPr="00780B2B">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EF33AE" w:rsidRPr="00780B2B" w:rsidRDefault="00EF33AE" w:rsidP="00EF33AE">
      <w:pPr>
        <w:pStyle w:val="Prrafodelista"/>
        <w:tabs>
          <w:tab w:val="left" w:pos="142"/>
          <w:tab w:val="left" w:pos="284"/>
          <w:tab w:val="left" w:pos="426"/>
        </w:tabs>
        <w:spacing w:line="276" w:lineRule="auto"/>
        <w:ind w:left="567" w:right="567"/>
        <w:jc w:val="both"/>
        <w:rPr>
          <w:rFonts w:ascii="Palatino Linotype" w:hAnsi="Palatino Linotype" w:cs="Arial"/>
          <w:i/>
        </w:rPr>
      </w:pPr>
      <w:r w:rsidRPr="00780B2B">
        <w:rPr>
          <w:rFonts w:ascii="Palatino Linotype" w:hAnsi="Palatino Linotype" w:cs="Arial"/>
          <w:b/>
          <w:i/>
        </w:rPr>
        <w:t>Quincuagésimo tercero.</w:t>
      </w:r>
      <w:r w:rsidRPr="00780B2B">
        <w:rPr>
          <w:rFonts w:ascii="Palatino Linotype" w:hAnsi="Palatino Linotype" w:cs="Arial"/>
          <w:i/>
        </w:rPr>
        <w:t xml:space="preserve"> El formato para señalar la clasificación parcial de un documento, es el siguiente:</w:t>
      </w:r>
    </w:p>
    <w:p w:rsidR="00EF33AE" w:rsidRPr="00780B2B" w:rsidRDefault="00EF33AE" w:rsidP="00EF33AE">
      <w:pPr>
        <w:pStyle w:val="Prrafodelista"/>
        <w:tabs>
          <w:tab w:val="left" w:pos="142"/>
          <w:tab w:val="left" w:pos="284"/>
          <w:tab w:val="left" w:pos="426"/>
        </w:tabs>
        <w:spacing w:line="360" w:lineRule="auto"/>
        <w:ind w:left="0"/>
        <w:jc w:val="center"/>
        <w:rPr>
          <w:rFonts w:ascii="Palatino Linotype" w:hAnsi="Palatino Linotype" w:cs="Arial"/>
        </w:rPr>
      </w:pPr>
      <w:r w:rsidRPr="00780B2B">
        <w:rPr>
          <w:rFonts w:ascii="Palatino Linotype" w:hAnsi="Palatino Linotype" w:cs="Arial"/>
          <w:i/>
          <w:noProof/>
          <w:lang w:val="es-MX" w:eastAsia="es-MX"/>
        </w:rPr>
        <w:lastRenderedPageBreak/>
        <w:drawing>
          <wp:inline distT="0" distB="0" distL="0" distR="0" wp14:anchorId="4B3B33D1" wp14:editId="393FC426">
            <wp:extent cx="5041265" cy="4572000"/>
            <wp:effectExtent l="57150" t="57150" r="12128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4740" cy="44418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Una vez hecho lo anterior, se remite la información al Titular de la Unidad de Transparencia, con el acuerdo de clasificación correspondiente, para que sea sometido al conocimiento del Comité de Transparencia.</w:t>
      </w:r>
    </w:p>
    <w:p w:rsidR="005D049A" w:rsidRPr="00780B2B" w:rsidRDefault="005D049A" w:rsidP="005D049A">
      <w:pPr>
        <w:spacing w:line="360" w:lineRule="auto"/>
        <w:contextualSpacing/>
        <w:jc w:val="both"/>
        <w:rPr>
          <w:rFonts w:ascii="Palatino Linotype" w:hAnsi="Palatino Linotype" w:cs="Arial"/>
        </w:rPr>
      </w:pPr>
    </w:p>
    <w:p w:rsidR="00EF33AE" w:rsidRPr="00780B2B" w:rsidRDefault="00EF33AE" w:rsidP="00EF33A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1" w:name="_Toc86848771"/>
      <w:bookmarkStart w:id="192" w:name="_Toc83128593"/>
      <w:bookmarkStart w:id="193" w:name="_Toc71674124"/>
      <w:bookmarkStart w:id="194" w:name="_Toc71291225"/>
      <w:bookmarkStart w:id="195" w:name="_Toc71290719"/>
      <w:bookmarkStart w:id="196" w:name="_Toc70593360"/>
      <w:bookmarkStart w:id="197" w:name="_Toc70070913"/>
      <w:bookmarkStart w:id="198" w:name="_Toc67584837"/>
      <w:bookmarkStart w:id="199" w:name="_Toc66371802"/>
      <w:bookmarkStart w:id="200" w:name="_Toc65170176"/>
      <w:bookmarkStart w:id="201" w:name="_Toc57154370"/>
      <w:bookmarkStart w:id="202" w:name="_Toc52444651"/>
      <w:bookmarkStart w:id="203" w:name="_Toc51863317"/>
      <w:r w:rsidRPr="00780B2B">
        <w:rPr>
          <w:rFonts w:ascii="Palatino Linotype" w:hAnsi="Palatino Linotype" w:cs="Arial"/>
          <w:b/>
        </w:rPr>
        <w:t>III. La intervención del Comité de Transparencia.</w:t>
      </w:r>
      <w:bookmarkEnd w:id="191"/>
      <w:bookmarkEnd w:id="192"/>
      <w:bookmarkEnd w:id="193"/>
      <w:bookmarkEnd w:id="194"/>
      <w:bookmarkEnd w:id="195"/>
      <w:bookmarkEnd w:id="196"/>
      <w:bookmarkEnd w:id="197"/>
      <w:bookmarkEnd w:id="198"/>
      <w:bookmarkEnd w:id="199"/>
      <w:bookmarkEnd w:id="200"/>
      <w:bookmarkEnd w:id="201"/>
      <w:bookmarkEnd w:id="202"/>
      <w:bookmarkEnd w:id="203"/>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b/>
        </w:rPr>
      </w:pPr>
      <w:r w:rsidRPr="00780B2B">
        <w:rPr>
          <w:rFonts w:ascii="Palatino Linotype" w:hAnsi="Palatino Linotype" w:cs="Arial"/>
          <w:b/>
        </w:rPr>
        <w:t>a) Formalidades para emitir el Acuerdo de Clasificación.</w:t>
      </w: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780B2B">
        <w:rPr>
          <w:rFonts w:ascii="Palatino Linotype" w:eastAsia="MS Gothic" w:hAnsi="Palatino Linotype"/>
          <w:b/>
          <w:szCs w:val="26"/>
          <w:u w:val="single"/>
        </w:rPr>
        <w:t>confirmar, modificar o revocar</w:t>
      </w:r>
      <w:r w:rsidRPr="00780B2B">
        <w:rPr>
          <w:rFonts w:ascii="Palatino Linotype" w:eastAsia="MS Gothic" w:hAnsi="Palatino Linotype"/>
          <w:szCs w:val="26"/>
        </w:rPr>
        <w:t xml:space="preserve"> la clasificación de la información que ha hecho el titular del área que administra la información. Por lo tanto, el Comité </w:t>
      </w:r>
      <w:r w:rsidRPr="00780B2B">
        <w:rPr>
          <w:rFonts w:ascii="Palatino Linotype" w:eastAsia="MS Gothic" w:hAnsi="Palatino Linotype"/>
          <w:b/>
          <w:szCs w:val="26"/>
          <w:u w:val="single"/>
        </w:rPr>
        <w:t>no aprueba</w:t>
      </w:r>
      <w:r w:rsidRPr="00780B2B">
        <w:rPr>
          <w:rFonts w:ascii="Palatino Linotype" w:eastAsia="MS Gothic" w:hAnsi="Palatino Linotype"/>
          <w:szCs w:val="26"/>
        </w:rPr>
        <w:t xml:space="preserve"> la clasificación, sino que revisa lo que ha hecho el titular del área y confirma, modifica o revoca la decisión a través de un acuerdo.</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780B2B">
        <w:rPr>
          <w:rFonts w:ascii="Palatino Linotype" w:eastAsia="MS Gothic" w:hAnsi="Palatino Linotype"/>
          <w:b/>
          <w:szCs w:val="26"/>
          <w:u w:val="single"/>
        </w:rPr>
        <w:t>el acto reúna con los requisitos elementales</w:t>
      </w:r>
      <w:r w:rsidRPr="00780B2B">
        <w:rPr>
          <w:rFonts w:ascii="Palatino Linotype" w:eastAsia="MS Gothic" w:hAnsi="Palatino Linotype"/>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5D049A" w:rsidRPr="00780B2B" w:rsidRDefault="005D049A" w:rsidP="005D049A">
      <w:pPr>
        <w:pStyle w:val="Prrafodelista"/>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EF33AE">
      <w:pPr>
        <w:pStyle w:val="Prrafodelista"/>
        <w:numPr>
          <w:ilvl w:val="0"/>
          <w:numId w:val="14"/>
        </w:numPr>
        <w:tabs>
          <w:tab w:val="left" w:pos="142"/>
          <w:tab w:val="left" w:pos="284"/>
          <w:tab w:val="left" w:pos="426"/>
        </w:tabs>
        <w:spacing w:line="360" w:lineRule="auto"/>
        <w:jc w:val="both"/>
        <w:rPr>
          <w:rFonts w:ascii="Palatino Linotype" w:hAnsi="Palatino Linotype" w:cs="Arial"/>
          <w:b/>
        </w:rPr>
      </w:pPr>
      <w:r w:rsidRPr="00780B2B">
        <w:rPr>
          <w:rFonts w:ascii="Palatino Linotype" w:hAnsi="Palatino Linotype" w:cs="Arial"/>
          <w:b/>
        </w:rPr>
        <w:t>Requisitos de fondo del Acuerdo de Clasificación.</w:t>
      </w: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EF33AE" w:rsidRPr="00780B2B" w:rsidRDefault="00EF33AE" w:rsidP="00EF33AE">
      <w:pPr>
        <w:pStyle w:val="Prrafodelista"/>
        <w:spacing w:line="360" w:lineRule="auto"/>
        <w:ind w:left="0"/>
        <w:contextualSpacing w:val="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780B2B">
        <w:rPr>
          <w:rFonts w:ascii="Palatino Linotype" w:eastAsia="MS Gothic" w:hAnsi="Palatino Linotype"/>
          <w:szCs w:val="26"/>
        </w:rPr>
        <w:lastRenderedPageBreak/>
        <w:t>fundamentos legales que le dieron origen y las razones por las que se deben aplicar al caso concreto.</w:t>
      </w:r>
    </w:p>
    <w:p w:rsidR="00EF33AE" w:rsidRPr="00780B2B" w:rsidRDefault="00EF33AE" w:rsidP="00EF33AE">
      <w:pPr>
        <w:pStyle w:val="Prrafodelista"/>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780B2B">
        <w:rPr>
          <w:rFonts w:ascii="Palatino Linotype" w:eastAsia="MS Gothic" w:hAnsi="Palatino Linotype"/>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80B2B">
        <w:rPr>
          <w:rFonts w:ascii="Palatino Linotype" w:eastAsia="MS Gothic" w:hAnsi="Palatino Linotype"/>
          <w:szCs w:val="26"/>
        </w:rPr>
        <w:t>....”</w:t>
      </w:r>
      <w:r w:rsidRPr="00780B2B">
        <w:rPr>
          <w:rFonts w:ascii="Palatino Linotype" w:eastAsia="MS Gothic" w:hAnsi="Palatino Linotype"/>
          <w:szCs w:val="26"/>
          <w:vertAlign w:val="superscript"/>
        </w:rPr>
        <w:footnoteReference w:id="9"/>
      </w:r>
    </w:p>
    <w:p w:rsidR="00EF33AE" w:rsidRPr="00780B2B" w:rsidRDefault="00EF33AE" w:rsidP="00EF33AE">
      <w:pPr>
        <w:pStyle w:val="Prrafodelista"/>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hAnsi="Palatino Linotype" w:cs="Arial"/>
        </w:rPr>
        <w:t xml:space="preserve"> Por su parte, el </w:t>
      </w:r>
      <w:r w:rsidRPr="00780B2B">
        <w:rPr>
          <w:rFonts w:ascii="Palatino Linotype" w:eastAsia="MS Gothic" w:hAnsi="Palatino Linotype"/>
          <w:szCs w:val="26"/>
        </w:rPr>
        <w:t>intérprete</w:t>
      </w:r>
      <w:r w:rsidRPr="00780B2B">
        <w:rPr>
          <w:rFonts w:ascii="Palatino Linotype" w:hAnsi="Palatino Linotype" w:cs="Arial"/>
        </w:rPr>
        <w:t xml:space="preserve"> judicial del país ha establecido una jurisprudencia respecto a qué debe entenderse por fundamentación y motivación, en los siguientes términos:</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EF33AE">
      <w:pPr>
        <w:spacing w:line="276" w:lineRule="auto"/>
        <w:ind w:left="567" w:right="618"/>
        <w:contextualSpacing/>
        <w:jc w:val="both"/>
        <w:rPr>
          <w:rFonts w:ascii="Palatino Linotype" w:hAnsi="Palatino Linotype" w:cs="Arial"/>
          <w:i/>
          <w:color w:val="000000"/>
        </w:rPr>
      </w:pPr>
      <w:r w:rsidRPr="00780B2B">
        <w:rPr>
          <w:rFonts w:ascii="Palatino Linotype" w:hAnsi="Palatino Linotype" w:cs="Arial"/>
          <w:b/>
          <w:i/>
          <w:color w:val="000000"/>
        </w:rPr>
        <w:t>FUNDAMENTACIÓN Y MOTIVACIÓN.</w:t>
      </w:r>
      <w:r w:rsidRPr="00780B2B">
        <w:rPr>
          <w:rFonts w:ascii="Palatino Linotype" w:hAnsi="Palatino Linotype" w:cs="Arial"/>
          <w:i/>
          <w:color w:val="000000"/>
        </w:rPr>
        <w:t xml:space="preserve"> “La </w:t>
      </w:r>
      <w:r w:rsidRPr="00780B2B">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780B2B">
        <w:rPr>
          <w:rFonts w:ascii="Palatino Linotype" w:hAnsi="Palatino Linotype" w:cs="Arial"/>
          <w:i/>
          <w:color w:val="000000"/>
          <w:u w:val="single"/>
        </w:rPr>
        <w:lastRenderedPageBreak/>
        <w:t>especiales que llevaron a la autoridad a concluir que el caso particular encuadra en el supuesto previsto por la norma legal invocada como fundamento</w:t>
      </w:r>
      <w:r w:rsidRPr="00780B2B">
        <w:rPr>
          <w:rFonts w:ascii="Palatino Linotype" w:hAnsi="Palatino Linotype" w:cs="Arial"/>
          <w:i/>
          <w:color w:val="000000"/>
        </w:rPr>
        <w:t>.”</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SEGUNDO TRIBUNAL COLEGIADO DEL SEXTO CIRCUITO.</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780B2B">
        <w:rPr>
          <w:rFonts w:ascii="Palatino Linotype" w:hAnsi="Palatino Linotype" w:cs="Arial"/>
          <w:i/>
          <w:color w:val="000000"/>
        </w:rPr>
        <w:t>Esponda</w:t>
      </w:r>
      <w:proofErr w:type="spellEnd"/>
      <w:r w:rsidRPr="00780B2B">
        <w:rPr>
          <w:rFonts w:ascii="Palatino Linotype" w:hAnsi="Palatino Linotype" w:cs="Arial"/>
          <w:i/>
          <w:color w:val="000000"/>
        </w:rPr>
        <w:t xml:space="preserve"> Rincón.</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 xml:space="preserve">Amparo en revisión 333/88. </w:t>
      </w:r>
      <w:proofErr w:type="spellStart"/>
      <w:r w:rsidRPr="00780B2B">
        <w:rPr>
          <w:rFonts w:ascii="Palatino Linotype" w:hAnsi="Palatino Linotype" w:cs="Arial"/>
          <w:i/>
          <w:color w:val="000000"/>
        </w:rPr>
        <w:t>Adilia</w:t>
      </w:r>
      <w:proofErr w:type="spellEnd"/>
      <w:r w:rsidRPr="00780B2B">
        <w:rPr>
          <w:rFonts w:ascii="Palatino Linotype" w:hAnsi="Palatino Linotype" w:cs="Arial"/>
          <w:i/>
          <w:color w:val="000000"/>
        </w:rPr>
        <w:t xml:space="preserve"> Romero. 26 de octubre de 1988. Unanimidad de votos. Ponente: Arnoldo Nájera Virgen. Secretario: Enrique Crispín Campos Ramírez.</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780B2B">
        <w:rPr>
          <w:rFonts w:ascii="Palatino Linotype" w:hAnsi="Palatino Linotype" w:cs="Arial"/>
          <w:i/>
          <w:color w:val="000000"/>
        </w:rPr>
        <w:t>Goyzueta</w:t>
      </w:r>
      <w:proofErr w:type="spellEnd"/>
      <w:r w:rsidRPr="00780B2B">
        <w:rPr>
          <w:rFonts w:ascii="Palatino Linotype" w:hAnsi="Palatino Linotype" w:cs="Arial"/>
          <w:i/>
          <w:color w:val="000000"/>
        </w:rPr>
        <w:t>. Secretario: Gonzalo Carrera Molina.</w:t>
      </w:r>
    </w:p>
    <w:p w:rsidR="00EF33AE" w:rsidRPr="00780B2B" w:rsidRDefault="00EF33AE" w:rsidP="00EF33AE">
      <w:pPr>
        <w:spacing w:line="360" w:lineRule="auto"/>
        <w:ind w:left="851" w:right="618"/>
        <w:contextualSpacing/>
        <w:jc w:val="both"/>
        <w:rPr>
          <w:rFonts w:ascii="Palatino Linotype" w:hAnsi="Palatino Linotype" w:cs="Arial"/>
          <w:i/>
          <w:color w:val="000000"/>
        </w:rPr>
      </w:pPr>
      <w:r w:rsidRPr="00780B2B">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780B2B">
        <w:rPr>
          <w:rFonts w:ascii="Palatino Linotype" w:hAnsi="Palatino Linotype" w:cs="Arial"/>
          <w:i/>
          <w:color w:val="000000"/>
        </w:rPr>
        <w:t>Baigts</w:t>
      </w:r>
      <w:proofErr w:type="spellEnd"/>
      <w:r w:rsidRPr="00780B2B">
        <w:rPr>
          <w:rFonts w:ascii="Palatino Linotype" w:hAnsi="Palatino Linotype" w:cs="Arial"/>
          <w:i/>
          <w:color w:val="000000"/>
        </w:rPr>
        <w:t xml:space="preserve"> Muñoz.</w:t>
      </w:r>
    </w:p>
    <w:p w:rsidR="00EF33AE" w:rsidRPr="00780B2B" w:rsidRDefault="00EF33AE" w:rsidP="00EF33AE">
      <w:pPr>
        <w:spacing w:line="360" w:lineRule="auto"/>
        <w:ind w:left="851" w:right="618"/>
        <w:contextualSpacing/>
        <w:jc w:val="both"/>
        <w:rPr>
          <w:rFonts w:ascii="Palatino Linotype" w:hAnsi="Palatino Linotype" w:cs="Arial"/>
          <w:i/>
          <w:color w:val="000000"/>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rPr>
        <w:t xml:space="preserve"> Así, en un acto de autoridad se cumple con la debida fundamentación cuando se cita el precepto legal aplicable al caso concreto y la debida motivación cuando se </w:t>
      </w:r>
      <w:r w:rsidRPr="00780B2B">
        <w:rPr>
          <w:rFonts w:ascii="Palatino Linotype" w:hAnsi="Palatino Linotype" w:cs="Arial"/>
        </w:rPr>
        <w:t>expresan</w:t>
      </w:r>
      <w:r w:rsidRPr="00780B2B">
        <w:rPr>
          <w:rFonts w:ascii="Palatino Linotype" w:eastAsia="MS Gothic" w:hAnsi="Palatino Linotype"/>
        </w:rPr>
        <w:t xml:space="preserve"> las razones, motivos o circunstancias que tomó en cuenta la autoridad para adecuar el </w:t>
      </w:r>
      <w:r w:rsidRPr="00780B2B">
        <w:rPr>
          <w:rFonts w:ascii="Palatino Linotype" w:eastAsia="MS Gothic" w:hAnsi="Palatino Linotype"/>
          <w:szCs w:val="26"/>
        </w:rPr>
        <w:t>hecho</w:t>
      </w:r>
      <w:r w:rsidRPr="00780B2B">
        <w:rPr>
          <w:rFonts w:ascii="Palatino Linotype" w:eastAsia="MS Gothic" w:hAnsi="Palatino Linotype"/>
        </w:rPr>
        <w:t xml:space="preserve"> a los fundamentos de derecho.</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rPr>
        <w:lastRenderedPageBreak/>
        <w:t xml:space="preserve"> En </w:t>
      </w:r>
      <w:r w:rsidRPr="00780B2B">
        <w:rPr>
          <w:rFonts w:ascii="Palatino Linotype" w:eastAsia="MS Gothic" w:hAnsi="Palatino Linotype"/>
          <w:szCs w:val="26"/>
        </w:rPr>
        <w:t>consecuencia</w:t>
      </w:r>
      <w:r w:rsidRPr="00780B2B">
        <w:rPr>
          <w:rFonts w:ascii="Palatino Linotype" w:eastAsia="MS Gothic" w:hAnsi="Palatino Linotype"/>
        </w:rPr>
        <w:t>,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rPr>
        <w:t xml:space="preserve"> En </w:t>
      </w:r>
      <w:r w:rsidRPr="00780B2B">
        <w:rPr>
          <w:rFonts w:ascii="Palatino Linotype" w:eastAsia="MS Gothic" w:hAnsi="Palatino Linotype"/>
          <w:szCs w:val="26"/>
        </w:rPr>
        <w:t>ese</w:t>
      </w:r>
      <w:r w:rsidRPr="00780B2B">
        <w:rPr>
          <w:rFonts w:ascii="Palatino Linotype" w:eastAsia="MS Gothic" w:hAnsi="Palatino Linotype"/>
        </w:rPr>
        <w:t xml:space="preserve"> mismo sentido, el numeral trigésimo tercero fracción V de los Lineamientos Generales, precisa que para motivar la clasificación se deben acreditar las circunstancias de tiempo, modo y lugar.</w:t>
      </w:r>
    </w:p>
    <w:p w:rsidR="00EF33AE" w:rsidRPr="00780B2B" w:rsidRDefault="00EF33AE" w:rsidP="00EF33AE">
      <w:pPr>
        <w:pStyle w:val="Prrafodelista"/>
        <w:tabs>
          <w:tab w:val="left" w:pos="142"/>
          <w:tab w:val="left" w:pos="284"/>
          <w:tab w:val="left" w:pos="426"/>
        </w:tabs>
        <w:spacing w:line="360" w:lineRule="auto"/>
        <w:ind w:left="0"/>
        <w:jc w:val="both"/>
        <w:rPr>
          <w:rFonts w:ascii="Palatino Linotype" w:hAnsi="Palatino Linotype" w:cs="Arial"/>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s="Arial"/>
        </w:rPr>
      </w:pPr>
      <w:r w:rsidRPr="00780B2B">
        <w:rPr>
          <w:rFonts w:ascii="Palatino Linotype" w:eastAsia="MS Gothic" w:hAnsi="Palatino Linotype"/>
        </w:rPr>
        <w:t xml:space="preserve">Ahora bien, </w:t>
      </w:r>
      <w:r w:rsidRPr="00780B2B">
        <w:rPr>
          <w:rFonts w:ascii="Palatino Linotype" w:eastAsia="MS Gothic" w:hAnsi="Palatino Linotype"/>
          <w:b/>
          <w:u w:val="single"/>
        </w:rPr>
        <w:t>para cada caso además de fundar y motivar</w:t>
      </w:r>
      <w:r w:rsidRPr="00780B2B">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80B2B">
        <w:rPr>
          <w:rFonts w:ascii="Palatino Linotype" w:eastAsia="MS Gothic" w:hAnsi="Palatino Linotype"/>
          <w:vertAlign w:val="superscript"/>
        </w:rPr>
        <w:footnoteReference w:id="10"/>
      </w:r>
      <w:r w:rsidRPr="00780B2B">
        <w:rPr>
          <w:rFonts w:ascii="Palatino Linotype" w:eastAsia="MS Gothic" w:hAnsi="Palatino Linotype"/>
        </w:rPr>
        <w:t xml:space="preserve"> del servidor público que no tienen ninguna injerencia en el tema de la transparencia y la rendición de cuentas, por ejemplo, Clave Única de Registro de Población (CURP), Registro Federal de Contribuyentes (R.F.C.)</w:t>
      </w:r>
    </w:p>
    <w:p w:rsidR="00EF33AE" w:rsidRPr="00780B2B" w:rsidRDefault="00EF33AE" w:rsidP="00EF33AE">
      <w:pPr>
        <w:pStyle w:val="Prrafodelista"/>
        <w:rPr>
          <w:rFonts w:ascii="Palatino Linotype" w:hAnsi="Palatino Linotype" w:cs="Arial"/>
        </w:rPr>
      </w:pPr>
    </w:p>
    <w:p w:rsidR="00EF33AE" w:rsidRPr="00780B2B" w:rsidRDefault="00EF33AE" w:rsidP="00EF33AE">
      <w:pPr>
        <w:pStyle w:val="Ttulo2"/>
        <w:numPr>
          <w:ilvl w:val="0"/>
          <w:numId w:val="15"/>
        </w:numPr>
        <w:spacing w:line="256" w:lineRule="auto"/>
        <w:rPr>
          <w:rFonts w:ascii="Palatino Linotype" w:hAnsi="Palatino Linotype"/>
          <w:b/>
          <w:color w:val="000000" w:themeColor="text1"/>
          <w:sz w:val="24"/>
        </w:rPr>
      </w:pPr>
      <w:bookmarkStart w:id="204" w:name="_Toc86848772"/>
      <w:bookmarkStart w:id="205" w:name="_Toc71674125"/>
      <w:bookmarkStart w:id="206" w:name="_Toc70593361"/>
      <w:bookmarkStart w:id="207" w:name="_Toc70082953"/>
      <w:r w:rsidRPr="00780B2B">
        <w:rPr>
          <w:rFonts w:ascii="Palatino Linotype" w:hAnsi="Palatino Linotype"/>
          <w:b/>
          <w:color w:val="000000" w:themeColor="text1"/>
          <w:sz w:val="24"/>
        </w:rPr>
        <w:t>Determinación</w:t>
      </w:r>
      <w:bookmarkEnd w:id="204"/>
      <w:bookmarkEnd w:id="205"/>
      <w:bookmarkEnd w:id="206"/>
      <w:bookmarkEnd w:id="207"/>
    </w:p>
    <w:p w:rsidR="00EF33AE" w:rsidRPr="00780B2B" w:rsidRDefault="00EF33AE" w:rsidP="00EF33AE">
      <w:pPr>
        <w:rPr>
          <w:lang w:eastAsia="en-US"/>
        </w:rPr>
      </w:pPr>
    </w:p>
    <w:p w:rsidR="00EF33AE" w:rsidRPr="00780B2B" w:rsidRDefault="00EF33AE" w:rsidP="006A5CB8">
      <w:pPr>
        <w:numPr>
          <w:ilvl w:val="0"/>
          <w:numId w:val="1"/>
        </w:numPr>
        <w:spacing w:line="360" w:lineRule="auto"/>
        <w:ind w:left="0" w:firstLine="0"/>
        <w:contextualSpacing/>
        <w:jc w:val="both"/>
        <w:rPr>
          <w:rFonts w:ascii="Palatino Linotype" w:hAnsi="Palatino Linotype"/>
          <w:color w:val="000000" w:themeColor="text1"/>
        </w:rPr>
      </w:pPr>
      <w:r w:rsidRPr="00780B2B">
        <w:rPr>
          <w:rFonts w:ascii="Palatino Linotype" w:hAnsi="Palatino Linotype"/>
        </w:rPr>
        <w:lastRenderedPageBreak/>
        <w:t xml:space="preserve">Por lo anteriormente expuesto, este Órgano Garante considera parcialmente </w:t>
      </w:r>
      <w:r w:rsidRPr="00780B2B">
        <w:rPr>
          <w:rFonts w:ascii="Palatino Linotype" w:eastAsia="MS Gothic" w:hAnsi="Palatino Linotype"/>
        </w:rPr>
        <w:t>fundadas</w:t>
      </w:r>
      <w:r w:rsidRPr="00780B2B">
        <w:rPr>
          <w:rFonts w:ascii="Palatino Linotype" w:hAnsi="Palatino Linotype"/>
        </w:rPr>
        <w:t xml:space="preserve"> las razones o motivos</w:t>
      </w:r>
      <w:r w:rsidR="007F2F6F" w:rsidRPr="00780B2B">
        <w:rPr>
          <w:rFonts w:ascii="Palatino Linotype" w:hAnsi="Palatino Linotype"/>
        </w:rPr>
        <w:t xml:space="preserve"> de inconformidad que plantea el</w:t>
      </w:r>
      <w:r w:rsidRPr="00780B2B">
        <w:rPr>
          <w:rFonts w:ascii="Palatino Linotype" w:hAnsi="Palatino Linotype"/>
          <w:b/>
        </w:rPr>
        <w:t xml:space="preserve"> RECURRENTE</w:t>
      </w:r>
      <w:r w:rsidRPr="00780B2B">
        <w:rPr>
          <w:rFonts w:ascii="Palatino Linotype" w:hAnsi="Palatino Linotype"/>
        </w:rPr>
        <w:t xml:space="preserve">, determinando </w:t>
      </w:r>
      <w:r w:rsidR="00906BB0" w:rsidRPr="00780B2B">
        <w:rPr>
          <w:rFonts w:ascii="Palatino Linotype" w:hAnsi="Palatino Linotype"/>
          <w:b/>
        </w:rPr>
        <w:t>MODIFI</w:t>
      </w:r>
      <w:r w:rsidRPr="00780B2B">
        <w:rPr>
          <w:rFonts w:ascii="Palatino Linotype" w:hAnsi="Palatino Linotype"/>
          <w:b/>
        </w:rPr>
        <w:t>CAR</w:t>
      </w:r>
      <w:r w:rsidRPr="00780B2B">
        <w:rPr>
          <w:rFonts w:ascii="Palatino Linotype" w:hAnsi="Palatino Linotype"/>
        </w:rPr>
        <w:t xml:space="preserve"> la respuesta del </w:t>
      </w:r>
      <w:r w:rsidRPr="00780B2B">
        <w:rPr>
          <w:rFonts w:ascii="Palatino Linotype" w:hAnsi="Palatino Linotype"/>
          <w:b/>
        </w:rPr>
        <w:t>SUJETO OBLIGADO</w:t>
      </w:r>
      <w:r w:rsidRPr="00780B2B">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80B2B">
        <w:rPr>
          <w:rFonts w:ascii="Palatino Linotype" w:hAnsi="Palatino Linotype"/>
          <w:color w:val="000000" w:themeColor="text1"/>
          <w:lang w:eastAsia="es-MX"/>
        </w:rPr>
        <w:t xml:space="preserve">este </w:t>
      </w:r>
      <w:r w:rsidRPr="00780B2B">
        <w:rPr>
          <w:rFonts w:ascii="Palatino Linotype" w:hAnsi="Palatino Linotype"/>
          <w:b/>
          <w:bCs/>
          <w:color w:val="000000" w:themeColor="text1"/>
          <w:lang w:eastAsia="es-MX"/>
        </w:rPr>
        <w:t>ÓRGANO GARANTE</w:t>
      </w:r>
      <w:r w:rsidRPr="00780B2B">
        <w:rPr>
          <w:rFonts w:ascii="Palatino Linotype" w:hAnsi="Palatino Linotype"/>
          <w:color w:val="000000" w:themeColor="text1"/>
          <w:lang w:eastAsia="es-MX"/>
        </w:rPr>
        <w:t xml:space="preserve"> emite los siguientes</w:t>
      </w:r>
      <w:r w:rsidRPr="00780B2B">
        <w:rPr>
          <w:rFonts w:ascii="Palatino Linotype" w:hAnsi="Palatino Linotype"/>
          <w:color w:val="000000" w:themeColor="text1"/>
        </w:rPr>
        <w:t>.</w:t>
      </w:r>
    </w:p>
    <w:p w:rsidR="006D2F3F" w:rsidRPr="00780B2B" w:rsidRDefault="006D2F3F" w:rsidP="006D2F3F">
      <w:pPr>
        <w:pStyle w:val="Prrafodelista"/>
        <w:rPr>
          <w:rFonts w:ascii="Palatino Linotype" w:eastAsia="Calibri" w:hAnsi="Palatino Linotype" w:cs="Tahoma"/>
          <w:bCs/>
          <w:lang w:eastAsia="en-US"/>
        </w:rPr>
      </w:pPr>
    </w:p>
    <w:p w:rsidR="009F09BC" w:rsidRPr="00780B2B"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8" w:name="_Toc504500693"/>
      <w:bookmarkStart w:id="209" w:name="_Toc534742545"/>
      <w:bookmarkStart w:id="210" w:name="_Toc2248738"/>
      <w:bookmarkStart w:id="211" w:name="_Toc34819440"/>
      <w:bookmarkStart w:id="212" w:name="_Toc51259595"/>
      <w:bookmarkStart w:id="213" w:name="_Toc83128595"/>
      <w:r w:rsidRPr="00780B2B">
        <w:rPr>
          <w:rFonts w:ascii="Palatino Linotype" w:eastAsia="Calibri" w:hAnsi="Palatino Linotype"/>
          <w:b/>
          <w:color w:val="000000" w:themeColor="text1"/>
          <w:sz w:val="24"/>
          <w:szCs w:val="24"/>
          <w:lang w:val="es-ES"/>
        </w:rPr>
        <w:t>R E S O L U T I V O S</w:t>
      </w:r>
      <w:bookmarkEnd w:id="208"/>
      <w:bookmarkEnd w:id="209"/>
      <w:bookmarkEnd w:id="210"/>
      <w:bookmarkEnd w:id="211"/>
      <w:bookmarkEnd w:id="212"/>
      <w:bookmarkEnd w:id="213"/>
    </w:p>
    <w:p w:rsidR="00CE7B83" w:rsidRPr="00780B2B" w:rsidRDefault="00CE7B83" w:rsidP="00CE7B83">
      <w:pPr>
        <w:rPr>
          <w:rFonts w:ascii="Palatino Linotype" w:hAnsi="Palatino Linotype"/>
          <w:lang w:val="es-ES"/>
        </w:rPr>
      </w:pPr>
    </w:p>
    <w:p w:rsidR="004461CD" w:rsidRPr="00780B2B" w:rsidRDefault="004461CD" w:rsidP="004461CD">
      <w:pPr>
        <w:spacing w:line="360" w:lineRule="auto"/>
        <w:jc w:val="both"/>
        <w:rPr>
          <w:rFonts w:ascii="Palatino Linotype" w:hAnsi="Palatino Linotype" w:cs="Arial"/>
          <w:bCs/>
        </w:rPr>
      </w:pPr>
      <w:r w:rsidRPr="00780B2B">
        <w:rPr>
          <w:rFonts w:ascii="Palatino Linotype" w:hAnsi="Palatino Linotype" w:cs="Arial"/>
          <w:b/>
          <w:bCs/>
        </w:rPr>
        <w:t>PRIMERO</w:t>
      </w:r>
      <w:r w:rsidR="00E77284" w:rsidRPr="00780B2B">
        <w:rPr>
          <w:rFonts w:ascii="Palatino Linotype" w:hAnsi="Palatino Linotype" w:cs="Arial"/>
        </w:rPr>
        <w:t xml:space="preserve">. Resultan parcialmente </w:t>
      </w:r>
      <w:r w:rsidRPr="00780B2B">
        <w:rPr>
          <w:rFonts w:ascii="Palatino Linotype" w:hAnsi="Palatino Linotype" w:cs="Arial"/>
        </w:rPr>
        <w:t>fundadas las</w:t>
      </w:r>
      <w:r w:rsidRPr="00780B2B">
        <w:rPr>
          <w:rFonts w:ascii="Palatino Linotype" w:hAnsi="Palatino Linotype" w:cs="Arial"/>
          <w:b/>
        </w:rPr>
        <w:t xml:space="preserve"> </w:t>
      </w:r>
      <w:r w:rsidRPr="00780B2B">
        <w:rPr>
          <w:rFonts w:ascii="Palatino Linotype" w:hAnsi="Palatino Linotype" w:cs="Arial"/>
          <w:lang w:val="es-ES"/>
        </w:rPr>
        <w:t xml:space="preserve">razones o motivos de inconformidad hechos valer </w:t>
      </w:r>
      <w:r w:rsidRPr="00780B2B">
        <w:rPr>
          <w:rFonts w:ascii="Palatino Linotype" w:eastAsia="Calibri" w:hAnsi="Palatino Linotype" w:cs="Arial"/>
          <w:lang w:val="es-ES"/>
        </w:rPr>
        <w:t>en l</w:t>
      </w:r>
      <w:r w:rsidR="00F52D0F" w:rsidRPr="00780B2B">
        <w:rPr>
          <w:rFonts w:ascii="Palatino Linotype" w:eastAsia="Calibri" w:hAnsi="Palatino Linotype" w:cs="Arial"/>
          <w:lang w:val="es-ES"/>
        </w:rPr>
        <w:t>os</w:t>
      </w:r>
      <w:r w:rsidRPr="00780B2B">
        <w:rPr>
          <w:rFonts w:ascii="Palatino Linotype" w:eastAsia="Calibri" w:hAnsi="Palatino Linotype" w:cs="Arial"/>
          <w:lang w:val="es-ES"/>
        </w:rPr>
        <w:t xml:space="preserve"> recurso</w:t>
      </w:r>
      <w:r w:rsidR="00F52D0F" w:rsidRPr="00780B2B">
        <w:rPr>
          <w:rFonts w:ascii="Palatino Linotype" w:eastAsia="Calibri" w:hAnsi="Palatino Linotype" w:cs="Arial"/>
          <w:lang w:val="es-ES"/>
        </w:rPr>
        <w:t>s</w:t>
      </w:r>
      <w:r w:rsidRPr="00780B2B">
        <w:rPr>
          <w:rFonts w:ascii="Palatino Linotype" w:eastAsia="Calibri" w:hAnsi="Palatino Linotype" w:cs="Arial"/>
          <w:lang w:val="es-ES"/>
        </w:rPr>
        <w:t xml:space="preserve"> de revisión </w:t>
      </w:r>
      <w:r w:rsidR="008010F6" w:rsidRPr="00780B2B">
        <w:rPr>
          <w:rFonts w:ascii="Palatino Linotype" w:hAnsi="Palatino Linotype" w:cs="Arial"/>
          <w:b/>
          <w:bCs/>
        </w:rPr>
        <w:t>16088/INFOEM/IP/RR/2022</w:t>
      </w:r>
      <w:r w:rsidRPr="00780B2B">
        <w:rPr>
          <w:rFonts w:ascii="Palatino Linotype" w:hAnsi="Palatino Linotype" w:cs="Arial"/>
          <w:b/>
          <w:bCs/>
        </w:rPr>
        <w:t>,</w:t>
      </w:r>
      <w:r w:rsidR="00F52D0F" w:rsidRPr="00780B2B">
        <w:rPr>
          <w:rFonts w:ascii="Palatino Linotype" w:hAnsi="Palatino Linotype" w:cs="Arial"/>
          <w:b/>
          <w:bCs/>
        </w:rPr>
        <w:t xml:space="preserve"> 16089/INFOEM/IP/RR/2022 y 16091/INFOEM/IP/RR/2022</w:t>
      </w:r>
      <w:r w:rsidRPr="00780B2B">
        <w:rPr>
          <w:rFonts w:ascii="Palatino Linotype" w:hAnsi="Palatino Linotype" w:cs="Arial"/>
          <w:b/>
          <w:bCs/>
        </w:rPr>
        <w:t xml:space="preserve"> </w:t>
      </w:r>
      <w:r w:rsidRPr="00780B2B">
        <w:rPr>
          <w:rFonts w:ascii="Palatino Linotype" w:hAnsi="Palatino Linotype" w:cs="Arial"/>
          <w:bCs/>
        </w:rPr>
        <w:t>en términos de</w:t>
      </w:r>
      <w:r w:rsidR="00E77284" w:rsidRPr="00780B2B">
        <w:rPr>
          <w:rFonts w:ascii="Palatino Linotype" w:hAnsi="Palatino Linotype" w:cs="Arial"/>
          <w:bCs/>
        </w:rPr>
        <w:t xml:space="preserve"> </w:t>
      </w:r>
      <w:r w:rsidRPr="00780B2B">
        <w:rPr>
          <w:rFonts w:ascii="Palatino Linotype" w:hAnsi="Palatino Linotype" w:cs="Arial"/>
          <w:bCs/>
        </w:rPr>
        <w:t>l</w:t>
      </w:r>
      <w:r w:rsidR="00E77284" w:rsidRPr="00780B2B">
        <w:rPr>
          <w:rFonts w:ascii="Palatino Linotype" w:hAnsi="Palatino Linotype" w:cs="Arial"/>
          <w:bCs/>
        </w:rPr>
        <w:t>os</w:t>
      </w:r>
      <w:r w:rsidRPr="00780B2B">
        <w:rPr>
          <w:rFonts w:ascii="Palatino Linotype" w:hAnsi="Palatino Linotype" w:cs="Arial"/>
          <w:bCs/>
        </w:rPr>
        <w:t xml:space="preserve"> </w:t>
      </w:r>
      <w:r w:rsidRPr="00780B2B">
        <w:rPr>
          <w:rFonts w:ascii="Palatino Linotype" w:hAnsi="Palatino Linotype" w:cs="Arial"/>
          <w:b/>
          <w:bCs/>
        </w:rPr>
        <w:t>Considerando</w:t>
      </w:r>
      <w:r w:rsidR="00E77284" w:rsidRPr="00780B2B">
        <w:rPr>
          <w:rFonts w:ascii="Palatino Linotype" w:hAnsi="Palatino Linotype" w:cs="Arial"/>
          <w:b/>
          <w:bCs/>
        </w:rPr>
        <w:t>s</w:t>
      </w:r>
      <w:r w:rsidRPr="00780B2B">
        <w:rPr>
          <w:rFonts w:ascii="Palatino Linotype" w:hAnsi="Palatino Linotype" w:cs="Arial"/>
          <w:bCs/>
        </w:rPr>
        <w:t xml:space="preserve"> </w:t>
      </w:r>
      <w:r w:rsidR="007F2F6F" w:rsidRPr="00780B2B">
        <w:rPr>
          <w:rFonts w:ascii="Palatino Linotype" w:hAnsi="Palatino Linotype" w:cs="Arial"/>
          <w:b/>
          <w:bCs/>
        </w:rPr>
        <w:t>Cuarto</w:t>
      </w:r>
      <w:r w:rsidR="004E17FA" w:rsidRPr="00780B2B">
        <w:rPr>
          <w:rFonts w:ascii="Palatino Linotype" w:hAnsi="Palatino Linotype" w:cs="Arial"/>
          <w:b/>
          <w:bCs/>
        </w:rPr>
        <w:t xml:space="preserve"> y </w:t>
      </w:r>
      <w:r w:rsidR="007F2F6F" w:rsidRPr="00780B2B">
        <w:rPr>
          <w:rFonts w:ascii="Palatino Linotype" w:hAnsi="Palatino Linotype" w:cs="Arial"/>
          <w:b/>
          <w:bCs/>
        </w:rPr>
        <w:t>Quin</w:t>
      </w:r>
      <w:r w:rsidR="004E17FA" w:rsidRPr="00780B2B">
        <w:rPr>
          <w:rFonts w:ascii="Palatino Linotype" w:hAnsi="Palatino Linotype" w:cs="Arial"/>
          <w:b/>
          <w:bCs/>
        </w:rPr>
        <w:t>to</w:t>
      </w:r>
      <w:r w:rsidRPr="00780B2B">
        <w:rPr>
          <w:rFonts w:ascii="Palatino Linotype" w:hAnsi="Palatino Linotype" w:cs="Arial"/>
          <w:bCs/>
        </w:rPr>
        <w:t xml:space="preserve"> de la presente resolución.</w:t>
      </w:r>
    </w:p>
    <w:p w:rsidR="00342501" w:rsidRPr="00780B2B" w:rsidRDefault="00342501" w:rsidP="004461CD">
      <w:pPr>
        <w:spacing w:line="360" w:lineRule="auto"/>
        <w:jc w:val="both"/>
        <w:rPr>
          <w:rFonts w:ascii="Palatino Linotype" w:hAnsi="Palatino Linotype" w:cs="Arial"/>
          <w:bCs/>
        </w:rPr>
      </w:pPr>
    </w:p>
    <w:p w:rsidR="00342501" w:rsidRPr="00780B2B" w:rsidRDefault="004461CD" w:rsidP="00342501">
      <w:pPr>
        <w:spacing w:line="360" w:lineRule="auto"/>
        <w:jc w:val="both"/>
        <w:rPr>
          <w:rFonts w:ascii="Palatino Linotype" w:eastAsia="MS Mincho" w:hAnsi="Palatino Linotype" w:cs="Arial"/>
          <w:color w:val="000000" w:themeColor="text1"/>
        </w:rPr>
      </w:pPr>
      <w:r w:rsidRPr="00780B2B">
        <w:rPr>
          <w:rFonts w:ascii="Palatino Linotype" w:hAnsi="Palatino Linotype"/>
          <w:b/>
        </w:rPr>
        <w:t>SEGUNDO.</w:t>
      </w:r>
      <w:r w:rsidRPr="00780B2B">
        <w:rPr>
          <w:rStyle w:val="Ttulo2Car"/>
          <w:rFonts w:ascii="Palatino Linotype" w:hAnsi="Palatino Linotype"/>
        </w:rPr>
        <w:t xml:space="preserve"> </w:t>
      </w:r>
      <w:r w:rsidR="00342501" w:rsidRPr="00780B2B">
        <w:rPr>
          <w:rFonts w:ascii="Palatino Linotype" w:eastAsia="Calibri" w:hAnsi="Palatino Linotype" w:cs="Arial"/>
        </w:rPr>
        <w:t>Se</w:t>
      </w:r>
      <w:r w:rsidR="00342501" w:rsidRPr="00780B2B">
        <w:rPr>
          <w:rFonts w:ascii="Palatino Linotype" w:eastAsia="Calibri" w:hAnsi="Palatino Linotype" w:cs="Arial"/>
          <w:b/>
        </w:rPr>
        <w:t xml:space="preserve"> </w:t>
      </w:r>
      <w:r w:rsidR="00906BB0" w:rsidRPr="00780B2B">
        <w:rPr>
          <w:rFonts w:ascii="Palatino Linotype" w:eastAsia="Calibri" w:hAnsi="Palatino Linotype" w:cs="Arial"/>
          <w:b/>
        </w:rPr>
        <w:t>MODIFI</w:t>
      </w:r>
      <w:r w:rsidR="00342501" w:rsidRPr="00780B2B">
        <w:rPr>
          <w:rFonts w:ascii="Palatino Linotype" w:eastAsia="Calibri" w:hAnsi="Palatino Linotype" w:cs="Arial"/>
          <w:b/>
        </w:rPr>
        <w:t xml:space="preserve">CA </w:t>
      </w:r>
      <w:r w:rsidR="00342501" w:rsidRPr="00780B2B">
        <w:rPr>
          <w:rFonts w:ascii="Palatino Linotype" w:eastAsia="Calibri" w:hAnsi="Palatino Linotype" w:cs="Arial"/>
        </w:rPr>
        <w:t xml:space="preserve">la respuesta emitida por el </w:t>
      </w:r>
      <w:r w:rsidR="00190A91" w:rsidRPr="00780B2B">
        <w:rPr>
          <w:rFonts w:ascii="Palatino Linotype" w:eastAsia="Calibri" w:hAnsi="Palatino Linotype" w:cs="Arial"/>
          <w:b/>
        </w:rPr>
        <w:t>Sistema Municipal Para el Desarrollo Integral de la Familia de la Paz</w:t>
      </w:r>
      <w:r w:rsidR="00342501" w:rsidRPr="00780B2B">
        <w:rPr>
          <w:rFonts w:ascii="Palatino Linotype" w:eastAsia="Calibri" w:hAnsi="Palatino Linotype" w:cs="Arial"/>
          <w:b/>
        </w:rPr>
        <w:t xml:space="preserve"> </w:t>
      </w:r>
      <w:r w:rsidR="00F52D0F" w:rsidRPr="00780B2B">
        <w:rPr>
          <w:rFonts w:ascii="Palatino Linotype" w:eastAsia="Calibri" w:hAnsi="Palatino Linotype" w:cs="Arial"/>
        </w:rPr>
        <w:t xml:space="preserve">en el </w:t>
      </w:r>
      <w:r w:rsidR="00F52D0F" w:rsidRPr="00780B2B">
        <w:rPr>
          <w:rFonts w:ascii="Palatino Linotype" w:eastAsia="Calibri" w:hAnsi="Palatino Linotype" w:cs="Arial"/>
          <w:b/>
        </w:rPr>
        <w:t xml:space="preserve">recurso de revisión </w:t>
      </w:r>
      <w:r w:rsidR="00F52D0F" w:rsidRPr="00780B2B">
        <w:rPr>
          <w:rFonts w:ascii="Palatino Linotype" w:hAnsi="Palatino Linotype" w:cs="Arial"/>
          <w:b/>
          <w:bCs/>
        </w:rPr>
        <w:t xml:space="preserve">16088/INFOEM/IP/RR/2022 </w:t>
      </w:r>
      <w:r w:rsidR="00342501" w:rsidRPr="00780B2B">
        <w:rPr>
          <w:rFonts w:ascii="Palatino Linotype" w:eastAsia="Calibri" w:hAnsi="Palatino Linotype" w:cs="Arial"/>
        </w:rPr>
        <w:t>y se</w:t>
      </w:r>
      <w:r w:rsidR="00342501" w:rsidRPr="00780B2B">
        <w:rPr>
          <w:rFonts w:ascii="Palatino Linotype" w:eastAsia="Calibri" w:hAnsi="Palatino Linotype" w:cs="Arial"/>
          <w:b/>
        </w:rPr>
        <w:t xml:space="preserve"> ORDENA </w:t>
      </w:r>
      <w:r w:rsidR="00342501" w:rsidRPr="00780B2B">
        <w:rPr>
          <w:rFonts w:ascii="Palatino Linotype" w:hAnsi="Palatino Linotype" w:cs="Arial"/>
        </w:rPr>
        <w:t>entregar vía Sistema de Acceso a la Información Mexiquense (SAIMEX)</w:t>
      </w:r>
      <w:r w:rsidR="007F2F6F" w:rsidRPr="00780B2B">
        <w:rPr>
          <w:rFonts w:ascii="Palatino Linotype" w:hAnsi="Palatino Linotype" w:cs="Arial"/>
        </w:rPr>
        <w:t>,</w:t>
      </w:r>
      <w:r w:rsidR="00E77284" w:rsidRPr="00780B2B">
        <w:rPr>
          <w:rFonts w:ascii="Palatino Linotype" w:hAnsi="Palatino Linotype" w:cs="Arial"/>
        </w:rPr>
        <w:t xml:space="preserve"> </w:t>
      </w:r>
      <w:r w:rsidR="00906BB0" w:rsidRPr="00780B2B">
        <w:rPr>
          <w:rFonts w:ascii="Palatino Linotype" w:hAnsi="Palatino Linotype" w:cs="Arial"/>
        </w:rPr>
        <w:t xml:space="preserve">de ser el caso </w:t>
      </w:r>
      <w:r w:rsidR="00E77284" w:rsidRPr="00780B2B">
        <w:rPr>
          <w:rFonts w:ascii="Palatino Linotype" w:hAnsi="Palatino Linotype" w:cs="Arial"/>
        </w:rPr>
        <w:t xml:space="preserve">en versión pública, </w:t>
      </w:r>
      <w:r w:rsidR="00342501" w:rsidRPr="00780B2B">
        <w:rPr>
          <w:rFonts w:ascii="Palatino Linotype" w:eastAsia="MS Mincho" w:hAnsi="Palatino Linotype" w:cs="Arial"/>
          <w:color w:val="000000" w:themeColor="text1"/>
        </w:rPr>
        <w:t>la siguiente información:</w:t>
      </w:r>
    </w:p>
    <w:p w:rsidR="004E17FA" w:rsidRPr="00780B2B" w:rsidRDefault="004E17FA" w:rsidP="00342501">
      <w:pPr>
        <w:spacing w:line="360" w:lineRule="auto"/>
        <w:jc w:val="both"/>
        <w:rPr>
          <w:rFonts w:ascii="Palatino Linotype" w:eastAsia="MS Mincho" w:hAnsi="Palatino Linotype" w:cs="Arial"/>
          <w:color w:val="000000" w:themeColor="text1"/>
        </w:rPr>
      </w:pPr>
    </w:p>
    <w:p w:rsidR="00342501" w:rsidRPr="00780B2B" w:rsidRDefault="00E77284" w:rsidP="00906BB0">
      <w:pPr>
        <w:pStyle w:val="Prrafodelista"/>
        <w:numPr>
          <w:ilvl w:val="0"/>
          <w:numId w:val="7"/>
        </w:numPr>
        <w:spacing w:line="360" w:lineRule="auto"/>
        <w:jc w:val="both"/>
        <w:rPr>
          <w:rFonts w:ascii="Palatino Linotype" w:eastAsia="Calibri" w:hAnsi="Palatino Linotype" w:cs="Tahoma"/>
          <w:iCs/>
          <w:lang w:val="es-ES" w:eastAsia="es-ES_tradnl"/>
        </w:rPr>
      </w:pPr>
      <w:r w:rsidRPr="00780B2B">
        <w:rPr>
          <w:rFonts w:ascii="Palatino Linotype" w:eastAsia="Calibri" w:hAnsi="Palatino Linotype" w:cs="Tahoma"/>
          <w:bCs/>
          <w:lang w:eastAsia="en-US"/>
        </w:rPr>
        <w:lastRenderedPageBreak/>
        <w:t>Soporte documental donde conste</w:t>
      </w:r>
      <w:r w:rsidR="00906BB0" w:rsidRPr="00780B2B">
        <w:rPr>
          <w:rFonts w:ascii="Palatino Linotype" w:eastAsia="Calibri" w:hAnsi="Palatino Linotype" w:cs="Tahoma"/>
          <w:bCs/>
          <w:lang w:eastAsia="en-US"/>
        </w:rPr>
        <w:t>n</w:t>
      </w:r>
      <w:r w:rsidRPr="00780B2B">
        <w:rPr>
          <w:rFonts w:ascii="Palatino Linotype" w:eastAsia="Calibri" w:hAnsi="Palatino Linotype" w:cs="Tahoma"/>
          <w:bCs/>
          <w:lang w:eastAsia="en-US"/>
        </w:rPr>
        <w:t xml:space="preserve"> o se advierta</w:t>
      </w:r>
      <w:r w:rsidR="00906BB0" w:rsidRPr="00780B2B">
        <w:rPr>
          <w:rFonts w:ascii="Palatino Linotype" w:eastAsia="Calibri" w:hAnsi="Palatino Linotype" w:cs="Tahoma"/>
          <w:bCs/>
          <w:lang w:eastAsia="en-US"/>
        </w:rPr>
        <w:t>n,</w:t>
      </w:r>
      <w:r w:rsidRPr="00780B2B">
        <w:rPr>
          <w:rFonts w:ascii="Palatino Linotype" w:eastAsia="Calibri" w:hAnsi="Palatino Linotype" w:cs="Tahoma"/>
          <w:bCs/>
          <w:lang w:eastAsia="en-US"/>
        </w:rPr>
        <w:t xml:space="preserve"> </w:t>
      </w:r>
      <w:r w:rsidR="00906BB0" w:rsidRPr="00780B2B">
        <w:rPr>
          <w:rFonts w:ascii="Palatino Linotype" w:eastAsia="Calibri" w:hAnsi="Palatino Linotype" w:cs="Tahoma"/>
          <w:bCs/>
          <w:lang w:eastAsia="en-US"/>
        </w:rPr>
        <w:t xml:space="preserve">los nombres de los psicólogos adscritos al Sistema Municipal Para el Desarrollo Integral de la Familia de la Paz, al </w:t>
      </w:r>
      <w:r w:rsidRPr="00780B2B">
        <w:rPr>
          <w:rFonts w:ascii="Palatino Linotype" w:eastAsia="Calibri" w:hAnsi="Palatino Linotype" w:cs="Tahoma"/>
          <w:bCs/>
          <w:lang w:eastAsia="en-US"/>
        </w:rPr>
        <w:t>1</w:t>
      </w:r>
      <w:r w:rsidR="00906BB0" w:rsidRPr="00780B2B">
        <w:rPr>
          <w:rFonts w:ascii="Palatino Linotype" w:eastAsia="Calibri" w:hAnsi="Palatino Linotype" w:cs="Tahoma"/>
          <w:bCs/>
          <w:lang w:eastAsia="en-US"/>
        </w:rPr>
        <w:t>3</w:t>
      </w:r>
      <w:r w:rsidRPr="00780B2B">
        <w:rPr>
          <w:rFonts w:ascii="Palatino Linotype" w:eastAsia="Calibri" w:hAnsi="Palatino Linotype" w:cs="Tahoma"/>
          <w:bCs/>
          <w:lang w:eastAsia="en-US"/>
        </w:rPr>
        <w:t xml:space="preserve"> de </w:t>
      </w:r>
      <w:r w:rsidR="00906BB0" w:rsidRPr="00780B2B">
        <w:rPr>
          <w:rFonts w:ascii="Palatino Linotype" w:eastAsia="Calibri" w:hAnsi="Palatino Linotype" w:cs="Tahoma"/>
          <w:bCs/>
          <w:lang w:eastAsia="en-US"/>
        </w:rPr>
        <w:t>octubre de 2022</w:t>
      </w:r>
      <w:r w:rsidRPr="00780B2B">
        <w:rPr>
          <w:rFonts w:ascii="Palatino Linotype" w:eastAsia="Calibri" w:hAnsi="Palatino Linotype" w:cs="Tahoma"/>
          <w:bCs/>
          <w:lang w:eastAsia="en-US"/>
        </w:rPr>
        <w:t>.</w:t>
      </w:r>
    </w:p>
    <w:p w:rsidR="00342501" w:rsidRPr="00780B2B" w:rsidRDefault="00342501" w:rsidP="004461CD">
      <w:pPr>
        <w:spacing w:line="360" w:lineRule="auto"/>
        <w:jc w:val="both"/>
        <w:rPr>
          <w:rFonts w:ascii="Palatino Linotype" w:eastAsia="Calibri" w:hAnsi="Palatino Linotype" w:cs="Arial"/>
          <w:lang w:val="es-ES"/>
        </w:rPr>
      </w:pPr>
    </w:p>
    <w:p w:rsidR="00F52D0F" w:rsidRPr="00780B2B" w:rsidRDefault="00F52D0F" w:rsidP="00F52D0F">
      <w:pPr>
        <w:spacing w:line="360" w:lineRule="auto"/>
        <w:jc w:val="both"/>
        <w:rPr>
          <w:rFonts w:ascii="Palatino Linotype" w:eastAsia="MS Mincho" w:hAnsi="Palatino Linotype" w:cs="Arial"/>
          <w:color w:val="000000" w:themeColor="text1"/>
        </w:rPr>
      </w:pPr>
      <w:r w:rsidRPr="00780B2B">
        <w:rPr>
          <w:rFonts w:ascii="Palatino Linotype" w:hAnsi="Palatino Linotype"/>
          <w:b/>
        </w:rPr>
        <w:t>SEGUNDO.</w:t>
      </w:r>
      <w:r w:rsidRPr="00780B2B">
        <w:rPr>
          <w:rStyle w:val="Ttulo2Car"/>
          <w:rFonts w:ascii="Palatino Linotype" w:hAnsi="Palatino Linotype"/>
        </w:rPr>
        <w:t xml:space="preserve"> </w:t>
      </w:r>
      <w:r w:rsidRPr="00780B2B">
        <w:rPr>
          <w:rFonts w:ascii="Palatino Linotype" w:eastAsia="Calibri" w:hAnsi="Palatino Linotype" w:cs="Arial"/>
        </w:rPr>
        <w:t>Se</w:t>
      </w:r>
      <w:r w:rsidRPr="00780B2B">
        <w:rPr>
          <w:rFonts w:ascii="Palatino Linotype" w:eastAsia="Calibri" w:hAnsi="Palatino Linotype" w:cs="Arial"/>
          <w:b/>
        </w:rPr>
        <w:t xml:space="preserve"> REVOCAN </w:t>
      </w:r>
      <w:r w:rsidRPr="00780B2B">
        <w:rPr>
          <w:rFonts w:ascii="Palatino Linotype" w:eastAsia="Calibri" w:hAnsi="Palatino Linotype" w:cs="Arial"/>
        </w:rPr>
        <w:t xml:space="preserve">las respuestas emitidas por el </w:t>
      </w:r>
      <w:r w:rsidRPr="00780B2B">
        <w:rPr>
          <w:rFonts w:ascii="Palatino Linotype" w:eastAsia="Calibri" w:hAnsi="Palatino Linotype" w:cs="Arial"/>
          <w:b/>
        </w:rPr>
        <w:t xml:space="preserve">Sistema Municipal Para el Desarrollo Integral de la Familia de la Paz </w:t>
      </w:r>
      <w:r w:rsidRPr="00780B2B">
        <w:rPr>
          <w:rFonts w:ascii="Palatino Linotype" w:eastAsia="Calibri" w:hAnsi="Palatino Linotype" w:cs="Arial"/>
        </w:rPr>
        <w:t xml:space="preserve">en los </w:t>
      </w:r>
      <w:r w:rsidRPr="00780B2B">
        <w:rPr>
          <w:rFonts w:ascii="Palatino Linotype" w:eastAsia="Calibri" w:hAnsi="Palatino Linotype" w:cs="Arial"/>
          <w:b/>
        </w:rPr>
        <w:t xml:space="preserve">recursos de revisión </w:t>
      </w:r>
      <w:r w:rsidRPr="00780B2B">
        <w:rPr>
          <w:rFonts w:ascii="Palatino Linotype" w:hAnsi="Palatino Linotype" w:cs="Arial"/>
          <w:b/>
          <w:bCs/>
        </w:rPr>
        <w:t xml:space="preserve">16089/INFOEM/IP/RR/2022 </w:t>
      </w:r>
      <w:r w:rsidRPr="00780B2B">
        <w:rPr>
          <w:rFonts w:ascii="Palatino Linotype" w:eastAsia="Calibri" w:hAnsi="Palatino Linotype" w:cs="Arial"/>
        </w:rPr>
        <w:t xml:space="preserve">y </w:t>
      </w:r>
      <w:r w:rsidRPr="00780B2B">
        <w:rPr>
          <w:rFonts w:ascii="Palatino Linotype" w:hAnsi="Palatino Linotype" w:cs="Arial"/>
          <w:b/>
          <w:bCs/>
        </w:rPr>
        <w:t xml:space="preserve">16091/INFOEM/IP/RR/2022 </w:t>
      </w:r>
      <w:r w:rsidRPr="00780B2B">
        <w:rPr>
          <w:rFonts w:ascii="Palatino Linotype" w:hAnsi="Palatino Linotype" w:cs="Arial"/>
          <w:bCs/>
        </w:rPr>
        <w:t>y</w:t>
      </w:r>
      <w:r w:rsidRPr="00780B2B">
        <w:rPr>
          <w:rFonts w:ascii="Palatino Linotype" w:hAnsi="Palatino Linotype" w:cs="Arial"/>
          <w:b/>
          <w:bCs/>
        </w:rPr>
        <w:t xml:space="preserve"> </w:t>
      </w:r>
      <w:r w:rsidRPr="00780B2B">
        <w:rPr>
          <w:rFonts w:ascii="Palatino Linotype" w:eastAsia="Calibri" w:hAnsi="Palatino Linotype" w:cs="Arial"/>
        </w:rPr>
        <w:t>se</w:t>
      </w:r>
      <w:r w:rsidRPr="00780B2B">
        <w:rPr>
          <w:rFonts w:ascii="Palatino Linotype" w:eastAsia="Calibri" w:hAnsi="Palatino Linotype" w:cs="Arial"/>
          <w:b/>
        </w:rPr>
        <w:t xml:space="preserve"> ORDENA </w:t>
      </w:r>
      <w:r w:rsidRPr="00780B2B">
        <w:rPr>
          <w:rFonts w:ascii="Palatino Linotype" w:hAnsi="Palatino Linotype" w:cs="Arial"/>
        </w:rPr>
        <w:t xml:space="preserve">entregar vía Sistema de Acceso a la Información Mexiquense (SAIMEX), de ser el caso en versión pública, </w:t>
      </w:r>
      <w:r w:rsidRPr="00780B2B">
        <w:rPr>
          <w:rFonts w:ascii="Palatino Linotype" w:eastAsia="MS Mincho" w:hAnsi="Palatino Linotype" w:cs="Arial"/>
          <w:color w:val="000000" w:themeColor="text1"/>
        </w:rPr>
        <w:t>la siguiente información:</w:t>
      </w:r>
    </w:p>
    <w:p w:rsidR="00F52D0F" w:rsidRPr="00780B2B" w:rsidRDefault="00F52D0F" w:rsidP="006D744D">
      <w:pPr>
        <w:spacing w:line="360" w:lineRule="auto"/>
        <w:jc w:val="both"/>
        <w:rPr>
          <w:rFonts w:ascii="Palatino Linotype" w:eastAsia="Calibri" w:hAnsi="Palatino Linotype" w:cs="Arial"/>
        </w:rPr>
      </w:pPr>
    </w:p>
    <w:p w:rsidR="00F52D0F" w:rsidRPr="00780B2B" w:rsidRDefault="00F52D0F" w:rsidP="00F52D0F">
      <w:pPr>
        <w:pStyle w:val="Prrafodelista"/>
        <w:numPr>
          <w:ilvl w:val="0"/>
          <w:numId w:val="7"/>
        </w:numPr>
        <w:spacing w:line="360" w:lineRule="auto"/>
        <w:jc w:val="both"/>
        <w:rPr>
          <w:rFonts w:ascii="Palatino Linotype" w:eastAsia="Calibri" w:hAnsi="Palatino Linotype" w:cs="Tahoma"/>
          <w:iCs/>
          <w:lang w:val="es-ES" w:eastAsia="es-ES_tradnl"/>
        </w:rPr>
      </w:pPr>
      <w:r w:rsidRPr="00780B2B">
        <w:rPr>
          <w:rFonts w:ascii="Palatino Linotype" w:eastAsia="Calibri" w:hAnsi="Palatino Linotype" w:cs="Tahoma"/>
          <w:bCs/>
          <w:lang w:eastAsia="en-US"/>
        </w:rPr>
        <w:t>Recibos de nómina de la primer y segunda quincena del mes de septiembre de 2022</w:t>
      </w:r>
      <w:r w:rsidR="00155019" w:rsidRPr="00780B2B">
        <w:rPr>
          <w:rFonts w:ascii="Palatino Linotype" w:eastAsia="Calibri" w:hAnsi="Palatino Linotype" w:cs="Tahoma"/>
          <w:bCs/>
          <w:lang w:eastAsia="en-US"/>
        </w:rPr>
        <w:t>, d</w:t>
      </w:r>
      <w:r w:rsidRPr="00780B2B">
        <w:rPr>
          <w:rFonts w:ascii="Palatino Linotype" w:eastAsia="Calibri" w:hAnsi="Palatino Linotype" w:cs="Tahoma"/>
          <w:bCs/>
          <w:lang w:eastAsia="en-US"/>
        </w:rPr>
        <w:t>el personal adscrito a la Unidad de Transparencia, incluyendo sindicalizados</w:t>
      </w:r>
      <w:r w:rsidR="00155019" w:rsidRPr="00780B2B">
        <w:rPr>
          <w:rFonts w:ascii="Palatino Linotype" w:eastAsia="Calibri" w:hAnsi="Palatino Linotype" w:cs="Tahoma"/>
          <w:bCs/>
          <w:lang w:eastAsia="en-US"/>
        </w:rPr>
        <w:t>, en formato PDF</w:t>
      </w:r>
      <w:r w:rsidRPr="00780B2B">
        <w:rPr>
          <w:rFonts w:ascii="Palatino Linotype" w:eastAsia="Calibri" w:hAnsi="Palatino Linotype" w:cs="Tahoma"/>
          <w:bCs/>
          <w:lang w:eastAsia="en-US"/>
        </w:rPr>
        <w:t>; y</w:t>
      </w:r>
    </w:p>
    <w:p w:rsidR="00F52D0F" w:rsidRPr="00780B2B" w:rsidRDefault="00F52D0F" w:rsidP="00F52D0F">
      <w:pPr>
        <w:pStyle w:val="Prrafodelista"/>
        <w:spacing w:line="360" w:lineRule="auto"/>
        <w:jc w:val="both"/>
        <w:rPr>
          <w:rFonts w:ascii="Palatino Linotype" w:eastAsia="Calibri" w:hAnsi="Palatino Linotype" w:cs="Tahoma"/>
          <w:iCs/>
          <w:lang w:val="es-ES" w:eastAsia="es-ES_tradnl"/>
        </w:rPr>
      </w:pPr>
    </w:p>
    <w:p w:rsidR="00F52D0F" w:rsidRPr="00780B2B" w:rsidRDefault="00155019" w:rsidP="00F52D0F">
      <w:pPr>
        <w:pStyle w:val="Prrafodelista"/>
        <w:numPr>
          <w:ilvl w:val="0"/>
          <w:numId w:val="7"/>
        </w:numPr>
        <w:spacing w:line="360" w:lineRule="auto"/>
        <w:jc w:val="both"/>
        <w:rPr>
          <w:rFonts w:ascii="Palatino Linotype" w:eastAsia="Calibri" w:hAnsi="Palatino Linotype" w:cs="Tahoma"/>
          <w:iCs/>
          <w:lang w:val="es-ES" w:eastAsia="es-ES_tradnl"/>
        </w:rPr>
      </w:pPr>
      <w:r w:rsidRPr="00780B2B">
        <w:rPr>
          <w:rFonts w:ascii="Palatino Linotype" w:eastAsia="Calibri" w:hAnsi="Palatino Linotype" w:cs="Tahoma"/>
          <w:bCs/>
          <w:lang w:eastAsia="en-US"/>
        </w:rPr>
        <w:t>Soporte documental donde consten o se adviertan</w:t>
      </w:r>
      <w:r w:rsidRPr="00780B2B">
        <w:rPr>
          <w:rFonts w:ascii="Palatino Linotype" w:eastAsia="Calibri" w:hAnsi="Palatino Linotype" w:cs="Tahoma"/>
          <w:iCs/>
          <w:lang w:val="es-ES" w:eastAsia="es-ES_tradnl"/>
        </w:rPr>
        <w:t>, los n</w:t>
      </w:r>
      <w:r w:rsidR="00F52D0F" w:rsidRPr="00780B2B">
        <w:rPr>
          <w:rFonts w:ascii="Palatino Linotype" w:eastAsia="Calibri" w:hAnsi="Palatino Linotype" w:cs="Tahoma"/>
          <w:iCs/>
          <w:lang w:val="es-ES" w:eastAsia="es-ES_tradnl"/>
        </w:rPr>
        <w:t>o</w:t>
      </w:r>
      <w:r w:rsidRPr="00780B2B">
        <w:rPr>
          <w:rFonts w:ascii="Palatino Linotype" w:eastAsia="Calibri" w:hAnsi="Palatino Linotype" w:cs="Tahoma"/>
          <w:iCs/>
          <w:lang w:val="es-ES" w:eastAsia="es-ES_tradnl"/>
        </w:rPr>
        <w:t>mbres</w:t>
      </w:r>
      <w:r w:rsidR="00F52D0F" w:rsidRPr="00780B2B">
        <w:rPr>
          <w:rFonts w:ascii="Palatino Linotype" w:eastAsia="Calibri" w:hAnsi="Palatino Linotype" w:cs="Tahoma"/>
          <w:iCs/>
          <w:lang w:val="es-ES" w:eastAsia="es-ES_tradnl"/>
        </w:rPr>
        <w:t xml:space="preserve"> de todos los servidores públicos adscrito al </w:t>
      </w:r>
      <w:r w:rsidR="00F52D0F" w:rsidRPr="00780B2B">
        <w:rPr>
          <w:rFonts w:ascii="Palatino Linotype" w:eastAsia="Calibri" w:hAnsi="Palatino Linotype" w:cs="Tahoma"/>
          <w:bCs/>
          <w:lang w:eastAsia="en-US"/>
        </w:rPr>
        <w:t>Sistema Municipal Para el Desarrollo Integral de la Familia de la Paz, al 13 de octubre de 2022</w:t>
      </w:r>
      <w:r w:rsidRPr="00780B2B">
        <w:rPr>
          <w:rFonts w:ascii="Palatino Linotype" w:eastAsia="Calibri" w:hAnsi="Palatino Linotype" w:cs="Tahoma"/>
          <w:bCs/>
          <w:lang w:eastAsia="en-US"/>
        </w:rPr>
        <w:t>.</w:t>
      </w:r>
    </w:p>
    <w:p w:rsidR="00F52D0F" w:rsidRPr="00780B2B" w:rsidRDefault="00F52D0F" w:rsidP="006D744D">
      <w:pPr>
        <w:spacing w:line="360" w:lineRule="auto"/>
        <w:jc w:val="both"/>
        <w:rPr>
          <w:rFonts w:ascii="Palatino Linotype" w:eastAsia="Calibri" w:hAnsi="Palatino Linotype" w:cs="Arial"/>
        </w:rPr>
      </w:pPr>
    </w:p>
    <w:p w:rsidR="006D744D" w:rsidRPr="00780B2B" w:rsidRDefault="006D744D" w:rsidP="006D744D">
      <w:pPr>
        <w:spacing w:line="360" w:lineRule="auto"/>
        <w:jc w:val="both"/>
        <w:rPr>
          <w:rFonts w:ascii="Palatino Linotype" w:eastAsia="Calibri" w:hAnsi="Palatino Linotype" w:cs="Arial"/>
          <w:b/>
        </w:rPr>
      </w:pPr>
      <w:r w:rsidRPr="00780B2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780B2B">
        <w:rPr>
          <w:rFonts w:ascii="Palatino Linotype" w:eastAsia="Calibri" w:hAnsi="Palatino Linotype" w:cs="Arial"/>
        </w:rPr>
        <w:lastRenderedPageBreak/>
        <w:t xml:space="preserve">dentro del soporte documental respectivo objeto de las versiones públicas que se formulen y se pongan a disposición de </w:t>
      </w:r>
      <w:r w:rsidRPr="00780B2B">
        <w:rPr>
          <w:rFonts w:ascii="Palatino Linotype" w:eastAsia="Calibri" w:hAnsi="Palatino Linotype" w:cs="Arial"/>
          <w:b/>
        </w:rPr>
        <w:t>EL RECURRENTE.</w:t>
      </w:r>
    </w:p>
    <w:p w:rsidR="00906BB0" w:rsidRPr="00780B2B" w:rsidRDefault="00906BB0" w:rsidP="004E17FA">
      <w:pPr>
        <w:autoSpaceDE w:val="0"/>
        <w:autoSpaceDN w:val="0"/>
        <w:adjustRightInd w:val="0"/>
        <w:spacing w:line="360" w:lineRule="auto"/>
        <w:ind w:right="49"/>
        <w:jc w:val="both"/>
        <w:rPr>
          <w:rFonts w:ascii="Palatino Linotype" w:eastAsia="Palatino Linotype" w:hAnsi="Palatino Linotype" w:cs="Palatino Linotype"/>
          <w:b/>
        </w:rPr>
      </w:pPr>
    </w:p>
    <w:p w:rsidR="004E17FA" w:rsidRPr="00780B2B"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r w:rsidRPr="00780B2B">
        <w:rPr>
          <w:rFonts w:ascii="Palatino Linotype" w:eastAsia="Palatino Linotype" w:hAnsi="Palatino Linotype" w:cs="Palatino Linotype"/>
          <w:b/>
        </w:rPr>
        <w:t xml:space="preserve">TERCERO. Notifíquese </w:t>
      </w:r>
      <w:r w:rsidRPr="00780B2B">
        <w:rPr>
          <w:rFonts w:ascii="Palatino Linotype" w:eastAsia="Palatino Linotype" w:hAnsi="Palatino Linotype" w:cs="Palatino Linotype"/>
        </w:rPr>
        <w:t xml:space="preserve">al Titular de la Unidad de Transparencia del </w:t>
      </w:r>
      <w:r w:rsidRPr="00780B2B">
        <w:rPr>
          <w:rFonts w:ascii="Palatino Linotype" w:eastAsia="Palatino Linotype" w:hAnsi="Palatino Linotype" w:cs="Palatino Linotype"/>
          <w:b/>
        </w:rPr>
        <w:t xml:space="preserve">SUJETO OBLIGADO </w:t>
      </w:r>
      <w:r w:rsidRPr="00780B2B">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Pr="00780B2B">
        <w:rPr>
          <w:rFonts w:ascii="Palatino Linotype" w:hAnsi="Palatino Linotype"/>
          <w:color w:val="222222"/>
          <w:shd w:val="clear" w:color="auto" w:fill="FFFFFF"/>
        </w:rPr>
        <w:t xml:space="preserve">vigente, dé cumplimiento a lo ordenado dentro del plazo de </w:t>
      </w:r>
      <w:r w:rsidRPr="00780B2B">
        <w:rPr>
          <w:rFonts w:ascii="Palatino Linotype" w:hAnsi="Palatino Linotype"/>
          <w:b/>
          <w:color w:val="222222"/>
          <w:shd w:val="clear" w:color="auto" w:fill="FFFFFF"/>
        </w:rPr>
        <w:t>diez días hábiles</w:t>
      </w:r>
      <w:r w:rsidRPr="00780B2B">
        <w:rPr>
          <w:rFonts w:ascii="Palatino Linotype" w:hAnsi="Palatino Linotype"/>
          <w:color w:val="222222"/>
          <w:shd w:val="clear" w:color="auto" w:fill="FFFFFF"/>
        </w:rPr>
        <w:t>, debiendo rendir a este Instituto el informe de cumplimiento de la resolución en un plazo de tres días hábiles posteriores.</w:t>
      </w:r>
    </w:p>
    <w:p w:rsidR="004E17FA" w:rsidRPr="00780B2B"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rsidR="004E17FA" w:rsidRPr="00780B2B" w:rsidRDefault="004E17FA" w:rsidP="004E17FA">
      <w:pPr>
        <w:spacing w:line="360" w:lineRule="auto"/>
        <w:jc w:val="both"/>
        <w:rPr>
          <w:rFonts w:ascii="Palatino Linotype" w:eastAsia="Calibri" w:hAnsi="Palatino Linotype" w:cs="Arial"/>
          <w:bCs/>
        </w:rPr>
      </w:pPr>
      <w:r w:rsidRPr="00780B2B">
        <w:rPr>
          <w:rFonts w:ascii="Palatino Linotype" w:hAnsi="Palatino Linotype" w:cs="Arial"/>
          <w:b/>
        </w:rPr>
        <w:t xml:space="preserve">CUARTO. </w:t>
      </w:r>
      <w:r w:rsidRPr="00780B2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E17FA" w:rsidRPr="00780B2B" w:rsidRDefault="004E17FA" w:rsidP="004E17FA">
      <w:pPr>
        <w:spacing w:line="360" w:lineRule="auto"/>
        <w:jc w:val="both"/>
        <w:rPr>
          <w:rFonts w:ascii="Palatino Linotype" w:eastAsia="Calibri" w:hAnsi="Palatino Linotype" w:cs="Arial"/>
          <w:bCs/>
        </w:rPr>
      </w:pPr>
    </w:p>
    <w:p w:rsidR="004E17FA" w:rsidRPr="00780B2B" w:rsidRDefault="004E17FA" w:rsidP="004E17FA">
      <w:pPr>
        <w:autoSpaceDE w:val="0"/>
        <w:autoSpaceDN w:val="0"/>
        <w:adjustRightInd w:val="0"/>
        <w:spacing w:line="360" w:lineRule="auto"/>
        <w:ind w:right="49"/>
        <w:jc w:val="both"/>
        <w:rPr>
          <w:rFonts w:ascii="Palatino Linotype" w:hAnsi="Palatino Linotype"/>
        </w:rPr>
      </w:pPr>
      <w:r w:rsidRPr="00780B2B">
        <w:rPr>
          <w:rFonts w:ascii="Palatino Linotype" w:hAnsi="Palatino Linotype" w:cs="Arial"/>
          <w:b/>
        </w:rPr>
        <w:t xml:space="preserve">QUINTO. </w:t>
      </w:r>
      <w:r w:rsidRPr="00780B2B">
        <w:rPr>
          <w:rFonts w:ascii="Palatino Linotype" w:hAnsi="Palatino Linotype"/>
          <w:b/>
          <w:bCs/>
          <w:color w:val="222222"/>
        </w:rPr>
        <w:t xml:space="preserve">Notifíquese </w:t>
      </w:r>
      <w:r w:rsidRPr="00780B2B">
        <w:rPr>
          <w:rFonts w:ascii="Palatino Linotype" w:hAnsi="Palatino Linotype"/>
          <w:bCs/>
          <w:color w:val="222222"/>
        </w:rPr>
        <w:t>a</w:t>
      </w:r>
      <w:r w:rsidR="006C3BA9" w:rsidRPr="00780B2B">
        <w:rPr>
          <w:rFonts w:ascii="Palatino Linotype" w:hAnsi="Palatino Linotype"/>
        </w:rPr>
        <w:t>l</w:t>
      </w:r>
      <w:r w:rsidRPr="00780B2B">
        <w:rPr>
          <w:rFonts w:ascii="Palatino Linotype" w:eastAsia="Calibri" w:hAnsi="Palatino Linotype" w:cs="Arial"/>
          <w:b/>
        </w:rPr>
        <w:t xml:space="preserve"> RECURRENTE</w:t>
      </w:r>
      <w:r w:rsidRPr="00780B2B">
        <w:rPr>
          <w:rFonts w:ascii="Palatino Linotype" w:hAnsi="Palatino Linotype"/>
        </w:rPr>
        <w:t xml:space="preserve"> la presente resolución, vía SAIMEX.</w:t>
      </w:r>
    </w:p>
    <w:p w:rsidR="00906BB0" w:rsidRPr="00780B2B" w:rsidRDefault="00906BB0" w:rsidP="004E17FA">
      <w:pPr>
        <w:autoSpaceDE w:val="0"/>
        <w:autoSpaceDN w:val="0"/>
        <w:adjustRightInd w:val="0"/>
        <w:spacing w:line="360" w:lineRule="auto"/>
        <w:ind w:right="49"/>
        <w:jc w:val="both"/>
        <w:rPr>
          <w:rFonts w:ascii="Palatino Linotype" w:hAnsi="Palatino Linotype"/>
        </w:rPr>
      </w:pPr>
    </w:p>
    <w:p w:rsidR="004E17FA" w:rsidRPr="00780B2B" w:rsidRDefault="004E17FA" w:rsidP="004E17FA">
      <w:pPr>
        <w:autoSpaceDE w:val="0"/>
        <w:autoSpaceDN w:val="0"/>
        <w:adjustRightInd w:val="0"/>
        <w:spacing w:line="360" w:lineRule="auto"/>
        <w:ind w:right="49"/>
        <w:jc w:val="both"/>
        <w:rPr>
          <w:rFonts w:ascii="Palatino Linotype" w:eastAsia="MS Mincho" w:hAnsi="Palatino Linotype"/>
        </w:rPr>
      </w:pPr>
      <w:r w:rsidRPr="00780B2B">
        <w:rPr>
          <w:rFonts w:ascii="Palatino Linotype" w:eastAsia="MS Mincho" w:hAnsi="Palatino Linotype"/>
          <w:b/>
        </w:rPr>
        <w:t>SEXTO.</w:t>
      </w:r>
      <w:r w:rsidRPr="00780B2B">
        <w:rPr>
          <w:rFonts w:ascii="Palatino Linotype" w:eastAsia="MS Mincho" w:hAnsi="Palatino Linotype"/>
        </w:rPr>
        <w:t xml:space="preserve"> Se hace del conocimiento de</w:t>
      </w:r>
      <w:r w:rsidR="006C3BA9" w:rsidRPr="00780B2B">
        <w:rPr>
          <w:rFonts w:ascii="Palatino Linotype" w:eastAsia="MS Mincho" w:hAnsi="Palatino Linotype"/>
        </w:rPr>
        <w:t xml:space="preserve">l </w:t>
      </w:r>
      <w:r w:rsidRPr="00780B2B">
        <w:rPr>
          <w:rFonts w:ascii="Palatino Linotype" w:eastAsia="Calibri" w:hAnsi="Palatino Linotype" w:cs="Arial"/>
          <w:b/>
        </w:rPr>
        <w:t>RECURRENTE</w:t>
      </w:r>
      <w:r w:rsidRPr="00780B2B">
        <w:rPr>
          <w:rFonts w:ascii="Palatino Linotype" w:hAnsi="Palatino Linotype"/>
        </w:rPr>
        <w:t xml:space="preserve"> </w:t>
      </w:r>
      <w:r w:rsidRPr="00780B2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80B2B">
        <w:rPr>
          <w:rFonts w:ascii="Palatino Linotype" w:eastAsia="MS Mincho" w:hAnsi="Palatino Linotype"/>
          <w:bCs/>
        </w:rPr>
        <w:t>vía juicio de amparo</w:t>
      </w:r>
      <w:r w:rsidRPr="00780B2B">
        <w:rPr>
          <w:rFonts w:ascii="Palatino Linotype" w:eastAsia="MS Mincho" w:hAnsi="Palatino Linotype"/>
        </w:rPr>
        <w:t> en los términos de las leyes aplicables.</w:t>
      </w:r>
    </w:p>
    <w:p w:rsidR="00D90F91" w:rsidRPr="00780B2B" w:rsidRDefault="00D90F91" w:rsidP="004461C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2A3F92" w:rsidRDefault="002A3F92" w:rsidP="002A3F92">
      <w:pPr>
        <w:spacing w:before="240" w:after="240" w:line="360" w:lineRule="auto"/>
        <w:jc w:val="both"/>
        <w:rPr>
          <w:rFonts w:ascii="Palatino Linotype" w:hAnsi="Palatino Linotype"/>
        </w:rPr>
      </w:pPr>
      <w:r w:rsidRPr="00780B2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r w:rsidRPr="00624AAD">
        <w:rPr>
          <w:rFonts w:ascii="Palatino Linotype" w:hAnsi="Palatino Linotype"/>
        </w:rPr>
        <w:t xml:space="preserve"> </w:t>
      </w: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spacing w:line="360" w:lineRule="auto"/>
        <w:jc w:val="both"/>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rPr>
          <w:rFonts w:ascii="Palatino Linotype" w:hAnsi="Palatino Linotype"/>
        </w:rPr>
      </w:pPr>
    </w:p>
    <w:p w:rsidR="009F09BC" w:rsidRPr="006D2F3F" w:rsidRDefault="009F09BC" w:rsidP="009F09BC">
      <w:pPr>
        <w:tabs>
          <w:tab w:val="left" w:pos="3374"/>
        </w:tabs>
        <w:rPr>
          <w:rFonts w:ascii="Palatino Linotype" w:hAnsi="Palatino Linotype"/>
        </w:rPr>
      </w:pPr>
      <w:r w:rsidRPr="006D2F3F">
        <w:rPr>
          <w:rFonts w:ascii="Palatino Linotype" w:hAnsi="Palatino Linotype"/>
        </w:rPr>
        <w:lastRenderedPageBreak/>
        <w:tab/>
      </w: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74110E" w:rsidRPr="006D2F3F" w:rsidRDefault="0074110E"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p w:rsidR="00053FB7" w:rsidRPr="006D2F3F" w:rsidRDefault="00053FB7" w:rsidP="009F09BC">
      <w:pPr>
        <w:tabs>
          <w:tab w:val="left" w:pos="3374"/>
        </w:tabs>
        <w:rPr>
          <w:rFonts w:ascii="Palatino Linotype" w:hAnsi="Palatino Linotype"/>
        </w:rPr>
      </w:pPr>
    </w:p>
    <w:sectPr w:rsidR="00053FB7" w:rsidRPr="006D2F3F" w:rsidSect="00792D6A">
      <w:headerReference w:type="even" r:id="rId20"/>
      <w:headerReference w:type="default" r:id="rId21"/>
      <w:footerReference w:type="default" r:id="rId22"/>
      <w:headerReference w:type="first" r:id="rId23"/>
      <w:footerReference w:type="first" r:id="rId24"/>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AB" w:rsidRDefault="00D629AB" w:rsidP="003B7751">
      <w:r>
        <w:separator/>
      </w:r>
    </w:p>
  </w:endnote>
  <w:endnote w:type="continuationSeparator" w:id="0">
    <w:p w:rsidR="00D629AB" w:rsidRDefault="00D629AB"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E364B6" w:rsidRPr="002D6DD8" w:rsidRDefault="00E364B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0B2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0B2B">
              <w:rPr>
                <w:rFonts w:ascii="Palatino Linotype" w:hAnsi="Palatino Linotype"/>
                <w:bCs/>
                <w:noProof/>
                <w:sz w:val="20"/>
              </w:rPr>
              <w:t>63</w:t>
            </w:r>
            <w:r>
              <w:rPr>
                <w:rFonts w:ascii="Palatino Linotype" w:hAnsi="Palatino Linotype"/>
                <w:bCs/>
                <w:noProof/>
                <w:sz w:val="20"/>
              </w:rPr>
              <w:fldChar w:fldCharType="end"/>
            </w:r>
          </w:p>
        </w:sdtContent>
      </w:sdt>
    </w:sdtContent>
  </w:sdt>
  <w:p w:rsidR="00E364B6" w:rsidRDefault="00E364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B6" w:rsidRPr="000B69FA" w:rsidRDefault="00E364B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0B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0B2B">
      <w:rPr>
        <w:rFonts w:ascii="Palatino Linotype" w:hAnsi="Palatino Linotype"/>
        <w:bCs/>
        <w:noProof/>
        <w:sz w:val="20"/>
      </w:rPr>
      <w:t>63</w:t>
    </w:r>
    <w:r>
      <w:rPr>
        <w:rFonts w:ascii="Palatino Linotype" w:hAnsi="Palatino Linotype"/>
        <w:bCs/>
        <w:noProof/>
        <w:sz w:val="20"/>
      </w:rPr>
      <w:fldChar w:fldCharType="end"/>
    </w:r>
  </w:p>
  <w:p w:rsidR="00E364B6" w:rsidRDefault="00E364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AB" w:rsidRDefault="00D629AB" w:rsidP="003B7751">
      <w:r>
        <w:separator/>
      </w:r>
    </w:p>
  </w:footnote>
  <w:footnote w:type="continuationSeparator" w:id="0">
    <w:p w:rsidR="00D629AB" w:rsidRDefault="00D629AB" w:rsidP="003B7751">
      <w:r>
        <w:continuationSeparator/>
      </w:r>
    </w:p>
  </w:footnote>
  <w:footnote w:id="1">
    <w:p w:rsidR="00E364B6" w:rsidRPr="00F75272" w:rsidRDefault="00E364B6"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E364B6" w:rsidRPr="009C43C2" w:rsidRDefault="00E364B6"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rsidR="00E364B6" w:rsidRPr="009C43C2" w:rsidRDefault="00E364B6"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rsidR="00E364B6" w:rsidRPr="009C43C2" w:rsidRDefault="00E364B6"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E364B6" w:rsidRDefault="00E364B6"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rsidR="00E364B6" w:rsidRDefault="00E364B6" w:rsidP="00EF33AE">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E364B6" w:rsidRDefault="00E364B6" w:rsidP="00EF33AE">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rsidR="00E364B6" w:rsidRDefault="00E364B6" w:rsidP="00EF33AE">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E364B6" w:rsidRDefault="00E364B6" w:rsidP="00EF33A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364B6" w:rsidRDefault="00E364B6" w:rsidP="00EF33AE">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364B6" w:rsidRDefault="00E364B6" w:rsidP="00EF33AE">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rsidR="00E364B6" w:rsidRDefault="00E364B6" w:rsidP="00EF33A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0">
    <w:p w:rsidR="00E364B6" w:rsidRDefault="00E364B6" w:rsidP="00EF33AE">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E364B6" w:rsidRDefault="00E364B6" w:rsidP="00EF33AE">
      <w:pPr>
        <w:pStyle w:val="Textonotapie"/>
        <w:jc w:val="both"/>
        <w:rPr>
          <w:rFonts w:ascii="Palatino Linotype" w:hAnsi="Palatino Linotype"/>
          <w:sz w:val="18"/>
        </w:rPr>
      </w:pPr>
      <w:r>
        <w:rPr>
          <w:rFonts w:ascii="Palatino Linotype" w:hAnsi="Palatino Linotype"/>
          <w:sz w:val="18"/>
        </w:rPr>
        <w:t xml:space="preserve"> (…)</w:t>
      </w:r>
    </w:p>
    <w:p w:rsidR="00E364B6" w:rsidRDefault="00E364B6" w:rsidP="00EF33AE">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B6" w:rsidRDefault="00D629A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E364B6" w:rsidTr="006A04B6">
      <w:trPr>
        <w:trHeight w:val="227"/>
      </w:trPr>
      <w:tc>
        <w:tcPr>
          <w:tcW w:w="2976" w:type="dxa"/>
          <w:vAlign w:val="center"/>
          <w:hideMark/>
        </w:tcPr>
        <w:p w:rsidR="00E364B6" w:rsidRPr="00674A46" w:rsidRDefault="00E364B6"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E364B6" w:rsidRPr="00485ED8" w:rsidRDefault="00E364B6" w:rsidP="002650A0">
          <w:pPr>
            <w:pStyle w:val="Encabezado"/>
            <w:rPr>
              <w:rFonts w:ascii="Palatino Linotype" w:hAnsi="Palatino Linotype"/>
              <w:b/>
              <w:sz w:val="22"/>
              <w:szCs w:val="22"/>
            </w:rPr>
          </w:pPr>
          <w:r w:rsidRPr="008010F6">
            <w:rPr>
              <w:rFonts w:ascii="Palatino Linotype" w:hAnsi="Palatino Linotype" w:cs="Arial"/>
              <w:b/>
              <w:bCs/>
              <w:sz w:val="22"/>
              <w:szCs w:val="22"/>
              <w:lang w:eastAsia="es-MX"/>
            </w:rPr>
            <w:t>16088/INFOEM/IP/RR/2022</w:t>
          </w:r>
          <w:r>
            <w:rPr>
              <w:rFonts w:ascii="Palatino Linotype" w:hAnsi="Palatino Linotype" w:cs="Arial"/>
              <w:b/>
              <w:bCs/>
              <w:sz w:val="22"/>
              <w:szCs w:val="22"/>
              <w:lang w:eastAsia="es-MX"/>
            </w:rPr>
            <w:t xml:space="preserve"> y acumulados</w:t>
          </w:r>
        </w:p>
      </w:tc>
    </w:tr>
    <w:tr w:rsidR="00E364B6" w:rsidTr="006A04B6">
      <w:trPr>
        <w:trHeight w:val="242"/>
      </w:trPr>
      <w:tc>
        <w:tcPr>
          <w:tcW w:w="2976" w:type="dxa"/>
          <w:vAlign w:val="center"/>
          <w:hideMark/>
        </w:tcPr>
        <w:p w:rsidR="00E364B6" w:rsidRPr="00674A46" w:rsidRDefault="00E364B6"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E364B6" w:rsidRPr="00485ED8" w:rsidRDefault="00E364B6" w:rsidP="009F09BC">
          <w:pPr>
            <w:pStyle w:val="Encabezado"/>
            <w:jc w:val="both"/>
            <w:rPr>
              <w:rFonts w:ascii="Palatino Linotype" w:hAnsi="Palatino Linotype"/>
              <w:b/>
              <w:sz w:val="22"/>
              <w:szCs w:val="22"/>
            </w:rPr>
          </w:pPr>
          <w:r w:rsidRPr="008010F6">
            <w:rPr>
              <w:rFonts w:ascii="Palatino Linotype" w:hAnsi="Palatino Linotype"/>
              <w:b/>
              <w:bCs/>
              <w:color w:val="000000"/>
              <w:sz w:val="22"/>
              <w:szCs w:val="22"/>
            </w:rPr>
            <w:t>Sistema Municipal Para el Desarrollo Integral de la Familia de la Paz</w:t>
          </w:r>
        </w:p>
      </w:tc>
    </w:tr>
    <w:tr w:rsidR="00E364B6" w:rsidTr="006A04B6">
      <w:trPr>
        <w:trHeight w:val="342"/>
      </w:trPr>
      <w:tc>
        <w:tcPr>
          <w:tcW w:w="2976" w:type="dxa"/>
          <w:vAlign w:val="center"/>
          <w:hideMark/>
        </w:tcPr>
        <w:p w:rsidR="00E364B6" w:rsidRPr="00674A46" w:rsidRDefault="00E364B6"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E364B6" w:rsidRPr="00485ED8" w:rsidRDefault="00E364B6"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E364B6" w:rsidRPr="00AE046A" w:rsidRDefault="00D629AB"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E364B6" w:rsidTr="006A04B6">
      <w:trPr>
        <w:trHeight w:val="227"/>
      </w:trPr>
      <w:tc>
        <w:tcPr>
          <w:tcW w:w="2977" w:type="dxa"/>
          <w:vAlign w:val="center"/>
          <w:hideMark/>
        </w:tcPr>
        <w:p w:rsidR="00E364B6" w:rsidRPr="00674A46" w:rsidRDefault="00E364B6"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E364B6" w:rsidRPr="00485ED8" w:rsidRDefault="00E364B6" w:rsidP="0069487D">
          <w:pPr>
            <w:pStyle w:val="Encabezado"/>
            <w:rPr>
              <w:rFonts w:ascii="Palatino Linotype" w:hAnsi="Palatino Linotype"/>
              <w:b/>
              <w:sz w:val="22"/>
              <w:szCs w:val="22"/>
            </w:rPr>
          </w:pPr>
          <w:r w:rsidRPr="008010F6">
            <w:rPr>
              <w:rFonts w:ascii="Palatino Linotype" w:hAnsi="Palatino Linotype" w:cs="Arial"/>
              <w:b/>
              <w:bCs/>
              <w:sz w:val="22"/>
              <w:szCs w:val="22"/>
              <w:lang w:eastAsia="es-MX"/>
            </w:rPr>
            <w:t>16088/INFOEM/IP/RR/2022</w:t>
          </w:r>
          <w:r>
            <w:rPr>
              <w:rFonts w:ascii="Palatino Linotype" w:hAnsi="Palatino Linotype" w:cs="Arial"/>
              <w:b/>
              <w:bCs/>
              <w:sz w:val="22"/>
              <w:szCs w:val="22"/>
              <w:lang w:eastAsia="es-MX"/>
            </w:rPr>
            <w:t xml:space="preserve"> y acumulados</w:t>
          </w:r>
        </w:p>
      </w:tc>
    </w:tr>
    <w:tr w:rsidR="00E364B6" w:rsidTr="006A04B6">
      <w:trPr>
        <w:trHeight w:val="242"/>
      </w:trPr>
      <w:tc>
        <w:tcPr>
          <w:tcW w:w="2977" w:type="dxa"/>
          <w:vAlign w:val="center"/>
          <w:hideMark/>
        </w:tcPr>
        <w:p w:rsidR="00E364B6" w:rsidRPr="00674A46" w:rsidRDefault="00E364B6"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E364B6" w:rsidRPr="00B75F20" w:rsidRDefault="00E364B6" w:rsidP="009F09BC">
          <w:pPr>
            <w:pStyle w:val="Encabezado"/>
            <w:tabs>
              <w:tab w:val="left" w:pos="521"/>
            </w:tabs>
            <w:rPr>
              <w:rFonts w:ascii="Palatino Linotype" w:hAnsi="Palatino Linotype"/>
              <w:b/>
              <w:sz w:val="22"/>
              <w:szCs w:val="22"/>
            </w:rPr>
          </w:pPr>
          <w:r w:rsidRPr="008010F6">
            <w:rPr>
              <w:rFonts w:ascii="Palatino Linotype" w:hAnsi="Palatino Linotype"/>
              <w:b/>
              <w:color w:val="FF0000"/>
              <w:sz w:val="22"/>
              <w:szCs w:val="22"/>
            </w:rPr>
            <w:t>No dio información</w:t>
          </w:r>
        </w:p>
      </w:tc>
    </w:tr>
    <w:tr w:rsidR="00E364B6" w:rsidTr="006A04B6">
      <w:trPr>
        <w:trHeight w:val="342"/>
      </w:trPr>
      <w:tc>
        <w:tcPr>
          <w:tcW w:w="2977" w:type="dxa"/>
          <w:vAlign w:val="center"/>
        </w:tcPr>
        <w:p w:rsidR="00E364B6" w:rsidRPr="00674A46" w:rsidRDefault="00E364B6"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E364B6" w:rsidRPr="00674A46" w:rsidRDefault="00E364B6" w:rsidP="009F09BC">
          <w:pPr>
            <w:pStyle w:val="Encabezado"/>
            <w:jc w:val="both"/>
            <w:rPr>
              <w:rFonts w:ascii="Palatino Linotype" w:hAnsi="Palatino Linotype"/>
              <w:b/>
              <w:sz w:val="22"/>
              <w:szCs w:val="22"/>
            </w:rPr>
          </w:pPr>
          <w:r w:rsidRPr="008010F6">
            <w:rPr>
              <w:rFonts w:ascii="Palatino Linotype" w:hAnsi="Palatino Linotype"/>
              <w:b/>
              <w:bCs/>
              <w:color w:val="000000"/>
              <w:sz w:val="22"/>
              <w:szCs w:val="22"/>
            </w:rPr>
            <w:t>Sistema Municipal Para el Desarrollo Integral de la Familia de la Paz</w:t>
          </w:r>
        </w:p>
      </w:tc>
    </w:tr>
    <w:tr w:rsidR="00E364B6" w:rsidTr="006A04B6">
      <w:trPr>
        <w:trHeight w:val="342"/>
      </w:trPr>
      <w:tc>
        <w:tcPr>
          <w:tcW w:w="2977" w:type="dxa"/>
          <w:vAlign w:val="center"/>
        </w:tcPr>
        <w:p w:rsidR="00E364B6" w:rsidRPr="00674A46" w:rsidRDefault="00E364B6"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E364B6" w:rsidRPr="00674A46" w:rsidRDefault="00E364B6"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E364B6" w:rsidRPr="00C222C0" w:rsidRDefault="00D629AB">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6"/>
  </w:num>
  <w:num w:numId="3">
    <w:abstractNumId w:val="0"/>
  </w:num>
  <w:num w:numId="4">
    <w:abstractNumId w:val="15"/>
  </w:num>
  <w:num w:numId="5">
    <w:abstractNumId w:val="12"/>
  </w:num>
  <w:num w:numId="6">
    <w:abstractNumId w:val="17"/>
  </w:num>
  <w:num w:numId="7">
    <w:abstractNumId w:val="11"/>
  </w:num>
  <w:num w:numId="8">
    <w:abstractNumId w:val="1"/>
  </w:num>
  <w:num w:numId="9">
    <w:abstractNumId w:val="10"/>
  </w:num>
  <w:num w:numId="10">
    <w:abstractNumId w:val="8"/>
  </w:num>
  <w:num w:numId="11">
    <w:abstractNumId w:val="7"/>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07B66"/>
    <w:rsid w:val="00010C43"/>
    <w:rsid w:val="0001674C"/>
    <w:rsid w:val="00020780"/>
    <w:rsid w:val="000219E6"/>
    <w:rsid w:val="00025C53"/>
    <w:rsid w:val="00030FBC"/>
    <w:rsid w:val="000373F6"/>
    <w:rsid w:val="000504E5"/>
    <w:rsid w:val="00051287"/>
    <w:rsid w:val="00053FB7"/>
    <w:rsid w:val="0008243D"/>
    <w:rsid w:val="00090954"/>
    <w:rsid w:val="000A1DA0"/>
    <w:rsid w:val="000A286E"/>
    <w:rsid w:val="000A6153"/>
    <w:rsid w:val="000E0A54"/>
    <w:rsid w:val="000E1A02"/>
    <w:rsid w:val="000E4891"/>
    <w:rsid w:val="00114502"/>
    <w:rsid w:val="001310C6"/>
    <w:rsid w:val="001352F5"/>
    <w:rsid w:val="00155019"/>
    <w:rsid w:val="00182C3C"/>
    <w:rsid w:val="00190A91"/>
    <w:rsid w:val="00195954"/>
    <w:rsid w:val="001A18E7"/>
    <w:rsid w:val="001C1F09"/>
    <w:rsid w:val="001C341B"/>
    <w:rsid w:val="001C4290"/>
    <w:rsid w:val="001C4F09"/>
    <w:rsid w:val="001D23C1"/>
    <w:rsid w:val="001D373F"/>
    <w:rsid w:val="001D5404"/>
    <w:rsid w:val="001D630C"/>
    <w:rsid w:val="001E755B"/>
    <w:rsid w:val="00223C06"/>
    <w:rsid w:val="00237FA4"/>
    <w:rsid w:val="002649F6"/>
    <w:rsid w:val="00264C9A"/>
    <w:rsid w:val="002650A0"/>
    <w:rsid w:val="00266EC4"/>
    <w:rsid w:val="00267A08"/>
    <w:rsid w:val="00272CA2"/>
    <w:rsid w:val="00277FAC"/>
    <w:rsid w:val="002901F4"/>
    <w:rsid w:val="00291500"/>
    <w:rsid w:val="002A3B71"/>
    <w:rsid w:val="002A3F92"/>
    <w:rsid w:val="002B59F0"/>
    <w:rsid w:val="002C0D3C"/>
    <w:rsid w:val="002C4997"/>
    <w:rsid w:val="002C66AD"/>
    <w:rsid w:val="002C77D6"/>
    <w:rsid w:val="002D294C"/>
    <w:rsid w:val="0030094A"/>
    <w:rsid w:val="00312281"/>
    <w:rsid w:val="00323FFD"/>
    <w:rsid w:val="00342501"/>
    <w:rsid w:val="003437D9"/>
    <w:rsid w:val="00353F1D"/>
    <w:rsid w:val="0037157C"/>
    <w:rsid w:val="003833B3"/>
    <w:rsid w:val="003933C4"/>
    <w:rsid w:val="003A15C8"/>
    <w:rsid w:val="003A668E"/>
    <w:rsid w:val="003A6852"/>
    <w:rsid w:val="003B7751"/>
    <w:rsid w:val="003C13F1"/>
    <w:rsid w:val="003C6804"/>
    <w:rsid w:val="003D6B14"/>
    <w:rsid w:val="003E66D2"/>
    <w:rsid w:val="00403D64"/>
    <w:rsid w:val="00407FDA"/>
    <w:rsid w:val="004118FA"/>
    <w:rsid w:val="004128A8"/>
    <w:rsid w:val="00425842"/>
    <w:rsid w:val="00426227"/>
    <w:rsid w:val="00427038"/>
    <w:rsid w:val="00437672"/>
    <w:rsid w:val="004461CD"/>
    <w:rsid w:val="00456048"/>
    <w:rsid w:val="00456CFF"/>
    <w:rsid w:val="00472C8E"/>
    <w:rsid w:val="00480CB7"/>
    <w:rsid w:val="004E17FA"/>
    <w:rsid w:val="004E4EE6"/>
    <w:rsid w:val="004E6CE4"/>
    <w:rsid w:val="004F094F"/>
    <w:rsid w:val="004F34D1"/>
    <w:rsid w:val="00500BD7"/>
    <w:rsid w:val="00507B30"/>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049A"/>
    <w:rsid w:val="005D2F1C"/>
    <w:rsid w:val="005D4C57"/>
    <w:rsid w:val="005D7F75"/>
    <w:rsid w:val="005E342B"/>
    <w:rsid w:val="00612BED"/>
    <w:rsid w:val="006132F8"/>
    <w:rsid w:val="0062406B"/>
    <w:rsid w:val="00647F7C"/>
    <w:rsid w:val="00657639"/>
    <w:rsid w:val="006672E1"/>
    <w:rsid w:val="00680C93"/>
    <w:rsid w:val="0069487D"/>
    <w:rsid w:val="006A04B6"/>
    <w:rsid w:val="006A5CB8"/>
    <w:rsid w:val="006A6390"/>
    <w:rsid w:val="006C3BA9"/>
    <w:rsid w:val="006D15D0"/>
    <w:rsid w:val="006D2F3F"/>
    <w:rsid w:val="006D6CC1"/>
    <w:rsid w:val="006D744D"/>
    <w:rsid w:val="006E7397"/>
    <w:rsid w:val="006E7C94"/>
    <w:rsid w:val="00701315"/>
    <w:rsid w:val="00711062"/>
    <w:rsid w:val="007142AB"/>
    <w:rsid w:val="007142D6"/>
    <w:rsid w:val="00716BCA"/>
    <w:rsid w:val="00720371"/>
    <w:rsid w:val="007249DB"/>
    <w:rsid w:val="0074110E"/>
    <w:rsid w:val="00742823"/>
    <w:rsid w:val="00754BB3"/>
    <w:rsid w:val="00775EB2"/>
    <w:rsid w:val="00780B2B"/>
    <w:rsid w:val="00782A12"/>
    <w:rsid w:val="007851DB"/>
    <w:rsid w:val="00792D6A"/>
    <w:rsid w:val="007A460E"/>
    <w:rsid w:val="007A6A1A"/>
    <w:rsid w:val="007E56E1"/>
    <w:rsid w:val="007F2F6F"/>
    <w:rsid w:val="008010F6"/>
    <w:rsid w:val="00804DAA"/>
    <w:rsid w:val="00807626"/>
    <w:rsid w:val="00812FB4"/>
    <w:rsid w:val="0082142B"/>
    <w:rsid w:val="008227A9"/>
    <w:rsid w:val="0084594C"/>
    <w:rsid w:val="008526F4"/>
    <w:rsid w:val="008563C8"/>
    <w:rsid w:val="008573BF"/>
    <w:rsid w:val="0086792A"/>
    <w:rsid w:val="00873EB6"/>
    <w:rsid w:val="00883DE4"/>
    <w:rsid w:val="008A06F8"/>
    <w:rsid w:val="008A699B"/>
    <w:rsid w:val="008B0637"/>
    <w:rsid w:val="008C1ED7"/>
    <w:rsid w:val="008E12E3"/>
    <w:rsid w:val="008E330F"/>
    <w:rsid w:val="008E6574"/>
    <w:rsid w:val="008F6D18"/>
    <w:rsid w:val="008F749A"/>
    <w:rsid w:val="00906BB0"/>
    <w:rsid w:val="00911A75"/>
    <w:rsid w:val="009126F1"/>
    <w:rsid w:val="00920CB4"/>
    <w:rsid w:val="009335F9"/>
    <w:rsid w:val="00945135"/>
    <w:rsid w:val="009506C9"/>
    <w:rsid w:val="0095341F"/>
    <w:rsid w:val="00957E2D"/>
    <w:rsid w:val="009972BB"/>
    <w:rsid w:val="009A2251"/>
    <w:rsid w:val="009B2AC6"/>
    <w:rsid w:val="009D0241"/>
    <w:rsid w:val="009D5A32"/>
    <w:rsid w:val="009D5B88"/>
    <w:rsid w:val="009F09BC"/>
    <w:rsid w:val="009F453B"/>
    <w:rsid w:val="00A02E71"/>
    <w:rsid w:val="00A23E82"/>
    <w:rsid w:val="00A30291"/>
    <w:rsid w:val="00A429D6"/>
    <w:rsid w:val="00A626EB"/>
    <w:rsid w:val="00AD316E"/>
    <w:rsid w:val="00AD63B4"/>
    <w:rsid w:val="00AF4BBC"/>
    <w:rsid w:val="00AF62C8"/>
    <w:rsid w:val="00B04B63"/>
    <w:rsid w:val="00B07BF8"/>
    <w:rsid w:val="00B11CDD"/>
    <w:rsid w:val="00B5225F"/>
    <w:rsid w:val="00B530E8"/>
    <w:rsid w:val="00B709AF"/>
    <w:rsid w:val="00B86242"/>
    <w:rsid w:val="00BB5D7F"/>
    <w:rsid w:val="00BC7255"/>
    <w:rsid w:val="00BD475D"/>
    <w:rsid w:val="00BF07B4"/>
    <w:rsid w:val="00BF3FB5"/>
    <w:rsid w:val="00C03BA3"/>
    <w:rsid w:val="00C0715F"/>
    <w:rsid w:val="00C105CC"/>
    <w:rsid w:val="00C1074F"/>
    <w:rsid w:val="00C14F2A"/>
    <w:rsid w:val="00C21FAE"/>
    <w:rsid w:val="00C242A7"/>
    <w:rsid w:val="00C35712"/>
    <w:rsid w:val="00C41B2B"/>
    <w:rsid w:val="00C47C3D"/>
    <w:rsid w:val="00C54D99"/>
    <w:rsid w:val="00C651DA"/>
    <w:rsid w:val="00C85059"/>
    <w:rsid w:val="00C85E64"/>
    <w:rsid w:val="00C87396"/>
    <w:rsid w:val="00C90814"/>
    <w:rsid w:val="00C91BCE"/>
    <w:rsid w:val="00C91F0F"/>
    <w:rsid w:val="00CA1063"/>
    <w:rsid w:val="00CB757D"/>
    <w:rsid w:val="00CC5B2F"/>
    <w:rsid w:val="00CE7B83"/>
    <w:rsid w:val="00CF0D2B"/>
    <w:rsid w:val="00D021A5"/>
    <w:rsid w:val="00D0226D"/>
    <w:rsid w:val="00D16FC7"/>
    <w:rsid w:val="00D24F8C"/>
    <w:rsid w:val="00D46375"/>
    <w:rsid w:val="00D47231"/>
    <w:rsid w:val="00D50382"/>
    <w:rsid w:val="00D6224B"/>
    <w:rsid w:val="00D629AB"/>
    <w:rsid w:val="00D81329"/>
    <w:rsid w:val="00D90F91"/>
    <w:rsid w:val="00D96104"/>
    <w:rsid w:val="00DA6D37"/>
    <w:rsid w:val="00DB753F"/>
    <w:rsid w:val="00DD7914"/>
    <w:rsid w:val="00DE2F5A"/>
    <w:rsid w:val="00DF03A5"/>
    <w:rsid w:val="00E118BA"/>
    <w:rsid w:val="00E17429"/>
    <w:rsid w:val="00E364B6"/>
    <w:rsid w:val="00E55966"/>
    <w:rsid w:val="00E56172"/>
    <w:rsid w:val="00E5636B"/>
    <w:rsid w:val="00E566C9"/>
    <w:rsid w:val="00E61C13"/>
    <w:rsid w:val="00E61DA9"/>
    <w:rsid w:val="00E77284"/>
    <w:rsid w:val="00E80491"/>
    <w:rsid w:val="00E92E04"/>
    <w:rsid w:val="00EA660A"/>
    <w:rsid w:val="00ED1392"/>
    <w:rsid w:val="00ED1D6B"/>
    <w:rsid w:val="00ED3A35"/>
    <w:rsid w:val="00ED6E75"/>
    <w:rsid w:val="00EF0A0B"/>
    <w:rsid w:val="00EF33AE"/>
    <w:rsid w:val="00F12DA9"/>
    <w:rsid w:val="00F14830"/>
    <w:rsid w:val="00F15A1C"/>
    <w:rsid w:val="00F24A04"/>
    <w:rsid w:val="00F27CBE"/>
    <w:rsid w:val="00F30761"/>
    <w:rsid w:val="00F347DB"/>
    <w:rsid w:val="00F35B0C"/>
    <w:rsid w:val="00F42ADB"/>
    <w:rsid w:val="00F52D0F"/>
    <w:rsid w:val="00F72588"/>
    <w:rsid w:val="00F7371C"/>
    <w:rsid w:val="00F946B5"/>
    <w:rsid w:val="00F95AFE"/>
    <w:rsid w:val="00FB6D42"/>
    <w:rsid w:val="00FD2FA4"/>
    <w:rsid w:val="00FE3FBE"/>
    <w:rsid w:val="00FE6761"/>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D6EE-0E7B-4B20-B650-EFF18B75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63</Pages>
  <Words>11571</Words>
  <Characters>63646</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8</cp:revision>
  <dcterms:created xsi:type="dcterms:W3CDTF">2022-11-24T03:51:00Z</dcterms:created>
  <dcterms:modified xsi:type="dcterms:W3CDTF">2022-12-12T20:48:00Z</dcterms:modified>
</cp:coreProperties>
</file>