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C0FC5" w:rsidR="00C853D1" w:rsidP="0046100E" w:rsidRDefault="00C853D1" w14:paraId="1DF6BBF6" w14:textId="6B9FAFB7">
      <w:pPr>
        <w:spacing w:after="0" w:line="360" w:lineRule="auto"/>
        <w:rPr>
          <w:rFonts w:eastAsia="Times New Roman" w:cs="Tahoma"/>
          <w:bCs/>
          <w:color w:val="auto"/>
          <w:lang w:eastAsia="es-ES"/>
        </w:rPr>
      </w:pPr>
      <w:r w:rsidRPr="000C0FC5">
        <w:rPr>
          <w:rFonts w:eastAsia="Calibri" w:cs="Tahoma"/>
          <w:bCs/>
          <w:color w:val="000000"/>
        </w:rPr>
        <w:t xml:space="preserve">Resolución del Pleno del Instituto de Transparencia, Acceso a la Información Pública y </w:t>
      </w:r>
      <w:r w:rsidRPr="000C0FC5">
        <w:rPr>
          <w:rFonts w:eastAsia="Times New Roman" w:cs="Tahoma"/>
          <w:bCs/>
          <w:color w:val="auto"/>
          <w:lang w:eastAsia="es-ES"/>
        </w:rPr>
        <w:t xml:space="preserve">Protección de Datos Personales del Estado de México y Municipios, con domicilio en Metepec, Estado de México, de fecha </w:t>
      </w:r>
      <w:r w:rsidR="00D3360D">
        <w:rPr>
          <w:rFonts w:eastAsia="Times New Roman" w:cs="Tahoma"/>
          <w:bCs/>
          <w:color w:val="auto"/>
          <w:lang w:eastAsia="es-ES"/>
        </w:rPr>
        <w:t>siete</w:t>
      </w:r>
      <w:r w:rsidR="000D5EB2">
        <w:rPr>
          <w:rFonts w:eastAsia="Times New Roman" w:cs="Tahoma"/>
          <w:bCs/>
          <w:color w:val="auto"/>
          <w:lang w:eastAsia="es-ES"/>
        </w:rPr>
        <w:t xml:space="preserve"> de abril</w:t>
      </w:r>
      <w:r w:rsidRPr="000C0FC5" w:rsidR="00980135">
        <w:rPr>
          <w:rFonts w:eastAsia="Times New Roman" w:cs="Tahoma"/>
          <w:bCs/>
          <w:color w:val="auto"/>
          <w:lang w:eastAsia="es-ES"/>
        </w:rPr>
        <w:t xml:space="preserve"> de dos mil veintidós. </w:t>
      </w:r>
      <w:r w:rsidRPr="000C0FC5">
        <w:rPr>
          <w:rFonts w:eastAsia="Times New Roman" w:cs="Tahoma"/>
          <w:bCs/>
          <w:color w:val="auto"/>
          <w:lang w:eastAsia="es-ES"/>
        </w:rPr>
        <w:t xml:space="preserve"> </w:t>
      </w:r>
    </w:p>
    <w:p w:rsidRPr="000C0FC5" w:rsidR="00C853D1" w:rsidP="0046100E" w:rsidRDefault="00C853D1" w14:paraId="1D95A1A3" w14:textId="77777777">
      <w:pPr>
        <w:tabs>
          <w:tab w:val="left" w:pos="2839"/>
        </w:tabs>
        <w:spacing w:after="0" w:line="360" w:lineRule="auto"/>
        <w:rPr>
          <w:rFonts w:eastAsia="Times New Roman" w:cs="Tahoma"/>
          <w:bCs/>
          <w:color w:val="auto"/>
          <w:lang w:eastAsia="es-ES"/>
        </w:rPr>
      </w:pPr>
    </w:p>
    <w:p w:rsidRPr="000C0FC5" w:rsidR="00C853D1" w:rsidP="0046100E" w:rsidRDefault="00C853D1" w14:paraId="1066B8D1" w14:textId="49A2F2A5">
      <w:pPr>
        <w:spacing w:after="0" w:line="360" w:lineRule="auto"/>
        <w:rPr>
          <w:rFonts w:eastAsia="Calibri" w:cs="Tahoma"/>
          <w:color w:val="0D0D0D"/>
        </w:rPr>
      </w:pPr>
      <w:r w:rsidRPr="1B73EA52" w:rsidR="1B73EA52">
        <w:rPr>
          <w:rFonts w:eastAsia="Times New Roman" w:cs="Tahoma"/>
          <w:b w:val="1"/>
          <w:bCs w:val="1"/>
          <w:color w:val="auto"/>
          <w:lang w:eastAsia="es-ES"/>
        </w:rPr>
        <w:t>VISTO</w:t>
      </w:r>
      <w:r w:rsidRPr="1B73EA52" w:rsidR="1B73EA52">
        <w:rPr>
          <w:rFonts w:eastAsia="Calibri" w:cs="Tahoma"/>
          <w:color w:val="0D0D0D" w:themeColor="text1" w:themeTint="F2" w:themeShade="FF"/>
        </w:rPr>
        <w:t xml:space="preserve"> el expediente conformado con motivo del Recurso de Revisión </w:t>
      </w:r>
      <w:r w:rsidRPr="1B73EA52" w:rsidR="1B73EA52">
        <w:rPr>
          <w:rFonts w:eastAsia="Calibri" w:cs="Tahoma"/>
          <w:color w:val="000000" w:themeColor="text1" w:themeTint="FF" w:themeShade="FF"/>
        </w:rPr>
        <w:t xml:space="preserve">00326/INFOEM/IP/RR/2022, interpuesto por </w:t>
      </w:r>
      <w:r w:rsidRPr="1B73EA52" w:rsidR="1B73EA52">
        <w:rPr>
          <w:rFonts w:eastAsia="Calibri" w:cs="Tahoma"/>
          <w:color w:val="000000" w:themeColor="text1" w:themeTint="FF" w:themeShade="FF"/>
          <w:highlight w:val="black"/>
        </w:rPr>
        <w:t>XXXXXXXXXXX</w:t>
      </w:r>
      <w:r w:rsidRPr="1B73EA52" w:rsidR="1B73EA52">
        <w:rPr>
          <w:rFonts w:eastAsia="Calibri" w:cs="Tahoma"/>
          <w:color w:val="000000" w:themeColor="text1" w:themeTint="FF" w:themeShade="FF"/>
        </w:rPr>
        <w:t xml:space="preserve">, en lo sucesivo, el </w:t>
      </w:r>
      <w:r w:rsidRPr="1B73EA52" w:rsidR="1B73EA52">
        <w:rPr>
          <w:rFonts w:eastAsia="Calibri" w:cs="Tahoma"/>
          <w:color w:val="0D0D0D" w:themeColor="text1" w:themeTint="F2" w:themeShade="FF"/>
        </w:rPr>
        <w:t>Recurrente o Particular, en contra de la respuesta del Sujeto Obligado,</w:t>
      </w:r>
      <w:r w:rsidRPr="1B73EA52" w:rsidR="1B73EA52">
        <w:rPr>
          <w:rFonts w:eastAsia="Calibri" w:cs="Tahoma"/>
          <w:color w:val="000000" w:themeColor="text1" w:themeTint="FF" w:themeShade="FF"/>
        </w:rPr>
        <w:t xml:space="preserve"> Ayuntamiento de Metepec, a la solicitud de acceso a la información 00706/METEPEC/IP/2021, se emite la presente Resolución, con base en los Antecedentes y Considerandos que se exponen a continuación:</w:t>
      </w:r>
    </w:p>
    <w:p w:rsidRPr="000C0FC5" w:rsidR="00C853D1" w:rsidP="0046100E" w:rsidRDefault="00C853D1" w14:paraId="4FCCF228" w14:textId="77777777">
      <w:pPr>
        <w:spacing w:after="0" w:line="360" w:lineRule="auto"/>
        <w:rPr>
          <w:rFonts w:eastAsia="Calibri" w:cs="Tahoma"/>
          <w:color w:val="000000"/>
        </w:rPr>
      </w:pPr>
    </w:p>
    <w:p w:rsidRPr="000C0FC5" w:rsidR="00C853D1" w:rsidP="0046100E" w:rsidRDefault="00C853D1" w14:paraId="0472C645" w14:textId="77777777">
      <w:pPr>
        <w:tabs>
          <w:tab w:val="center" w:pos="4522"/>
          <w:tab w:val="left" w:pos="7245"/>
        </w:tabs>
        <w:spacing w:after="0" w:line="360" w:lineRule="auto"/>
        <w:jc w:val="center"/>
        <w:rPr>
          <w:rFonts w:eastAsia="Calibri" w:cs="Tahoma"/>
          <w:b/>
          <w:color w:val="000000"/>
        </w:rPr>
      </w:pPr>
      <w:r w:rsidRPr="000C0FC5">
        <w:rPr>
          <w:rFonts w:eastAsia="Calibri" w:cs="Tahoma"/>
          <w:b/>
          <w:color w:val="000000"/>
        </w:rPr>
        <w:t>A N T E C E D E N T E S:</w:t>
      </w:r>
    </w:p>
    <w:p w:rsidRPr="000C0FC5" w:rsidR="00C853D1" w:rsidP="0046100E" w:rsidRDefault="00C853D1" w14:paraId="422D0175" w14:textId="77777777">
      <w:pPr>
        <w:spacing w:after="0" w:line="360" w:lineRule="auto"/>
      </w:pPr>
    </w:p>
    <w:p w:rsidRPr="000C0FC5" w:rsidR="00C853D1" w:rsidP="0046100E" w:rsidRDefault="00C853D1" w14:paraId="539DCEC7" w14:textId="77777777">
      <w:pPr>
        <w:tabs>
          <w:tab w:val="left" w:pos="567"/>
        </w:tabs>
        <w:spacing w:after="0" w:line="360" w:lineRule="auto"/>
        <w:rPr>
          <w:rFonts w:eastAsia="Times New Roman" w:cs="Tahoma"/>
          <w:b/>
          <w:color w:val="auto"/>
          <w:lang w:eastAsia="es-ES"/>
        </w:rPr>
      </w:pPr>
      <w:r w:rsidRPr="000C0FC5">
        <w:rPr>
          <w:rFonts w:eastAsia="Times New Roman" w:cs="Tahoma"/>
          <w:b/>
          <w:color w:val="auto"/>
          <w:lang w:eastAsia="es-ES"/>
        </w:rPr>
        <w:t>I. Presentación de la solicitud de información:</w:t>
      </w:r>
    </w:p>
    <w:p w:rsidR="00495F0C" w:rsidP="0046100E" w:rsidRDefault="00495F0C" w14:paraId="2B169717" w14:textId="77777777">
      <w:pPr>
        <w:spacing w:after="0" w:line="360" w:lineRule="auto"/>
        <w:rPr>
          <w:rFonts w:eastAsia="Times New Roman" w:cs="Tahoma"/>
          <w:color w:val="auto"/>
          <w:lang w:eastAsia="es-ES"/>
        </w:rPr>
      </w:pPr>
    </w:p>
    <w:p w:rsidRPr="000C0FC5" w:rsidR="00C853D1" w:rsidP="0046100E" w:rsidRDefault="00C853D1" w14:paraId="2A44F672" w14:textId="74819AA5">
      <w:pPr>
        <w:spacing w:after="0" w:line="360" w:lineRule="auto"/>
        <w:rPr>
          <w:rFonts w:eastAsia="Times New Roman" w:cs="Tahoma"/>
          <w:color w:val="auto"/>
          <w:lang w:eastAsia="es-ES"/>
        </w:rPr>
      </w:pPr>
      <w:r w:rsidRPr="000C0FC5">
        <w:rPr>
          <w:rFonts w:eastAsia="Times New Roman" w:cs="Tahoma"/>
          <w:color w:val="auto"/>
          <w:lang w:eastAsia="es-ES"/>
        </w:rPr>
        <w:t xml:space="preserve">Con fecha </w:t>
      </w:r>
      <w:r w:rsidRPr="000C0FC5" w:rsidR="00FC592A">
        <w:rPr>
          <w:rFonts w:eastAsia="Times New Roman" w:cs="Tahoma"/>
          <w:color w:val="auto"/>
          <w:lang w:eastAsia="es-ES"/>
        </w:rPr>
        <w:t>veintiséis de noviembre</w:t>
      </w:r>
      <w:r w:rsidRPr="000C0FC5" w:rsidR="00BC2DAE">
        <w:rPr>
          <w:rFonts w:eastAsia="Times New Roman" w:cs="Tahoma"/>
          <w:color w:val="auto"/>
          <w:lang w:eastAsia="es-ES"/>
        </w:rPr>
        <w:t xml:space="preserve"> de dos mil veintiuno</w:t>
      </w:r>
      <w:r w:rsidRPr="000C0FC5">
        <w:rPr>
          <w:rFonts w:eastAsia="Times New Roman" w:cs="Tahoma"/>
          <w:color w:val="auto"/>
          <w:lang w:eastAsia="es-ES"/>
        </w:rPr>
        <w:t xml:space="preserve">, el Particular presentó una solicitud de acceso a la información pública, a través del Sistema de Acceso a la Información Mexiquense (SAIMEX), ante el </w:t>
      </w:r>
      <w:r w:rsidRPr="000C0FC5" w:rsidR="00050633">
        <w:rPr>
          <w:rFonts w:eastAsia="Calibri" w:cs="Tahoma"/>
        </w:rPr>
        <w:t>Ayuntamiento de Metepec</w:t>
      </w:r>
      <w:r w:rsidRPr="000C0FC5">
        <w:rPr>
          <w:rFonts w:eastAsia="Calibri" w:cs="Tahoma"/>
        </w:rPr>
        <w:t xml:space="preserve">, en los siguientes términos: </w:t>
      </w:r>
    </w:p>
    <w:p w:rsidRPr="000C0FC5" w:rsidR="00C853D1" w:rsidP="0046100E" w:rsidRDefault="00C853D1" w14:paraId="32AF4217" w14:textId="77777777">
      <w:pPr>
        <w:spacing w:after="0" w:line="360" w:lineRule="auto"/>
        <w:rPr>
          <w:rFonts w:eastAsia="Calibri" w:cs="Tahoma"/>
        </w:rPr>
      </w:pPr>
    </w:p>
    <w:p w:rsidRPr="000C0FC5" w:rsidR="00C853D1" w:rsidP="0046100E"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0C0FC5">
        <w:rPr>
          <w:rFonts w:eastAsia="Times New Roman" w:cs="Tahoma"/>
          <w:b/>
          <w:i/>
          <w:iCs/>
          <w:color w:val="auto"/>
          <w:sz w:val="20"/>
          <w:szCs w:val="20"/>
          <w:lang w:eastAsia="es-ES"/>
        </w:rPr>
        <w:t>“DESCRIPCIÓN CLARA Y PRECISA DE LA INFORMACIÓN SOLICITADA.</w:t>
      </w:r>
    </w:p>
    <w:p w:rsidRPr="000C0FC5" w:rsidR="00C853D1" w:rsidP="0046100E" w:rsidRDefault="003E3B3E" w14:paraId="47049033" w14:textId="26BF9A2C">
      <w:pPr>
        <w:tabs>
          <w:tab w:val="left" w:pos="4667"/>
        </w:tabs>
        <w:spacing w:after="0" w:line="360" w:lineRule="auto"/>
        <w:ind w:left="567" w:right="567"/>
        <w:rPr>
          <w:rFonts w:eastAsia="Times New Roman" w:cs="Tahoma"/>
          <w:bCs/>
          <w:i/>
          <w:iCs/>
          <w:color w:val="auto"/>
          <w:sz w:val="20"/>
          <w:szCs w:val="20"/>
          <w:lang w:eastAsia="es-ES"/>
        </w:rPr>
      </w:pPr>
      <w:r w:rsidRPr="000C0FC5">
        <w:rPr>
          <w:rFonts w:eastAsia="Times New Roman" w:cs="Tahoma"/>
          <w:bCs/>
          <w:i/>
          <w:iCs/>
          <w:color w:val="auto"/>
          <w:sz w:val="20"/>
          <w:szCs w:val="20"/>
          <w:lang w:eastAsia="es-ES"/>
        </w:rPr>
        <w:t xml:space="preserve">¿Cual es el Estado de Fuerza Operativa de su municipio? entendiéndose como "estado de fuerza operativa" los agentes de policía municipal uniformados "pie tierra" para las labores de seguridad pública, transito y vialidad. Del total del Estado de Fuerza ¿cuantos agentes de policia municipal se encuentran destinados a labores de tránsito y vialidad? (¿Cual es el estado de fuerza para labores de vialidad en el municipio?) ¿cual fue el monto por la percepción por concepto de pago de multas de tránsito en el año 2018? ¿cual es el monto de las multas que no se pagaron en el año 2018? ¿cual fue el monto por la percepción por concepto de pago de multas de tránsito en el año 2019? ¿cual es el monto de las multas que no se pagaron en el año 2019? ¿cual fue el monto por la percepción por concepto de pago de multas de tránsito en el año 2020? ¿cual es el monto de las multas que no se </w:t>
      </w:r>
      <w:r w:rsidRPr="000C0FC5">
        <w:rPr>
          <w:rFonts w:eastAsia="Times New Roman" w:cs="Tahoma"/>
          <w:bCs/>
          <w:i/>
          <w:iCs/>
          <w:color w:val="auto"/>
          <w:sz w:val="20"/>
          <w:szCs w:val="20"/>
          <w:lang w:eastAsia="es-ES"/>
        </w:rPr>
        <w:lastRenderedPageBreak/>
        <w:t>pagaron en el año 2020? ¿cual fue el monto por la percepción por concepto de pago de multas de tránsito en el año 2021? ¿cual es el monto de las multas que no se pagaron en el año 2021?</w:t>
      </w:r>
      <w:r w:rsidRPr="000C0FC5" w:rsidR="00C853D1">
        <w:rPr>
          <w:rFonts w:eastAsia="Times New Roman" w:cs="Tahoma"/>
          <w:bCs/>
          <w:i/>
          <w:iCs/>
          <w:color w:val="auto"/>
          <w:sz w:val="20"/>
          <w:szCs w:val="20"/>
          <w:lang w:eastAsia="es-ES"/>
        </w:rPr>
        <w:t xml:space="preserve">” (Sic) </w:t>
      </w:r>
    </w:p>
    <w:p w:rsidRPr="000C0FC5" w:rsidR="00C853D1" w:rsidP="0046100E"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0C0FC5" w:rsidR="00C853D1" w:rsidP="0046100E"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0C0FC5">
        <w:rPr>
          <w:rFonts w:eastAsia="Times New Roman" w:cs="Tahoma"/>
          <w:b/>
          <w:bCs/>
          <w:i/>
          <w:iCs/>
          <w:color w:val="auto"/>
          <w:sz w:val="20"/>
          <w:lang w:eastAsia="es-ES"/>
        </w:rPr>
        <w:t>“MODALIDAD DE ENTREGA</w:t>
      </w:r>
    </w:p>
    <w:p w:rsidRPr="000C0FC5" w:rsidR="00C853D1" w:rsidP="0046100E" w:rsidRDefault="00C853D1" w14:paraId="59678C94" w14:textId="1E32CB35">
      <w:pPr>
        <w:spacing w:after="0" w:line="360" w:lineRule="auto"/>
        <w:ind w:left="567" w:right="567"/>
        <w:rPr>
          <w:rFonts w:eastAsia="Times New Roman" w:cs="Arial"/>
          <w:bCs/>
          <w:i/>
          <w:iCs/>
          <w:color w:val="auto"/>
          <w:sz w:val="20"/>
          <w:lang w:eastAsia="es-ES"/>
        </w:rPr>
      </w:pPr>
      <w:r w:rsidRPr="000C0FC5">
        <w:rPr>
          <w:rFonts w:eastAsia="Times New Roman" w:cs="Arial"/>
          <w:bCs/>
          <w:i/>
          <w:iCs/>
          <w:color w:val="auto"/>
          <w:sz w:val="20"/>
          <w:lang w:eastAsia="es-ES"/>
        </w:rPr>
        <w:t>A través del SAIMEX”</w:t>
      </w:r>
    </w:p>
    <w:p w:rsidRPr="000C0FC5" w:rsidR="00682222" w:rsidP="0046100E" w:rsidRDefault="00682222" w14:paraId="1DAA8380" w14:textId="77777777">
      <w:pPr>
        <w:spacing w:after="0" w:line="360" w:lineRule="auto"/>
        <w:ind w:left="567" w:right="567"/>
        <w:rPr>
          <w:rFonts w:eastAsia="Times New Roman" w:cs="Arial"/>
          <w:bCs/>
          <w:i/>
          <w:iCs/>
          <w:color w:val="auto"/>
          <w:sz w:val="20"/>
          <w:lang w:eastAsia="es-ES"/>
        </w:rPr>
      </w:pPr>
    </w:p>
    <w:p w:rsidRPr="000C0FC5" w:rsidR="00C853D1" w:rsidP="0046100E" w:rsidRDefault="00C853D1" w14:paraId="7488ED31" w14:textId="77777777">
      <w:pPr>
        <w:autoSpaceDE w:val="0"/>
        <w:autoSpaceDN w:val="0"/>
        <w:adjustRightInd w:val="0"/>
        <w:spacing w:after="0" w:line="360" w:lineRule="auto"/>
        <w:rPr>
          <w:b/>
          <w:bCs/>
        </w:rPr>
      </w:pPr>
      <w:r w:rsidRPr="000C0FC5">
        <w:rPr>
          <w:rFonts w:cs="Tahoma"/>
          <w:b/>
        </w:rPr>
        <w:t>II.</w:t>
      </w:r>
      <w:r w:rsidRPr="000C0FC5">
        <w:rPr>
          <w:b/>
          <w:bCs/>
        </w:rPr>
        <w:t xml:space="preserve"> Respuesta del Sujeto Obligado. </w:t>
      </w:r>
    </w:p>
    <w:p w:rsidRPr="000C0FC5" w:rsidR="00FD59FA" w:rsidP="0046100E" w:rsidRDefault="00FD59FA" w14:paraId="03D34479" w14:textId="77777777">
      <w:pPr>
        <w:spacing w:after="0" w:line="360" w:lineRule="auto"/>
      </w:pPr>
    </w:p>
    <w:p w:rsidRPr="000C0FC5" w:rsidR="00157FF0" w:rsidP="0046100E" w:rsidRDefault="00C853D1" w14:paraId="5E3B3B4F" w14:textId="0150622F">
      <w:pPr>
        <w:spacing w:after="0" w:line="360" w:lineRule="auto"/>
      </w:pPr>
      <w:r w:rsidRPr="000C0FC5">
        <w:t>Con fecha</w:t>
      </w:r>
      <w:r w:rsidRPr="000C0FC5" w:rsidR="00EE0F01">
        <w:t xml:space="preserve"> veinte de diciembre de dos mil veintiuno, el Sujeto Obligado, notificó, a través del Sistema de Acceso a la Información Mexiquense (SAIMEX), la respuesta a la solicitud de acceso a la información pública</w:t>
      </w:r>
      <w:r w:rsidRPr="000C0FC5" w:rsidR="00072880">
        <w:t xml:space="preserve">, a través de los siguientes documentos: </w:t>
      </w:r>
    </w:p>
    <w:p w:rsidRPr="000C0FC5" w:rsidR="00072880" w:rsidP="0046100E" w:rsidRDefault="00072880" w14:paraId="6C26FEBB" w14:textId="77777777">
      <w:pPr>
        <w:spacing w:after="0" w:line="360" w:lineRule="auto"/>
      </w:pPr>
    </w:p>
    <w:p w:rsidRPr="000C0FC5" w:rsidR="00072880" w:rsidP="0046100E" w:rsidRDefault="00072880" w14:paraId="43DBA517" w14:textId="0AF8AB04">
      <w:pPr>
        <w:spacing w:after="0" w:line="360" w:lineRule="auto"/>
      </w:pPr>
      <w:r w:rsidRPr="000C0FC5">
        <w:t>i) Oficio</w:t>
      </w:r>
      <w:r w:rsidR="004B3A49">
        <w:t xml:space="preserve"> número</w:t>
      </w:r>
      <w:r w:rsidRPr="000C0FC5">
        <w:t xml:space="preserve"> </w:t>
      </w:r>
      <w:r w:rsidRPr="000C0FC5" w:rsidR="00D52512">
        <w:t>OF DSP</w:t>
      </w:r>
      <w:r w:rsidR="00BC5298">
        <w:t xml:space="preserve">yT/100173/2021, del </w:t>
      </w:r>
      <w:r w:rsidRPr="000C0FC5" w:rsidR="005F7AAB">
        <w:t xml:space="preserve">tres de diciembre de dos mil veintiuno, suscrito por el Director de Seguridad Pública y Tránsito </w:t>
      </w:r>
      <w:r w:rsidR="00DE24C4">
        <w:t>y dirigido al Jefe de Unidad de Transparenci</w:t>
      </w:r>
      <w:r w:rsidRPr="000C0FC5" w:rsidR="005F7AAB">
        <w:t xml:space="preserve">, el cual es dirigido </w:t>
      </w:r>
      <w:r w:rsidRPr="000C0FC5" w:rsidR="00746A24">
        <w:t xml:space="preserve">al Jefe de la Unidad de Transparencia, por medio del cual manifiesta y expone: </w:t>
      </w:r>
    </w:p>
    <w:p w:rsidRPr="000C0FC5" w:rsidR="00746A24" w:rsidP="0046100E" w:rsidRDefault="00746A24" w14:paraId="3215ECBC" w14:textId="77777777">
      <w:pPr>
        <w:spacing w:after="0" w:line="360" w:lineRule="auto"/>
      </w:pPr>
    </w:p>
    <w:p w:rsidRPr="000C0FC5" w:rsidR="00746A24" w:rsidP="0046100E" w:rsidRDefault="00746A24" w14:paraId="24640081" w14:textId="7BBC5278">
      <w:pPr>
        <w:spacing w:after="0" w:line="360" w:lineRule="auto"/>
        <w:ind w:left="567" w:right="567"/>
        <w:rPr>
          <w:i/>
          <w:iCs/>
          <w:sz w:val="20"/>
          <w:szCs w:val="20"/>
        </w:rPr>
      </w:pPr>
      <w:r w:rsidRPr="000C0FC5">
        <w:rPr>
          <w:i/>
          <w:iCs/>
          <w:sz w:val="20"/>
          <w:szCs w:val="20"/>
        </w:rPr>
        <w:t>“…</w:t>
      </w:r>
    </w:p>
    <w:p w:rsidRPr="000C0FC5" w:rsidR="00746A24" w:rsidP="0046100E" w:rsidRDefault="0062057A" w14:paraId="68D63A4E" w14:textId="25EE675E">
      <w:pPr>
        <w:spacing w:after="0" w:line="360" w:lineRule="auto"/>
        <w:ind w:left="567" w:right="567"/>
        <w:rPr>
          <w:b/>
          <w:bCs/>
          <w:i/>
          <w:iCs/>
          <w:sz w:val="20"/>
          <w:szCs w:val="20"/>
        </w:rPr>
      </w:pPr>
      <w:r w:rsidRPr="000C0FC5">
        <w:rPr>
          <w:i/>
          <w:iCs/>
          <w:sz w:val="20"/>
          <w:szCs w:val="20"/>
        </w:rPr>
        <w:t>Primero. –</w:t>
      </w:r>
      <w:r w:rsidRPr="000C0FC5" w:rsidR="009E33BF">
        <w:rPr>
          <w:i/>
          <w:iCs/>
          <w:sz w:val="20"/>
          <w:szCs w:val="20"/>
        </w:rPr>
        <w:t xml:space="preserve"> </w:t>
      </w:r>
      <w:r w:rsidRPr="000C0FC5">
        <w:rPr>
          <w:i/>
          <w:iCs/>
          <w:sz w:val="20"/>
          <w:szCs w:val="20"/>
        </w:rPr>
        <w:t>En cua</w:t>
      </w:r>
      <w:r w:rsidRPr="000C0FC5" w:rsidR="000A263B">
        <w:rPr>
          <w:i/>
          <w:iCs/>
          <w:sz w:val="20"/>
          <w:szCs w:val="20"/>
        </w:rPr>
        <w:t xml:space="preserve">nto a “¿Cuál Estado de Fuerza Operativa de su municipio? Entiéndase como “estado de fuerza </w:t>
      </w:r>
      <w:r w:rsidRPr="000C0FC5" w:rsidR="00F712C0">
        <w:rPr>
          <w:i/>
          <w:iCs/>
          <w:sz w:val="20"/>
          <w:szCs w:val="20"/>
        </w:rPr>
        <w:t>operativa</w:t>
      </w:r>
      <w:r w:rsidRPr="000C0FC5" w:rsidR="000A263B">
        <w:rPr>
          <w:i/>
          <w:iCs/>
          <w:sz w:val="20"/>
          <w:szCs w:val="20"/>
        </w:rPr>
        <w:t xml:space="preserve">” los agentes de policía municipal uniformados </w:t>
      </w:r>
      <w:r w:rsidRPr="000C0FC5" w:rsidR="00F712C0">
        <w:rPr>
          <w:i/>
          <w:iCs/>
          <w:sz w:val="20"/>
          <w:szCs w:val="20"/>
        </w:rPr>
        <w:t xml:space="preserve">“pie tierra” para las laborades de seguridad pública, transito y vialidad, al respecto le informo que </w:t>
      </w:r>
      <w:r w:rsidRPr="000C0FC5" w:rsidR="00F712C0">
        <w:rPr>
          <w:b/>
          <w:bCs/>
          <w:i/>
          <w:iCs/>
          <w:sz w:val="20"/>
          <w:szCs w:val="20"/>
        </w:rPr>
        <w:t xml:space="preserve">se </w:t>
      </w:r>
      <w:r w:rsidRPr="000C0FC5" w:rsidR="00594D55">
        <w:rPr>
          <w:b/>
          <w:bCs/>
          <w:i/>
          <w:iCs/>
          <w:sz w:val="20"/>
          <w:szCs w:val="20"/>
        </w:rPr>
        <w:t xml:space="preserve">cuenta con un total de operativos. </w:t>
      </w:r>
    </w:p>
    <w:p w:rsidRPr="000C0FC5" w:rsidR="00594D55" w:rsidP="0046100E" w:rsidRDefault="00594D55" w14:paraId="13F20D24" w14:textId="77777777">
      <w:pPr>
        <w:spacing w:after="0" w:line="360" w:lineRule="auto"/>
        <w:ind w:left="567" w:right="567"/>
        <w:rPr>
          <w:i/>
          <w:iCs/>
          <w:sz w:val="20"/>
          <w:szCs w:val="20"/>
        </w:rPr>
      </w:pPr>
    </w:p>
    <w:p w:rsidRPr="000C0FC5" w:rsidR="00594D55" w:rsidP="0046100E" w:rsidRDefault="00594D55" w14:paraId="310F3911" w14:textId="660ED397">
      <w:pPr>
        <w:spacing w:after="0" w:line="360" w:lineRule="auto"/>
        <w:ind w:left="567" w:right="567"/>
        <w:rPr>
          <w:i/>
          <w:iCs/>
          <w:sz w:val="20"/>
          <w:szCs w:val="20"/>
        </w:rPr>
      </w:pPr>
      <w:r w:rsidRPr="000C0FC5">
        <w:rPr>
          <w:i/>
          <w:iCs/>
          <w:sz w:val="20"/>
          <w:szCs w:val="20"/>
        </w:rPr>
        <w:t xml:space="preserve">Segundo. – En cuanto a los demás rubros, esta dirección no es competente para emitir la información requerida. </w:t>
      </w:r>
    </w:p>
    <w:p w:rsidRPr="000C0FC5" w:rsidR="00157FF0" w:rsidP="0046100E" w:rsidRDefault="00594D55" w14:paraId="5BA84784" w14:textId="02B2228E">
      <w:pPr>
        <w:spacing w:after="0" w:line="360" w:lineRule="auto"/>
        <w:ind w:left="567" w:right="567"/>
        <w:rPr>
          <w:i/>
          <w:iCs/>
          <w:sz w:val="20"/>
          <w:szCs w:val="20"/>
        </w:rPr>
      </w:pPr>
      <w:r w:rsidRPr="000C0FC5">
        <w:rPr>
          <w:i/>
          <w:iCs/>
          <w:sz w:val="20"/>
          <w:szCs w:val="20"/>
        </w:rPr>
        <w:t xml:space="preserve">…” (Sic) </w:t>
      </w:r>
    </w:p>
    <w:p w:rsidRPr="000C0FC5" w:rsidR="00157FF0" w:rsidP="0046100E" w:rsidRDefault="00157FF0" w14:paraId="7C50C413" w14:textId="77777777">
      <w:pPr>
        <w:spacing w:after="0" w:line="360" w:lineRule="auto"/>
      </w:pPr>
    </w:p>
    <w:p w:rsidRPr="000C0FC5" w:rsidR="00594D55" w:rsidP="0046100E" w:rsidRDefault="00594D55" w14:paraId="40C73F54" w14:textId="1E2C17EA">
      <w:pPr>
        <w:spacing w:after="0" w:line="360" w:lineRule="auto"/>
      </w:pPr>
      <w:r w:rsidRPr="000C0FC5">
        <w:lastRenderedPageBreak/>
        <w:t xml:space="preserve">ii) </w:t>
      </w:r>
      <w:r w:rsidRPr="000C0FC5" w:rsidR="002315CE">
        <w:t>Oficio número</w:t>
      </w:r>
      <w:r w:rsidR="00BC5298">
        <w:t xml:space="preserve"> TM/1301/2021, del </w:t>
      </w:r>
      <w:r w:rsidRPr="000C0FC5" w:rsidR="002315CE">
        <w:t xml:space="preserve">nueve de diciembre de dos mil veintiuno, </w:t>
      </w:r>
      <w:r w:rsidRPr="000C0FC5" w:rsidR="0008187E">
        <w:t xml:space="preserve">suscrito por el Tesorero Municipal y es </w:t>
      </w:r>
      <w:r w:rsidRPr="000C0FC5" w:rsidR="00D055E0">
        <w:t xml:space="preserve">remitido al Jefe de la Unidad de Transparencia, de cuyo contenido se desprende lo siguiente: </w:t>
      </w:r>
    </w:p>
    <w:p w:rsidRPr="000C0FC5" w:rsidR="00D055E0" w:rsidP="0046100E" w:rsidRDefault="00D055E0" w14:paraId="5CD1ADD8" w14:textId="77777777">
      <w:pPr>
        <w:spacing w:after="0" w:line="360" w:lineRule="auto"/>
      </w:pPr>
    </w:p>
    <w:p w:rsidRPr="000C0FC5" w:rsidR="00D055E0" w:rsidP="0046100E" w:rsidRDefault="00D055E0" w14:paraId="74772F9B" w14:textId="53670538">
      <w:pPr>
        <w:spacing w:after="0" w:line="360" w:lineRule="auto"/>
        <w:ind w:left="567" w:right="567"/>
        <w:rPr>
          <w:i/>
          <w:iCs/>
          <w:sz w:val="20"/>
          <w:szCs w:val="20"/>
        </w:rPr>
      </w:pPr>
      <w:r w:rsidRPr="000C0FC5">
        <w:rPr>
          <w:i/>
          <w:iCs/>
          <w:sz w:val="20"/>
          <w:szCs w:val="20"/>
        </w:rPr>
        <w:t>“…</w:t>
      </w:r>
    </w:p>
    <w:p w:rsidR="00412636" w:rsidP="0046100E" w:rsidRDefault="00D055E0" w14:paraId="27772811" w14:textId="60D86E30">
      <w:pPr>
        <w:spacing w:after="0" w:line="360" w:lineRule="auto"/>
        <w:ind w:left="567" w:right="567"/>
        <w:rPr>
          <w:i/>
          <w:iCs/>
          <w:sz w:val="20"/>
          <w:szCs w:val="20"/>
        </w:rPr>
      </w:pPr>
      <w:r w:rsidRPr="000C0FC5">
        <w:rPr>
          <w:i/>
          <w:iCs/>
          <w:sz w:val="20"/>
          <w:szCs w:val="20"/>
        </w:rPr>
        <w:t xml:space="preserve">Al respecto y con fundamento en </w:t>
      </w:r>
      <w:r w:rsidRPr="000C0FC5" w:rsidR="00412636">
        <w:rPr>
          <w:i/>
          <w:iCs/>
          <w:sz w:val="20"/>
          <w:szCs w:val="20"/>
        </w:rPr>
        <w:t>los artículos</w:t>
      </w:r>
      <w:r w:rsidRPr="000C0FC5">
        <w:rPr>
          <w:i/>
          <w:iCs/>
          <w:sz w:val="20"/>
          <w:szCs w:val="20"/>
        </w:rPr>
        <w:t xml:space="preserve"> 12, 53 fracción II, 59 fracciones I, II y III y 222 de la Ley de Transparencia y Acceso a la Información Pública del Estado de México y Municipios, me permito </w:t>
      </w:r>
      <w:r w:rsidRPr="000C0FC5" w:rsidR="00332A6F">
        <w:rPr>
          <w:i/>
          <w:iCs/>
          <w:sz w:val="20"/>
          <w:szCs w:val="20"/>
        </w:rPr>
        <w:t xml:space="preserve">hacer de su conocimiento la información solicitada </w:t>
      </w:r>
      <w:r w:rsidRPr="000C0FC5" w:rsidR="00412636">
        <w:rPr>
          <w:i/>
          <w:iCs/>
          <w:sz w:val="20"/>
          <w:szCs w:val="20"/>
        </w:rPr>
        <w:t xml:space="preserve">competencia de esta Tesorería de acuerdo al siguiente detalle: </w:t>
      </w:r>
    </w:p>
    <w:p w:rsidRPr="000C0FC5" w:rsidR="004B3A49" w:rsidP="0046100E" w:rsidRDefault="004B3A49" w14:paraId="4729EFFB" w14:textId="77777777">
      <w:pPr>
        <w:spacing w:after="0" w:line="360" w:lineRule="auto"/>
        <w:ind w:left="567" w:right="567"/>
        <w:rPr>
          <w:i/>
          <w:iCs/>
          <w:sz w:val="20"/>
          <w:szCs w:val="20"/>
        </w:rPr>
      </w:pPr>
    </w:p>
    <w:p w:rsidRPr="000C0FC5" w:rsidR="00412636" w:rsidP="0046100E" w:rsidRDefault="00412636" w14:paraId="019B9246" w14:textId="6E91F4A0">
      <w:pPr>
        <w:spacing w:after="0" w:line="360" w:lineRule="auto"/>
        <w:ind w:left="567" w:right="567"/>
        <w:jc w:val="center"/>
        <w:rPr>
          <w:i/>
          <w:iCs/>
          <w:sz w:val="20"/>
          <w:szCs w:val="20"/>
        </w:rPr>
      </w:pPr>
      <w:r w:rsidRPr="000C0FC5">
        <w:rPr>
          <w:i/>
          <w:iCs/>
          <w:noProof/>
          <w:sz w:val="20"/>
          <w:szCs w:val="20"/>
          <w:lang w:eastAsia="es-MX"/>
        </w:rPr>
        <w:drawing>
          <wp:inline distT="0" distB="0" distL="0" distR="0" wp14:anchorId="70629735" wp14:editId="6B5FB4DC">
            <wp:extent cx="3534268" cy="819264"/>
            <wp:effectExtent l="0" t="0" r="9525" b="0"/>
            <wp:docPr id="5" name="Imagen 5"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 Carta&#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3534268" cy="819264"/>
                    </a:xfrm>
                    <a:prstGeom prst="rect">
                      <a:avLst/>
                    </a:prstGeom>
                  </pic:spPr>
                </pic:pic>
              </a:graphicData>
            </a:graphic>
          </wp:inline>
        </w:drawing>
      </w:r>
    </w:p>
    <w:p w:rsidRPr="000C0FC5" w:rsidR="00594D55" w:rsidP="0046100E" w:rsidRDefault="00412636" w14:paraId="31C05229" w14:textId="501B4A8F">
      <w:pPr>
        <w:spacing w:after="0" w:line="360" w:lineRule="auto"/>
        <w:ind w:left="567" w:right="567"/>
        <w:rPr>
          <w:i/>
          <w:iCs/>
          <w:sz w:val="20"/>
          <w:szCs w:val="20"/>
        </w:rPr>
      </w:pPr>
      <w:r w:rsidRPr="000C0FC5">
        <w:rPr>
          <w:i/>
          <w:iCs/>
          <w:sz w:val="20"/>
          <w:szCs w:val="20"/>
        </w:rPr>
        <w:t xml:space="preserve">…” (Sic) </w:t>
      </w:r>
    </w:p>
    <w:p w:rsidRPr="000C0FC5" w:rsidR="00C853D1" w:rsidP="0046100E" w:rsidRDefault="00C853D1" w14:paraId="5A132506" w14:textId="77777777">
      <w:pPr>
        <w:spacing w:after="0" w:line="360" w:lineRule="auto"/>
        <w:ind w:right="567"/>
        <w:rPr>
          <w:sz w:val="20"/>
          <w:szCs w:val="20"/>
        </w:rPr>
      </w:pPr>
    </w:p>
    <w:p w:rsidRPr="000C0FC5" w:rsidR="00C853D1" w:rsidP="0046100E" w:rsidRDefault="00C853D1" w14:paraId="2B803E22" w14:textId="77777777">
      <w:pPr>
        <w:spacing w:after="0" w:line="360" w:lineRule="auto"/>
        <w:rPr>
          <w:b/>
        </w:rPr>
      </w:pPr>
      <w:r w:rsidRPr="000C0FC5">
        <w:rPr>
          <w:b/>
        </w:rPr>
        <w:t xml:space="preserve">III. Interposición del Recurso de Revisión. </w:t>
      </w:r>
    </w:p>
    <w:p w:rsidRPr="000C0FC5" w:rsidR="00C853D1" w:rsidP="0046100E" w:rsidRDefault="00C853D1" w14:paraId="71DC67DA" w14:textId="77777777">
      <w:pPr>
        <w:spacing w:after="0" w:line="360" w:lineRule="auto"/>
        <w:rPr>
          <w:bCs/>
        </w:rPr>
      </w:pPr>
    </w:p>
    <w:p w:rsidRPr="000C0FC5" w:rsidR="00C853D1" w:rsidP="0046100E" w:rsidRDefault="00C853D1" w14:paraId="2F891DAB" w14:textId="55A7C3D1">
      <w:pPr>
        <w:spacing w:after="0" w:line="360" w:lineRule="auto"/>
        <w:rPr>
          <w:bCs/>
        </w:rPr>
      </w:pPr>
      <w:r w:rsidRPr="000C0FC5">
        <w:rPr>
          <w:bCs/>
        </w:rPr>
        <w:t>Con fecha</w:t>
      </w:r>
      <w:r w:rsidRPr="000C0FC5" w:rsidR="002E5122">
        <w:rPr>
          <w:bCs/>
        </w:rPr>
        <w:t xml:space="preserve"> veintiséis de enero de dos mil veintidós,</w:t>
      </w:r>
      <w:r w:rsidRPr="000C0FC5" w:rsidR="00D31445">
        <w:rPr>
          <w:bCs/>
        </w:rPr>
        <w:t xml:space="preserve"> </w:t>
      </w:r>
      <w:r w:rsidRPr="000C0FC5">
        <w:rPr>
          <w:bCs/>
        </w:rPr>
        <w:t xml:space="preserve">se recibió en este Instituto, a través del </w:t>
      </w:r>
      <w:r w:rsidRPr="000C0FC5">
        <w:rPr>
          <w:bCs/>
          <w:lang w:val="es-ES"/>
        </w:rPr>
        <w:t>Sistema de Acceso a la Información Mexiquense (SAIMEX)</w:t>
      </w:r>
      <w:r w:rsidRPr="000C0FC5">
        <w:rPr>
          <w:bCs/>
        </w:rPr>
        <w:t>, Recurso de Revisión interpuesto por la parte Recurrente, en contra de la respuesta por el Sujeto Obligado, a la solicitud de información, en los siguientes términos:</w:t>
      </w:r>
    </w:p>
    <w:p w:rsidRPr="000C0FC5" w:rsidR="00C853D1" w:rsidP="0046100E" w:rsidRDefault="00C853D1" w14:paraId="3A43EC2F" w14:textId="77777777">
      <w:pPr>
        <w:spacing w:after="0" w:line="360" w:lineRule="auto"/>
        <w:rPr>
          <w:bCs/>
        </w:rPr>
      </w:pPr>
    </w:p>
    <w:p w:rsidRPr="000C0FC5" w:rsidR="00C853D1" w:rsidP="0046100E" w:rsidRDefault="00C853D1" w14:paraId="5AC8905A" w14:textId="77777777">
      <w:pPr>
        <w:spacing w:after="0" w:line="360" w:lineRule="auto"/>
        <w:ind w:left="567" w:right="567"/>
        <w:rPr>
          <w:bCs/>
          <w:i/>
          <w:sz w:val="20"/>
          <w:szCs w:val="20"/>
        </w:rPr>
      </w:pPr>
      <w:r w:rsidRPr="000C0FC5">
        <w:rPr>
          <w:b/>
          <w:bCs/>
          <w:i/>
          <w:sz w:val="20"/>
          <w:szCs w:val="20"/>
        </w:rPr>
        <w:t>“ACTO IMPUGNADO</w:t>
      </w:r>
    </w:p>
    <w:p w:rsidRPr="000C0FC5" w:rsidR="00C853D1" w:rsidP="0046100E" w:rsidRDefault="002D3228" w14:paraId="5B56BF42" w14:textId="67957A0E">
      <w:pPr>
        <w:spacing w:after="0" w:line="360" w:lineRule="auto"/>
        <w:ind w:left="567" w:right="567"/>
        <w:rPr>
          <w:i/>
          <w:sz w:val="20"/>
          <w:szCs w:val="20"/>
        </w:rPr>
      </w:pPr>
      <w:r w:rsidRPr="000C0FC5">
        <w:rPr>
          <w:i/>
          <w:sz w:val="20"/>
          <w:szCs w:val="20"/>
        </w:rPr>
        <w:t>La respuesta contenida en oficio DSPYT/10173/2021 del 3 de diciembre de 2021 signado por el D. en D. Esau Eduardo Sanchez Sanchez, Director de Seguridad Publica y Transito del municipio de Metepec por medio del cual pretende informar el numero de elementos asignados a la tarea de seguridad publica y transito</w:t>
      </w:r>
      <w:r w:rsidRPr="000C0FC5" w:rsidR="00C853D1">
        <w:rPr>
          <w:i/>
          <w:sz w:val="20"/>
          <w:szCs w:val="20"/>
        </w:rPr>
        <w:t>.” (Sic.)</w:t>
      </w:r>
    </w:p>
    <w:p w:rsidR="00C853D1" w:rsidP="0046100E" w:rsidRDefault="00C853D1" w14:paraId="29F43CC4" w14:textId="77777777">
      <w:pPr>
        <w:spacing w:after="0" w:line="360" w:lineRule="auto"/>
        <w:ind w:left="567" w:right="567"/>
        <w:rPr>
          <w:i/>
          <w:sz w:val="20"/>
          <w:szCs w:val="20"/>
        </w:rPr>
      </w:pPr>
    </w:p>
    <w:p w:rsidRPr="000C0FC5" w:rsidR="004B3A49" w:rsidP="0046100E" w:rsidRDefault="004B3A49" w14:paraId="2EE852A4" w14:textId="77777777">
      <w:pPr>
        <w:spacing w:after="0" w:line="360" w:lineRule="auto"/>
        <w:ind w:left="567" w:right="567"/>
        <w:rPr>
          <w:i/>
          <w:sz w:val="20"/>
          <w:szCs w:val="20"/>
        </w:rPr>
      </w:pPr>
    </w:p>
    <w:p w:rsidRPr="000C0FC5" w:rsidR="00C853D1" w:rsidP="0046100E" w:rsidRDefault="00C853D1" w14:paraId="19CBF35D" w14:textId="77777777">
      <w:pPr>
        <w:spacing w:after="0" w:line="360" w:lineRule="auto"/>
        <w:ind w:left="567" w:right="567"/>
        <w:rPr>
          <w:b/>
          <w:i/>
          <w:sz w:val="20"/>
          <w:szCs w:val="20"/>
        </w:rPr>
      </w:pPr>
      <w:r w:rsidRPr="000C0FC5">
        <w:rPr>
          <w:b/>
          <w:i/>
          <w:sz w:val="20"/>
          <w:szCs w:val="20"/>
        </w:rPr>
        <w:t>“RAZONES O MOTIVOS DE LA INCONFORMIDAD</w:t>
      </w:r>
    </w:p>
    <w:p w:rsidRPr="000C0FC5" w:rsidR="00C853D1" w:rsidP="0046100E" w:rsidRDefault="002D3228" w14:paraId="4043E730" w14:textId="31B97F36">
      <w:pPr>
        <w:spacing w:after="0" w:line="360" w:lineRule="auto"/>
        <w:ind w:left="567" w:right="567"/>
        <w:rPr>
          <w:i/>
          <w:sz w:val="20"/>
          <w:szCs w:val="20"/>
        </w:rPr>
      </w:pPr>
      <w:r w:rsidRPr="000C0FC5">
        <w:rPr>
          <w:i/>
          <w:sz w:val="20"/>
          <w:szCs w:val="20"/>
        </w:rPr>
        <w:t>Deja en blanco y sin informar la pregunta formulada</w:t>
      </w:r>
      <w:r w:rsidRPr="000C0FC5" w:rsidR="00C853D1">
        <w:rPr>
          <w:i/>
          <w:sz w:val="20"/>
          <w:szCs w:val="20"/>
        </w:rPr>
        <w:t>” (Sic.)</w:t>
      </w:r>
    </w:p>
    <w:p w:rsidRPr="000C0FC5" w:rsidR="00682222" w:rsidP="0046100E" w:rsidRDefault="00682222" w14:paraId="08852F84" w14:textId="77777777">
      <w:pPr>
        <w:spacing w:after="0" w:line="360" w:lineRule="auto"/>
      </w:pPr>
    </w:p>
    <w:p w:rsidRPr="000C0FC5" w:rsidR="000F3509" w:rsidP="0046100E" w:rsidRDefault="004B3A49" w14:paraId="7B1B86A3" w14:textId="13A40EFD">
      <w:pPr>
        <w:spacing w:after="0" w:line="360" w:lineRule="auto"/>
      </w:pPr>
      <w:r>
        <w:t>El Recurrente adjuntó</w:t>
      </w:r>
      <w:r w:rsidRPr="000C0FC5" w:rsidR="000656A0">
        <w:t xml:space="preserve"> el oficio</w:t>
      </w:r>
      <w:r w:rsidRPr="004B3A49">
        <w:t xml:space="preserve"> número OF DSPyT/100173/2021</w:t>
      </w:r>
      <w:r>
        <w:t>,</w:t>
      </w:r>
      <w:r w:rsidRPr="000C0FC5" w:rsidR="000656A0">
        <w:t xml:space="preserve"> descrito en el Antecedente II, numeral i. </w:t>
      </w:r>
    </w:p>
    <w:p w:rsidRPr="000C0FC5" w:rsidR="000656A0" w:rsidP="0046100E" w:rsidRDefault="000656A0" w14:paraId="60B7204C" w14:textId="77777777">
      <w:pPr>
        <w:spacing w:after="0" w:line="360" w:lineRule="auto"/>
      </w:pPr>
    </w:p>
    <w:p w:rsidRPr="000C0FC5" w:rsidR="00C853D1" w:rsidP="0046100E" w:rsidRDefault="00C853D1" w14:paraId="5CD0FCF6" w14:textId="77777777">
      <w:pPr>
        <w:spacing w:after="0" w:line="360" w:lineRule="auto"/>
        <w:rPr>
          <w:b/>
          <w:bCs/>
        </w:rPr>
      </w:pPr>
      <w:r w:rsidRPr="000C0FC5">
        <w:rPr>
          <w:b/>
        </w:rPr>
        <w:t xml:space="preserve">IV. </w:t>
      </w:r>
      <w:r w:rsidRPr="000C0FC5">
        <w:rPr>
          <w:b/>
          <w:bCs/>
        </w:rPr>
        <w:t xml:space="preserve">Trámite del </w:t>
      </w:r>
      <w:r w:rsidRPr="000C0FC5">
        <w:rPr>
          <w:b/>
        </w:rPr>
        <w:t xml:space="preserve">Recurso de Revisión </w:t>
      </w:r>
      <w:r w:rsidRPr="000C0FC5">
        <w:rPr>
          <w:b/>
          <w:bCs/>
        </w:rPr>
        <w:t>ante este Instituto.</w:t>
      </w:r>
    </w:p>
    <w:p w:rsidRPr="000C0FC5" w:rsidR="00C853D1" w:rsidP="0046100E" w:rsidRDefault="00C853D1" w14:paraId="58854E98" w14:textId="77777777">
      <w:pPr>
        <w:spacing w:after="0" w:line="360" w:lineRule="auto"/>
        <w:rPr>
          <w:b/>
          <w:bCs/>
        </w:rPr>
      </w:pPr>
    </w:p>
    <w:p w:rsidRPr="000C0FC5" w:rsidR="00C853D1" w:rsidP="0046100E" w:rsidRDefault="00C853D1" w14:paraId="0D250646" w14:textId="7703DEAF">
      <w:pPr>
        <w:spacing w:after="0" w:line="360" w:lineRule="auto"/>
        <w:rPr>
          <w:b/>
          <w:bCs/>
        </w:rPr>
      </w:pPr>
      <w:r w:rsidRPr="000C0FC5">
        <w:rPr>
          <w:b/>
          <w:bCs/>
        </w:rPr>
        <w:t xml:space="preserve">a) Turno del Medio de Impugnación. </w:t>
      </w:r>
      <w:r w:rsidRPr="000C0FC5">
        <w:rPr>
          <w:bCs/>
        </w:rPr>
        <w:t xml:space="preserve">El </w:t>
      </w:r>
      <w:r w:rsidRPr="000C0FC5" w:rsidR="009A3A6A">
        <w:rPr>
          <w:bCs/>
        </w:rPr>
        <w:t>veintiséis de enero de dos mil veintidós</w:t>
      </w:r>
      <w:r w:rsidRPr="000C0FC5">
        <w:rPr>
          <w:bCs/>
        </w:rPr>
        <w:t xml:space="preserve">, el </w:t>
      </w:r>
      <w:r w:rsidRPr="000C0FC5">
        <w:rPr>
          <w:lang w:val="es-ES"/>
        </w:rPr>
        <w:t>Sistema de Acceso a la Información Mexiquense (SAIMEX),</w:t>
      </w:r>
      <w:r w:rsidRPr="000C0FC5">
        <w:rPr>
          <w:bCs/>
        </w:rPr>
        <w:t xml:space="preserve"> asignó el número de expediente </w:t>
      </w:r>
      <w:r w:rsidRPr="000C0FC5" w:rsidR="00050633">
        <w:rPr>
          <w:b/>
          <w:bCs/>
        </w:rPr>
        <w:t>00326/INFOEM/IP/RR/2022</w:t>
      </w:r>
      <w:r w:rsidRPr="000C0FC5">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C0FC5" w:rsidR="00C853D1" w:rsidP="0046100E" w:rsidRDefault="00C853D1" w14:paraId="606E51DE" w14:textId="77777777">
      <w:pPr>
        <w:spacing w:after="0" w:line="360" w:lineRule="auto"/>
        <w:rPr>
          <w:bCs/>
        </w:rPr>
      </w:pPr>
    </w:p>
    <w:p w:rsidRPr="000C0FC5" w:rsidR="00C853D1" w:rsidP="0046100E" w:rsidRDefault="00C853D1" w14:paraId="03479276" w14:textId="71D768E3">
      <w:pPr>
        <w:spacing w:after="0" w:line="360" w:lineRule="auto"/>
      </w:pPr>
      <w:r w:rsidRPr="000C0FC5">
        <w:rPr>
          <w:b/>
          <w:bCs/>
        </w:rPr>
        <w:t>b) Admisión del Recurso de Revisión</w:t>
      </w:r>
      <w:r w:rsidRPr="000C0FC5">
        <w:rPr>
          <w:b/>
          <w:bCs/>
          <w:lang w:val="es-ES_tradnl"/>
        </w:rPr>
        <w:t xml:space="preserve">. </w:t>
      </w:r>
      <w:r w:rsidRPr="000C0FC5">
        <w:rPr>
          <w:bCs/>
          <w:lang w:val="es-ES_tradnl"/>
        </w:rPr>
        <w:t xml:space="preserve">El </w:t>
      </w:r>
      <w:r w:rsidRPr="000C0FC5" w:rsidR="009A3A6A">
        <w:rPr>
          <w:bCs/>
          <w:lang w:val="es-ES_tradnl"/>
        </w:rPr>
        <w:t>treinta y uno de enero de dos mil veintidós</w:t>
      </w:r>
      <w:r w:rsidRPr="000C0FC5">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0C0FC5" w:rsidR="00C853D1" w:rsidP="0046100E" w:rsidRDefault="00C853D1" w14:paraId="6BCA600D" w14:textId="77777777">
      <w:pPr>
        <w:spacing w:after="0" w:line="360" w:lineRule="auto"/>
      </w:pPr>
    </w:p>
    <w:p w:rsidRPr="000C0FC5" w:rsidR="00A71A0D" w:rsidP="0046100E" w:rsidRDefault="00C853D1" w14:paraId="7A8EFEDF" w14:textId="56ED3261">
      <w:pPr>
        <w:spacing w:after="0" w:line="360" w:lineRule="auto"/>
        <w:rPr>
          <w:bCs/>
        </w:rPr>
      </w:pPr>
      <w:r w:rsidRPr="000C0FC5">
        <w:rPr>
          <w:b/>
        </w:rPr>
        <w:t xml:space="preserve">c) Informe Justificado. </w:t>
      </w:r>
      <w:r w:rsidRPr="000C0FC5" w:rsidR="00A71A0D">
        <w:rPr>
          <w:bCs/>
        </w:rPr>
        <w:t xml:space="preserve">Las partes fueron omisas en realizar manifestaciones. </w:t>
      </w:r>
    </w:p>
    <w:p w:rsidRPr="000C0FC5" w:rsidR="00272886" w:rsidP="0046100E" w:rsidRDefault="00272886" w14:paraId="4FA336C8" w14:textId="77777777">
      <w:pPr>
        <w:spacing w:after="0" w:line="360" w:lineRule="auto"/>
      </w:pPr>
    </w:p>
    <w:p w:rsidRPr="000C0FC5" w:rsidR="004548CD" w:rsidP="0046100E" w:rsidRDefault="00F343EE" w14:paraId="3AB9E0FA" w14:textId="3CF19F29">
      <w:pPr>
        <w:spacing w:after="0" w:line="360" w:lineRule="auto"/>
        <w:rPr>
          <w:rFonts w:eastAsia="Palatino Linotype" w:cs="Palatino Linotype"/>
          <w:lang w:val="es-ES"/>
        </w:rPr>
      </w:pPr>
      <w:r w:rsidRPr="000C0FC5">
        <w:rPr>
          <w:rFonts w:eastAsia="Palatino Linotype" w:cs="Palatino Linotype"/>
          <w:b/>
          <w:bCs/>
          <w:lang w:val="es-ES"/>
        </w:rPr>
        <w:t>d</w:t>
      </w:r>
      <w:r w:rsidRPr="000C0FC5" w:rsidR="004548CD">
        <w:rPr>
          <w:rFonts w:eastAsia="Palatino Linotype" w:cs="Palatino Linotype"/>
          <w:b/>
          <w:bCs/>
          <w:lang w:val="es-ES"/>
        </w:rPr>
        <w:t xml:space="preserve">) Ampliación de plazo para resolver. </w:t>
      </w:r>
      <w:r w:rsidRPr="000C0FC5" w:rsidR="004548CD">
        <w:rPr>
          <w:rFonts w:eastAsia="Palatino Linotype" w:cs="Palatino Linotype"/>
          <w:lang w:val="es-ES"/>
        </w:rPr>
        <w:t xml:space="preserve">El </w:t>
      </w:r>
      <w:r w:rsidRPr="000C0FC5">
        <w:rPr>
          <w:rFonts w:eastAsia="Palatino Linotype" w:cs="Palatino Linotype"/>
          <w:lang w:val="es-ES"/>
        </w:rPr>
        <w:t>dieciséis de marzo de dos mil veintidós</w:t>
      </w:r>
      <w:r w:rsidRPr="000C0FC5" w:rsidR="004548CD">
        <w:rPr>
          <w:rFonts w:eastAsia="Palatino Linotype" w:cs="Palatino Linotype"/>
          <w:lang w:val="es-ES"/>
        </w:rPr>
        <w:t xml:space="preserve">, con fundamento en lo dispuesto por el artículo 181, párrafo tercero, de la Ley de Transparencia y </w:t>
      </w:r>
      <w:r w:rsidRPr="000C0FC5" w:rsidR="004548CD">
        <w:rPr>
          <w:rFonts w:eastAsia="Palatino Linotype" w:cs="Palatino Linotype"/>
          <w:lang w:val="es-ES"/>
        </w:rPr>
        <w:lastRenderedPageBreak/>
        <w:t>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0C0FC5" w:rsidR="00C21871" w:rsidP="0046100E" w:rsidRDefault="00C21871" w14:paraId="7BB2ECE6" w14:textId="77777777">
      <w:pPr>
        <w:spacing w:after="0" w:line="360" w:lineRule="auto"/>
        <w:rPr>
          <w:rFonts w:eastAsia="Palatino Linotype" w:cs="Palatino Linotype"/>
          <w:b/>
          <w:bCs/>
        </w:rPr>
      </w:pPr>
    </w:p>
    <w:p w:rsidRPr="000C0FC5" w:rsidR="004548CD" w:rsidP="0046100E" w:rsidRDefault="003777E6" w14:paraId="39328222" w14:textId="2E8B3A3A">
      <w:pPr>
        <w:spacing w:after="0" w:line="360" w:lineRule="auto"/>
        <w:rPr>
          <w:rFonts w:eastAsia="Palatino Linotype" w:cs="Palatino Linotype"/>
          <w:b/>
          <w:bCs/>
        </w:rPr>
      </w:pPr>
      <w:r w:rsidRPr="000C0FC5">
        <w:rPr>
          <w:rFonts w:eastAsia="Times New Roman" w:cs="Tahoma"/>
          <w:b/>
          <w:color w:val="auto"/>
          <w:szCs w:val="24"/>
          <w:lang w:eastAsia="es-ES"/>
        </w:rPr>
        <w:t>e</w:t>
      </w:r>
      <w:r w:rsidRPr="000C0FC5" w:rsidR="004548CD">
        <w:rPr>
          <w:rFonts w:eastAsia="Times New Roman" w:cs="Tahoma"/>
          <w:b/>
          <w:color w:val="auto"/>
          <w:szCs w:val="24"/>
          <w:lang w:eastAsia="es-ES"/>
        </w:rPr>
        <w:t>) Cierre de instrucción.</w:t>
      </w:r>
      <w:r w:rsidRPr="000C0FC5" w:rsidR="004548CD">
        <w:rPr>
          <w:rFonts w:eastAsia="Times New Roman" w:cs="Tahoma"/>
          <w:color w:val="auto"/>
          <w:szCs w:val="24"/>
          <w:lang w:eastAsia="es-ES"/>
        </w:rPr>
        <w:t xml:space="preserve"> El</w:t>
      </w:r>
      <w:r w:rsidRPr="000C0FC5" w:rsidR="00843AB9">
        <w:rPr>
          <w:rFonts w:eastAsia="Times New Roman" w:cs="Tahoma"/>
          <w:color w:val="auto"/>
          <w:szCs w:val="24"/>
          <w:lang w:eastAsia="es-ES"/>
        </w:rPr>
        <w:t xml:space="preserve"> </w:t>
      </w:r>
      <w:r w:rsidR="00152128">
        <w:rPr>
          <w:rFonts w:eastAsia="Times New Roman" w:cs="Tahoma"/>
          <w:color w:val="auto"/>
          <w:szCs w:val="24"/>
          <w:lang w:eastAsia="es-ES"/>
        </w:rPr>
        <w:t>veintidós</w:t>
      </w:r>
      <w:r w:rsidRPr="000C0FC5" w:rsidR="00550E03">
        <w:rPr>
          <w:rFonts w:eastAsia="Times New Roman" w:cs="Tahoma"/>
          <w:color w:val="auto"/>
          <w:szCs w:val="24"/>
          <w:lang w:eastAsia="es-ES"/>
        </w:rPr>
        <w:t xml:space="preserve"> de marzo de </w:t>
      </w:r>
      <w:r w:rsidRPr="000C0FC5" w:rsidR="00772921">
        <w:rPr>
          <w:rFonts w:eastAsia="Times New Roman" w:cs="Tahoma"/>
          <w:color w:val="auto"/>
          <w:szCs w:val="24"/>
          <w:lang w:eastAsia="es-ES"/>
        </w:rPr>
        <w:t xml:space="preserve">dos mil </w:t>
      </w:r>
      <w:r w:rsidRPr="000C0FC5" w:rsidR="00CD2EEA">
        <w:rPr>
          <w:rFonts w:eastAsia="Times New Roman" w:cs="Tahoma"/>
          <w:color w:val="auto"/>
          <w:szCs w:val="24"/>
          <w:lang w:eastAsia="es-ES"/>
        </w:rPr>
        <w:t>veintidós</w:t>
      </w:r>
      <w:r w:rsidRPr="000C0FC5"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0C0FC5" w:rsidR="004548CD">
        <w:rPr>
          <w:rFonts w:eastAsia="Palatino Linotype" w:cs="Palatino Linotype"/>
          <w:lang w:val="es-ES"/>
        </w:rPr>
        <w:t>acto que fue notificado a las partes, mediante el Sistema de Acceso a la Información Mexiquense (SAIMEX), el mismo día.</w:t>
      </w:r>
    </w:p>
    <w:p w:rsidRPr="000C0FC5" w:rsidR="004548CD" w:rsidP="0046100E" w:rsidRDefault="004548CD" w14:paraId="61B73302" w14:textId="77777777">
      <w:pPr>
        <w:spacing w:after="0" w:line="360" w:lineRule="auto"/>
        <w:rPr>
          <w:rFonts w:eastAsia="Times New Roman" w:cs="Tahoma"/>
          <w:color w:val="auto"/>
          <w:szCs w:val="24"/>
          <w:lang w:eastAsia="es-ES"/>
        </w:rPr>
      </w:pPr>
    </w:p>
    <w:p w:rsidRPr="000C0FC5" w:rsidR="00C853D1" w:rsidP="0046100E" w:rsidRDefault="00C853D1" w14:paraId="5795BBB6" w14:textId="77777777">
      <w:pPr>
        <w:spacing w:after="0" w:line="360" w:lineRule="auto"/>
        <w:rPr>
          <w:rFonts w:eastAsia="Times New Roman" w:cs="Tahoma"/>
          <w:color w:val="auto"/>
          <w:szCs w:val="24"/>
          <w:lang w:eastAsia="es-ES"/>
        </w:rPr>
      </w:pPr>
      <w:r w:rsidRPr="000C0FC5">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0C0FC5" w:rsidR="00C853D1" w:rsidP="0046100E" w:rsidRDefault="00C853D1" w14:paraId="264F2B95" w14:textId="77777777">
      <w:pPr>
        <w:spacing w:after="0" w:line="360" w:lineRule="auto"/>
        <w:rPr>
          <w:rFonts w:eastAsia="Times New Roman" w:cs="Tahoma"/>
          <w:bCs/>
          <w:iCs/>
          <w:color w:val="auto"/>
          <w:lang w:val="es-ES" w:eastAsia="es-ES"/>
        </w:rPr>
      </w:pPr>
    </w:p>
    <w:p w:rsidRPr="000C0FC5" w:rsidR="00C853D1" w:rsidP="0046100E" w:rsidRDefault="00C853D1" w14:paraId="4647AD46" w14:textId="77777777">
      <w:pPr>
        <w:spacing w:after="0" w:line="360" w:lineRule="auto"/>
        <w:jc w:val="center"/>
        <w:rPr>
          <w:rFonts w:eastAsia="Times New Roman" w:cs="Tahoma"/>
          <w:b/>
          <w:color w:val="auto"/>
          <w:lang w:val="es-ES" w:eastAsia="es-ES"/>
        </w:rPr>
      </w:pPr>
      <w:r w:rsidRPr="000C0FC5">
        <w:rPr>
          <w:rFonts w:eastAsia="Times New Roman" w:cs="Tahoma"/>
          <w:b/>
          <w:color w:val="auto"/>
          <w:lang w:val="es-ES" w:eastAsia="es-ES"/>
        </w:rPr>
        <w:t>C O N S I D E R A N D O S:</w:t>
      </w:r>
    </w:p>
    <w:p w:rsidRPr="000C0FC5" w:rsidR="00C853D1" w:rsidP="0046100E" w:rsidRDefault="00C853D1" w14:paraId="46CF2E78" w14:textId="77777777">
      <w:pPr>
        <w:spacing w:after="0" w:line="360" w:lineRule="auto"/>
        <w:rPr>
          <w:b/>
        </w:rPr>
      </w:pPr>
    </w:p>
    <w:p w:rsidRPr="000C0FC5" w:rsidR="00C853D1" w:rsidP="0046100E"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0C0FC5">
        <w:rPr>
          <w:rFonts w:eastAsia="Calibri" w:cs="Tahoma"/>
          <w:b/>
          <w:color w:val="000000"/>
          <w:szCs w:val="24"/>
          <w:lang w:val="es-ES" w:eastAsia="es-MX"/>
        </w:rPr>
        <w:t>PRIMERO</w:t>
      </w:r>
      <w:r w:rsidRPr="000C0FC5">
        <w:rPr>
          <w:rFonts w:eastAsia="Calibri" w:cs="Tahoma"/>
          <w:color w:val="000000"/>
          <w:szCs w:val="24"/>
          <w:lang w:val="es-ES" w:eastAsia="es-MX"/>
        </w:rPr>
        <w:t xml:space="preserve">. </w:t>
      </w:r>
      <w:r w:rsidRPr="000C0FC5">
        <w:rPr>
          <w:rFonts w:eastAsia="Times New Roman" w:cs="Tahoma"/>
          <w:b/>
          <w:color w:val="auto"/>
          <w:szCs w:val="24"/>
          <w:lang w:val="es-ES" w:eastAsia="es-ES"/>
        </w:rPr>
        <w:t>Competencia.</w:t>
      </w:r>
    </w:p>
    <w:p w:rsidRPr="000C0FC5" w:rsidR="00C853D1" w:rsidP="0046100E"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0C0FC5" w:rsidR="00C853D1" w:rsidP="0046100E" w:rsidRDefault="00C853D1" w14:paraId="4BA69015" w14:textId="35F4A5AE">
      <w:pPr>
        <w:spacing w:after="0" w:line="360" w:lineRule="auto"/>
        <w:rPr>
          <w:rFonts w:eastAsia="Times New Roman" w:cs="Tahoma"/>
          <w:bCs/>
          <w:color w:val="auto"/>
          <w:lang w:eastAsia="es-ES"/>
        </w:rPr>
      </w:pPr>
      <w:r w:rsidRPr="000C0FC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0C0FC5" w:rsidR="00682222">
        <w:rPr>
          <w:rFonts w:eastAsia="Times New Roman" w:cs="Tahoma"/>
          <w:bCs/>
          <w:color w:val="auto"/>
          <w:lang w:eastAsia="es-ES"/>
        </w:rPr>
        <w:t>trig</w:t>
      </w:r>
      <w:r w:rsidRPr="000C0FC5" w:rsidR="00682222">
        <w:rPr>
          <w:rFonts w:eastAsia="Times New Roman" w:cs="Tahoma"/>
          <w:bCs/>
          <w:color w:val="auto"/>
          <w:lang w:val="x-none" w:eastAsia="es-ES"/>
        </w:rPr>
        <w:t>ésimo, trigésimo primero</w:t>
      </w:r>
      <w:r w:rsidRPr="000C0FC5">
        <w:rPr>
          <w:rFonts w:eastAsia="Times New Roman" w:cs="Tahoma"/>
          <w:bCs/>
          <w:color w:val="auto"/>
          <w:lang w:eastAsia="es-ES"/>
        </w:rPr>
        <w:t xml:space="preserve"> y trigésimo </w:t>
      </w:r>
      <w:r w:rsidRPr="000C0FC5" w:rsidR="00682222">
        <w:rPr>
          <w:rFonts w:eastAsia="Times New Roman" w:cs="Tahoma"/>
          <w:bCs/>
          <w:color w:val="auto"/>
          <w:lang w:eastAsia="es-ES"/>
        </w:rPr>
        <w:t>segundo</w:t>
      </w:r>
      <w:r w:rsidRPr="000C0FC5">
        <w:rPr>
          <w:rFonts w:eastAsia="Times New Roman" w:cs="Tahoma"/>
          <w:bCs/>
          <w:color w:val="auto"/>
          <w:lang w:eastAsia="es-ES"/>
        </w:rPr>
        <w:t xml:space="preserve">, fracciones I, II, III, IV y V de la Constitución Política del Estado Libre y Soberano de México; 1°, 8°, 9°, 10, 37 y 42, fracciones I, II y III, de la Ley General de Transparencia y Acceso a la Información Pública; 1°, 2°, fracciones </w:t>
      </w:r>
      <w:r w:rsidRPr="000C0FC5">
        <w:rPr>
          <w:rFonts w:eastAsia="Times New Roman" w:cs="Tahoma"/>
          <w:bCs/>
          <w:color w:val="auto"/>
          <w:lang w:eastAsia="es-ES"/>
        </w:rPr>
        <w:lastRenderedPageBreak/>
        <w:t>II y IV; 13, 29, 36, fracciones I y II; 176, 178, 179, 181 párrafo tercero, 185, 188 y 189 de la Ley Transparencia y Acceso a la Información Pública del Estado de México y Municipios;</w:t>
      </w:r>
      <w:r w:rsidRPr="000C0FC5">
        <w:rPr>
          <w:rFonts w:eastAsia="Times New Roman" w:cs="Times New Roman"/>
          <w:bCs/>
          <w:color w:val="auto"/>
          <w:lang w:eastAsia="es-ES"/>
        </w:rPr>
        <w:t xml:space="preserve"> 7°, </w:t>
      </w:r>
      <w:r w:rsidRPr="000C0FC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0C0FC5" w:rsidR="00C853D1" w:rsidP="0046100E" w:rsidRDefault="00C853D1" w14:paraId="4FF2492C" w14:textId="77777777">
      <w:pPr>
        <w:spacing w:after="0" w:line="360" w:lineRule="auto"/>
        <w:rPr>
          <w:rFonts w:eastAsia="Times New Roman" w:cs="Tahoma"/>
          <w:bCs/>
          <w:color w:val="auto"/>
          <w:lang w:eastAsia="es-ES"/>
        </w:rPr>
      </w:pPr>
    </w:p>
    <w:p w:rsidRPr="000C0FC5" w:rsidR="00C853D1" w:rsidP="0046100E"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0C0FC5">
        <w:rPr>
          <w:rFonts w:eastAsia="Calibri" w:cs="Tahoma"/>
          <w:b/>
          <w:color w:val="000000"/>
          <w:szCs w:val="24"/>
          <w:lang w:val="es-ES" w:eastAsia="es-MX"/>
        </w:rPr>
        <w:t>SEGUNDO</w:t>
      </w:r>
      <w:r w:rsidRPr="000C0FC5">
        <w:rPr>
          <w:rFonts w:eastAsia="Calibri" w:cs="Tahoma"/>
          <w:color w:val="000000"/>
          <w:szCs w:val="24"/>
          <w:lang w:val="es-ES" w:eastAsia="es-MX"/>
        </w:rPr>
        <w:t xml:space="preserve">. </w:t>
      </w:r>
      <w:r w:rsidRPr="000C0FC5">
        <w:rPr>
          <w:rFonts w:eastAsia="Times New Roman" w:cs="Tahoma"/>
          <w:b/>
          <w:color w:val="auto"/>
          <w:szCs w:val="24"/>
          <w:lang w:val="es-ES" w:eastAsia="es-ES"/>
        </w:rPr>
        <w:t>Causales de improcedencia y sobreseimiento.</w:t>
      </w:r>
      <w:r w:rsidRPr="000C0FC5">
        <w:rPr>
          <w:rFonts w:eastAsia="Times New Roman" w:cs="Tahoma"/>
          <w:color w:val="auto"/>
          <w:szCs w:val="24"/>
          <w:lang w:val="es-ES" w:eastAsia="es-ES"/>
        </w:rPr>
        <w:t xml:space="preserve"> </w:t>
      </w:r>
    </w:p>
    <w:p w:rsidRPr="000C0FC5" w:rsidR="00C853D1" w:rsidP="0046100E"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0C0FC5" w:rsidR="00C853D1" w:rsidP="0046100E"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0C0FC5">
        <w:rPr>
          <w:rFonts w:eastAsia="Times New Roman" w:cs="Tahoma"/>
          <w:color w:val="auto"/>
          <w:szCs w:val="24"/>
          <w:lang w:val="es-ES" w:eastAsia="es-ES"/>
        </w:rPr>
        <w:t xml:space="preserve">De las constancias que forma parte del Recurso de Revisión que se analiza, se advierte que previo al estudio del fondo de la </w:t>
      </w:r>
      <w:r w:rsidRPr="000C0FC5">
        <w:rPr>
          <w:rFonts w:eastAsia="Times New Roman" w:cs="Tahoma"/>
          <w:i/>
          <w:color w:val="auto"/>
          <w:szCs w:val="24"/>
          <w:lang w:val="es-ES" w:eastAsia="es-ES"/>
        </w:rPr>
        <w:t>litis</w:t>
      </w:r>
      <w:r w:rsidRPr="000C0FC5">
        <w:rPr>
          <w:rFonts w:eastAsia="Times New Roman" w:cs="Tahoma"/>
          <w:color w:val="auto"/>
          <w:szCs w:val="24"/>
          <w:lang w:val="es-ES" w:eastAsia="es-ES"/>
        </w:rPr>
        <w:t>, es necesario estudiar las causales de improcedencia y sobreseimiento que se adviertan, para determinar lo que en Derecho proceda.</w:t>
      </w:r>
    </w:p>
    <w:p w:rsidRPr="000C0FC5" w:rsidR="00C853D1" w:rsidP="0046100E"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0C0FC5" w:rsidR="00C853D1" w:rsidP="0046100E"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0C0FC5">
        <w:rPr>
          <w:rFonts w:eastAsia="Calibri" w:cs="Tahoma"/>
          <w:b/>
          <w:color w:val="000000"/>
          <w:szCs w:val="24"/>
          <w:lang w:val="es-ES" w:eastAsia="es-MX"/>
        </w:rPr>
        <w:t>Causales de improcedencia.</w:t>
      </w:r>
      <w:r w:rsidRPr="000C0FC5">
        <w:rPr>
          <w:rFonts w:eastAsia="Calibri" w:cs="Tahoma"/>
          <w:color w:val="000000"/>
          <w:szCs w:val="24"/>
          <w:lang w:val="es-ES" w:eastAsia="es-MX"/>
        </w:rPr>
        <w:t xml:space="preserve"> </w:t>
      </w:r>
    </w:p>
    <w:p w:rsidRPr="000C0FC5" w:rsidR="00C853D1" w:rsidP="0046100E"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0C0FC5" w:rsidR="00C853D1" w:rsidP="0046100E" w:rsidRDefault="00C853D1" w14:paraId="0231FCB7" w14:textId="77777777">
      <w:pPr>
        <w:autoSpaceDE w:val="0"/>
        <w:autoSpaceDN w:val="0"/>
        <w:adjustRightInd w:val="0"/>
        <w:spacing w:after="0" w:line="360" w:lineRule="auto"/>
        <w:rPr>
          <w:rFonts w:eastAsia="Calibri" w:cs="Tahoma"/>
          <w:color w:val="000000"/>
          <w:lang w:val="es-ES" w:eastAsia="es-MX"/>
        </w:rPr>
      </w:pPr>
      <w:r w:rsidRPr="000C0FC5">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0C0FC5">
        <w:rPr>
          <w:rFonts w:eastAsia="Calibri" w:cs="Tahoma"/>
          <w:b/>
          <w:bCs/>
          <w:color w:val="000000"/>
          <w:lang w:eastAsia="es-MX"/>
        </w:rPr>
        <w:t xml:space="preserve"> </w:t>
      </w:r>
      <w:r w:rsidRPr="000C0FC5">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0C0FC5" w:rsidR="00C853D1" w:rsidP="0046100E" w:rsidRDefault="00C853D1" w14:paraId="52B897E0" w14:textId="77777777">
      <w:pPr>
        <w:autoSpaceDE w:val="0"/>
        <w:autoSpaceDN w:val="0"/>
        <w:adjustRightInd w:val="0"/>
        <w:spacing w:after="0" w:line="360" w:lineRule="auto"/>
        <w:rPr>
          <w:rFonts w:eastAsia="Calibri" w:cs="Tahoma"/>
          <w:color w:val="000000"/>
          <w:lang w:eastAsia="es-MX"/>
        </w:rPr>
      </w:pPr>
    </w:p>
    <w:p w:rsidRPr="000C0FC5" w:rsidR="00C853D1" w:rsidP="0046100E" w:rsidRDefault="00C853D1" w14:paraId="0EA74A57" w14:textId="77777777">
      <w:pPr>
        <w:autoSpaceDE w:val="0"/>
        <w:autoSpaceDN w:val="0"/>
        <w:adjustRightInd w:val="0"/>
        <w:spacing w:after="0" w:line="360" w:lineRule="auto"/>
        <w:rPr>
          <w:rFonts w:eastAsia="Calibri" w:cs="Tahoma"/>
          <w:color w:val="000000"/>
          <w:lang w:eastAsia="es-MX"/>
        </w:rPr>
      </w:pPr>
      <w:r w:rsidRPr="000C0FC5">
        <w:rPr>
          <w:rFonts w:eastAsia="Calibri" w:cs="Tahoma"/>
          <w:color w:val="000000"/>
          <w:lang w:eastAsia="es-MX"/>
        </w:rPr>
        <w:t xml:space="preserve">En el presente caso, </w:t>
      </w:r>
      <w:r w:rsidRPr="000C0FC5">
        <w:rPr>
          <w:rFonts w:eastAsia="Calibri" w:cs="Tahoma"/>
          <w:b/>
          <w:color w:val="000000"/>
          <w:lang w:eastAsia="es-MX"/>
        </w:rPr>
        <w:t>no se actualiza ninguna de las causales de improcedencia</w:t>
      </w:r>
      <w:r w:rsidRPr="000C0FC5">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0C0FC5">
        <w:rPr>
          <w:rFonts w:eastAsia="Calibri" w:cs="Tahoma"/>
          <w:color w:val="000000"/>
          <w:lang w:eastAsia="es-MX"/>
        </w:rPr>
        <w:lastRenderedPageBreak/>
        <w:t>formó parte del agravio; no se realizó una consulta o ampliación a los alcances del requerimiento informativo, aunado a que el medio de impugnación fue presentado en tiempo.</w:t>
      </w:r>
    </w:p>
    <w:p w:rsidRPr="000C0FC5" w:rsidR="00C853D1" w:rsidP="0046100E" w:rsidRDefault="00C853D1" w14:paraId="42DBAD8B" w14:textId="77777777">
      <w:pPr>
        <w:spacing w:after="0" w:line="360" w:lineRule="auto"/>
        <w:rPr>
          <w:rFonts w:eastAsia="Times New Roman" w:cs="Tahoma"/>
          <w:b/>
          <w:bCs/>
          <w:color w:val="auto"/>
          <w:lang w:eastAsia="es-ES"/>
        </w:rPr>
      </w:pPr>
    </w:p>
    <w:p w:rsidRPr="000C0FC5" w:rsidR="00C853D1" w:rsidP="0046100E" w:rsidRDefault="00DD116F" w14:paraId="009D8158" w14:textId="5EA4B76F">
      <w:pPr>
        <w:spacing w:after="0" w:line="360" w:lineRule="auto"/>
        <w:rPr>
          <w:rFonts w:eastAsia="Times New Roman" w:cs="Tahoma"/>
          <w:color w:val="auto"/>
          <w:lang w:val="es-ES" w:eastAsia="es-ES"/>
        </w:rPr>
      </w:pPr>
      <w:r w:rsidRPr="000C0FC5">
        <w:rPr>
          <w:rFonts w:eastAsia="Times New Roman" w:cs="Tahoma"/>
          <w:color w:val="auto"/>
          <w:lang w:eastAsia="es-ES"/>
        </w:rPr>
        <w:t xml:space="preserve">Asimismo, </w:t>
      </w:r>
      <w:r w:rsidRPr="000C0FC5" w:rsidR="00C853D1">
        <w:rPr>
          <w:rFonts w:eastAsia="Times New Roman" w:cs="Tahoma"/>
          <w:color w:val="auto"/>
          <w:lang w:eastAsia="es-ES"/>
        </w:rPr>
        <w:t>se actualiza la causal de procedencia del Recurso de Revisión seña</w:t>
      </w:r>
      <w:r w:rsidR="006D5FD8">
        <w:rPr>
          <w:rFonts w:eastAsia="Times New Roman" w:cs="Tahoma"/>
          <w:color w:val="auto"/>
          <w:lang w:eastAsia="es-ES"/>
        </w:rPr>
        <w:t>lada en el artículo 179, fracción</w:t>
      </w:r>
      <w:r w:rsidRPr="000C0FC5" w:rsidR="00C853D1">
        <w:rPr>
          <w:rFonts w:eastAsia="Times New Roman" w:cs="Tahoma"/>
          <w:color w:val="auto"/>
          <w:lang w:eastAsia="es-ES"/>
        </w:rPr>
        <w:t xml:space="preserve"> V</w:t>
      </w:r>
      <w:r w:rsidRPr="000C0FC5" w:rsidR="00682222">
        <w:rPr>
          <w:rFonts w:eastAsia="Times New Roman" w:cs="Tahoma"/>
          <w:color w:val="auto"/>
          <w:lang w:eastAsia="es-ES"/>
        </w:rPr>
        <w:t>,</w:t>
      </w:r>
      <w:r w:rsidRPr="000C0FC5" w:rsidR="00C853D1">
        <w:rPr>
          <w:rFonts w:eastAsia="Times New Roman" w:cs="Tahoma"/>
          <w:color w:val="auto"/>
          <w:lang w:eastAsia="es-ES"/>
        </w:rPr>
        <w:t xml:space="preserve"> de la Ley en cita, </w:t>
      </w:r>
      <w:r w:rsidRPr="000C0FC5" w:rsidR="00C853D1">
        <w:rPr>
          <w:rFonts w:eastAsia="Calibri" w:cs="Tahoma"/>
          <w:color w:val="000000"/>
          <w:lang w:eastAsia="es-MX"/>
        </w:rPr>
        <w:t xml:space="preserve">pues la Recurrente se inconformó </w:t>
      </w:r>
      <w:r w:rsidRPr="000C0FC5" w:rsidR="00C853D1">
        <w:rPr>
          <w:rFonts w:eastAsia="Times New Roman" w:cs="Tahoma"/>
          <w:color w:val="auto"/>
          <w:lang w:val="es-ES" w:eastAsia="es-ES"/>
        </w:rPr>
        <w:t xml:space="preserve">con la </w:t>
      </w:r>
      <w:r w:rsidRPr="000C0FC5" w:rsidR="00682222">
        <w:rPr>
          <w:rFonts w:eastAsia="Times New Roman" w:cs="Tahoma"/>
          <w:color w:val="auto"/>
          <w:lang w:val="es-ES" w:eastAsia="es-ES"/>
        </w:rPr>
        <w:t>entrega de información</w:t>
      </w:r>
      <w:r w:rsidRPr="000C0FC5" w:rsidR="00682222">
        <w:rPr>
          <w:rFonts w:eastAsia="Times New Roman" w:cs="Tahoma"/>
          <w:color w:val="auto"/>
          <w:lang w:val="x-none" w:eastAsia="es-ES"/>
        </w:rPr>
        <w:t xml:space="preserve"> incompleta.</w:t>
      </w:r>
    </w:p>
    <w:p w:rsidRPr="000C0FC5" w:rsidR="00C853D1" w:rsidP="0046100E" w:rsidRDefault="00C853D1" w14:paraId="3577CA43" w14:textId="77777777">
      <w:pPr>
        <w:spacing w:after="0" w:line="360" w:lineRule="auto"/>
        <w:rPr>
          <w:rFonts w:eastAsia="Times New Roman" w:cs="Tahoma"/>
          <w:b/>
          <w:bCs/>
          <w:color w:val="auto"/>
          <w:lang w:eastAsia="es-ES"/>
        </w:rPr>
      </w:pPr>
    </w:p>
    <w:p w:rsidRPr="000C0FC5" w:rsidR="00C853D1" w:rsidP="0046100E" w:rsidRDefault="00C853D1" w14:paraId="4F973625" w14:textId="77777777">
      <w:pPr>
        <w:spacing w:after="0" w:line="360" w:lineRule="auto"/>
        <w:rPr>
          <w:rFonts w:eastAsia="Times New Roman" w:cs="Tahoma"/>
          <w:b/>
          <w:bCs/>
          <w:color w:val="auto"/>
          <w:lang w:eastAsia="es-ES"/>
        </w:rPr>
      </w:pPr>
      <w:r w:rsidRPr="000C0FC5">
        <w:rPr>
          <w:rFonts w:eastAsia="Times New Roman" w:cs="Tahoma"/>
          <w:b/>
          <w:bCs/>
          <w:color w:val="auto"/>
          <w:lang w:eastAsia="es-ES"/>
        </w:rPr>
        <w:t>Causales de sobreseimiento.</w:t>
      </w:r>
    </w:p>
    <w:p w:rsidRPr="000C0FC5" w:rsidR="00CD573E" w:rsidP="0046100E" w:rsidRDefault="00CD573E" w14:paraId="3FF75C55" w14:textId="77777777">
      <w:pPr>
        <w:spacing w:after="0" w:line="360" w:lineRule="auto"/>
        <w:rPr>
          <w:rFonts w:eastAsia="Times New Roman" w:cs="Tahoma"/>
          <w:b/>
          <w:bCs/>
          <w:color w:val="auto"/>
          <w:lang w:eastAsia="es-ES"/>
        </w:rPr>
      </w:pPr>
    </w:p>
    <w:p w:rsidRPr="000C0FC5" w:rsidR="00C853D1" w:rsidP="0046100E" w:rsidRDefault="00C853D1" w14:paraId="77050B85" w14:textId="77777777">
      <w:pPr>
        <w:spacing w:after="0" w:line="360" w:lineRule="auto"/>
        <w:rPr>
          <w:rFonts w:eastAsia="Times New Roman" w:cs="Tahoma"/>
          <w:color w:val="auto"/>
          <w:szCs w:val="24"/>
          <w:lang w:eastAsia="es-ES"/>
        </w:rPr>
      </w:pPr>
      <w:r w:rsidRPr="000C0FC5">
        <w:rPr>
          <w:rFonts w:eastAsia="Times New Roman" w:cs="Tahoma"/>
          <w:color w:val="auto"/>
          <w:szCs w:val="24"/>
          <w:lang w:eastAsia="es-ES"/>
        </w:rPr>
        <w:t>Por ser de previo y especial pronunciamiento, este Instituto analiza si se actualiza alguna causal de sobreseimiento.</w:t>
      </w:r>
    </w:p>
    <w:p w:rsidRPr="000C0FC5" w:rsidR="00C853D1" w:rsidP="0046100E" w:rsidRDefault="00C853D1" w14:paraId="1797E49B" w14:textId="77777777">
      <w:pPr>
        <w:spacing w:after="0" w:line="360" w:lineRule="auto"/>
        <w:rPr>
          <w:rFonts w:eastAsia="Times New Roman" w:cs="Tahoma"/>
          <w:color w:val="auto"/>
          <w:szCs w:val="24"/>
          <w:lang w:eastAsia="es-ES"/>
        </w:rPr>
      </w:pPr>
    </w:p>
    <w:p w:rsidRPr="000C0FC5" w:rsidR="00C853D1" w:rsidP="0046100E" w:rsidRDefault="00C853D1" w14:paraId="3929C861" w14:textId="77777777">
      <w:pPr>
        <w:spacing w:after="0" w:line="360" w:lineRule="auto"/>
        <w:rPr>
          <w:rFonts w:eastAsia="Times New Roman" w:cs="Tahoma"/>
          <w:color w:val="auto"/>
          <w:szCs w:val="24"/>
          <w:lang w:eastAsia="es-ES"/>
        </w:rPr>
      </w:pPr>
      <w:r w:rsidRPr="000C0FC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C0FC5" w:rsidR="00C853D1" w:rsidP="0046100E" w:rsidRDefault="00C853D1" w14:paraId="12F90250" w14:textId="77777777">
      <w:pPr>
        <w:spacing w:after="0" w:line="360" w:lineRule="auto"/>
        <w:rPr>
          <w:rFonts w:eastAsia="Times New Roman" w:cs="Tahoma"/>
          <w:color w:val="auto"/>
          <w:szCs w:val="24"/>
          <w:lang w:eastAsia="es-ES"/>
        </w:rPr>
      </w:pPr>
    </w:p>
    <w:p w:rsidRPr="000C0FC5" w:rsidR="00C853D1" w:rsidP="0046100E" w:rsidRDefault="00C853D1" w14:paraId="75DA7F11" w14:textId="77777777">
      <w:pPr>
        <w:spacing w:after="0" w:line="360" w:lineRule="auto"/>
        <w:rPr>
          <w:rFonts w:eastAsia="Times New Roman" w:cs="Tahoma"/>
          <w:color w:val="auto"/>
          <w:szCs w:val="24"/>
          <w:lang w:val="es-ES" w:eastAsia="es-ES"/>
        </w:rPr>
      </w:pPr>
      <w:r w:rsidRPr="000C0FC5">
        <w:rPr>
          <w:rFonts w:eastAsia="Times New Roman" w:cs="Tahoma"/>
          <w:bCs/>
          <w:color w:val="auto"/>
          <w:szCs w:val="24"/>
          <w:lang w:val="es-ES" w:eastAsia="es-ES"/>
        </w:rPr>
        <w:t xml:space="preserve">Por tales motivos, </w:t>
      </w:r>
      <w:r w:rsidRPr="000C0FC5">
        <w:rPr>
          <w:rFonts w:eastAsia="Times New Roman" w:cs="Tahoma"/>
          <w:color w:val="auto"/>
          <w:szCs w:val="24"/>
          <w:lang w:val="es-ES" w:eastAsia="es-ES"/>
        </w:rPr>
        <w:t>se considera procedente entrar al fondo del presente asunto.</w:t>
      </w:r>
    </w:p>
    <w:p w:rsidRPr="000C0FC5" w:rsidR="00C853D1" w:rsidP="0046100E" w:rsidRDefault="00C853D1" w14:paraId="5A499E5E" w14:textId="77777777">
      <w:pPr>
        <w:spacing w:after="0" w:line="360" w:lineRule="auto"/>
      </w:pPr>
    </w:p>
    <w:p w:rsidRPr="000C0FC5" w:rsidR="00C853D1" w:rsidP="0046100E" w:rsidRDefault="00C853D1" w14:paraId="554D6B44" w14:textId="77777777">
      <w:pPr>
        <w:spacing w:after="0" w:line="360" w:lineRule="auto"/>
        <w:rPr>
          <w:rFonts w:eastAsia="Times New Roman" w:cs="Tahoma"/>
          <w:b/>
          <w:bCs/>
          <w:iCs/>
          <w:color w:val="auto"/>
          <w:lang w:val="es-ES" w:eastAsia="es-ES"/>
        </w:rPr>
      </w:pPr>
      <w:r w:rsidRPr="000C0FC5">
        <w:rPr>
          <w:rFonts w:eastAsia="Times New Roman" w:cs="Tahoma"/>
          <w:b/>
          <w:bCs/>
          <w:iCs/>
          <w:color w:val="auto"/>
          <w:lang w:val="es-ES" w:eastAsia="es-ES"/>
        </w:rPr>
        <w:t xml:space="preserve">TERCERO. Determinación de la Controversia. </w:t>
      </w:r>
    </w:p>
    <w:p w:rsidRPr="000C0FC5" w:rsidR="00C853D1" w:rsidP="0046100E"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0C0FC5" w:rsidR="00604FCC" w:rsidP="0046100E" w:rsidRDefault="00CD573E" w14:paraId="04ED817D" w14:textId="45C761B8">
      <w:pPr>
        <w:autoSpaceDE w:val="0"/>
        <w:autoSpaceDN w:val="0"/>
        <w:adjustRightInd w:val="0"/>
        <w:spacing w:after="0" w:line="360" w:lineRule="auto"/>
        <w:rPr>
          <w:rFonts w:eastAsia="Calibri" w:cs="Tahoma"/>
          <w:color w:val="000000"/>
          <w:szCs w:val="24"/>
          <w:lang w:val="es-ES" w:eastAsia="es-MX"/>
        </w:rPr>
      </w:pPr>
      <w:r w:rsidRPr="000C0FC5">
        <w:rPr>
          <w:rFonts w:eastAsia="Calibri" w:cs="Tahoma"/>
          <w:color w:val="000000"/>
          <w:szCs w:val="24"/>
          <w:lang w:val="es-ES" w:eastAsia="es-MX"/>
        </w:rPr>
        <w:t xml:space="preserve">Una vez realizado el estudio de las constancias que obran en el expediente electrónico en el que se actúa, se advierte que el Solicitante requirió </w:t>
      </w:r>
      <w:r w:rsidRPr="000C0FC5" w:rsidR="00604FCC">
        <w:rPr>
          <w:rFonts w:eastAsia="Calibri" w:cs="Tahoma"/>
          <w:color w:val="000000"/>
          <w:szCs w:val="24"/>
          <w:lang w:val="es-ES" w:eastAsia="es-MX"/>
        </w:rPr>
        <w:t xml:space="preserve">lo siguiente: </w:t>
      </w:r>
    </w:p>
    <w:p w:rsidRPr="000C0FC5" w:rsidR="00604FCC" w:rsidP="0046100E" w:rsidRDefault="00604FCC" w14:paraId="16AAA95F" w14:textId="77777777">
      <w:pPr>
        <w:autoSpaceDE w:val="0"/>
        <w:autoSpaceDN w:val="0"/>
        <w:adjustRightInd w:val="0"/>
        <w:spacing w:after="0" w:line="360" w:lineRule="auto"/>
        <w:rPr>
          <w:rFonts w:eastAsia="Calibri" w:cs="Tahoma"/>
          <w:color w:val="000000"/>
          <w:szCs w:val="24"/>
          <w:lang w:val="es-ES" w:eastAsia="es-MX"/>
        </w:rPr>
      </w:pPr>
    </w:p>
    <w:p w:rsidR="00447D8A" w:rsidP="0046100E" w:rsidRDefault="006D5FD8" w14:paraId="3D319FF3" w14:textId="28FCEBA6">
      <w:pPr>
        <w:numPr>
          <w:ilvl w:val="0"/>
          <w:numId w:val="24"/>
        </w:num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lastRenderedPageBreak/>
        <w:t>El número de policías municipales para labores de seguridad pública, tránsito y vialidad;</w:t>
      </w:r>
    </w:p>
    <w:p w:rsidR="00983384" w:rsidP="0046100E" w:rsidRDefault="00983384" w14:paraId="2F1E69A3" w14:textId="77777777">
      <w:pPr>
        <w:autoSpaceDE w:val="0"/>
        <w:autoSpaceDN w:val="0"/>
        <w:adjustRightInd w:val="0"/>
        <w:spacing w:after="0" w:line="360" w:lineRule="auto"/>
        <w:ind w:left="720"/>
        <w:rPr>
          <w:rFonts w:eastAsia="Calibri" w:cs="Tahoma"/>
          <w:bCs/>
          <w:color w:val="000000"/>
          <w:szCs w:val="24"/>
          <w:lang w:eastAsia="es-MX"/>
        </w:rPr>
      </w:pPr>
    </w:p>
    <w:p w:rsidRPr="000C0FC5" w:rsidR="006D5FD8" w:rsidP="0046100E" w:rsidRDefault="006D5FD8" w14:paraId="09E8F6D5" w14:textId="1CD4E9EA">
      <w:pPr>
        <w:numPr>
          <w:ilvl w:val="0"/>
          <w:numId w:val="24"/>
        </w:num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El número de elementos destinados para labores de tránsito y </w:t>
      </w:r>
      <w:r w:rsidR="00983384">
        <w:rPr>
          <w:rFonts w:eastAsia="Calibri" w:cs="Tahoma"/>
          <w:bCs/>
          <w:color w:val="000000"/>
          <w:szCs w:val="24"/>
          <w:lang w:eastAsia="es-MX"/>
        </w:rPr>
        <w:t>vialidad</w:t>
      </w:r>
      <w:r>
        <w:rPr>
          <w:rFonts w:eastAsia="Calibri" w:cs="Tahoma"/>
          <w:bCs/>
          <w:color w:val="000000"/>
          <w:szCs w:val="24"/>
          <w:lang w:eastAsia="es-MX"/>
        </w:rPr>
        <w:t>;</w:t>
      </w:r>
    </w:p>
    <w:p w:rsidRPr="000C0FC5" w:rsidR="00447D8A" w:rsidP="0046100E" w:rsidRDefault="00447D8A" w14:paraId="33D1F057" w14:textId="77777777">
      <w:pPr>
        <w:autoSpaceDE w:val="0"/>
        <w:autoSpaceDN w:val="0"/>
        <w:adjustRightInd w:val="0"/>
        <w:spacing w:after="0" w:line="360" w:lineRule="auto"/>
        <w:rPr>
          <w:rFonts w:eastAsia="Calibri" w:cs="Tahoma"/>
          <w:bCs/>
          <w:color w:val="000000"/>
          <w:szCs w:val="24"/>
          <w:lang w:eastAsia="es-MX"/>
        </w:rPr>
      </w:pPr>
    </w:p>
    <w:p w:rsidRPr="000C0FC5" w:rsidR="00447D8A" w:rsidP="0046100E" w:rsidRDefault="00447D8A" w14:paraId="17FE02E3" w14:textId="77777777">
      <w:pPr>
        <w:numPr>
          <w:ilvl w:val="0"/>
          <w:numId w:val="24"/>
        </w:numPr>
        <w:autoSpaceDE w:val="0"/>
        <w:autoSpaceDN w:val="0"/>
        <w:adjustRightInd w:val="0"/>
        <w:spacing w:after="0" w:line="360" w:lineRule="auto"/>
        <w:rPr>
          <w:rFonts w:eastAsia="Calibri" w:cs="Tahoma"/>
          <w:bCs/>
          <w:color w:val="000000"/>
          <w:szCs w:val="24"/>
          <w:lang w:eastAsia="es-MX"/>
        </w:rPr>
      </w:pPr>
      <w:r w:rsidRPr="000C0FC5">
        <w:rPr>
          <w:rFonts w:eastAsia="Calibri" w:cs="Tahoma"/>
          <w:bCs/>
          <w:color w:val="000000"/>
          <w:szCs w:val="24"/>
          <w:lang w:eastAsia="es-MX"/>
        </w:rPr>
        <w:t xml:space="preserve">Monto de recaudado y no recaudado por multas de tránsito, durante los ejercicios fiscales de dos mil dieciocho, diecinueve, veinte y veintiuno. </w:t>
      </w:r>
    </w:p>
    <w:p w:rsidRPr="000C0FC5" w:rsidR="00604FCC" w:rsidP="0046100E" w:rsidRDefault="00604FCC" w14:paraId="5672917C" w14:textId="77777777">
      <w:pPr>
        <w:autoSpaceDE w:val="0"/>
        <w:autoSpaceDN w:val="0"/>
        <w:adjustRightInd w:val="0"/>
        <w:spacing w:after="0" w:line="360" w:lineRule="auto"/>
        <w:rPr>
          <w:rFonts w:eastAsia="Calibri" w:cs="Tahoma"/>
          <w:color w:val="000000"/>
          <w:szCs w:val="24"/>
          <w:lang w:eastAsia="es-MX"/>
        </w:rPr>
      </w:pPr>
    </w:p>
    <w:p w:rsidRPr="000C0FC5" w:rsidR="00CD573E" w:rsidP="0046100E" w:rsidRDefault="001D213A" w14:paraId="4C4FD2F5" w14:textId="27788837">
      <w:pPr>
        <w:autoSpaceDE w:val="0"/>
        <w:autoSpaceDN w:val="0"/>
        <w:adjustRightInd w:val="0"/>
        <w:spacing w:after="0" w:line="360" w:lineRule="auto"/>
        <w:rPr>
          <w:rFonts w:eastAsia="Calibri" w:cs="Tahoma"/>
          <w:color w:val="000000"/>
          <w:szCs w:val="24"/>
          <w:lang w:val="es-ES" w:eastAsia="es-MX"/>
        </w:rPr>
      </w:pPr>
      <w:r w:rsidRPr="000C0FC5">
        <w:rPr>
          <w:rFonts w:eastAsia="Calibri" w:cs="Tahoma"/>
          <w:color w:val="000000"/>
          <w:szCs w:val="24"/>
          <w:lang w:val="es-ES" w:eastAsia="es-MX"/>
        </w:rPr>
        <w:t>En respuesta</w:t>
      </w:r>
      <w:r w:rsidRPr="000C0FC5" w:rsidR="00B2383B">
        <w:rPr>
          <w:rFonts w:eastAsia="Calibri" w:cs="Tahoma"/>
          <w:color w:val="000000"/>
          <w:szCs w:val="24"/>
          <w:lang w:val="es-ES" w:eastAsia="es-MX"/>
        </w:rPr>
        <w:t>, e</w:t>
      </w:r>
      <w:r w:rsidRPr="000C0FC5" w:rsidR="00FD59FA">
        <w:rPr>
          <w:rFonts w:eastAsia="Calibri" w:cs="Tahoma"/>
          <w:color w:val="000000"/>
          <w:szCs w:val="24"/>
          <w:lang w:val="es-ES" w:eastAsia="es-MX"/>
        </w:rPr>
        <w:t xml:space="preserve">l Sujeto Obligado, por medio de la </w:t>
      </w:r>
      <w:r w:rsidRPr="000C0FC5" w:rsidR="00CA6892">
        <w:rPr>
          <w:rFonts w:eastAsia="Calibri" w:cs="Tahoma"/>
          <w:color w:val="000000"/>
          <w:szCs w:val="24"/>
          <w:lang w:val="es-ES" w:eastAsia="es-MX"/>
        </w:rPr>
        <w:t xml:space="preserve">Dirección de Seguridad Pública y </w:t>
      </w:r>
      <w:r w:rsidRPr="000C0FC5" w:rsidR="00B9774D">
        <w:rPr>
          <w:rFonts w:eastAsia="Calibri" w:cs="Tahoma"/>
          <w:color w:val="000000"/>
          <w:szCs w:val="24"/>
          <w:lang w:val="es-ES" w:eastAsia="es-MX"/>
        </w:rPr>
        <w:t>Tránsito</w:t>
      </w:r>
      <w:r w:rsidR="00983384">
        <w:rPr>
          <w:rFonts w:eastAsia="Calibri" w:cs="Tahoma"/>
          <w:color w:val="000000"/>
          <w:szCs w:val="24"/>
          <w:lang w:val="es-ES" w:eastAsia="es-MX"/>
        </w:rPr>
        <w:t xml:space="preserve"> precisó que proporcionaba la información que daba cuenta del puno 1 de la solicitud de información; mientras que la Tesorería Municipal entregó una relación con</w:t>
      </w:r>
      <w:r w:rsidRPr="000C0FC5" w:rsidR="00341C06">
        <w:rPr>
          <w:rFonts w:eastAsia="Calibri" w:cs="Tahoma"/>
          <w:color w:val="000000"/>
          <w:szCs w:val="24"/>
          <w:lang w:val="es-ES" w:eastAsia="es-MX"/>
        </w:rPr>
        <w:t xml:space="preserve"> los montos recaudados por </w:t>
      </w:r>
      <w:r w:rsidRPr="000C0FC5" w:rsidR="00B9774D">
        <w:rPr>
          <w:rFonts w:eastAsia="Calibri" w:cs="Tahoma"/>
          <w:color w:val="000000"/>
          <w:szCs w:val="24"/>
          <w:lang w:val="es-ES" w:eastAsia="es-MX"/>
        </w:rPr>
        <w:t xml:space="preserve">concepto de multas de tránsito durante de los ejercicios fiscales de </w:t>
      </w:r>
      <w:r w:rsidRPr="000C0FC5" w:rsidR="00B9774D">
        <w:rPr>
          <w:rFonts w:eastAsia="Calibri" w:cs="Tahoma"/>
          <w:bCs/>
          <w:color w:val="000000"/>
          <w:szCs w:val="24"/>
          <w:lang w:eastAsia="es-MX"/>
        </w:rPr>
        <w:t>de dos mil dieciocho, diecinueve, veinte y veintiuno</w:t>
      </w:r>
      <w:r w:rsidR="000E32B4">
        <w:rPr>
          <w:rFonts w:eastAsia="Calibri" w:cs="Tahoma"/>
          <w:bCs/>
          <w:color w:val="000000"/>
          <w:szCs w:val="24"/>
          <w:lang w:eastAsia="es-MX"/>
        </w:rPr>
        <w:t>; a</w:t>
      </w:r>
      <w:r w:rsidRPr="000C0FC5" w:rsidR="00B9774D">
        <w:rPr>
          <w:rFonts w:eastAsia="Calibri" w:cs="Tahoma"/>
          <w:bCs/>
          <w:color w:val="000000"/>
          <w:szCs w:val="24"/>
          <w:lang w:eastAsia="es-MX"/>
        </w:rPr>
        <w:t>nte dicha circunstancia, el Particular se</w:t>
      </w:r>
      <w:r w:rsidR="000E32B4">
        <w:rPr>
          <w:rFonts w:eastAsia="Calibri" w:cs="Tahoma"/>
          <w:bCs/>
          <w:color w:val="000000"/>
          <w:szCs w:val="24"/>
          <w:lang w:eastAsia="es-MX"/>
        </w:rPr>
        <w:t xml:space="preserve"> inconformó porque no se le entregó la información que atendía el punto número 1 del requerimiento de información, al señalar que la contestación de la </w:t>
      </w:r>
      <w:r w:rsidRPr="000C0FC5" w:rsidR="00791A5D">
        <w:rPr>
          <w:rFonts w:eastAsia="Calibri" w:cs="Tahoma"/>
          <w:color w:val="000000"/>
          <w:szCs w:val="24"/>
          <w:lang w:val="es-ES" w:eastAsia="es-MX"/>
        </w:rPr>
        <w:t>Dirección de Seguridad Pública y Tránsito</w:t>
      </w:r>
      <w:r w:rsidR="000E32B4">
        <w:rPr>
          <w:rFonts w:eastAsia="Calibri" w:cs="Tahoma"/>
          <w:color w:val="000000"/>
          <w:szCs w:val="24"/>
          <w:lang w:val="es-ES" w:eastAsia="es-MX"/>
        </w:rPr>
        <w:t xml:space="preserve"> no contenía el número de elementos requerido</w:t>
      </w:r>
      <w:r w:rsidRPr="000C0FC5" w:rsidR="00D3476D">
        <w:rPr>
          <w:rFonts w:eastAsia="Calibri" w:cs="Tahoma"/>
          <w:color w:val="000000"/>
          <w:szCs w:val="24"/>
          <w:lang w:val="es-ES" w:eastAsia="es-MX"/>
        </w:rPr>
        <w:t xml:space="preserve">, circunstancia que actualiza la causal de procedencia prevista en la fracción V, del artículo 179 de la </w:t>
      </w:r>
      <w:r w:rsidRPr="000C0FC5" w:rsidR="007474FF">
        <w:rPr>
          <w:rFonts w:eastAsia="Calibri" w:cs="Tahoma"/>
          <w:color w:val="000000"/>
          <w:szCs w:val="24"/>
          <w:lang w:val="es-ES" w:eastAsia="es-MX"/>
        </w:rPr>
        <w:t xml:space="preserve">Ley de Transparencia y Acceso a la Información Pública del Estado de México y Municipios. </w:t>
      </w:r>
    </w:p>
    <w:p w:rsidRPr="000C0FC5" w:rsidR="00C853D1" w:rsidP="0046100E" w:rsidRDefault="00C853D1" w14:paraId="633F3F1E" w14:textId="09A3C14B">
      <w:pPr>
        <w:autoSpaceDE w:val="0"/>
        <w:autoSpaceDN w:val="0"/>
        <w:adjustRightInd w:val="0"/>
        <w:spacing w:after="0" w:line="360" w:lineRule="auto"/>
        <w:rPr>
          <w:rFonts w:eastAsia="Calibri" w:cs="Tahoma"/>
          <w:bCs/>
          <w:lang w:val="es-ES_tradnl"/>
        </w:rPr>
      </w:pPr>
    </w:p>
    <w:p w:rsidRPr="000C0FC5" w:rsidR="00682222" w:rsidP="0046100E" w:rsidRDefault="00682222" w14:paraId="3D95F93D" w14:textId="6E07FF94">
      <w:pPr>
        <w:tabs>
          <w:tab w:val="left" w:pos="4962"/>
        </w:tabs>
        <w:spacing w:after="0" w:line="360" w:lineRule="auto"/>
        <w:rPr>
          <w:rFonts w:eastAsia="Calibri" w:cs="Tahoma"/>
          <w:iCs/>
          <w:lang w:val="es-ES" w:eastAsia="es-ES_tradnl"/>
        </w:rPr>
      </w:pPr>
      <w:r w:rsidRPr="000C0FC5">
        <w:rPr>
          <w:rFonts w:eastAsia="Calibri" w:cs="Tahoma"/>
          <w:iCs/>
          <w:lang w:val="es-ES" w:eastAsia="es-ES_tradnl"/>
        </w:rPr>
        <w:t xml:space="preserve">Conforme a lo anterior, se logra vislumbrar que el ahora Recurrente no se agravió </w:t>
      </w:r>
      <w:r w:rsidR="000E32B4">
        <w:rPr>
          <w:rFonts w:eastAsia="Calibri" w:cs="Tahoma"/>
          <w:iCs/>
          <w:lang w:val="es-ES" w:eastAsia="es-ES_tradnl"/>
        </w:rPr>
        <w:t>con la falta de pronunciamiento del punto 2 y lo proporcionado para el 3</w:t>
      </w:r>
      <w:r w:rsidRPr="000C0FC5" w:rsidR="00C95C6B">
        <w:rPr>
          <w:rFonts w:eastAsia="Calibri" w:cs="Tahoma"/>
          <w:iCs/>
          <w:lang w:val="es-ES" w:eastAsia="es-ES_tradnl"/>
        </w:rPr>
        <w:t xml:space="preserve">. En ese sentido, </w:t>
      </w:r>
      <w:r w:rsidRPr="000C0FC5">
        <w:rPr>
          <w:rFonts w:cs="Tahoma"/>
          <w:bCs/>
          <w:iCs/>
          <w:color w:val="000000"/>
          <w:lang w:val="es-ES"/>
        </w:rPr>
        <w:t xml:space="preserve">no se hará pronunciamiento alguno de conformidad con el artículo 195 </w:t>
      </w:r>
      <w:r w:rsidRPr="000C0FC5">
        <w:rPr>
          <w:rFonts w:cs="Tahoma"/>
          <w:bCs/>
          <w:iCs/>
          <w:color w:val="000000"/>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0C0FC5">
        <w:rPr>
          <w:rFonts w:cs="Tahoma"/>
          <w:b/>
          <w:bCs/>
          <w:iCs/>
          <w:color w:val="000000"/>
        </w:rPr>
        <w:t>los actos que se hayan consentido tácitamente,</w:t>
      </w:r>
      <w:r w:rsidRPr="000C0FC5">
        <w:rPr>
          <w:rFonts w:cs="Tahoma"/>
          <w:bCs/>
          <w:iCs/>
          <w:color w:val="000000"/>
        </w:rPr>
        <w:t xml:space="preserve"> entendiéndose por estos cuando el agravio no se haya promovido en el plazo señalado para el efecto.</w:t>
      </w:r>
    </w:p>
    <w:p w:rsidRPr="000C0FC5" w:rsidR="00682222" w:rsidP="0046100E" w:rsidRDefault="00682222" w14:paraId="0D87D8E1" w14:textId="77777777">
      <w:pPr>
        <w:spacing w:after="0" w:line="360" w:lineRule="auto"/>
        <w:rPr>
          <w:rFonts w:eastAsia="Times New Roman" w:cs="Tahoma"/>
          <w:bCs/>
          <w:color w:val="auto"/>
          <w:lang w:eastAsia="es-ES"/>
        </w:rPr>
      </w:pPr>
      <w:r w:rsidRPr="000C0FC5">
        <w:rPr>
          <w:rFonts w:eastAsia="Times New Roman" w:cs="Tahoma"/>
          <w:bCs/>
          <w:color w:val="auto"/>
          <w:lang w:eastAsia="es-ES"/>
        </w:rPr>
        <w:lastRenderedPageBreak/>
        <w:t xml:space="preserve">De la misma manera resulta aplicable el criterio sostenido por el Poder Judicial de la Federación de rubro </w:t>
      </w:r>
      <w:r w:rsidRPr="000C0FC5">
        <w:rPr>
          <w:rFonts w:eastAsia="Times New Roman" w:cs="Tahoma"/>
          <w:b/>
          <w:color w:val="auto"/>
          <w:lang w:eastAsia="es-ES"/>
        </w:rPr>
        <w:t>ACTOS CONSENTIDOS TÁCITAMENTE</w:t>
      </w:r>
      <w:r w:rsidRPr="000C0FC5">
        <w:rPr>
          <w:rFonts w:eastAsia="Times New Roman" w:cs="Tahoma"/>
          <w:bCs/>
          <w:color w:val="auto"/>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0C0FC5" w:rsidR="00682222" w:rsidP="0046100E" w:rsidRDefault="00682222" w14:paraId="2F97D91A" w14:textId="77777777">
      <w:pPr>
        <w:spacing w:after="0" w:line="360" w:lineRule="auto"/>
        <w:rPr>
          <w:rFonts w:eastAsia="Times New Roman" w:cs="Tahoma"/>
          <w:bCs/>
          <w:color w:val="auto"/>
          <w:lang w:eastAsia="es-ES"/>
        </w:rPr>
      </w:pPr>
    </w:p>
    <w:p w:rsidRPr="000C0FC5" w:rsidR="00682222" w:rsidP="0046100E" w:rsidRDefault="00682222" w14:paraId="6F70781C" w14:textId="77777777">
      <w:pPr>
        <w:spacing w:after="0" w:line="360" w:lineRule="auto"/>
        <w:rPr>
          <w:rFonts w:eastAsia="Times New Roman" w:cs="Tahoma"/>
          <w:bCs/>
          <w:color w:val="auto"/>
          <w:lang w:eastAsia="es-ES"/>
        </w:rPr>
      </w:pPr>
      <w:r w:rsidRPr="000C0FC5">
        <w:rPr>
          <w:rFonts w:eastAsia="Times New Roman" w:cs="Tahoma"/>
          <w:bCs/>
          <w:color w:val="auto"/>
          <w:lang w:eastAsia="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0C0FC5" w:rsidR="00682222" w:rsidP="0046100E" w:rsidRDefault="00682222" w14:paraId="48BCB6D1" w14:textId="77777777">
      <w:pPr>
        <w:spacing w:after="0" w:line="360" w:lineRule="auto"/>
        <w:rPr>
          <w:rFonts w:eastAsia="Times New Roman" w:cs="Tahoma"/>
          <w:bCs/>
          <w:color w:val="auto"/>
          <w:lang w:eastAsia="es-ES"/>
        </w:rPr>
      </w:pPr>
    </w:p>
    <w:p w:rsidRPr="000C0FC5" w:rsidR="00682222" w:rsidP="0046100E" w:rsidRDefault="00682222" w14:paraId="0ABE5874" w14:textId="77777777">
      <w:pPr>
        <w:spacing w:after="0" w:line="360" w:lineRule="auto"/>
        <w:rPr>
          <w:rFonts w:eastAsia="Times New Roman" w:cs="Tahoma"/>
          <w:bCs/>
          <w:color w:val="auto"/>
          <w:lang w:eastAsia="es-ES"/>
        </w:rPr>
      </w:pPr>
      <w:r w:rsidRPr="000C0FC5">
        <w:rPr>
          <w:rFonts w:eastAsia="Times New Roman" w:cs="Tahoma"/>
          <w:bCs/>
          <w:color w:val="auto"/>
          <w:lang w:eastAsia="es-ES"/>
        </w:rPr>
        <w:t>Asimismo, resulta relevante traer a colación el Criterio 01/20, emitido por el Instituto Nacional de Transparencia, Acceso a la Información y Protección de Datos Personales, que establece lo siguiente:</w:t>
      </w:r>
    </w:p>
    <w:p w:rsidRPr="000C0FC5" w:rsidR="00682222" w:rsidP="0046100E" w:rsidRDefault="00682222" w14:paraId="43541C87" w14:textId="77777777">
      <w:pPr>
        <w:spacing w:after="0" w:line="360" w:lineRule="auto"/>
        <w:rPr>
          <w:rFonts w:eastAsia="Times New Roman" w:cs="Tahoma"/>
          <w:bCs/>
          <w:color w:val="auto"/>
          <w:lang w:eastAsia="es-ES"/>
        </w:rPr>
      </w:pPr>
    </w:p>
    <w:p w:rsidRPr="000C0FC5" w:rsidR="00682222" w:rsidP="0046100E" w:rsidRDefault="00682222" w14:paraId="0CD73E56" w14:textId="77777777">
      <w:pPr>
        <w:spacing w:after="0" w:line="360" w:lineRule="auto"/>
        <w:ind w:left="567" w:right="567"/>
        <w:rPr>
          <w:rFonts w:cs="Tahoma"/>
          <w:bCs/>
          <w:i/>
          <w:color w:val="000000"/>
          <w:sz w:val="20"/>
          <w:szCs w:val="20"/>
        </w:rPr>
      </w:pPr>
      <w:r w:rsidRPr="000C0FC5">
        <w:rPr>
          <w:rFonts w:cs="Tahoma"/>
          <w:b/>
          <w:bCs/>
          <w:i/>
          <w:color w:val="000000"/>
          <w:sz w:val="20"/>
          <w:szCs w:val="20"/>
        </w:rPr>
        <w:t xml:space="preserve">“Actos consentidos tácitamente. Improcedencia de su análisis. </w:t>
      </w:r>
      <w:r w:rsidRPr="000C0FC5">
        <w:rPr>
          <w:rFonts w:cs="Tahoma"/>
          <w:bCs/>
          <w:i/>
          <w:color w:val="000000"/>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0C0FC5" w:rsidR="00682222" w:rsidP="0046100E" w:rsidRDefault="00682222" w14:paraId="387F342C" w14:textId="77777777">
      <w:pPr>
        <w:spacing w:after="0" w:line="360" w:lineRule="auto"/>
        <w:ind w:left="567" w:right="567"/>
        <w:rPr>
          <w:rFonts w:cs="Tahoma"/>
          <w:bCs/>
          <w:iCs/>
          <w:color w:val="000000"/>
        </w:rPr>
      </w:pPr>
    </w:p>
    <w:p w:rsidRPr="000C0FC5" w:rsidR="00C853D1" w:rsidP="0046100E" w:rsidRDefault="00682222" w14:paraId="282C5439" w14:textId="4335BF2C">
      <w:pPr>
        <w:spacing w:after="0" w:line="360" w:lineRule="auto"/>
        <w:rPr>
          <w:rFonts w:eastAsia="Calibri" w:cs="Tahoma"/>
          <w:bCs/>
          <w:iCs/>
          <w:lang w:val="es-ES"/>
        </w:rPr>
      </w:pPr>
      <w:r w:rsidRPr="000C0FC5">
        <w:rPr>
          <w:rFonts w:eastAsia="Times New Roman" w:cs="Tahoma"/>
          <w:bCs/>
          <w:color w:val="auto"/>
          <w:lang w:eastAsia="es-ES"/>
        </w:rPr>
        <w:t xml:space="preserve">Conforme al Criterio establecido, es improcedente entrar al análisis de las partes de la respuesta del Sujeto Obligado que no fueron impugnadas por el Recurrente; por lo que, en el presente caso, </w:t>
      </w:r>
      <w:r w:rsidRPr="000C0FC5">
        <w:rPr>
          <w:rFonts w:eastAsia="Times New Roman" w:cs="Tahoma"/>
          <w:b/>
          <w:color w:val="auto"/>
          <w:lang w:eastAsia="es-ES"/>
        </w:rPr>
        <w:t>se tiene por consentid</w:t>
      </w:r>
      <w:r w:rsidR="007E255E">
        <w:rPr>
          <w:rFonts w:eastAsia="Times New Roman" w:cs="Tahoma"/>
          <w:b/>
          <w:color w:val="auto"/>
          <w:lang w:eastAsia="es-ES"/>
        </w:rPr>
        <w:t xml:space="preserve">o lo referente a los puntos 2 y 3 de la solicitud. </w:t>
      </w:r>
      <w:r w:rsidRPr="000C0FC5" w:rsidR="00C853D1">
        <w:rPr>
          <w:rFonts w:eastAsia="Calibri" w:cs="Tahoma"/>
          <w:bCs/>
          <w:lang w:val="es-ES_tradnl"/>
        </w:rPr>
        <w:t xml:space="preserve">Así las cosas, </w:t>
      </w:r>
      <w:r w:rsidRPr="000C0FC5" w:rsidR="00C853D1">
        <w:rPr>
          <w:rFonts w:eastAsia="Calibri" w:cs="Tahoma"/>
          <w:bCs/>
          <w:iCs/>
          <w:lang w:val="es-ES"/>
        </w:rPr>
        <w:t xml:space="preserve">una vez admitido y notificado el Recurso de Revisión a las partes, </w:t>
      </w:r>
      <w:r w:rsidR="007E255E">
        <w:rPr>
          <w:rFonts w:eastAsia="Calibri" w:cs="Tahoma"/>
          <w:bCs/>
          <w:iCs/>
          <w:lang w:val="es-ES"/>
        </w:rPr>
        <w:t>estas fueron omisas en emitir manifestaciones o alegatos.</w:t>
      </w:r>
    </w:p>
    <w:p w:rsidRPr="000C0FC5" w:rsidR="0030422A" w:rsidP="0046100E" w:rsidRDefault="0030422A" w14:paraId="42D15A1D" w14:textId="77777777">
      <w:pPr>
        <w:autoSpaceDE w:val="0"/>
        <w:autoSpaceDN w:val="0"/>
        <w:adjustRightInd w:val="0"/>
        <w:spacing w:after="0" w:line="360" w:lineRule="auto"/>
        <w:rPr>
          <w:rFonts w:eastAsia="Calibri" w:cs="Tahoma"/>
          <w:bCs/>
          <w:iCs/>
          <w:lang w:val="es-ES"/>
        </w:rPr>
      </w:pPr>
    </w:p>
    <w:p w:rsidRPr="000C0FC5" w:rsidR="00C853D1" w:rsidP="0046100E" w:rsidRDefault="00C853D1" w14:paraId="47A7D7E9" w14:textId="4A017FC3">
      <w:pPr>
        <w:spacing w:after="0" w:line="360" w:lineRule="auto"/>
      </w:pPr>
      <w:r w:rsidRPr="000C0FC5">
        <w:lastRenderedPageBreak/>
        <w:t>Lo anterior, se desprende de las documentales que obran en el expediente de referencia, materia de la presente Resolución, consistentes en: la solicitud de acceso a la información; la respuesta del Sujeto Obligado</w:t>
      </w:r>
      <w:r w:rsidRPr="000C0FC5" w:rsidR="0030422A">
        <w:t xml:space="preserve"> y </w:t>
      </w:r>
      <w:r w:rsidRPr="000C0FC5">
        <w:rPr>
          <w:bCs/>
        </w:rPr>
        <w:t xml:space="preserve">el </w:t>
      </w:r>
      <w:r w:rsidRPr="000C0FC5">
        <w:t>escrito recursal</w:t>
      </w:r>
      <w:r w:rsidR="007E255E">
        <w:t>;</w:t>
      </w:r>
      <w:r w:rsidRPr="000C0FC5" w:rsidR="0030422A">
        <w:t xml:space="preserve"> </w:t>
      </w:r>
      <w:r w:rsidRPr="000C0FC5">
        <w:t>instrumentales que se toman en cuenta a efecto de resolver el presente medio de impugnación, conforme a lo dispuesto por el artículo 185, fracción IV, de la Ley de Transparencia y Acceso a la Información Pública del Estado de México y Municipios.</w:t>
      </w:r>
    </w:p>
    <w:p w:rsidRPr="000C0FC5" w:rsidR="00C853D1" w:rsidP="0046100E" w:rsidRDefault="00C853D1" w14:paraId="5796AF7E" w14:textId="77777777">
      <w:pPr>
        <w:spacing w:after="0" w:line="360" w:lineRule="auto"/>
      </w:pPr>
    </w:p>
    <w:p w:rsidRPr="000C0FC5" w:rsidR="00C853D1" w:rsidP="0046100E" w:rsidRDefault="00C853D1" w14:paraId="4AD760E5" w14:textId="77777777">
      <w:pPr>
        <w:spacing w:after="0" w:line="360" w:lineRule="auto"/>
        <w:rPr>
          <w:rFonts w:eastAsia="Times New Roman" w:cs="Tahoma"/>
          <w:b/>
          <w:bCs/>
          <w:iCs/>
          <w:color w:val="auto"/>
          <w:lang w:eastAsia="es-ES"/>
        </w:rPr>
      </w:pPr>
      <w:r w:rsidRPr="000C0FC5">
        <w:rPr>
          <w:rFonts w:eastAsia="Times New Roman" w:cs="Tahoma"/>
          <w:b/>
          <w:bCs/>
          <w:iCs/>
          <w:color w:val="auto"/>
          <w:lang w:val="es-ES" w:eastAsia="es-ES"/>
        </w:rPr>
        <w:t xml:space="preserve">CUARTO. </w:t>
      </w:r>
      <w:r w:rsidRPr="000C0FC5">
        <w:rPr>
          <w:rFonts w:eastAsia="Times New Roman" w:cs="Tahoma"/>
          <w:b/>
          <w:bCs/>
          <w:iCs/>
          <w:color w:val="auto"/>
          <w:lang w:eastAsia="es-ES"/>
        </w:rPr>
        <w:t>Marco normativo aplicable en materia de transparencia y acceso a la información pública.</w:t>
      </w:r>
    </w:p>
    <w:p w:rsidRPr="000C0FC5" w:rsidR="00C853D1" w:rsidP="0046100E" w:rsidRDefault="00C853D1" w14:paraId="43AD0F27" w14:textId="77777777">
      <w:pPr>
        <w:spacing w:after="0" w:line="360" w:lineRule="auto"/>
        <w:rPr>
          <w:rFonts w:eastAsia="Times New Roman" w:cs="Tahoma"/>
          <w:b/>
          <w:bCs/>
          <w:iCs/>
          <w:color w:val="auto"/>
          <w:lang w:eastAsia="es-ES"/>
        </w:rPr>
      </w:pPr>
    </w:p>
    <w:p w:rsidRPr="000C0FC5" w:rsidR="00C853D1" w:rsidP="0046100E" w:rsidRDefault="00C853D1" w14:paraId="612B1C77" w14:textId="77777777">
      <w:pPr>
        <w:spacing w:after="0" w:line="360" w:lineRule="auto"/>
        <w:rPr>
          <w:rFonts w:eastAsia="Times New Roman" w:cs="Tahoma"/>
          <w:bCs/>
          <w:iCs/>
          <w:color w:val="auto"/>
          <w:lang w:eastAsia="es-ES"/>
        </w:rPr>
      </w:pPr>
      <w:r w:rsidRPr="000C0FC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C0FC5" w:rsidR="00C853D1" w:rsidP="0046100E" w:rsidRDefault="00C853D1" w14:paraId="4DEFDE24" w14:textId="77777777">
      <w:pPr>
        <w:spacing w:after="0" w:line="360" w:lineRule="auto"/>
        <w:rPr>
          <w:rFonts w:eastAsia="Times New Roman" w:cs="Tahoma"/>
          <w:bCs/>
          <w:iCs/>
          <w:color w:val="auto"/>
          <w:lang w:eastAsia="es-ES"/>
        </w:rPr>
      </w:pPr>
    </w:p>
    <w:p w:rsidRPr="000C0FC5" w:rsidR="00C853D1" w:rsidP="0046100E" w:rsidRDefault="00C853D1" w14:paraId="0629EDEA" w14:textId="77777777">
      <w:pPr>
        <w:spacing w:after="0" w:line="360" w:lineRule="auto"/>
        <w:rPr>
          <w:rFonts w:eastAsia="Times New Roman" w:cs="Tahoma"/>
          <w:bCs/>
          <w:iCs/>
          <w:color w:val="auto"/>
          <w:lang w:eastAsia="es-ES"/>
        </w:rPr>
      </w:pPr>
      <w:r w:rsidRPr="000C0FC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C0FC5" w:rsidR="00C853D1" w:rsidP="0046100E" w:rsidRDefault="00C853D1" w14:paraId="1198CD87" w14:textId="77777777">
      <w:pPr>
        <w:spacing w:after="0" w:line="360" w:lineRule="auto"/>
        <w:rPr>
          <w:rFonts w:eastAsia="Times New Roman" w:cs="Tahoma"/>
          <w:bCs/>
          <w:iCs/>
          <w:color w:val="auto"/>
          <w:lang w:eastAsia="es-ES"/>
        </w:rPr>
      </w:pPr>
    </w:p>
    <w:p w:rsidRPr="000C0FC5" w:rsidR="00C853D1" w:rsidP="0046100E" w:rsidRDefault="00C853D1" w14:paraId="2E116B44" w14:textId="77777777">
      <w:pPr>
        <w:spacing w:after="0" w:line="360" w:lineRule="auto"/>
        <w:rPr>
          <w:rFonts w:eastAsia="Times New Roman" w:cs="Tahoma"/>
          <w:bCs/>
          <w:iCs/>
          <w:color w:val="auto"/>
          <w:lang w:eastAsia="es-ES"/>
        </w:rPr>
      </w:pPr>
      <w:r w:rsidRPr="000C0FC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C0FC5" w:rsidR="00C853D1" w:rsidP="0046100E" w:rsidRDefault="00C853D1" w14:paraId="6D4CE485" w14:textId="77777777">
      <w:pPr>
        <w:spacing w:after="0" w:line="360" w:lineRule="auto"/>
        <w:rPr>
          <w:rFonts w:eastAsia="Times New Roman" w:cs="Tahoma"/>
          <w:bCs/>
          <w:iCs/>
          <w:color w:val="auto"/>
          <w:lang w:eastAsia="es-ES"/>
        </w:rPr>
      </w:pPr>
    </w:p>
    <w:p w:rsidRPr="000C0FC5" w:rsidR="00C853D1" w:rsidP="0046100E" w:rsidRDefault="00C853D1" w14:paraId="39E7B3D5" w14:textId="77777777">
      <w:pPr>
        <w:spacing w:after="0" w:line="360" w:lineRule="auto"/>
        <w:rPr>
          <w:rFonts w:eastAsia="Times New Roman" w:cs="Tahoma"/>
          <w:bCs/>
          <w:iCs/>
          <w:color w:val="auto"/>
          <w:lang w:eastAsia="es-ES"/>
        </w:rPr>
      </w:pPr>
      <w:r w:rsidRPr="000C0FC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0C0FC5" w:rsidR="00C853D1" w:rsidP="0046100E" w:rsidRDefault="00C853D1" w14:paraId="08EAD36A" w14:textId="77777777">
      <w:pPr>
        <w:spacing w:after="0" w:line="360" w:lineRule="auto"/>
        <w:rPr>
          <w:rFonts w:eastAsia="Times New Roman" w:cs="Tahoma"/>
          <w:bCs/>
          <w:iCs/>
          <w:color w:val="auto"/>
          <w:lang w:eastAsia="es-ES"/>
        </w:rPr>
      </w:pPr>
    </w:p>
    <w:p w:rsidRPr="000C0FC5" w:rsidR="00C853D1" w:rsidP="0046100E" w:rsidRDefault="00C853D1" w14:paraId="33BD459A" w14:textId="77777777">
      <w:pPr>
        <w:spacing w:after="0" w:line="360" w:lineRule="auto"/>
        <w:rPr>
          <w:rFonts w:eastAsia="Times New Roman" w:cs="Tahoma"/>
          <w:bCs/>
          <w:iCs/>
          <w:color w:val="auto"/>
          <w:lang w:eastAsia="es-ES"/>
        </w:rPr>
      </w:pPr>
      <w:r w:rsidRPr="000C0FC5">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rsidRPr="000C0FC5" w:rsidR="00C853D1" w:rsidP="0046100E" w:rsidRDefault="00C853D1" w14:paraId="7F23F258" w14:textId="77777777">
      <w:pPr>
        <w:spacing w:after="0" w:line="360" w:lineRule="auto"/>
        <w:rPr>
          <w:rFonts w:eastAsia="Times New Roman" w:cs="Tahoma"/>
          <w:bCs/>
          <w:iCs/>
          <w:color w:val="auto"/>
          <w:lang w:eastAsia="es-ES"/>
        </w:rPr>
      </w:pPr>
    </w:p>
    <w:p w:rsidRPr="000C0FC5" w:rsidR="00C853D1" w:rsidP="0046100E" w:rsidRDefault="00C853D1" w14:paraId="21150C29" w14:textId="77777777">
      <w:pPr>
        <w:spacing w:after="0" w:line="360" w:lineRule="auto"/>
        <w:rPr>
          <w:rFonts w:eastAsia="Times New Roman" w:cs="Tahoma"/>
          <w:bCs/>
          <w:iCs/>
          <w:color w:val="auto"/>
          <w:lang w:eastAsia="es-ES"/>
        </w:rPr>
      </w:pPr>
      <w:r w:rsidRPr="000C0FC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0C0FC5" w:rsidR="00C853D1" w:rsidP="0046100E" w:rsidRDefault="00C853D1" w14:paraId="3F8053D7" w14:textId="77777777">
      <w:pPr>
        <w:spacing w:after="0" w:line="360" w:lineRule="auto"/>
        <w:rPr>
          <w:rFonts w:eastAsia="Times New Roman" w:cs="Tahoma"/>
          <w:bCs/>
          <w:iCs/>
          <w:color w:val="auto"/>
          <w:lang w:eastAsia="es-ES"/>
        </w:rPr>
      </w:pPr>
    </w:p>
    <w:p w:rsidRPr="000C0FC5" w:rsidR="00C853D1" w:rsidP="0046100E" w:rsidRDefault="00C853D1" w14:paraId="391D3BDE" w14:textId="77777777">
      <w:pPr>
        <w:spacing w:after="0" w:line="360" w:lineRule="auto"/>
        <w:rPr>
          <w:rFonts w:eastAsia="Times New Roman" w:cs="Tahoma"/>
          <w:bCs/>
          <w:iCs/>
          <w:color w:val="auto"/>
          <w:lang w:eastAsia="es-ES"/>
        </w:rPr>
      </w:pPr>
      <w:r w:rsidRPr="000C0FC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C0FC5" w:rsidR="00C853D1" w:rsidP="0046100E" w:rsidRDefault="00C853D1" w14:paraId="1052A03D" w14:textId="77777777">
      <w:pPr>
        <w:spacing w:after="0" w:line="360" w:lineRule="auto"/>
        <w:rPr>
          <w:rFonts w:eastAsia="Times New Roman" w:cs="Tahoma"/>
          <w:b/>
          <w:bCs/>
          <w:iCs/>
          <w:color w:val="auto"/>
          <w:lang w:val="es-ES" w:eastAsia="es-ES"/>
        </w:rPr>
      </w:pPr>
    </w:p>
    <w:p w:rsidRPr="000C0FC5" w:rsidR="00C853D1" w:rsidP="0046100E" w:rsidRDefault="00C853D1" w14:paraId="4CD9F9A9" w14:textId="77777777">
      <w:pPr>
        <w:spacing w:after="0" w:line="360" w:lineRule="auto"/>
        <w:rPr>
          <w:rFonts w:eastAsia="Times New Roman" w:cs="Tahoma"/>
          <w:b/>
          <w:bCs/>
          <w:iCs/>
          <w:color w:val="auto"/>
          <w:lang w:val="es-ES" w:eastAsia="es-ES"/>
        </w:rPr>
      </w:pPr>
      <w:r w:rsidRPr="000C0FC5">
        <w:rPr>
          <w:rFonts w:eastAsia="Times New Roman" w:cs="Tahoma"/>
          <w:b/>
          <w:bCs/>
          <w:iCs/>
          <w:color w:val="auto"/>
          <w:lang w:val="es-ES" w:eastAsia="es-ES"/>
        </w:rPr>
        <w:t>Quinto. Estudio de Fondo.</w:t>
      </w:r>
    </w:p>
    <w:p w:rsidRPr="000C0FC5" w:rsidR="00C853D1" w:rsidP="0046100E" w:rsidRDefault="00C853D1" w14:paraId="614B9665" w14:textId="5578038A">
      <w:pPr>
        <w:spacing w:after="0" w:line="360" w:lineRule="auto"/>
        <w:rPr>
          <w:rFonts w:eastAsia="Times New Roman" w:cs="Tahoma"/>
          <w:iCs/>
          <w:color w:val="auto"/>
          <w:lang w:val="es-ES" w:eastAsia="es-ES"/>
        </w:rPr>
      </w:pPr>
    </w:p>
    <w:p w:rsidR="00DA74B1" w:rsidP="0046100E" w:rsidRDefault="00CA43BE" w14:paraId="5A333198" w14:textId="541E4039">
      <w:pPr>
        <w:spacing w:after="0" w:line="360" w:lineRule="auto"/>
      </w:pPr>
      <w:r w:rsidRPr="000C0FC5">
        <w:t>Expuestas las posturas de las partes, se procede al análisis del agravio hecho valer por el ahora Recurren</w:t>
      </w:r>
      <w:r w:rsidR="002D162D">
        <w:t>te, para lo cual, en principio resulta necesario contextualizar la solicitud de información.</w:t>
      </w:r>
    </w:p>
    <w:p w:rsidR="0046100E" w:rsidP="0046100E" w:rsidRDefault="0046100E" w14:paraId="280DE4EB" w14:textId="77777777">
      <w:pPr>
        <w:spacing w:after="0" w:line="360" w:lineRule="auto"/>
      </w:pPr>
    </w:p>
    <w:p w:rsidR="0046100E" w:rsidP="0046100E" w:rsidRDefault="0046100E" w14:paraId="6CDBCAD7" w14:textId="1F81A8CD">
      <w:pPr>
        <w:tabs>
          <w:tab w:val="left" w:pos="4962"/>
        </w:tabs>
        <w:spacing w:after="0" w:line="360" w:lineRule="auto"/>
        <w:rPr>
          <w:rFonts w:eastAsia="Calibri" w:cs="Tahoma"/>
          <w:iCs/>
          <w:lang w:val="es-ES" w:eastAsia="es-ES_tradnl"/>
        </w:rPr>
      </w:pPr>
      <w:r>
        <w:t>En ese contexto, es de señalar que en el presente caso, la parte Recurrente, requirió se le diera respuesta al cuestionamiento referente “</w:t>
      </w:r>
      <w:r w:rsidRPr="002D162D" w:rsidR="002D162D">
        <w:rPr>
          <w:bCs/>
          <w:i/>
          <w:iCs/>
        </w:rPr>
        <w:t>¿Cual es el Estado de Fuerza Operativa de su municipio? entendiéndose como "estado de fuerza operativa" los agentes de policía municipal uniformados "pie tierra" para las labores de seguridad pública, transito</w:t>
      </w:r>
      <w:r>
        <w:rPr>
          <w:bCs/>
          <w:i/>
          <w:iCs/>
        </w:rPr>
        <w:t xml:space="preserve"> y vialidad…”;</w:t>
      </w:r>
      <w:r>
        <w:rPr>
          <w:rFonts w:eastAsia="Calibri" w:cs="Tahoma"/>
          <w:iCs/>
          <w:lang w:val="es-ES" w:eastAsia="es-ES_tradnl"/>
        </w:rPr>
        <w:t xml:space="preserve"> con lo cual, de su simple lectura, se logra desprender que, para atender dicha solicitud, el Sujeto Obligado tendría que elaborar un documento </w:t>
      </w:r>
      <w:r w:rsidRPr="005C6BAD">
        <w:rPr>
          <w:rFonts w:eastAsia="Calibri" w:cs="Tahoma"/>
          <w:i/>
          <w:iCs/>
          <w:lang w:val="es-ES" w:eastAsia="es-ES_tradnl"/>
        </w:rPr>
        <w:t>ad hoc.</w:t>
      </w:r>
    </w:p>
    <w:p w:rsidR="002D162D" w:rsidP="0046100E" w:rsidRDefault="002D162D" w14:paraId="2BCB5FF1" w14:textId="3F063994">
      <w:pPr>
        <w:spacing w:after="0" w:line="360" w:lineRule="auto"/>
      </w:pPr>
    </w:p>
    <w:p w:rsidRPr="0046100E" w:rsidR="0046100E" w:rsidP="0046100E" w:rsidRDefault="0046100E" w14:paraId="30D21F29" w14:textId="77777777">
      <w:pPr>
        <w:shd w:val="clear" w:color="auto" w:fill="FFFFFF"/>
        <w:spacing w:after="0" w:line="360" w:lineRule="auto"/>
        <w:rPr>
          <w:rFonts w:eastAsia="Times New Roman" w:cs="Times New Roman"/>
          <w:lang w:val="es-ES" w:eastAsia="es-MX"/>
        </w:rPr>
      </w:pPr>
      <w:r w:rsidRPr="0046100E">
        <w:rPr>
          <w:rFonts w:eastAsia="Times New Roman" w:cs="Times New Roman"/>
          <w:lang w:val="es-ES" w:eastAsia="es-MX"/>
        </w:rPr>
        <w:lastRenderedPageBreak/>
        <w:t>Sobre el particular, cabe traer a colación los artículos 2°, fracción II, </w:t>
      </w:r>
      <w:r w:rsidRPr="0046100E">
        <w:rPr>
          <w:rFonts w:eastAsia="Times New Roman" w:cs="Times New Roman"/>
          <w:lang w:eastAsia="es-MX"/>
        </w:rPr>
        <w:t>3°, fracción XI y 18 de </w:t>
      </w:r>
      <w:r w:rsidRPr="0046100E">
        <w:rPr>
          <w:rFonts w:eastAsia="Times New Roman" w:cs="Times New Roman"/>
          <w:lang w:val="es-ES" w:eastAsia="es-MX"/>
        </w:rPr>
        <w:t>la Ley de Transparencia y Acceso a la Información Pública del Estado de México y Municipios, que disponen lo siguiente:</w:t>
      </w:r>
    </w:p>
    <w:p w:rsidRPr="0046100E" w:rsidR="0046100E" w:rsidP="0046100E" w:rsidRDefault="0046100E" w14:paraId="08022A82" w14:textId="77777777">
      <w:pPr>
        <w:shd w:val="clear" w:color="auto" w:fill="FFFFFF"/>
        <w:spacing w:after="0" w:line="360" w:lineRule="auto"/>
        <w:rPr>
          <w:rFonts w:eastAsia="Times New Roman" w:cs="Times New Roman"/>
          <w:lang w:val="es-ES" w:eastAsia="es-MX"/>
        </w:rPr>
      </w:pPr>
    </w:p>
    <w:p w:rsidRPr="0046100E" w:rsidR="0046100E" w:rsidP="00AD79E6" w:rsidRDefault="0046100E" w14:paraId="5625830F" w14:textId="77777777">
      <w:pPr>
        <w:numPr>
          <w:ilvl w:val="0"/>
          <w:numId w:val="27"/>
        </w:numPr>
        <w:shd w:val="clear" w:color="auto" w:fill="FFFFFF"/>
        <w:spacing w:after="0" w:line="360" w:lineRule="auto"/>
        <w:contextualSpacing/>
        <w:rPr>
          <w:rFonts w:ascii="Times New Roman" w:hAnsi="Times New Roman" w:eastAsia="Times New Roman" w:cs="Times New Roman"/>
          <w:szCs w:val="24"/>
          <w:lang w:eastAsia="es-MX"/>
        </w:rPr>
      </w:pPr>
      <w:r w:rsidRPr="0046100E">
        <w:rPr>
          <w:rFonts w:eastAsia="Times New Roman" w:cs="Times New Roman"/>
          <w:szCs w:val="24"/>
          <w:lang w:eastAsia="es-MX"/>
        </w:rPr>
        <w:t xml:space="preserve">Que uno de los objetivos de la Ley es proveer lo necesario para garantizar a toda persona el derecho de acceso a la información pública; </w:t>
      </w:r>
    </w:p>
    <w:p w:rsidRPr="0046100E" w:rsidR="0046100E" w:rsidP="00AD79E6" w:rsidRDefault="0046100E" w14:paraId="7821BB60" w14:textId="77777777">
      <w:pPr>
        <w:shd w:val="clear" w:color="auto" w:fill="FFFFFF"/>
        <w:spacing w:after="0" w:line="360" w:lineRule="auto"/>
        <w:ind w:left="720"/>
        <w:contextualSpacing/>
        <w:rPr>
          <w:rFonts w:ascii="Times New Roman" w:hAnsi="Times New Roman" w:eastAsia="Times New Roman" w:cs="Times New Roman"/>
          <w:szCs w:val="24"/>
          <w:lang w:eastAsia="es-MX"/>
        </w:rPr>
      </w:pPr>
    </w:p>
    <w:p w:rsidRPr="0046100E" w:rsidR="0046100E" w:rsidP="00AD79E6" w:rsidRDefault="0046100E" w14:paraId="411E456A" w14:textId="77777777">
      <w:pPr>
        <w:numPr>
          <w:ilvl w:val="0"/>
          <w:numId w:val="27"/>
        </w:numPr>
        <w:shd w:val="clear" w:color="auto" w:fill="FFFFFF"/>
        <w:spacing w:after="0" w:line="360" w:lineRule="auto"/>
        <w:contextualSpacing/>
        <w:rPr>
          <w:rFonts w:ascii="Times New Roman" w:hAnsi="Times New Roman" w:eastAsia="Times New Roman" w:cs="Times New Roman"/>
          <w:szCs w:val="24"/>
          <w:lang w:eastAsia="es-MX"/>
        </w:rPr>
      </w:pPr>
      <w:r w:rsidRPr="0046100E">
        <w:rPr>
          <w:rFonts w:eastAsia="Times New Roman" w:cs="Times New Roman"/>
          <w:szCs w:val="24"/>
          <w:lang w:eastAsia="es-MX"/>
        </w:rPr>
        <w:t>Que los </w:t>
      </w:r>
      <w:r w:rsidRPr="0046100E">
        <w:rPr>
          <w:rFonts w:eastAsia="Times New Roman" w:cs="Times New Roman"/>
          <w:b/>
          <w:bCs/>
          <w:szCs w:val="24"/>
          <w:lang w:eastAsia="es-MX"/>
        </w:rPr>
        <w:t>documentos </w:t>
      </w:r>
      <w:r w:rsidRPr="0046100E">
        <w:rPr>
          <w:rFonts w:eastAsia="Times New Roman" w:cs="Times New Roman"/>
          <w:szCs w:val="24"/>
          <w:lang w:eastAsia="es-MX"/>
        </w:rPr>
        <w:t>son los expedientes, reportes, estudios, actas, resoluciones, contratos, convenios, instructivos, notas, memorandos, estadísticas o </w:t>
      </w:r>
      <w:r w:rsidRPr="0046100E">
        <w:rPr>
          <w:rFonts w:eastAsia="Times New Roman" w:cs="Times New Roman"/>
          <w:b/>
          <w:bCs/>
          <w:szCs w:val="24"/>
          <w:lang w:eastAsia="es-MX"/>
        </w:rPr>
        <w:t>cualquier registro que documente el ejercicio de facultades, funciones y competencia</w:t>
      </w:r>
      <w:r w:rsidRPr="0046100E">
        <w:rPr>
          <w:rFonts w:eastAsia="Times New Roman" w:cs="Times New Roman"/>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46100E" w:rsidR="0046100E" w:rsidP="0046100E" w:rsidRDefault="0046100E" w14:paraId="4159D0F2"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eastAsia="es-MX"/>
        </w:rPr>
        <w:t> </w:t>
      </w:r>
    </w:p>
    <w:p w:rsidRPr="0046100E" w:rsidR="0046100E" w:rsidP="0046100E" w:rsidRDefault="0046100E" w14:paraId="2DB19ACC"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eastAsia="es-MX"/>
        </w:rPr>
        <w:t>Aunado a lo anterior, el artículo 4° de dicho ordenamiento jurídico, establece que la información es aquella </w:t>
      </w:r>
      <w:r w:rsidRPr="0046100E">
        <w:rPr>
          <w:rFonts w:eastAsia="Times New Roman" w:cs="Times New Roman"/>
          <w:b/>
          <w:bCs/>
          <w:lang w:eastAsia="es-MX"/>
        </w:rPr>
        <w:t>generada, obtenida, adquirida, transformada</w:t>
      </w:r>
      <w:r w:rsidRPr="0046100E">
        <w:rPr>
          <w:rFonts w:eastAsia="Times New Roman" w:cs="Times New Roman"/>
          <w:lang w:eastAsia="es-MX"/>
        </w:rPr>
        <w:t> por los sujetos obligados, o en su caso, </w:t>
      </w:r>
      <w:r w:rsidRPr="0046100E">
        <w:rPr>
          <w:rFonts w:eastAsia="Times New Roman" w:cs="Times New Roman"/>
          <w:b/>
          <w:bCs/>
          <w:lang w:eastAsia="es-MX"/>
        </w:rPr>
        <w:t>la tengan en su posesión, será pública y accesible para cualquier persona.</w:t>
      </w:r>
    </w:p>
    <w:p w:rsidRPr="0046100E" w:rsidR="0046100E" w:rsidP="0046100E" w:rsidRDefault="0046100E" w14:paraId="118C5782"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w:t>
      </w:r>
    </w:p>
    <w:p w:rsidRPr="0046100E" w:rsidR="0046100E" w:rsidP="0046100E" w:rsidRDefault="0046100E" w14:paraId="5005D012" w14:textId="77777777">
      <w:pPr>
        <w:shd w:val="clear" w:color="auto" w:fill="FFFFFF"/>
        <w:spacing w:after="0" w:line="360" w:lineRule="auto"/>
        <w:rPr>
          <w:rFonts w:ascii="Times New Roman" w:hAnsi="Times New Roman" w:eastAsia="Times New Roman" w:cs="Times New Roman"/>
          <w:b/>
          <w:lang w:eastAsia="es-MX"/>
        </w:rPr>
      </w:pPr>
      <w:r w:rsidRPr="0046100E">
        <w:rPr>
          <w:rFonts w:eastAsia="Times New Roman" w:cs="Times New Roman"/>
          <w:lang w:val="es-ES" w:eastAsia="es-MX"/>
        </w:rPr>
        <w:t xml:space="preserve">Así, se advierte que el derecho de acceso a la información, consiste en una prerrogativa de cualquier persona, a solicitar información pública que conste en </w:t>
      </w:r>
      <w:r w:rsidRPr="0046100E">
        <w:rPr>
          <w:rFonts w:eastAsia="Times New Roman" w:cs="Times New Roman"/>
          <w:b/>
          <w:lang w:val="es-ES" w:eastAsia="es-MX"/>
        </w:rPr>
        <w:t>documentos generados, obtenidos, adquiridos, transformados o que tengan en posesión los sujetos obligados.</w:t>
      </w:r>
    </w:p>
    <w:p w:rsidRPr="0046100E" w:rsidR="0046100E" w:rsidP="0046100E" w:rsidRDefault="0046100E" w14:paraId="0A0C2513"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w:t>
      </w:r>
    </w:p>
    <w:p w:rsidRPr="0046100E" w:rsidR="0046100E" w:rsidP="0046100E" w:rsidRDefault="0046100E" w14:paraId="0EF6F7E9"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xml:space="preserve">Lo anterior, es acorde con los artículos 12, 24, último párrafo y 160 de la Ley de Transparencia y Acceso a la Información Pública del Estado de México y Municipios, los cuales disponen que </w:t>
      </w:r>
      <w:r w:rsidRPr="0046100E">
        <w:rPr>
          <w:rFonts w:eastAsia="Times New Roman" w:cs="Times New Roman"/>
          <w:lang w:val="es-ES" w:eastAsia="es-MX"/>
        </w:rPr>
        <w:lastRenderedPageBreak/>
        <w:t>los Sujetos Obligados sólo entregarán la información que obre en sus archivos y no estarán obligados a procesarla, resumirla, efectuar cálculos o practicar investigaciones.</w:t>
      </w:r>
    </w:p>
    <w:p w:rsidRPr="0046100E" w:rsidR="0046100E" w:rsidP="0046100E" w:rsidRDefault="0046100E" w14:paraId="33916D5A"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w:t>
      </w:r>
    </w:p>
    <w:p w:rsidRPr="0046100E" w:rsidR="0046100E" w:rsidP="0046100E" w:rsidRDefault="0046100E" w14:paraId="6D1CE903"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xml:space="preserve">De tales circunstancias, se colige que los sujetos obligados únicamente están constreñidos a proporcionar </w:t>
      </w:r>
      <w:r w:rsidRPr="0046100E">
        <w:rPr>
          <w:rFonts w:eastAsia="Times New Roman" w:cs="Times New Roman"/>
          <w:b/>
          <w:lang w:val="es-ES" w:eastAsia="es-MX"/>
        </w:rPr>
        <w:t>la documentación que obre en sus archivos</w:t>
      </w:r>
      <w:r w:rsidRPr="0046100E">
        <w:rPr>
          <w:rFonts w:eastAsia="Times New Roman" w:cs="Times New Roman"/>
          <w:lang w:val="es-ES" w:eastAsia="es-MX"/>
        </w:rPr>
        <w:t>; por lo que, no están obligados a generar o elaborar documentos </w:t>
      </w:r>
      <w:r w:rsidRPr="0046100E">
        <w:rPr>
          <w:rFonts w:eastAsia="Times New Roman" w:cs="Times New Roman"/>
          <w:i/>
          <w:iCs/>
          <w:lang w:val="es-ES" w:eastAsia="es-MX"/>
        </w:rPr>
        <w:t>ad hoc, </w:t>
      </w:r>
      <w:r w:rsidRPr="0046100E">
        <w:rPr>
          <w:rFonts w:eastAsia="Times New Roman" w:cs="Times New Roman"/>
          <w:lang w:val="es-ES" w:eastAsia="es-MX"/>
        </w:rPr>
        <w:t>como es el caso de proporcionar respuesta a un cuestionamiento.</w:t>
      </w:r>
    </w:p>
    <w:p w:rsidRPr="0046100E" w:rsidR="0046100E" w:rsidP="0046100E" w:rsidRDefault="0046100E" w14:paraId="092417B2"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w:t>
      </w:r>
    </w:p>
    <w:p w:rsidRPr="0046100E" w:rsidR="0046100E" w:rsidP="0046100E" w:rsidRDefault="0046100E" w14:paraId="48ADC807"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Robustece lo anterior el Criterio 03/17 emitido por el Instituto Nacional de Transparencia, Acceso a la Información y Protección de Datos Personales, que a continuación se cita:</w:t>
      </w:r>
    </w:p>
    <w:p w:rsidRPr="0046100E" w:rsidR="0046100E" w:rsidP="0046100E" w:rsidRDefault="0046100E" w14:paraId="4DDF8F81" w14:textId="77777777">
      <w:pPr>
        <w:shd w:val="clear" w:color="auto" w:fill="FFFFFF"/>
        <w:spacing w:after="0" w:line="360" w:lineRule="auto"/>
        <w:rPr>
          <w:rFonts w:ascii="Times New Roman" w:hAnsi="Times New Roman" w:eastAsia="Times New Roman" w:cs="Times New Roman"/>
          <w:lang w:eastAsia="es-MX"/>
        </w:rPr>
      </w:pPr>
      <w:r w:rsidRPr="0046100E">
        <w:rPr>
          <w:rFonts w:eastAsia="Times New Roman" w:cs="Times New Roman"/>
          <w:lang w:val="es-ES" w:eastAsia="es-MX"/>
        </w:rPr>
        <w:t> </w:t>
      </w:r>
    </w:p>
    <w:p w:rsidRPr="0046100E" w:rsidR="0046100E" w:rsidP="00361821" w:rsidRDefault="0046100E" w14:paraId="14913556" w14:textId="77777777">
      <w:pPr>
        <w:spacing w:after="0" w:line="360" w:lineRule="auto"/>
        <w:ind w:left="567" w:right="567"/>
        <w:rPr>
          <w:rFonts w:eastAsia="Calibri" w:cs="Arial"/>
          <w:bCs/>
          <w:i/>
          <w:sz w:val="20"/>
          <w:szCs w:val="20"/>
          <w:lang w:val="es-ES"/>
        </w:rPr>
      </w:pPr>
      <w:r w:rsidRPr="0046100E">
        <w:rPr>
          <w:rFonts w:eastAsia="Calibri" w:cs="Arial"/>
          <w:b/>
          <w:bCs/>
          <w:i/>
          <w:sz w:val="20"/>
          <w:szCs w:val="20"/>
          <w:lang w:val="es-ES"/>
        </w:rPr>
        <w:t>“No existe obligación de elaborar documentos ad hoc para atender las solicitudes de acceso a la información. </w:t>
      </w:r>
      <w:r w:rsidRPr="0046100E">
        <w:rPr>
          <w:rFonts w:eastAsia="Calibri" w:cs="Arial"/>
          <w:bCs/>
          <w:i/>
          <w:sz w:val="20"/>
          <w:szCs w:val="20"/>
          <w:lang w:val="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00361821" w:rsidP="0046100E" w:rsidRDefault="00361821" w14:paraId="5D312BF7" w14:textId="77777777">
      <w:pPr>
        <w:spacing w:after="0" w:line="360" w:lineRule="auto"/>
        <w:rPr>
          <w:rFonts w:eastAsia="Calibri" w:cs="Arial"/>
          <w:bCs/>
          <w:lang w:val="es-ES"/>
        </w:rPr>
      </w:pPr>
    </w:p>
    <w:p w:rsidRPr="0046100E" w:rsidR="0046100E" w:rsidP="0046100E" w:rsidRDefault="0046100E" w14:paraId="21B7E62E" w14:textId="77777777">
      <w:pPr>
        <w:spacing w:after="0" w:line="360" w:lineRule="auto"/>
        <w:rPr>
          <w:rFonts w:eastAsia="Calibri" w:cs="Arial"/>
          <w:b/>
          <w:bCs/>
          <w:lang w:val="es-ES"/>
        </w:rPr>
      </w:pPr>
      <w:r w:rsidRPr="0046100E">
        <w:rPr>
          <w:rFonts w:eastAsia="Calibri" w:cs="Arial"/>
          <w:bCs/>
          <w:lang w:val="es-ES"/>
        </w:rPr>
        <w:t xml:space="preserve">Conforme a lo anterior, se advierte que las respuestas a los cuestionamientos realizados por la Solicitante, en primera instancia, son una consulta y no así una solicitud de acceso a información pública que pueda ser atendida mediante una expresión documental; pues corresponde a varias preguntas que implicarían elaborar un documento </w:t>
      </w:r>
      <w:r w:rsidRPr="0046100E">
        <w:rPr>
          <w:rFonts w:eastAsia="Calibri" w:cs="Arial"/>
          <w:bCs/>
          <w:i/>
          <w:lang w:val="es-ES"/>
        </w:rPr>
        <w:t>ad hoc.</w:t>
      </w:r>
      <w:r w:rsidRPr="0046100E">
        <w:rPr>
          <w:rFonts w:eastAsia="Calibri" w:cs="Arial"/>
          <w:b/>
          <w:bCs/>
          <w:lang w:val="es-ES"/>
        </w:rPr>
        <w:t xml:space="preserve"> </w:t>
      </w:r>
    </w:p>
    <w:p w:rsidRPr="0046100E" w:rsidR="0046100E" w:rsidP="0046100E" w:rsidRDefault="0046100E" w14:paraId="2706468F" w14:textId="77777777">
      <w:pPr>
        <w:spacing w:after="0" w:line="360" w:lineRule="auto"/>
        <w:rPr>
          <w:rFonts w:eastAsia="Calibri" w:cs="Arial"/>
          <w:b/>
          <w:bCs/>
          <w:lang w:val="es-ES"/>
        </w:rPr>
      </w:pPr>
    </w:p>
    <w:p w:rsidRPr="0046100E" w:rsidR="0046100E" w:rsidP="0046100E" w:rsidRDefault="0046100E" w14:paraId="36CD993E" w14:textId="77777777">
      <w:pPr>
        <w:spacing w:after="0" w:line="360" w:lineRule="auto"/>
        <w:rPr>
          <w:rFonts w:eastAsia="Calibri" w:cs="Arial"/>
          <w:bCs/>
        </w:rPr>
      </w:pPr>
      <w:r w:rsidRPr="0046100E">
        <w:rPr>
          <w:rFonts w:eastAsia="Calibri" w:cs="Arial"/>
          <w:bCs/>
          <w:lang w:val="es-ES"/>
        </w:rPr>
        <w:lastRenderedPageBreak/>
        <w:t xml:space="preserve">Lo anterior, toma sustento </w:t>
      </w:r>
      <w:r w:rsidRPr="0046100E">
        <w:rPr>
          <w:rFonts w:eastAsia="Calibri" w:cs="Arial"/>
          <w:bCs/>
        </w:rPr>
        <w:t xml:space="preserve">la Jurisprudencia XXI.1o.P.A. J/27, de los Tribunales Colegiados de Circuito, localizada en la página 1406, del Semanario Judicial de la Federación y su Gaceta, Tomo </w:t>
      </w:r>
      <w:r w:rsidRPr="0046100E">
        <w:rPr>
          <w:rFonts w:ascii="Calibri" w:hAnsi="Calibri" w:eastAsia="Calibri" w:cs="Calibri"/>
          <w:sz w:val="26"/>
          <w:szCs w:val="26"/>
          <w:lang w:val="es-ES"/>
        </w:rPr>
        <w:t>XXXIII</w:t>
      </w:r>
      <w:r w:rsidRPr="0046100E">
        <w:rPr>
          <w:rFonts w:eastAsia="Calibri" w:cs="Arial"/>
          <w:bCs/>
        </w:rPr>
        <w:t>, marzo 2011, Novena Época, que establece lo siguiente:</w:t>
      </w:r>
    </w:p>
    <w:p w:rsidRPr="0046100E" w:rsidR="0046100E" w:rsidP="0046100E" w:rsidRDefault="0046100E" w14:paraId="087CA955" w14:textId="77777777">
      <w:pPr>
        <w:spacing w:after="0" w:line="360" w:lineRule="auto"/>
        <w:rPr>
          <w:rFonts w:eastAsia="Calibri" w:cs="Arial"/>
          <w:bCs/>
        </w:rPr>
      </w:pPr>
    </w:p>
    <w:p w:rsidRPr="0046100E" w:rsidR="0046100E" w:rsidP="0046100E" w:rsidRDefault="0046100E" w14:paraId="3178D222" w14:textId="77777777">
      <w:pPr>
        <w:spacing w:after="0" w:line="360" w:lineRule="auto"/>
        <w:ind w:left="567" w:right="567"/>
        <w:rPr>
          <w:rFonts w:eastAsia="Calibri" w:cs="Arial"/>
          <w:bCs/>
          <w:i/>
          <w:sz w:val="20"/>
          <w:szCs w:val="20"/>
          <w:lang w:val="es-ES"/>
        </w:rPr>
      </w:pPr>
      <w:r w:rsidRPr="0046100E">
        <w:rPr>
          <w:rFonts w:eastAsia="Calibri" w:cs="Arial"/>
          <w:b/>
          <w:bCs/>
          <w:i/>
          <w:sz w:val="20"/>
          <w:szCs w:val="20"/>
          <w:lang w:val="es-ES"/>
        </w:rPr>
        <w:t xml:space="preserve">“DERECHO DE PETICIÓN. SUS ELEMENTOS. </w:t>
      </w:r>
      <w:r w:rsidRPr="0046100E">
        <w:rPr>
          <w:rFonts w:eastAsia="Calibri" w:cs="Arial"/>
          <w:bCs/>
          <w:i/>
          <w:sz w:val="20"/>
          <w:szCs w:val="20"/>
          <w:lang w:val="es-ES"/>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46100E" w:rsidR="0046100E" w:rsidP="0046100E" w:rsidRDefault="0046100E" w14:paraId="03223B4C" w14:textId="77777777">
      <w:pPr>
        <w:spacing w:after="0" w:line="360" w:lineRule="auto"/>
        <w:rPr>
          <w:rFonts w:eastAsia="Calibri" w:cs="Arial"/>
          <w:bCs/>
          <w:lang w:val="es-ES"/>
        </w:rPr>
      </w:pPr>
    </w:p>
    <w:p w:rsidRPr="0046100E" w:rsidR="0046100E" w:rsidP="0046100E" w:rsidRDefault="0046100E" w14:paraId="53497706" w14:textId="77777777">
      <w:pPr>
        <w:spacing w:after="0" w:line="360" w:lineRule="auto"/>
        <w:rPr>
          <w:rFonts w:eastAsia="Calibri" w:cs="Arial"/>
          <w:bCs/>
          <w:lang w:val="es-ES"/>
        </w:rPr>
      </w:pPr>
      <w:r w:rsidRPr="0046100E">
        <w:rPr>
          <w:rFonts w:eastAsia="Calibri" w:cs="Arial"/>
          <w:bCs/>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rsidR="0046100E" w:rsidP="0046100E" w:rsidRDefault="0046100E" w14:paraId="446805A9" w14:textId="77777777">
      <w:pPr>
        <w:tabs>
          <w:tab w:val="left" w:pos="4962"/>
        </w:tabs>
        <w:spacing w:after="0" w:line="360" w:lineRule="auto"/>
        <w:rPr>
          <w:rFonts w:eastAsia="Calibri" w:cs="Tahoma"/>
          <w:iCs/>
          <w:lang w:val="es-ES" w:eastAsia="es-ES_tradnl"/>
        </w:rPr>
      </w:pPr>
    </w:p>
    <w:p w:rsidR="00EA109A" w:rsidP="0046100E" w:rsidRDefault="00EA109A" w14:paraId="030A849A" w14:textId="77777777">
      <w:pPr>
        <w:tabs>
          <w:tab w:val="left" w:pos="4962"/>
        </w:tabs>
        <w:spacing w:after="0" w:line="360" w:lineRule="auto"/>
        <w:rPr>
          <w:rFonts w:eastAsia="Calibri" w:cs="Tahoma"/>
          <w:iCs/>
          <w:lang w:val="es-ES" w:eastAsia="es-ES_tradnl"/>
        </w:rPr>
      </w:pPr>
    </w:p>
    <w:p w:rsidRPr="0046100E" w:rsidR="00EA109A" w:rsidP="0046100E" w:rsidRDefault="00EA109A" w14:paraId="458DCD07" w14:textId="77777777">
      <w:pPr>
        <w:tabs>
          <w:tab w:val="left" w:pos="4962"/>
        </w:tabs>
        <w:spacing w:after="0" w:line="360" w:lineRule="auto"/>
        <w:rPr>
          <w:rFonts w:eastAsia="Calibri" w:cs="Tahoma"/>
          <w:iCs/>
          <w:lang w:val="es-ES" w:eastAsia="es-ES_tradnl"/>
        </w:rPr>
      </w:pPr>
    </w:p>
    <w:p w:rsidRPr="0046100E" w:rsidR="0046100E" w:rsidP="0046100E" w:rsidRDefault="0046100E" w14:paraId="65AE0520" w14:textId="77777777">
      <w:pPr>
        <w:shd w:val="clear" w:color="auto" w:fill="FFFFFF" w:themeFill="background1"/>
        <w:spacing w:after="0" w:line="360" w:lineRule="auto"/>
        <w:rPr>
          <w:rFonts w:eastAsia="Times New Roman" w:cs="Tahoma"/>
          <w:color w:val="auto"/>
          <w:lang w:val="es-ES" w:eastAsia="es-ES"/>
        </w:rPr>
      </w:pPr>
      <w:r w:rsidRPr="0046100E">
        <w:rPr>
          <w:rFonts w:eastAsia="Calibri" w:cs="Tahoma"/>
          <w:iCs/>
          <w:lang w:val="es-ES" w:eastAsia="es-ES_tradnl"/>
        </w:rPr>
        <w:t>No obstante, resulta necesario traer a colación el C</w:t>
      </w:r>
      <w:r w:rsidRPr="0046100E">
        <w:rPr>
          <w:rFonts w:eastAsia="Times New Roman" w:cs="Tahoma"/>
          <w:color w:val="auto"/>
          <w:lang w:val="es-ES" w:eastAsia="es-ES"/>
        </w:rPr>
        <w:t>riterio 16/17, emitido por el Instituto Nacional de Transparencia, Acceso a la Información y Protección de Datos Personales, que establece:</w:t>
      </w:r>
    </w:p>
    <w:p w:rsidRPr="0046100E" w:rsidR="0046100E" w:rsidP="0046100E" w:rsidRDefault="0046100E" w14:paraId="60078992" w14:textId="77777777">
      <w:pPr>
        <w:shd w:val="clear" w:color="auto" w:fill="FFFFFF" w:themeFill="background1"/>
        <w:spacing w:after="0" w:line="360" w:lineRule="auto"/>
        <w:rPr>
          <w:rFonts w:eastAsia="Times New Roman" w:cs="Tahoma"/>
          <w:color w:val="auto"/>
          <w:lang w:val="es-ES" w:eastAsia="es-ES"/>
        </w:rPr>
      </w:pPr>
    </w:p>
    <w:p w:rsidRPr="0046100E" w:rsidR="0046100E" w:rsidP="00361821" w:rsidRDefault="0046100E" w14:paraId="1C3583ED" w14:textId="77777777">
      <w:pPr>
        <w:spacing w:after="0" w:line="360" w:lineRule="auto"/>
        <w:ind w:left="567" w:right="567"/>
        <w:rPr>
          <w:rFonts w:eastAsia="Calibri" w:cs="Arial"/>
          <w:b/>
          <w:bCs/>
          <w:i/>
          <w:sz w:val="20"/>
          <w:szCs w:val="20"/>
          <w:lang w:val="es-ES"/>
        </w:rPr>
      </w:pPr>
      <w:r w:rsidRPr="0046100E">
        <w:rPr>
          <w:rFonts w:eastAsia="Calibri" w:cs="Arial"/>
          <w:b/>
          <w:bCs/>
          <w:i/>
          <w:sz w:val="20"/>
          <w:szCs w:val="20"/>
          <w:lang w:val="es-ES"/>
        </w:rPr>
        <w:t xml:space="preserve">“Expresión documental. </w:t>
      </w:r>
      <w:r w:rsidRPr="0046100E">
        <w:rPr>
          <w:rFonts w:eastAsia="Calibri" w:cs="Arial"/>
          <w:bCs/>
          <w:i/>
          <w:sz w:val="20"/>
          <w:szCs w:val="20"/>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Pr="0046100E" w:rsidR="0046100E" w:rsidP="00361821" w:rsidRDefault="0046100E" w14:paraId="4C12E56D" w14:textId="77777777">
      <w:pPr>
        <w:spacing w:after="0" w:line="360" w:lineRule="auto"/>
        <w:rPr>
          <w:rFonts w:eastAsia="Calibri" w:cs="Arial"/>
          <w:bCs/>
          <w:lang w:val="es-ES"/>
        </w:rPr>
      </w:pPr>
    </w:p>
    <w:p w:rsidRPr="0046100E" w:rsidR="0046100E" w:rsidP="00361821" w:rsidRDefault="0046100E" w14:paraId="0BF867A2" w14:textId="77777777">
      <w:pPr>
        <w:spacing w:after="0" w:line="360" w:lineRule="auto"/>
        <w:rPr>
          <w:rFonts w:eastAsia="Calibri" w:cs="Arial"/>
          <w:bCs/>
          <w:lang w:val="es-ES"/>
        </w:rPr>
      </w:pPr>
      <w:r w:rsidRPr="0046100E">
        <w:rPr>
          <w:rFonts w:eastAsia="Calibri" w:cs="Arial"/>
          <w:bCs/>
          <w:lang w:val="es-ES"/>
        </w:rPr>
        <w:t>Del criterio citado, se desprende que cuando los particulares realicen una consulta, pero la respuesta pudiera obrar en algún documento en poder de los Sujetos Obligados, estos deben de proporcionar la expresión documental, que dé cuenta de lo requerido.</w:t>
      </w:r>
    </w:p>
    <w:p w:rsidRPr="0046100E" w:rsidR="0046100E" w:rsidP="00361821" w:rsidRDefault="0046100E" w14:paraId="53AC6DF1" w14:textId="77777777">
      <w:pPr>
        <w:spacing w:after="0" w:line="360" w:lineRule="auto"/>
        <w:rPr>
          <w:rFonts w:eastAsia="Calibri" w:cs="Arial"/>
          <w:bCs/>
          <w:lang w:val="es-ES"/>
        </w:rPr>
      </w:pPr>
    </w:p>
    <w:p w:rsidR="0046100E" w:rsidP="0046100E" w:rsidRDefault="00361821" w14:paraId="164CB142" w14:textId="51DF49C0">
      <w:pPr>
        <w:spacing w:after="0" w:line="360" w:lineRule="auto"/>
        <w:rPr>
          <w:rFonts w:eastAsia="Calibri" w:cs="Tahoma"/>
          <w:iCs/>
          <w:lang w:val="es-ES" w:eastAsia="es-ES_tradnl"/>
        </w:rPr>
      </w:pPr>
      <w:r>
        <w:rPr>
          <w:rFonts w:eastAsia="Calibri" w:cs="Tahoma"/>
          <w:iCs/>
          <w:lang w:val="es-ES" w:eastAsia="es-ES_tradnl"/>
        </w:rPr>
        <w:t xml:space="preserve">Conforme a lo anterior, se considera que la pretensión del ahora Recurrente es obtener </w:t>
      </w:r>
      <w:r w:rsidR="00AD79E6">
        <w:rPr>
          <w:rFonts w:eastAsia="Calibri" w:cs="Tahoma"/>
          <w:iCs/>
          <w:lang w:val="es-ES" w:eastAsia="es-ES_tradnl"/>
        </w:rPr>
        <w:t>el número de policías municipales con los que contaba el Ayuntamiento de Metepec, al veintiséis de noviembre de dos mil veintiuno, para realizar las labores de seguridad pública, tránsito y vialidad.</w:t>
      </w:r>
    </w:p>
    <w:p w:rsidR="0046100E" w:rsidP="0046100E" w:rsidRDefault="0046100E" w14:paraId="1738DD90" w14:textId="77777777">
      <w:pPr>
        <w:spacing w:after="0" w:line="360" w:lineRule="auto"/>
        <w:rPr>
          <w:rFonts w:eastAsia="Calibri" w:cs="Tahoma"/>
          <w:iCs/>
          <w:lang w:val="es-ES" w:eastAsia="es-ES_tradnl"/>
        </w:rPr>
      </w:pPr>
    </w:p>
    <w:p w:rsidR="002830A7" w:rsidP="002830A7" w:rsidRDefault="00E808DF" w14:paraId="1594AB98" w14:textId="3C21C55F">
      <w:pPr>
        <w:spacing w:after="0" w:line="360" w:lineRule="auto"/>
        <w:rPr>
          <w:rFonts w:eastAsia="Times New Roman" w:cs="Times New Roman"/>
          <w:color w:val="auto"/>
          <w:lang w:val="es-ES" w:eastAsia="es-ES"/>
        </w:rPr>
      </w:pPr>
      <w:r>
        <w:rPr>
          <w:rFonts w:eastAsia="Times New Roman" w:cs="Times New Roman"/>
          <w:color w:val="auto"/>
          <w:lang w:val="es-ES" w:eastAsia="es-ES"/>
        </w:rPr>
        <w:t>Sobre dicha información</w:t>
      </w:r>
      <w:r w:rsidRPr="002830A7" w:rsidR="002830A7">
        <w:rPr>
          <w:rFonts w:eastAsia="Times New Roman" w:cs="Times New Roman"/>
          <w:color w:val="auto"/>
          <w:lang w:val="es-ES" w:eastAsia="es-ES"/>
        </w:rPr>
        <w:t xml:space="preserve">, es necesario traer a colación </w:t>
      </w:r>
      <w:r w:rsidR="000E121C">
        <w:rPr>
          <w:rFonts w:eastAsia="Times New Roman" w:cs="Times New Roman"/>
          <w:color w:val="auto"/>
          <w:lang w:val="es-ES" w:eastAsia="es-ES"/>
        </w:rPr>
        <w:t>los artículos</w:t>
      </w:r>
      <w:r w:rsidRPr="002830A7" w:rsidR="002830A7">
        <w:rPr>
          <w:rFonts w:eastAsia="Times New Roman" w:cs="Times New Roman"/>
          <w:color w:val="auto"/>
          <w:lang w:val="es-ES" w:eastAsia="es-ES"/>
        </w:rPr>
        <w:t xml:space="preserve"> </w:t>
      </w:r>
      <w:r>
        <w:rPr>
          <w:rFonts w:eastAsia="Times New Roman" w:cs="Times New Roman"/>
          <w:color w:val="auto"/>
          <w:lang w:val="es-ES" w:eastAsia="es-ES"/>
        </w:rPr>
        <w:t>35</w:t>
      </w:r>
      <w:r w:rsidR="00EF6645">
        <w:rPr>
          <w:rFonts w:eastAsia="Times New Roman" w:cs="Times New Roman"/>
          <w:color w:val="auto"/>
          <w:lang w:val="es-ES" w:eastAsia="es-ES"/>
        </w:rPr>
        <w:t>, fracción V, inciso k)</w:t>
      </w:r>
      <w:r w:rsidR="000E121C">
        <w:rPr>
          <w:rFonts w:eastAsia="Times New Roman" w:cs="Times New Roman"/>
          <w:color w:val="auto"/>
          <w:lang w:val="es-ES" w:eastAsia="es-ES"/>
        </w:rPr>
        <w:t>, y 63 y 64</w:t>
      </w:r>
      <w:r w:rsidRPr="002830A7" w:rsidR="002830A7">
        <w:rPr>
          <w:rFonts w:eastAsia="Times New Roman" w:cs="Times New Roman"/>
          <w:color w:val="auto"/>
          <w:lang w:val="es-ES" w:eastAsia="es-ES"/>
        </w:rPr>
        <w:t>, del Bando Municipal</w:t>
      </w:r>
      <w:r w:rsidR="00EF6645">
        <w:rPr>
          <w:rFonts w:eastAsia="Times New Roman" w:cs="Times New Roman"/>
          <w:color w:val="auto"/>
          <w:lang w:val="es-ES" w:eastAsia="es-ES"/>
        </w:rPr>
        <w:t xml:space="preserve"> de Metepec, dos mil veintiuno, </w:t>
      </w:r>
      <w:r w:rsidRPr="002830A7" w:rsidR="002830A7">
        <w:rPr>
          <w:rFonts w:eastAsia="Times New Roman" w:cs="Times New Roman"/>
          <w:color w:val="auto"/>
          <w:lang w:val="es-ES" w:eastAsia="es-ES"/>
        </w:rPr>
        <w:t xml:space="preserve">que establece que el Ayuntamiento para el cumplimiento de sus obligaciones cuenta con la Dirección de Seguridad Pública </w:t>
      </w:r>
      <w:r w:rsidR="00EF6645">
        <w:rPr>
          <w:rFonts w:eastAsia="Times New Roman" w:cs="Times New Roman"/>
          <w:color w:val="auto"/>
          <w:lang w:val="es-ES" w:eastAsia="es-ES"/>
        </w:rPr>
        <w:t>y Tránsito</w:t>
      </w:r>
      <w:r w:rsidRPr="002830A7" w:rsidR="002830A7">
        <w:rPr>
          <w:rFonts w:eastAsia="Times New Roman" w:cs="Times New Roman"/>
          <w:color w:val="auto"/>
          <w:lang w:val="es-ES" w:eastAsia="es-ES"/>
        </w:rPr>
        <w:t xml:space="preserve">, encargada </w:t>
      </w:r>
      <w:r w:rsidR="000E121C">
        <w:rPr>
          <w:rFonts w:eastAsia="Times New Roman" w:cs="Times New Roman"/>
          <w:color w:val="auto"/>
          <w:lang w:val="es-ES" w:eastAsia="es-ES"/>
        </w:rPr>
        <w:t>de salvaguardar y garantizar el orden público y la paz social, la prevención de la comisión de cualquier infracci</w:t>
      </w:r>
      <w:r w:rsidR="002D79D9">
        <w:rPr>
          <w:rFonts w:eastAsia="Times New Roman" w:cs="Times New Roman"/>
          <w:color w:val="auto"/>
          <w:lang w:val="es-ES" w:eastAsia="es-ES"/>
        </w:rPr>
        <w:t>ón o delito y la inhibición la manifestación de conductas antisociales y el fomentó la educación vial y control y ejecución de las actividades de tránsito</w:t>
      </w:r>
      <w:r w:rsidRPr="002830A7" w:rsidR="002830A7">
        <w:rPr>
          <w:rFonts w:eastAsia="Times New Roman" w:cs="Times New Roman"/>
          <w:color w:val="auto"/>
          <w:lang w:val="es-ES" w:eastAsia="es-ES"/>
        </w:rPr>
        <w:t>; lo anterior, a tr</w:t>
      </w:r>
      <w:r w:rsidR="007F557C">
        <w:rPr>
          <w:rFonts w:eastAsia="Times New Roman" w:cs="Times New Roman"/>
          <w:color w:val="auto"/>
          <w:lang w:val="es-ES" w:eastAsia="es-ES"/>
        </w:rPr>
        <w:t>avés de la policía municipal.</w:t>
      </w:r>
    </w:p>
    <w:p w:rsidR="007F557C" w:rsidP="002830A7" w:rsidRDefault="007F557C" w14:paraId="769DB429" w14:textId="77777777">
      <w:pPr>
        <w:spacing w:after="0" w:line="360" w:lineRule="auto"/>
        <w:rPr>
          <w:rFonts w:eastAsia="Times New Roman" w:cs="Times New Roman"/>
          <w:color w:val="auto"/>
          <w:lang w:val="es-ES" w:eastAsia="es-ES"/>
        </w:rPr>
      </w:pPr>
    </w:p>
    <w:p w:rsidRPr="002830A7" w:rsidR="002830A7" w:rsidP="002830A7" w:rsidRDefault="002830A7" w14:paraId="0387AE14" w14:textId="77777777">
      <w:pPr>
        <w:spacing w:after="0" w:line="360" w:lineRule="auto"/>
        <w:rPr>
          <w:rFonts w:eastAsia="Calibri" w:cs="Tahoma"/>
          <w:bCs/>
          <w:color w:val="auto"/>
        </w:rPr>
      </w:pPr>
      <w:r w:rsidRPr="002830A7">
        <w:rPr>
          <w:rFonts w:eastAsia="Calibri" w:cs="Tahoma"/>
          <w:bCs/>
          <w:color w:val="auto"/>
        </w:rPr>
        <w:lastRenderedPageBreak/>
        <w:t>En ese contexto,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2830A7" w:rsidR="002830A7" w:rsidP="002830A7" w:rsidRDefault="002830A7" w14:paraId="072DF02A" w14:textId="77777777">
      <w:pPr>
        <w:spacing w:after="0" w:line="360" w:lineRule="auto"/>
        <w:rPr>
          <w:rFonts w:eastAsia="Calibri" w:cs="Tahoma"/>
          <w:bCs/>
          <w:color w:val="auto"/>
        </w:rPr>
      </w:pPr>
    </w:p>
    <w:p w:rsidRPr="002830A7" w:rsidR="002830A7" w:rsidP="002830A7" w:rsidRDefault="002830A7" w14:paraId="086325E5" w14:textId="77777777">
      <w:pPr>
        <w:spacing w:after="0" w:line="360" w:lineRule="auto"/>
        <w:rPr>
          <w:rFonts w:eastAsia="Calibri" w:cs="Tahoma"/>
          <w:bCs/>
          <w:color w:val="auto"/>
        </w:rPr>
      </w:pPr>
      <w:r w:rsidRPr="002830A7">
        <w:rPr>
          <w:rFonts w:eastAsia="Calibri" w:cs="Tahoma"/>
          <w:bCs/>
          <w:color w:val="auto"/>
        </w:rPr>
        <w:t>En ese contexto, el artículo 6, fracciones XI y XII de dicho ordenamiento jurídico, establece los siguientes conceptos:</w:t>
      </w:r>
    </w:p>
    <w:p w:rsidRPr="002830A7" w:rsidR="002830A7" w:rsidP="002830A7" w:rsidRDefault="002830A7" w14:paraId="5EB1833A" w14:textId="77777777">
      <w:pPr>
        <w:spacing w:after="0" w:line="360" w:lineRule="auto"/>
        <w:rPr>
          <w:rFonts w:eastAsia="Calibri" w:cs="Tahoma"/>
          <w:bCs/>
          <w:color w:val="auto"/>
        </w:rPr>
      </w:pPr>
    </w:p>
    <w:p w:rsidR="002830A7" w:rsidP="002830A7" w:rsidRDefault="002830A7" w14:paraId="5B043B62" w14:textId="77777777">
      <w:pPr>
        <w:numPr>
          <w:ilvl w:val="0"/>
          <w:numId w:val="34"/>
        </w:numPr>
        <w:spacing w:after="0" w:line="360" w:lineRule="auto"/>
        <w:contextualSpacing/>
        <w:jc w:val="left"/>
        <w:rPr>
          <w:rFonts w:eastAsia="Calibri" w:cs="Tahoma"/>
          <w:b/>
          <w:bCs/>
          <w:color w:val="auto"/>
        </w:rPr>
      </w:pPr>
      <w:r w:rsidRPr="002830A7">
        <w:rPr>
          <w:rFonts w:eastAsia="Calibri" w:cs="Tahoma"/>
          <w:b/>
          <w:bCs/>
          <w:color w:val="auto"/>
        </w:rPr>
        <w:t xml:space="preserve">Instituciones Policiales: </w:t>
      </w:r>
      <w:r w:rsidRPr="002830A7">
        <w:rPr>
          <w:rFonts w:eastAsia="Calibri" w:cs="Tahoma"/>
          <w:bCs/>
          <w:color w:val="auto"/>
        </w:rPr>
        <w:t xml:space="preserve">Son los cuerpos de policía, de vigilancia y custodia de los establecimientos penitenciarios, detención preventiva, centros de arraigo y en general, </w:t>
      </w:r>
      <w:r w:rsidRPr="002830A7">
        <w:rPr>
          <w:rFonts w:eastAsia="Calibri" w:cs="Tahoma"/>
          <w:b/>
          <w:bCs/>
          <w:color w:val="auto"/>
        </w:rPr>
        <w:t>todas las dependencias encargadas de la seguridad pública a nivel</w:t>
      </w:r>
      <w:r w:rsidRPr="002830A7">
        <w:rPr>
          <w:rFonts w:eastAsia="Calibri" w:cs="Tahoma"/>
          <w:bCs/>
          <w:color w:val="auto"/>
        </w:rPr>
        <w:t xml:space="preserve"> estatal y </w:t>
      </w:r>
      <w:r w:rsidRPr="002830A7">
        <w:rPr>
          <w:rFonts w:eastAsia="Calibri" w:cs="Tahoma"/>
          <w:b/>
          <w:bCs/>
          <w:color w:val="auto"/>
        </w:rPr>
        <w:t>municipal.</w:t>
      </w:r>
    </w:p>
    <w:p w:rsidRPr="002830A7" w:rsidR="002830A7" w:rsidP="002830A7" w:rsidRDefault="002830A7" w14:paraId="2877D4A4" w14:textId="77777777">
      <w:pPr>
        <w:numPr>
          <w:ilvl w:val="0"/>
          <w:numId w:val="34"/>
        </w:numPr>
        <w:spacing w:after="0" w:line="360" w:lineRule="auto"/>
        <w:contextualSpacing/>
        <w:jc w:val="left"/>
        <w:rPr>
          <w:rFonts w:eastAsia="Calibri" w:cs="Tahoma"/>
          <w:b/>
          <w:bCs/>
          <w:color w:val="auto"/>
        </w:rPr>
      </w:pPr>
      <w:r w:rsidRPr="002830A7">
        <w:rPr>
          <w:rFonts w:eastAsia="Calibri" w:cs="Tahoma"/>
          <w:b/>
          <w:bCs/>
          <w:color w:val="auto"/>
        </w:rPr>
        <w:t xml:space="preserve">Instituciones de Seguridad Pública: </w:t>
      </w:r>
      <w:r w:rsidRPr="002830A7">
        <w:rPr>
          <w:rFonts w:eastAsia="Calibri" w:cs="Tahoma"/>
          <w:bCs/>
          <w:color w:val="auto"/>
        </w:rPr>
        <w:t xml:space="preserve">Instituciones Policiales, Procuración de Justicia, Sistema Penitenciario y </w:t>
      </w:r>
      <w:r w:rsidRPr="002830A7">
        <w:rPr>
          <w:rFonts w:eastAsia="Calibri" w:cs="Tahoma"/>
          <w:b/>
          <w:bCs/>
          <w:color w:val="auto"/>
        </w:rPr>
        <w:t xml:space="preserve">dependencias encargadas de la seguridad pública a nivel </w:t>
      </w:r>
      <w:r w:rsidRPr="002830A7">
        <w:rPr>
          <w:rFonts w:eastAsia="Calibri" w:cs="Tahoma"/>
          <w:bCs/>
          <w:color w:val="auto"/>
        </w:rPr>
        <w:t xml:space="preserve">estatal y </w:t>
      </w:r>
      <w:r w:rsidRPr="002830A7">
        <w:rPr>
          <w:rFonts w:eastAsia="Calibri" w:cs="Tahoma"/>
          <w:b/>
          <w:bCs/>
          <w:color w:val="auto"/>
        </w:rPr>
        <w:t>municipal.</w:t>
      </w:r>
    </w:p>
    <w:p w:rsidRPr="002830A7" w:rsidR="002830A7" w:rsidP="002830A7" w:rsidRDefault="002830A7" w14:paraId="18257218" w14:textId="77777777">
      <w:pPr>
        <w:spacing w:after="0" w:line="360" w:lineRule="auto"/>
        <w:rPr>
          <w:rFonts w:eastAsia="Calibri" w:cs="Tahoma"/>
          <w:bCs/>
          <w:color w:val="auto"/>
        </w:rPr>
      </w:pPr>
    </w:p>
    <w:p w:rsidRPr="002830A7" w:rsidR="002830A7" w:rsidP="002830A7" w:rsidRDefault="002830A7" w14:paraId="6F96C660" w14:textId="3D0BA6CB">
      <w:pPr>
        <w:spacing w:after="0" w:line="360" w:lineRule="auto"/>
        <w:rPr>
          <w:rFonts w:eastAsia="Calibri" w:cs="Tahoma"/>
          <w:bCs/>
          <w:color w:val="auto"/>
        </w:rPr>
      </w:pPr>
      <w:r w:rsidRPr="002830A7">
        <w:rPr>
          <w:rFonts w:eastAsia="Calibri" w:cs="Tahoma"/>
          <w:bCs/>
          <w:color w:val="auto"/>
        </w:rPr>
        <w:t xml:space="preserve">Al respecto, cabe señalar que la </w:t>
      </w:r>
      <w:r w:rsidRPr="00EA109A" w:rsidR="00EA109A">
        <w:rPr>
          <w:rFonts w:eastAsia="Calibri" w:cs="Tahoma"/>
          <w:bCs/>
          <w:color w:val="auto"/>
          <w:lang w:val="es-ES"/>
        </w:rPr>
        <w:t>Dirección de Seguridad Pública y Tránsito</w:t>
      </w:r>
      <w:r w:rsidRPr="002830A7">
        <w:rPr>
          <w:rFonts w:eastAsia="Calibri" w:cs="Tahoma"/>
          <w:bCs/>
          <w:color w:val="auto"/>
        </w:rPr>
        <w:t>, tal como se señaló previamente, será la responsable de salvaguardar la integridad y derechos humanos de las personas, así como preservar las libertades, el orden y la paz pública, a través de la preve</w:t>
      </w:r>
      <w:r w:rsidR="00EA109A">
        <w:rPr>
          <w:rFonts w:eastAsia="Calibri" w:cs="Tahoma"/>
          <w:bCs/>
          <w:color w:val="auto"/>
        </w:rPr>
        <w:t>nción de conductas antisociales; así como, llevar a cabo las actividades con control de tránsito.</w:t>
      </w:r>
    </w:p>
    <w:p w:rsidR="000D5EB2" w:rsidP="002830A7" w:rsidRDefault="000D5EB2" w14:paraId="27805F1C" w14:textId="77777777">
      <w:pPr>
        <w:spacing w:after="0" w:line="360" w:lineRule="auto"/>
        <w:rPr>
          <w:rFonts w:eastAsia="Calibri" w:cs="Tahoma"/>
          <w:bCs/>
          <w:color w:val="auto"/>
        </w:rPr>
      </w:pPr>
    </w:p>
    <w:p w:rsidR="002830A7" w:rsidP="002830A7" w:rsidRDefault="002830A7" w14:paraId="2C63DCAB" w14:textId="77777777">
      <w:pPr>
        <w:spacing w:after="0" w:line="360" w:lineRule="auto"/>
        <w:rPr>
          <w:rFonts w:eastAsia="Calibri" w:cs="Tahoma"/>
          <w:bCs/>
          <w:color w:val="auto"/>
        </w:rPr>
      </w:pPr>
      <w:r w:rsidRPr="002830A7">
        <w:rPr>
          <w:rFonts w:eastAsia="Calibri" w:cs="Tahoma"/>
          <w:bCs/>
          <w:color w:val="auto"/>
        </w:rPr>
        <w:t>Por lo cual, se puede deducir que dicha área, es una institución de seguridad pública, pues tiene como atribución principal resguardar el orden público y la paz social, la prevención de delitos y la inhibición de manifestaciones de conductas antisociales.</w:t>
      </w:r>
    </w:p>
    <w:p w:rsidRPr="002830A7" w:rsidR="002830A7" w:rsidP="002830A7" w:rsidRDefault="002830A7" w14:paraId="612FB700" w14:textId="77777777">
      <w:pPr>
        <w:spacing w:after="0" w:line="360" w:lineRule="auto"/>
        <w:rPr>
          <w:rFonts w:eastAsia="Calibri" w:cs="Tahoma"/>
          <w:bCs/>
          <w:color w:val="auto"/>
        </w:rPr>
      </w:pPr>
      <w:r w:rsidRPr="002830A7">
        <w:rPr>
          <w:rFonts w:eastAsia="Calibri" w:cs="Tahoma"/>
          <w:bCs/>
          <w:color w:val="auto"/>
        </w:rPr>
        <w:lastRenderedPageBreak/>
        <w:t>En ese sentido, el artículo 142 y 143 de la Ley de Seguridad del Estado de México, establece la organización jerárquica de las Instituciones Policiales de la Entidad Federativa y sus Municipios, la cual es la siguiente:</w:t>
      </w:r>
    </w:p>
    <w:p w:rsidRPr="002830A7" w:rsidR="002830A7" w:rsidP="002830A7" w:rsidRDefault="002830A7" w14:paraId="7E8C6D7D" w14:textId="77777777">
      <w:pPr>
        <w:spacing w:after="0" w:line="360" w:lineRule="auto"/>
        <w:rPr>
          <w:rFonts w:eastAsia="Calibri" w:cs="Tahoma"/>
          <w:bCs/>
          <w:color w:val="auto"/>
        </w:rPr>
      </w:pPr>
    </w:p>
    <w:p w:rsidRPr="002830A7" w:rsidR="002830A7" w:rsidP="002830A7" w:rsidRDefault="002830A7" w14:paraId="6C51433A" w14:textId="77777777">
      <w:pPr>
        <w:numPr>
          <w:ilvl w:val="0"/>
          <w:numId w:val="29"/>
        </w:numPr>
        <w:spacing w:after="0" w:line="360" w:lineRule="auto"/>
        <w:contextualSpacing/>
        <w:jc w:val="left"/>
        <w:rPr>
          <w:rFonts w:eastAsia="Calibri" w:cs="Tahoma"/>
          <w:bCs/>
          <w:color w:val="auto"/>
        </w:rPr>
      </w:pPr>
      <w:r w:rsidRPr="002830A7">
        <w:rPr>
          <w:rFonts w:eastAsia="Calibri" w:cs="Tahoma"/>
          <w:bCs/>
          <w:color w:val="auto"/>
        </w:rPr>
        <w:t>Comisarios:</w:t>
      </w:r>
    </w:p>
    <w:p w:rsidRPr="002830A7" w:rsidR="002830A7" w:rsidP="002830A7" w:rsidRDefault="002830A7" w14:paraId="2F7DCE75" w14:textId="77777777">
      <w:pPr>
        <w:numPr>
          <w:ilvl w:val="0"/>
          <w:numId w:val="30"/>
        </w:numPr>
        <w:spacing w:after="0" w:line="360" w:lineRule="auto"/>
        <w:ind w:left="993" w:hanging="77"/>
        <w:contextualSpacing/>
        <w:jc w:val="left"/>
        <w:rPr>
          <w:rFonts w:eastAsia="Calibri" w:cs="Tahoma"/>
          <w:bCs/>
          <w:color w:val="auto"/>
        </w:rPr>
      </w:pPr>
      <w:r w:rsidRPr="002830A7">
        <w:rPr>
          <w:rFonts w:eastAsia="Calibri" w:cs="Tahoma"/>
          <w:bCs/>
          <w:color w:val="auto"/>
        </w:rPr>
        <w:t>Comisario General;</w:t>
      </w:r>
    </w:p>
    <w:p w:rsidRPr="002830A7" w:rsidR="002830A7" w:rsidP="002830A7" w:rsidRDefault="002830A7" w14:paraId="08662564" w14:textId="77777777">
      <w:pPr>
        <w:numPr>
          <w:ilvl w:val="0"/>
          <w:numId w:val="30"/>
        </w:numPr>
        <w:spacing w:after="0" w:line="360" w:lineRule="auto"/>
        <w:ind w:left="993" w:hanging="77"/>
        <w:contextualSpacing/>
        <w:jc w:val="left"/>
        <w:rPr>
          <w:rFonts w:eastAsia="Calibri" w:cs="Tahoma"/>
          <w:bCs/>
          <w:color w:val="auto"/>
        </w:rPr>
      </w:pPr>
      <w:r w:rsidRPr="002830A7">
        <w:rPr>
          <w:rFonts w:eastAsia="Calibri" w:cs="Tahoma"/>
          <w:bCs/>
          <w:color w:val="auto"/>
        </w:rPr>
        <w:t>Comisario Jefe, y</w:t>
      </w:r>
    </w:p>
    <w:p w:rsidRPr="002830A7" w:rsidR="002830A7" w:rsidP="002830A7" w:rsidRDefault="002830A7" w14:paraId="51B51A5C" w14:textId="77777777">
      <w:pPr>
        <w:numPr>
          <w:ilvl w:val="0"/>
          <w:numId w:val="30"/>
        </w:numPr>
        <w:spacing w:after="0" w:line="360" w:lineRule="auto"/>
        <w:ind w:left="993" w:hanging="77"/>
        <w:contextualSpacing/>
        <w:jc w:val="left"/>
        <w:rPr>
          <w:rFonts w:eastAsia="Calibri" w:cs="Tahoma"/>
          <w:bCs/>
          <w:color w:val="auto"/>
        </w:rPr>
      </w:pPr>
      <w:r w:rsidRPr="002830A7">
        <w:rPr>
          <w:rFonts w:eastAsia="Calibri" w:cs="Tahoma"/>
          <w:bCs/>
          <w:color w:val="auto"/>
        </w:rPr>
        <w:t>Comisario.</w:t>
      </w:r>
    </w:p>
    <w:p w:rsidRPr="002830A7" w:rsidR="002830A7" w:rsidP="002830A7" w:rsidRDefault="002830A7" w14:paraId="2A4DD205" w14:textId="77777777">
      <w:pPr>
        <w:numPr>
          <w:ilvl w:val="0"/>
          <w:numId w:val="29"/>
        </w:numPr>
        <w:spacing w:after="0" w:line="360" w:lineRule="auto"/>
        <w:contextualSpacing/>
        <w:jc w:val="left"/>
        <w:rPr>
          <w:rFonts w:eastAsia="Calibri" w:cs="Tahoma"/>
          <w:bCs/>
          <w:color w:val="auto"/>
        </w:rPr>
      </w:pPr>
      <w:r w:rsidRPr="002830A7">
        <w:rPr>
          <w:rFonts w:eastAsia="Calibri" w:cs="Tahoma"/>
          <w:bCs/>
          <w:color w:val="auto"/>
        </w:rPr>
        <w:t>Inspectores:</w:t>
      </w:r>
    </w:p>
    <w:p w:rsidRPr="002830A7" w:rsidR="002830A7" w:rsidP="002830A7" w:rsidRDefault="002830A7" w14:paraId="4DCC21C3" w14:textId="77777777">
      <w:pPr>
        <w:numPr>
          <w:ilvl w:val="0"/>
          <w:numId w:val="31"/>
        </w:numPr>
        <w:spacing w:after="0" w:line="360" w:lineRule="auto"/>
        <w:ind w:left="993" w:hanging="54"/>
        <w:contextualSpacing/>
        <w:jc w:val="left"/>
        <w:rPr>
          <w:rFonts w:eastAsia="Calibri" w:cs="Tahoma"/>
          <w:bCs/>
          <w:color w:val="auto"/>
        </w:rPr>
      </w:pPr>
      <w:r w:rsidRPr="002830A7">
        <w:rPr>
          <w:rFonts w:eastAsia="Calibri" w:cs="Tahoma"/>
          <w:bCs/>
          <w:color w:val="auto"/>
        </w:rPr>
        <w:t>Inspector General;</w:t>
      </w:r>
    </w:p>
    <w:p w:rsidRPr="002830A7" w:rsidR="002830A7" w:rsidP="002830A7" w:rsidRDefault="002830A7" w14:paraId="2B380F15" w14:textId="77777777">
      <w:pPr>
        <w:numPr>
          <w:ilvl w:val="0"/>
          <w:numId w:val="31"/>
        </w:numPr>
        <w:spacing w:after="0" w:line="360" w:lineRule="auto"/>
        <w:ind w:left="993" w:hanging="54"/>
        <w:contextualSpacing/>
        <w:jc w:val="left"/>
        <w:rPr>
          <w:rFonts w:eastAsia="Calibri" w:cs="Tahoma"/>
          <w:bCs/>
          <w:color w:val="auto"/>
        </w:rPr>
      </w:pPr>
      <w:r w:rsidRPr="002830A7">
        <w:rPr>
          <w:rFonts w:eastAsia="Calibri" w:cs="Tahoma"/>
          <w:bCs/>
          <w:color w:val="auto"/>
        </w:rPr>
        <w:t>Inspector Jefe, y</w:t>
      </w:r>
    </w:p>
    <w:p w:rsidRPr="002830A7" w:rsidR="002830A7" w:rsidP="002830A7" w:rsidRDefault="002830A7" w14:paraId="20A758EB" w14:textId="77777777">
      <w:pPr>
        <w:numPr>
          <w:ilvl w:val="0"/>
          <w:numId w:val="31"/>
        </w:numPr>
        <w:spacing w:after="0" w:line="360" w:lineRule="auto"/>
        <w:ind w:left="993" w:hanging="54"/>
        <w:contextualSpacing/>
        <w:jc w:val="left"/>
        <w:rPr>
          <w:rFonts w:eastAsia="Calibri" w:cs="Tahoma"/>
          <w:bCs/>
          <w:color w:val="auto"/>
        </w:rPr>
      </w:pPr>
      <w:r w:rsidRPr="002830A7">
        <w:rPr>
          <w:rFonts w:eastAsia="Calibri" w:cs="Tahoma"/>
          <w:bCs/>
          <w:color w:val="auto"/>
        </w:rPr>
        <w:t>Inspector.</w:t>
      </w:r>
    </w:p>
    <w:p w:rsidRPr="002830A7" w:rsidR="002830A7" w:rsidP="002830A7" w:rsidRDefault="002830A7" w14:paraId="748CF860" w14:textId="77777777">
      <w:pPr>
        <w:numPr>
          <w:ilvl w:val="0"/>
          <w:numId w:val="29"/>
        </w:numPr>
        <w:spacing w:after="0" w:line="360" w:lineRule="auto"/>
        <w:contextualSpacing/>
        <w:jc w:val="left"/>
        <w:rPr>
          <w:rFonts w:eastAsia="Calibri" w:cs="Tahoma"/>
          <w:bCs/>
          <w:color w:val="auto"/>
        </w:rPr>
      </w:pPr>
      <w:r w:rsidRPr="002830A7">
        <w:rPr>
          <w:rFonts w:eastAsia="Calibri" w:cs="Tahoma"/>
          <w:bCs/>
          <w:color w:val="auto"/>
        </w:rPr>
        <w:t>Oficiales:</w:t>
      </w:r>
    </w:p>
    <w:p w:rsidRPr="002830A7" w:rsidR="002830A7" w:rsidP="002830A7" w:rsidRDefault="002830A7" w14:paraId="1ED829EB" w14:textId="77777777">
      <w:pPr>
        <w:numPr>
          <w:ilvl w:val="0"/>
          <w:numId w:val="32"/>
        </w:numPr>
        <w:spacing w:after="0" w:line="360" w:lineRule="auto"/>
        <w:ind w:left="993" w:hanging="54"/>
        <w:contextualSpacing/>
        <w:jc w:val="left"/>
        <w:rPr>
          <w:rFonts w:eastAsia="Calibri" w:cs="Tahoma"/>
          <w:bCs/>
          <w:color w:val="auto"/>
        </w:rPr>
      </w:pPr>
      <w:r w:rsidRPr="002830A7">
        <w:rPr>
          <w:rFonts w:eastAsia="Calibri" w:cs="Tahoma"/>
          <w:bCs/>
          <w:color w:val="auto"/>
        </w:rPr>
        <w:t>Subinspector;</w:t>
      </w:r>
    </w:p>
    <w:p w:rsidRPr="002830A7" w:rsidR="002830A7" w:rsidP="002830A7" w:rsidRDefault="002830A7" w14:paraId="65CCCEDF" w14:textId="77777777">
      <w:pPr>
        <w:numPr>
          <w:ilvl w:val="0"/>
          <w:numId w:val="32"/>
        </w:numPr>
        <w:spacing w:after="0" w:line="360" w:lineRule="auto"/>
        <w:ind w:left="993" w:hanging="54"/>
        <w:contextualSpacing/>
        <w:jc w:val="left"/>
        <w:rPr>
          <w:rFonts w:eastAsia="Calibri" w:cs="Tahoma"/>
          <w:bCs/>
          <w:color w:val="auto"/>
        </w:rPr>
      </w:pPr>
      <w:r w:rsidRPr="002830A7">
        <w:rPr>
          <w:rFonts w:eastAsia="Calibri" w:cs="Tahoma"/>
          <w:bCs/>
          <w:color w:val="auto"/>
        </w:rPr>
        <w:t>Oficial, y</w:t>
      </w:r>
    </w:p>
    <w:p w:rsidRPr="002830A7" w:rsidR="002830A7" w:rsidP="002830A7" w:rsidRDefault="002830A7" w14:paraId="7D292B2F" w14:textId="77777777">
      <w:pPr>
        <w:numPr>
          <w:ilvl w:val="0"/>
          <w:numId w:val="32"/>
        </w:numPr>
        <w:spacing w:after="0" w:line="360" w:lineRule="auto"/>
        <w:ind w:left="993" w:hanging="54"/>
        <w:contextualSpacing/>
        <w:jc w:val="left"/>
        <w:rPr>
          <w:rFonts w:eastAsia="Calibri" w:cs="Tahoma"/>
          <w:bCs/>
          <w:color w:val="auto"/>
        </w:rPr>
      </w:pPr>
      <w:r w:rsidRPr="002830A7">
        <w:rPr>
          <w:rFonts w:eastAsia="Calibri" w:cs="Tahoma"/>
          <w:bCs/>
          <w:color w:val="auto"/>
        </w:rPr>
        <w:t>Suboficial.</w:t>
      </w:r>
    </w:p>
    <w:p w:rsidRPr="002830A7" w:rsidR="002830A7" w:rsidP="002830A7" w:rsidRDefault="002830A7" w14:paraId="2689C034" w14:textId="77777777">
      <w:pPr>
        <w:numPr>
          <w:ilvl w:val="0"/>
          <w:numId w:val="29"/>
        </w:numPr>
        <w:spacing w:after="0" w:line="360" w:lineRule="auto"/>
        <w:contextualSpacing/>
        <w:jc w:val="left"/>
        <w:rPr>
          <w:rFonts w:eastAsia="Calibri" w:cs="Tahoma"/>
          <w:bCs/>
          <w:color w:val="auto"/>
        </w:rPr>
      </w:pPr>
      <w:r w:rsidRPr="002830A7">
        <w:rPr>
          <w:rFonts w:eastAsia="Calibri" w:cs="Tahoma"/>
          <w:bCs/>
          <w:color w:val="auto"/>
        </w:rPr>
        <w:t>Escala Básica:</w:t>
      </w:r>
    </w:p>
    <w:p w:rsidRPr="002830A7" w:rsidR="002830A7" w:rsidP="002830A7" w:rsidRDefault="002830A7" w14:paraId="35E8571E" w14:textId="77777777">
      <w:pPr>
        <w:numPr>
          <w:ilvl w:val="0"/>
          <w:numId w:val="33"/>
        </w:numPr>
        <w:spacing w:after="0" w:line="360" w:lineRule="auto"/>
        <w:ind w:left="993" w:hanging="54"/>
        <w:contextualSpacing/>
        <w:jc w:val="left"/>
        <w:rPr>
          <w:rFonts w:eastAsia="Calibri" w:cs="Tahoma"/>
          <w:bCs/>
          <w:color w:val="auto"/>
        </w:rPr>
      </w:pPr>
      <w:r w:rsidRPr="002830A7">
        <w:rPr>
          <w:rFonts w:eastAsia="Calibri" w:cs="Tahoma"/>
          <w:bCs/>
          <w:color w:val="auto"/>
        </w:rPr>
        <w:t>Policía Primero;</w:t>
      </w:r>
    </w:p>
    <w:p w:rsidR="002830A7" w:rsidP="002830A7" w:rsidRDefault="002830A7" w14:paraId="2D62E26E" w14:textId="77777777">
      <w:pPr>
        <w:numPr>
          <w:ilvl w:val="0"/>
          <w:numId w:val="33"/>
        </w:numPr>
        <w:spacing w:after="0" w:line="360" w:lineRule="auto"/>
        <w:ind w:left="993" w:hanging="54"/>
        <w:contextualSpacing/>
        <w:jc w:val="left"/>
        <w:rPr>
          <w:rFonts w:eastAsia="Calibri" w:cs="Tahoma"/>
          <w:bCs/>
          <w:color w:val="auto"/>
        </w:rPr>
      </w:pPr>
      <w:r w:rsidRPr="002830A7">
        <w:rPr>
          <w:rFonts w:eastAsia="Calibri" w:cs="Tahoma"/>
          <w:bCs/>
          <w:color w:val="auto"/>
        </w:rPr>
        <w:t xml:space="preserve">Policía Segundo; </w:t>
      </w:r>
    </w:p>
    <w:p w:rsidRPr="002830A7" w:rsidR="002830A7" w:rsidP="002830A7" w:rsidRDefault="002830A7" w14:paraId="45956935" w14:textId="77777777">
      <w:pPr>
        <w:numPr>
          <w:ilvl w:val="0"/>
          <w:numId w:val="33"/>
        </w:numPr>
        <w:spacing w:after="0" w:line="360" w:lineRule="auto"/>
        <w:ind w:left="993" w:hanging="54"/>
        <w:contextualSpacing/>
        <w:jc w:val="left"/>
        <w:rPr>
          <w:rFonts w:eastAsia="Calibri" w:cs="Tahoma"/>
          <w:bCs/>
          <w:color w:val="auto"/>
        </w:rPr>
      </w:pPr>
      <w:r w:rsidRPr="002830A7">
        <w:rPr>
          <w:rFonts w:eastAsia="Calibri" w:cs="Tahoma"/>
          <w:bCs/>
          <w:color w:val="auto"/>
        </w:rPr>
        <w:t>Policía Tercero, y</w:t>
      </w:r>
    </w:p>
    <w:p w:rsidRPr="002830A7" w:rsidR="002830A7" w:rsidP="002830A7" w:rsidRDefault="002830A7" w14:paraId="0FF1E887" w14:textId="77777777">
      <w:pPr>
        <w:numPr>
          <w:ilvl w:val="0"/>
          <w:numId w:val="33"/>
        </w:numPr>
        <w:spacing w:after="0" w:line="360" w:lineRule="auto"/>
        <w:ind w:left="993" w:hanging="54"/>
        <w:contextualSpacing/>
        <w:jc w:val="left"/>
        <w:rPr>
          <w:rFonts w:eastAsia="Calibri" w:cs="Tahoma"/>
          <w:bCs/>
          <w:color w:val="auto"/>
        </w:rPr>
      </w:pPr>
      <w:r w:rsidRPr="002830A7">
        <w:rPr>
          <w:rFonts w:eastAsia="Calibri" w:cs="Tahoma"/>
          <w:bCs/>
          <w:color w:val="auto"/>
        </w:rPr>
        <w:t>Policía.</w:t>
      </w:r>
    </w:p>
    <w:p w:rsidRPr="002830A7" w:rsidR="002830A7" w:rsidP="002830A7" w:rsidRDefault="002830A7" w14:paraId="4E724774" w14:textId="77777777">
      <w:pPr>
        <w:spacing w:after="0" w:line="360" w:lineRule="auto"/>
        <w:rPr>
          <w:rFonts w:eastAsia="Calibri" w:cs="Tahoma"/>
          <w:bCs/>
          <w:color w:val="auto"/>
        </w:rPr>
      </w:pPr>
    </w:p>
    <w:p w:rsidR="007F557C" w:rsidP="002830A7" w:rsidRDefault="002830A7" w14:paraId="17AC4422" w14:textId="06EC2D66">
      <w:pPr>
        <w:spacing w:after="0" w:line="360" w:lineRule="auto"/>
      </w:pPr>
      <w:r w:rsidRPr="002830A7">
        <w:t>Como se logra observar las Instituciones Policiales, se conforman de los Comisarios, Inspectores, Oficiales y la Estala Básica (Policías)</w:t>
      </w:r>
      <w:r w:rsidR="00EA109A">
        <w:t>, por lo que, la</w:t>
      </w:r>
      <w:r w:rsidRPr="00EA109A" w:rsidR="00EA109A">
        <w:rPr>
          <w:rFonts w:eastAsia="Times New Roman" w:cs="Times New Roman"/>
          <w:color w:val="auto"/>
          <w:lang w:val="es-ES" w:eastAsia="es-ES"/>
        </w:rPr>
        <w:t xml:space="preserve"> </w:t>
      </w:r>
      <w:r w:rsidRPr="00EA109A" w:rsidR="00EA109A">
        <w:rPr>
          <w:lang w:val="es-ES"/>
        </w:rPr>
        <w:t>Dirección de Seguridad Pública y Tránsito</w:t>
      </w:r>
      <w:r w:rsidRPr="002830A7">
        <w:t>, tiene a su c</w:t>
      </w:r>
      <w:r w:rsidR="007F557C">
        <w:t>argo a los policías municipales.</w:t>
      </w:r>
    </w:p>
    <w:p w:rsidR="007F557C" w:rsidP="002830A7" w:rsidRDefault="007F557C" w14:paraId="2A407C45" w14:textId="77777777">
      <w:pPr>
        <w:spacing w:after="0" w:line="360" w:lineRule="auto"/>
      </w:pPr>
    </w:p>
    <w:p w:rsidRPr="007F557C" w:rsidR="007F557C" w:rsidP="007F557C" w:rsidRDefault="003333D2" w14:paraId="6C110BF8" w14:textId="580578A6">
      <w:pPr>
        <w:spacing w:after="0" w:line="360" w:lineRule="auto"/>
        <w:rPr>
          <w:iCs/>
          <w:lang w:val="es-ES"/>
        </w:rPr>
      </w:pPr>
      <w:r>
        <w:rPr>
          <w:iCs/>
          <w:lang w:val="es-ES"/>
        </w:rPr>
        <w:lastRenderedPageBreak/>
        <w:t xml:space="preserve">Ahora bien, respecto al estado de fuerza o  fuerza operativa, </w:t>
      </w:r>
      <w:r w:rsidRPr="007F557C" w:rsidR="007F557C">
        <w:rPr>
          <w:iCs/>
          <w:lang w:val="es-ES"/>
        </w:rPr>
        <w:t>el Model</w:t>
      </w:r>
      <w:r w:rsidR="00DE6EFD">
        <w:rPr>
          <w:iCs/>
          <w:lang w:val="es-ES"/>
        </w:rPr>
        <w:t xml:space="preserve">o Óptimo de la Función Policial (consultado </w:t>
      </w:r>
      <w:r w:rsidRPr="00DE6EFD" w:rsidR="00DE6EFD">
        <w:rPr>
          <w:iCs/>
          <w:lang w:val="es-ES"/>
        </w:rPr>
        <w:t xml:space="preserve">el </w:t>
      </w:r>
      <w:r w:rsidR="00DE6EFD">
        <w:rPr>
          <w:iCs/>
          <w:lang w:val="es-ES"/>
        </w:rPr>
        <w:t>veintiocho</w:t>
      </w:r>
      <w:r w:rsidRPr="00DE6EFD" w:rsidR="00DE6EFD">
        <w:rPr>
          <w:iCs/>
          <w:lang w:val="es-ES"/>
        </w:rPr>
        <w:t xml:space="preserve"> de marzo de dos mil veintidós</w:t>
      </w:r>
      <w:r w:rsidR="00DE6EFD">
        <w:rPr>
          <w:iCs/>
          <w:lang w:val="es-ES"/>
        </w:rPr>
        <w:t xml:space="preserve"> en </w:t>
      </w:r>
      <w:hyperlink w:history="1" r:id="rId9">
        <w:r w:rsidRPr="007F557C" w:rsidR="007F557C">
          <w:rPr>
            <w:rStyle w:val="Hipervnculo"/>
            <w:iCs/>
            <w:lang w:val="es-ES"/>
          </w:rPr>
          <w:t>https://secretariadoejecutivo.gob.mx//doc/Actualizacion_Diagnostico_Nacional_MOFP.pdf</w:t>
        </w:r>
      </w:hyperlink>
      <w:r w:rsidRPr="007F557C" w:rsidR="007F557C">
        <w:rPr>
          <w:iCs/>
          <w:lang w:val="es-ES"/>
        </w:rPr>
        <w:t xml:space="preserve">) </w:t>
      </w:r>
      <w:r w:rsidR="00EA34E2">
        <w:rPr>
          <w:iCs/>
          <w:lang w:val="es-ES"/>
        </w:rPr>
        <w:t>e</w:t>
      </w:r>
      <w:r w:rsidRPr="007F557C" w:rsidR="007F557C">
        <w:rPr>
          <w:iCs/>
          <w:lang w:val="es-ES"/>
        </w:rPr>
        <w:t xml:space="preserve">stablece que </w:t>
      </w:r>
      <w:r w:rsidRPr="007F557C" w:rsidR="007F557C">
        <w:rPr>
          <w:b/>
          <w:bCs/>
          <w:iCs/>
          <w:lang w:val="es-ES"/>
        </w:rPr>
        <w:t>el estado de fuerza se refiere al número de elementos operativo en activo</w:t>
      </w:r>
      <w:r w:rsidR="00EA34E2">
        <w:rPr>
          <w:b/>
          <w:bCs/>
          <w:iCs/>
          <w:lang w:val="es-ES"/>
        </w:rPr>
        <w:t>,</w:t>
      </w:r>
      <w:r w:rsidRPr="007F557C" w:rsidR="007F557C">
        <w:rPr>
          <w:iCs/>
          <w:lang w:val="es-ES"/>
        </w:rPr>
        <w:t xml:space="preserve"> con los que cuenta la policía en relación a su población, de</w:t>
      </w:r>
      <w:r w:rsidR="00EA34E2">
        <w:rPr>
          <w:iCs/>
          <w:lang w:val="es-ES"/>
        </w:rPr>
        <w:t xml:space="preserve"> igual manera establece que el </w:t>
      </w:r>
      <w:r w:rsidRPr="007F557C" w:rsidR="00EA34E2">
        <w:rPr>
          <w:iCs/>
        </w:rPr>
        <w:t>incrementar</w:t>
      </w:r>
      <w:r w:rsidRPr="007F557C" w:rsidR="007F557C">
        <w:rPr>
          <w:iCs/>
        </w:rPr>
        <w:t xml:space="preserve"> el estado de fuerza implica generar procesos de reclutamiento, selección, evaluación, formación inicial, equipamiento e infraestructura.</w:t>
      </w:r>
    </w:p>
    <w:p w:rsidR="007F557C" w:rsidP="002830A7" w:rsidRDefault="007F557C" w14:paraId="3D855A58" w14:textId="77777777">
      <w:pPr>
        <w:spacing w:after="0" w:line="360" w:lineRule="auto"/>
      </w:pPr>
    </w:p>
    <w:p w:rsidRPr="009047CE" w:rsidR="009047CE" w:rsidP="009047CE" w:rsidRDefault="00C11B4A" w14:paraId="04754AD8" w14:textId="6EC250A2">
      <w:pPr>
        <w:spacing w:line="360" w:lineRule="auto"/>
        <w:rPr>
          <w:rFonts w:eastAsia="Calibri" w:cs="Tahoma"/>
          <w:iCs/>
          <w:color w:val="auto"/>
          <w:lang w:val="es-ES" w:eastAsia="es-ES_tradnl"/>
        </w:rPr>
      </w:pPr>
      <w:r>
        <w:rPr>
          <w:rFonts w:eastAsia="Times New Roman" w:cs="Tahoma"/>
          <w:bCs/>
          <w:iCs/>
          <w:color w:val="auto"/>
          <w:lang w:eastAsia="es-ES"/>
        </w:rPr>
        <w:t xml:space="preserve">Además, es de referir que la pretensión el Recurrente es obtener información estadística; sobre esta situación </w:t>
      </w:r>
      <w:r w:rsidRPr="000C0FC5" w:rsidR="007F557C">
        <w:rPr>
          <w:rFonts w:eastAsia="Times New Roman" w:cs="Tahoma"/>
          <w:bCs/>
          <w:iCs/>
          <w:color w:val="auto"/>
          <w:lang w:eastAsia="es-ES"/>
        </w:rPr>
        <w:t xml:space="preserve">el Criterio </w:t>
      </w:r>
      <w:r w:rsidRPr="009047CE" w:rsidR="009047CE">
        <w:rPr>
          <w:rFonts w:eastAsia="Calibri" w:cs="Tahoma"/>
          <w:iCs/>
          <w:color w:val="auto"/>
          <w:lang w:val="es-ES" w:eastAsia="es-ES_tradnl"/>
        </w:rPr>
        <w:t>11/09, emitido por el Pleno del entonces Instituto Federal de Acceso a la Información y Protección de Datos, traído por analogía, establece lo siguiente:</w:t>
      </w:r>
    </w:p>
    <w:p w:rsidRPr="009047CE" w:rsidR="009047CE" w:rsidP="009047CE" w:rsidRDefault="009047CE" w14:paraId="22C4F9CA" w14:textId="77777777">
      <w:pPr>
        <w:spacing w:after="0" w:line="360" w:lineRule="auto"/>
        <w:rPr>
          <w:rFonts w:eastAsia="Calibri" w:cs="Tahoma"/>
          <w:iCs/>
          <w:color w:val="auto"/>
          <w:lang w:val="es-ES" w:eastAsia="es-ES_tradnl"/>
        </w:rPr>
      </w:pPr>
    </w:p>
    <w:p w:rsidRPr="009047CE" w:rsidR="009047CE" w:rsidP="009047CE" w:rsidRDefault="009047CE" w14:paraId="79AF927F" w14:textId="77777777">
      <w:pPr>
        <w:spacing w:after="0" w:line="360" w:lineRule="auto"/>
        <w:ind w:left="567" w:right="567"/>
        <w:rPr>
          <w:rFonts w:eastAsia="Calibri" w:cs="Tahoma"/>
          <w:bCs/>
          <w:i/>
          <w:color w:val="auto"/>
          <w:sz w:val="20"/>
          <w:szCs w:val="20"/>
        </w:rPr>
      </w:pPr>
      <w:r w:rsidRPr="009047CE">
        <w:rPr>
          <w:rFonts w:eastAsia="Calibri" w:cs="Tahoma"/>
          <w:b/>
          <w:bCs/>
          <w:i/>
          <w:color w:val="auto"/>
          <w:sz w:val="20"/>
          <w:szCs w:val="20"/>
        </w:rPr>
        <w:t xml:space="preserve">“La información estadística es de naturaleza pública, independientemente de la materia con la que se encuentre vinculada. </w:t>
      </w:r>
      <w:r w:rsidRPr="009047CE">
        <w:rPr>
          <w:rFonts w:eastAsia="Calibri" w:cs="Tahoma"/>
          <w:bCs/>
          <w:i/>
          <w:color w:val="auto"/>
          <w:sz w:val="20"/>
          <w:szCs w:val="20"/>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Pr="009047CE" w:rsidR="009047CE" w:rsidP="009047CE" w:rsidRDefault="009047CE" w14:paraId="5F94035A" w14:textId="77777777">
      <w:pPr>
        <w:spacing w:after="0" w:line="360" w:lineRule="auto"/>
        <w:rPr>
          <w:rFonts w:eastAsia="Calibri" w:cs="Tahoma"/>
          <w:bCs/>
          <w:color w:val="auto"/>
        </w:rPr>
      </w:pPr>
    </w:p>
    <w:p w:rsidRPr="002830A7" w:rsidR="002830A7" w:rsidP="002830A7" w:rsidRDefault="009047CE" w14:paraId="112C00C4" w14:textId="6061C7B2">
      <w:pPr>
        <w:spacing w:after="0" w:line="360" w:lineRule="auto"/>
      </w:pPr>
      <w:r>
        <w:rPr>
          <w:rFonts w:eastAsia="Times New Roman" w:cs="Tahoma"/>
          <w:iCs/>
          <w:color w:val="auto"/>
          <w:lang w:eastAsia="es-ES"/>
        </w:rPr>
        <w:t xml:space="preserve">Conforme a lo anterior, toda vez que la pretensión del ahora Recurrente es obtener información estadística, respecto al estado de fuerza de la Dirección de Seguridad Pública y Tránsito, se considera que el Ayuntamiento de Metepec, es </w:t>
      </w:r>
      <w:r w:rsidRPr="002830A7" w:rsidR="002830A7">
        <w:t>competente para pronunciarse de la información requerida.</w:t>
      </w:r>
    </w:p>
    <w:p w:rsidR="00EA109A" w:rsidP="0046100E" w:rsidRDefault="00EC0816" w14:paraId="3AE0F020" w14:textId="51F893CD">
      <w:pPr>
        <w:spacing w:after="0" w:line="360" w:lineRule="auto"/>
      </w:pPr>
      <w:r>
        <w:lastRenderedPageBreak/>
        <w:t xml:space="preserve">Ahora bien, en respuesta </w:t>
      </w:r>
      <w:r w:rsidR="009047CE">
        <w:t>la Dirección de Seguridad Pública y Tránsito</w:t>
      </w:r>
      <w:r>
        <w:t xml:space="preserve"> precisó que proporcionaba el dato requerido, sin embargo omitió proporcionar el número requerido, tal como se muestra a continuación:</w:t>
      </w:r>
    </w:p>
    <w:p w:rsidR="00EC0816" w:rsidP="0046100E" w:rsidRDefault="00EC0816" w14:paraId="16883C50" w14:textId="77777777">
      <w:pPr>
        <w:spacing w:after="0" w:line="360" w:lineRule="auto"/>
      </w:pPr>
    </w:p>
    <w:p w:rsidR="00EC0816" w:rsidP="00EC0816" w:rsidRDefault="00EC0816" w14:paraId="037E9259" w14:textId="71C72F33">
      <w:pPr>
        <w:spacing w:after="0" w:line="360" w:lineRule="auto"/>
        <w:jc w:val="center"/>
      </w:pPr>
      <w:r>
        <w:rPr>
          <w:noProof/>
          <w:lang w:eastAsia="es-MX"/>
        </w:rPr>
        <w:drawing>
          <wp:inline distT="0" distB="0" distL="0" distR="0" wp14:anchorId="016A9A96" wp14:editId="0EE4922F">
            <wp:extent cx="4631055" cy="962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 b="45333"/>
                    <a:stretch/>
                  </pic:blipFill>
                  <pic:spPr bwMode="auto">
                    <a:xfrm>
                      <a:off x="0" y="0"/>
                      <a:ext cx="4662082" cy="968470"/>
                    </a:xfrm>
                    <a:prstGeom prst="rect">
                      <a:avLst/>
                    </a:prstGeom>
                    <a:ln>
                      <a:noFill/>
                    </a:ln>
                    <a:extLst>
                      <a:ext uri="{53640926-AAD7-44D8-BBD7-CCE9431645EC}">
                        <a14:shadowObscured xmlns:a14="http://schemas.microsoft.com/office/drawing/2010/main"/>
                      </a:ext>
                    </a:extLst>
                  </pic:spPr>
                </pic:pic>
              </a:graphicData>
            </a:graphic>
          </wp:inline>
        </w:drawing>
      </w:r>
    </w:p>
    <w:p w:rsidRPr="000C0FC5" w:rsidR="000D5EB2" w:rsidP="00EC0816" w:rsidRDefault="000D5EB2" w14:paraId="71C8DD74" w14:textId="77777777">
      <w:pPr>
        <w:spacing w:after="0" w:line="360" w:lineRule="auto"/>
        <w:jc w:val="center"/>
      </w:pPr>
    </w:p>
    <w:p w:rsidRPr="006D67D3" w:rsidR="006D67D3" w:rsidP="006D67D3" w:rsidRDefault="00EC0816" w14:paraId="686530CD" w14:textId="66F2FB6C">
      <w:pPr>
        <w:spacing w:after="0" w:line="360" w:lineRule="auto"/>
      </w:pPr>
      <w:r>
        <w:t>Conforme a lo anterior, se logra vislumbrar que la respuesta entregada por la Dirección de Seguridad Pública y Tr</w:t>
      </w:r>
      <w:r w:rsidR="00BB5293">
        <w:t xml:space="preserve">ánsito, resulta incongruente pues por una parte, señala que proporciona el dato requerido y por otra, omite señalarlo; </w:t>
      </w:r>
      <w:r w:rsidR="000E07E7">
        <w:t>a</w:t>
      </w:r>
      <w:r w:rsidRPr="006D67D3" w:rsidR="00BB5293">
        <w:t>l respecto, el artículo 1.8, fracción IX, del Código Administrativo del Estado de México, establece que para que tenga validez un acto administrativo, este deberá guardar congruencia en su contenido y con lo solicitado</w:t>
      </w:r>
    </w:p>
    <w:p w:rsidRPr="006D67D3" w:rsidR="007F557C" w:rsidP="006D67D3" w:rsidRDefault="007F557C" w14:paraId="4070B1D1" w14:textId="77777777">
      <w:pPr>
        <w:spacing w:after="0" w:line="360" w:lineRule="auto"/>
      </w:pPr>
    </w:p>
    <w:p w:rsidR="00BB5293" w:rsidP="006D67D3" w:rsidRDefault="006D67D3" w14:paraId="63CDE9D8" w14:textId="43A2AFE2">
      <w:pPr>
        <w:spacing w:after="0" w:line="360" w:lineRule="auto"/>
        <w:rPr>
          <w:rFonts w:eastAsia="Calibri" w:cs="Tahoma"/>
          <w:bCs/>
          <w:color w:val="auto"/>
          <w:lang w:val="es-ES"/>
        </w:rPr>
      </w:pPr>
      <w:r w:rsidRPr="006D67D3">
        <w:t>E</w:t>
      </w:r>
      <w:r w:rsidRPr="006D67D3" w:rsidR="00BB5293">
        <w:t>n ese sentido, resulta necesario traer por analogía, el Criterio 02/17, emitido por el Instituto Nacional de Transparencia, Acceso a la Información y Protección de Datos Personales, que señala lo siguiente</w:t>
      </w:r>
      <w:r w:rsidRPr="00BB5293" w:rsidR="00BB5293">
        <w:rPr>
          <w:rFonts w:eastAsia="Calibri" w:cs="Tahoma"/>
          <w:bCs/>
          <w:color w:val="auto"/>
          <w:lang w:val="es-ES"/>
        </w:rPr>
        <w:t>:</w:t>
      </w:r>
    </w:p>
    <w:p w:rsidRPr="00BB5293" w:rsidR="000D5EB2" w:rsidP="006D67D3" w:rsidRDefault="000D5EB2" w14:paraId="02CD6E59" w14:textId="77777777">
      <w:pPr>
        <w:spacing w:after="0" w:line="360" w:lineRule="auto"/>
        <w:rPr>
          <w:rFonts w:eastAsia="Calibri" w:cs="Tahoma"/>
          <w:bCs/>
          <w:color w:val="auto"/>
          <w:lang w:val="es-ES"/>
        </w:rPr>
      </w:pPr>
    </w:p>
    <w:p w:rsidRPr="00BB5293" w:rsidR="00BB5293" w:rsidP="00BB5293" w:rsidRDefault="00BB5293" w14:paraId="6EAB7623" w14:textId="77777777">
      <w:pPr>
        <w:spacing w:after="0" w:line="360" w:lineRule="auto"/>
        <w:ind w:left="567" w:right="567"/>
        <w:rPr>
          <w:rFonts w:eastAsia="Calibri" w:cs="Tahoma"/>
          <w:bCs/>
          <w:i/>
          <w:color w:val="auto"/>
          <w:sz w:val="20"/>
          <w:szCs w:val="20"/>
        </w:rPr>
      </w:pPr>
      <w:r w:rsidRPr="00BB5293">
        <w:rPr>
          <w:rFonts w:eastAsia="Calibri" w:cs="Tahoma"/>
          <w:b/>
          <w:bCs/>
          <w:i/>
          <w:color w:val="auto"/>
          <w:sz w:val="20"/>
          <w:szCs w:val="20"/>
        </w:rPr>
        <w:t xml:space="preserve">“Congruencia y exhaustividad. Sus alcances para garantizar el derecho de acceso a la información. </w:t>
      </w:r>
      <w:r w:rsidRPr="00BB5293">
        <w:rPr>
          <w:rFonts w:eastAsia="Calibri" w:cs="Tahoma"/>
          <w:bCs/>
          <w:i/>
          <w:color w:val="auto"/>
          <w:sz w:val="20"/>
          <w:szCs w:val="20"/>
        </w:rPr>
        <w:t xml:space="preserve">De conformidad con el artículo </w:t>
      </w:r>
      <w:r w:rsidRPr="00BB5293">
        <w:rPr>
          <w:rFonts w:eastAsia="Calibri" w:cs="Tahoma"/>
          <w:bCs/>
          <w:i/>
          <w:color w:val="auto"/>
          <w:sz w:val="20"/>
          <w:szCs w:val="20"/>
          <w:lang w:val="es-ES_tradnl"/>
        </w:rPr>
        <w:t>3 de la Ley Federal de Procedimiento Administrativo</w:t>
      </w:r>
      <w:r w:rsidRPr="00BB5293">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B5293">
        <w:rPr>
          <w:rFonts w:eastAsia="Calibri" w:cs="Tahoma"/>
          <w:b/>
          <w:bCs/>
          <w:i/>
          <w:color w:val="auto"/>
          <w:sz w:val="20"/>
          <w:szCs w:val="20"/>
        </w:rPr>
        <w:t>la congruencia implica que exista concordancia entre el requerimiento formulado por el particular y la respuesta proporcionada por el sujeto obligado</w:t>
      </w:r>
      <w:r w:rsidRPr="00BB5293">
        <w:rPr>
          <w:rFonts w:eastAsia="Calibri" w:cs="Tahoma"/>
          <w:bCs/>
          <w:i/>
          <w:color w:val="auto"/>
          <w:sz w:val="20"/>
          <w:szCs w:val="20"/>
        </w:rPr>
        <w:t xml:space="preserve">; mientras que la exhaustividad significa que dicha respuesta se refiera expresamente a cada uno de los puntos solicitados. Por lo anterior, los sujetos obligados cumplirán con los principios de congruencia y exhaustividad, cuando las respuestas </w:t>
      </w:r>
      <w:r w:rsidRPr="00BB5293">
        <w:rPr>
          <w:rFonts w:eastAsia="Calibri" w:cs="Tahoma"/>
          <w:bCs/>
          <w:i/>
          <w:color w:val="auto"/>
          <w:sz w:val="20"/>
          <w:szCs w:val="20"/>
        </w:rPr>
        <w:lastRenderedPageBreak/>
        <w:t xml:space="preserve">que emitan </w:t>
      </w:r>
      <w:r w:rsidRPr="00BB5293">
        <w:rPr>
          <w:rFonts w:eastAsia="Calibri" w:cs="Tahoma"/>
          <w:b/>
          <w:bCs/>
          <w:i/>
          <w:color w:val="auto"/>
          <w:sz w:val="20"/>
          <w:szCs w:val="20"/>
        </w:rPr>
        <w:t>guarden una relación lógica con lo solicitado</w:t>
      </w:r>
      <w:r w:rsidRPr="00BB5293">
        <w:rPr>
          <w:rFonts w:eastAsia="Calibri" w:cs="Tahoma"/>
          <w:bCs/>
          <w:i/>
          <w:color w:val="auto"/>
          <w:sz w:val="20"/>
          <w:szCs w:val="20"/>
        </w:rPr>
        <w:t xml:space="preserve"> y atiendan de manera puntual y expresa, cada uno de los contenidos de información.</w:t>
      </w:r>
      <w:r w:rsidRPr="00BB5293">
        <w:rPr>
          <w:rFonts w:eastAsia="Calibri" w:cs="Tahoma"/>
          <w:b/>
          <w:bCs/>
          <w:i/>
          <w:color w:val="auto"/>
          <w:sz w:val="20"/>
          <w:szCs w:val="20"/>
        </w:rPr>
        <w:t>”</w:t>
      </w:r>
    </w:p>
    <w:p w:rsidRPr="00BB5293" w:rsidR="00BB5293" w:rsidP="00BB5293" w:rsidRDefault="00BB5293" w14:paraId="42E014D3" w14:textId="77777777">
      <w:pPr>
        <w:spacing w:after="0" w:line="360" w:lineRule="auto"/>
        <w:rPr>
          <w:rFonts w:eastAsia="Times New Roman" w:cs="Times New Roman"/>
          <w:color w:val="auto"/>
          <w:lang w:val="es-ES" w:eastAsia="es-ES"/>
        </w:rPr>
      </w:pPr>
    </w:p>
    <w:p w:rsidRPr="00BB5293" w:rsidR="00BB5293" w:rsidP="00BB5293" w:rsidRDefault="00BB5293" w14:paraId="298BC316" w14:textId="77777777">
      <w:pPr>
        <w:spacing w:after="0" w:line="360" w:lineRule="auto"/>
        <w:rPr>
          <w:rFonts w:eastAsia="Times New Roman" w:cs="Times New Roman"/>
          <w:color w:val="auto"/>
          <w:lang w:val="es-ES" w:eastAsia="es-ES"/>
        </w:rPr>
      </w:pPr>
      <w:r w:rsidRPr="00BB5293">
        <w:rPr>
          <w:rFonts w:eastAsia="Times New Roman" w:cs="Times New Roman"/>
          <w:color w:val="auto"/>
          <w:lang w:eastAsia="es-ES"/>
        </w:rPr>
        <w:t xml:space="preserve">Del citado criterio, se desprende que </w:t>
      </w:r>
      <w:r w:rsidRPr="00BB5293">
        <w:rPr>
          <w:rFonts w:eastAsia="Times New Roman" w:cs="Times New Roman"/>
          <w:bCs/>
          <w:color w:val="auto"/>
          <w:lang w:eastAsia="es-ES"/>
        </w:rPr>
        <w:t>todo acto administrativo debe apegarse al</w:t>
      </w:r>
      <w:r w:rsidRPr="00BB5293">
        <w:rPr>
          <w:rFonts w:eastAsia="Times New Roman" w:cs="Times New Roman"/>
          <w:color w:val="auto"/>
          <w:lang w:val="es-ES" w:eastAsia="es-ES"/>
        </w:rPr>
        <w:t xml:space="preserve"> </w:t>
      </w:r>
      <w:r w:rsidRPr="00BB5293">
        <w:rPr>
          <w:rFonts w:eastAsia="Times New Roman" w:cs="Times New Roman"/>
          <w:b/>
          <w:color w:val="auto"/>
          <w:lang w:val="es-ES" w:eastAsia="es-ES"/>
        </w:rPr>
        <w:t xml:space="preserve">Principio de Congruencia, </w:t>
      </w:r>
      <w:r w:rsidRPr="00BB5293">
        <w:rPr>
          <w:rFonts w:eastAsia="Times New Roman" w:cs="Times New Roman"/>
          <w:color w:val="auto"/>
          <w:lang w:val="es-ES" w:eastAsia="es-ES"/>
        </w:rPr>
        <w:t>el cual</w:t>
      </w:r>
      <w:r w:rsidRPr="00BB5293">
        <w:rPr>
          <w:rFonts w:eastAsia="Times New Roman" w:cs="Times New Roman"/>
          <w:b/>
          <w:color w:val="auto"/>
          <w:lang w:val="es-ES" w:eastAsia="es-ES"/>
        </w:rPr>
        <w:t xml:space="preserve"> </w:t>
      </w:r>
      <w:r w:rsidRPr="00BB5293">
        <w:rPr>
          <w:rFonts w:eastAsia="Times New Roman" w:cs="Times New Roman"/>
          <w:color w:val="auto"/>
          <w:lang w:val="es-ES" w:eastAsia="es-ES"/>
        </w:rPr>
        <w:t>implica que exista concordancia entre el requerimiento formulado y la respuesta entregada; el cual no fue aplicado por el Ente Recurrido, al no atender la temporalidad requerida por la ahora Recurrente.</w:t>
      </w:r>
    </w:p>
    <w:p w:rsidRPr="00BB5293" w:rsidR="00BB5293" w:rsidP="00BB5293" w:rsidRDefault="00BB5293" w14:paraId="71C7F410" w14:textId="77777777">
      <w:pPr>
        <w:spacing w:after="0" w:line="360" w:lineRule="auto"/>
        <w:rPr>
          <w:rFonts w:eastAsia="Times New Roman" w:cs="Tahoma"/>
          <w:color w:val="auto"/>
          <w:lang w:val="es-ES" w:eastAsia="es-ES"/>
        </w:rPr>
      </w:pPr>
    </w:p>
    <w:p w:rsidRPr="007F557C" w:rsidR="00BB5293" w:rsidP="00BB5293" w:rsidRDefault="00BB5293" w14:paraId="373FEBFB" w14:textId="7472BE2C">
      <w:pPr>
        <w:spacing w:after="0" w:line="360" w:lineRule="auto"/>
        <w:rPr>
          <w:iCs/>
          <w:lang w:val="es-ES"/>
        </w:rPr>
      </w:pPr>
      <w:r w:rsidRPr="00647755">
        <w:t>Por</w:t>
      </w:r>
      <w:r w:rsidRPr="00647755" w:rsidR="00647755">
        <w:t xml:space="preserve"> </w:t>
      </w:r>
      <w:r w:rsidRPr="00647755">
        <w:t xml:space="preserve">tales consideraciones, al incumplir con el Principio de Congruencia el Ayuntamiento de </w:t>
      </w:r>
      <w:r w:rsidRPr="00647755" w:rsidR="0008663C">
        <w:t>Metepec</w:t>
      </w:r>
      <w:r w:rsidRPr="00647755">
        <w:t>, no se pued</w:t>
      </w:r>
      <w:r w:rsidRPr="00647755" w:rsidR="0008663C">
        <w:t>e validar la respuesta otorgada</w:t>
      </w:r>
      <w:r w:rsidRPr="00647755" w:rsidR="00647755">
        <w:t xml:space="preserve">; por lo que, se considera que el Ayuntamiento de </w:t>
      </w:r>
      <w:r w:rsidR="0052445D">
        <w:t>Metepec</w:t>
      </w:r>
      <w:r w:rsidRPr="00647755" w:rsidR="00647755">
        <w:t xml:space="preserve">, para atender el requerimiento informativo, deberá realizar una búsqueda exhaustiva y razonable, en todas las unidades administrativas competentes, entre las cuales, se encuentra, la Dirección de Seguridad Pública y </w:t>
      </w:r>
      <w:r w:rsidR="0052445D">
        <w:t>Tránsito</w:t>
      </w:r>
      <w:r w:rsidRPr="00647755" w:rsidR="00647755">
        <w:t xml:space="preserve">, a efecto de que proporcione el documento donde conste, </w:t>
      </w:r>
      <w:r w:rsidRPr="00DE1E38" w:rsidR="00DE1E38">
        <w:rPr>
          <w:iCs/>
          <w:lang w:val="es-ES"/>
        </w:rPr>
        <w:t>número de policías municipales con los que contaba, al veintiséis de noviembre de dos mil veintiuno, para realizar las labores de segurid</w:t>
      </w:r>
      <w:r w:rsidR="00DE1E38">
        <w:rPr>
          <w:iCs/>
          <w:lang w:val="es-ES"/>
        </w:rPr>
        <w:t xml:space="preserve">ad pública, tránsito y vialidad, con el fin de dar cumplimiento </w:t>
      </w:r>
      <w:r w:rsidR="000756DA">
        <w:rPr>
          <w:iCs/>
          <w:lang w:val="es-ES"/>
        </w:rPr>
        <w:t>a los artículos 12, 160 y 162 de la Ley de Transparencia y Acceso a la Información Pública del Estado México.</w:t>
      </w:r>
    </w:p>
    <w:p w:rsidR="00EA109A" w:rsidP="0046100E" w:rsidRDefault="00EA109A" w14:paraId="734D30E8" w14:textId="5DDB7F62">
      <w:pPr>
        <w:spacing w:after="0" w:line="360" w:lineRule="auto"/>
      </w:pPr>
    </w:p>
    <w:p w:rsidR="001900B4" w:rsidP="0046100E" w:rsidRDefault="001900B4" w14:paraId="1C5A2A33" w14:textId="77777777">
      <w:pPr>
        <w:spacing w:after="0" w:line="360" w:lineRule="auto"/>
        <w:rPr>
          <w:rFonts w:cs="Tahoma"/>
          <w:b/>
        </w:rPr>
      </w:pPr>
      <w:r w:rsidRPr="000C0FC5">
        <w:rPr>
          <w:rFonts w:cs="Tahoma"/>
          <w:b/>
        </w:rPr>
        <w:t xml:space="preserve">SEXTO. Decisión. </w:t>
      </w:r>
    </w:p>
    <w:p w:rsidRPr="000C0FC5" w:rsidR="000D5EB2" w:rsidP="0046100E" w:rsidRDefault="000D5EB2" w14:paraId="1E0EF026" w14:textId="77777777">
      <w:pPr>
        <w:spacing w:after="0" w:line="360" w:lineRule="auto"/>
        <w:rPr>
          <w:rFonts w:cs="Tahoma"/>
          <w:b/>
        </w:rPr>
      </w:pPr>
    </w:p>
    <w:p w:rsidRPr="000C0FC5" w:rsidR="00524A0E" w:rsidP="000D5EB2" w:rsidRDefault="001900B4" w14:paraId="53C52532" w14:textId="41E496D0">
      <w:pPr>
        <w:spacing w:after="0" w:line="360" w:lineRule="auto"/>
        <w:rPr>
          <w:rFonts w:eastAsia="Calibri" w:cs="Tahoma"/>
          <w:iCs/>
          <w:lang w:eastAsia="es-ES_tradnl"/>
        </w:rPr>
      </w:pPr>
      <w:r w:rsidRPr="000C0FC5">
        <w:rPr>
          <w:rFonts w:cs="Tahoma"/>
        </w:rPr>
        <w:t xml:space="preserve">Con fundamento en el artículo 186, fracción III, de la Ley de Transparencia y Acceso a la Información Pública del Estado de México y Municipios, este Instituto considera procedente </w:t>
      </w:r>
      <w:r w:rsidRPr="000C0FC5">
        <w:rPr>
          <w:rFonts w:cs="Tahoma"/>
          <w:b/>
        </w:rPr>
        <w:t xml:space="preserve">MODIFICAR </w:t>
      </w:r>
      <w:r w:rsidRPr="000C0FC5">
        <w:rPr>
          <w:rFonts w:cs="Tahoma"/>
          <w:bCs/>
        </w:rPr>
        <w:t>la</w:t>
      </w:r>
      <w:r w:rsidRPr="000C0FC5">
        <w:rPr>
          <w:rFonts w:cs="Tahoma"/>
        </w:rPr>
        <w:t xml:space="preserve"> respuesta otorgada por el</w:t>
      </w:r>
      <w:r w:rsidRPr="000C0FC5" w:rsidR="00EF0D39">
        <w:rPr>
          <w:rFonts w:cs="Tahoma"/>
        </w:rPr>
        <w:t xml:space="preserve"> </w:t>
      </w:r>
      <w:r w:rsidRPr="000C0FC5" w:rsidR="00050633">
        <w:rPr>
          <w:rFonts w:eastAsia="Calibri" w:cs="Tahoma"/>
        </w:rPr>
        <w:t>Ayuntamiento de Metepec</w:t>
      </w:r>
      <w:r w:rsidRPr="000C0FC5" w:rsidR="00EF0D39">
        <w:rPr>
          <w:rFonts w:eastAsia="Calibri" w:cs="Tahoma"/>
        </w:rPr>
        <w:t xml:space="preserve">, </w:t>
      </w:r>
      <w:r w:rsidRPr="000C0FC5" w:rsidR="00DD2536">
        <w:rPr>
          <w:rFonts w:eastAsia="Calibri" w:cs="Tahoma"/>
        </w:rPr>
        <w:t xml:space="preserve">e instruye al Sujeto Obligado </w:t>
      </w:r>
      <w:r w:rsidRPr="000C0FC5">
        <w:rPr>
          <w:rFonts w:cs="Tahoma"/>
        </w:rPr>
        <w:t>a efecto de que</w:t>
      </w:r>
      <w:r w:rsidR="000E07E7">
        <w:rPr>
          <w:rFonts w:cs="Tahoma"/>
        </w:rPr>
        <w:t>, previa búsqueda exhaustiva y razonable en todas las áreas competentes,</w:t>
      </w:r>
      <w:r w:rsidRPr="000C0FC5" w:rsidR="006A0781">
        <w:rPr>
          <w:rFonts w:cs="Tahoma"/>
        </w:rPr>
        <w:t xml:space="preserve"> </w:t>
      </w:r>
      <w:r w:rsidRPr="000C0FC5">
        <w:rPr>
          <w:rFonts w:cs="Tahoma"/>
        </w:rPr>
        <w:t xml:space="preserve">entregue, </w:t>
      </w:r>
      <w:r w:rsidRPr="000C0FC5">
        <w:rPr>
          <w:rFonts w:eastAsia="Calibri" w:cs="Tahoma"/>
          <w:iCs/>
          <w:lang w:eastAsia="es-ES_tradnl"/>
        </w:rPr>
        <w:t>a través del Sistema de Acceso a la Información Mexiquense (SAIMEX),</w:t>
      </w:r>
      <w:r w:rsidRPr="000C0FC5" w:rsidR="00682222">
        <w:rPr>
          <w:rFonts w:eastAsia="Calibri" w:cs="Tahoma"/>
          <w:iCs/>
          <w:lang w:eastAsia="es-ES_tradnl"/>
        </w:rPr>
        <w:t xml:space="preserve"> </w:t>
      </w:r>
      <w:r w:rsidR="000E07E7">
        <w:rPr>
          <w:rFonts w:eastAsia="Calibri" w:cs="Tahoma"/>
          <w:iCs/>
          <w:lang w:eastAsia="es-ES_tradnl"/>
        </w:rPr>
        <w:t xml:space="preserve">el </w:t>
      </w:r>
      <w:r w:rsidRPr="000E07E7" w:rsidR="000E07E7">
        <w:rPr>
          <w:rFonts w:eastAsia="Calibri" w:cs="Tahoma"/>
          <w:iCs/>
          <w:lang w:eastAsia="es-ES_tradnl"/>
        </w:rPr>
        <w:t>documento donde conste,</w:t>
      </w:r>
      <w:r w:rsidR="000E07E7">
        <w:rPr>
          <w:rFonts w:eastAsia="Calibri" w:cs="Tahoma"/>
          <w:iCs/>
          <w:lang w:eastAsia="es-ES_tradnl"/>
        </w:rPr>
        <w:t xml:space="preserve"> el</w:t>
      </w:r>
      <w:r w:rsidRPr="000E07E7" w:rsidR="000E07E7">
        <w:rPr>
          <w:rFonts w:eastAsia="Calibri" w:cs="Tahoma"/>
          <w:iCs/>
          <w:lang w:eastAsia="es-ES_tradnl"/>
        </w:rPr>
        <w:t xml:space="preserve"> </w:t>
      </w:r>
      <w:r w:rsidRPr="000E07E7" w:rsidR="000E07E7">
        <w:rPr>
          <w:rFonts w:eastAsia="Calibri" w:cs="Tahoma"/>
          <w:iCs/>
          <w:lang w:val="es-ES" w:eastAsia="es-ES_tradnl"/>
        </w:rPr>
        <w:t>número de policías municipales con los que contaba</w:t>
      </w:r>
      <w:r w:rsidR="000E07E7">
        <w:rPr>
          <w:rFonts w:eastAsia="Calibri" w:cs="Tahoma"/>
          <w:iCs/>
          <w:lang w:val="es-ES" w:eastAsia="es-ES_tradnl"/>
        </w:rPr>
        <w:t xml:space="preserve"> el </w:t>
      </w:r>
      <w:r w:rsidR="000E07E7">
        <w:rPr>
          <w:rFonts w:eastAsia="Calibri" w:cs="Tahoma"/>
          <w:iCs/>
          <w:lang w:val="es-ES" w:eastAsia="es-ES_tradnl"/>
        </w:rPr>
        <w:lastRenderedPageBreak/>
        <w:t>Ayuntamiento de Metepec</w:t>
      </w:r>
      <w:r w:rsidRPr="000E07E7" w:rsidR="000E07E7">
        <w:rPr>
          <w:rFonts w:eastAsia="Calibri" w:cs="Tahoma"/>
          <w:iCs/>
          <w:lang w:val="es-ES" w:eastAsia="es-ES_tradnl"/>
        </w:rPr>
        <w:t>, al veintiséis de noviembre de dos mil veintiuno, para realizar las labores de seguridad pública, tránsito y vialidad</w:t>
      </w:r>
      <w:r w:rsidR="000D5EB2">
        <w:rPr>
          <w:rFonts w:eastAsia="Calibri" w:cs="Tahoma"/>
          <w:iCs/>
          <w:lang w:val="es-ES" w:eastAsia="es-ES_tradnl"/>
        </w:rPr>
        <w:t>.</w:t>
      </w:r>
    </w:p>
    <w:p w:rsidRPr="000C0FC5" w:rsidR="00682222" w:rsidP="0046100E" w:rsidRDefault="00682222" w14:paraId="3CF302AD" w14:textId="77777777">
      <w:pPr>
        <w:spacing w:after="0" w:line="360" w:lineRule="auto"/>
      </w:pPr>
    </w:p>
    <w:p w:rsidRPr="000C0FC5" w:rsidR="00C853D1" w:rsidP="0046100E" w:rsidRDefault="00C853D1" w14:paraId="1BD24118" w14:textId="77777777">
      <w:pPr>
        <w:spacing w:after="0" w:line="360" w:lineRule="auto"/>
        <w:rPr>
          <w:b/>
          <w:bCs/>
        </w:rPr>
      </w:pPr>
      <w:r w:rsidRPr="000C0FC5">
        <w:rPr>
          <w:b/>
          <w:bCs/>
        </w:rPr>
        <w:t>Términos de la Resolución.</w:t>
      </w:r>
    </w:p>
    <w:p w:rsidRPr="000C0FC5" w:rsidR="00C853D1" w:rsidP="0046100E" w:rsidRDefault="00C853D1" w14:paraId="6C1809B6" w14:textId="3933B954">
      <w:pPr>
        <w:spacing w:after="0" w:line="360" w:lineRule="auto"/>
      </w:pPr>
    </w:p>
    <w:p w:rsidRPr="000C0FC5" w:rsidR="000223B0" w:rsidP="0046100E" w:rsidRDefault="000223B0" w14:paraId="1FB30D36" w14:textId="05A1E6A8">
      <w:pPr>
        <w:spacing w:after="0" w:line="360" w:lineRule="auto"/>
        <w:ind w:right="-28"/>
        <w:rPr>
          <w:rFonts w:eastAsia="Calibri" w:cs="Tahoma"/>
        </w:rPr>
      </w:pPr>
      <w:r w:rsidRPr="000C0FC5">
        <w:rPr>
          <w:rFonts w:eastAsia="Times New Roman" w:cs="Times New Roman"/>
          <w:lang w:eastAsia="es-MX"/>
        </w:rPr>
        <w:t xml:space="preserve">Se le hace del conocimiento al Particular, que, en el presente caso, se le concede la razón, pues el </w:t>
      </w:r>
      <w:r w:rsidRPr="000C0FC5" w:rsidR="00050633">
        <w:rPr>
          <w:rFonts w:eastAsia="Calibri" w:cs="Tahoma"/>
        </w:rPr>
        <w:t>Ayuntamiento de Metepec</w:t>
      </w:r>
      <w:r w:rsidRPr="000C0FC5">
        <w:rPr>
          <w:rFonts w:eastAsia="Calibri" w:cs="Tahoma"/>
        </w:rPr>
        <w:t xml:space="preserve">, </w:t>
      </w:r>
      <w:r w:rsidRPr="000C0FC5" w:rsidR="00F126B7">
        <w:rPr>
          <w:rFonts w:eastAsia="Calibri" w:cs="Tahoma"/>
        </w:rPr>
        <w:t xml:space="preserve">no </w:t>
      </w:r>
      <w:r w:rsidR="000E07E7">
        <w:rPr>
          <w:rFonts w:eastAsia="Calibri" w:cs="Tahoma"/>
        </w:rPr>
        <w:t>entregó la información solicitada, por lo que, en el presente caso, le deberá proporcionar el documento donde conste el número de policías municipales.</w:t>
      </w:r>
      <w:r w:rsidRPr="000C0FC5" w:rsidR="00C460F6">
        <w:rPr>
          <w:rFonts w:eastAsia="Calibri" w:cs="Tahoma"/>
        </w:rPr>
        <w:t xml:space="preserve"> </w:t>
      </w:r>
      <w:r w:rsidR="000D5EB2">
        <w:rPr>
          <w:rFonts w:eastAsia="Calibri" w:cs="Tahoma"/>
        </w:rPr>
        <w:t xml:space="preserve"> </w:t>
      </w:r>
      <w:r w:rsidRPr="000C0FC5">
        <w:rPr>
          <w:rFonts w:eastAsia="Calibri" w:cs="Tahoma"/>
          <w:bCs/>
          <w:iCs/>
          <w:color w:val="auto"/>
        </w:rPr>
        <w:t>Finalmente, la labor de este Instituto, es apoyar a la población a acceder a la información pública y garantizar la protección de los datos personales.</w:t>
      </w:r>
    </w:p>
    <w:p w:rsidRPr="000C0FC5" w:rsidR="00C853D1" w:rsidP="0046100E" w:rsidRDefault="00C853D1" w14:paraId="457213AE" w14:textId="77777777">
      <w:pPr>
        <w:spacing w:after="0" w:line="360" w:lineRule="auto"/>
      </w:pPr>
    </w:p>
    <w:p w:rsidRPr="000C0FC5" w:rsidR="00C853D1" w:rsidP="0046100E" w:rsidRDefault="00C853D1" w14:paraId="4469D1A7" w14:textId="77777777">
      <w:pPr>
        <w:spacing w:after="0" w:line="360" w:lineRule="auto"/>
        <w:rPr>
          <w:rFonts w:eastAsia="Calibri" w:cs="Tahoma"/>
          <w:bCs/>
          <w:color w:val="auto"/>
        </w:rPr>
      </w:pPr>
      <w:r w:rsidRPr="000C0FC5">
        <w:t>Por</w:t>
      </w:r>
      <w:r w:rsidRPr="000C0FC5">
        <w:rPr>
          <w:rFonts w:eastAsia="Calibri" w:cs="Tahoma"/>
          <w:bCs/>
          <w:color w:val="auto"/>
        </w:rPr>
        <w:t xml:space="preserve"> lo expuesto y fundado, este Pleno:</w:t>
      </w:r>
    </w:p>
    <w:p w:rsidRPr="000C0FC5" w:rsidR="00C853D1" w:rsidP="0046100E" w:rsidRDefault="00C853D1" w14:paraId="2A9CCC89" w14:textId="77777777">
      <w:pPr>
        <w:spacing w:after="0" w:line="360" w:lineRule="auto"/>
        <w:ind w:right="-28"/>
        <w:rPr>
          <w:rFonts w:eastAsia="Calibri" w:cs="Tahoma"/>
          <w:bCs/>
          <w:color w:val="auto"/>
        </w:rPr>
      </w:pPr>
    </w:p>
    <w:p w:rsidRPr="000C0FC5" w:rsidR="00C853D1" w:rsidP="0046100E" w:rsidRDefault="00C853D1" w14:paraId="5C5F6794" w14:textId="77777777">
      <w:pPr>
        <w:spacing w:after="0" w:line="360" w:lineRule="auto"/>
        <w:ind w:right="-28"/>
        <w:jc w:val="center"/>
        <w:rPr>
          <w:rFonts w:eastAsia="Calibri" w:cs="Tahoma"/>
          <w:b/>
          <w:bCs/>
          <w:color w:val="auto"/>
        </w:rPr>
      </w:pPr>
      <w:r w:rsidRPr="000C0FC5">
        <w:rPr>
          <w:rFonts w:eastAsia="Calibri" w:cs="Tahoma"/>
          <w:b/>
          <w:bCs/>
          <w:color w:val="auto"/>
        </w:rPr>
        <w:t>R E S U E L V E:</w:t>
      </w:r>
    </w:p>
    <w:p w:rsidRPr="000C0FC5" w:rsidR="00C853D1" w:rsidP="0046100E" w:rsidRDefault="00C853D1" w14:paraId="5315815D" w14:textId="77777777">
      <w:pPr>
        <w:spacing w:after="0" w:line="360" w:lineRule="auto"/>
        <w:rPr>
          <w:lang w:val="es-ES" w:eastAsia="es-ES_tradnl"/>
        </w:rPr>
      </w:pPr>
    </w:p>
    <w:p w:rsidRPr="000C0FC5" w:rsidR="00782132" w:rsidP="0046100E" w:rsidRDefault="00782132" w14:paraId="3F37601B" w14:textId="1256BF67">
      <w:pPr>
        <w:spacing w:after="0" w:line="360" w:lineRule="auto"/>
        <w:contextualSpacing/>
        <w:rPr>
          <w:rFonts w:eastAsia="Calibri" w:cs="Tahoma"/>
          <w:bCs/>
        </w:rPr>
      </w:pPr>
      <w:r w:rsidRPr="000C0FC5">
        <w:rPr>
          <w:rFonts w:cs="Tahoma"/>
          <w:b/>
          <w:bCs/>
        </w:rPr>
        <w:t xml:space="preserve">PRIMERO. </w:t>
      </w:r>
      <w:r w:rsidRPr="000C0FC5">
        <w:rPr>
          <w:rFonts w:cs="Tahoma"/>
          <w:bCs/>
        </w:rPr>
        <w:t xml:space="preserve">Se </w:t>
      </w:r>
      <w:r w:rsidRPr="000C0FC5">
        <w:rPr>
          <w:rFonts w:cs="Tahoma"/>
          <w:b/>
          <w:bCs/>
        </w:rPr>
        <w:t>MODIFICA</w:t>
      </w:r>
      <w:r w:rsidRPr="000C0FC5">
        <w:rPr>
          <w:rFonts w:cs="Tahoma"/>
          <w:bCs/>
        </w:rPr>
        <w:t xml:space="preserve"> la respuesta entregada por el </w:t>
      </w:r>
      <w:r w:rsidRPr="000C0FC5" w:rsidR="00050633">
        <w:rPr>
          <w:rFonts w:eastAsia="Calibri" w:cs="Tahoma"/>
        </w:rPr>
        <w:t>Ayuntamiento de Metepec</w:t>
      </w:r>
      <w:r w:rsidRPr="000C0FC5" w:rsidR="00F060A2">
        <w:rPr>
          <w:rFonts w:cs="Tahoma"/>
          <w:bCs/>
        </w:rPr>
        <w:t xml:space="preserve"> </w:t>
      </w:r>
      <w:r w:rsidRPr="000C0FC5">
        <w:rPr>
          <w:rFonts w:cs="Tahoma"/>
          <w:bCs/>
        </w:rPr>
        <w:t xml:space="preserve">a la solicitud de </w:t>
      </w:r>
      <w:r w:rsidRPr="000C0FC5">
        <w:rPr>
          <w:rFonts w:eastAsia="Calibri" w:cs="Tahoma"/>
        </w:rPr>
        <w:t xml:space="preserve">información </w:t>
      </w:r>
      <w:r w:rsidRPr="000C0FC5" w:rsidR="00541F1E">
        <w:rPr>
          <w:rFonts w:eastAsia="Calibri" w:cs="Tahoma"/>
          <w:b/>
          <w:bCs/>
        </w:rPr>
        <w:t>00706/METEPEC/IP/2021</w:t>
      </w:r>
      <w:r w:rsidR="000D5EB2">
        <w:rPr>
          <w:rFonts w:eastAsia="Calibri" w:cs="Tahoma"/>
          <w:b/>
          <w:bCs/>
        </w:rPr>
        <w:t>,</w:t>
      </w:r>
      <w:r w:rsidRPr="000C0FC5" w:rsidR="00E92B4A">
        <w:t xml:space="preserve"> </w:t>
      </w:r>
      <w:r w:rsidRPr="000C0FC5">
        <w:t xml:space="preserve">por resultar </w:t>
      </w:r>
      <w:r w:rsidRPr="000C0FC5">
        <w:rPr>
          <w:b/>
        </w:rPr>
        <w:t>FUNDADAS</w:t>
      </w:r>
      <w:r w:rsidRPr="000C0FC5">
        <w:rPr>
          <w:rFonts w:cs="Tahoma"/>
        </w:rPr>
        <w:t xml:space="preserve"> </w:t>
      </w:r>
      <w:r w:rsidRPr="000C0FC5">
        <w:rPr>
          <w:rFonts w:eastAsia="Calibri" w:cs="Tahoma"/>
        </w:rPr>
        <w:t>las razones o motivos de inconformidad hechos valer por el Particular, en</w:t>
      </w:r>
      <w:r w:rsidRPr="000C0FC5">
        <w:rPr>
          <w:rFonts w:eastAsia="Calibri" w:cs="Tahoma"/>
          <w:bCs/>
        </w:rPr>
        <w:t xml:space="preserve"> términos de los considerandos </w:t>
      </w:r>
      <w:r w:rsidRPr="000C0FC5">
        <w:rPr>
          <w:rFonts w:eastAsia="Calibri" w:cs="Tahoma"/>
          <w:b/>
          <w:bCs/>
        </w:rPr>
        <w:t xml:space="preserve">QUINTO </w:t>
      </w:r>
      <w:r w:rsidRPr="000C0FC5">
        <w:rPr>
          <w:rFonts w:eastAsia="Calibri" w:cs="Tahoma"/>
        </w:rPr>
        <w:t xml:space="preserve">y </w:t>
      </w:r>
      <w:r w:rsidRPr="000C0FC5">
        <w:rPr>
          <w:rFonts w:eastAsia="Calibri" w:cs="Tahoma"/>
          <w:b/>
          <w:bCs/>
        </w:rPr>
        <w:t>SEXTO</w:t>
      </w:r>
      <w:r w:rsidRPr="000C0FC5">
        <w:rPr>
          <w:rFonts w:eastAsia="Calibri" w:cs="Tahoma"/>
          <w:bCs/>
        </w:rPr>
        <w:t xml:space="preserve"> de la presente Resolución.</w:t>
      </w:r>
    </w:p>
    <w:p w:rsidRPr="000C0FC5" w:rsidR="00782132" w:rsidP="0046100E" w:rsidRDefault="00782132" w14:paraId="4A6EB131" w14:textId="77777777">
      <w:pPr>
        <w:spacing w:after="0" w:line="360" w:lineRule="auto"/>
        <w:contextualSpacing/>
        <w:rPr>
          <w:rFonts w:eastAsia="Calibri" w:cs="Tahoma"/>
          <w:bCs/>
        </w:rPr>
      </w:pPr>
    </w:p>
    <w:p w:rsidRPr="000C0FC5" w:rsidR="00782132" w:rsidP="0046100E" w:rsidRDefault="00782132" w14:paraId="13908649" w14:textId="7B5B3DED">
      <w:pPr>
        <w:spacing w:after="0" w:line="360" w:lineRule="auto"/>
        <w:rPr>
          <w:rFonts w:cs="Tahoma"/>
        </w:rPr>
      </w:pPr>
      <w:r w:rsidRPr="000C0FC5">
        <w:rPr>
          <w:rFonts w:cs="Tahoma"/>
          <w:b/>
          <w:bCs/>
        </w:rPr>
        <w:t xml:space="preserve">SEGUNDO. </w:t>
      </w:r>
      <w:r w:rsidRPr="000C0FC5">
        <w:rPr>
          <w:rFonts w:cs="Tahoma"/>
        </w:rPr>
        <w:t xml:space="preserve">Se </w:t>
      </w:r>
      <w:r w:rsidRPr="000C0FC5">
        <w:rPr>
          <w:rFonts w:cs="Tahoma"/>
          <w:b/>
        </w:rPr>
        <w:t xml:space="preserve">ORDENA </w:t>
      </w:r>
      <w:r w:rsidRPr="000C0FC5">
        <w:rPr>
          <w:rFonts w:cs="Tahoma"/>
          <w:bCs/>
        </w:rPr>
        <w:t xml:space="preserve">al </w:t>
      </w:r>
      <w:r w:rsidRPr="000C0FC5">
        <w:rPr>
          <w:rFonts w:cs="Tahoma"/>
        </w:rPr>
        <w:t>Ente Recurrido, a efecto de</w:t>
      </w:r>
      <w:r w:rsidRPr="000C0FC5">
        <w:rPr>
          <w:rFonts w:eastAsia="Calibri" w:cs="Tahoma"/>
          <w:lang w:eastAsia="es-MX"/>
        </w:rPr>
        <w:t xml:space="preserve"> que</w:t>
      </w:r>
      <w:r w:rsidR="000D5EB2">
        <w:rPr>
          <w:rFonts w:eastAsia="Calibri" w:cs="Tahoma"/>
          <w:lang w:eastAsia="es-MX"/>
        </w:rPr>
        <w:t>, previa búsqueda exhaustiva y razonable, en todas las áreas competentes,</w:t>
      </w:r>
      <w:r w:rsidRPr="000C0FC5">
        <w:rPr>
          <w:rFonts w:eastAsia="Calibri" w:cs="Tahoma"/>
          <w:lang w:eastAsia="es-MX"/>
        </w:rPr>
        <w:t xml:space="preserve"> entregue</w:t>
      </w:r>
      <w:r w:rsidRPr="000C0FC5">
        <w:rPr>
          <w:rFonts w:cs="Tahoma"/>
        </w:rPr>
        <w:t xml:space="preserve">, a través del Sistema de Acceso a la Información Mexiquense (SAIMEX), </w:t>
      </w:r>
      <w:r w:rsidR="000D5EB2">
        <w:rPr>
          <w:rFonts w:cs="Tahoma"/>
        </w:rPr>
        <w:t>el documento donde conste l</w:t>
      </w:r>
      <w:r w:rsidR="009D59D2">
        <w:rPr>
          <w:rFonts w:cs="Tahoma"/>
        </w:rPr>
        <w:t>a</w:t>
      </w:r>
      <w:r w:rsidR="000D5EB2">
        <w:rPr>
          <w:rFonts w:cs="Tahoma"/>
        </w:rPr>
        <w:t xml:space="preserve"> siguiente</w:t>
      </w:r>
      <w:r w:rsidR="009D59D2">
        <w:rPr>
          <w:rFonts w:cs="Tahoma"/>
        </w:rPr>
        <w:t xml:space="preserve"> información estadística</w:t>
      </w:r>
      <w:r w:rsidR="000D5EB2">
        <w:rPr>
          <w:rFonts w:cs="Tahoma"/>
        </w:rPr>
        <w:t>:</w:t>
      </w:r>
    </w:p>
    <w:p w:rsidRPr="000C0FC5" w:rsidR="00682222" w:rsidP="0046100E" w:rsidRDefault="00682222" w14:paraId="5B051C95" w14:textId="77777777">
      <w:pPr>
        <w:spacing w:after="0" w:line="360" w:lineRule="auto"/>
        <w:rPr>
          <w:rFonts w:cs="Tahoma"/>
        </w:rPr>
      </w:pPr>
    </w:p>
    <w:p w:rsidRPr="000D5EB2" w:rsidR="00782132" w:rsidP="00111AB3" w:rsidRDefault="00866888" w14:paraId="2D33E7EA" w14:textId="7759DB9E">
      <w:pPr>
        <w:pStyle w:val="Prrafodelista"/>
        <w:widowControl w:val="0"/>
        <w:numPr>
          <w:ilvl w:val="0"/>
          <w:numId w:val="26"/>
        </w:numPr>
        <w:spacing w:line="360" w:lineRule="auto"/>
        <w:rPr>
          <w:rFonts w:cs="Tahoma"/>
          <w:bCs/>
          <w:color w:val="auto"/>
        </w:rPr>
      </w:pPr>
      <w:r w:rsidRPr="000D5EB2">
        <w:rPr>
          <w:rFonts w:eastAsia="Calibri" w:cs="Tahoma"/>
          <w:iCs/>
          <w:lang w:eastAsia="es-ES_tradnl"/>
        </w:rPr>
        <w:t xml:space="preserve">El </w:t>
      </w:r>
      <w:r w:rsidRPr="000E07E7" w:rsidR="000D5EB2">
        <w:rPr>
          <w:rFonts w:eastAsia="Calibri" w:cs="Tahoma"/>
          <w:iCs/>
          <w:lang w:val="es-ES" w:eastAsia="es-ES_tradnl"/>
        </w:rPr>
        <w:t>número de policías municipales con los que contaba</w:t>
      </w:r>
      <w:r w:rsidR="000D5EB2">
        <w:rPr>
          <w:rFonts w:eastAsia="Calibri" w:cs="Tahoma"/>
          <w:iCs/>
          <w:lang w:val="es-ES" w:eastAsia="es-ES_tradnl"/>
        </w:rPr>
        <w:t xml:space="preserve"> el Ayuntamiento de Metepec</w:t>
      </w:r>
      <w:r w:rsidRPr="000E07E7" w:rsidR="000D5EB2">
        <w:rPr>
          <w:rFonts w:eastAsia="Calibri" w:cs="Tahoma"/>
          <w:iCs/>
          <w:lang w:val="es-ES" w:eastAsia="es-ES_tradnl"/>
        </w:rPr>
        <w:t xml:space="preserve">, al veintiséis de noviembre de dos mil veintiuno, para realizar las labores de seguridad </w:t>
      </w:r>
      <w:r w:rsidRPr="000E07E7" w:rsidR="000D5EB2">
        <w:rPr>
          <w:rFonts w:eastAsia="Calibri" w:cs="Tahoma"/>
          <w:iCs/>
          <w:lang w:val="es-ES" w:eastAsia="es-ES_tradnl"/>
        </w:rPr>
        <w:lastRenderedPageBreak/>
        <w:t>pública, tránsito y vialidad</w:t>
      </w:r>
      <w:r w:rsidR="000D5EB2">
        <w:rPr>
          <w:rFonts w:eastAsia="Calibri" w:cs="Tahoma"/>
          <w:iCs/>
          <w:lang w:val="es-ES" w:eastAsia="es-ES_tradnl"/>
        </w:rPr>
        <w:t>.</w:t>
      </w:r>
    </w:p>
    <w:p w:rsidRPr="000D5EB2" w:rsidR="000D5EB2" w:rsidP="000D5EB2" w:rsidRDefault="000D5EB2" w14:paraId="119AB68C" w14:textId="77777777">
      <w:pPr>
        <w:pStyle w:val="Prrafodelista"/>
        <w:widowControl w:val="0"/>
        <w:spacing w:line="360" w:lineRule="auto"/>
        <w:rPr>
          <w:rFonts w:cs="Tahoma"/>
          <w:bCs/>
          <w:color w:val="auto"/>
        </w:rPr>
      </w:pPr>
    </w:p>
    <w:p w:rsidRPr="000C0FC5" w:rsidR="00782132" w:rsidP="0046100E" w:rsidRDefault="00782132" w14:paraId="3B54D014" w14:textId="77777777">
      <w:pPr>
        <w:spacing w:after="0" w:line="360" w:lineRule="auto"/>
        <w:rPr>
          <w:rFonts w:cs="Tahoma"/>
        </w:rPr>
      </w:pPr>
      <w:r w:rsidRPr="000C0FC5">
        <w:rPr>
          <w:rFonts w:cs="Arial"/>
          <w:b/>
          <w:lang w:val="es-ES_tradnl"/>
        </w:rPr>
        <w:t>TERCERO.</w:t>
      </w:r>
      <w:r w:rsidRPr="000C0FC5">
        <w:rPr>
          <w:rFonts w:cs="Tahoma"/>
          <w:b/>
        </w:rPr>
        <w:t xml:space="preserve"> NOTIFÍQUESE </w:t>
      </w:r>
      <w:r w:rsidRPr="000C0FC5">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C0FC5" w:rsidR="00782132" w:rsidP="0046100E" w:rsidRDefault="00782132" w14:paraId="3FBF6176" w14:textId="20AE5D8D">
      <w:pPr>
        <w:spacing w:after="0" w:line="360" w:lineRule="auto"/>
        <w:rPr>
          <w:rFonts w:cs="Tahoma"/>
        </w:rPr>
      </w:pPr>
    </w:p>
    <w:p w:rsidRPr="000C0FC5" w:rsidR="00682222" w:rsidP="0046100E" w:rsidRDefault="00682222" w14:paraId="5C47A650" w14:textId="0C12761D">
      <w:pPr>
        <w:spacing w:after="0" w:line="360" w:lineRule="auto"/>
        <w:contextualSpacing/>
        <w:rPr>
          <w:rFonts w:eastAsia="Calibri" w:cs="Tahoma"/>
          <w:iCs/>
        </w:rPr>
      </w:pPr>
      <w:bookmarkStart w:name="_Hlk61509110" w:id="0"/>
      <w:r w:rsidRPr="000C0FC5">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0C0FC5" w:rsidR="00682222" w:rsidP="0046100E" w:rsidRDefault="00682222" w14:paraId="5AAB16D7" w14:textId="77777777">
      <w:pPr>
        <w:spacing w:after="0" w:line="360" w:lineRule="auto"/>
        <w:rPr>
          <w:rFonts w:cs="Tahoma"/>
        </w:rPr>
      </w:pPr>
    </w:p>
    <w:p w:rsidRPr="000C0FC5" w:rsidR="00782132" w:rsidP="0046100E" w:rsidRDefault="00782132" w14:paraId="2C0ACFAC" w14:textId="77777777">
      <w:pPr>
        <w:spacing w:after="0" w:line="360" w:lineRule="auto"/>
        <w:rPr>
          <w:rFonts w:cs="Tahoma"/>
        </w:rPr>
      </w:pPr>
      <w:r w:rsidRPr="000C0FC5">
        <w:rPr>
          <w:rFonts w:cs="Tahoma"/>
          <w:b/>
        </w:rPr>
        <w:t>CUARTO. NOTIFÍQUESE</w:t>
      </w:r>
      <w:r w:rsidRPr="000C0FC5">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C0FC5" w:rsidR="00782132" w:rsidP="0046100E" w:rsidRDefault="00782132" w14:paraId="42C8D564" w14:textId="77777777">
      <w:pPr>
        <w:spacing w:after="0" w:line="360" w:lineRule="auto"/>
        <w:rPr>
          <w:rFonts w:eastAsia="Calibri" w:cs="Tahoma"/>
          <w:bCs/>
          <w:lang w:val="es-ES"/>
        </w:rPr>
      </w:pPr>
    </w:p>
    <w:p w:rsidRPr="00361678" w:rsidR="00C853D1" w:rsidP="00361678" w:rsidRDefault="00361678" w14:paraId="189BD5D9" w14:textId="68DE1C99">
      <w:pPr>
        <w:spacing w:after="0" w:line="360" w:lineRule="auto"/>
        <w:rPr>
          <w:rFonts w:eastAsia="Calibri" w:cs="Tahoma"/>
          <w:bCs/>
        </w:rPr>
      </w:pPr>
      <w:r w:rsidRPr="000C0FC5">
        <w:rPr>
          <w:rFonts w:eastAsia="Calibri" w:cs="Tahoma"/>
          <w:bCs/>
        </w:rPr>
        <w:t xml:space="preserve">ASÍ LO RESUELVE, POR </w:t>
      </w:r>
      <w:r w:rsidRPr="000C0FC5">
        <w:rPr>
          <w:rFonts w:eastAsia="Calibri" w:cs="Tahoma"/>
          <w:b/>
        </w:rPr>
        <w:t>UNANIMIDAD</w:t>
      </w:r>
      <w:r w:rsidRPr="000C0FC5">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 </w:t>
      </w:r>
      <w:r>
        <w:rPr>
          <w:rFonts w:eastAsia="Calibri" w:cs="Tahoma"/>
          <w:bCs/>
        </w:rPr>
        <w:t>TERCERA</w:t>
      </w:r>
      <w:r w:rsidRPr="000C0FC5">
        <w:rPr>
          <w:rFonts w:eastAsia="Calibri" w:cs="Tahoma"/>
          <w:bCs/>
        </w:rPr>
        <w:t xml:space="preserve"> SESIÓN ORDINARIA, CELEBRADA EL </w:t>
      </w:r>
      <w:r>
        <w:rPr>
          <w:rFonts w:eastAsia="Times New Roman" w:cs="Tahoma"/>
          <w:bCs/>
          <w:color w:val="auto"/>
          <w:lang w:eastAsia="es-ES"/>
        </w:rPr>
        <w:t>SIETE DE ABRIL</w:t>
      </w:r>
      <w:r w:rsidRPr="000C0FC5">
        <w:rPr>
          <w:rFonts w:eastAsia="Times New Roman" w:cs="Tahoma"/>
          <w:bCs/>
          <w:color w:val="auto"/>
          <w:lang w:eastAsia="es-ES"/>
        </w:rPr>
        <w:t xml:space="preserve"> DE DOS MIL VEINTIDÓS</w:t>
      </w:r>
      <w:r w:rsidRPr="000C0FC5">
        <w:rPr>
          <w:rFonts w:eastAsia="Calibri" w:cs="Tahoma"/>
          <w:bCs/>
        </w:rPr>
        <w:t>, ANTE EL SECRETARIO TÉCNICO DEL PLENO, ALEXIS TAPIA RAMÍREZ.</w:t>
      </w:r>
      <w:r w:rsidR="00C853D1">
        <w:rPr>
          <w:rFonts w:eastAsia="Calibri" w:cs="Tahoma"/>
          <w:b/>
          <w:bCs/>
        </w:rPr>
        <w:br w:type="page"/>
      </w:r>
    </w:p>
    <w:p w:rsidR="00A6477D" w:rsidP="0046100E" w:rsidRDefault="00A6477D" w14:paraId="3A7BF8F4" w14:textId="77777777">
      <w:pPr>
        <w:spacing w:after="0" w:line="360" w:lineRule="auto"/>
      </w:pPr>
    </w:p>
    <w:sectPr w:rsidR="00A6477D" w:rsidSect="002C59A0">
      <w:headerReference w:type="even" r:id="rId11"/>
      <w:headerReference w:type="default" r:id="rId12"/>
      <w:footerReference w:type="even" r:id="rId13"/>
      <w:footerReference w:type="default" r:id="rId14"/>
      <w:headerReference w:type="first" r:id="rId15"/>
      <w:footerReference w:type="first" r:id="rId16"/>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67D1" w:rsidP="00C853D1" w:rsidRDefault="000967D1" w14:paraId="4AF84589" w14:textId="77777777">
      <w:pPr>
        <w:spacing w:after="0" w:line="240" w:lineRule="auto"/>
      </w:pPr>
      <w:r>
        <w:separator/>
      </w:r>
    </w:p>
  </w:endnote>
  <w:endnote w:type="continuationSeparator" w:id="0">
    <w:p w:rsidR="000967D1" w:rsidP="00C853D1" w:rsidRDefault="000967D1" w14:paraId="0B5075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67D3" w:rsidRDefault="006D67D3"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6D67D3" w:rsidRDefault="006D67D3"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6D67D3" w:rsidRDefault="006D67D3"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5EB2">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5EB2">
              <w:rPr>
                <w:b/>
                <w:bCs/>
                <w:noProof/>
              </w:rPr>
              <w:t>23</w:t>
            </w:r>
            <w:r>
              <w:rPr>
                <w:b/>
                <w:bCs/>
                <w:sz w:val="24"/>
                <w:szCs w:val="24"/>
              </w:rPr>
              <w:fldChar w:fldCharType="end"/>
            </w:r>
          </w:p>
        </w:sdtContent>
      </w:sdt>
    </w:sdtContent>
  </w:sdt>
  <w:p w:rsidR="006D67D3" w:rsidRDefault="006D67D3"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67D3" w:rsidRDefault="006D67D3"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5E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5EB2">
      <w:rPr>
        <w:b/>
        <w:bCs/>
        <w:noProof/>
      </w:rPr>
      <w:t>23</w:t>
    </w:r>
    <w:r>
      <w:rPr>
        <w:b/>
        <w:bCs/>
        <w:sz w:val="24"/>
        <w:szCs w:val="24"/>
      </w:rPr>
      <w:fldChar w:fldCharType="end"/>
    </w:r>
  </w:p>
  <w:p w:rsidR="006D67D3" w:rsidRDefault="006D67D3"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67D1" w:rsidP="00C853D1" w:rsidRDefault="000967D1" w14:paraId="0314BA9D" w14:textId="77777777">
      <w:pPr>
        <w:spacing w:after="0" w:line="240" w:lineRule="auto"/>
      </w:pPr>
      <w:r>
        <w:separator/>
      </w:r>
    </w:p>
  </w:footnote>
  <w:footnote w:type="continuationSeparator" w:id="0">
    <w:p w:rsidR="000967D1" w:rsidP="00C853D1" w:rsidRDefault="000967D1" w14:paraId="538F51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6D67D3" w:rsidTr="002C59A0" w14:paraId="282B3A75" w14:textId="77777777">
      <w:trPr>
        <w:trHeight w:val="141"/>
      </w:trPr>
      <w:tc>
        <w:tcPr>
          <w:tcW w:w="2404" w:type="dxa"/>
        </w:tcPr>
        <w:p w:rsidRPr="001B5FB6" w:rsidR="006D67D3" w:rsidP="002C59A0" w:rsidRDefault="006D67D3"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6D67D3" w:rsidP="002C59A0" w:rsidRDefault="006D67D3"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6D67D3" w:rsidTr="002C59A0" w14:paraId="46AFE2B4" w14:textId="77777777">
      <w:trPr>
        <w:trHeight w:val="276"/>
      </w:trPr>
      <w:tc>
        <w:tcPr>
          <w:tcW w:w="2404" w:type="dxa"/>
        </w:tcPr>
        <w:p w:rsidRPr="001B5FB6" w:rsidR="006D67D3" w:rsidP="002C59A0" w:rsidRDefault="006D67D3"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6D67D3" w:rsidP="002C59A0" w:rsidRDefault="006D67D3"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6D67D3" w:rsidTr="002C59A0" w14:paraId="1FA679E9" w14:textId="77777777">
      <w:trPr>
        <w:trHeight w:val="276"/>
      </w:trPr>
      <w:tc>
        <w:tcPr>
          <w:tcW w:w="2404" w:type="dxa"/>
        </w:tcPr>
        <w:p w:rsidRPr="001B5FB6" w:rsidR="006D67D3" w:rsidP="002C59A0" w:rsidRDefault="006D67D3"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6D67D3" w:rsidP="002C59A0" w:rsidRDefault="006D67D3"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6D67D3" w:rsidRDefault="00361678"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6D67D3" w:rsidRDefault="006D67D3" w14:paraId="435693B3" w14:textId="77777777">
    <w:pPr>
      <w:rPr>
        <w:sz w:val="18"/>
        <w:szCs w:val="18"/>
      </w:rPr>
    </w:pPr>
  </w:p>
  <w:tbl>
    <w:tblPr>
      <w:tblStyle w:val="Tablaconcuadrcula"/>
      <w:tblW w:w="65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6D67D3" w:rsidTr="00152128" w14:paraId="1E2FF18B" w14:textId="77777777">
      <w:trPr>
        <w:trHeight w:val="141"/>
      </w:trPr>
      <w:tc>
        <w:tcPr>
          <w:tcW w:w="2404" w:type="dxa"/>
        </w:tcPr>
        <w:p w:rsidRPr="001B5FB6" w:rsidR="006D67D3" w:rsidP="00682222" w:rsidRDefault="006D67D3"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64316D" w:rsidR="006D67D3" w:rsidP="00682222" w:rsidRDefault="006D67D3" w14:paraId="503BB8DE" w14:textId="37DF68BA">
          <w:pPr>
            <w:tabs>
              <w:tab w:val="right" w:pos="8838"/>
            </w:tabs>
            <w:ind w:left="-28" w:right="454"/>
            <w:rPr>
              <w:rFonts w:eastAsia="Calibri" w:cs="Tahoma"/>
            </w:rPr>
          </w:pPr>
          <w:r w:rsidRPr="0064316D">
            <w:rPr>
              <w:rFonts w:eastAsia="Calibri" w:cs="Tahoma"/>
              <w:lang w:val="es-MX"/>
            </w:rPr>
            <w:t>00326/INFOEM/IP/RR/2022</w:t>
          </w:r>
        </w:p>
      </w:tc>
    </w:tr>
    <w:tr w:rsidR="006D67D3" w:rsidTr="00152128" w14:paraId="110906AA" w14:textId="77777777">
      <w:trPr>
        <w:trHeight w:val="276"/>
      </w:trPr>
      <w:tc>
        <w:tcPr>
          <w:tcW w:w="2404" w:type="dxa"/>
        </w:tcPr>
        <w:p w:rsidRPr="001B5FB6" w:rsidR="006D67D3" w:rsidP="002C59A0" w:rsidRDefault="006D67D3"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64316D" w:rsidR="006D67D3" w:rsidP="00682222" w:rsidRDefault="006D67D3" w14:paraId="5C93113C" w14:textId="28F449B2">
          <w:pPr>
            <w:tabs>
              <w:tab w:val="right" w:pos="8838"/>
            </w:tabs>
            <w:ind w:right="454"/>
            <w:rPr>
              <w:rFonts w:eastAsia="Calibri" w:cs="Tahoma"/>
              <w:lang w:val="es-MX"/>
            </w:rPr>
          </w:pPr>
          <w:r w:rsidRPr="0064316D">
            <w:rPr>
              <w:rFonts w:eastAsia="Calibri" w:cs="Tahoma"/>
              <w:lang w:val="es-MX"/>
            </w:rPr>
            <w:t>Ayuntamiento de Metepec</w:t>
          </w:r>
        </w:p>
      </w:tc>
    </w:tr>
    <w:tr w:rsidR="006D67D3" w:rsidTr="00152128" w14:paraId="065F2043" w14:textId="77777777">
      <w:trPr>
        <w:trHeight w:val="276"/>
      </w:trPr>
      <w:tc>
        <w:tcPr>
          <w:tcW w:w="2404" w:type="dxa"/>
        </w:tcPr>
        <w:p w:rsidRPr="001B5FB6" w:rsidR="006D67D3" w:rsidP="002C59A0" w:rsidRDefault="006D67D3"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6D67D3" w:rsidP="00682222" w:rsidRDefault="006D67D3"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6D67D3" w:rsidRDefault="00361678"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6D67D3" w:rsidTr="1B73EA52" w14:paraId="5D26797B" w14:textId="77777777">
      <w:trPr>
        <w:trHeight w:val="1546"/>
      </w:trPr>
      <w:tc>
        <w:tcPr>
          <w:tcW w:w="2127" w:type="dxa"/>
          <w:shd w:val="clear" w:color="auto" w:fill="auto"/>
          <w:tcMar/>
        </w:tcPr>
        <w:p w:rsidRPr="005C106F" w:rsidR="006D67D3" w:rsidP="002C59A0" w:rsidRDefault="006D67D3"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6D67D3" w:rsidTr="1B73EA52" w14:paraId="5CB74832" w14:textId="77777777">
            <w:trPr>
              <w:trHeight w:val="141"/>
            </w:trPr>
            <w:tc>
              <w:tcPr>
                <w:tcW w:w="2404" w:type="dxa"/>
                <w:tcMar/>
                <w:vAlign w:val="bottom"/>
              </w:tcPr>
              <w:p w:rsidRPr="001B5FB6" w:rsidR="006D67D3" w:rsidP="002C59A0" w:rsidRDefault="006D67D3"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Pr="0064316D" w:rsidR="006D67D3" w:rsidP="002C59A0" w:rsidRDefault="006D67D3" w14:paraId="0749605A" w14:textId="77777777">
                <w:pPr>
                  <w:tabs>
                    <w:tab w:val="right" w:pos="8838"/>
                  </w:tabs>
                  <w:ind w:left="-28" w:right="-107"/>
                  <w:rPr>
                    <w:rFonts w:eastAsia="Calibri" w:cs="Tahoma"/>
                    <w:lang w:val="es-MX"/>
                  </w:rPr>
                </w:pPr>
              </w:p>
              <w:p w:rsidRPr="0064316D" w:rsidR="006D67D3" w:rsidP="002C59A0" w:rsidRDefault="006D67D3" w14:paraId="25021A4A" w14:textId="4FF63D28">
                <w:pPr>
                  <w:tabs>
                    <w:tab w:val="right" w:pos="8838"/>
                  </w:tabs>
                  <w:ind w:left="-28" w:right="-107"/>
                  <w:rPr>
                    <w:rFonts w:eastAsia="Calibri" w:cs="Tahoma"/>
                  </w:rPr>
                </w:pPr>
                <w:r w:rsidRPr="0064316D">
                  <w:rPr>
                    <w:rFonts w:eastAsia="Calibri" w:cs="Tahoma"/>
                    <w:lang w:val="es-MX"/>
                  </w:rPr>
                  <w:t>00326/INFOEM/IP/RR/2022</w:t>
                </w:r>
              </w:p>
            </w:tc>
          </w:tr>
          <w:tr w:rsidR="006D67D3" w:rsidTr="1B73EA52" w14:paraId="65D6C982" w14:textId="77777777">
            <w:trPr>
              <w:trHeight w:val="141"/>
            </w:trPr>
            <w:tc>
              <w:tcPr>
                <w:tcW w:w="2404" w:type="dxa"/>
                <w:tcMar/>
              </w:tcPr>
              <w:p w:rsidRPr="001B5FB6" w:rsidR="006D67D3" w:rsidP="002C59A0" w:rsidRDefault="006D67D3"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6D67D3" w:rsidP="1B73EA52" w:rsidRDefault="006D67D3" w14:paraId="4D5C37D5" w14:textId="665884DD">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highlight w:val="black"/>
                    <w:lang w:val="es-MX"/>
                  </w:rPr>
                </w:pPr>
                <w:r w:rsidRPr="1B73EA52" w:rsidR="1B73EA52">
                  <w:rPr>
                    <w:rFonts w:eastAsia="Calibri" w:cs="Tahoma"/>
                    <w:highlight w:val="black"/>
                    <w:lang w:val="es-MX"/>
                  </w:rPr>
                  <w:t>XXXXXXXXXXX</w:t>
                </w:r>
              </w:p>
            </w:tc>
          </w:tr>
          <w:tr w:rsidR="006D67D3" w:rsidTr="1B73EA52" w14:paraId="40A995EA" w14:textId="77777777">
            <w:trPr>
              <w:trHeight w:val="276"/>
            </w:trPr>
            <w:tc>
              <w:tcPr>
                <w:tcW w:w="2404" w:type="dxa"/>
                <w:tcMar/>
              </w:tcPr>
              <w:p w:rsidRPr="001B5FB6" w:rsidR="006D67D3" w:rsidP="002C59A0" w:rsidRDefault="006D67D3"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64316D" w:rsidR="006D67D3" w:rsidP="002C59A0" w:rsidRDefault="006D67D3" w14:paraId="433E1B49" w14:textId="36358FCD">
                <w:pPr>
                  <w:tabs>
                    <w:tab w:val="right" w:pos="8838"/>
                  </w:tabs>
                  <w:ind w:right="-107"/>
                  <w:rPr>
                    <w:rFonts w:eastAsia="Calibri" w:cs="Tahoma"/>
                    <w:lang w:val="es-MX"/>
                  </w:rPr>
                </w:pPr>
                <w:r w:rsidRPr="0064316D">
                  <w:rPr>
                    <w:rFonts w:eastAsia="Calibri" w:cs="Tahoma"/>
                    <w:lang w:val="es-MX"/>
                  </w:rPr>
                  <w:t>Ayuntamiento de Metepec</w:t>
                </w:r>
              </w:p>
            </w:tc>
          </w:tr>
          <w:tr w:rsidR="006D67D3" w:rsidTr="1B73EA52" w14:paraId="386AB112" w14:textId="77777777">
            <w:trPr>
              <w:trHeight w:val="276"/>
            </w:trPr>
            <w:tc>
              <w:tcPr>
                <w:tcW w:w="2404" w:type="dxa"/>
                <w:tcMar/>
              </w:tcPr>
              <w:p w:rsidRPr="001B5FB6" w:rsidR="006D67D3" w:rsidP="002C59A0" w:rsidRDefault="006D67D3"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6D67D3" w:rsidP="002C59A0" w:rsidRDefault="006D67D3"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6D67D3" w:rsidP="002C59A0" w:rsidRDefault="006D67D3" w14:paraId="7017D3D5" w14:textId="77777777">
          <w:pPr>
            <w:tabs>
              <w:tab w:val="right" w:pos="8838"/>
            </w:tabs>
            <w:ind w:left="-28"/>
            <w:rPr>
              <w:rFonts w:ascii="Arial" w:hAnsi="Arial" w:eastAsia="Calibri" w:cs="Arial"/>
              <w:b/>
            </w:rPr>
          </w:pPr>
        </w:p>
      </w:tc>
    </w:tr>
  </w:tbl>
  <w:p w:rsidR="006D67D3" w:rsidRDefault="00361678"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2E14C63"/>
    <w:multiLevelType w:val="hybridMultilevel"/>
    <w:tmpl w:val="E3EEDE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F6E49BF"/>
    <w:multiLevelType w:val="hybridMultilevel"/>
    <w:tmpl w:val="AE5453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5"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B34546B"/>
    <w:multiLevelType w:val="hybridMultilevel"/>
    <w:tmpl w:val="64EAD1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6"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0D601E4"/>
    <w:multiLevelType w:val="hybridMultilevel"/>
    <w:tmpl w:val="E3EEDE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21C73E5"/>
    <w:multiLevelType w:val="hybridMultilevel"/>
    <w:tmpl w:val="E864D32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465129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795774">
    <w:abstractNumId w:val="4"/>
  </w:num>
  <w:num w:numId="3" w16cid:durableId="302007387">
    <w:abstractNumId w:val="9"/>
  </w:num>
  <w:num w:numId="4" w16cid:durableId="1482381947">
    <w:abstractNumId w:val="13"/>
  </w:num>
  <w:num w:numId="5" w16cid:durableId="580531591">
    <w:abstractNumId w:val="21"/>
  </w:num>
  <w:num w:numId="6" w16cid:durableId="1886216064">
    <w:abstractNumId w:val="19"/>
  </w:num>
  <w:num w:numId="7" w16cid:durableId="150685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238682">
    <w:abstractNumId w:val="5"/>
  </w:num>
  <w:num w:numId="9" w16cid:durableId="1127355419">
    <w:abstractNumId w:val="30"/>
  </w:num>
  <w:num w:numId="10" w16cid:durableId="929850510">
    <w:abstractNumId w:val="6"/>
  </w:num>
  <w:num w:numId="11" w16cid:durableId="1609045799">
    <w:abstractNumId w:val="18"/>
  </w:num>
  <w:num w:numId="12" w16cid:durableId="1395157511">
    <w:abstractNumId w:val="15"/>
  </w:num>
  <w:num w:numId="13" w16cid:durableId="947276672">
    <w:abstractNumId w:val="31"/>
  </w:num>
  <w:num w:numId="14" w16cid:durableId="912086204">
    <w:abstractNumId w:val="20"/>
  </w:num>
  <w:num w:numId="15" w16cid:durableId="1465152360">
    <w:abstractNumId w:val="16"/>
  </w:num>
  <w:num w:numId="16" w16cid:durableId="1358197500">
    <w:abstractNumId w:val="24"/>
  </w:num>
  <w:num w:numId="17" w16cid:durableId="1164973358">
    <w:abstractNumId w:val="14"/>
  </w:num>
  <w:num w:numId="18" w16cid:durableId="2133591878">
    <w:abstractNumId w:val="25"/>
  </w:num>
  <w:num w:numId="19" w16cid:durableId="2090998599">
    <w:abstractNumId w:val="11"/>
  </w:num>
  <w:num w:numId="20" w16cid:durableId="405498888">
    <w:abstractNumId w:val="2"/>
  </w:num>
  <w:num w:numId="21" w16cid:durableId="1995210179">
    <w:abstractNumId w:val="22"/>
  </w:num>
  <w:num w:numId="22" w16cid:durableId="621957840">
    <w:abstractNumId w:val="12"/>
  </w:num>
  <w:num w:numId="23" w16cid:durableId="728765875">
    <w:abstractNumId w:val="29"/>
  </w:num>
  <w:num w:numId="24" w16cid:durableId="248195149">
    <w:abstractNumId w:val="28"/>
  </w:num>
  <w:num w:numId="25" w16cid:durableId="747190435">
    <w:abstractNumId w:val="10"/>
  </w:num>
  <w:num w:numId="26" w16cid:durableId="415826983">
    <w:abstractNumId w:val="17"/>
  </w:num>
  <w:num w:numId="27" w16cid:durableId="780297976">
    <w:abstractNumId w:val="3"/>
  </w:num>
  <w:num w:numId="28" w16cid:durableId="1344361777">
    <w:abstractNumId w:val="7"/>
  </w:num>
  <w:num w:numId="29" w16cid:durableId="396824163">
    <w:abstractNumId w:val="0"/>
  </w:num>
  <w:num w:numId="30" w16cid:durableId="560601129">
    <w:abstractNumId w:val="1"/>
  </w:num>
  <w:num w:numId="31" w16cid:durableId="1667904853">
    <w:abstractNumId w:val="26"/>
  </w:num>
  <w:num w:numId="32" w16cid:durableId="453867029">
    <w:abstractNumId w:val="23"/>
  </w:num>
  <w:num w:numId="33" w16cid:durableId="738208562">
    <w:abstractNumId w:val="8"/>
  </w:num>
  <w:num w:numId="34" w16cid:durableId="7463414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5BB5"/>
    <w:rsid w:val="00007008"/>
    <w:rsid w:val="00007EB8"/>
    <w:rsid w:val="0001499A"/>
    <w:rsid w:val="00017D8C"/>
    <w:rsid w:val="000223B0"/>
    <w:rsid w:val="00027FA3"/>
    <w:rsid w:val="00030561"/>
    <w:rsid w:val="00034F48"/>
    <w:rsid w:val="000477C6"/>
    <w:rsid w:val="00050633"/>
    <w:rsid w:val="00052A57"/>
    <w:rsid w:val="00062AAC"/>
    <w:rsid w:val="00062C8B"/>
    <w:rsid w:val="000637C6"/>
    <w:rsid w:val="000656A0"/>
    <w:rsid w:val="000705A9"/>
    <w:rsid w:val="00072880"/>
    <w:rsid w:val="000756DA"/>
    <w:rsid w:val="00081145"/>
    <w:rsid w:val="0008187E"/>
    <w:rsid w:val="0008663C"/>
    <w:rsid w:val="00090C98"/>
    <w:rsid w:val="000923A3"/>
    <w:rsid w:val="000939CD"/>
    <w:rsid w:val="00096694"/>
    <w:rsid w:val="000967D1"/>
    <w:rsid w:val="000A2588"/>
    <w:rsid w:val="000A259F"/>
    <w:rsid w:val="000A263B"/>
    <w:rsid w:val="000A3C1E"/>
    <w:rsid w:val="000A41E9"/>
    <w:rsid w:val="000A61A2"/>
    <w:rsid w:val="000A785D"/>
    <w:rsid w:val="000B0EAF"/>
    <w:rsid w:val="000B7029"/>
    <w:rsid w:val="000C0FC5"/>
    <w:rsid w:val="000C715C"/>
    <w:rsid w:val="000D1A72"/>
    <w:rsid w:val="000D2522"/>
    <w:rsid w:val="000D443F"/>
    <w:rsid w:val="000D45D9"/>
    <w:rsid w:val="000D59F5"/>
    <w:rsid w:val="000D5EB2"/>
    <w:rsid w:val="000D69EB"/>
    <w:rsid w:val="000D6E68"/>
    <w:rsid w:val="000D73F7"/>
    <w:rsid w:val="000E07E7"/>
    <w:rsid w:val="000E121C"/>
    <w:rsid w:val="000E28E6"/>
    <w:rsid w:val="000E32B4"/>
    <w:rsid w:val="000E4E10"/>
    <w:rsid w:val="000F2A9A"/>
    <w:rsid w:val="000F3403"/>
    <w:rsid w:val="000F3509"/>
    <w:rsid w:val="000F45A1"/>
    <w:rsid w:val="000F6FF3"/>
    <w:rsid w:val="001004CE"/>
    <w:rsid w:val="00100EB3"/>
    <w:rsid w:val="0010232F"/>
    <w:rsid w:val="0010413E"/>
    <w:rsid w:val="001059E3"/>
    <w:rsid w:val="00105EF9"/>
    <w:rsid w:val="001105F1"/>
    <w:rsid w:val="00115309"/>
    <w:rsid w:val="001154A0"/>
    <w:rsid w:val="001202DE"/>
    <w:rsid w:val="001310BC"/>
    <w:rsid w:val="00134C39"/>
    <w:rsid w:val="00142455"/>
    <w:rsid w:val="00145FF0"/>
    <w:rsid w:val="00146731"/>
    <w:rsid w:val="00152128"/>
    <w:rsid w:val="00157FF0"/>
    <w:rsid w:val="001601CC"/>
    <w:rsid w:val="00161B50"/>
    <w:rsid w:val="00161E74"/>
    <w:rsid w:val="00164599"/>
    <w:rsid w:val="001675D9"/>
    <w:rsid w:val="0017427D"/>
    <w:rsid w:val="00174F57"/>
    <w:rsid w:val="00175484"/>
    <w:rsid w:val="00175572"/>
    <w:rsid w:val="00180003"/>
    <w:rsid w:val="001900B4"/>
    <w:rsid w:val="00190EBA"/>
    <w:rsid w:val="001935D3"/>
    <w:rsid w:val="00194DD1"/>
    <w:rsid w:val="0019678D"/>
    <w:rsid w:val="001A641F"/>
    <w:rsid w:val="001B3B40"/>
    <w:rsid w:val="001B77BD"/>
    <w:rsid w:val="001C1007"/>
    <w:rsid w:val="001C3C7E"/>
    <w:rsid w:val="001C3D02"/>
    <w:rsid w:val="001C4C7B"/>
    <w:rsid w:val="001C6764"/>
    <w:rsid w:val="001D02DD"/>
    <w:rsid w:val="001D09E5"/>
    <w:rsid w:val="001D213A"/>
    <w:rsid w:val="001D37BB"/>
    <w:rsid w:val="001D408F"/>
    <w:rsid w:val="001E386E"/>
    <w:rsid w:val="001E6D1F"/>
    <w:rsid w:val="001F7C51"/>
    <w:rsid w:val="00204AF1"/>
    <w:rsid w:val="00206FD4"/>
    <w:rsid w:val="002111A8"/>
    <w:rsid w:val="00213776"/>
    <w:rsid w:val="00216B39"/>
    <w:rsid w:val="00220583"/>
    <w:rsid w:val="0022261D"/>
    <w:rsid w:val="00224507"/>
    <w:rsid w:val="002315CE"/>
    <w:rsid w:val="00235BA0"/>
    <w:rsid w:val="002402DE"/>
    <w:rsid w:val="002419E9"/>
    <w:rsid w:val="0024313A"/>
    <w:rsid w:val="00252EF3"/>
    <w:rsid w:val="0025433F"/>
    <w:rsid w:val="002557A7"/>
    <w:rsid w:val="00257F3B"/>
    <w:rsid w:val="00260AAA"/>
    <w:rsid w:val="00261807"/>
    <w:rsid w:val="00261BED"/>
    <w:rsid w:val="002634E5"/>
    <w:rsid w:val="002718A0"/>
    <w:rsid w:val="00271D9C"/>
    <w:rsid w:val="00272886"/>
    <w:rsid w:val="00273E3B"/>
    <w:rsid w:val="0028305A"/>
    <w:rsid w:val="002830A7"/>
    <w:rsid w:val="00296E2A"/>
    <w:rsid w:val="002B214B"/>
    <w:rsid w:val="002B3565"/>
    <w:rsid w:val="002B3FDA"/>
    <w:rsid w:val="002B54AE"/>
    <w:rsid w:val="002C514D"/>
    <w:rsid w:val="002C59A0"/>
    <w:rsid w:val="002C6390"/>
    <w:rsid w:val="002C7309"/>
    <w:rsid w:val="002D162D"/>
    <w:rsid w:val="002D2E5D"/>
    <w:rsid w:val="002D3228"/>
    <w:rsid w:val="002D79D9"/>
    <w:rsid w:val="002E0552"/>
    <w:rsid w:val="002E05D6"/>
    <w:rsid w:val="002E25E7"/>
    <w:rsid w:val="002E333F"/>
    <w:rsid w:val="002E33E8"/>
    <w:rsid w:val="002E5122"/>
    <w:rsid w:val="002E5CED"/>
    <w:rsid w:val="00300286"/>
    <w:rsid w:val="0030422A"/>
    <w:rsid w:val="00311288"/>
    <w:rsid w:val="003114A1"/>
    <w:rsid w:val="00311811"/>
    <w:rsid w:val="0031525E"/>
    <w:rsid w:val="003160D6"/>
    <w:rsid w:val="00316C63"/>
    <w:rsid w:val="0031749E"/>
    <w:rsid w:val="00320671"/>
    <w:rsid w:val="00320B93"/>
    <w:rsid w:val="003265A2"/>
    <w:rsid w:val="00332A6F"/>
    <w:rsid w:val="003333D2"/>
    <w:rsid w:val="00334B20"/>
    <w:rsid w:val="00335235"/>
    <w:rsid w:val="00336980"/>
    <w:rsid w:val="00341C06"/>
    <w:rsid w:val="003424C1"/>
    <w:rsid w:val="0034462A"/>
    <w:rsid w:val="00345528"/>
    <w:rsid w:val="00350D55"/>
    <w:rsid w:val="003537E3"/>
    <w:rsid w:val="00355553"/>
    <w:rsid w:val="00360690"/>
    <w:rsid w:val="003614B2"/>
    <w:rsid w:val="00361678"/>
    <w:rsid w:val="0036180D"/>
    <w:rsid w:val="00361821"/>
    <w:rsid w:val="00362DE2"/>
    <w:rsid w:val="00363046"/>
    <w:rsid w:val="003647F7"/>
    <w:rsid w:val="00365075"/>
    <w:rsid w:val="00371DAE"/>
    <w:rsid w:val="003726D1"/>
    <w:rsid w:val="00372BAB"/>
    <w:rsid w:val="00376559"/>
    <w:rsid w:val="003777E6"/>
    <w:rsid w:val="00380368"/>
    <w:rsid w:val="00381FDE"/>
    <w:rsid w:val="00384A4A"/>
    <w:rsid w:val="0038779D"/>
    <w:rsid w:val="003936D2"/>
    <w:rsid w:val="003955C4"/>
    <w:rsid w:val="003975AD"/>
    <w:rsid w:val="00397660"/>
    <w:rsid w:val="003A1B84"/>
    <w:rsid w:val="003B0BA2"/>
    <w:rsid w:val="003B46DC"/>
    <w:rsid w:val="003C2ED7"/>
    <w:rsid w:val="003C470A"/>
    <w:rsid w:val="003C5B59"/>
    <w:rsid w:val="003D15D4"/>
    <w:rsid w:val="003D30B4"/>
    <w:rsid w:val="003D4A58"/>
    <w:rsid w:val="003D7ED4"/>
    <w:rsid w:val="003E2FB0"/>
    <w:rsid w:val="003E3B3E"/>
    <w:rsid w:val="003E6425"/>
    <w:rsid w:val="003E7060"/>
    <w:rsid w:val="003F0CE1"/>
    <w:rsid w:val="003F0E14"/>
    <w:rsid w:val="003F0F63"/>
    <w:rsid w:val="004059D0"/>
    <w:rsid w:val="00405D33"/>
    <w:rsid w:val="004122A9"/>
    <w:rsid w:val="00412636"/>
    <w:rsid w:val="00415A15"/>
    <w:rsid w:val="00417EED"/>
    <w:rsid w:val="00422CCE"/>
    <w:rsid w:val="0042422A"/>
    <w:rsid w:val="00425CB1"/>
    <w:rsid w:val="00430B0D"/>
    <w:rsid w:val="00433CAA"/>
    <w:rsid w:val="00447D8A"/>
    <w:rsid w:val="00450E6E"/>
    <w:rsid w:val="00452038"/>
    <w:rsid w:val="004542DC"/>
    <w:rsid w:val="004548CD"/>
    <w:rsid w:val="00460EAD"/>
    <w:rsid w:val="0046100E"/>
    <w:rsid w:val="00462A63"/>
    <w:rsid w:val="004633F1"/>
    <w:rsid w:val="004639F0"/>
    <w:rsid w:val="00463A70"/>
    <w:rsid w:val="00464242"/>
    <w:rsid w:val="00465EC8"/>
    <w:rsid w:val="004671B4"/>
    <w:rsid w:val="004673C4"/>
    <w:rsid w:val="00467751"/>
    <w:rsid w:val="00470A7A"/>
    <w:rsid w:val="00470AF6"/>
    <w:rsid w:val="00471A6E"/>
    <w:rsid w:val="00474538"/>
    <w:rsid w:val="00474E4C"/>
    <w:rsid w:val="00476ED1"/>
    <w:rsid w:val="004829B9"/>
    <w:rsid w:val="0048648B"/>
    <w:rsid w:val="0049061B"/>
    <w:rsid w:val="00491C3E"/>
    <w:rsid w:val="00493A29"/>
    <w:rsid w:val="00494387"/>
    <w:rsid w:val="004949AC"/>
    <w:rsid w:val="00495F0C"/>
    <w:rsid w:val="00496426"/>
    <w:rsid w:val="004A1E88"/>
    <w:rsid w:val="004A254A"/>
    <w:rsid w:val="004A27DB"/>
    <w:rsid w:val="004A528D"/>
    <w:rsid w:val="004B15BE"/>
    <w:rsid w:val="004B3A49"/>
    <w:rsid w:val="004B720F"/>
    <w:rsid w:val="004B726A"/>
    <w:rsid w:val="004C09E8"/>
    <w:rsid w:val="004C11FE"/>
    <w:rsid w:val="004C1B53"/>
    <w:rsid w:val="004C34C6"/>
    <w:rsid w:val="004C3C1A"/>
    <w:rsid w:val="004D223D"/>
    <w:rsid w:val="004D2468"/>
    <w:rsid w:val="004D4220"/>
    <w:rsid w:val="004D4698"/>
    <w:rsid w:val="004D66A3"/>
    <w:rsid w:val="004E1BF6"/>
    <w:rsid w:val="004E2875"/>
    <w:rsid w:val="004E344A"/>
    <w:rsid w:val="004E5602"/>
    <w:rsid w:val="004E617D"/>
    <w:rsid w:val="004E6D06"/>
    <w:rsid w:val="004F4445"/>
    <w:rsid w:val="004F6003"/>
    <w:rsid w:val="004F662C"/>
    <w:rsid w:val="004F736C"/>
    <w:rsid w:val="004F7666"/>
    <w:rsid w:val="00506F24"/>
    <w:rsid w:val="00507C0A"/>
    <w:rsid w:val="00513F33"/>
    <w:rsid w:val="00515CA2"/>
    <w:rsid w:val="00517B06"/>
    <w:rsid w:val="00520182"/>
    <w:rsid w:val="00521CFA"/>
    <w:rsid w:val="00522644"/>
    <w:rsid w:val="00522F3F"/>
    <w:rsid w:val="005230CF"/>
    <w:rsid w:val="0052445D"/>
    <w:rsid w:val="00524A0E"/>
    <w:rsid w:val="005277CB"/>
    <w:rsid w:val="00533C3F"/>
    <w:rsid w:val="00534853"/>
    <w:rsid w:val="00534932"/>
    <w:rsid w:val="0054028E"/>
    <w:rsid w:val="00540994"/>
    <w:rsid w:val="00541F1E"/>
    <w:rsid w:val="005507EB"/>
    <w:rsid w:val="00550D10"/>
    <w:rsid w:val="00550E03"/>
    <w:rsid w:val="00551230"/>
    <w:rsid w:val="00551C28"/>
    <w:rsid w:val="00565339"/>
    <w:rsid w:val="005706CC"/>
    <w:rsid w:val="00571737"/>
    <w:rsid w:val="00572AAD"/>
    <w:rsid w:val="005747FF"/>
    <w:rsid w:val="00581915"/>
    <w:rsid w:val="00583138"/>
    <w:rsid w:val="005861E7"/>
    <w:rsid w:val="00587FE6"/>
    <w:rsid w:val="00593E62"/>
    <w:rsid w:val="00594D55"/>
    <w:rsid w:val="0059523B"/>
    <w:rsid w:val="00596883"/>
    <w:rsid w:val="005A6393"/>
    <w:rsid w:val="005A7721"/>
    <w:rsid w:val="005C40CA"/>
    <w:rsid w:val="005C6308"/>
    <w:rsid w:val="005C7219"/>
    <w:rsid w:val="005D2E05"/>
    <w:rsid w:val="005D3368"/>
    <w:rsid w:val="005D3637"/>
    <w:rsid w:val="005E0A33"/>
    <w:rsid w:val="005E5646"/>
    <w:rsid w:val="005F0AA5"/>
    <w:rsid w:val="005F0F77"/>
    <w:rsid w:val="005F251F"/>
    <w:rsid w:val="005F2BAD"/>
    <w:rsid w:val="005F4E56"/>
    <w:rsid w:val="005F7AAB"/>
    <w:rsid w:val="006026B5"/>
    <w:rsid w:val="00604FB9"/>
    <w:rsid w:val="00604FCC"/>
    <w:rsid w:val="006050F2"/>
    <w:rsid w:val="00607213"/>
    <w:rsid w:val="00607F00"/>
    <w:rsid w:val="006134B9"/>
    <w:rsid w:val="0061403D"/>
    <w:rsid w:val="00614CDB"/>
    <w:rsid w:val="0062012D"/>
    <w:rsid w:val="0062057A"/>
    <w:rsid w:val="00621E91"/>
    <w:rsid w:val="00625925"/>
    <w:rsid w:val="00631373"/>
    <w:rsid w:val="00631FD1"/>
    <w:rsid w:val="0063438C"/>
    <w:rsid w:val="00635177"/>
    <w:rsid w:val="0063599F"/>
    <w:rsid w:val="0064316D"/>
    <w:rsid w:val="006441E1"/>
    <w:rsid w:val="00644838"/>
    <w:rsid w:val="00644CE6"/>
    <w:rsid w:val="006473A8"/>
    <w:rsid w:val="00647755"/>
    <w:rsid w:val="006507ED"/>
    <w:rsid w:val="006510F8"/>
    <w:rsid w:val="00660363"/>
    <w:rsid w:val="00660E60"/>
    <w:rsid w:val="006631C9"/>
    <w:rsid w:val="006642B4"/>
    <w:rsid w:val="006703A5"/>
    <w:rsid w:val="006733E5"/>
    <w:rsid w:val="00682222"/>
    <w:rsid w:val="00687641"/>
    <w:rsid w:val="006901C3"/>
    <w:rsid w:val="00691110"/>
    <w:rsid w:val="0069249E"/>
    <w:rsid w:val="00695E03"/>
    <w:rsid w:val="00697CE7"/>
    <w:rsid w:val="006A0781"/>
    <w:rsid w:val="006A0B45"/>
    <w:rsid w:val="006A164A"/>
    <w:rsid w:val="006A4247"/>
    <w:rsid w:val="006A4E8D"/>
    <w:rsid w:val="006B06CA"/>
    <w:rsid w:val="006B205E"/>
    <w:rsid w:val="006B5B3E"/>
    <w:rsid w:val="006C03ED"/>
    <w:rsid w:val="006D1782"/>
    <w:rsid w:val="006D4AB9"/>
    <w:rsid w:val="006D5FD8"/>
    <w:rsid w:val="006D67D3"/>
    <w:rsid w:val="006D6F5A"/>
    <w:rsid w:val="006E035D"/>
    <w:rsid w:val="006E0643"/>
    <w:rsid w:val="006E353E"/>
    <w:rsid w:val="006E5273"/>
    <w:rsid w:val="006F0508"/>
    <w:rsid w:val="006F0A03"/>
    <w:rsid w:val="006F3217"/>
    <w:rsid w:val="006F6104"/>
    <w:rsid w:val="006F701B"/>
    <w:rsid w:val="00706604"/>
    <w:rsid w:val="00721566"/>
    <w:rsid w:val="00723CF2"/>
    <w:rsid w:val="00724A49"/>
    <w:rsid w:val="007268C8"/>
    <w:rsid w:val="00732599"/>
    <w:rsid w:val="0073438D"/>
    <w:rsid w:val="007359A2"/>
    <w:rsid w:val="00740CD0"/>
    <w:rsid w:val="007430FE"/>
    <w:rsid w:val="00743B72"/>
    <w:rsid w:val="00744439"/>
    <w:rsid w:val="00745AEC"/>
    <w:rsid w:val="00746A24"/>
    <w:rsid w:val="007474FF"/>
    <w:rsid w:val="00750797"/>
    <w:rsid w:val="007550F6"/>
    <w:rsid w:val="0075605D"/>
    <w:rsid w:val="00756B65"/>
    <w:rsid w:val="0076077F"/>
    <w:rsid w:val="00762999"/>
    <w:rsid w:val="00772921"/>
    <w:rsid w:val="0077421D"/>
    <w:rsid w:val="007745CA"/>
    <w:rsid w:val="00782132"/>
    <w:rsid w:val="00782E35"/>
    <w:rsid w:val="0079077D"/>
    <w:rsid w:val="00791A5D"/>
    <w:rsid w:val="00792748"/>
    <w:rsid w:val="007A0941"/>
    <w:rsid w:val="007A0978"/>
    <w:rsid w:val="007A0D0B"/>
    <w:rsid w:val="007A5334"/>
    <w:rsid w:val="007A66D1"/>
    <w:rsid w:val="007B18F1"/>
    <w:rsid w:val="007C33CD"/>
    <w:rsid w:val="007C7F7D"/>
    <w:rsid w:val="007D42C2"/>
    <w:rsid w:val="007D779A"/>
    <w:rsid w:val="007D7AB9"/>
    <w:rsid w:val="007D7EC9"/>
    <w:rsid w:val="007E0D83"/>
    <w:rsid w:val="007E2548"/>
    <w:rsid w:val="007E255E"/>
    <w:rsid w:val="007E38E8"/>
    <w:rsid w:val="007E5D97"/>
    <w:rsid w:val="007E600B"/>
    <w:rsid w:val="007F06F2"/>
    <w:rsid w:val="007F400F"/>
    <w:rsid w:val="007F557C"/>
    <w:rsid w:val="007F7D92"/>
    <w:rsid w:val="008006C4"/>
    <w:rsid w:val="00800FED"/>
    <w:rsid w:val="00804053"/>
    <w:rsid w:val="008041EE"/>
    <w:rsid w:val="00804248"/>
    <w:rsid w:val="00810184"/>
    <w:rsid w:val="00812ADE"/>
    <w:rsid w:val="0081663D"/>
    <w:rsid w:val="008175BA"/>
    <w:rsid w:val="00820C1B"/>
    <w:rsid w:val="00823130"/>
    <w:rsid w:val="008241DC"/>
    <w:rsid w:val="0082578E"/>
    <w:rsid w:val="008262C2"/>
    <w:rsid w:val="00827B0C"/>
    <w:rsid w:val="00831EAC"/>
    <w:rsid w:val="00834A0C"/>
    <w:rsid w:val="00836131"/>
    <w:rsid w:val="00836F1F"/>
    <w:rsid w:val="00837D2D"/>
    <w:rsid w:val="00842168"/>
    <w:rsid w:val="0084350C"/>
    <w:rsid w:val="00843AB9"/>
    <w:rsid w:val="00844FCB"/>
    <w:rsid w:val="00845AB7"/>
    <w:rsid w:val="008508E2"/>
    <w:rsid w:val="00850A5F"/>
    <w:rsid w:val="00852049"/>
    <w:rsid w:val="008538DF"/>
    <w:rsid w:val="00853ACB"/>
    <w:rsid w:val="00853F28"/>
    <w:rsid w:val="0085649B"/>
    <w:rsid w:val="00857F62"/>
    <w:rsid w:val="008644E3"/>
    <w:rsid w:val="00866888"/>
    <w:rsid w:val="008702B3"/>
    <w:rsid w:val="00880F6A"/>
    <w:rsid w:val="00884AD3"/>
    <w:rsid w:val="00892595"/>
    <w:rsid w:val="008934EE"/>
    <w:rsid w:val="00893E3D"/>
    <w:rsid w:val="008949CD"/>
    <w:rsid w:val="00896057"/>
    <w:rsid w:val="008977F6"/>
    <w:rsid w:val="00897AC3"/>
    <w:rsid w:val="00897D57"/>
    <w:rsid w:val="008A34BD"/>
    <w:rsid w:val="008A43BA"/>
    <w:rsid w:val="008B0792"/>
    <w:rsid w:val="008B2FFC"/>
    <w:rsid w:val="008B42C1"/>
    <w:rsid w:val="008B4F02"/>
    <w:rsid w:val="008B5B74"/>
    <w:rsid w:val="008C1062"/>
    <w:rsid w:val="008C1E15"/>
    <w:rsid w:val="008C4F3D"/>
    <w:rsid w:val="008C5A71"/>
    <w:rsid w:val="008C5A8C"/>
    <w:rsid w:val="008C73C0"/>
    <w:rsid w:val="008D1382"/>
    <w:rsid w:val="008D4F4A"/>
    <w:rsid w:val="008E3B00"/>
    <w:rsid w:val="008E702E"/>
    <w:rsid w:val="008E71F9"/>
    <w:rsid w:val="008F5FA0"/>
    <w:rsid w:val="008F619E"/>
    <w:rsid w:val="00903511"/>
    <w:rsid w:val="00904433"/>
    <w:rsid w:val="009047CE"/>
    <w:rsid w:val="00910FF3"/>
    <w:rsid w:val="00911857"/>
    <w:rsid w:val="00912D87"/>
    <w:rsid w:val="009144C6"/>
    <w:rsid w:val="0091790E"/>
    <w:rsid w:val="00920C01"/>
    <w:rsid w:val="00921C5B"/>
    <w:rsid w:val="009237C1"/>
    <w:rsid w:val="009264DB"/>
    <w:rsid w:val="00927AEA"/>
    <w:rsid w:val="0093192E"/>
    <w:rsid w:val="0093249D"/>
    <w:rsid w:val="009366D5"/>
    <w:rsid w:val="009402FE"/>
    <w:rsid w:val="009418D2"/>
    <w:rsid w:val="00942065"/>
    <w:rsid w:val="009430B1"/>
    <w:rsid w:val="00943E54"/>
    <w:rsid w:val="00950492"/>
    <w:rsid w:val="009508A6"/>
    <w:rsid w:val="00951B5E"/>
    <w:rsid w:val="00951F34"/>
    <w:rsid w:val="0096288F"/>
    <w:rsid w:val="00963588"/>
    <w:rsid w:val="0097775B"/>
    <w:rsid w:val="00977D0A"/>
    <w:rsid w:val="00980135"/>
    <w:rsid w:val="00983384"/>
    <w:rsid w:val="00993F22"/>
    <w:rsid w:val="009A3A6A"/>
    <w:rsid w:val="009A57DD"/>
    <w:rsid w:val="009B2A82"/>
    <w:rsid w:val="009B31FE"/>
    <w:rsid w:val="009B3CF0"/>
    <w:rsid w:val="009B3ECD"/>
    <w:rsid w:val="009B772D"/>
    <w:rsid w:val="009D59D2"/>
    <w:rsid w:val="009D6CD2"/>
    <w:rsid w:val="009D7F75"/>
    <w:rsid w:val="009E1785"/>
    <w:rsid w:val="009E33BF"/>
    <w:rsid w:val="009E3B82"/>
    <w:rsid w:val="009E5AC3"/>
    <w:rsid w:val="009E6313"/>
    <w:rsid w:val="009F508D"/>
    <w:rsid w:val="00A0114C"/>
    <w:rsid w:val="00A05BA1"/>
    <w:rsid w:val="00A1044E"/>
    <w:rsid w:val="00A159E8"/>
    <w:rsid w:val="00A17DFE"/>
    <w:rsid w:val="00A22D36"/>
    <w:rsid w:val="00A26733"/>
    <w:rsid w:val="00A27233"/>
    <w:rsid w:val="00A3342E"/>
    <w:rsid w:val="00A45F73"/>
    <w:rsid w:val="00A46802"/>
    <w:rsid w:val="00A477DA"/>
    <w:rsid w:val="00A47DC9"/>
    <w:rsid w:val="00A50618"/>
    <w:rsid w:val="00A519CC"/>
    <w:rsid w:val="00A52F09"/>
    <w:rsid w:val="00A556D2"/>
    <w:rsid w:val="00A6477D"/>
    <w:rsid w:val="00A71A0D"/>
    <w:rsid w:val="00A7345F"/>
    <w:rsid w:val="00A760F1"/>
    <w:rsid w:val="00A82B69"/>
    <w:rsid w:val="00A91D47"/>
    <w:rsid w:val="00A92676"/>
    <w:rsid w:val="00A944F4"/>
    <w:rsid w:val="00AA484B"/>
    <w:rsid w:val="00AA64FB"/>
    <w:rsid w:val="00AB0A1C"/>
    <w:rsid w:val="00AB0C45"/>
    <w:rsid w:val="00AC4743"/>
    <w:rsid w:val="00AC5758"/>
    <w:rsid w:val="00AC5F2E"/>
    <w:rsid w:val="00AC6254"/>
    <w:rsid w:val="00AD4CDA"/>
    <w:rsid w:val="00AD546F"/>
    <w:rsid w:val="00AD5B92"/>
    <w:rsid w:val="00AD79E6"/>
    <w:rsid w:val="00AE1BEB"/>
    <w:rsid w:val="00AE29CA"/>
    <w:rsid w:val="00AE3AE5"/>
    <w:rsid w:val="00AE6E01"/>
    <w:rsid w:val="00AF5CDA"/>
    <w:rsid w:val="00B02C79"/>
    <w:rsid w:val="00B042A0"/>
    <w:rsid w:val="00B125A8"/>
    <w:rsid w:val="00B15379"/>
    <w:rsid w:val="00B20B03"/>
    <w:rsid w:val="00B2383B"/>
    <w:rsid w:val="00B23F6F"/>
    <w:rsid w:val="00B25B74"/>
    <w:rsid w:val="00B265BF"/>
    <w:rsid w:val="00B30B2A"/>
    <w:rsid w:val="00B30D07"/>
    <w:rsid w:val="00B31157"/>
    <w:rsid w:val="00B332FC"/>
    <w:rsid w:val="00B33A5D"/>
    <w:rsid w:val="00B43451"/>
    <w:rsid w:val="00B45E3E"/>
    <w:rsid w:val="00B506A0"/>
    <w:rsid w:val="00B50F7D"/>
    <w:rsid w:val="00B53ED6"/>
    <w:rsid w:val="00B561F9"/>
    <w:rsid w:val="00B57547"/>
    <w:rsid w:val="00B57EC4"/>
    <w:rsid w:val="00B606C3"/>
    <w:rsid w:val="00B65640"/>
    <w:rsid w:val="00B663D5"/>
    <w:rsid w:val="00B671F8"/>
    <w:rsid w:val="00B7094F"/>
    <w:rsid w:val="00B70C84"/>
    <w:rsid w:val="00B716C9"/>
    <w:rsid w:val="00B8071B"/>
    <w:rsid w:val="00B808EE"/>
    <w:rsid w:val="00B81498"/>
    <w:rsid w:val="00B85DBE"/>
    <w:rsid w:val="00B935E7"/>
    <w:rsid w:val="00B9774D"/>
    <w:rsid w:val="00BA48D6"/>
    <w:rsid w:val="00BA75B1"/>
    <w:rsid w:val="00BB18F7"/>
    <w:rsid w:val="00BB1C7F"/>
    <w:rsid w:val="00BB5293"/>
    <w:rsid w:val="00BB672D"/>
    <w:rsid w:val="00BC012A"/>
    <w:rsid w:val="00BC2DAE"/>
    <w:rsid w:val="00BC3F9C"/>
    <w:rsid w:val="00BC5298"/>
    <w:rsid w:val="00BC6F77"/>
    <w:rsid w:val="00BD0FE7"/>
    <w:rsid w:val="00BD23A4"/>
    <w:rsid w:val="00BD6BDC"/>
    <w:rsid w:val="00BD71AA"/>
    <w:rsid w:val="00BE07C6"/>
    <w:rsid w:val="00BE0C4E"/>
    <w:rsid w:val="00BE2A2E"/>
    <w:rsid w:val="00BF0782"/>
    <w:rsid w:val="00BF27F5"/>
    <w:rsid w:val="00BF548C"/>
    <w:rsid w:val="00BF7714"/>
    <w:rsid w:val="00C00FE4"/>
    <w:rsid w:val="00C04DBE"/>
    <w:rsid w:val="00C11B4A"/>
    <w:rsid w:val="00C160F9"/>
    <w:rsid w:val="00C171B9"/>
    <w:rsid w:val="00C21871"/>
    <w:rsid w:val="00C21CEE"/>
    <w:rsid w:val="00C228A9"/>
    <w:rsid w:val="00C234D2"/>
    <w:rsid w:val="00C252B9"/>
    <w:rsid w:val="00C26F66"/>
    <w:rsid w:val="00C334F1"/>
    <w:rsid w:val="00C33FB0"/>
    <w:rsid w:val="00C35A21"/>
    <w:rsid w:val="00C452FF"/>
    <w:rsid w:val="00C460F6"/>
    <w:rsid w:val="00C546C5"/>
    <w:rsid w:val="00C66D7A"/>
    <w:rsid w:val="00C72970"/>
    <w:rsid w:val="00C72F8C"/>
    <w:rsid w:val="00C74988"/>
    <w:rsid w:val="00C84C2B"/>
    <w:rsid w:val="00C853D1"/>
    <w:rsid w:val="00C85A96"/>
    <w:rsid w:val="00C95C6B"/>
    <w:rsid w:val="00CA0C1D"/>
    <w:rsid w:val="00CA2F84"/>
    <w:rsid w:val="00CA43BE"/>
    <w:rsid w:val="00CA6892"/>
    <w:rsid w:val="00CB2B7B"/>
    <w:rsid w:val="00CB5A9E"/>
    <w:rsid w:val="00CC12D9"/>
    <w:rsid w:val="00CC2EBD"/>
    <w:rsid w:val="00CC5561"/>
    <w:rsid w:val="00CC7111"/>
    <w:rsid w:val="00CC7EAC"/>
    <w:rsid w:val="00CD2EEA"/>
    <w:rsid w:val="00CD573E"/>
    <w:rsid w:val="00CD70C3"/>
    <w:rsid w:val="00CE0613"/>
    <w:rsid w:val="00CE0D7B"/>
    <w:rsid w:val="00CF0AA9"/>
    <w:rsid w:val="00CF1FCE"/>
    <w:rsid w:val="00CF38E2"/>
    <w:rsid w:val="00CF5199"/>
    <w:rsid w:val="00CF7911"/>
    <w:rsid w:val="00D02413"/>
    <w:rsid w:val="00D04493"/>
    <w:rsid w:val="00D055E0"/>
    <w:rsid w:val="00D060B7"/>
    <w:rsid w:val="00D069DF"/>
    <w:rsid w:val="00D104DB"/>
    <w:rsid w:val="00D10BBE"/>
    <w:rsid w:val="00D114F9"/>
    <w:rsid w:val="00D11E84"/>
    <w:rsid w:val="00D121F9"/>
    <w:rsid w:val="00D15032"/>
    <w:rsid w:val="00D16932"/>
    <w:rsid w:val="00D16C0D"/>
    <w:rsid w:val="00D20EC3"/>
    <w:rsid w:val="00D237F3"/>
    <w:rsid w:val="00D2535A"/>
    <w:rsid w:val="00D275A3"/>
    <w:rsid w:val="00D31445"/>
    <w:rsid w:val="00D3360D"/>
    <w:rsid w:val="00D3476D"/>
    <w:rsid w:val="00D349C8"/>
    <w:rsid w:val="00D452E2"/>
    <w:rsid w:val="00D5012F"/>
    <w:rsid w:val="00D52512"/>
    <w:rsid w:val="00D53A0C"/>
    <w:rsid w:val="00D553B2"/>
    <w:rsid w:val="00D603BF"/>
    <w:rsid w:val="00D62C6E"/>
    <w:rsid w:val="00D632C5"/>
    <w:rsid w:val="00D6407D"/>
    <w:rsid w:val="00D6502B"/>
    <w:rsid w:val="00D733EF"/>
    <w:rsid w:val="00D752D2"/>
    <w:rsid w:val="00D76975"/>
    <w:rsid w:val="00D772C9"/>
    <w:rsid w:val="00D77542"/>
    <w:rsid w:val="00D90E06"/>
    <w:rsid w:val="00D91A1F"/>
    <w:rsid w:val="00D93EFD"/>
    <w:rsid w:val="00D94C0C"/>
    <w:rsid w:val="00D96276"/>
    <w:rsid w:val="00D968C2"/>
    <w:rsid w:val="00DA3751"/>
    <w:rsid w:val="00DA74B1"/>
    <w:rsid w:val="00DA7965"/>
    <w:rsid w:val="00DB10DD"/>
    <w:rsid w:val="00DB268E"/>
    <w:rsid w:val="00DB6D27"/>
    <w:rsid w:val="00DC2DC2"/>
    <w:rsid w:val="00DC6387"/>
    <w:rsid w:val="00DD116F"/>
    <w:rsid w:val="00DD2536"/>
    <w:rsid w:val="00DD2A87"/>
    <w:rsid w:val="00DD5573"/>
    <w:rsid w:val="00DD6442"/>
    <w:rsid w:val="00DE1E38"/>
    <w:rsid w:val="00DE24C4"/>
    <w:rsid w:val="00DE293A"/>
    <w:rsid w:val="00DE6290"/>
    <w:rsid w:val="00DE6EFD"/>
    <w:rsid w:val="00DF2DD7"/>
    <w:rsid w:val="00DF63B1"/>
    <w:rsid w:val="00E00CF7"/>
    <w:rsid w:val="00E010F7"/>
    <w:rsid w:val="00E0369E"/>
    <w:rsid w:val="00E04D30"/>
    <w:rsid w:val="00E06552"/>
    <w:rsid w:val="00E160CE"/>
    <w:rsid w:val="00E240BC"/>
    <w:rsid w:val="00E278F2"/>
    <w:rsid w:val="00E30E7E"/>
    <w:rsid w:val="00E310D8"/>
    <w:rsid w:val="00E317EA"/>
    <w:rsid w:val="00E32D11"/>
    <w:rsid w:val="00E33C91"/>
    <w:rsid w:val="00E33E03"/>
    <w:rsid w:val="00E378A7"/>
    <w:rsid w:val="00E41E5D"/>
    <w:rsid w:val="00E45953"/>
    <w:rsid w:val="00E46DA8"/>
    <w:rsid w:val="00E511E7"/>
    <w:rsid w:val="00E5473E"/>
    <w:rsid w:val="00E55151"/>
    <w:rsid w:val="00E61E5E"/>
    <w:rsid w:val="00E65637"/>
    <w:rsid w:val="00E808DF"/>
    <w:rsid w:val="00E8346C"/>
    <w:rsid w:val="00E83494"/>
    <w:rsid w:val="00E9186A"/>
    <w:rsid w:val="00E92B4A"/>
    <w:rsid w:val="00E93EDF"/>
    <w:rsid w:val="00E966F3"/>
    <w:rsid w:val="00E97929"/>
    <w:rsid w:val="00EA1004"/>
    <w:rsid w:val="00EA109A"/>
    <w:rsid w:val="00EA2CF6"/>
    <w:rsid w:val="00EA34E2"/>
    <w:rsid w:val="00EB051B"/>
    <w:rsid w:val="00EB0AEA"/>
    <w:rsid w:val="00EB12A8"/>
    <w:rsid w:val="00EB1E57"/>
    <w:rsid w:val="00EB43DB"/>
    <w:rsid w:val="00EB4A38"/>
    <w:rsid w:val="00EB75C0"/>
    <w:rsid w:val="00EC01B9"/>
    <w:rsid w:val="00EC023F"/>
    <w:rsid w:val="00EC0816"/>
    <w:rsid w:val="00ED23EB"/>
    <w:rsid w:val="00EE0F01"/>
    <w:rsid w:val="00EE23E5"/>
    <w:rsid w:val="00EE53C5"/>
    <w:rsid w:val="00EF0402"/>
    <w:rsid w:val="00EF0D39"/>
    <w:rsid w:val="00EF4B96"/>
    <w:rsid w:val="00EF639E"/>
    <w:rsid w:val="00EF6645"/>
    <w:rsid w:val="00EF7020"/>
    <w:rsid w:val="00F001AA"/>
    <w:rsid w:val="00F03250"/>
    <w:rsid w:val="00F03666"/>
    <w:rsid w:val="00F05DDC"/>
    <w:rsid w:val="00F060A2"/>
    <w:rsid w:val="00F121AE"/>
    <w:rsid w:val="00F126B7"/>
    <w:rsid w:val="00F22287"/>
    <w:rsid w:val="00F25858"/>
    <w:rsid w:val="00F27058"/>
    <w:rsid w:val="00F323BC"/>
    <w:rsid w:val="00F343EE"/>
    <w:rsid w:val="00F35A10"/>
    <w:rsid w:val="00F4029B"/>
    <w:rsid w:val="00F44120"/>
    <w:rsid w:val="00F516F1"/>
    <w:rsid w:val="00F54246"/>
    <w:rsid w:val="00F561D0"/>
    <w:rsid w:val="00F617C4"/>
    <w:rsid w:val="00F712C0"/>
    <w:rsid w:val="00F7369F"/>
    <w:rsid w:val="00F762D3"/>
    <w:rsid w:val="00F81A9B"/>
    <w:rsid w:val="00F821C8"/>
    <w:rsid w:val="00F926A0"/>
    <w:rsid w:val="00FA3952"/>
    <w:rsid w:val="00FA5759"/>
    <w:rsid w:val="00FA58C2"/>
    <w:rsid w:val="00FA7464"/>
    <w:rsid w:val="00FC4CB0"/>
    <w:rsid w:val="00FC592A"/>
    <w:rsid w:val="00FC6454"/>
    <w:rsid w:val="00FC6B3E"/>
    <w:rsid w:val="00FD04A7"/>
    <w:rsid w:val="00FD1A44"/>
    <w:rsid w:val="00FD59FA"/>
    <w:rsid w:val="00FD61E8"/>
    <w:rsid w:val="00FE3038"/>
    <w:rsid w:val="00FE53FE"/>
    <w:rsid w:val="00FE5E84"/>
    <w:rsid w:val="00FF69E9"/>
    <w:rsid w:val="1B73EA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04FCC"/>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04FCC"/>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secretariadoejecutivo.gob.mx//doc/Actualizacion_Diagnostico_Nacional_MOFP.pdf" TargetMode="External" Id="rId9" /><Relationship Type="http://schemas.openxmlformats.org/officeDocument/2006/relationships/footer" Target="footer2.xml" Id="rId14" /><Relationship Type="http://schemas.openxmlformats.org/officeDocument/2006/relationships/glossaryDocument" Target="glossary/document.xml" Id="Re5106421565e4ebc"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a6c414-6aa8-455c-9863-df3cdb72d4bd}"/>
      </w:docPartPr>
      <w:docPartBody>
        <w:p w14:paraId="30656CC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F1FDE-C44D-49EC-897B-F920AF6011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2022-03-30T00:38:00.0000000Z</dcterms:created>
  <dcterms:modified xsi:type="dcterms:W3CDTF">2022-05-12T18:10:49.0612721Z</dcterms:modified>
</coreProperties>
</file>