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5396" w:rsidRPr="00D84317" w:rsidRDefault="002E5396" w:rsidP="002E5396">
      <w:pPr>
        <w:spacing w:before="240" w:after="240" w:line="360" w:lineRule="auto"/>
        <w:jc w:val="both"/>
        <w:rPr>
          <w:rFonts w:ascii="Palatino Linotype" w:hAnsi="Palatino Linotype" w:cs="Arial"/>
        </w:rPr>
      </w:pPr>
      <w:r w:rsidRPr="00080788">
        <w:rPr>
          <w:rFonts w:ascii="Palatino Linotype" w:hAnsi="Palatino Linotype"/>
        </w:rPr>
        <w:t>Resolución del Pleno del Instituto de Transparencia, Acceso a la Información Pública y Protección de Datos Personales del Estado de Méxic</w:t>
      </w:r>
      <w:bookmarkStart w:id="0" w:name="_GoBack"/>
      <w:bookmarkEnd w:id="0"/>
      <w:r w:rsidRPr="00080788">
        <w:rPr>
          <w:rFonts w:ascii="Palatino Linotype" w:hAnsi="Palatino Linotype"/>
        </w:rPr>
        <w:t xml:space="preserve">o y Municipios, </w:t>
      </w:r>
      <w:r w:rsidRPr="00080788">
        <w:rPr>
          <w:rFonts w:ascii="Palatino Linotype" w:eastAsia="Calibri" w:hAnsi="Palatino Linotype" w:cs="Arial"/>
        </w:rPr>
        <w:t>con domicilio en Metepec, Estado de México,</w:t>
      </w:r>
      <w:r w:rsidRPr="00080788">
        <w:rPr>
          <w:rFonts w:ascii="Palatino Linotype" w:hAnsi="Palatino Linotype"/>
        </w:rPr>
        <w:t xml:space="preserve"> de fecha</w:t>
      </w:r>
      <w:r w:rsidRPr="00080788">
        <w:rPr>
          <w:rStyle w:val="apple-converted-space"/>
          <w:rFonts w:ascii="Palatino Linotype" w:hAnsi="Palatino Linotype" w:cs="Arial"/>
        </w:rPr>
        <w:t xml:space="preserve"> </w:t>
      </w:r>
      <w:r w:rsidR="00D65330">
        <w:rPr>
          <w:rStyle w:val="apple-converted-space"/>
          <w:rFonts w:ascii="Palatino Linotype" w:hAnsi="Palatino Linotype" w:cs="Arial"/>
        </w:rPr>
        <w:t>cuatro</w:t>
      </w:r>
      <w:r w:rsidR="00470F62">
        <w:rPr>
          <w:rStyle w:val="apple-converted-space"/>
          <w:rFonts w:ascii="Palatino Linotype" w:hAnsi="Palatino Linotype" w:cs="Arial"/>
        </w:rPr>
        <w:t xml:space="preserve"> de febrero</w:t>
      </w:r>
      <w:r w:rsidR="00470F62">
        <w:rPr>
          <w:rStyle w:val="normaltextrun"/>
          <w:rFonts w:ascii="Palatino Linotype" w:hAnsi="Palatino Linotype" w:cs="Arial"/>
        </w:rPr>
        <w:t xml:space="preserve"> del dos mil veintidós</w:t>
      </w:r>
      <w:r w:rsidRPr="00D84317">
        <w:rPr>
          <w:rStyle w:val="normaltextrun"/>
          <w:rFonts w:ascii="Palatino Linotype" w:hAnsi="Palatino Linotype" w:cs="Arial"/>
        </w:rPr>
        <w:t>.</w:t>
      </w:r>
    </w:p>
    <w:p w:rsidR="002E5396" w:rsidRPr="00080788"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Visto</w:t>
      </w:r>
      <w:r w:rsidRPr="00080788">
        <w:rPr>
          <w:rFonts w:ascii="Palatino Linotype" w:hAnsi="Palatino Linotype" w:cs="Arial"/>
        </w:rPr>
        <w:t xml:space="preserve"> el expediente relativo al recurso de revisión </w:t>
      </w:r>
      <w:r w:rsidR="0079175F">
        <w:rPr>
          <w:rFonts w:ascii="Palatino Linotype" w:hAnsi="Palatino Linotype" w:cs="Arial"/>
          <w:b/>
          <w:bCs/>
        </w:rPr>
        <w:t>0</w:t>
      </w:r>
      <w:r w:rsidR="00470F62">
        <w:rPr>
          <w:rFonts w:ascii="Palatino Linotype" w:hAnsi="Palatino Linotype" w:cs="Arial"/>
          <w:b/>
          <w:bCs/>
        </w:rPr>
        <w:t>5789</w:t>
      </w:r>
      <w:r w:rsidR="002A6F11">
        <w:rPr>
          <w:rFonts w:ascii="Palatino Linotype" w:hAnsi="Palatino Linotype" w:cs="Arial"/>
          <w:b/>
          <w:bCs/>
        </w:rPr>
        <w:t>/INFOEM/IP/RR/2021</w:t>
      </w:r>
      <w:r w:rsidRPr="00080788">
        <w:rPr>
          <w:rFonts w:ascii="Palatino Linotype" w:hAnsi="Palatino Linotype" w:cs="Arial"/>
        </w:rPr>
        <w:t xml:space="preserve">, interpuesto por </w:t>
      </w:r>
      <w:r w:rsidR="003C1606" w:rsidRPr="003C1606">
        <w:rPr>
          <w:rFonts w:ascii="Palatino Linotype" w:hAnsi="Palatino Linotype" w:cs="Arial"/>
          <w:b/>
        </w:rPr>
        <w:t xml:space="preserve">XXXXX </w:t>
      </w:r>
      <w:proofErr w:type="spellStart"/>
      <w:r w:rsidR="003C1606" w:rsidRPr="003C1606">
        <w:rPr>
          <w:rFonts w:ascii="Palatino Linotype" w:hAnsi="Palatino Linotype" w:cs="Arial"/>
          <w:b/>
        </w:rPr>
        <w:t>XXXXX</w:t>
      </w:r>
      <w:proofErr w:type="spellEnd"/>
      <w:r w:rsidR="003C1606" w:rsidRPr="003C1606">
        <w:rPr>
          <w:rFonts w:ascii="Palatino Linotype" w:hAnsi="Palatino Linotype" w:cs="Arial"/>
          <w:b/>
        </w:rPr>
        <w:t xml:space="preserve"> </w:t>
      </w:r>
      <w:proofErr w:type="spellStart"/>
      <w:r w:rsidR="003C1606" w:rsidRPr="003C1606">
        <w:rPr>
          <w:rFonts w:ascii="Palatino Linotype" w:hAnsi="Palatino Linotype" w:cs="Arial"/>
          <w:b/>
        </w:rPr>
        <w:t>XXXXX</w:t>
      </w:r>
      <w:proofErr w:type="spellEnd"/>
      <w:r w:rsidR="003C1606" w:rsidRPr="003C1606">
        <w:rPr>
          <w:rFonts w:ascii="Palatino Linotype" w:hAnsi="Palatino Linotype" w:cs="Arial"/>
          <w:b/>
        </w:rPr>
        <w:t xml:space="preserve"> XXXX</w:t>
      </w:r>
      <w:r w:rsidR="00470F62">
        <w:rPr>
          <w:rFonts w:ascii="Palatino Linotype" w:hAnsi="Palatino Linotype" w:cs="Arial"/>
          <w:b/>
        </w:rPr>
        <w:t xml:space="preserve">, </w:t>
      </w:r>
      <w:r w:rsidR="00116785">
        <w:rPr>
          <w:rFonts w:ascii="Palatino Linotype" w:hAnsi="Palatino Linotype" w:cs="Arial"/>
        </w:rPr>
        <w:t xml:space="preserve">en lo sucesivo </w:t>
      </w:r>
      <w:r w:rsidR="00C16923">
        <w:rPr>
          <w:rFonts w:ascii="Palatino Linotype" w:hAnsi="Palatino Linotype" w:cs="Arial"/>
        </w:rPr>
        <w:t xml:space="preserve">el </w:t>
      </w:r>
      <w:r w:rsidR="00470F62" w:rsidRPr="00470F62">
        <w:rPr>
          <w:rFonts w:ascii="Palatino Linotype" w:hAnsi="Palatino Linotype" w:cs="Arial"/>
          <w:b/>
        </w:rPr>
        <w:t>RECURRENTE</w:t>
      </w:r>
      <w:r w:rsidRPr="00080788">
        <w:rPr>
          <w:rFonts w:ascii="Palatino Linotype" w:hAnsi="Palatino Linotype" w:cs="Arial"/>
        </w:rPr>
        <w:t xml:space="preserve"> en contra de la respuesta a su solicitud de </w:t>
      </w:r>
      <w:r w:rsidR="003F2267">
        <w:rPr>
          <w:rFonts w:ascii="Palatino Linotype" w:hAnsi="Palatino Linotype" w:cs="Arial"/>
        </w:rPr>
        <w:t>información con número de folio</w:t>
      </w:r>
      <w:r w:rsidR="003F2267">
        <w:rPr>
          <w:rFonts w:ascii="Verdana" w:hAnsi="Verdana"/>
          <w:b/>
          <w:bCs/>
          <w:color w:val="FF0000"/>
        </w:rPr>
        <w:t> </w:t>
      </w:r>
      <w:r w:rsidR="00470F62" w:rsidRPr="00470F62">
        <w:rPr>
          <w:rFonts w:ascii="Palatino Linotype" w:hAnsi="Palatino Linotype" w:cs="Arial"/>
          <w:b/>
        </w:rPr>
        <w:t>00320/SEGEGOB/IP/2021</w:t>
      </w:r>
      <w:r w:rsidR="00116785" w:rsidRPr="00470F62">
        <w:rPr>
          <w:rFonts w:ascii="Palatino Linotype" w:hAnsi="Palatino Linotype" w:cs="Arial"/>
          <w:b/>
        </w:rPr>
        <w:t>,</w:t>
      </w:r>
      <w:r w:rsidR="00116785">
        <w:rPr>
          <w:rFonts w:ascii="Palatino Linotype" w:hAnsi="Palatino Linotype" w:cs="Arial"/>
        </w:rPr>
        <w:t xml:space="preserve"> </w:t>
      </w:r>
      <w:r w:rsidR="00470F62">
        <w:rPr>
          <w:rFonts w:ascii="Palatino Linotype" w:hAnsi="Palatino Linotype" w:cs="Arial"/>
        </w:rPr>
        <w:t xml:space="preserve">por parte de la </w:t>
      </w:r>
      <w:r w:rsidR="00470F62">
        <w:rPr>
          <w:rFonts w:ascii="Palatino Linotype" w:hAnsi="Palatino Linotype" w:cs="Arial"/>
          <w:b/>
        </w:rPr>
        <w:t>SECRETARÍA GENERAL DE GOBIERNO</w:t>
      </w:r>
      <w:r w:rsidRPr="00080788">
        <w:rPr>
          <w:rFonts w:ascii="Palatino Linotype" w:hAnsi="Palatino Linotype" w:cs="Arial"/>
        </w:rPr>
        <w:t xml:space="preserve">, en lo sucesivo el </w:t>
      </w:r>
      <w:r w:rsidR="00470F62" w:rsidRPr="00080788">
        <w:rPr>
          <w:rFonts w:ascii="Palatino Linotype" w:hAnsi="Palatino Linotype" w:cs="Arial"/>
          <w:b/>
        </w:rPr>
        <w:t>SUJETO OBLIGADO</w:t>
      </w:r>
      <w:r w:rsidRPr="00080788">
        <w:rPr>
          <w:rFonts w:ascii="Palatino Linotype" w:hAnsi="Palatino Linotype" w:cs="Arial"/>
          <w:b/>
        </w:rPr>
        <w:t xml:space="preserve">; </w:t>
      </w:r>
      <w:r w:rsidRPr="00080788">
        <w:rPr>
          <w:rFonts w:ascii="Palatino Linotype" w:hAnsi="Palatino Linotype" w:cs="Arial"/>
        </w:rPr>
        <w:t>se procede a dictar la presente resolución, con base en los siguientes:</w:t>
      </w:r>
    </w:p>
    <w:p w:rsidR="002E5396" w:rsidRPr="00080788" w:rsidRDefault="002E5396" w:rsidP="002E5396">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080788">
        <w:rPr>
          <w:rFonts w:ascii="Palatino Linotype" w:hAnsi="Palatino Linotype" w:cs="Arial"/>
          <w:b/>
          <w:sz w:val="24"/>
          <w:szCs w:val="24"/>
        </w:rPr>
        <w:t>A N T E C E D E N T E S:</w:t>
      </w:r>
    </w:p>
    <w:p w:rsidR="000B6E12" w:rsidRDefault="002E5396" w:rsidP="000B6E12">
      <w:pPr>
        <w:spacing w:before="240" w:after="240" w:line="360" w:lineRule="auto"/>
        <w:jc w:val="both"/>
        <w:rPr>
          <w:rFonts w:ascii="Palatino Linotype" w:hAnsi="Palatino Linotype" w:cs="Arial"/>
        </w:rPr>
      </w:pPr>
      <w:r w:rsidRPr="00080788">
        <w:rPr>
          <w:rFonts w:ascii="Palatino Linotype" w:hAnsi="Palatino Linotype" w:cs="Arial"/>
          <w:b/>
        </w:rPr>
        <w:t xml:space="preserve">1. Solicitud de acceso a la información. </w:t>
      </w:r>
      <w:r w:rsidR="00CE169F">
        <w:rPr>
          <w:rFonts w:ascii="Palatino Linotype" w:hAnsi="Palatino Linotype" w:cs="Arial"/>
        </w:rPr>
        <w:t xml:space="preserve">Con fecha </w:t>
      </w:r>
      <w:r w:rsidR="00470F62">
        <w:rPr>
          <w:rFonts w:ascii="Palatino Linotype" w:hAnsi="Palatino Linotype" w:cs="Arial"/>
        </w:rPr>
        <w:t>veintiséis de octubre</w:t>
      </w:r>
      <w:r w:rsidR="009A47D5">
        <w:rPr>
          <w:rFonts w:ascii="Palatino Linotype" w:hAnsi="Palatino Linotype" w:cs="Arial"/>
        </w:rPr>
        <w:t xml:space="preserve"> de dos mi</w:t>
      </w:r>
      <w:r w:rsidR="00C6202E">
        <w:rPr>
          <w:rFonts w:ascii="Palatino Linotype" w:hAnsi="Palatino Linotype" w:cs="Arial"/>
        </w:rPr>
        <w:t>l veintiuno</w:t>
      </w:r>
      <w:r w:rsidRPr="00080788">
        <w:rPr>
          <w:rFonts w:ascii="Palatino Linotype" w:hAnsi="Palatino Linotype" w:cs="Arial"/>
        </w:rPr>
        <w:t xml:space="preserve">, la parte </w:t>
      </w:r>
      <w:r w:rsidRPr="00080788">
        <w:rPr>
          <w:rFonts w:ascii="Palatino Linotype" w:hAnsi="Palatino Linotype" w:cs="Arial"/>
          <w:b/>
        </w:rPr>
        <w:t>recurrente</w:t>
      </w:r>
      <w:r w:rsidRPr="00080788">
        <w:rPr>
          <w:rFonts w:ascii="Palatino Linotype" w:hAnsi="Palatino Linotype" w:cs="Arial"/>
        </w:rPr>
        <w:t xml:space="preserve"> formuló solicitud de acceso a información pública al </w:t>
      </w:r>
      <w:r w:rsidR="00470F62" w:rsidRPr="00080788">
        <w:rPr>
          <w:rFonts w:ascii="Palatino Linotype" w:hAnsi="Palatino Linotype" w:cs="Arial"/>
          <w:b/>
        </w:rPr>
        <w:t>SUJETO OBLIGADO</w:t>
      </w:r>
      <w:r w:rsidR="00470F62" w:rsidRPr="00080788">
        <w:rPr>
          <w:rFonts w:ascii="Palatino Linotype" w:hAnsi="Palatino Linotype" w:cs="Arial"/>
        </w:rPr>
        <w:t xml:space="preserve"> </w:t>
      </w:r>
      <w:r w:rsidRPr="00080788">
        <w:rPr>
          <w:rFonts w:ascii="Palatino Linotype" w:hAnsi="Palatino Linotype" w:cs="Arial"/>
        </w:rPr>
        <w:t xml:space="preserve">a través del Sistema de Acceso a la Información Mexiquense, en adelante </w:t>
      </w:r>
      <w:r w:rsidRPr="00080788">
        <w:rPr>
          <w:rFonts w:ascii="Palatino Linotype" w:hAnsi="Palatino Linotype" w:cs="Arial"/>
          <w:b/>
        </w:rPr>
        <w:t>SAIMEX,</w:t>
      </w:r>
      <w:r w:rsidRPr="00080788">
        <w:rPr>
          <w:rFonts w:ascii="Palatino Linotype" w:hAnsi="Palatino Linotype" w:cs="Arial"/>
        </w:rPr>
        <w:t xml:space="preserve"> </w:t>
      </w:r>
      <w:r w:rsidRPr="00EC5F74">
        <w:rPr>
          <w:rFonts w:ascii="Palatino Linotype" w:hAnsi="Palatino Linotype" w:cs="Arial"/>
        </w:rPr>
        <w:t>requiriéndole lo siguiente:</w:t>
      </w:r>
    </w:p>
    <w:p w:rsidR="002E5396" w:rsidRDefault="002E5396" w:rsidP="000B6E12">
      <w:pPr>
        <w:spacing w:before="240" w:after="240"/>
        <w:ind w:left="851" w:right="902"/>
        <w:contextualSpacing/>
        <w:jc w:val="both"/>
        <w:rPr>
          <w:rFonts w:ascii="Palatino Linotype" w:hAnsi="Palatino Linotype"/>
          <w:i/>
          <w:color w:val="000000"/>
          <w:sz w:val="22"/>
          <w:szCs w:val="22"/>
        </w:rPr>
      </w:pPr>
      <w:r w:rsidRPr="00966DD3">
        <w:rPr>
          <w:rFonts w:ascii="Palatino Linotype" w:hAnsi="Palatino Linotype"/>
          <w:i/>
          <w:color w:val="000000"/>
          <w:sz w:val="22"/>
          <w:szCs w:val="22"/>
        </w:rPr>
        <w:t>“</w:t>
      </w:r>
      <w:r w:rsidR="00470F62" w:rsidRPr="00470F62">
        <w:rPr>
          <w:rFonts w:ascii="Palatino Linotype" w:hAnsi="Palatino Linotype"/>
          <w:i/>
          <w:color w:val="000000"/>
          <w:sz w:val="22"/>
          <w:szCs w:val="22"/>
        </w:rPr>
        <w:t>SOLICITO CONOCER POR UNIDAD ADMINISTRATIVA DE LA SECRETARÍA GENERAL DE GOBIERNO EL NÚMERO DE SERVIDORES PÚBLICOS SUSCEPTIBLES A PAGO DE ESTÍMULO POR PUNTUALIDAD Y ASISTENCIA PERFECTA A PARTIR DE ENERO DE 2021.</w:t>
      </w:r>
      <w:r w:rsidR="000B6E12">
        <w:rPr>
          <w:rFonts w:ascii="Palatino Linotype" w:hAnsi="Palatino Linotype"/>
          <w:i/>
          <w:color w:val="000000"/>
          <w:sz w:val="22"/>
          <w:szCs w:val="22"/>
        </w:rPr>
        <w:t>”</w:t>
      </w:r>
      <w:r w:rsidRPr="00966DD3">
        <w:rPr>
          <w:rFonts w:ascii="Palatino Linotype" w:hAnsi="Palatino Linotype"/>
          <w:i/>
          <w:color w:val="000000"/>
          <w:sz w:val="22"/>
          <w:szCs w:val="22"/>
        </w:rPr>
        <w:t>(Sic)</w:t>
      </w:r>
    </w:p>
    <w:p w:rsidR="002E5396" w:rsidRPr="00080788"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lastRenderedPageBreak/>
        <w:t xml:space="preserve">Modalidad elegida para la entrega de la información: </w:t>
      </w:r>
      <w:r w:rsidRPr="00080788">
        <w:rPr>
          <w:rFonts w:ascii="Palatino Linotype" w:hAnsi="Palatino Linotype" w:cs="Arial"/>
        </w:rPr>
        <w:t xml:space="preserve">a través del </w:t>
      </w:r>
      <w:r w:rsidRPr="00080788">
        <w:rPr>
          <w:rFonts w:ascii="Palatino Linotype" w:hAnsi="Palatino Linotype" w:cs="Arial"/>
          <w:b/>
        </w:rPr>
        <w:t>SAIMEX</w:t>
      </w:r>
      <w:r w:rsidRPr="00080788">
        <w:rPr>
          <w:rFonts w:ascii="Palatino Linotype" w:hAnsi="Palatino Linotype" w:cs="Arial"/>
        </w:rPr>
        <w:t>.</w:t>
      </w:r>
    </w:p>
    <w:p w:rsidR="00470F62" w:rsidRPr="00911351" w:rsidRDefault="00470F62" w:rsidP="00470F62">
      <w:pPr>
        <w:spacing w:before="240" w:after="240" w:line="360" w:lineRule="auto"/>
        <w:jc w:val="both"/>
        <w:rPr>
          <w:rFonts w:ascii="Palatino Linotype" w:hAnsi="Palatino Linotype" w:cs="Arial"/>
        </w:rPr>
      </w:pPr>
      <w:r w:rsidRPr="00911351">
        <w:rPr>
          <w:rFonts w:ascii="Palatino Linotype" w:hAnsi="Palatino Linotype" w:cs="Arial"/>
          <w:b/>
        </w:rPr>
        <w:t xml:space="preserve">2. Respuesta. </w:t>
      </w:r>
      <w:r w:rsidRPr="00911351">
        <w:rPr>
          <w:rFonts w:ascii="Palatino Linotype" w:hAnsi="Palatino Linotype" w:cs="Arial"/>
        </w:rPr>
        <w:t xml:space="preserve">Con fecha </w:t>
      </w:r>
      <w:r>
        <w:rPr>
          <w:rFonts w:ascii="Palatino Linotype" w:hAnsi="Palatino Linotype" w:cs="Arial"/>
        </w:rPr>
        <w:t>dieciocho de noviembre</w:t>
      </w:r>
      <w:r w:rsidRPr="00FD47D2">
        <w:rPr>
          <w:rFonts w:ascii="Palatino Linotype" w:hAnsi="Palatino Linotype" w:cs="Arial"/>
        </w:rPr>
        <w:t xml:space="preserve"> de dos </w:t>
      </w:r>
      <w:r>
        <w:rPr>
          <w:rFonts w:ascii="Palatino Linotype" w:hAnsi="Palatino Linotype" w:cs="Arial"/>
        </w:rPr>
        <w:t>mil veintiuno</w:t>
      </w:r>
      <w:r w:rsidRPr="00911351">
        <w:rPr>
          <w:rFonts w:ascii="Palatino Linotype" w:hAnsi="Palatino Linotype" w:cs="Arial"/>
        </w:rPr>
        <w:t xml:space="preserve"> el </w:t>
      </w:r>
      <w:r w:rsidRPr="00911351">
        <w:rPr>
          <w:rFonts w:ascii="Palatino Linotype" w:hAnsi="Palatino Linotype" w:cs="Arial"/>
          <w:b/>
        </w:rPr>
        <w:t>SUJETO OBLIGADO</w:t>
      </w:r>
      <w:r w:rsidRPr="00911351">
        <w:rPr>
          <w:rFonts w:ascii="Palatino Linotype" w:hAnsi="Palatino Linotype" w:cs="Arial"/>
        </w:rPr>
        <w:t xml:space="preserve"> envió su respuesta a la solicitud de acceso a la información a través del SAIMEX, la cual versa como sigue:</w:t>
      </w:r>
    </w:p>
    <w:p w:rsidR="00470F62" w:rsidRDefault="00470F62" w:rsidP="00470F62">
      <w:pPr>
        <w:spacing w:before="240" w:after="240"/>
        <w:ind w:left="851" w:right="902"/>
        <w:contextualSpacing/>
        <w:jc w:val="both"/>
        <w:rPr>
          <w:rFonts w:ascii="Palatino Linotype" w:hAnsi="Palatino Linotype"/>
          <w:i/>
          <w:color w:val="000000"/>
          <w:sz w:val="22"/>
          <w:szCs w:val="22"/>
        </w:rPr>
      </w:pPr>
      <w:r w:rsidRPr="00520A87">
        <w:rPr>
          <w:rFonts w:ascii="Palatino Linotype" w:hAnsi="Palatino Linotype"/>
          <w:i/>
          <w:color w:val="000000"/>
          <w:sz w:val="22"/>
          <w:szCs w:val="22"/>
        </w:rPr>
        <w:t>“</w:t>
      </w:r>
      <w:r w:rsidRPr="00042B33">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470F62" w:rsidRDefault="00470F62" w:rsidP="00470F62">
      <w:pPr>
        <w:spacing w:before="240" w:after="240"/>
        <w:ind w:left="851" w:right="902"/>
        <w:contextualSpacing/>
        <w:jc w:val="both"/>
        <w:rPr>
          <w:rFonts w:ascii="Palatino Linotype" w:hAnsi="Palatino Linotype"/>
          <w:i/>
          <w:color w:val="000000"/>
          <w:sz w:val="22"/>
          <w:szCs w:val="22"/>
        </w:rPr>
      </w:pPr>
      <w:r w:rsidRPr="00470F62">
        <w:rPr>
          <w:rFonts w:ascii="Palatino Linotype" w:hAnsi="Palatino Linotype"/>
          <w:i/>
          <w:color w:val="000000"/>
          <w:sz w:val="22"/>
          <w:szCs w:val="22"/>
        </w:rPr>
        <w:t>SE ANEXA RESPUESTA EN UN ARCHIVO. EN CASO DE TENER ALGÚN PROBLEMA CON LA RECEPCIÓN DE ESTE ARCHIVO, FAVOR DE COMUNICARSE AL TELÉFONO 722 2138893, EXT. 111, 119 Y 132.</w:t>
      </w:r>
    </w:p>
    <w:p w:rsidR="00470F62" w:rsidRPr="003823C8" w:rsidRDefault="00470F62" w:rsidP="00470F62">
      <w:pPr>
        <w:spacing w:before="240" w:after="240"/>
        <w:ind w:left="851" w:right="902"/>
        <w:contextualSpacing/>
        <w:jc w:val="both"/>
        <w:rPr>
          <w:rFonts w:ascii="Palatino Linotype" w:hAnsi="Palatino Linotype"/>
          <w:i/>
          <w:color w:val="000000"/>
          <w:sz w:val="22"/>
          <w:szCs w:val="22"/>
        </w:rPr>
      </w:pPr>
      <w:r w:rsidRPr="003823C8">
        <w:rPr>
          <w:rFonts w:ascii="Palatino Linotype" w:hAnsi="Palatino Linotype"/>
          <w:i/>
          <w:color w:val="000000"/>
          <w:sz w:val="22"/>
          <w:szCs w:val="22"/>
        </w:rPr>
        <w:t>ATENTAMENTE</w:t>
      </w:r>
    </w:p>
    <w:p w:rsidR="00470F62" w:rsidRPr="00520A87" w:rsidRDefault="00470F62" w:rsidP="00470F62">
      <w:pPr>
        <w:spacing w:before="240" w:after="240"/>
        <w:ind w:left="851" w:right="902"/>
        <w:contextualSpacing/>
        <w:jc w:val="both"/>
        <w:rPr>
          <w:rFonts w:ascii="Palatino Linotype" w:hAnsi="Palatino Linotype"/>
          <w:i/>
          <w:color w:val="000000"/>
          <w:sz w:val="22"/>
          <w:szCs w:val="22"/>
        </w:rPr>
      </w:pPr>
      <w:r w:rsidRPr="00470F62">
        <w:rPr>
          <w:rFonts w:ascii="Palatino Linotype" w:hAnsi="Palatino Linotype"/>
          <w:i/>
          <w:color w:val="000000"/>
          <w:sz w:val="22"/>
          <w:szCs w:val="22"/>
        </w:rPr>
        <w:t>DRA. EN D. ROSARIO ARZATE AGUILAR</w:t>
      </w:r>
      <w:r w:rsidRPr="003823C8">
        <w:rPr>
          <w:rFonts w:ascii="Palatino Linotype" w:hAnsi="Palatino Linotype"/>
          <w:i/>
          <w:color w:val="000000"/>
          <w:sz w:val="22"/>
          <w:szCs w:val="22"/>
        </w:rPr>
        <w:t>”</w:t>
      </w:r>
      <w:r w:rsidRPr="00520A87">
        <w:rPr>
          <w:rFonts w:ascii="Palatino Linotype" w:hAnsi="Palatino Linotype"/>
          <w:i/>
          <w:color w:val="000000"/>
          <w:sz w:val="22"/>
          <w:szCs w:val="22"/>
        </w:rPr>
        <w:t xml:space="preserve"> (Sic)</w:t>
      </w:r>
    </w:p>
    <w:p w:rsidR="00470F62" w:rsidRPr="00745136" w:rsidRDefault="00470F62" w:rsidP="00470F62">
      <w:pPr>
        <w:spacing w:before="240" w:after="240"/>
        <w:ind w:left="851" w:right="902"/>
        <w:contextualSpacing/>
        <w:jc w:val="both"/>
        <w:rPr>
          <w:rFonts w:ascii="Palatino Linotype" w:hAnsi="Palatino Linotype" w:cs="Arial"/>
          <w:i/>
          <w:sz w:val="22"/>
          <w:szCs w:val="22"/>
        </w:rPr>
      </w:pPr>
    </w:p>
    <w:p w:rsidR="00470F62" w:rsidRPr="00470F62" w:rsidRDefault="00470F62" w:rsidP="002E5396">
      <w:pPr>
        <w:spacing w:before="240" w:after="240" w:line="360" w:lineRule="auto"/>
        <w:jc w:val="both"/>
        <w:rPr>
          <w:rFonts w:ascii="Palatino Linotype" w:hAnsi="Palatino Linotype" w:cs="Arial"/>
        </w:rPr>
      </w:pPr>
      <w:r w:rsidRPr="00470F62">
        <w:rPr>
          <w:rFonts w:ascii="Palatino Linotype" w:hAnsi="Palatino Linotype" w:cs="Arial"/>
        </w:rPr>
        <w:t>Adjuntando a su respuesta el archivo electrónico denominado “</w:t>
      </w:r>
      <w:proofErr w:type="spellStart"/>
      <w:r w:rsidR="006E1131">
        <w:rPr>
          <w:rFonts w:ascii="Palatino Linotype" w:hAnsi="Palatino Linotype"/>
        </w:rPr>
        <w:fldChar w:fldCharType="begin"/>
      </w:r>
      <w:r w:rsidR="006E1131">
        <w:rPr>
          <w:rFonts w:ascii="Palatino Linotype" w:hAnsi="Palatino Linotype"/>
        </w:rPr>
        <w:instrText xml:space="preserve"> HYPERLINK "https://www.saimex.org.mx/saimex/solicitud/downloadAttach/1266565.page" \t "_blank" </w:instrText>
      </w:r>
      <w:r w:rsidR="006E1131">
        <w:rPr>
          <w:rFonts w:ascii="Palatino Linotype" w:hAnsi="Palatino Linotype"/>
        </w:rPr>
        <w:fldChar w:fldCharType="separate"/>
      </w:r>
      <w:r w:rsidRPr="00470F62">
        <w:rPr>
          <w:rFonts w:ascii="Palatino Linotype" w:hAnsi="Palatino Linotype"/>
        </w:rPr>
        <w:t>Rpta</w:t>
      </w:r>
      <w:proofErr w:type="spellEnd"/>
      <w:r w:rsidRPr="00470F62">
        <w:rPr>
          <w:rFonts w:ascii="Palatino Linotype" w:hAnsi="Palatino Linotype"/>
        </w:rPr>
        <w:t>. 00320-2021.pdf</w:t>
      </w:r>
      <w:r w:rsidR="006E1131">
        <w:rPr>
          <w:rFonts w:ascii="Palatino Linotype" w:hAnsi="Palatino Linotype"/>
        </w:rPr>
        <w:fldChar w:fldCharType="end"/>
      </w:r>
      <w:r w:rsidRPr="00470F62">
        <w:rPr>
          <w:rFonts w:ascii="Palatino Linotype" w:hAnsi="Palatino Linotype" w:cs="Arial"/>
        </w:rPr>
        <w:t>”</w:t>
      </w:r>
      <w:r>
        <w:rPr>
          <w:rFonts w:ascii="Palatino Linotype" w:hAnsi="Palatino Linotype" w:cs="Arial"/>
        </w:rPr>
        <w:t xml:space="preserve">, el cual será analizado en el apartado de estudio correspondiente. </w:t>
      </w:r>
    </w:p>
    <w:p w:rsidR="002E5396" w:rsidRPr="00080788" w:rsidRDefault="00EC5F74" w:rsidP="002E5396">
      <w:pPr>
        <w:spacing w:before="240" w:after="240" w:line="360" w:lineRule="auto"/>
        <w:jc w:val="both"/>
        <w:rPr>
          <w:rFonts w:ascii="Palatino Linotype" w:hAnsi="Palatino Linotype" w:cs="Arial"/>
        </w:rPr>
      </w:pPr>
      <w:r>
        <w:rPr>
          <w:rFonts w:ascii="Palatino Linotype" w:hAnsi="Palatino Linotype" w:cs="Arial"/>
          <w:b/>
        </w:rPr>
        <w:t>3</w:t>
      </w:r>
      <w:r w:rsidR="002E5396" w:rsidRPr="00080788">
        <w:rPr>
          <w:rFonts w:ascii="Palatino Linotype" w:hAnsi="Palatino Linotype" w:cs="Arial"/>
          <w:b/>
        </w:rPr>
        <w:t xml:space="preserve">. Interposición del recurso de revisión. </w:t>
      </w:r>
      <w:r w:rsidR="00E578F2">
        <w:rPr>
          <w:rFonts w:ascii="Palatino Linotype" w:hAnsi="Palatino Linotype" w:cs="Arial"/>
        </w:rPr>
        <w:t>Inconforme el</w:t>
      </w:r>
      <w:r w:rsidR="002E5396" w:rsidRPr="00080788">
        <w:rPr>
          <w:rFonts w:ascii="Palatino Linotype" w:hAnsi="Palatino Linotype" w:cs="Arial"/>
        </w:rPr>
        <w:t xml:space="preserve"> solicitante con la respuesta del </w:t>
      </w:r>
      <w:r w:rsidR="00470F62" w:rsidRPr="00080788">
        <w:rPr>
          <w:rFonts w:ascii="Palatino Linotype" w:hAnsi="Palatino Linotype" w:cs="Arial"/>
          <w:b/>
        </w:rPr>
        <w:t>SUJETO OBLIGADO</w:t>
      </w:r>
      <w:r w:rsidR="00470F62" w:rsidRPr="00080788">
        <w:rPr>
          <w:rFonts w:ascii="Palatino Linotype" w:hAnsi="Palatino Linotype" w:cs="Arial"/>
        </w:rPr>
        <w:t xml:space="preserve"> </w:t>
      </w:r>
      <w:r w:rsidR="002E5396" w:rsidRPr="00080788">
        <w:rPr>
          <w:rFonts w:ascii="Palatino Linotype" w:hAnsi="Palatino Linotype" w:cs="Arial"/>
        </w:rPr>
        <w:t>interpuso recurso de revisión a t</w:t>
      </w:r>
      <w:r w:rsidR="00AA3766">
        <w:rPr>
          <w:rFonts w:ascii="Palatino Linotype" w:hAnsi="Palatino Linotype" w:cs="Arial"/>
        </w:rPr>
        <w:t>ravés d</w:t>
      </w:r>
      <w:r w:rsidR="00470F62">
        <w:rPr>
          <w:rFonts w:ascii="Palatino Linotype" w:hAnsi="Palatino Linotype" w:cs="Arial"/>
        </w:rPr>
        <w:t>el SAIMEX en fecha veintidós de noviembre</w:t>
      </w:r>
      <w:r w:rsidR="00205EF0">
        <w:rPr>
          <w:rFonts w:ascii="Palatino Linotype" w:hAnsi="Palatino Linotype" w:cs="Arial"/>
        </w:rPr>
        <w:t xml:space="preserve"> del dos mil veintiuno</w:t>
      </w:r>
      <w:r w:rsidR="002E5396" w:rsidRPr="00080788">
        <w:rPr>
          <w:rFonts w:ascii="Palatino Linotype" w:hAnsi="Palatino Linotype" w:cs="Arial"/>
        </w:rPr>
        <w:t>, a través del cual expresó lo siguiente:</w:t>
      </w:r>
    </w:p>
    <w:p w:rsidR="002E5396" w:rsidRPr="00080788" w:rsidRDefault="002E5396" w:rsidP="002E5396">
      <w:pPr>
        <w:spacing w:line="360" w:lineRule="auto"/>
        <w:rPr>
          <w:rFonts w:ascii="Palatino Linotype" w:hAnsi="Palatino Linotype" w:cs="Arial"/>
          <w:b/>
        </w:rPr>
      </w:pPr>
      <w:r w:rsidRPr="00080788">
        <w:rPr>
          <w:rFonts w:ascii="Palatino Linotype" w:hAnsi="Palatino Linotype" w:cs="Arial"/>
          <w:b/>
        </w:rPr>
        <w:t>a) Acto impugnado.</w:t>
      </w:r>
    </w:p>
    <w:p w:rsidR="002E5396" w:rsidRPr="002F081A" w:rsidRDefault="002E5396" w:rsidP="002E5396">
      <w:pPr>
        <w:spacing w:after="240"/>
        <w:ind w:left="851" w:right="900"/>
        <w:jc w:val="both"/>
        <w:rPr>
          <w:rFonts w:ascii="Palatino Linotype" w:hAnsi="Palatino Linotype"/>
          <w:i/>
          <w:color w:val="000000"/>
          <w:sz w:val="22"/>
          <w:szCs w:val="22"/>
        </w:rPr>
      </w:pPr>
      <w:r w:rsidRPr="002F081A">
        <w:rPr>
          <w:rFonts w:ascii="Palatino Linotype" w:hAnsi="Palatino Linotype"/>
          <w:i/>
          <w:color w:val="000000"/>
          <w:sz w:val="22"/>
          <w:szCs w:val="22"/>
        </w:rPr>
        <w:t>“</w:t>
      </w:r>
      <w:r w:rsidR="00470F62" w:rsidRPr="00470F62">
        <w:rPr>
          <w:rFonts w:ascii="Palatino Linotype" w:hAnsi="Palatino Linotype"/>
          <w:i/>
          <w:color w:val="000000"/>
          <w:sz w:val="22"/>
          <w:szCs w:val="22"/>
        </w:rPr>
        <w:t>SOLICITO CONOCER POR UNIDAD ADMINISTRATIVA DE LA SECRETARÍA GENERAL DE GOBIERNO EL NÚMERO DE SERVIDORES PÚBLICOS SUSCEPTIBLES A PAGO DE ESTÍMULO POR PUNTUALIDAD Y ASISTENCIA PERFECTA A PARTIR DE ENERO DE 2021.</w:t>
      </w:r>
      <w:r w:rsidRPr="002F081A">
        <w:rPr>
          <w:rFonts w:ascii="Palatino Linotype" w:hAnsi="Palatino Linotype"/>
          <w:i/>
          <w:color w:val="000000"/>
          <w:sz w:val="22"/>
          <w:szCs w:val="22"/>
        </w:rPr>
        <w:t>” (Sic)</w:t>
      </w:r>
    </w:p>
    <w:p w:rsidR="002E5396" w:rsidRPr="00080788" w:rsidRDefault="002E5396" w:rsidP="002E5396">
      <w:pPr>
        <w:spacing w:line="360" w:lineRule="auto"/>
        <w:jc w:val="both"/>
        <w:rPr>
          <w:rFonts w:ascii="Palatino Linotype" w:hAnsi="Palatino Linotype" w:cs="Arial"/>
          <w:b/>
        </w:rPr>
      </w:pPr>
      <w:r w:rsidRPr="00080788">
        <w:rPr>
          <w:rFonts w:ascii="Palatino Linotype" w:hAnsi="Palatino Linotype" w:cs="Arial"/>
          <w:b/>
        </w:rPr>
        <w:t>b) Motivos de inconformidad.</w:t>
      </w:r>
    </w:p>
    <w:p w:rsidR="002E5396" w:rsidRPr="002F081A" w:rsidRDefault="00EC5F74" w:rsidP="00BF5449">
      <w:pPr>
        <w:spacing w:after="240"/>
        <w:ind w:left="851" w:right="900"/>
        <w:jc w:val="both"/>
        <w:rPr>
          <w:rFonts w:ascii="Palatino Linotype" w:hAnsi="Palatino Linotype"/>
          <w:i/>
          <w:color w:val="000000"/>
          <w:sz w:val="22"/>
          <w:szCs w:val="22"/>
        </w:rPr>
      </w:pPr>
      <w:r w:rsidRPr="002F081A">
        <w:rPr>
          <w:rFonts w:ascii="Palatino Linotype" w:hAnsi="Palatino Linotype"/>
          <w:i/>
          <w:color w:val="000000"/>
          <w:sz w:val="22"/>
          <w:szCs w:val="22"/>
        </w:rPr>
        <w:lastRenderedPageBreak/>
        <w:t>“</w:t>
      </w:r>
      <w:r w:rsidR="00470F62" w:rsidRPr="00470F62">
        <w:rPr>
          <w:rFonts w:ascii="Palatino Linotype" w:hAnsi="Palatino Linotype"/>
          <w:i/>
          <w:color w:val="000000"/>
          <w:sz w:val="22"/>
          <w:szCs w:val="22"/>
        </w:rPr>
        <w:t>La información recibida está incompleta por lo que solicito amablemente se integre debidamente la hoja -1- del oficio número 20500006010000S/611/2021 emitido por la Ing. Guillermina García Sánchez, Directora de Administración de Personal y Modernización Administrativa.</w:t>
      </w:r>
      <w:r w:rsidRPr="002F081A">
        <w:rPr>
          <w:rFonts w:ascii="Palatino Linotype" w:hAnsi="Palatino Linotype"/>
          <w:i/>
          <w:color w:val="000000"/>
          <w:sz w:val="22"/>
          <w:szCs w:val="22"/>
        </w:rPr>
        <w:t>”</w:t>
      </w:r>
      <w:r w:rsidR="002E5396" w:rsidRPr="002F081A">
        <w:rPr>
          <w:rFonts w:ascii="Palatino Linotype" w:hAnsi="Palatino Linotype"/>
          <w:i/>
          <w:color w:val="000000"/>
          <w:sz w:val="22"/>
          <w:szCs w:val="22"/>
        </w:rPr>
        <w:t xml:space="preserve"> (Sic)</w:t>
      </w:r>
    </w:p>
    <w:p w:rsidR="003B19DA" w:rsidRDefault="00EC5F74" w:rsidP="003B19DA">
      <w:pPr>
        <w:spacing w:before="240" w:after="240" w:line="360" w:lineRule="auto"/>
        <w:contextualSpacing/>
        <w:jc w:val="both"/>
        <w:rPr>
          <w:rFonts w:ascii="Palatino Linotype" w:eastAsia="Calibri" w:hAnsi="Palatino Linotype" w:cs="Arial"/>
        </w:rPr>
      </w:pPr>
      <w:r>
        <w:rPr>
          <w:rFonts w:ascii="Palatino Linotype" w:hAnsi="Palatino Linotype"/>
          <w:b/>
        </w:rPr>
        <w:t>4</w:t>
      </w:r>
      <w:r w:rsidR="002E5396" w:rsidRPr="00080788">
        <w:rPr>
          <w:rFonts w:ascii="Palatino Linotype" w:hAnsi="Palatino Linotype"/>
          <w:b/>
        </w:rPr>
        <w:t xml:space="preserve">. Turno. </w:t>
      </w:r>
      <w:r w:rsidR="003B19DA" w:rsidRPr="00911351">
        <w:rPr>
          <w:rFonts w:ascii="Palatino Linotype" w:hAnsi="Palatino Linotype"/>
        </w:rPr>
        <w:t xml:space="preserve">De conformidad con el artículo 185, fracción I de la </w:t>
      </w:r>
      <w:r w:rsidR="003B19DA" w:rsidRPr="00911351">
        <w:rPr>
          <w:rFonts w:ascii="Palatino Linotype" w:hAnsi="Palatino Linotype" w:cs="Arial"/>
        </w:rPr>
        <w:t xml:space="preserve">Ley de Transparencia y Acceso a la Información Pública del Estado de México y Municipios, el recurso de revisión número </w:t>
      </w:r>
      <w:r>
        <w:rPr>
          <w:rFonts w:ascii="Palatino Linotype" w:hAnsi="Palatino Linotype" w:cs="Arial"/>
          <w:b/>
        </w:rPr>
        <w:t>0</w:t>
      </w:r>
      <w:r w:rsidR="00470F62">
        <w:rPr>
          <w:rFonts w:ascii="Palatino Linotype" w:hAnsi="Palatino Linotype" w:cs="Arial"/>
          <w:b/>
        </w:rPr>
        <w:t>5789</w:t>
      </w:r>
      <w:r w:rsidR="002A6F11">
        <w:rPr>
          <w:rFonts w:ascii="Palatino Linotype" w:hAnsi="Palatino Linotype" w:cs="Arial"/>
          <w:b/>
        </w:rPr>
        <w:t>/INFOEM/IP/RR/2021</w:t>
      </w:r>
      <w:r w:rsidR="003B19DA">
        <w:rPr>
          <w:rFonts w:ascii="Palatino Linotype" w:hAnsi="Palatino Linotype" w:cs="Arial"/>
          <w:b/>
        </w:rPr>
        <w:t xml:space="preserve">, </w:t>
      </w:r>
      <w:r w:rsidR="003B19DA" w:rsidRPr="00553FFC">
        <w:rPr>
          <w:rFonts w:ascii="Palatino Linotype" w:eastAsia="Calibri" w:hAnsi="Palatino Linotype" w:cs="Arial"/>
        </w:rPr>
        <w:t xml:space="preserve">se turnó por el sistema electrónico del Instituto de Transparencia, Acceso a la Información Pública y Protección de Datos Personales del Estado de México y Municipios, </w:t>
      </w:r>
      <w:r w:rsidR="00C6202E">
        <w:rPr>
          <w:rFonts w:ascii="Palatino Linotype" w:hAnsi="Palatino Linotype" w:cs="Arial"/>
        </w:rPr>
        <w:t xml:space="preserve">a la </w:t>
      </w:r>
      <w:r w:rsidR="00C6202E">
        <w:rPr>
          <w:rFonts w:ascii="Palatino Linotype" w:eastAsia="Calibri" w:hAnsi="Palatino Linotype" w:cs="Arial"/>
        </w:rPr>
        <w:t>Comisionada</w:t>
      </w:r>
      <w:r w:rsidR="003B19DA" w:rsidRPr="00553FFC">
        <w:rPr>
          <w:rFonts w:ascii="Palatino Linotype" w:eastAsia="Calibri" w:hAnsi="Palatino Linotype" w:cs="Arial"/>
        </w:rPr>
        <w:t xml:space="preserve"> </w:t>
      </w:r>
      <w:r w:rsidR="00C6202E">
        <w:rPr>
          <w:rFonts w:ascii="Palatino Linotype" w:eastAsia="Calibri" w:hAnsi="Palatino Linotype" w:cs="Arial"/>
          <w:b/>
        </w:rPr>
        <w:t>Guadalupe Ramírez Peña</w:t>
      </w:r>
      <w:r w:rsidR="003B19DA" w:rsidRPr="00911351">
        <w:rPr>
          <w:rFonts w:ascii="Palatino Linotype" w:hAnsi="Palatino Linotype"/>
        </w:rPr>
        <w:t xml:space="preserve">, </w:t>
      </w:r>
      <w:r w:rsidR="003B19DA" w:rsidRPr="009F7D9F">
        <w:rPr>
          <w:rFonts w:ascii="Palatino Linotype" w:hAnsi="Palatino Linotype" w:cs="Arial"/>
        </w:rPr>
        <w:t xml:space="preserve">para su análisis, estudio, elaboración del proyecto y </w:t>
      </w:r>
      <w:r w:rsidR="003B19DA" w:rsidRPr="009F7D9F">
        <w:rPr>
          <w:rFonts w:ascii="Palatino Linotype" w:eastAsia="Calibri" w:hAnsi="Palatino Linotype" w:cs="Arial"/>
        </w:rPr>
        <w:t xml:space="preserve">presentación </w:t>
      </w:r>
      <w:r w:rsidR="003B19DA">
        <w:rPr>
          <w:rFonts w:ascii="Palatino Linotype" w:eastAsia="Calibri" w:hAnsi="Palatino Linotype" w:cs="Arial"/>
        </w:rPr>
        <w:t>ante el Pleno de este Instituto.</w:t>
      </w:r>
    </w:p>
    <w:p w:rsidR="00E4481D" w:rsidRDefault="00E4481D" w:rsidP="002E5396">
      <w:pPr>
        <w:spacing w:before="240" w:after="240" w:line="360" w:lineRule="auto"/>
        <w:contextualSpacing/>
        <w:jc w:val="both"/>
        <w:rPr>
          <w:rFonts w:ascii="Palatino Linotype" w:hAnsi="Palatino Linotype"/>
        </w:rPr>
      </w:pPr>
    </w:p>
    <w:p w:rsidR="002E5396" w:rsidRPr="00080788" w:rsidRDefault="00EC5F74" w:rsidP="002E5396">
      <w:pPr>
        <w:spacing w:before="240" w:after="240" w:line="360" w:lineRule="auto"/>
        <w:contextualSpacing/>
        <w:jc w:val="both"/>
        <w:rPr>
          <w:rFonts w:ascii="Palatino Linotype" w:hAnsi="Palatino Linotype" w:cs="Arial"/>
        </w:rPr>
      </w:pPr>
      <w:r>
        <w:rPr>
          <w:rFonts w:ascii="Palatino Linotype" w:hAnsi="Palatino Linotype" w:cs="Arial"/>
          <w:b/>
        </w:rPr>
        <w:t>5</w:t>
      </w:r>
      <w:r w:rsidR="002E5396" w:rsidRPr="00080788">
        <w:rPr>
          <w:rFonts w:ascii="Palatino Linotype" w:hAnsi="Palatino Linotype" w:cs="Arial"/>
          <w:b/>
        </w:rPr>
        <w:t xml:space="preserve">. Admisión del recurso de revisión: </w:t>
      </w:r>
      <w:r>
        <w:rPr>
          <w:rFonts w:ascii="Palatino Linotype" w:hAnsi="Palatino Linotype" w:cs="Arial"/>
        </w:rPr>
        <w:t xml:space="preserve">En fecha </w:t>
      </w:r>
      <w:r w:rsidR="00470F62">
        <w:rPr>
          <w:rFonts w:ascii="Palatino Linotype" w:hAnsi="Palatino Linotype" w:cs="Arial"/>
        </w:rPr>
        <w:t>veinticinco</w:t>
      </w:r>
      <w:r w:rsidR="00763D10">
        <w:rPr>
          <w:rFonts w:ascii="Palatino Linotype" w:hAnsi="Palatino Linotype" w:cs="Arial"/>
        </w:rPr>
        <w:t xml:space="preserve"> de </w:t>
      </w:r>
      <w:r w:rsidR="00470F62">
        <w:rPr>
          <w:rFonts w:ascii="Palatino Linotype" w:hAnsi="Palatino Linotype" w:cs="Arial"/>
        </w:rPr>
        <w:t>noviembre</w:t>
      </w:r>
      <w:r w:rsidR="00763D10">
        <w:rPr>
          <w:rFonts w:ascii="Palatino Linotype" w:hAnsi="Palatino Linotype" w:cs="Arial"/>
        </w:rPr>
        <w:t xml:space="preserve"> de</w:t>
      </w:r>
      <w:r w:rsidR="00E97D16">
        <w:rPr>
          <w:rFonts w:ascii="Palatino Linotype" w:hAnsi="Palatino Linotype" w:cs="Arial"/>
        </w:rPr>
        <w:t>l dos mil veintiuno</w:t>
      </w:r>
      <w:r w:rsidR="00E578F2">
        <w:rPr>
          <w:rFonts w:ascii="Palatino Linotype" w:hAnsi="Palatino Linotype" w:cs="Arial"/>
        </w:rPr>
        <w:t>, la Comisionada</w:t>
      </w:r>
      <w:r w:rsidR="002E5396" w:rsidRPr="00080788">
        <w:rPr>
          <w:rFonts w:ascii="Palatino Linotype" w:hAnsi="Palatino Linotype" w:cs="Arial"/>
        </w:rPr>
        <w:t xml:space="preserve">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1A51C8" w:rsidRDefault="001A51C8" w:rsidP="001A51C8">
      <w:pPr>
        <w:spacing w:after="240" w:line="360" w:lineRule="auto"/>
        <w:contextualSpacing/>
        <w:jc w:val="both"/>
        <w:rPr>
          <w:rFonts w:ascii="Palatino Linotype" w:hAnsi="Palatino Linotype" w:cs="Arial"/>
          <w:b/>
        </w:rPr>
      </w:pPr>
    </w:p>
    <w:p w:rsidR="001A51C8" w:rsidRDefault="00EC5F74" w:rsidP="001A51C8">
      <w:pPr>
        <w:spacing w:after="240" w:line="360" w:lineRule="auto"/>
        <w:contextualSpacing/>
        <w:jc w:val="both"/>
        <w:rPr>
          <w:rFonts w:ascii="Palatino Linotype" w:hAnsi="Palatino Linotype" w:cs="Arial"/>
        </w:rPr>
      </w:pPr>
      <w:r>
        <w:rPr>
          <w:rFonts w:ascii="Palatino Linotype" w:hAnsi="Palatino Linotype" w:cs="Arial"/>
          <w:b/>
        </w:rPr>
        <w:t>6</w:t>
      </w:r>
      <w:r w:rsidR="002E5396" w:rsidRPr="00080788">
        <w:rPr>
          <w:rFonts w:ascii="Palatino Linotype" w:hAnsi="Palatino Linotype" w:cs="Arial"/>
          <w:b/>
        </w:rPr>
        <w:t>. Manifestaciones</w:t>
      </w:r>
      <w:r w:rsidR="002E5396" w:rsidRPr="00080788">
        <w:rPr>
          <w:rFonts w:ascii="Palatino Linotype" w:hAnsi="Palatino Linotype" w:cs="Arial"/>
        </w:rPr>
        <w:t>:</w:t>
      </w:r>
      <w:r w:rsidR="002F081A">
        <w:rPr>
          <w:rFonts w:ascii="Palatino Linotype" w:hAnsi="Palatino Linotype" w:cs="Arial"/>
        </w:rPr>
        <w:t xml:space="preserve"> </w:t>
      </w:r>
      <w:r w:rsidR="001A51C8">
        <w:rPr>
          <w:rFonts w:ascii="Palatino Linotype" w:hAnsi="Palatino Linotype" w:cs="Arial"/>
        </w:rPr>
        <w:t>De las constancias que integran el expediente en que se actúa se advierte que la parte recurrente fue omisa en presentar alegatos o manifestación alguna.</w:t>
      </w:r>
    </w:p>
    <w:p w:rsidR="001A51C8" w:rsidRDefault="001A51C8" w:rsidP="001A51C8">
      <w:pPr>
        <w:spacing w:after="240" w:line="360" w:lineRule="auto"/>
        <w:contextualSpacing/>
        <w:jc w:val="both"/>
        <w:rPr>
          <w:rFonts w:ascii="Palatino Linotype" w:hAnsi="Palatino Linotype" w:cs="Arial"/>
        </w:rPr>
      </w:pPr>
    </w:p>
    <w:p w:rsidR="001A51C8" w:rsidRPr="00A659D6" w:rsidRDefault="001A51C8" w:rsidP="001A51C8">
      <w:pPr>
        <w:spacing w:after="240" w:line="360" w:lineRule="auto"/>
        <w:contextualSpacing/>
        <w:jc w:val="both"/>
        <w:rPr>
          <w:rFonts w:ascii="Palatino Linotype" w:hAnsi="Palatino Linotype" w:cs="Arial"/>
        </w:rPr>
      </w:pPr>
      <w:r w:rsidRPr="00A659D6">
        <w:rPr>
          <w:rFonts w:ascii="Palatino Linotype" w:hAnsi="Palatino Linotype" w:cs="Arial"/>
        </w:rPr>
        <w:t xml:space="preserve">Por su parte el Sujeto Obligado en fecha </w:t>
      </w:r>
      <w:r w:rsidR="00470F62">
        <w:rPr>
          <w:rFonts w:ascii="Palatino Linotype" w:hAnsi="Palatino Linotype" w:cs="Arial"/>
        </w:rPr>
        <w:t>treinta</w:t>
      </w:r>
      <w:r w:rsidRPr="00A659D6">
        <w:rPr>
          <w:rFonts w:ascii="Palatino Linotype" w:hAnsi="Palatino Linotype" w:cs="Arial"/>
        </w:rPr>
        <w:t xml:space="preserve"> </w:t>
      </w:r>
      <w:r w:rsidR="00470F62">
        <w:rPr>
          <w:rFonts w:ascii="Palatino Linotype" w:hAnsi="Palatino Linotype" w:cs="Arial"/>
        </w:rPr>
        <w:t>de noviembre</w:t>
      </w:r>
      <w:r>
        <w:rPr>
          <w:rFonts w:ascii="Palatino Linotype" w:hAnsi="Palatino Linotype" w:cs="Arial"/>
        </w:rPr>
        <w:t xml:space="preserve"> </w:t>
      </w:r>
      <w:r w:rsidRPr="00A659D6">
        <w:rPr>
          <w:rFonts w:ascii="Palatino Linotype" w:hAnsi="Palatino Linotype" w:cs="Arial"/>
        </w:rPr>
        <w:t>del año dos mil veintiuno,</w:t>
      </w:r>
      <w:r>
        <w:rPr>
          <w:rFonts w:ascii="Palatino Linotype" w:hAnsi="Palatino Linotype" w:cs="Arial"/>
        </w:rPr>
        <w:t xml:space="preserve"> remitió el archivo electrónico siguiente</w:t>
      </w:r>
      <w:r w:rsidRPr="00A659D6">
        <w:rPr>
          <w:rFonts w:ascii="Palatino Linotype" w:hAnsi="Palatino Linotype" w:cs="Arial"/>
        </w:rPr>
        <w:t>: “</w:t>
      </w:r>
      <w:hyperlink r:id="rId8" w:history="1">
        <w:r w:rsidR="00470F62" w:rsidRPr="00392DEB">
          <w:rPr>
            <w:rFonts w:ascii="Palatino Linotype" w:hAnsi="Palatino Linotype" w:cs="Arial"/>
          </w:rPr>
          <w:br/>
          <w:t>Informe de Justificación 00320-2021.pdf</w:t>
        </w:r>
      </w:hyperlink>
      <w:r w:rsidR="00470F62" w:rsidRPr="00392DEB">
        <w:rPr>
          <w:rFonts w:ascii="Palatino Linotype" w:hAnsi="Palatino Linotype" w:cs="Arial"/>
        </w:rPr>
        <w:t xml:space="preserve">”, </w:t>
      </w:r>
      <w:r>
        <w:rPr>
          <w:rFonts w:ascii="Palatino Linotype" w:hAnsi="Palatino Linotype" w:cs="Arial"/>
        </w:rPr>
        <w:t xml:space="preserve">archivo electrónico que en fecha </w:t>
      </w:r>
      <w:r w:rsidR="00786399">
        <w:rPr>
          <w:rFonts w:ascii="Palatino Linotype" w:hAnsi="Palatino Linotype" w:cs="Arial"/>
        </w:rPr>
        <w:t>siete de diciembre</w:t>
      </w:r>
      <w:r>
        <w:rPr>
          <w:rFonts w:ascii="Palatino Linotype" w:hAnsi="Palatino Linotype" w:cs="Arial"/>
        </w:rPr>
        <w:t xml:space="preserve"> del dos mil veintiuno, se puso a la vista del recurrente, </w:t>
      </w:r>
      <w:r w:rsidRPr="00A659D6">
        <w:rPr>
          <w:rFonts w:ascii="Palatino Linotype" w:hAnsi="Palatino Linotype" w:cs="Arial"/>
        </w:rPr>
        <w:t xml:space="preserve">en términos de la </w:t>
      </w:r>
      <w:r w:rsidRPr="00A659D6">
        <w:rPr>
          <w:rFonts w:ascii="Palatino Linotype" w:hAnsi="Palatino Linotype" w:cs="Arial"/>
        </w:rPr>
        <w:lastRenderedPageBreak/>
        <w:t>fracción III del artículo 185 de la Ley de Transparencia y Acceso a la Información Pública del Estado de México y Municipios</w:t>
      </w:r>
      <w:r>
        <w:rPr>
          <w:rFonts w:ascii="Palatino Linotype" w:hAnsi="Palatino Linotype" w:cs="Arial"/>
        </w:rPr>
        <w:t>; para que en el término de tres días manifestara lo que a su derecho convenga respecto de la</w:t>
      </w:r>
      <w:r w:rsidR="00786399">
        <w:rPr>
          <w:rFonts w:ascii="Palatino Linotype" w:hAnsi="Palatino Linotype" w:cs="Arial"/>
        </w:rPr>
        <w:t xml:space="preserve">s aportaciones novedosas a la </w:t>
      </w:r>
      <w:r>
        <w:rPr>
          <w:rFonts w:ascii="Palatino Linotype" w:hAnsi="Palatino Linotype" w:cs="Arial"/>
        </w:rPr>
        <w:t>respuesta; sin que el recurrente hiciera manifestación alguna.</w:t>
      </w:r>
    </w:p>
    <w:p w:rsidR="003B19DA" w:rsidRDefault="00205EF0" w:rsidP="001A51C8">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rPr>
      </w:pPr>
      <w:r>
        <w:rPr>
          <w:rFonts w:ascii="Palatino Linotype" w:hAnsi="Palatino Linotype" w:cs="Arial"/>
          <w:b/>
          <w:sz w:val="24"/>
          <w:szCs w:val="24"/>
        </w:rPr>
        <w:t>7</w:t>
      </w:r>
      <w:r w:rsidR="003B19DA" w:rsidRPr="006A7EE4">
        <w:rPr>
          <w:rFonts w:ascii="Palatino Linotype" w:hAnsi="Palatino Linotype" w:cs="Arial"/>
          <w:b/>
          <w:sz w:val="24"/>
          <w:szCs w:val="24"/>
        </w:rPr>
        <w:t>. Cierre de instrucción</w:t>
      </w:r>
      <w:r w:rsidR="003B19DA" w:rsidRPr="006A7EE4">
        <w:rPr>
          <w:rFonts w:ascii="Palatino Linotype" w:hAnsi="Palatino Linotype" w:cs="Arial"/>
          <w:sz w:val="24"/>
          <w:szCs w:val="24"/>
        </w:rPr>
        <w:t xml:space="preserve">. En </w:t>
      </w:r>
      <w:r w:rsidR="00771004" w:rsidRPr="006A7EE4">
        <w:rPr>
          <w:rFonts w:ascii="Palatino Linotype" w:hAnsi="Palatino Linotype" w:cs="Arial"/>
          <w:sz w:val="24"/>
          <w:szCs w:val="24"/>
        </w:rPr>
        <w:t xml:space="preserve">fecha </w:t>
      </w:r>
      <w:r w:rsidR="00786399">
        <w:rPr>
          <w:rFonts w:ascii="Palatino Linotype" w:hAnsi="Palatino Linotype" w:cs="Arial"/>
          <w:sz w:val="24"/>
          <w:szCs w:val="24"/>
        </w:rPr>
        <w:t>trece</w:t>
      </w:r>
      <w:r w:rsidR="00AE2FE4">
        <w:rPr>
          <w:rFonts w:ascii="Palatino Linotype" w:hAnsi="Palatino Linotype" w:cs="Arial"/>
          <w:sz w:val="24"/>
          <w:szCs w:val="24"/>
        </w:rPr>
        <w:t xml:space="preserve"> de diciembre</w:t>
      </w:r>
      <w:r w:rsidR="003347C3">
        <w:rPr>
          <w:rFonts w:ascii="Palatino Linotype" w:hAnsi="Palatino Linotype" w:cs="Arial"/>
          <w:sz w:val="24"/>
          <w:szCs w:val="24"/>
        </w:rPr>
        <w:t xml:space="preserve"> del dos mil veintiuno</w:t>
      </w:r>
      <w:r w:rsidR="00AE2FE4">
        <w:rPr>
          <w:rFonts w:ascii="Palatino Linotype" w:hAnsi="Palatino Linotype" w:cs="Arial"/>
          <w:sz w:val="24"/>
          <w:szCs w:val="24"/>
        </w:rPr>
        <w:t xml:space="preserve"> la Comisionada</w:t>
      </w:r>
      <w:r w:rsidR="003B19DA" w:rsidRPr="006A7EE4">
        <w:rPr>
          <w:rFonts w:ascii="Palatino Linotype" w:hAnsi="Palatino Linotype" w:cs="Arial"/>
          <w:sz w:val="24"/>
          <w:szCs w:val="24"/>
        </w:rPr>
        <w:t xml:space="preserve"> ponente determinó el cierre de instrucción en términos de la fracción VI del artículo 185 de la Ley de Transparencia y Acceso a la Información Pública del </w:t>
      </w:r>
      <w:r w:rsidR="003B19DA" w:rsidRPr="00763D10">
        <w:rPr>
          <w:rFonts w:ascii="Palatino Linotype" w:hAnsi="Palatino Linotype" w:cs="Arial"/>
          <w:sz w:val="24"/>
          <w:szCs w:val="24"/>
        </w:rPr>
        <w:t>Estado de México y Municipios.</w:t>
      </w:r>
    </w:p>
    <w:p w:rsidR="0071726B" w:rsidRPr="004E377A" w:rsidRDefault="0071726B" w:rsidP="0071726B">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sz w:val="24"/>
          <w:szCs w:val="24"/>
        </w:rPr>
      </w:pPr>
      <w:r w:rsidRPr="004E377A">
        <w:rPr>
          <w:rFonts w:ascii="Palatino Linotype" w:hAnsi="Palatino Linotype" w:cs="Arial"/>
          <w:b/>
          <w:sz w:val="24"/>
          <w:szCs w:val="24"/>
        </w:rPr>
        <w:t>8.-</w:t>
      </w:r>
      <w:r w:rsidRPr="004E377A">
        <w:rPr>
          <w:rFonts w:ascii="Palatino Linotype" w:hAnsi="Palatino Linotype" w:cs="Arial"/>
          <w:sz w:val="24"/>
          <w:szCs w:val="24"/>
        </w:rPr>
        <w:t xml:space="preserve"> </w:t>
      </w:r>
      <w:r w:rsidRPr="004E377A">
        <w:rPr>
          <w:rFonts w:ascii="Palatino Linotype" w:hAnsi="Palatino Linotype" w:cs="Arial"/>
          <w:b/>
          <w:sz w:val="24"/>
          <w:szCs w:val="24"/>
        </w:rPr>
        <w:t>Ampliación del plazo.</w:t>
      </w:r>
      <w:r w:rsidRPr="004E377A">
        <w:rPr>
          <w:rFonts w:ascii="Palatino Linotype" w:hAnsi="Palatino Linotype" w:cs="Arial"/>
          <w:sz w:val="24"/>
          <w:szCs w:val="24"/>
        </w:rPr>
        <w:t xml:space="preserve"> En fecha</w:t>
      </w:r>
      <w:r w:rsidR="00786399">
        <w:rPr>
          <w:rFonts w:ascii="Palatino Linotype" w:hAnsi="Palatino Linotype" w:cs="Arial"/>
          <w:sz w:val="24"/>
          <w:szCs w:val="24"/>
        </w:rPr>
        <w:t xml:space="preserve"> veinticinco de enero</w:t>
      </w:r>
      <w:r w:rsidRPr="004E377A">
        <w:rPr>
          <w:rFonts w:ascii="Palatino Linotype" w:hAnsi="Palatino Linotype" w:cs="Arial"/>
          <w:sz w:val="24"/>
          <w:szCs w:val="24"/>
        </w:rPr>
        <w:t xml:space="preserve"> del año dos mil </w:t>
      </w:r>
      <w:r w:rsidR="00786399">
        <w:rPr>
          <w:rFonts w:ascii="Palatino Linotype" w:hAnsi="Palatino Linotype" w:cs="Arial"/>
          <w:bCs/>
          <w:sz w:val="24"/>
          <w:szCs w:val="24"/>
        </w:rPr>
        <w:t>veintidós</w:t>
      </w:r>
      <w:r w:rsidRPr="004E377A">
        <w:rPr>
          <w:rFonts w:ascii="Palatino Linotype" w:hAnsi="Palatino Linotype" w:cs="Arial"/>
          <w:bCs/>
          <w:sz w:val="24"/>
          <w:szCs w:val="24"/>
        </w:rPr>
        <w:t>,</w:t>
      </w:r>
      <w:r w:rsidRPr="004E377A">
        <w:rPr>
          <w:rFonts w:ascii="Palatino Linotype" w:hAnsi="Palatino Linotype" w:cs="Arial"/>
          <w:sz w:val="24"/>
          <w:szCs w:val="24"/>
        </w:rPr>
        <w:t xml:space="preserve"> con fundamento en el artículo 181, párrafo tercero de la Ley de Transparencia y Acceso a la Información Pública del Estado de México y Municipios, se acordó la ampliación del plazo para su resolución</w:t>
      </w:r>
      <w:r>
        <w:rPr>
          <w:rFonts w:ascii="Palatino Linotype" w:hAnsi="Palatino Linotype" w:cs="Arial"/>
          <w:sz w:val="24"/>
          <w:szCs w:val="24"/>
        </w:rPr>
        <w:t>.</w:t>
      </w:r>
    </w:p>
    <w:p w:rsidR="002E5396" w:rsidRPr="00080788" w:rsidRDefault="002E5396" w:rsidP="00266653">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080788">
        <w:rPr>
          <w:rFonts w:ascii="Palatino Linotype" w:hAnsi="Palatino Linotype" w:cs="Arial"/>
          <w:b/>
          <w:sz w:val="24"/>
          <w:szCs w:val="24"/>
        </w:rPr>
        <w:t>C O N S I D E R A N D O:</w:t>
      </w:r>
    </w:p>
    <w:p w:rsidR="002E5396" w:rsidRPr="00080788" w:rsidRDefault="002E5396" w:rsidP="002E5396">
      <w:pPr>
        <w:spacing w:before="240" w:after="240" w:line="360" w:lineRule="auto"/>
        <w:jc w:val="both"/>
        <w:rPr>
          <w:rFonts w:ascii="Palatino Linotype" w:hAnsi="Palatino Linotype"/>
          <w:shd w:val="clear" w:color="auto" w:fill="FFFFFF"/>
        </w:rPr>
      </w:pPr>
      <w:r w:rsidRPr="00080788">
        <w:rPr>
          <w:rFonts w:ascii="Palatino Linotype" w:hAnsi="Palatino Linotype" w:cs="Arial"/>
          <w:b/>
        </w:rPr>
        <w:t xml:space="preserve">Primero. Competencia. </w:t>
      </w:r>
      <w:r w:rsidRPr="00080788">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266653">
        <w:rPr>
          <w:rFonts w:ascii="Palatino Linotype" w:hAnsi="Palatino Linotype"/>
          <w:shd w:val="clear" w:color="auto" w:fill="FFFFFF"/>
        </w:rPr>
        <w:t>trigésimo, trigésimo primero y trigésimo segundo</w:t>
      </w:r>
      <w:r w:rsidRPr="00080788">
        <w:rPr>
          <w:rFonts w:ascii="Palatino Linotype" w:hAnsi="Palatino Linotype"/>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Municipios;</w:t>
      </w:r>
      <w:r w:rsidRPr="00080788">
        <w:rPr>
          <w:rStyle w:val="apple-converted-space"/>
          <w:rFonts w:ascii="Palatino Linotype" w:hAnsi="Palatino Linotype"/>
          <w:shd w:val="clear" w:color="auto" w:fill="FFFFFF"/>
        </w:rPr>
        <w:t xml:space="preserve"> </w:t>
      </w:r>
      <w:r w:rsidRPr="00080788">
        <w:rPr>
          <w:rFonts w:ascii="Palatino Linotype" w:hAnsi="Palatino Linotype" w:cs="Arial"/>
        </w:rPr>
        <w:t xml:space="preserve">9, fracciones I y XXIV y 11 </w:t>
      </w:r>
      <w:r w:rsidRPr="00080788">
        <w:rPr>
          <w:rFonts w:ascii="Palatino Linotype" w:hAnsi="Palatino Linotype"/>
          <w:shd w:val="clear" w:color="auto" w:fill="FFFFFF"/>
        </w:rPr>
        <w:lastRenderedPageBreak/>
        <w:t>del Reglamento Interior del Instituto de Transparencia, Acceso a la Información Pública y Protección de Datos Personales del Estado de México y Municipios.</w:t>
      </w:r>
    </w:p>
    <w:p w:rsidR="00786399" w:rsidRDefault="00786399" w:rsidP="00786399">
      <w:pPr>
        <w:spacing w:before="240" w:after="240" w:line="360" w:lineRule="auto"/>
        <w:jc w:val="both"/>
        <w:rPr>
          <w:rFonts w:ascii="Palatino Linotype" w:eastAsia="Palatino Linotype" w:hAnsi="Palatino Linotype" w:cs="Palatino Linotype"/>
        </w:rPr>
      </w:pPr>
      <w:r w:rsidRPr="00080788">
        <w:rPr>
          <w:rFonts w:ascii="Palatino Linotype" w:hAnsi="Palatino Linotype" w:cs="Arial"/>
          <w:b/>
        </w:rPr>
        <w:t>Segundo. Oportunidad y Procedibilidad del Recurso de Revisión</w:t>
      </w:r>
      <w:r w:rsidRPr="00080788">
        <w:rPr>
          <w:rFonts w:ascii="Palatino Linotype" w:hAnsi="Palatino Linotype" w:cs="Arial"/>
        </w:rPr>
        <w:t>. De conformidad con los requisitos de Oportu</w:t>
      </w:r>
      <w:r>
        <w:rPr>
          <w:rFonts w:ascii="Palatino Linotype" w:hAnsi="Palatino Linotype" w:cs="Arial"/>
        </w:rPr>
        <w:t>nidad y Procedibilidad que debe reunir el recurso de revisión interpuesto</w:t>
      </w:r>
      <w:r w:rsidRPr="00080788">
        <w:rPr>
          <w:rFonts w:ascii="Palatino Linotype" w:hAnsi="Palatino Linotype" w:cs="Arial"/>
        </w:rPr>
        <w:t xml:space="preserve">, previstos en los artículos 178 y 180 de la </w:t>
      </w:r>
      <w:r w:rsidRPr="00080788">
        <w:rPr>
          <w:rFonts w:ascii="Palatino Linotype" w:hAnsi="Palatino Linotype" w:cs="Arial"/>
          <w:lang w:eastAsia="es-MX"/>
        </w:rPr>
        <w:t xml:space="preserve">Ley de Transparencia y Acceso a la Información Pública del Estado de México y Municipios; </w:t>
      </w:r>
      <w:r>
        <w:rPr>
          <w:rFonts w:ascii="Palatino Linotype" w:hAnsi="Palatino Linotype" w:cs="Arial"/>
          <w:lang w:eastAsia="es-MX"/>
        </w:rPr>
        <w:t>en la especie se advierte que el</w:t>
      </w:r>
      <w:r w:rsidRPr="00080788">
        <w:rPr>
          <w:rFonts w:ascii="Palatino Linotype" w:hAnsi="Palatino Linotype" w:cs="Arial"/>
          <w:lang w:eastAsia="es-MX"/>
        </w:rPr>
        <w:t xml:space="preserve"> presente medio de impugnación fue interpuesto dentro del plazo de quince días previsto en el primer artículo de referencia; toda vez que el </w:t>
      </w:r>
      <w:r w:rsidRPr="00592700">
        <w:rPr>
          <w:rFonts w:ascii="Palatino Linotype" w:hAnsi="Palatino Linotype" w:cs="Arial"/>
          <w:b/>
          <w:lang w:eastAsia="es-MX"/>
        </w:rPr>
        <w:t>SUJETO OBLIGADO</w:t>
      </w:r>
      <w:r w:rsidRPr="00080788">
        <w:rPr>
          <w:rFonts w:ascii="Palatino Linotype" w:hAnsi="Palatino Linotype" w:cs="Arial"/>
          <w:lang w:eastAsia="es-MX"/>
        </w:rPr>
        <w:t xml:space="preserve"> emitió su respuesta a la solicitud planteada </w:t>
      </w:r>
      <w:r>
        <w:rPr>
          <w:rFonts w:ascii="Palatino Linotype" w:hAnsi="Palatino Linotype" w:cs="Arial"/>
          <w:lang w:eastAsia="es-MX"/>
        </w:rPr>
        <w:t>por la solicitante en fecha dieciocho de noviembre del año dos mil veintiuno</w:t>
      </w:r>
      <w:r w:rsidRPr="00080788">
        <w:rPr>
          <w:rFonts w:ascii="Palatino Linotype" w:hAnsi="Palatino Linotype" w:cs="Arial"/>
          <w:lang w:eastAsia="es-MX"/>
        </w:rPr>
        <w:t xml:space="preserve"> y </w:t>
      </w:r>
      <w:r>
        <w:rPr>
          <w:rFonts w:ascii="Palatino Linotype" w:hAnsi="Palatino Linotype" w:cs="Arial"/>
          <w:lang w:eastAsia="es-MX"/>
        </w:rPr>
        <w:t xml:space="preserve">el </w:t>
      </w:r>
      <w:r w:rsidRPr="00786399">
        <w:rPr>
          <w:rFonts w:ascii="Palatino Linotype" w:hAnsi="Palatino Linotype" w:cs="Arial"/>
          <w:b/>
          <w:lang w:eastAsia="es-MX"/>
        </w:rPr>
        <w:t>RECURRENTE</w:t>
      </w:r>
      <w:r w:rsidRPr="00080788">
        <w:rPr>
          <w:rFonts w:ascii="Palatino Linotype" w:hAnsi="Palatino Linotype" w:cs="Arial"/>
          <w:lang w:eastAsia="es-MX"/>
        </w:rPr>
        <w:t xml:space="preserve"> presentó </w:t>
      </w:r>
      <w:r>
        <w:rPr>
          <w:rFonts w:ascii="Palatino Linotype" w:hAnsi="Palatino Linotype" w:cs="Arial"/>
          <w:lang w:eastAsia="es-MX"/>
        </w:rPr>
        <w:t xml:space="preserve">su </w:t>
      </w:r>
      <w:r w:rsidRPr="00080788">
        <w:rPr>
          <w:rFonts w:ascii="Palatino Linotype" w:hAnsi="Palatino Linotype" w:cs="Arial"/>
          <w:lang w:eastAsia="es-MX"/>
        </w:rPr>
        <w:t>rec</w:t>
      </w:r>
      <w:r>
        <w:rPr>
          <w:rFonts w:ascii="Palatino Linotype" w:hAnsi="Palatino Linotype" w:cs="Arial"/>
          <w:lang w:eastAsia="es-MX"/>
        </w:rPr>
        <w:t xml:space="preserve">urso de revisión el veintidós del mismo mes y año, </w:t>
      </w:r>
      <w:r>
        <w:rPr>
          <w:rFonts w:ascii="Palatino Linotype" w:eastAsia="Palatino Linotype" w:hAnsi="Palatino Linotype" w:cs="Palatino Linotype"/>
        </w:rPr>
        <w:t>esto es al segundo día hábil siguiente de aquel en que tuvo conocimiento de la respuesta</w:t>
      </w:r>
      <w:r>
        <w:rPr>
          <w:rFonts w:ascii="Palatino Linotype" w:eastAsia="Palatino Linotype" w:hAnsi="Palatino Linotype" w:cs="Palatino Linotype"/>
          <w:highlight w:val="white"/>
        </w:rPr>
        <w:t>;</w:t>
      </w:r>
      <w:r>
        <w:rPr>
          <w:rFonts w:ascii="Palatino Linotype" w:eastAsia="Palatino Linotype" w:hAnsi="Palatino Linotype" w:cs="Palatino Linotype"/>
        </w:rPr>
        <w:t xml:space="preserve"> sin contabilizar los días sábado y domingo por ser días inhábiles, evidenciándose que la interposición del recurso se encuentra dentro de los márgenes temporales previstos en el citado precepto legal.</w:t>
      </w:r>
    </w:p>
    <w:p w:rsidR="00786399" w:rsidRDefault="00786399" w:rsidP="00786399">
      <w:pPr>
        <w:pStyle w:val="paragraph"/>
        <w:spacing w:before="0" w:beforeAutospacing="0" w:after="240" w:afterAutospacing="0" w:line="360" w:lineRule="auto"/>
        <w:ind w:right="-147"/>
        <w:contextualSpacing/>
        <w:jc w:val="both"/>
        <w:textAlignment w:val="baseline"/>
        <w:rPr>
          <w:rStyle w:val="normaltextrun"/>
          <w:rFonts w:ascii="Palatino Linotype" w:hAnsi="Palatino Linotype" w:cs="Segoe UI"/>
        </w:rPr>
      </w:pPr>
      <w:r w:rsidRPr="00FD07CE">
        <w:rPr>
          <w:rFonts w:ascii="Palatino Linotype" w:hAnsi="Palatino Linotype" w:cs="Arial"/>
        </w:rPr>
        <w:t xml:space="preserve">Así también, por </w:t>
      </w:r>
      <w:r w:rsidRPr="00080788">
        <w:rPr>
          <w:rFonts w:ascii="Palatino Linotype" w:hAnsi="Palatino Linotype" w:cs="Arial"/>
        </w:rPr>
        <w:t>cuanto hace a la procedibilidad del recurso de revisión una vez realizado el análisis del formato de interposición</w:t>
      </w:r>
      <w:r w:rsidRPr="00080788">
        <w:rPr>
          <w:rStyle w:val="normaltextrun"/>
          <w:rFonts w:ascii="Palatino Linotype" w:hAnsi="Palatino Linotype" w:cs="Segoe UI"/>
        </w:rPr>
        <w:t xml:space="preserve"> del recurso, se acreditan plenamente de todos y cada uno de los elementos formales exigidos por el artículo 180 de la</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rPr>
        <w:t>Ley de Transparencia y Acceso a la Información Pública del Estado de México y Municipios, en atención a que fue presentado mediante el formato visible en</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b/>
          <w:bCs/>
        </w:rPr>
        <w:t>EL</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b/>
          <w:bCs/>
        </w:rPr>
        <w:t>SAIMEX</w:t>
      </w:r>
      <w:r w:rsidRPr="00080788">
        <w:rPr>
          <w:rStyle w:val="normaltextrun"/>
          <w:rFonts w:ascii="Palatino Linotype" w:hAnsi="Palatino Linotype" w:cs="Segoe UI"/>
        </w:rPr>
        <w:t>.</w:t>
      </w:r>
    </w:p>
    <w:p w:rsidR="00786399" w:rsidRDefault="00786399" w:rsidP="00786399">
      <w:pPr>
        <w:pStyle w:val="paragraph"/>
        <w:spacing w:before="0" w:beforeAutospacing="0" w:after="0" w:afterAutospacing="0" w:line="360" w:lineRule="auto"/>
        <w:ind w:right="-150"/>
        <w:jc w:val="both"/>
        <w:textAlignment w:val="baseline"/>
        <w:rPr>
          <w:rStyle w:val="normaltextrun"/>
          <w:rFonts w:ascii="Palatino Linotype" w:hAnsi="Palatino Linotype" w:cs="Segoe UI"/>
        </w:rPr>
      </w:pPr>
    </w:p>
    <w:p w:rsidR="00786399" w:rsidRDefault="00786399" w:rsidP="00786399">
      <w:pPr>
        <w:pStyle w:val="paragraph"/>
        <w:spacing w:before="0" w:beforeAutospacing="0" w:after="0" w:afterAutospacing="0" w:line="360" w:lineRule="auto"/>
        <w:ind w:right="-150"/>
        <w:jc w:val="both"/>
        <w:textAlignment w:val="baseline"/>
        <w:rPr>
          <w:rStyle w:val="normaltextrun"/>
          <w:rFonts w:ascii="Palatino Linotype" w:hAnsi="Palatino Linotype" w:cs="Segoe UI"/>
        </w:rPr>
      </w:pPr>
      <w:r>
        <w:rPr>
          <w:rStyle w:val="normaltextrun"/>
          <w:rFonts w:ascii="Palatino Linotype" w:hAnsi="Palatino Linotype" w:cs="Segoe UI"/>
        </w:rPr>
        <w:t>Ahora bien,</w:t>
      </w:r>
      <w:r w:rsidRPr="00911351">
        <w:rPr>
          <w:rStyle w:val="normaltextrun"/>
          <w:rFonts w:ascii="Palatino Linotype" w:hAnsi="Palatino Linotype" w:cs="Segoe UI"/>
        </w:rPr>
        <w:t xml:space="preserve"> resulta</w:t>
      </w:r>
      <w:r>
        <w:rPr>
          <w:rStyle w:val="normaltextrun"/>
          <w:rFonts w:ascii="Palatino Linotype" w:hAnsi="Palatino Linotype" w:cs="Segoe UI"/>
        </w:rPr>
        <w:t xml:space="preserve"> procedente la interposición del</w:t>
      </w:r>
      <w:r w:rsidRPr="00911351">
        <w:rPr>
          <w:rStyle w:val="normaltextrun"/>
          <w:rFonts w:ascii="Palatino Linotype" w:hAnsi="Palatino Linotype" w:cs="Segoe UI"/>
        </w:rPr>
        <w:t xml:space="preserve"> </w:t>
      </w:r>
      <w:r>
        <w:rPr>
          <w:rStyle w:val="normaltextrun"/>
          <w:rFonts w:ascii="Palatino Linotype" w:hAnsi="Palatino Linotype" w:cs="Segoe UI"/>
        </w:rPr>
        <w:t xml:space="preserve">recurso revisión, según lo aducido por el </w:t>
      </w:r>
      <w:r w:rsidRPr="00786399">
        <w:rPr>
          <w:rStyle w:val="normaltextrun"/>
          <w:rFonts w:ascii="Palatino Linotype" w:hAnsi="Palatino Linotype" w:cs="Segoe UI"/>
          <w:b/>
        </w:rPr>
        <w:t>RECURRENTE</w:t>
      </w:r>
      <w:r>
        <w:rPr>
          <w:rStyle w:val="normaltextrun"/>
          <w:rFonts w:ascii="Palatino Linotype" w:hAnsi="Palatino Linotype" w:cs="Segoe UI"/>
        </w:rPr>
        <w:t xml:space="preserve"> en sus</w:t>
      </w:r>
      <w:r w:rsidRPr="00911351">
        <w:rPr>
          <w:rStyle w:val="normaltextrun"/>
          <w:rFonts w:ascii="Palatino Linotype" w:hAnsi="Palatino Linotype" w:cs="Segoe UI"/>
        </w:rPr>
        <w:t xml:space="preserve"> motivos de inconformidad, de acuerdo al artículo</w:t>
      </w:r>
      <w:r>
        <w:rPr>
          <w:rStyle w:val="apple-converted-space"/>
          <w:rFonts w:ascii="Palatino Linotype" w:hAnsi="Palatino Linotype" w:cs="Segoe UI"/>
        </w:rPr>
        <w:t xml:space="preserve"> </w:t>
      </w:r>
      <w:r>
        <w:rPr>
          <w:rStyle w:val="normaltextrun"/>
          <w:rFonts w:ascii="Palatino Linotype" w:hAnsi="Palatino Linotype" w:cs="Segoe UI"/>
        </w:rPr>
        <w:t xml:space="preserve">179 </w:t>
      </w:r>
      <w:r>
        <w:rPr>
          <w:rStyle w:val="normaltextrun"/>
          <w:rFonts w:ascii="Palatino Linotype" w:hAnsi="Palatino Linotype" w:cs="Segoe UI"/>
        </w:rPr>
        <w:lastRenderedPageBreak/>
        <w:t xml:space="preserve">fracción V de la </w:t>
      </w:r>
      <w:r w:rsidRPr="00911351">
        <w:rPr>
          <w:rStyle w:val="normaltextrun"/>
          <w:rFonts w:ascii="Palatino Linotype" w:hAnsi="Palatino Linotype" w:cs="Segoe UI"/>
        </w:rPr>
        <w:t>Ley de Transparencia y Acceso a la Información Pública del Estado de México y Municipios</w:t>
      </w:r>
      <w:r>
        <w:rPr>
          <w:rStyle w:val="normaltextrun"/>
          <w:rFonts w:ascii="Palatino Linotype" w:hAnsi="Palatino Linotype" w:cs="Segoe UI"/>
        </w:rPr>
        <w:t>;</w:t>
      </w:r>
      <w:r w:rsidRPr="00911351">
        <w:rPr>
          <w:rStyle w:val="normaltextrun"/>
          <w:rFonts w:ascii="Palatino Linotype" w:hAnsi="Palatino Linotype" w:cs="Segoe UI"/>
        </w:rPr>
        <w:t xml:space="preserve"> que a la letra dice:</w:t>
      </w:r>
    </w:p>
    <w:p w:rsidR="00786399" w:rsidRDefault="00786399" w:rsidP="00786399">
      <w:pPr>
        <w:pStyle w:val="paragraph"/>
        <w:spacing w:before="0" w:beforeAutospacing="0" w:after="0" w:afterAutospacing="0" w:line="360" w:lineRule="auto"/>
        <w:ind w:right="-150"/>
        <w:jc w:val="both"/>
        <w:textAlignment w:val="baseline"/>
        <w:rPr>
          <w:rStyle w:val="eop"/>
          <w:rFonts w:ascii="Palatino Linotype" w:hAnsi="Palatino Linotype" w:cs="Segoe UI"/>
        </w:rPr>
      </w:pPr>
    </w:p>
    <w:p w:rsidR="00786399" w:rsidRDefault="00786399" w:rsidP="00786399">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911351">
        <w:rPr>
          <w:rStyle w:val="normaltextrun"/>
          <w:rFonts w:ascii="Palatino Linotype" w:hAnsi="Palatino Linotype" w:cs="Segoe UI"/>
          <w:b/>
          <w:bCs/>
          <w:i/>
          <w:iCs/>
          <w:sz w:val="22"/>
          <w:szCs w:val="22"/>
        </w:rPr>
        <w:t>“</w:t>
      </w:r>
      <w:r w:rsidRPr="00911351">
        <w:rPr>
          <w:rFonts w:ascii="Palatino Linotype" w:hAnsi="Palatino Linotype"/>
          <w:b/>
          <w:i/>
          <w:sz w:val="22"/>
          <w:szCs w:val="22"/>
        </w:rPr>
        <w:t>Artículo 179</w:t>
      </w:r>
      <w:r w:rsidRPr="00911351">
        <w:rPr>
          <w:rFonts w:ascii="Palatino Linotype" w:hAnsi="Palatino Linotype"/>
          <w:i/>
          <w:sz w:val="22"/>
          <w:szCs w:val="22"/>
        </w:rPr>
        <w:t xml:space="preserve">. </w:t>
      </w:r>
      <w:r w:rsidRPr="00911351">
        <w:rPr>
          <w:rFonts w:ascii="Palatino Linotype" w:hAnsi="Palatino Linotype"/>
          <w:b/>
          <w:i/>
          <w:sz w:val="22"/>
          <w:szCs w:val="22"/>
        </w:rPr>
        <w:t>El recurso de revisión</w:t>
      </w:r>
      <w:r w:rsidRPr="00911351">
        <w:rPr>
          <w:rFonts w:ascii="Palatino Linotype" w:hAnsi="Palatino Linotype"/>
          <w:i/>
          <w:sz w:val="22"/>
          <w:szCs w:val="22"/>
        </w:rPr>
        <w:t xml:space="preserve"> es un medio de protección que la Ley otorga a los particulares, para hacer valer su derecho de acceso a la información pública</w:t>
      </w:r>
      <w:r w:rsidRPr="00D05DBD">
        <w:rPr>
          <w:rFonts w:ascii="Palatino Linotype" w:hAnsi="Palatino Linotype"/>
          <w:i/>
          <w:sz w:val="22"/>
          <w:szCs w:val="22"/>
        </w:rPr>
        <w:t>, y procederá en contra de las siguientes causas</w:t>
      </w:r>
      <w:r w:rsidRPr="00911351">
        <w:rPr>
          <w:rFonts w:ascii="Palatino Linotype" w:hAnsi="Palatino Linotype"/>
          <w:i/>
          <w:sz w:val="22"/>
          <w:szCs w:val="22"/>
        </w:rPr>
        <w:t>:</w:t>
      </w:r>
    </w:p>
    <w:p w:rsidR="00786399" w:rsidRPr="00911351" w:rsidRDefault="00786399" w:rsidP="00786399">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D05DBD">
        <w:rPr>
          <w:rFonts w:ascii="Palatino Linotype" w:hAnsi="Palatino Linotype"/>
          <w:i/>
          <w:sz w:val="22"/>
          <w:szCs w:val="22"/>
        </w:rPr>
        <w:t>…</w:t>
      </w:r>
    </w:p>
    <w:p w:rsidR="00786399" w:rsidRDefault="00786399" w:rsidP="00786399">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786399">
        <w:rPr>
          <w:rFonts w:ascii="Palatino Linotype" w:hAnsi="Palatino Linotype"/>
          <w:i/>
          <w:sz w:val="22"/>
          <w:szCs w:val="22"/>
        </w:rPr>
        <w:t>V. La entrega de información incompleta;</w:t>
      </w:r>
      <w:r w:rsidRPr="00154522">
        <w:rPr>
          <w:rFonts w:ascii="Palatino Linotype" w:hAnsi="Palatino Linotype"/>
          <w:i/>
          <w:sz w:val="22"/>
          <w:szCs w:val="22"/>
        </w:rPr>
        <w:t>…</w:t>
      </w:r>
      <w:r>
        <w:rPr>
          <w:rFonts w:ascii="Palatino Linotype" w:hAnsi="Palatino Linotype"/>
          <w:i/>
          <w:sz w:val="22"/>
          <w:szCs w:val="22"/>
        </w:rPr>
        <w:t>” (Sic)</w:t>
      </w:r>
    </w:p>
    <w:p w:rsidR="00786399" w:rsidRDefault="00786399" w:rsidP="00786399">
      <w:pPr>
        <w:pStyle w:val="paragraph"/>
        <w:spacing w:before="240" w:beforeAutospacing="0" w:after="240" w:afterAutospacing="0" w:line="360" w:lineRule="auto"/>
        <w:ind w:right="-91"/>
        <w:contextualSpacing/>
        <w:jc w:val="both"/>
        <w:textAlignment w:val="baseline"/>
        <w:rPr>
          <w:rFonts w:ascii="Palatino Linotype" w:hAnsi="Palatino Linotype"/>
          <w:b/>
          <w:i/>
          <w:sz w:val="22"/>
          <w:szCs w:val="22"/>
        </w:rPr>
      </w:pPr>
    </w:p>
    <w:p w:rsidR="001A51C8" w:rsidRPr="002579FA" w:rsidRDefault="001A51C8" w:rsidP="001A51C8">
      <w:pPr>
        <w:spacing w:before="240" w:after="240" w:line="360" w:lineRule="auto"/>
        <w:contextualSpacing/>
        <w:jc w:val="both"/>
        <w:rPr>
          <w:rFonts w:ascii="Palatino Linotype" w:hAnsi="Palatino Linotype"/>
        </w:rPr>
      </w:pPr>
      <w:r w:rsidRPr="00C8268C">
        <w:rPr>
          <w:rFonts w:ascii="Palatino Linotype" w:hAnsi="Palatino Linotype"/>
          <w:b/>
        </w:rPr>
        <w:t xml:space="preserve">Tercero. </w:t>
      </w:r>
      <w:r w:rsidRPr="00C8268C">
        <w:rPr>
          <w:rFonts w:ascii="Palatino Linotype" w:hAnsi="Palatino Linotype" w:cs="Arial"/>
          <w:b/>
        </w:rPr>
        <w:t>Análisis de las causales de sobreseimiento.</w:t>
      </w:r>
      <w:r w:rsidR="00F77E17">
        <w:rPr>
          <w:rFonts w:ascii="Palatino Linotype" w:hAnsi="Palatino Linotype"/>
          <w:b/>
        </w:rPr>
        <w:t xml:space="preserve"> </w:t>
      </w:r>
      <w:r w:rsidR="00F77E17" w:rsidRPr="00F77E17">
        <w:rPr>
          <w:rFonts w:ascii="Palatino Linotype" w:hAnsi="Palatino Linotype"/>
        </w:rPr>
        <w:t>D</w:t>
      </w:r>
      <w:r>
        <w:rPr>
          <w:rFonts w:ascii="Palatino Linotype" w:hAnsi="Palatino Linotype"/>
        </w:rPr>
        <w:t>el</w:t>
      </w:r>
      <w:r w:rsidRPr="002579FA">
        <w:rPr>
          <w:rFonts w:ascii="Palatino Linotype" w:hAnsi="Palatino Linotype"/>
        </w:rPr>
        <w:t xml:space="preserve"> análisis del recurso de revisión materia del presente estudio, es pertinente recordar que el </w:t>
      </w:r>
      <w:r w:rsidRPr="002579FA">
        <w:rPr>
          <w:rFonts w:ascii="Palatino Linotype" w:hAnsi="Palatino Linotype"/>
          <w:b/>
        </w:rPr>
        <w:t>RECURRENTE</w:t>
      </w:r>
      <w:r w:rsidR="00F77E17">
        <w:rPr>
          <w:rFonts w:ascii="Palatino Linotype" w:hAnsi="Palatino Linotype"/>
        </w:rPr>
        <w:t xml:space="preserve"> solicitó a la</w:t>
      </w:r>
      <w:r w:rsidRPr="002579FA">
        <w:rPr>
          <w:rFonts w:ascii="Palatino Linotype" w:hAnsi="Palatino Linotype"/>
        </w:rPr>
        <w:t xml:space="preserve"> </w:t>
      </w:r>
      <w:r w:rsidR="00F77E17">
        <w:rPr>
          <w:rFonts w:ascii="Palatino Linotype" w:hAnsi="Palatino Linotype"/>
        </w:rPr>
        <w:t>Secretaría General de Gobierno</w:t>
      </w:r>
      <w:r w:rsidRPr="002579FA">
        <w:rPr>
          <w:rFonts w:ascii="Palatino Linotype" w:hAnsi="Palatino Linotype"/>
        </w:rPr>
        <w:t>, lo siguiente:</w:t>
      </w:r>
    </w:p>
    <w:p w:rsidR="00F77E17" w:rsidRPr="00F77E17" w:rsidRDefault="00F77E17" w:rsidP="00F77E17">
      <w:pPr>
        <w:pStyle w:val="Prrafodelista"/>
        <w:numPr>
          <w:ilvl w:val="0"/>
          <w:numId w:val="21"/>
        </w:numPr>
        <w:spacing w:before="240" w:after="240" w:line="360" w:lineRule="auto"/>
        <w:contextualSpacing/>
        <w:jc w:val="both"/>
        <w:rPr>
          <w:rFonts w:ascii="Palatino Linotype" w:hAnsi="Palatino Linotype"/>
        </w:rPr>
      </w:pPr>
      <w:r w:rsidRPr="00F77E17">
        <w:rPr>
          <w:rFonts w:ascii="Palatino Linotype" w:hAnsi="Palatino Linotype"/>
        </w:rPr>
        <w:t>SOLICITO CONOCER POR UNIDAD ADMINISTRATIVA DE LA SECRETARÍA GENERAL DE GOBIERNO EL NÚMERO DE SERVIDORES PÚBLICOS SUSCEPTIBLES A PAGO DE ESTÍMULO POR PUNTUALIDAD Y ASISTENCIA PERFECTA A PARTIR DE ENERO DE 2021.</w:t>
      </w:r>
    </w:p>
    <w:p w:rsidR="001A51C8" w:rsidRDefault="001A51C8" w:rsidP="001A51C8">
      <w:pPr>
        <w:widowControl w:val="0"/>
        <w:autoSpaceDE w:val="0"/>
        <w:autoSpaceDN w:val="0"/>
        <w:adjustRightInd w:val="0"/>
        <w:spacing w:line="360" w:lineRule="auto"/>
        <w:jc w:val="both"/>
        <w:rPr>
          <w:rFonts w:ascii="Palatino Linotype" w:hAnsi="Palatino Linotype"/>
        </w:rPr>
      </w:pPr>
      <w:r>
        <w:rPr>
          <w:rFonts w:ascii="Palatino Linotype" w:hAnsi="Palatino Linotype"/>
        </w:rPr>
        <w:t xml:space="preserve">Por su parte, </w:t>
      </w:r>
      <w:r w:rsidRPr="00B85C31">
        <w:rPr>
          <w:rFonts w:ascii="Palatino Linotype" w:hAnsi="Palatino Linotype"/>
        </w:rPr>
        <w:t xml:space="preserve">el </w:t>
      </w:r>
      <w:r w:rsidRPr="00B85C31">
        <w:rPr>
          <w:rFonts w:ascii="Palatino Linotype" w:hAnsi="Palatino Linotype"/>
          <w:b/>
        </w:rPr>
        <w:t>SUJETO OBLIGADO</w:t>
      </w:r>
      <w:r w:rsidRPr="00B85C31">
        <w:rPr>
          <w:rFonts w:ascii="Palatino Linotype" w:hAnsi="Palatino Linotype"/>
        </w:rPr>
        <w:t xml:space="preserve"> </w:t>
      </w:r>
      <w:r w:rsidR="00F77E17">
        <w:rPr>
          <w:rFonts w:ascii="Palatino Linotype" w:hAnsi="Palatino Linotype"/>
        </w:rPr>
        <w:t>emitió su respuesta a través del siguiente archivo electrónico:</w:t>
      </w:r>
    </w:p>
    <w:p w:rsidR="00F77E17" w:rsidRDefault="00F77E17" w:rsidP="001A51C8">
      <w:pPr>
        <w:widowControl w:val="0"/>
        <w:autoSpaceDE w:val="0"/>
        <w:autoSpaceDN w:val="0"/>
        <w:adjustRightInd w:val="0"/>
        <w:spacing w:line="360" w:lineRule="auto"/>
        <w:jc w:val="both"/>
        <w:rPr>
          <w:rFonts w:ascii="Palatino Linotype" w:hAnsi="Palatino Linotype"/>
        </w:rPr>
      </w:pPr>
    </w:p>
    <w:p w:rsidR="00F77E17" w:rsidRDefault="00F77E17" w:rsidP="001A51C8">
      <w:pPr>
        <w:widowControl w:val="0"/>
        <w:autoSpaceDE w:val="0"/>
        <w:autoSpaceDN w:val="0"/>
        <w:adjustRightInd w:val="0"/>
        <w:spacing w:line="360" w:lineRule="auto"/>
        <w:jc w:val="both"/>
        <w:rPr>
          <w:rFonts w:ascii="Palatino Linotype" w:hAnsi="Palatino Linotype" w:cs="Arial"/>
        </w:rPr>
      </w:pPr>
      <w:r w:rsidRPr="00470F62">
        <w:rPr>
          <w:rFonts w:ascii="Palatino Linotype" w:hAnsi="Palatino Linotype" w:cs="Arial"/>
        </w:rPr>
        <w:t>“</w:t>
      </w:r>
      <w:proofErr w:type="spellStart"/>
      <w:r w:rsidR="006E1131">
        <w:rPr>
          <w:rFonts w:ascii="Palatino Linotype" w:hAnsi="Palatino Linotype"/>
        </w:rPr>
        <w:fldChar w:fldCharType="begin"/>
      </w:r>
      <w:r w:rsidR="006E1131">
        <w:rPr>
          <w:rFonts w:ascii="Palatino Linotype" w:hAnsi="Palatino Linotype"/>
        </w:rPr>
        <w:instrText xml:space="preserve"> HYPERLINK "https://www.saimex.org.mx/saimex/solicitud/downloadAttach/1266565.page" \t "_blank" </w:instrText>
      </w:r>
      <w:r w:rsidR="006E1131">
        <w:rPr>
          <w:rFonts w:ascii="Palatino Linotype" w:hAnsi="Palatino Linotype"/>
        </w:rPr>
        <w:fldChar w:fldCharType="separate"/>
      </w:r>
      <w:r w:rsidRPr="00470F62">
        <w:rPr>
          <w:rFonts w:ascii="Palatino Linotype" w:hAnsi="Palatino Linotype"/>
        </w:rPr>
        <w:t>Rpta</w:t>
      </w:r>
      <w:proofErr w:type="spellEnd"/>
      <w:r w:rsidRPr="00470F62">
        <w:rPr>
          <w:rFonts w:ascii="Palatino Linotype" w:hAnsi="Palatino Linotype"/>
        </w:rPr>
        <w:t>. 00320-2021.pdf</w:t>
      </w:r>
      <w:r w:rsidR="006E1131">
        <w:rPr>
          <w:rFonts w:ascii="Palatino Linotype" w:hAnsi="Palatino Linotype"/>
        </w:rPr>
        <w:fldChar w:fldCharType="end"/>
      </w:r>
      <w:r w:rsidRPr="00470F62">
        <w:rPr>
          <w:rFonts w:ascii="Palatino Linotype" w:hAnsi="Palatino Linotype" w:cs="Arial"/>
        </w:rPr>
        <w:t>”</w:t>
      </w:r>
      <w:r>
        <w:rPr>
          <w:rFonts w:ascii="Palatino Linotype" w:hAnsi="Palatino Linotype" w:cs="Arial"/>
        </w:rPr>
        <w:t xml:space="preserve">, el cual contiene diversos oficios a través del cual el Titular de la Unidad de Transparencia, entregó al solicitante de la información, los oficios emitidos por </w:t>
      </w:r>
      <w:r w:rsidR="006E1131">
        <w:rPr>
          <w:rFonts w:ascii="Palatino Linotype" w:hAnsi="Palatino Linotype" w:cs="Arial"/>
        </w:rPr>
        <w:t>diversas</w:t>
      </w:r>
      <w:r>
        <w:rPr>
          <w:rFonts w:ascii="Palatino Linotype" w:hAnsi="Palatino Linotype" w:cs="Arial"/>
        </w:rPr>
        <w:t xml:space="preserve"> áreas administrativas del </w:t>
      </w:r>
      <w:r w:rsidR="006E1131" w:rsidRPr="006E1131">
        <w:rPr>
          <w:rFonts w:ascii="Palatino Linotype" w:hAnsi="Palatino Linotype" w:cs="Arial"/>
          <w:b/>
        </w:rPr>
        <w:t>SUJETO OBLIGADO</w:t>
      </w:r>
      <w:r>
        <w:rPr>
          <w:rFonts w:ascii="Palatino Linotype" w:hAnsi="Palatino Linotype" w:cs="Arial"/>
        </w:rPr>
        <w:t>, como se advierte en la siguiente imagen de la respuesta otorgada al particular:</w:t>
      </w:r>
    </w:p>
    <w:p w:rsidR="00F77E17" w:rsidRDefault="00F77E17" w:rsidP="001A51C8">
      <w:pPr>
        <w:widowControl w:val="0"/>
        <w:autoSpaceDE w:val="0"/>
        <w:autoSpaceDN w:val="0"/>
        <w:adjustRightInd w:val="0"/>
        <w:spacing w:line="360" w:lineRule="auto"/>
        <w:jc w:val="both"/>
        <w:rPr>
          <w:noProof/>
          <w:lang w:val="es-MX" w:eastAsia="es-MX"/>
        </w:rPr>
      </w:pPr>
    </w:p>
    <w:p w:rsidR="00F77E17" w:rsidRDefault="00F77E17" w:rsidP="001A51C8">
      <w:pPr>
        <w:widowControl w:val="0"/>
        <w:autoSpaceDE w:val="0"/>
        <w:autoSpaceDN w:val="0"/>
        <w:adjustRightInd w:val="0"/>
        <w:spacing w:line="360" w:lineRule="auto"/>
        <w:jc w:val="both"/>
        <w:rPr>
          <w:noProof/>
          <w:lang w:val="es-MX" w:eastAsia="es-MX"/>
        </w:rPr>
      </w:pPr>
      <w:r>
        <w:rPr>
          <w:noProof/>
          <w:lang w:val="en-US" w:eastAsia="en-US"/>
        </w:rPr>
        <w:lastRenderedPageBreak/>
        <mc:AlternateContent>
          <mc:Choice Requires="wps">
            <w:drawing>
              <wp:anchor distT="0" distB="0" distL="114300" distR="114300" simplePos="0" relativeHeight="251662336" behindDoc="0" locked="0" layoutInCell="1" allowOverlap="1">
                <wp:simplePos x="0" y="0"/>
                <wp:positionH relativeFrom="column">
                  <wp:posOffset>-49729</wp:posOffset>
                </wp:positionH>
                <wp:positionV relativeFrom="paragraph">
                  <wp:posOffset>6101914</wp:posOffset>
                </wp:positionV>
                <wp:extent cx="5390866" cy="1535373"/>
                <wp:effectExtent l="19050" t="19050" r="19685" b="27305"/>
                <wp:wrapNone/>
                <wp:docPr id="10" name="Rectángulo 10"/>
                <wp:cNvGraphicFramePr/>
                <a:graphic xmlns:a="http://schemas.openxmlformats.org/drawingml/2006/main">
                  <a:graphicData uri="http://schemas.microsoft.com/office/word/2010/wordprocessingShape">
                    <wps:wsp>
                      <wps:cNvSpPr/>
                      <wps:spPr>
                        <a:xfrm>
                          <a:off x="0" y="0"/>
                          <a:ext cx="5390866" cy="1535373"/>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748705" id="Rectángulo 10" o:spid="_x0000_s1026" style="position:absolute;margin-left:-3.9pt;margin-top:480.45pt;width:424.5pt;height:120.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" filled="f" strokecolor="#1f4d78 [1604]" strokeweight="3pt"/>
            </w:pict>
          </mc:Fallback>
        </mc:AlternateContent>
      </w:r>
      <w:r>
        <w:rPr>
          <w:noProof/>
          <w:lang w:val="en-US" w:eastAsia="en-US"/>
        </w:rPr>
        <w:drawing>
          <wp:inline distT="0" distB="0" distL="0" distR="0" wp14:anchorId="788E0348" wp14:editId="332515D1">
            <wp:extent cx="5499507" cy="7581331"/>
            <wp:effectExtent l="0" t="0" r="635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1338" t="14346" r="22712" b="8234"/>
                    <a:stretch/>
                  </pic:blipFill>
                  <pic:spPr bwMode="auto">
                    <a:xfrm>
                      <a:off x="0" y="0"/>
                      <a:ext cx="5515707" cy="7603664"/>
                    </a:xfrm>
                    <a:prstGeom prst="rect">
                      <a:avLst/>
                    </a:prstGeom>
                    <a:ln>
                      <a:noFill/>
                    </a:ln>
                    <a:extLst>
                      <a:ext uri="{53640926-AAD7-44D8-BBD7-CCE9431645EC}">
                        <a14:shadowObscured xmlns:a14="http://schemas.microsoft.com/office/drawing/2010/main"/>
                      </a:ext>
                    </a:extLst>
                  </pic:spPr>
                </pic:pic>
              </a:graphicData>
            </a:graphic>
          </wp:inline>
        </w:drawing>
      </w:r>
    </w:p>
    <w:p w:rsidR="00F77E17" w:rsidRDefault="00F77E17" w:rsidP="001A51C8">
      <w:pPr>
        <w:widowControl w:val="0"/>
        <w:autoSpaceDE w:val="0"/>
        <w:autoSpaceDN w:val="0"/>
        <w:adjustRightInd w:val="0"/>
        <w:spacing w:line="360" w:lineRule="auto"/>
        <w:jc w:val="both"/>
        <w:rPr>
          <w:rFonts w:ascii="Palatino Linotype" w:hAnsi="Palatino Linotype"/>
        </w:rPr>
      </w:pPr>
      <w:r>
        <w:rPr>
          <w:noProof/>
          <w:lang w:val="en-US" w:eastAsia="en-US"/>
        </w:rPr>
        <w:lastRenderedPageBreak/>
        <mc:AlternateContent>
          <mc:Choice Requires="wps">
            <w:drawing>
              <wp:anchor distT="0" distB="0" distL="114300" distR="114300" simplePos="0" relativeHeight="251664384" behindDoc="0" locked="0" layoutInCell="1" allowOverlap="1" wp14:anchorId="140340AA" wp14:editId="5BD47639">
                <wp:simplePos x="0" y="0"/>
                <wp:positionH relativeFrom="column">
                  <wp:posOffset>-29257</wp:posOffset>
                </wp:positionH>
                <wp:positionV relativeFrom="paragraph">
                  <wp:posOffset>-100993</wp:posOffset>
                </wp:positionV>
                <wp:extent cx="5390866" cy="1426191"/>
                <wp:effectExtent l="19050" t="19050" r="19685" b="22225"/>
                <wp:wrapNone/>
                <wp:docPr id="11" name="Rectángulo 11"/>
                <wp:cNvGraphicFramePr/>
                <a:graphic xmlns:a="http://schemas.openxmlformats.org/drawingml/2006/main">
                  <a:graphicData uri="http://schemas.microsoft.com/office/word/2010/wordprocessingShape">
                    <wps:wsp>
                      <wps:cNvSpPr/>
                      <wps:spPr>
                        <a:xfrm>
                          <a:off x="0" y="0"/>
                          <a:ext cx="5390866" cy="1426191"/>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6874AC" id="Rectángulo 11" o:spid="_x0000_s1026" style="position:absolute;margin-left:-2.3pt;margin-top:-7.95pt;width:424.5pt;height:112.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" filled="f" strokecolor="#1f4d78 [1604]" strokeweight="3pt"/>
            </w:pict>
          </mc:Fallback>
        </mc:AlternateContent>
      </w:r>
      <w:r>
        <w:rPr>
          <w:noProof/>
          <w:lang w:val="en-US" w:eastAsia="en-US"/>
        </w:rPr>
        <w:drawing>
          <wp:inline distT="0" distB="0" distL="0" distR="0" wp14:anchorId="5271C183" wp14:editId="0F901967">
            <wp:extent cx="5315585" cy="4032913"/>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576" t="33692" r="26753" b="15426"/>
                    <a:stretch/>
                  </pic:blipFill>
                  <pic:spPr bwMode="auto">
                    <a:xfrm>
                      <a:off x="0" y="0"/>
                      <a:ext cx="5330215" cy="4044013"/>
                    </a:xfrm>
                    <a:prstGeom prst="rect">
                      <a:avLst/>
                    </a:prstGeom>
                    <a:ln>
                      <a:noFill/>
                    </a:ln>
                    <a:extLst>
                      <a:ext uri="{53640926-AAD7-44D8-BBD7-CCE9431645EC}">
                        <a14:shadowObscured xmlns:a14="http://schemas.microsoft.com/office/drawing/2010/main"/>
                      </a:ext>
                    </a:extLst>
                  </pic:spPr>
                </pic:pic>
              </a:graphicData>
            </a:graphic>
          </wp:inline>
        </w:drawing>
      </w:r>
    </w:p>
    <w:p w:rsidR="00165298" w:rsidRDefault="00F77E17" w:rsidP="001A51C8">
      <w:pPr>
        <w:widowControl w:val="0"/>
        <w:autoSpaceDE w:val="0"/>
        <w:autoSpaceDN w:val="0"/>
        <w:adjustRightInd w:val="0"/>
        <w:spacing w:line="360" w:lineRule="auto"/>
        <w:jc w:val="both"/>
        <w:rPr>
          <w:rFonts w:ascii="Palatino Linotype" w:hAnsi="Palatino Linotype"/>
        </w:rPr>
      </w:pPr>
      <w:r>
        <w:rPr>
          <w:rFonts w:ascii="Palatino Linotype" w:hAnsi="Palatino Linotype"/>
        </w:rPr>
        <w:t xml:space="preserve">En cada oficio antes referido, las áreas administrativas que se observan en la imagen anterior, informaron los Servidores Públicos que son susceptibles a pago de estímulo por puntualidad y </w:t>
      </w:r>
      <w:r w:rsidR="00165298">
        <w:rPr>
          <w:rFonts w:ascii="Palatino Linotype" w:hAnsi="Palatino Linotype"/>
        </w:rPr>
        <w:t xml:space="preserve">asistencia perfecta </w:t>
      </w:r>
      <w:r w:rsidR="006E1131">
        <w:rPr>
          <w:rFonts w:ascii="Palatino Linotype" w:hAnsi="Palatino Linotype"/>
        </w:rPr>
        <w:t>a partir de enero del año 2021.</w:t>
      </w:r>
    </w:p>
    <w:p w:rsidR="006E1131" w:rsidRDefault="006E1131" w:rsidP="001A51C8">
      <w:pPr>
        <w:widowControl w:val="0"/>
        <w:autoSpaceDE w:val="0"/>
        <w:autoSpaceDN w:val="0"/>
        <w:adjustRightInd w:val="0"/>
        <w:spacing w:line="360" w:lineRule="auto"/>
        <w:jc w:val="both"/>
        <w:rPr>
          <w:rFonts w:ascii="Palatino Linotype" w:hAnsi="Palatino Linotype"/>
        </w:rPr>
      </w:pPr>
    </w:p>
    <w:p w:rsidR="00165298" w:rsidRDefault="00165298" w:rsidP="001A51C8">
      <w:pPr>
        <w:widowControl w:val="0"/>
        <w:autoSpaceDE w:val="0"/>
        <w:autoSpaceDN w:val="0"/>
        <w:adjustRightInd w:val="0"/>
        <w:spacing w:line="360" w:lineRule="auto"/>
        <w:jc w:val="both"/>
        <w:rPr>
          <w:rFonts w:ascii="Palatino Linotype" w:hAnsi="Palatino Linotype"/>
        </w:rPr>
      </w:pPr>
      <w:r>
        <w:rPr>
          <w:rFonts w:ascii="Palatino Linotype" w:hAnsi="Palatino Linotype"/>
        </w:rPr>
        <w:t xml:space="preserve">Cabe señalar, que dentro del oficio número 20500006000100S/212/2021, la Jefa de la Unidad </w:t>
      </w:r>
      <w:r w:rsidR="008F459F">
        <w:rPr>
          <w:rFonts w:ascii="Palatino Linotype" w:hAnsi="Palatino Linotype"/>
        </w:rPr>
        <w:t xml:space="preserve">de Seguimiento y Evaluación y Servidora Pública Habilitada, refirió que con el propósito de atender la solicitud de información, con base a los oficios número 20500002000000-1330/2021 y 20500006010000S/611/2021, emitidos por el Titular del Órgano de Control Interno de la Secretaría General de Gobierno y Directora de Administración de Personal y Modernización Administrativa, respectivamente, remitió el número de servidores públicos susceptibles a pago de </w:t>
      </w:r>
      <w:r w:rsidR="008F459F">
        <w:rPr>
          <w:rFonts w:ascii="Palatino Linotype" w:hAnsi="Palatino Linotype"/>
        </w:rPr>
        <w:lastRenderedPageBreak/>
        <w:t xml:space="preserve">estímulo por puntualidad y asistencia perfecta a partir de enero del año 2021; sin embargo, respecto del oficio número 20500006010000S/611/2021, sólo se concretó a remitir la hoja dos de dicho oficio, como se advierte en la siguiente imagen del oficio de referencia: </w:t>
      </w:r>
    </w:p>
    <w:p w:rsidR="008F459F" w:rsidRDefault="008F459F" w:rsidP="001A51C8">
      <w:pPr>
        <w:widowControl w:val="0"/>
        <w:autoSpaceDE w:val="0"/>
        <w:autoSpaceDN w:val="0"/>
        <w:adjustRightInd w:val="0"/>
        <w:spacing w:line="360" w:lineRule="auto"/>
        <w:jc w:val="both"/>
        <w:rPr>
          <w:noProof/>
          <w:lang w:val="es-MX" w:eastAsia="es-MX"/>
        </w:rPr>
      </w:pPr>
    </w:p>
    <w:p w:rsidR="008F459F" w:rsidRPr="00B85C31" w:rsidRDefault="008F459F" w:rsidP="001A51C8">
      <w:pPr>
        <w:widowControl w:val="0"/>
        <w:autoSpaceDE w:val="0"/>
        <w:autoSpaceDN w:val="0"/>
        <w:adjustRightInd w:val="0"/>
        <w:spacing w:line="360" w:lineRule="auto"/>
        <w:jc w:val="both"/>
        <w:rPr>
          <w:rFonts w:ascii="Palatino Linotype" w:hAnsi="Palatino Linotype"/>
        </w:rPr>
      </w:pPr>
      <w:r>
        <w:rPr>
          <w:noProof/>
          <w:lang w:val="en-US" w:eastAsia="en-US"/>
        </w:rPr>
        <mc:AlternateContent>
          <mc:Choice Requires="wps">
            <w:drawing>
              <wp:anchor distT="0" distB="0" distL="114300" distR="114300" simplePos="0" relativeHeight="251665408" behindDoc="0" locked="0" layoutInCell="1" allowOverlap="1">
                <wp:simplePos x="0" y="0"/>
                <wp:positionH relativeFrom="column">
                  <wp:posOffset>2843530</wp:posOffset>
                </wp:positionH>
                <wp:positionV relativeFrom="paragraph">
                  <wp:posOffset>206081</wp:posOffset>
                </wp:positionV>
                <wp:extent cx="429905" cy="313898"/>
                <wp:effectExtent l="19050" t="19050" r="27305" b="29210"/>
                <wp:wrapNone/>
                <wp:docPr id="14" name="Flecha izquierda 14"/>
                <wp:cNvGraphicFramePr/>
                <a:graphic xmlns:a="http://schemas.openxmlformats.org/drawingml/2006/main">
                  <a:graphicData uri="http://schemas.microsoft.com/office/word/2010/wordprocessingShape">
                    <wps:wsp>
                      <wps:cNvSpPr/>
                      <wps:spPr>
                        <a:xfrm>
                          <a:off x="0" y="0"/>
                          <a:ext cx="429905" cy="313898"/>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E22676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4" o:spid="_x0000_s1026" type="#_x0000_t66" style="position:absolute;margin-left:223.9pt;margin-top:16.25pt;width:33.85pt;height:24.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" adj="7886" fillcolor="#5b9bd5 [3204]" strokecolor="#1f4d78 [1604]" strokeweight="1pt"/>
            </w:pict>
          </mc:Fallback>
        </mc:AlternateContent>
      </w:r>
      <w:r>
        <w:rPr>
          <w:noProof/>
          <w:lang w:val="en-US" w:eastAsia="en-US"/>
        </w:rPr>
        <w:drawing>
          <wp:inline distT="0" distB="0" distL="0" distR="0" wp14:anchorId="206A41F6" wp14:editId="28ED6C2D">
            <wp:extent cx="5526539" cy="4838132"/>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0721" t="13259" r="23940" b="7595"/>
                    <a:stretch/>
                  </pic:blipFill>
                  <pic:spPr bwMode="auto">
                    <a:xfrm>
                      <a:off x="0" y="0"/>
                      <a:ext cx="5541784" cy="4851478"/>
                    </a:xfrm>
                    <a:prstGeom prst="rect">
                      <a:avLst/>
                    </a:prstGeom>
                    <a:ln>
                      <a:noFill/>
                    </a:ln>
                    <a:extLst>
                      <a:ext uri="{53640926-AAD7-44D8-BBD7-CCE9431645EC}">
                        <a14:shadowObscured xmlns:a14="http://schemas.microsoft.com/office/drawing/2010/main"/>
                      </a:ext>
                    </a:extLst>
                  </pic:spPr>
                </pic:pic>
              </a:graphicData>
            </a:graphic>
          </wp:inline>
        </w:drawing>
      </w:r>
    </w:p>
    <w:p w:rsidR="00392DEB" w:rsidRDefault="00392DEB" w:rsidP="001A51C8">
      <w:pPr>
        <w:spacing w:before="240" w:after="240" w:line="360" w:lineRule="auto"/>
        <w:jc w:val="both"/>
        <w:rPr>
          <w:rFonts w:ascii="Palatino Linotype" w:hAnsi="Palatino Linotype"/>
        </w:rPr>
      </w:pPr>
      <w:r>
        <w:rPr>
          <w:rFonts w:ascii="Palatino Linotype" w:hAnsi="Palatino Linotype"/>
        </w:rPr>
        <w:t xml:space="preserve">Siendo lo anterior, el motivo de inconformidad del RECURRENTE, al señalar </w:t>
      </w:r>
      <w:r w:rsidR="006E1131">
        <w:rPr>
          <w:rFonts w:ascii="Palatino Linotype" w:hAnsi="Palatino Linotype"/>
        </w:rPr>
        <w:t xml:space="preserve">que </w:t>
      </w:r>
      <w:r>
        <w:rPr>
          <w:rFonts w:ascii="Palatino Linotype" w:hAnsi="Palatino Linotype"/>
        </w:rPr>
        <w:t>“</w:t>
      </w:r>
      <w:r w:rsidRPr="00392DEB">
        <w:rPr>
          <w:rFonts w:ascii="Palatino Linotype" w:hAnsi="Palatino Linotype"/>
        </w:rPr>
        <w:t>La información recibida est</w:t>
      </w:r>
      <w:r w:rsidR="006E1131">
        <w:rPr>
          <w:rFonts w:ascii="Palatino Linotype" w:hAnsi="Palatino Linotype"/>
        </w:rPr>
        <w:t>á incompleta por lo que solicitó</w:t>
      </w:r>
      <w:r w:rsidRPr="00392DEB">
        <w:rPr>
          <w:rFonts w:ascii="Palatino Linotype" w:hAnsi="Palatino Linotype"/>
        </w:rPr>
        <w:t xml:space="preserve"> amablemente se integre debidamente la hoja -1- del oficio número 20500006010000S/611/2021 emitido por la </w:t>
      </w:r>
      <w:r w:rsidRPr="00392DEB">
        <w:rPr>
          <w:rFonts w:ascii="Palatino Linotype" w:hAnsi="Palatino Linotype"/>
        </w:rPr>
        <w:lastRenderedPageBreak/>
        <w:t xml:space="preserve">Ing. Guillermina García Sánchez, Directora de Administración de Personal y Modernización Administrativa.”(Sic). </w:t>
      </w:r>
    </w:p>
    <w:p w:rsidR="001A51C8" w:rsidRDefault="001A51C8" w:rsidP="001A51C8">
      <w:pPr>
        <w:spacing w:before="240" w:after="240" w:line="360" w:lineRule="auto"/>
        <w:jc w:val="both"/>
        <w:rPr>
          <w:rFonts w:ascii="Palatino Linotype" w:hAnsi="Palatino Linotype"/>
        </w:rPr>
      </w:pPr>
      <w:r>
        <w:rPr>
          <w:rFonts w:ascii="Palatino Linotype" w:hAnsi="Palatino Linotype"/>
        </w:rPr>
        <w:t>Una vez notificado el recurso de revisión a</w:t>
      </w:r>
      <w:r w:rsidRPr="00B0231C">
        <w:rPr>
          <w:rFonts w:ascii="Palatino Linotype" w:hAnsi="Palatino Linotype"/>
        </w:rPr>
        <w:t xml:space="preserve">l </w:t>
      </w:r>
      <w:r w:rsidRPr="00B0231C">
        <w:rPr>
          <w:rFonts w:ascii="Palatino Linotype" w:hAnsi="Palatino Linotype"/>
          <w:b/>
        </w:rPr>
        <w:t>SUJETO OBLIGADO</w:t>
      </w:r>
      <w:r>
        <w:rPr>
          <w:rFonts w:ascii="Palatino Linotype" w:hAnsi="Palatino Linotype"/>
        </w:rPr>
        <w:t>, éste a través del apartado de manifestaciones del Sistema del Acceso a la Información Mexiquense</w:t>
      </w:r>
      <w:r w:rsidR="00394387">
        <w:rPr>
          <w:rFonts w:ascii="Palatino Linotype" w:hAnsi="Palatino Linotype"/>
        </w:rPr>
        <w:t>, remitió el siguiente archivo electrónico</w:t>
      </w:r>
      <w:r>
        <w:rPr>
          <w:rFonts w:ascii="Palatino Linotype" w:hAnsi="Palatino Linotype"/>
        </w:rPr>
        <w:t xml:space="preserve">: </w:t>
      </w:r>
    </w:p>
    <w:p w:rsidR="001A51C8" w:rsidRPr="00394387" w:rsidRDefault="00392DEB" w:rsidP="001A51C8">
      <w:pPr>
        <w:spacing w:before="240" w:after="240" w:line="360" w:lineRule="auto"/>
        <w:jc w:val="both"/>
        <w:rPr>
          <w:rFonts w:ascii="Palatino Linotype" w:hAnsi="Palatino Linotype"/>
        </w:rPr>
      </w:pPr>
      <w:r w:rsidRPr="00392DEB">
        <w:rPr>
          <w:rFonts w:ascii="Palatino Linotype" w:hAnsi="Palatino Linotype"/>
        </w:rPr>
        <w:t>“</w:t>
      </w:r>
      <w:hyperlink r:id="rId12" w:history="1">
        <w:r w:rsidRPr="00470F62">
          <w:rPr>
            <w:rFonts w:ascii="Palatino Linotype" w:hAnsi="Palatino Linotype"/>
          </w:rPr>
          <w:t>Informe de Justificación 00320-2021.pdf</w:t>
        </w:r>
      </w:hyperlink>
      <w:r w:rsidRPr="00392DEB">
        <w:rPr>
          <w:rFonts w:ascii="Palatino Linotype" w:hAnsi="Palatino Linotype"/>
        </w:rPr>
        <w:t>”</w:t>
      </w:r>
      <w:r w:rsidR="001A51C8" w:rsidRPr="00FB52DF">
        <w:rPr>
          <w:rFonts w:ascii="Palatino Linotype" w:hAnsi="Palatino Linotype"/>
        </w:rPr>
        <w:t xml:space="preserve">, </w:t>
      </w:r>
      <w:r w:rsidR="001A51C8">
        <w:rPr>
          <w:rFonts w:ascii="Palatino Linotype" w:hAnsi="Palatino Linotype"/>
        </w:rPr>
        <w:t xml:space="preserve">el cual contiene </w:t>
      </w:r>
      <w:r>
        <w:rPr>
          <w:rFonts w:ascii="Palatino Linotype" w:hAnsi="Palatino Linotype"/>
        </w:rPr>
        <w:t xml:space="preserve">el informe justificado del SUJETO OBLIGADO, a través del cual en lo medular, atendió los motivos de inconformidad del RECURRENTE, al remitir la hoja uno del oficio número </w:t>
      </w:r>
      <w:r w:rsidRPr="00392DEB">
        <w:rPr>
          <w:rFonts w:ascii="Palatino Linotype" w:hAnsi="Palatino Linotype"/>
        </w:rPr>
        <w:t>20500006010000S/611/2021</w:t>
      </w:r>
      <w:r>
        <w:rPr>
          <w:rFonts w:ascii="Palatino Linotype" w:hAnsi="Palatino Linotype"/>
        </w:rPr>
        <w:t>, como se observa en la siguiente imagen que se inserta a continuación:</w:t>
      </w:r>
    </w:p>
    <w:p w:rsidR="00B84CB3" w:rsidRDefault="00392DEB" w:rsidP="001A51C8">
      <w:pPr>
        <w:spacing w:before="240" w:after="240" w:line="360" w:lineRule="auto"/>
        <w:jc w:val="both"/>
        <w:rPr>
          <w:rFonts w:ascii="Palatino Linotype" w:hAnsi="Palatino Linotype"/>
        </w:rPr>
      </w:pPr>
      <w:r>
        <w:rPr>
          <w:rFonts w:ascii="Palatino Linotype" w:hAnsi="Palatino Linotype"/>
          <w:noProof/>
          <w:lang w:val="en-US" w:eastAsia="en-US"/>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666332</wp:posOffset>
                </wp:positionV>
                <wp:extent cx="5486343" cy="2435765"/>
                <wp:effectExtent l="0" t="0" r="19685" b="22225"/>
                <wp:wrapNone/>
                <wp:docPr id="8" name="Conector recto 8"/>
                <wp:cNvGraphicFramePr/>
                <a:graphic xmlns:a="http://schemas.openxmlformats.org/drawingml/2006/main">
                  <a:graphicData uri="http://schemas.microsoft.com/office/word/2010/wordprocessingShape">
                    <wps:wsp>
                      <wps:cNvCnPr/>
                      <wps:spPr>
                        <a:xfrm>
                          <a:off x="0" y="0"/>
                          <a:ext cx="5486343" cy="24357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17EF2D" id="Conector recto 8" o:spid="_x0000_s1026" style="position:absolute;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0.8pt,52.45pt" to="812.8pt,2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" strokecolor="#5b9bd5 [3204]" strokeweight=".5pt">
                <v:stroke joinstyle="miter"/>
                <w10:wrap anchorx="margin"/>
              </v:line>
            </w:pict>
          </mc:Fallback>
        </mc:AlternateContent>
      </w:r>
      <w:r w:rsidR="00394387" w:rsidRPr="00394387">
        <w:rPr>
          <w:rFonts w:ascii="Palatino Linotype" w:hAnsi="Palatino Linotype"/>
        </w:rPr>
        <w:t xml:space="preserve">Anexando </w:t>
      </w:r>
      <w:r w:rsidR="00F11217">
        <w:rPr>
          <w:rFonts w:ascii="Palatino Linotype" w:hAnsi="Palatino Linotype"/>
        </w:rPr>
        <w:t>un documento con fecha d</w:t>
      </w:r>
      <w:r w:rsidR="0036505F">
        <w:rPr>
          <w:rFonts w:ascii="Palatino Linotype" w:hAnsi="Palatino Linotype"/>
        </w:rPr>
        <w:t>el primero al treinta de septiembre de</w:t>
      </w:r>
      <w:r w:rsidR="00B84CB3">
        <w:rPr>
          <w:rFonts w:ascii="Palatino Linotype" w:hAnsi="Palatino Linotype"/>
        </w:rPr>
        <w:t>l 2021, constate de cinco fojas, como se observa en las siguientes imágenes:</w:t>
      </w:r>
    </w:p>
    <w:p w:rsidR="00B84CB3" w:rsidRDefault="00B84CB3" w:rsidP="001A51C8">
      <w:pPr>
        <w:spacing w:before="240" w:after="240" w:line="360" w:lineRule="auto"/>
        <w:jc w:val="both"/>
        <w:rPr>
          <w:rFonts w:ascii="Palatino Linotype" w:hAnsi="Palatino Linotype"/>
        </w:rPr>
      </w:pPr>
    </w:p>
    <w:p w:rsidR="001A51C8" w:rsidRDefault="001A51C8" w:rsidP="001A51C8">
      <w:pPr>
        <w:spacing w:before="100" w:beforeAutospacing="1" w:after="100" w:afterAutospacing="1" w:line="360" w:lineRule="auto"/>
        <w:jc w:val="both"/>
        <w:rPr>
          <w:rFonts w:ascii="Palatino Linotype" w:hAnsi="Palatino Linotype" w:cs="Arial"/>
          <w:lang w:val="es-MX" w:eastAsia="es-MX"/>
        </w:rPr>
      </w:pPr>
    </w:p>
    <w:p w:rsidR="001A51C8" w:rsidRDefault="001A51C8" w:rsidP="001A51C8">
      <w:pPr>
        <w:spacing w:before="100" w:beforeAutospacing="1" w:after="100" w:afterAutospacing="1" w:line="360" w:lineRule="auto"/>
        <w:jc w:val="both"/>
        <w:rPr>
          <w:rFonts w:ascii="Palatino Linotype" w:hAnsi="Palatino Linotype" w:cs="Arial"/>
          <w:lang w:val="es-MX" w:eastAsia="es-MX"/>
        </w:rPr>
      </w:pPr>
    </w:p>
    <w:p w:rsidR="0036505F" w:rsidRDefault="0036505F" w:rsidP="001A51C8">
      <w:pPr>
        <w:spacing w:before="100" w:beforeAutospacing="1" w:after="100" w:afterAutospacing="1" w:line="360" w:lineRule="auto"/>
        <w:jc w:val="both"/>
        <w:rPr>
          <w:rFonts w:ascii="Palatino Linotype" w:hAnsi="Palatino Linotype" w:cs="Arial"/>
          <w:lang w:val="es-MX" w:eastAsia="es-MX"/>
        </w:rPr>
      </w:pPr>
    </w:p>
    <w:p w:rsidR="0036505F" w:rsidRDefault="0036505F" w:rsidP="001A51C8">
      <w:pPr>
        <w:spacing w:before="100" w:beforeAutospacing="1" w:after="100" w:afterAutospacing="1" w:line="360" w:lineRule="auto"/>
        <w:jc w:val="both"/>
        <w:rPr>
          <w:rFonts w:ascii="Palatino Linotype" w:hAnsi="Palatino Linotype" w:cs="Arial"/>
          <w:lang w:val="es-MX" w:eastAsia="es-MX"/>
        </w:rPr>
      </w:pPr>
    </w:p>
    <w:p w:rsidR="00D25C96" w:rsidRDefault="00392DEB" w:rsidP="001A51C8">
      <w:pPr>
        <w:spacing w:before="100" w:beforeAutospacing="1" w:after="100" w:afterAutospacing="1" w:line="360" w:lineRule="auto"/>
        <w:jc w:val="both"/>
        <w:rPr>
          <w:rFonts w:ascii="Palatino Linotype" w:hAnsi="Palatino Linotype" w:cs="Arial"/>
          <w:lang w:val="es-MX" w:eastAsia="es-MX"/>
        </w:rPr>
      </w:pPr>
      <w:r>
        <w:rPr>
          <w:noProof/>
          <w:lang w:val="en-US" w:eastAsia="en-US"/>
        </w:rPr>
        <w:lastRenderedPageBreak/>
        <w:drawing>
          <wp:inline distT="0" distB="0" distL="0" distR="0" wp14:anchorId="4DF5CF72" wp14:editId="53560CE1">
            <wp:extent cx="5397500" cy="5636525"/>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3179" t="19127" r="27470" b="10621"/>
                    <a:stretch/>
                  </pic:blipFill>
                  <pic:spPr bwMode="auto">
                    <a:xfrm>
                      <a:off x="0" y="0"/>
                      <a:ext cx="5412695" cy="5652393"/>
                    </a:xfrm>
                    <a:prstGeom prst="rect">
                      <a:avLst/>
                    </a:prstGeom>
                    <a:ln>
                      <a:noFill/>
                    </a:ln>
                    <a:extLst>
                      <a:ext uri="{53640926-AAD7-44D8-BBD7-CCE9431645EC}">
                        <a14:shadowObscured xmlns:a14="http://schemas.microsoft.com/office/drawing/2010/main"/>
                      </a:ext>
                    </a:extLst>
                  </pic:spPr>
                </pic:pic>
              </a:graphicData>
            </a:graphic>
          </wp:inline>
        </w:drawing>
      </w:r>
    </w:p>
    <w:p w:rsidR="00392DEB" w:rsidRDefault="00B84CB3" w:rsidP="00392DEB">
      <w:pPr>
        <w:spacing w:before="240" w:after="240" w:line="360" w:lineRule="auto"/>
        <w:jc w:val="both"/>
        <w:rPr>
          <w:rFonts w:ascii="Palatino Linotype" w:hAnsi="Palatino Linotype" w:cs="Arial"/>
        </w:rPr>
      </w:pPr>
      <w:r>
        <w:rPr>
          <w:rFonts w:ascii="Palatino Linotype" w:hAnsi="Palatino Linotype" w:cs="Arial"/>
          <w:lang w:val="es-MX" w:eastAsia="es-MX"/>
        </w:rPr>
        <w:t>A</w:t>
      </w:r>
      <w:r w:rsidR="00F11217">
        <w:rPr>
          <w:rFonts w:ascii="Palatino Linotype" w:hAnsi="Palatino Linotype" w:cs="Arial"/>
          <w:lang w:val="es-MX" w:eastAsia="es-MX"/>
        </w:rPr>
        <w:t>ntes de analizar el documento descrito</w:t>
      </w:r>
      <w:r>
        <w:rPr>
          <w:rFonts w:ascii="Palatino Linotype" w:hAnsi="Palatino Linotype" w:cs="Arial"/>
          <w:lang w:val="es-MX" w:eastAsia="es-MX"/>
        </w:rPr>
        <w:t xml:space="preserve"> anteriormente</w:t>
      </w:r>
      <w:r w:rsidR="00D25C96">
        <w:rPr>
          <w:rFonts w:ascii="Palatino Linotype" w:hAnsi="Palatino Linotype" w:cs="Arial"/>
          <w:lang w:val="es-MX" w:eastAsia="es-MX"/>
        </w:rPr>
        <w:t xml:space="preserve">, es importante </w:t>
      </w:r>
      <w:r w:rsidR="00392DEB">
        <w:rPr>
          <w:rFonts w:ascii="Palatino Linotype" w:hAnsi="Palatino Linotype" w:cs="Arial"/>
          <w:lang w:val="es-MX" w:eastAsia="es-MX"/>
        </w:rPr>
        <w:t xml:space="preserve">establecer que de los motivos de inconformidad, se advierte que el </w:t>
      </w:r>
      <w:r w:rsidR="00392DEB" w:rsidRPr="00392DEB">
        <w:rPr>
          <w:rFonts w:ascii="Palatino Linotype" w:hAnsi="Palatino Linotype" w:cs="Arial"/>
          <w:b/>
          <w:lang w:val="es-MX" w:eastAsia="es-MX"/>
        </w:rPr>
        <w:t>RECURRENTE</w:t>
      </w:r>
      <w:r w:rsidR="00392DEB">
        <w:rPr>
          <w:rFonts w:ascii="Palatino Linotype" w:hAnsi="Palatino Linotype" w:cs="Arial"/>
          <w:lang w:val="es-MX" w:eastAsia="es-MX"/>
        </w:rPr>
        <w:t xml:space="preserve"> se queja únicamente porque el oficio número </w:t>
      </w:r>
      <w:r w:rsidR="00392DEB" w:rsidRPr="00392DEB">
        <w:rPr>
          <w:rFonts w:ascii="Palatino Linotype" w:hAnsi="Palatino Linotype"/>
        </w:rPr>
        <w:t>20500006010000S/611/2021</w:t>
      </w:r>
      <w:r w:rsidR="00392DEB">
        <w:rPr>
          <w:rFonts w:ascii="Palatino Linotype" w:hAnsi="Palatino Linotype"/>
        </w:rPr>
        <w:t xml:space="preserve">, está incompleto, lo que se traduce que está conforme con la información correspondiente al número de </w:t>
      </w:r>
      <w:proofErr w:type="spellStart"/>
      <w:r w:rsidR="00392DEB">
        <w:rPr>
          <w:rFonts w:ascii="Palatino Linotype" w:hAnsi="Palatino Linotype"/>
        </w:rPr>
        <w:t>de</w:t>
      </w:r>
      <w:proofErr w:type="spellEnd"/>
      <w:r w:rsidR="00392DEB">
        <w:rPr>
          <w:rFonts w:ascii="Palatino Linotype" w:hAnsi="Palatino Linotype"/>
        </w:rPr>
        <w:t xml:space="preserve"> servidores públicos susceptibles a pago de estímulo por puntualidad y asistencia </w:t>
      </w:r>
      <w:r w:rsidR="00392DEB">
        <w:rPr>
          <w:rFonts w:ascii="Palatino Linotype" w:hAnsi="Palatino Linotype"/>
        </w:rPr>
        <w:lastRenderedPageBreak/>
        <w:t xml:space="preserve">perfecta a partir de enero del año 2021, que le fue entregado por cada una de las áreas administrativas que conforman a la Secretaría General de Gobierno; de ahí que, </w:t>
      </w:r>
      <w:r w:rsidR="00392DEB">
        <w:rPr>
          <w:rFonts w:ascii="Palatino Linotype" w:hAnsi="Palatino Linotype" w:cs="Arial"/>
        </w:rPr>
        <w:t>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392DEB" w:rsidRDefault="00392DEB" w:rsidP="00392DEB">
      <w:pPr>
        <w:ind w:left="567" w:right="567"/>
        <w:jc w:val="both"/>
        <w:rPr>
          <w:rFonts w:ascii="Palatino Linotype" w:hAnsi="Palatino Linotype" w:cs="Arial"/>
        </w:rPr>
      </w:pPr>
    </w:p>
    <w:p w:rsidR="00392DEB" w:rsidRDefault="00392DEB" w:rsidP="00392DEB">
      <w:pPr>
        <w:ind w:left="567" w:right="567"/>
        <w:jc w:val="both"/>
        <w:rPr>
          <w:rFonts w:ascii="Palatino Linotype" w:hAnsi="Palatino Linotype" w:cs="Arial"/>
          <w:i/>
          <w:sz w:val="22"/>
          <w:szCs w:val="22"/>
        </w:rPr>
      </w:pPr>
      <w:r>
        <w:rPr>
          <w:rFonts w:ascii="Palatino Linotype" w:hAnsi="Palatino Linotype" w:cs="Arial"/>
          <w:sz w:val="22"/>
          <w:szCs w:val="22"/>
        </w:rPr>
        <w:t>“</w:t>
      </w:r>
      <w:r>
        <w:rPr>
          <w:rFonts w:ascii="Palatino Linotype" w:hAnsi="Palatino Linotype" w:cs="Arial"/>
          <w:b/>
          <w:i/>
          <w:sz w:val="22"/>
          <w:szCs w:val="22"/>
        </w:rPr>
        <w:t>REVISIÓN EN AMPARO. LOS RESOLUTIVOS NO COMBATIDOS DEBEN DECLARARSE FIRMES</w:t>
      </w:r>
      <w:r>
        <w:rPr>
          <w:rFonts w:ascii="Palatino Linotype" w:hAnsi="Palatino Linotype" w:cs="Arial"/>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 (Sic)</w:t>
      </w:r>
    </w:p>
    <w:p w:rsidR="00392DEB" w:rsidRDefault="00392DEB" w:rsidP="00392DEB">
      <w:pPr>
        <w:pStyle w:val="Sinespaciado"/>
      </w:pPr>
    </w:p>
    <w:p w:rsidR="00392DEB" w:rsidRDefault="00392DEB" w:rsidP="00392DEB">
      <w:pPr>
        <w:spacing w:line="360" w:lineRule="auto"/>
        <w:jc w:val="both"/>
        <w:rPr>
          <w:rFonts w:ascii="Palatino Linotype" w:hAnsi="Palatino Linotype" w:cs="Arial"/>
        </w:rPr>
      </w:pPr>
      <w:r>
        <w:rPr>
          <w:rFonts w:ascii="Palatino Linotype" w:hAnsi="Palatino Linotype" w:cs="Arial"/>
        </w:rPr>
        <w:t>Esto es,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inconformidad ya que se infiere un consentimiento de la recurrente ante la falta de impugnación eficaz.</w:t>
      </w:r>
    </w:p>
    <w:p w:rsidR="00392DEB" w:rsidRDefault="00392DEB" w:rsidP="00392DEB">
      <w:pPr>
        <w:spacing w:line="360" w:lineRule="auto"/>
        <w:jc w:val="both"/>
        <w:rPr>
          <w:rFonts w:ascii="Palatino Linotype" w:hAnsi="Palatino Linotype" w:cs="Arial"/>
        </w:rPr>
      </w:pPr>
    </w:p>
    <w:p w:rsidR="00392DEB" w:rsidRDefault="00392DEB" w:rsidP="00392DEB">
      <w:pPr>
        <w:spacing w:line="360" w:lineRule="auto"/>
        <w:jc w:val="both"/>
        <w:rPr>
          <w:rFonts w:ascii="Palatino Linotype" w:hAnsi="Palatino Linotype" w:cs="Arial"/>
        </w:rPr>
      </w:pPr>
      <w:r>
        <w:rPr>
          <w:rFonts w:ascii="Palatino Linotype" w:hAnsi="Palatino Linotype" w:cs="Arial"/>
        </w:rPr>
        <w:t>Sirve de sustento a lo anterior, por analogía, la tesis jurisprudencial número VI.3o.C. J/60, publicada en el Semanario Judicial de la Federación y su Gaceta bajo el número de registro 176,608 que a la letra dice:</w:t>
      </w:r>
    </w:p>
    <w:p w:rsidR="00392DEB" w:rsidRDefault="00392DEB" w:rsidP="00392DEB">
      <w:pPr>
        <w:pStyle w:val="Sinespaciado"/>
      </w:pPr>
    </w:p>
    <w:p w:rsidR="00392DEB" w:rsidRDefault="00392DEB" w:rsidP="00392DEB">
      <w:pPr>
        <w:ind w:left="567" w:right="567"/>
        <w:jc w:val="both"/>
        <w:rPr>
          <w:rFonts w:ascii="Palatino Linotype" w:hAnsi="Palatino Linotype" w:cs="Arial"/>
          <w:i/>
          <w:sz w:val="22"/>
          <w:szCs w:val="22"/>
        </w:rPr>
      </w:pPr>
      <w:r>
        <w:rPr>
          <w:rFonts w:ascii="Palatino Linotype" w:hAnsi="Palatino Linotype" w:cs="Arial"/>
          <w:i/>
          <w:sz w:val="22"/>
          <w:szCs w:val="22"/>
        </w:rPr>
        <w:lastRenderedPageBreak/>
        <w:t>“</w:t>
      </w:r>
      <w:r>
        <w:rPr>
          <w:rFonts w:ascii="Palatino Linotype" w:hAnsi="Palatino Linotype" w:cs="Arial"/>
          <w:b/>
          <w:i/>
          <w:sz w:val="22"/>
          <w:szCs w:val="22"/>
        </w:rPr>
        <w:t>ACTOS CONSENTIDOS. SON LOS QUE NO SE IMPUGNAN MEDIANTE EL RECURSO IDÓNEO</w:t>
      </w:r>
      <w:r>
        <w:rPr>
          <w:rFonts w:ascii="Palatino Linotype" w:hAnsi="Palatino Linotype" w:cs="Arial"/>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r w:rsidR="00C32DD3">
        <w:rPr>
          <w:rFonts w:ascii="Palatino Linotype" w:hAnsi="Palatino Linotype" w:cs="Arial"/>
          <w:i/>
          <w:sz w:val="22"/>
          <w:szCs w:val="22"/>
        </w:rPr>
        <w:t>(Sic)</w:t>
      </w:r>
    </w:p>
    <w:p w:rsidR="00392DEB" w:rsidRDefault="00C32DD3" w:rsidP="00392DEB">
      <w:pPr>
        <w:autoSpaceDE w:val="0"/>
        <w:autoSpaceDN w:val="0"/>
        <w:adjustRightInd w:val="0"/>
        <w:spacing w:before="240" w:after="240" w:line="360" w:lineRule="auto"/>
        <w:jc w:val="both"/>
        <w:rPr>
          <w:rFonts w:ascii="Palatino Linotype" w:hAnsi="Palatino Linotype"/>
        </w:rPr>
      </w:pPr>
      <w:r>
        <w:rPr>
          <w:rFonts w:ascii="Palatino Linotype" w:hAnsi="Palatino Linotype"/>
        </w:rPr>
        <w:t>Máxime, que</w:t>
      </w:r>
      <w:r w:rsidR="00392DEB">
        <w:rPr>
          <w:rFonts w:ascii="Palatino Linotype" w:hAnsi="Palatino Linotype"/>
        </w:rPr>
        <w:t xml:space="preserve"> al haber un pronunciamiento por parte del </w:t>
      </w:r>
      <w:r>
        <w:rPr>
          <w:rFonts w:ascii="Palatino Linotype" w:hAnsi="Palatino Linotype"/>
          <w:b/>
        </w:rPr>
        <w:t xml:space="preserve">SUJETO OBLIGADO, </w:t>
      </w:r>
      <w:r w:rsidRPr="00C32DD3">
        <w:rPr>
          <w:rFonts w:ascii="Palatino Linotype" w:hAnsi="Palatino Linotype"/>
        </w:rPr>
        <w:t>este Órgano Garante no está facultado para pronunciarse sobre la veracidad de la información entregada,</w:t>
      </w:r>
      <w:r>
        <w:rPr>
          <w:rFonts w:ascii="Palatino Linotype" w:hAnsi="Palatino Linotype"/>
          <w:b/>
        </w:rPr>
        <w:t xml:space="preserve"> </w:t>
      </w:r>
      <w:r w:rsidR="00392DEB">
        <w:rPr>
          <w:rFonts w:ascii="Palatino Linotype" w:hAnsi="Palatino Linotype"/>
        </w:rPr>
        <w:t>sirve de apoyo a todo anterior, el Criterio 31-10 emitido por el entonces Instituto Federal de Accesos a la Información y Protección de Datos, que a la letra establece lo siguiente:</w:t>
      </w:r>
    </w:p>
    <w:p w:rsidR="00392DEB" w:rsidRDefault="00392DEB" w:rsidP="00392DEB">
      <w:pPr>
        <w:spacing w:before="120" w:after="120"/>
        <w:ind w:left="851" w:right="851"/>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respecto.”(Sic)</w:t>
      </w:r>
    </w:p>
    <w:p w:rsidR="00392DEB" w:rsidRDefault="00392DEB" w:rsidP="00600AFE">
      <w:pPr>
        <w:spacing w:line="360" w:lineRule="auto"/>
        <w:ind w:right="51"/>
        <w:contextualSpacing/>
        <w:jc w:val="both"/>
        <w:rPr>
          <w:rFonts w:ascii="Palatino Linotype" w:hAnsi="Palatino Linotype" w:cs="Arial"/>
          <w:lang w:val="es-MX" w:eastAsia="es-MX"/>
        </w:rPr>
      </w:pPr>
    </w:p>
    <w:p w:rsidR="006A22FD" w:rsidRPr="00D53C9E" w:rsidRDefault="006A22FD" w:rsidP="006A22FD">
      <w:pPr>
        <w:pStyle w:val="Prrafodelista"/>
        <w:autoSpaceDE w:val="0"/>
        <w:autoSpaceDN w:val="0"/>
        <w:adjustRightInd w:val="0"/>
        <w:spacing w:line="360" w:lineRule="auto"/>
        <w:ind w:left="0"/>
        <w:jc w:val="both"/>
        <w:rPr>
          <w:rFonts w:ascii="Palatino Linotype" w:hAnsi="Palatino Linotype" w:cs="Arial"/>
          <w:sz w:val="24"/>
          <w:szCs w:val="24"/>
        </w:rPr>
      </w:pPr>
      <w:r w:rsidRPr="00D53C9E">
        <w:rPr>
          <w:rFonts w:ascii="Palatino Linotype" w:hAnsi="Palatino Linotype" w:cs="Arial"/>
          <w:sz w:val="24"/>
          <w:szCs w:val="24"/>
        </w:rPr>
        <w:t xml:space="preserve">De lo anterior, este Órgano Resolutor en aras de tutelar el derecho de acceso a la información de los particulares, tiene la obligación de apegarse en todo momento a lo que dispone la Ley de Transparencia y Acceso a la Información Pública del Estado </w:t>
      </w:r>
      <w:r w:rsidRPr="00D53C9E">
        <w:rPr>
          <w:rFonts w:ascii="Palatino Linotype" w:hAnsi="Palatino Linotype" w:cs="Arial"/>
          <w:sz w:val="24"/>
          <w:szCs w:val="24"/>
        </w:rPr>
        <w:lastRenderedPageBreak/>
        <w:t>de México y Municipios garantizando los principios de imparcialidad y legalidad en el procedimiento de impugnación y resolución del recurso planteado.</w:t>
      </w:r>
    </w:p>
    <w:p w:rsidR="006A22FD" w:rsidRDefault="006A22FD" w:rsidP="006A22FD">
      <w:pPr>
        <w:spacing w:line="360" w:lineRule="auto"/>
        <w:ind w:right="51"/>
        <w:contextualSpacing/>
        <w:jc w:val="both"/>
        <w:rPr>
          <w:rFonts w:ascii="Palatino Linotype" w:hAnsi="Palatino Linotype" w:cs="Arial"/>
          <w:lang w:eastAsia="en-US"/>
        </w:rPr>
      </w:pPr>
    </w:p>
    <w:p w:rsidR="00D25C96" w:rsidRDefault="00B84CB3" w:rsidP="006A22FD">
      <w:pPr>
        <w:spacing w:line="360" w:lineRule="auto"/>
        <w:ind w:right="51"/>
        <w:contextualSpacing/>
        <w:jc w:val="both"/>
        <w:rPr>
          <w:rFonts w:ascii="Palatino Linotype" w:hAnsi="Palatino Linotype"/>
        </w:rPr>
      </w:pPr>
      <w:r>
        <w:rPr>
          <w:rFonts w:ascii="Palatino Linotype" w:hAnsi="Palatino Linotype" w:cs="Arial"/>
          <w:lang w:eastAsia="en-US"/>
        </w:rPr>
        <w:t xml:space="preserve">Regresando al análisis </w:t>
      </w:r>
      <w:r w:rsidR="00F11217">
        <w:rPr>
          <w:rFonts w:ascii="Palatino Linotype" w:hAnsi="Palatino Linotype" w:cs="Arial"/>
          <w:lang w:eastAsia="en-US"/>
        </w:rPr>
        <w:t xml:space="preserve">del documento que </w:t>
      </w:r>
      <w:r>
        <w:rPr>
          <w:rFonts w:ascii="Palatino Linotype" w:hAnsi="Palatino Linotype" w:cs="Arial"/>
          <w:lang w:eastAsia="en-US"/>
        </w:rPr>
        <w:t>remitió el Sujeto Obligado</w:t>
      </w:r>
      <w:r w:rsidR="00F11217">
        <w:rPr>
          <w:rFonts w:ascii="Palatino Linotype" w:hAnsi="Palatino Linotype" w:cs="Arial"/>
          <w:lang w:eastAsia="en-US"/>
        </w:rPr>
        <w:t xml:space="preserve"> en el apartado de manifestaciones</w:t>
      </w:r>
      <w:r w:rsidR="00600AFE">
        <w:rPr>
          <w:rFonts w:ascii="Palatino Linotype" w:hAnsi="Palatino Linotype" w:cs="Arial"/>
          <w:lang w:eastAsia="en-US"/>
        </w:rPr>
        <w:t xml:space="preserve">, </w:t>
      </w:r>
      <w:r>
        <w:rPr>
          <w:rFonts w:ascii="Palatino Linotype" w:hAnsi="Palatino Linotype" w:cs="Arial"/>
          <w:lang w:eastAsia="en-US"/>
        </w:rPr>
        <w:t>deb</w:t>
      </w:r>
      <w:r w:rsidR="00F11217">
        <w:rPr>
          <w:rFonts w:ascii="Palatino Linotype" w:hAnsi="Palatino Linotype" w:cs="Arial"/>
          <w:lang w:eastAsia="en-US"/>
        </w:rPr>
        <w:t>e decirse que el mismo</w:t>
      </w:r>
      <w:r w:rsidR="006A22FD">
        <w:rPr>
          <w:rFonts w:ascii="Palatino Linotype" w:hAnsi="Palatino Linotype" w:cs="Arial"/>
          <w:lang w:eastAsia="en-US"/>
        </w:rPr>
        <w:t xml:space="preserve"> coincide con el número de oficio </w:t>
      </w:r>
      <w:r w:rsidR="006A22FD" w:rsidRPr="00392DEB">
        <w:rPr>
          <w:rFonts w:ascii="Palatino Linotype" w:hAnsi="Palatino Linotype"/>
        </w:rPr>
        <w:t>20500006010000S/611/2021</w:t>
      </w:r>
      <w:r w:rsidR="006A22FD">
        <w:rPr>
          <w:rFonts w:ascii="Palatino Linotype" w:hAnsi="Palatino Linotype"/>
        </w:rPr>
        <w:t xml:space="preserve">, </w:t>
      </w:r>
      <w:r w:rsidR="006A22FD">
        <w:rPr>
          <w:rFonts w:ascii="Palatino Linotype" w:hAnsi="Palatino Linotype" w:cs="Arial"/>
          <w:lang w:eastAsia="en-US"/>
        </w:rPr>
        <w:t xml:space="preserve">satisfaciendo con ello los motivos de inconformidad del </w:t>
      </w:r>
      <w:r w:rsidR="006A22FD" w:rsidRPr="006A22FD">
        <w:rPr>
          <w:rFonts w:ascii="Palatino Linotype" w:hAnsi="Palatino Linotype" w:cs="Arial"/>
          <w:b/>
          <w:lang w:eastAsia="en-US"/>
        </w:rPr>
        <w:t>RECURRENTE.</w:t>
      </w:r>
      <w:r w:rsidR="006A22FD">
        <w:rPr>
          <w:rFonts w:ascii="Palatino Linotype" w:hAnsi="Palatino Linotype" w:cs="Arial"/>
          <w:lang w:eastAsia="en-US"/>
        </w:rPr>
        <w:t xml:space="preserve">  </w:t>
      </w:r>
    </w:p>
    <w:p w:rsidR="00D25C96" w:rsidRDefault="00D25C96" w:rsidP="00D25C96">
      <w:pPr>
        <w:autoSpaceDE w:val="0"/>
        <w:autoSpaceDN w:val="0"/>
        <w:adjustRightInd w:val="0"/>
        <w:spacing w:before="240" w:after="240" w:line="360" w:lineRule="auto"/>
        <w:jc w:val="both"/>
        <w:rPr>
          <w:rFonts w:ascii="Palatino Linotype" w:hAnsi="Palatino Linotype" w:cs="Arial"/>
          <w:i/>
          <w:sz w:val="22"/>
          <w:szCs w:val="22"/>
        </w:rPr>
      </w:pPr>
      <w:r>
        <w:rPr>
          <w:rFonts w:ascii="Palatino Linotype" w:hAnsi="Palatino Linotype"/>
        </w:rPr>
        <w:t>De ahí que</w:t>
      </w:r>
      <w:r w:rsidRPr="00A3483A">
        <w:rPr>
          <w:rFonts w:ascii="Palatino Linotype" w:hAnsi="Palatino Linotype"/>
        </w:rPr>
        <w:t xml:space="preserve">, con </w:t>
      </w:r>
      <w:r>
        <w:rPr>
          <w:rFonts w:ascii="Palatino Linotype" w:hAnsi="Palatino Linotype"/>
        </w:rPr>
        <w:t>el</w:t>
      </w:r>
      <w:r w:rsidRPr="00A3483A">
        <w:rPr>
          <w:rFonts w:ascii="Palatino Linotype" w:hAnsi="Palatino Linotype"/>
        </w:rPr>
        <w:t xml:space="preserve"> archivo electrónico enviado por el </w:t>
      </w:r>
      <w:r w:rsidR="006A22FD" w:rsidRPr="006A22FD">
        <w:rPr>
          <w:rFonts w:ascii="Palatino Linotype" w:hAnsi="Palatino Linotype"/>
          <w:b/>
        </w:rPr>
        <w:t>SUJETO OBLIGADO</w:t>
      </w:r>
      <w:r w:rsidR="006A22FD" w:rsidRPr="00A3483A">
        <w:rPr>
          <w:rFonts w:ascii="Palatino Linotype" w:hAnsi="Palatino Linotype"/>
        </w:rPr>
        <w:t xml:space="preserve"> </w:t>
      </w:r>
      <w:r w:rsidRPr="00A3483A">
        <w:rPr>
          <w:rFonts w:ascii="Palatino Linotype" w:hAnsi="Palatino Linotype"/>
        </w:rPr>
        <w:t>en el apartado de manifestaciones del Sistema de Acceso a la Información Mexiquense</w:t>
      </w:r>
      <w:r w:rsidRPr="00513B76">
        <w:rPr>
          <w:rFonts w:ascii="Palatino Linotype" w:hAnsi="Palatino Linotype"/>
        </w:rPr>
        <w:t xml:space="preserve">, </w:t>
      </w:r>
      <w:r>
        <w:rPr>
          <w:rFonts w:ascii="Palatino Linotype" w:eastAsia="Calibri" w:hAnsi="Palatino Linotype" w:cs="Arial"/>
        </w:rPr>
        <w:t xml:space="preserve">modifica su </w:t>
      </w:r>
      <w:r w:rsidR="006A22FD">
        <w:rPr>
          <w:rFonts w:ascii="Palatino Linotype" w:eastAsia="Calibri" w:hAnsi="Palatino Linotype" w:cs="Arial"/>
        </w:rPr>
        <w:t xml:space="preserve">deficiencia al remitir el oficio número </w:t>
      </w:r>
      <w:r w:rsidR="006A22FD" w:rsidRPr="00392DEB">
        <w:rPr>
          <w:rFonts w:ascii="Palatino Linotype" w:hAnsi="Palatino Linotype"/>
        </w:rPr>
        <w:t>20500006010000S/611/2021</w:t>
      </w:r>
      <w:r w:rsidR="006A22FD">
        <w:rPr>
          <w:rFonts w:ascii="Palatino Linotype" w:hAnsi="Palatino Linotype"/>
        </w:rPr>
        <w:t xml:space="preserve"> de manera completa</w:t>
      </w:r>
      <w:r>
        <w:rPr>
          <w:rFonts w:ascii="Palatino Linotype" w:hAnsi="Palatino Linotype" w:cs="Arial"/>
          <w:lang w:eastAsia="en-US"/>
        </w:rPr>
        <w:t>, colmando con ello el derecho de acceso a la información del particular.</w:t>
      </w:r>
    </w:p>
    <w:p w:rsidR="00D25C96" w:rsidRPr="00D26C76" w:rsidRDefault="00D25C96" w:rsidP="00D25C96">
      <w:pPr>
        <w:autoSpaceDE w:val="0"/>
        <w:autoSpaceDN w:val="0"/>
        <w:adjustRightInd w:val="0"/>
        <w:spacing w:before="240" w:after="240" w:line="360" w:lineRule="auto"/>
        <w:jc w:val="both"/>
        <w:rPr>
          <w:rFonts w:ascii="Palatino Linotype" w:eastAsia="Calibri" w:hAnsi="Palatino Linotype"/>
        </w:rPr>
      </w:pPr>
      <w:r>
        <w:rPr>
          <w:rFonts w:ascii="Palatino Linotype" w:eastAsia="Calibri" w:hAnsi="Palatino Linotype" w:cs="Arial"/>
        </w:rPr>
        <w:t>E</w:t>
      </w:r>
      <w:r w:rsidRPr="00513B76">
        <w:rPr>
          <w:rFonts w:ascii="Palatino Linotype" w:eastAsia="Calibri" w:hAnsi="Palatino Linotype"/>
        </w:rPr>
        <w:t>n consecuencia, se actualiza la causal de sobrese</w:t>
      </w:r>
      <w:r>
        <w:rPr>
          <w:rFonts w:ascii="Palatino Linotype" w:eastAsia="Calibri" w:hAnsi="Palatino Linotype"/>
        </w:rPr>
        <w:t>imiento prevista en la fracción III</w:t>
      </w:r>
      <w:r w:rsidRPr="00513B76">
        <w:rPr>
          <w:rFonts w:ascii="Palatino Linotype" w:eastAsia="Calibri" w:hAnsi="Palatino Linotype"/>
        </w:rPr>
        <w:t xml:space="preserve"> </w:t>
      </w:r>
      <w:r>
        <w:rPr>
          <w:rFonts w:ascii="Palatino Linotype" w:eastAsia="Calibri" w:hAnsi="Palatino Linotype"/>
        </w:rPr>
        <w:t xml:space="preserve">del artículo 192 de la </w:t>
      </w:r>
      <w:r>
        <w:rPr>
          <w:rFonts w:ascii="Palatino Linotype" w:eastAsia="Calibri" w:hAnsi="Palatino Linotype" w:cs="Arial"/>
        </w:rPr>
        <w:t>Ley de Transparencia y Acceso a la Información Pública del Estado de México y Municipios</w:t>
      </w:r>
      <w:r>
        <w:rPr>
          <w:rFonts w:ascii="Palatino Linotype" w:eastAsia="Calibri" w:hAnsi="Palatino Linotype"/>
        </w:rPr>
        <w:t>, que dispone lo siguiente:</w:t>
      </w:r>
    </w:p>
    <w:p w:rsidR="00D25C96" w:rsidRDefault="00D25C96" w:rsidP="00D25C96">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B33B44">
        <w:rPr>
          <w:rFonts w:ascii="Palatino Linotype" w:hAnsi="Palatino Linotype" w:cs="Bookman Old Style"/>
          <w:b/>
          <w:bCs/>
          <w:i/>
          <w:sz w:val="22"/>
          <w:szCs w:val="22"/>
        </w:rPr>
        <w:t xml:space="preserve">“Artículo 192. </w:t>
      </w:r>
      <w:r w:rsidRPr="00B33B44">
        <w:rPr>
          <w:rFonts w:ascii="Palatino Linotype" w:hAnsi="Palatino Linotype" w:cs="Bookman Old Style"/>
          <w:i/>
          <w:sz w:val="22"/>
          <w:szCs w:val="22"/>
        </w:rPr>
        <w:t>El recurso será sobreseído en todo o en parte cuando una vez admitido, se actualicen alguno de los siguientes supuestos:</w:t>
      </w:r>
    </w:p>
    <w:p w:rsidR="00D25C96" w:rsidRPr="00B33B44" w:rsidRDefault="00D25C96" w:rsidP="00D25C96">
      <w:pPr>
        <w:autoSpaceDE w:val="0"/>
        <w:autoSpaceDN w:val="0"/>
        <w:adjustRightInd w:val="0"/>
        <w:spacing w:before="240" w:after="240"/>
        <w:ind w:left="992" w:right="1043"/>
        <w:contextualSpacing/>
        <w:jc w:val="both"/>
        <w:rPr>
          <w:rFonts w:ascii="Palatino Linotype" w:hAnsi="Palatino Linotype" w:cs="Bookman Old Style"/>
          <w:i/>
          <w:sz w:val="22"/>
          <w:szCs w:val="22"/>
        </w:rPr>
      </w:pPr>
      <w:r>
        <w:rPr>
          <w:rFonts w:ascii="Palatino Linotype" w:hAnsi="Palatino Linotype" w:cs="Bookman Old Style"/>
          <w:b/>
          <w:bCs/>
          <w:i/>
          <w:sz w:val="22"/>
          <w:szCs w:val="22"/>
        </w:rPr>
        <w:t>…</w:t>
      </w:r>
    </w:p>
    <w:p w:rsidR="00D25C96" w:rsidRPr="00B33B44" w:rsidRDefault="00D25C96" w:rsidP="00D25C96">
      <w:pPr>
        <w:autoSpaceDE w:val="0"/>
        <w:autoSpaceDN w:val="0"/>
        <w:adjustRightInd w:val="0"/>
        <w:spacing w:before="240" w:after="240"/>
        <w:ind w:left="992" w:right="1043"/>
        <w:contextualSpacing/>
        <w:jc w:val="both"/>
        <w:rPr>
          <w:rFonts w:ascii="Palatino Linotype" w:hAnsi="Palatino Linotype" w:cs="Bookman Old Style"/>
          <w:b/>
          <w:i/>
          <w:sz w:val="22"/>
          <w:szCs w:val="22"/>
        </w:rPr>
      </w:pPr>
      <w:r w:rsidRPr="00D912A5">
        <w:rPr>
          <w:rFonts w:ascii="Palatino Linotype" w:hAnsi="Palatino Linotype" w:cs="Bookman Old Style"/>
          <w:b/>
          <w:bCs/>
          <w:i/>
          <w:sz w:val="22"/>
          <w:szCs w:val="22"/>
        </w:rPr>
        <w:t>III.</w:t>
      </w:r>
      <w:r w:rsidRPr="00D912A5">
        <w:rPr>
          <w:rFonts w:ascii="Palatino Linotype" w:hAnsi="Palatino Linotype" w:cs="Bookman Old Style"/>
          <w:b/>
          <w:i/>
          <w:sz w:val="22"/>
          <w:szCs w:val="22"/>
        </w:rPr>
        <w:t xml:space="preserve"> El sujeto obligado responsable del acto lo modifique o revoque de tal manera que el recurso de revisión quede sin materia</w:t>
      </w:r>
      <w:r>
        <w:rPr>
          <w:rFonts w:ascii="Palatino Linotype" w:hAnsi="Palatino Linotype" w:cs="Bookman Old Style"/>
          <w:b/>
          <w:i/>
          <w:sz w:val="22"/>
          <w:szCs w:val="22"/>
        </w:rPr>
        <w:t>…</w:t>
      </w:r>
      <w:r w:rsidRPr="00B33B44">
        <w:rPr>
          <w:rFonts w:ascii="Palatino Linotype" w:hAnsi="Palatino Linotype" w:cs="Bookman Old Style"/>
          <w:b/>
          <w:i/>
          <w:sz w:val="22"/>
          <w:szCs w:val="22"/>
        </w:rPr>
        <w:t>”. (Sic)</w:t>
      </w:r>
    </w:p>
    <w:p w:rsidR="00D25C96" w:rsidRDefault="00D25C96" w:rsidP="00D25C96">
      <w:pPr>
        <w:spacing w:before="240" w:after="240" w:line="360" w:lineRule="auto"/>
        <w:contextualSpacing/>
        <w:jc w:val="both"/>
        <w:rPr>
          <w:rFonts w:ascii="Palatino Linotype" w:hAnsi="Palatino Linotype" w:cs="Bookman Old Style"/>
          <w:b/>
          <w:i/>
        </w:rPr>
      </w:pPr>
    </w:p>
    <w:p w:rsidR="00D25C96" w:rsidRDefault="00D25C96" w:rsidP="00D25C96">
      <w:pPr>
        <w:spacing w:before="240" w:after="240" w:line="360" w:lineRule="auto"/>
        <w:jc w:val="both"/>
        <w:rPr>
          <w:rFonts w:ascii="Palatino Linotype" w:hAnsi="Palatino Linotype"/>
        </w:rPr>
      </w:pPr>
      <w:r>
        <w:rPr>
          <w:rFonts w:ascii="Palatino Linotype" w:hAnsi="Palatino Linotype"/>
        </w:rPr>
        <w:t>De lo establecido en el precepto legal citado se advierte que el sobreseimiento del recurso de revisión procede en los siguientes casos:</w:t>
      </w:r>
    </w:p>
    <w:p w:rsidR="00D25C96" w:rsidRDefault="00D25C96" w:rsidP="00D25C96">
      <w:pPr>
        <w:spacing w:before="240" w:after="240" w:line="360" w:lineRule="auto"/>
        <w:jc w:val="both"/>
        <w:rPr>
          <w:rFonts w:ascii="Palatino Linotype" w:hAnsi="Palatino Linotype"/>
        </w:rPr>
      </w:pPr>
      <w:r>
        <w:rPr>
          <w:rFonts w:ascii="Palatino Linotype" w:hAnsi="Palatino Linotype"/>
        </w:rPr>
        <w:t>a) Cuando el sujeto obligado modifique el acto impugnado.</w:t>
      </w:r>
    </w:p>
    <w:p w:rsidR="00D25C96" w:rsidRDefault="00D25C96" w:rsidP="00D25C96">
      <w:pPr>
        <w:spacing w:before="240" w:after="240" w:line="360" w:lineRule="auto"/>
        <w:jc w:val="both"/>
        <w:rPr>
          <w:rFonts w:ascii="Palatino Linotype" w:hAnsi="Palatino Linotype"/>
        </w:rPr>
      </w:pPr>
      <w:r>
        <w:rPr>
          <w:rFonts w:ascii="Palatino Linotype" w:hAnsi="Palatino Linotype"/>
        </w:rPr>
        <w:lastRenderedPageBreak/>
        <w:t>b) Cuando el sujeto obligado revoque el acto impugnado.</w:t>
      </w:r>
    </w:p>
    <w:p w:rsidR="00D25C96" w:rsidRDefault="00D25C96" w:rsidP="00D25C96">
      <w:pPr>
        <w:spacing w:before="240" w:after="240" w:line="360" w:lineRule="auto"/>
        <w:jc w:val="both"/>
        <w:rPr>
          <w:rFonts w:ascii="Palatino Linotype" w:hAnsi="Palatino Linotype" w:cs="Arial"/>
        </w:rPr>
      </w:pPr>
      <w:r>
        <w:rPr>
          <w:rFonts w:ascii="Palatino Linotype" w:hAnsi="Palatino Linotype"/>
        </w:rPr>
        <w:t>Quedando en ambos casos el acto combatido sin materia o sin efectos.</w:t>
      </w:r>
    </w:p>
    <w:p w:rsidR="00D25C96" w:rsidRDefault="00D25C96" w:rsidP="00D25C96">
      <w:pPr>
        <w:spacing w:before="240" w:after="240" w:line="360" w:lineRule="auto"/>
        <w:jc w:val="both"/>
        <w:rPr>
          <w:rFonts w:ascii="Palatino Linotype" w:hAnsi="Palatino Linotype"/>
        </w:rPr>
      </w:pPr>
      <w:r>
        <w:rPr>
          <w:rFonts w:ascii="Palatino Linotype" w:hAnsi="Palatino Linotype"/>
        </w:rPr>
        <w:t xml:space="preserve">Como se observa de lo anterior, un acto impugnado es modificado en aquellos casos en los que el </w:t>
      </w:r>
      <w:r w:rsidR="006A22FD" w:rsidRPr="006A22FD">
        <w:rPr>
          <w:rFonts w:ascii="Palatino Linotype" w:hAnsi="Palatino Linotype"/>
          <w:b/>
        </w:rPr>
        <w:t>SUJETO OBLIGADO</w:t>
      </w:r>
      <w:r w:rsidR="006A22FD">
        <w:rPr>
          <w:rFonts w:ascii="Palatino Linotype" w:hAnsi="Palatino Linotype"/>
        </w:rPr>
        <w:t xml:space="preserve"> </w:t>
      </w:r>
      <w:r>
        <w:rPr>
          <w:rFonts w:ascii="Palatino Linotype" w:hAnsi="Palatino Linotype"/>
        </w:rPr>
        <w:t xml:space="preserve">después de haber otorgado una respuesta, emite una diversa de manera posterior y en ésta subsana las deficiencias que hubiera tenido, quedando satisfecho el derecho subjetivo accionado por la parte </w:t>
      </w:r>
      <w:r w:rsidR="006A22FD" w:rsidRPr="006A22FD">
        <w:rPr>
          <w:rFonts w:ascii="Palatino Linotype" w:hAnsi="Palatino Linotype"/>
          <w:b/>
        </w:rPr>
        <w:t>RECURRENTE</w:t>
      </w:r>
      <w:r>
        <w:rPr>
          <w:rFonts w:ascii="Palatino Linotype" w:hAnsi="Palatino Linotype"/>
        </w:rPr>
        <w:t>.</w:t>
      </w:r>
    </w:p>
    <w:p w:rsidR="00D25C96" w:rsidRDefault="00D25C96" w:rsidP="00D25C96">
      <w:pPr>
        <w:spacing w:before="240" w:after="240" w:line="360" w:lineRule="auto"/>
        <w:jc w:val="both"/>
        <w:rPr>
          <w:rFonts w:ascii="Palatino Linotype" w:hAnsi="Palatino Linotype"/>
        </w:rPr>
      </w:pPr>
      <w:r>
        <w:rPr>
          <w:rFonts w:ascii="Palatino Linotype" w:hAnsi="Palatino Linotype"/>
        </w:rPr>
        <w:t xml:space="preserve">Por lo que hace a la revocación, esta se actualiza cuando el </w:t>
      </w:r>
      <w:r w:rsidR="006A22FD" w:rsidRPr="006A22FD">
        <w:rPr>
          <w:rFonts w:ascii="Palatino Linotype" w:hAnsi="Palatino Linotype"/>
          <w:b/>
        </w:rPr>
        <w:t xml:space="preserve">SUJETO OBLIGADO </w:t>
      </w:r>
      <w:r>
        <w:rPr>
          <w:rFonts w:ascii="Palatino Linotype" w:hAnsi="Palatino Linotype"/>
        </w:rPr>
        <w:t>deja sin efectos la primera respuesta y en su lugar emite otra con las características y cualidades suficientes para dejar satisfecho el ejercicio del derecho al acceso a la información pública.</w:t>
      </w:r>
    </w:p>
    <w:p w:rsidR="00D25C96" w:rsidRDefault="00D25C96" w:rsidP="00D25C96">
      <w:pPr>
        <w:spacing w:before="240" w:after="240" w:line="360" w:lineRule="auto"/>
        <w:contextualSpacing/>
        <w:jc w:val="both"/>
        <w:rPr>
          <w:rFonts w:ascii="Palatino Linotype" w:hAnsi="Palatino Linotype"/>
        </w:rPr>
      </w:pPr>
      <w:r>
        <w:rPr>
          <w:rFonts w:ascii="Palatino Linotype" w:hAnsi="Palatino Linotype"/>
        </w:rPr>
        <w:t>En ese tenor, un acto impugnado queda sin efectos, cuando aun existiendo jurídicamente (esto es, que no se ha modificado, ni revocado) ya no genera ninguna consecuencia legal.</w:t>
      </w:r>
    </w:p>
    <w:p w:rsidR="00D25C96" w:rsidRDefault="00D25C96" w:rsidP="00D25C96">
      <w:pPr>
        <w:spacing w:before="240" w:after="240" w:line="360" w:lineRule="auto"/>
        <w:contextualSpacing/>
        <w:jc w:val="both"/>
        <w:rPr>
          <w:rFonts w:ascii="Palatino Linotype" w:hAnsi="Palatino Linotype"/>
        </w:rPr>
      </w:pPr>
    </w:p>
    <w:p w:rsidR="00D25C96" w:rsidRDefault="00D25C96" w:rsidP="00D25C96">
      <w:pPr>
        <w:spacing w:before="240" w:after="240" w:line="360" w:lineRule="auto"/>
        <w:jc w:val="both"/>
        <w:rPr>
          <w:rFonts w:ascii="Palatino Linotype" w:hAnsi="Palatino Linotype"/>
        </w:rPr>
      </w:pPr>
      <w:r>
        <w:rPr>
          <w:rFonts w:ascii="Palatino Linotype" w:hAnsi="Palatino Linotype"/>
        </w:rPr>
        <w:t xml:space="preserve">En tanto, en el presente caso queda sin materia toda vez que en el Informe Justificado </w:t>
      </w:r>
      <w:r w:rsidRPr="00850BC3">
        <w:rPr>
          <w:rFonts w:ascii="Palatino Linotype" w:hAnsi="Palatino Linotype"/>
        </w:rPr>
        <w:t xml:space="preserve">el </w:t>
      </w:r>
      <w:r w:rsidR="006A22FD" w:rsidRPr="006A22FD">
        <w:rPr>
          <w:rFonts w:ascii="Palatino Linotype" w:hAnsi="Palatino Linotype"/>
          <w:b/>
        </w:rPr>
        <w:t>SUJETO OBLIGADO</w:t>
      </w:r>
      <w:r w:rsidR="006A22FD" w:rsidRPr="00850BC3">
        <w:rPr>
          <w:rFonts w:ascii="Palatino Linotype" w:hAnsi="Palatino Linotype"/>
        </w:rPr>
        <w:t xml:space="preserve"> </w:t>
      </w:r>
      <w:r w:rsidRPr="00850BC3">
        <w:rPr>
          <w:rFonts w:ascii="Palatino Linotype" w:hAnsi="Palatino Linotype"/>
        </w:rPr>
        <w:t xml:space="preserve">modificó la </w:t>
      </w:r>
      <w:r>
        <w:rPr>
          <w:rFonts w:ascii="Palatino Linotype" w:hAnsi="Palatino Linotype"/>
        </w:rPr>
        <w:t xml:space="preserve">respuesta al remitir </w:t>
      </w:r>
      <w:r w:rsidR="006A22FD">
        <w:rPr>
          <w:rFonts w:ascii="Palatino Linotype" w:hAnsi="Palatino Linotype"/>
        </w:rPr>
        <w:t xml:space="preserve">la hoja uno del oficio número </w:t>
      </w:r>
      <w:r w:rsidR="006A22FD" w:rsidRPr="00392DEB">
        <w:rPr>
          <w:rFonts w:ascii="Palatino Linotype" w:hAnsi="Palatino Linotype"/>
        </w:rPr>
        <w:t>20500006010000S/611/2021</w:t>
      </w:r>
      <w:r w:rsidR="006A22FD">
        <w:rPr>
          <w:rFonts w:ascii="Palatino Linotype" w:hAnsi="Palatino Linotype"/>
        </w:rPr>
        <w:t>.</w:t>
      </w:r>
    </w:p>
    <w:p w:rsidR="00D25C96" w:rsidRPr="00F52682" w:rsidRDefault="00D25C96" w:rsidP="00D25C96">
      <w:pPr>
        <w:spacing w:before="240" w:after="240" w:line="360" w:lineRule="auto"/>
        <w:jc w:val="both"/>
        <w:rPr>
          <w:rFonts w:ascii="Palatino Linotype" w:hAnsi="Palatino Linotype"/>
        </w:rPr>
      </w:pPr>
      <w:r>
        <w:rPr>
          <w:rFonts w:ascii="Palatino Linotype" w:hAnsi="Palatino Linotype"/>
        </w:rPr>
        <w:t xml:space="preserve">De tal manera, es evidente que con ello queda sin materia el presente recurso de revisión, </w:t>
      </w:r>
      <w:r w:rsidRPr="00850BC3">
        <w:rPr>
          <w:rFonts w:ascii="Palatino Linotype" w:hAnsi="Palatino Linotype"/>
        </w:rPr>
        <w:t xml:space="preserve">ya que la inconformidad sobre </w:t>
      </w:r>
      <w:r>
        <w:rPr>
          <w:rFonts w:ascii="Palatino Linotype" w:hAnsi="Palatino Linotype"/>
        </w:rPr>
        <w:t xml:space="preserve">la </w:t>
      </w:r>
      <w:r w:rsidR="006A22FD">
        <w:rPr>
          <w:rFonts w:ascii="Palatino Linotype" w:hAnsi="Palatino Linotype"/>
        </w:rPr>
        <w:t>información incompleta</w:t>
      </w:r>
      <w:r>
        <w:rPr>
          <w:rFonts w:ascii="Palatino Linotype" w:hAnsi="Palatino Linotype"/>
        </w:rPr>
        <w:t xml:space="preserve">, se subsano con la información </w:t>
      </w:r>
      <w:r w:rsidRPr="00F52682">
        <w:rPr>
          <w:rFonts w:ascii="Palatino Linotype" w:hAnsi="Palatino Linotype"/>
        </w:rPr>
        <w:t>entregada en el apartado de manifestaciones del SAIME</w:t>
      </w:r>
      <w:r>
        <w:rPr>
          <w:rFonts w:ascii="Palatino Linotype" w:hAnsi="Palatino Linotype"/>
        </w:rPr>
        <w:t xml:space="preserve">X, que fue puesta a la vista del </w:t>
      </w:r>
      <w:r w:rsidR="006A22FD" w:rsidRPr="006A22FD">
        <w:rPr>
          <w:rFonts w:ascii="Palatino Linotype" w:hAnsi="Palatino Linotype"/>
          <w:b/>
        </w:rPr>
        <w:t>RECURRENTE</w:t>
      </w:r>
      <w:r w:rsidRPr="00F52682">
        <w:rPr>
          <w:rFonts w:ascii="Palatino Linotype" w:hAnsi="Palatino Linotype"/>
        </w:rPr>
        <w:t xml:space="preserve">, ya no cobraría sentido; y si respecto de la </w:t>
      </w:r>
      <w:r w:rsidRPr="00F52682">
        <w:rPr>
          <w:rFonts w:ascii="Palatino Linotype" w:hAnsi="Palatino Linotype"/>
        </w:rPr>
        <w:lastRenderedPageBreak/>
        <w:t>misma no formuló alegato alguno dentro del plazo concedido para tal efecto se entiende que se encuentra satisfecho.</w:t>
      </w:r>
    </w:p>
    <w:p w:rsidR="00D25C96" w:rsidRDefault="00D25C96" w:rsidP="00D25C96">
      <w:pPr>
        <w:spacing w:before="240" w:after="240" w:line="360" w:lineRule="auto"/>
        <w:jc w:val="both"/>
        <w:rPr>
          <w:rFonts w:ascii="Palatino Linotype" w:hAnsi="Palatino Linotype"/>
        </w:rPr>
      </w:pPr>
      <w:r w:rsidRPr="00850BC3">
        <w:rPr>
          <w:rFonts w:ascii="Palatino Linotype" w:hAnsi="Palatino Linotype"/>
        </w:rPr>
        <w:t xml:space="preserve">En resumen, el </w:t>
      </w:r>
      <w:r w:rsidR="006A22FD" w:rsidRPr="006A22FD">
        <w:rPr>
          <w:rFonts w:ascii="Palatino Linotype" w:hAnsi="Palatino Linotype"/>
          <w:b/>
        </w:rPr>
        <w:t>SUJETO OBLIGADO</w:t>
      </w:r>
      <w:r w:rsidR="006A22FD" w:rsidRPr="00850BC3">
        <w:rPr>
          <w:rFonts w:ascii="Palatino Linotype" w:hAnsi="Palatino Linotype"/>
        </w:rPr>
        <w:t xml:space="preserve"> </w:t>
      </w:r>
      <w:r w:rsidRPr="00850BC3">
        <w:rPr>
          <w:rFonts w:ascii="Palatino Linotype" w:hAnsi="Palatino Linotype"/>
        </w:rPr>
        <w:t>dio respuesta completa a la solicitud de acces</w:t>
      </w:r>
      <w:r w:rsidR="00864153">
        <w:rPr>
          <w:rFonts w:ascii="Palatino Linotype" w:hAnsi="Palatino Linotype"/>
        </w:rPr>
        <w:t>o a la información pública del</w:t>
      </w:r>
      <w:r w:rsidRPr="00850BC3">
        <w:rPr>
          <w:rFonts w:ascii="Palatino Linotype" w:hAnsi="Palatino Linotype"/>
        </w:rPr>
        <w:t xml:space="preserve"> ahora </w:t>
      </w:r>
      <w:r w:rsidR="006A22FD" w:rsidRPr="006A22FD">
        <w:rPr>
          <w:rFonts w:ascii="Palatino Linotype" w:hAnsi="Palatino Linotype"/>
          <w:b/>
        </w:rPr>
        <w:t>RECURRENTE</w:t>
      </w:r>
      <w:r w:rsidRPr="00850BC3">
        <w:rPr>
          <w:rFonts w:ascii="Palatino Linotype" w:hAnsi="Palatino Linotype"/>
        </w:rPr>
        <w:t>; aunque ello haya sido de manera posterior a su respuesta inicial; dejando con ello sin materia el presente recurso de revisión, actualizándose entonces la ca</w:t>
      </w:r>
      <w:r>
        <w:rPr>
          <w:rFonts w:ascii="Palatino Linotype" w:hAnsi="Palatino Linotype"/>
        </w:rPr>
        <w:t>usal prevista en la fracción III</w:t>
      </w:r>
      <w:r w:rsidRPr="00850BC3">
        <w:rPr>
          <w:rFonts w:ascii="Palatino Linotype" w:hAnsi="Palatino Linotype"/>
        </w:rPr>
        <w:t xml:space="preserve"> del artículo 192 de la Ley de la Materia vigente en la Entidad, antes transcrita. </w:t>
      </w:r>
    </w:p>
    <w:p w:rsidR="00D25C96" w:rsidRDefault="00D25C96" w:rsidP="00D25C96">
      <w:pPr>
        <w:spacing w:before="240" w:after="240" w:line="360" w:lineRule="auto"/>
        <w:jc w:val="both"/>
        <w:rPr>
          <w:rFonts w:ascii="Palatino Linotype" w:hAnsi="Palatino Linotype"/>
        </w:rPr>
      </w:pPr>
      <w:r>
        <w:rPr>
          <w:rFonts w:ascii="Palatino Linotype" w:hAnsi="Palatino Linotype"/>
        </w:rPr>
        <w:t xml:space="preserve">Siendo el </w:t>
      </w:r>
      <w:r>
        <w:rPr>
          <w:rFonts w:ascii="Palatino Linotype" w:hAnsi="Palatino Linotype"/>
          <w:i/>
        </w:rPr>
        <w:t>sobreseimiento</w:t>
      </w:r>
      <w:r>
        <w:rPr>
          <w:rFonts w:ascii="Palatino Linotype" w:hAnsi="Palatino Linotype"/>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son los dar por concluido el recurso administrativo sin entrar al estudio de fondo del asunto de que se trate; lo anterior con apoyo en el criterio del Poder Judicial de la Federación con rubro:</w:t>
      </w:r>
    </w:p>
    <w:p w:rsidR="00D25C96" w:rsidRPr="006A22FD" w:rsidRDefault="00D25C96" w:rsidP="00D25C96">
      <w:pPr>
        <w:spacing w:before="240" w:after="240" w:line="360" w:lineRule="auto"/>
        <w:ind w:left="567" w:right="567"/>
        <w:jc w:val="both"/>
        <w:rPr>
          <w:rFonts w:ascii="Palatino Linotype" w:hAnsi="Palatino Linotype"/>
          <w:b/>
          <w:i/>
        </w:rPr>
      </w:pPr>
      <w:r w:rsidRPr="006A22FD">
        <w:rPr>
          <w:rFonts w:ascii="Palatino Linotype" w:hAnsi="Palatino Linotype"/>
          <w:i/>
          <w:sz w:val="22"/>
          <w:szCs w:val="22"/>
        </w:rPr>
        <w:t>“</w:t>
      </w:r>
      <w:r w:rsidRPr="006A22FD">
        <w:rPr>
          <w:rFonts w:ascii="Palatino Linotype" w:hAnsi="Palatino Linotype"/>
          <w:b/>
          <w:i/>
          <w:sz w:val="22"/>
          <w:szCs w:val="22"/>
        </w:rPr>
        <w:t>SOBRESEIMIENTO, NO PERMITE ENTRAR AL ESTUDIO DE LAS CUESTIONES DE FONDO</w:t>
      </w:r>
    </w:p>
    <w:p w:rsidR="00D25C96" w:rsidRPr="006A22FD" w:rsidRDefault="00D25C96" w:rsidP="00D25C96">
      <w:pPr>
        <w:spacing w:before="240" w:after="240"/>
        <w:ind w:left="567" w:right="567"/>
        <w:contextualSpacing/>
        <w:jc w:val="both"/>
        <w:rPr>
          <w:rFonts w:ascii="Palatino Linotype" w:hAnsi="Palatino Linotype"/>
          <w:i/>
          <w:sz w:val="22"/>
          <w:szCs w:val="22"/>
        </w:rPr>
      </w:pPr>
      <w:r w:rsidRPr="006A22FD">
        <w:rPr>
          <w:rFonts w:ascii="Palatino Linotype" w:hAnsi="Palatino Linotype"/>
          <w:i/>
          <w:sz w:val="22"/>
          <w:szCs w:val="22"/>
        </w:rPr>
        <w:t>Localización: 213609. II.2o.183 K. Tribunales Colegiados de Circuito. Octava Época. Semanario Judicial de la Federación. Tomo XIII, Febrero de 1994, Pág. 420</w:t>
      </w:r>
    </w:p>
    <w:p w:rsidR="00D25C96" w:rsidRPr="006A22FD" w:rsidRDefault="00D25C96" w:rsidP="00D25C96">
      <w:pPr>
        <w:spacing w:before="240" w:after="240"/>
        <w:ind w:left="567" w:right="567"/>
        <w:contextualSpacing/>
        <w:jc w:val="both"/>
        <w:rPr>
          <w:rFonts w:ascii="Palatino Linotype" w:hAnsi="Palatino Linotype"/>
          <w:i/>
          <w:sz w:val="22"/>
          <w:szCs w:val="22"/>
        </w:rPr>
      </w:pPr>
      <w:r w:rsidRPr="006A22FD">
        <w:rPr>
          <w:rFonts w:ascii="Palatino Linotype" w:hAnsi="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rsidR="00D25C96" w:rsidRPr="00232C0E" w:rsidRDefault="00D25C96" w:rsidP="00D25C96">
      <w:pPr>
        <w:spacing w:before="240" w:after="240"/>
        <w:ind w:left="567" w:right="567"/>
        <w:contextualSpacing/>
        <w:jc w:val="both"/>
        <w:rPr>
          <w:rFonts w:ascii="Palatino Linotype" w:hAnsi="Palatino Linotype"/>
          <w:i/>
          <w:sz w:val="22"/>
          <w:szCs w:val="22"/>
        </w:rPr>
      </w:pPr>
    </w:p>
    <w:p w:rsidR="00D25C96" w:rsidRDefault="00D25C96" w:rsidP="00D25C96">
      <w:pPr>
        <w:spacing w:before="240" w:after="240" w:line="360" w:lineRule="auto"/>
        <w:jc w:val="both"/>
        <w:rPr>
          <w:rFonts w:ascii="Palatino Linotype" w:hAnsi="Palatino Linotype" w:cs="Arial"/>
        </w:rPr>
      </w:pPr>
      <w:r>
        <w:rPr>
          <w:rFonts w:ascii="Palatino Linotype" w:hAnsi="Palatino Linotype" w:cs="Arial"/>
        </w:rPr>
        <w:t>Cabe d</w:t>
      </w:r>
      <w:r w:rsidRPr="002F68E2">
        <w:rPr>
          <w:rFonts w:ascii="Palatino Linotype" w:hAnsi="Palatino Linotype" w:cs="Arial"/>
        </w:rPr>
        <w:t>estaca</w:t>
      </w:r>
      <w:r>
        <w:rPr>
          <w:rFonts w:ascii="Palatino Linotype" w:hAnsi="Palatino Linotype" w:cs="Arial"/>
        </w:rPr>
        <w:t>r que la decisión de este órgano colegiado de sobreseer el recurso de revisión no implica una limitación o negación a la justicia, según lo ha establecido el Poder Judicial Federal, en el criterio que es aplicable por analogía, con rubro:</w:t>
      </w:r>
    </w:p>
    <w:p w:rsidR="00D25C96" w:rsidRPr="00232C0E" w:rsidRDefault="00D25C96" w:rsidP="00D25C96">
      <w:pPr>
        <w:spacing w:before="240" w:after="240"/>
        <w:ind w:left="567" w:right="567"/>
        <w:contextualSpacing/>
        <w:jc w:val="both"/>
        <w:rPr>
          <w:rFonts w:ascii="Palatino Linotype" w:hAnsi="Palatino Linotype"/>
          <w:i/>
          <w:sz w:val="22"/>
          <w:szCs w:val="22"/>
        </w:rPr>
      </w:pPr>
      <w:r>
        <w:rPr>
          <w:rFonts w:ascii="Palatino Linotype" w:hAnsi="Palatino Linotype" w:cs="Arial"/>
        </w:rPr>
        <w:lastRenderedPageBreak/>
        <w:t xml:space="preserve"> </w:t>
      </w:r>
      <w:r w:rsidRPr="00232C0E">
        <w:rPr>
          <w:rFonts w:ascii="Palatino Linotype" w:hAnsi="Palatino Linotype"/>
          <w:i/>
          <w:sz w:val="22"/>
          <w:szCs w:val="22"/>
        </w:rPr>
        <w:t>“DESECHAMIENTO O SOBRESEIMIENTO EN EL JUICIO DE AMPARO. NO IMPLICA DENEGACIÓN DE JUSTICIA NI GENERA INSEGURIDAD JURÍDICA”</w:t>
      </w:r>
    </w:p>
    <w:p w:rsidR="00D25C96" w:rsidRDefault="00D25C96" w:rsidP="00D25C96">
      <w:pPr>
        <w:spacing w:before="240" w:after="240"/>
        <w:ind w:left="567" w:right="567"/>
        <w:contextualSpacing/>
        <w:jc w:val="both"/>
        <w:rPr>
          <w:rFonts w:ascii="Palatino Linotype" w:hAnsi="Palatino Linotype"/>
          <w:i/>
          <w:sz w:val="22"/>
          <w:szCs w:val="22"/>
        </w:rPr>
      </w:pPr>
      <w:r w:rsidRPr="00232C0E">
        <w:rPr>
          <w:rFonts w:ascii="Palatino Linotype" w:hAnsi="Palatino Linotype"/>
          <w:i/>
          <w:sz w:val="22"/>
          <w:szCs w:val="22"/>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w:t>
      </w:r>
      <w:r>
        <w:rPr>
          <w:rFonts w:ascii="Palatino Linotype" w:hAnsi="Palatino Linotype"/>
          <w:i/>
          <w:sz w:val="22"/>
          <w:szCs w:val="22"/>
        </w:rPr>
        <w:t>” (Sic)</w:t>
      </w:r>
    </w:p>
    <w:p w:rsidR="00D25C96" w:rsidRPr="00232C0E" w:rsidRDefault="00D25C96" w:rsidP="00D25C96">
      <w:pPr>
        <w:spacing w:before="240" w:after="240"/>
        <w:ind w:left="567" w:right="567"/>
        <w:contextualSpacing/>
        <w:jc w:val="both"/>
        <w:rPr>
          <w:rFonts w:ascii="Palatino Linotype" w:hAnsi="Palatino Linotype"/>
          <w:i/>
          <w:sz w:val="22"/>
          <w:szCs w:val="22"/>
        </w:rPr>
      </w:pPr>
    </w:p>
    <w:p w:rsidR="00D25C96" w:rsidRPr="00911351" w:rsidRDefault="00D25C96" w:rsidP="00D25C96">
      <w:pPr>
        <w:autoSpaceDE w:val="0"/>
        <w:autoSpaceDN w:val="0"/>
        <w:adjustRightInd w:val="0"/>
        <w:spacing w:before="240" w:after="240" w:line="360" w:lineRule="auto"/>
        <w:jc w:val="both"/>
        <w:rPr>
          <w:rFonts w:ascii="Palatino Linotype" w:hAnsi="Palatino Linotype" w:cs="Arial"/>
        </w:rPr>
      </w:pPr>
      <w:r w:rsidRPr="00911351">
        <w:rPr>
          <w:rFonts w:ascii="Palatino Linotype" w:hAnsi="Palatino Linotype" w:cs="Arial"/>
        </w:rPr>
        <w:t xml:space="preserve">Así, con fundamento en lo prescrito en los artículos 5 párrafos </w:t>
      </w:r>
      <w:r>
        <w:rPr>
          <w:rFonts w:ascii="Palatino Linotype" w:hAnsi="Palatino Linotype" w:cs="Arial"/>
        </w:rPr>
        <w:t>trigésimo, trigésimo primero y trigésimo segundo</w:t>
      </w:r>
      <w:r w:rsidRPr="00911351">
        <w:rPr>
          <w:rFonts w:ascii="Palatino Linotype" w:hAnsi="Palatino Linotype" w:cs="Arial"/>
        </w:rPr>
        <w:t xml:space="preserve"> de la Constitución Política del Estado Libre y Soberano de México; 2, fracción II; 29, 36 fracciones I </w:t>
      </w:r>
      <w:r>
        <w:rPr>
          <w:rFonts w:ascii="Palatino Linotype" w:hAnsi="Palatino Linotype" w:cs="Arial"/>
        </w:rPr>
        <w:t>y II; 176, 178, 181,</w:t>
      </w:r>
      <w:r w:rsidRPr="00911351">
        <w:rPr>
          <w:rFonts w:ascii="Palatino Linotype" w:hAnsi="Palatino Linotype" w:cs="Arial"/>
        </w:rPr>
        <w:t xml:space="preserve"> 185 </w:t>
      </w:r>
      <w:r>
        <w:rPr>
          <w:rFonts w:ascii="Palatino Linotype" w:hAnsi="Palatino Linotype" w:cs="Arial"/>
        </w:rPr>
        <w:t xml:space="preserve">y </w:t>
      </w:r>
      <w:r>
        <w:rPr>
          <w:rFonts w:ascii="Palatino Linotype" w:hAnsi="Palatino Linotype" w:cs="Arial"/>
          <w:szCs w:val="22"/>
          <w:lang w:eastAsia="en-US"/>
        </w:rPr>
        <w:t xml:space="preserve">186 fracción II </w:t>
      </w:r>
      <w:r w:rsidRPr="00911351">
        <w:rPr>
          <w:rFonts w:ascii="Palatino Linotype" w:hAnsi="Palatino Linotype" w:cs="Arial"/>
        </w:rPr>
        <w:t>de la Ley de Transparencia y Acceso a la Información Pública del Estado de México y Municipios, este Pleno:</w:t>
      </w:r>
    </w:p>
    <w:p w:rsidR="00D25C96" w:rsidRPr="00385EEC" w:rsidRDefault="00D25C96" w:rsidP="00D25C96">
      <w:pPr>
        <w:spacing w:before="240" w:after="240" w:line="360" w:lineRule="auto"/>
        <w:ind w:left="360"/>
        <w:contextualSpacing/>
        <w:jc w:val="center"/>
        <w:rPr>
          <w:rFonts w:ascii="Palatino Linotype" w:hAnsi="Palatino Linotype" w:cs="Arial"/>
          <w:b/>
        </w:rPr>
      </w:pPr>
      <w:r>
        <w:rPr>
          <w:rFonts w:ascii="Palatino Linotype" w:hAnsi="Palatino Linotype" w:cs="Arial"/>
          <w:b/>
        </w:rPr>
        <w:t>III.</w:t>
      </w:r>
      <w:r w:rsidRPr="00385EEC">
        <w:rPr>
          <w:rFonts w:ascii="Palatino Linotype" w:hAnsi="Palatino Linotype" w:cs="Arial"/>
          <w:b/>
        </w:rPr>
        <w:t>R E S U E L V E:</w:t>
      </w:r>
    </w:p>
    <w:p w:rsidR="00600AFE" w:rsidRDefault="00D25C96" w:rsidP="00600AFE">
      <w:pPr>
        <w:spacing w:before="240" w:after="240" w:line="360" w:lineRule="auto"/>
        <w:contextualSpacing/>
        <w:jc w:val="both"/>
        <w:rPr>
          <w:rFonts w:ascii="Palatino Linotype" w:hAnsi="Palatino Linotype"/>
        </w:rPr>
      </w:pPr>
      <w:r w:rsidRPr="006A2D4B">
        <w:rPr>
          <w:rFonts w:ascii="Palatino Linotype" w:hAnsi="Palatino Linotype" w:cs="Arial"/>
          <w:b/>
          <w:bCs/>
          <w:shd w:val="clear" w:color="auto" w:fill="FFFFFF"/>
        </w:rPr>
        <w:t>Primero</w:t>
      </w:r>
      <w:r w:rsidRPr="006A2D4B">
        <w:rPr>
          <w:rFonts w:ascii="Palatino Linotype" w:hAnsi="Palatino Linotype" w:cs="Arial"/>
          <w:bCs/>
          <w:shd w:val="clear" w:color="auto" w:fill="FFFFFF"/>
        </w:rPr>
        <w:t xml:space="preserve">. Se </w:t>
      </w:r>
      <w:r w:rsidRPr="006A2D4B">
        <w:rPr>
          <w:rFonts w:ascii="Palatino Linotype" w:hAnsi="Palatino Linotype" w:cs="Arial"/>
          <w:b/>
          <w:bCs/>
          <w:shd w:val="clear" w:color="auto" w:fill="FFFFFF"/>
        </w:rPr>
        <w:t>SOBRESEE</w:t>
      </w:r>
      <w:r w:rsidRPr="006A2D4B">
        <w:rPr>
          <w:rFonts w:ascii="Palatino Linotype" w:hAnsi="Palatino Linotype" w:cs="Arial"/>
          <w:bCs/>
          <w:shd w:val="clear" w:color="auto" w:fill="FFFFFF"/>
        </w:rPr>
        <w:t xml:space="preserve"> el recurso de revisión número </w:t>
      </w:r>
      <w:r w:rsidRPr="006A2D4B">
        <w:rPr>
          <w:rFonts w:ascii="Palatino Linotype" w:hAnsi="Palatino Linotype" w:cs="Arial"/>
          <w:b/>
          <w:bCs/>
          <w:shd w:val="clear" w:color="auto" w:fill="FFFFFF"/>
        </w:rPr>
        <w:t>0</w:t>
      </w:r>
      <w:r w:rsidR="006A22FD">
        <w:rPr>
          <w:rFonts w:ascii="Palatino Linotype" w:hAnsi="Palatino Linotype" w:cs="Arial"/>
          <w:b/>
          <w:bCs/>
          <w:shd w:val="clear" w:color="auto" w:fill="FFFFFF"/>
        </w:rPr>
        <w:t>5789</w:t>
      </w:r>
      <w:r>
        <w:rPr>
          <w:rFonts w:ascii="Palatino Linotype" w:hAnsi="Palatino Linotype" w:cs="Arial"/>
          <w:b/>
          <w:bCs/>
          <w:shd w:val="clear" w:color="auto" w:fill="FFFFFF"/>
        </w:rPr>
        <w:t>/INFOEM/IP/RR/2021</w:t>
      </w:r>
      <w:r w:rsidRPr="006A2D4B">
        <w:rPr>
          <w:rFonts w:ascii="Palatino Linotype" w:hAnsi="Palatino Linotype" w:cs="Arial"/>
          <w:b/>
        </w:rPr>
        <w:t>,</w:t>
      </w:r>
      <w:r w:rsidRPr="006A2D4B">
        <w:rPr>
          <w:rFonts w:ascii="Palatino Linotype" w:hAnsi="Palatino Linotype"/>
        </w:rPr>
        <w:t xml:space="preserve"> </w:t>
      </w:r>
      <w:r w:rsidR="00600AFE">
        <w:rPr>
          <w:rFonts w:ascii="Palatino Linotype" w:hAnsi="Palatino Linotype"/>
        </w:rPr>
        <w:t>porque al modificar la respuesta el recurso de revisión quedó sin materia en términos del Considerando Tercero de la presente resolución.</w:t>
      </w:r>
    </w:p>
    <w:p w:rsidR="00D25C96" w:rsidRDefault="00D25C96" w:rsidP="00D25C96">
      <w:pPr>
        <w:spacing w:before="240" w:after="240" w:line="360" w:lineRule="auto"/>
        <w:contextualSpacing/>
        <w:jc w:val="both"/>
        <w:rPr>
          <w:rFonts w:ascii="Palatino Linotype" w:hAnsi="Palatino Linotype"/>
          <w:b/>
          <w:sz w:val="20"/>
          <w:szCs w:val="20"/>
        </w:rPr>
      </w:pPr>
    </w:p>
    <w:p w:rsidR="00D25C96" w:rsidRPr="006A2D4B" w:rsidRDefault="00D25C96" w:rsidP="00D25C96">
      <w:pPr>
        <w:spacing w:before="240" w:after="240" w:line="360" w:lineRule="auto"/>
        <w:contextualSpacing/>
        <w:jc w:val="both"/>
        <w:rPr>
          <w:rFonts w:ascii="Palatino Linotype" w:hAnsi="Palatino Linotype" w:cs="Arial"/>
        </w:rPr>
      </w:pPr>
      <w:r>
        <w:rPr>
          <w:rFonts w:ascii="Palatino Linotype" w:hAnsi="Palatino Linotype" w:cs="Arial"/>
          <w:b/>
          <w:bCs/>
          <w:shd w:val="clear" w:color="auto" w:fill="FFFFFF"/>
        </w:rPr>
        <w:t xml:space="preserve">Segundo. </w:t>
      </w:r>
      <w:r w:rsidRPr="00232C0E">
        <w:rPr>
          <w:rFonts w:ascii="Palatino Linotype" w:hAnsi="Palatino Linotype" w:cs="Arial"/>
          <w:b/>
          <w:bCs/>
          <w:shd w:val="clear" w:color="auto" w:fill="FFFFFF"/>
        </w:rPr>
        <w:t>Notifíquese</w:t>
      </w:r>
      <w:r w:rsidRPr="00232C0E">
        <w:rPr>
          <w:rStyle w:val="apple-converted-space"/>
          <w:rFonts w:ascii="Palatino Linotype" w:hAnsi="Palatino Linotype" w:cs="Arial"/>
          <w:b/>
          <w:bCs/>
          <w:iCs/>
          <w:shd w:val="clear" w:color="auto" w:fill="FFFFFF"/>
        </w:rPr>
        <w:t xml:space="preserve"> vía SAIMEX</w:t>
      </w:r>
      <w:r>
        <w:rPr>
          <w:rStyle w:val="apple-converted-space"/>
          <w:rFonts w:ascii="Palatino Linotype" w:hAnsi="Palatino Linotype" w:cs="Arial"/>
          <w:b/>
          <w:bCs/>
          <w:i/>
          <w:iCs/>
          <w:shd w:val="clear" w:color="auto" w:fill="FFFFFF"/>
        </w:rPr>
        <w:t xml:space="preserve">, </w:t>
      </w:r>
      <w:r w:rsidRPr="006A2D4B">
        <w:rPr>
          <w:rFonts w:ascii="Palatino Linotype" w:hAnsi="Palatino Linotype"/>
          <w:shd w:val="clear" w:color="auto" w:fill="FFFFFF"/>
        </w:rPr>
        <w:t>al Responsable de la Unidad de Transparencia del</w:t>
      </w:r>
      <w:r w:rsidRPr="006A2D4B">
        <w:rPr>
          <w:rStyle w:val="apple-converted-space"/>
          <w:rFonts w:ascii="Palatino Linotype" w:hAnsi="Palatino Linotype"/>
          <w:bCs/>
          <w:shd w:val="clear" w:color="auto" w:fill="FFFFFF"/>
        </w:rPr>
        <w:t xml:space="preserve"> </w:t>
      </w:r>
      <w:r w:rsidR="0067242C" w:rsidRPr="0067242C">
        <w:rPr>
          <w:rFonts w:ascii="Palatino Linotype" w:hAnsi="Palatino Linotype"/>
          <w:b/>
          <w:bCs/>
          <w:shd w:val="clear" w:color="auto" w:fill="FFFFFF"/>
        </w:rPr>
        <w:t>SUJETO OBLIGADO</w:t>
      </w:r>
      <w:r w:rsidR="0067242C" w:rsidRPr="006A2D4B">
        <w:rPr>
          <w:rFonts w:ascii="Palatino Linotype" w:hAnsi="Palatino Linotype"/>
          <w:bCs/>
          <w:shd w:val="clear" w:color="auto" w:fill="FFFFFF"/>
        </w:rPr>
        <w:t xml:space="preserve"> </w:t>
      </w:r>
      <w:r w:rsidRPr="006A2D4B">
        <w:rPr>
          <w:rFonts w:ascii="Palatino Linotype" w:hAnsi="Palatino Linotype"/>
          <w:bCs/>
          <w:shd w:val="clear" w:color="auto" w:fill="FFFFFF"/>
        </w:rPr>
        <w:t>la presente resolución, para su conocimiento</w:t>
      </w:r>
      <w:r w:rsidRPr="006A2D4B">
        <w:rPr>
          <w:rFonts w:ascii="Palatino Linotype" w:hAnsi="Palatino Linotype"/>
          <w:shd w:val="clear" w:color="auto" w:fill="FFFFFF"/>
        </w:rPr>
        <w:t xml:space="preserve">, lo anterior </w:t>
      </w:r>
      <w:r w:rsidRPr="006A2D4B">
        <w:rPr>
          <w:rFonts w:ascii="Palatino Linotype" w:hAnsi="Palatino Linotype"/>
          <w:shd w:val="clear" w:color="auto" w:fill="FFFFFF"/>
        </w:rPr>
        <w:lastRenderedPageBreak/>
        <w:t xml:space="preserve">en términos del artículo 189 de la </w:t>
      </w:r>
      <w:r w:rsidRPr="006A2D4B">
        <w:rPr>
          <w:rFonts w:ascii="Palatino Linotype" w:hAnsi="Palatino Linotype" w:cs="Arial"/>
        </w:rPr>
        <w:t>Ley de Transparencia y Acceso a la Información Pública del Estado de México y Municipios.</w:t>
      </w:r>
    </w:p>
    <w:p w:rsidR="00D25C96" w:rsidRPr="006A2D4B" w:rsidRDefault="00D25C96" w:rsidP="00D25C96">
      <w:pPr>
        <w:spacing w:before="240" w:after="240" w:line="360" w:lineRule="auto"/>
        <w:contextualSpacing/>
        <w:jc w:val="both"/>
        <w:rPr>
          <w:rFonts w:ascii="Palatino Linotype" w:hAnsi="Palatino Linotype"/>
          <w:shd w:val="clear" w:color="auto" w:fill="FFFFFF"/>
        </w:rPr>
      </w:pPr>
    </w:p>
    <w:p w:rsidR="00D25C96" w:rsidRDefault="00D25C96" w:rsidP="00D25C96">
      <w:pPr>
        <w:spacing w:before="240" w:after="240" w:line="360" w:lineRule="auto"/>
        <w:jc w:val="both"/>
        <w:rPr>
          <w:rFonts w:ascii="Palatino Linotype" w:eastAsia="Palatino Linotype" w:hAnsi="Palatino Linotype" w:cs="Palatino Linotype"/>
        </w:rPr>
      </w:pPr>
      <w:r>
        <w:rPr>
          <w:rFonts w:ascii="Palatino Linotype" w:hAnsi="Palatino Linotype" w:cs="Arial"/>
          <w:b/>
        </w:rPr>
        <w:t xml:space="preserve">Tercero. Notifíquese a través </w:t>
      </w:r>
      <w:r>
        <w:rPr>
          <w:rFonts w:ascii="Palatino Linotype" w:hAnsi="Palatino Linotype" w:cs="Arial"/>
        </w:rPr>
        <w:t xml:space="preserve"> del Sistema de Acceso a la Información Mexiquense y correo electrónico, al </w:t>
      </w:r>
      <w:r w:rsidR="0067242C" w:rsidRPr="0067242C">
        <w:rPr>
          <w:rFonts w:ascii="Palatino Linotype" w:hAnsi="Palatino Linotype" w:cs="Arial"/>
          <w:b/>
        </w:rPr>
        <w:t>RECURRENTE</w:t>
      </w:r>
      <w:r w:rsidRPr="006A2D4B">
        <w:rPr>
          <w:rFonts w:ascii="Palatino Linotype" w:hAnsi="Palatino Linotype" w:cs="Arial"/>
        </w:rPr>
        <w:t xml:space="preserve"> la presente resolución; así como, que de conformidad con lo establecido en el artículo 196 de la Ley de Transparencia y Acceso a la Información Pública del Estado de México y Municipios, podrá impugnarla en la vía</w:t>
      </w:r>
      <w:r w:rsidRPr="006A2D4B">
        <w:rPr>
          <w:rFonts w:ascii="Palatino Linotype" w:eastAsia="Palatino Linotype" w:hAnsi="Palatino Linotype" w:cs="Palatino Linotype"/>
        </w:rPr>
        <w:t xml:space="preserve"> Juicio de Amparo en los términos de las leyes aplicables.</w:t>
      </w:r>
    </w:p>
    <w:p w:rsidR="00D25C96" w:rsidRDefault="00D25C96" w:rsidP="00D25C96">
      <w:pPr>
        <w:spacing w:line="360" w:lineRule="auto"/>
        <w:ind w:right="49"/>
        <w:jc w:val="both"/>
        <w:rPr>
          <w:rFonts w:ascii="Palatino Linotype" w:hAnsi="Palatino Linotype"/>
        </w:rPr>
      </w:pPr>
      <w:r>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67242C">
        <w:rPr>
          <w:rFonts w:ascii="Palatino Linotype" w:hAnsi="Palatino Linotype"/>
        </w:rPr>
        <w:t xml:space="preserve"> (AUSENCIA JUSTIFICADA), </w:t>
      </w:r>
      <w:r>
        <w:rPr>
          <w:rFonts w:ascii="Palatino Linotype" w:hAnsi="Palatino Linotype"/>
        </w:rPr>
        <w:t xml:space="preserve">LUIS GUSTAVO PARRA NORIEGA Y GUADALUPE RAMÍREZ PEÑA; EN LA </w:t>
      </w:r>
      <w:r w:rsidR="0067242C">
        <w:rPr>
          <w:rFonts w:ascii="Palatino Linotype" w:hAnsi="Palatino Linotype"/>
        </w:rPr>
        <w:t>CUARTA</w:t>
      </w:r>
      <w:r w:rsidR="0071726B">
        <w:rPr>
          <w:rFonts w:ascii="Palatino Linotype" w:hAnsi="Palatino Linotype"/>
        </w:rPr>
        <w:t xml:space="preserve"> </w:t>
      </w:r>
      <w:r>
        <w:rPr>
          <w:rFonts w:ascii="Palatino Linotype" w:hAnsi="Palatino Linotype"/>
        </w:rPr>
        <w:t>SESI</w:t>
      </w:r>
      <w:r w:rsidR="00864153">
        <w:rPr>
          <w:rFonts w:ascii="Palatino Linotype" w:hAnsi="Palatino Linotype"/>
        </w:rPr>
        <w:t xml:space="preserve">ÓN ORDINARIA CELEBRADA </w:t>
      </w:r>
      <w:r w:rsidR="00D65330">
        <w:rPr>
          <w:rFonts w:ascii="Palatino Linotype" w:hAnsi="Palatino Linotype"/>
        </w:rPr>
        <w:t>EL CUATRO</w:t>
      </w:r>
      <w:r w:rsidR="0067242C">
        <w:rPr>
          <w:rFonts w:ascii="Palatino Linotype" w:hAnsi="Palatino Linotype"/>
        </w:rPr>
        <w:t xml:space="preserve"> DE FEBRERO DEL DOS MIL VEINTIDÓS</w:t>
      </w:r>
      <w:r>
        <w:rPr>
          <w:rFonts w:ascii="Palatino Linotype" w:hAnsi="Palatino Linotype"/>
        </w:rPr>
        <w:t>, ANTE EL SECRETARIO TÉCNICO DEL PLENO ALEXIS TAPIA RAMÍREZ.</w:t>
      </w:r>
    </w:p>
    <w:p w:rsidR="00D25C96" w:rsidRDefault="00D25C96" w:rsidP="00D25C96">
      <w:pPr>
        <w:spacing w:before="240" w:after="240" w:line="360" w:lineRule="auto"/>
        <w:jc w:val="both"/>
        <w:rPr>
          <w:rFonts w:ascii="Palatino Linotype" w:eastAsia="Palatino Linotype" w:hAnsi="Palatino Linotype" w:cs="Palatino Linotype"/>
        </w:rPr>
      </w:pPr>
    </w:p>
    <w:p w:rsidR="00D25C96" w:rsidRDefault="00D25C96" w:rsidP="00D25C96">
      <w:pPr>
        <w:spacing w:before="240" w:after="240" w:line="360" w:lineRule="auto"/>
        <w:jc w:val="both"/>
        <w:rPr>
          <w:rFonts w:ascii="Palatino Linotype" w:eastAsia="Palatino Linotype" w:hAnsi="Palatino Linotype" w:cs="Palatino Linotype"/>
        </w:rPr>
      </w:pPr>
    </w:p>
    <w:p w:rsidR="001A51C8" w:rsidRDefault="001A51C8" w:rsidP="00D049F6">
      <w:pPr>
        <w:autoSpaceDE w:val="0"/>
        <w:autoSpaceDN w:val="0"/>
        <w:adjustRightInd w:val="0"/>
        <w:spacing w:before="240" w:after="240" w:line="360" w:lineRule="auto"/>
        <w:jc w:val="both"/>
        <w:rPr>
          <w:rFonts w:ascii="Palatino Linotype" w:hAnsi="Palatino Linotype"/>
        </w:rPr>
      </w:pPr>
    </w:p>
    <w:p w:rsidR="001A51C8" w:rsidRDefault="001A51C8" w:rsidP="00D049F6">
      <w:pPr>
        <w:autoSpaceDE w:val="0"/>
        <w:autoSpaceDN w:val="0"/>
        <w:adjustRightInd w:val="0"/>
        <w:spacing w:before="240" w:after="240" w:line="360" w:lineRule="auto"/>
        <w:jc w:val="both"/>
        <w:rPr>
          <w:rFonts w:ascii="Palatino Linotype" w:hAnsi="Palatino Linotype"/>
        </w:rPr>
      </w:pPr>
    </w:p>
    <w:p w:rsidR="0018182C" w:rsidRPr="006A2D4B" w:rsidRDefault="0018182C" w:rsidP="00A3483A">
      <w:pPr>
        <w:spacing w:before="240" w:after="240" w:line="360" w:lineRule="auto"/>
        <w:jc w:val="both"/>
        <w:rPr>
          <w:rFonts w:ascii="Palatino Linotype" w:eastAsia="Palatino Linotype" w:hAnsi="Palatino Linotype" w:cs="Palatino Linotype"/>
        </w:rPr>
      </w:pPr>
    </w:p>
    <w:sectPr w:rsidR="0018182C" w:rsidRPr="006A2D4B" w:rsidSect="000B6E12">
      <w:headerReference w:type="default" r:id="rId14"/>
      <w:footerReference w:type="default" r:id="rId15"/>
      <w:headerReference w:type="first" r:id="rId16"/>
      <w:footerReference w:type="first" r:id="rId17"/>
      <w:pgSz w:w="12240" w:h="15840" w:code="1"/>
      <w:pgMar w:top="1417" w:right="1750" w:bottom="141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5722" w:rsidRDefault="00E75722" w:rsidP="00224D6A">
      <w:r>
        <w:separator/>
      </w:r>
    </w:p>
  </w:endnote>
  <w:endnote w:type="continuationSeparator" w:id="0">
    <w:p w:rsidR="00E75722" w:rsidRDefault="00E75722" w:rsidP="00224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C9E" w:rsidRPr="00F12350" w:rsidRDefault="00D53C9E"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D078B4">
      <w:rPr>
        <w:rFonts w:ascii="Palatino Linotype" w:hAnsi="Palatino Linotype" w:cs="Arial"/>
        <w:b/>
        <w:bCs/>
        <w:noProof/>
        <w:sz w:val="20"/>
        <w:szCs w:val="20"/>
      </w:rPr>
      <w:t>19</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D078B4">
      <w:rPr>
        <w:rFonts w:ascii="Palatino Linotype" w:hAnsi="Palatino Linotype" w:cs="Arial"/>
        <w:b/>
        <w:bCs/>
        <w:noProof/>
        <w:sz w:val="20"/>
        <w:szCs w:val="20"/>
      </w:rPr>
      <w:t>19</w:t>
    </w:r>
    <w:r w:rsidRPr="00F12350">
      <w:rPr>
        <w:rFonts w:ascii="Palatino Linotype" w:hAnsi="Palatino Linotype" w:cs="Arial"/>
        <w:b/>
        <w:bCs/>
        <w:sz w:val="20"/>
        <w:szCs w:val="20"/>
      </w:rPr>
      <w:fldChar w:fldCharType="end"/>
    </w:r>
  </w:p>
  <w:p w:rsidR="00D53C9E" w:rsidRDefault="00D53C9E">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C9E" w:rsidRPr="00F12350" w:rsidRDefault="00D53C9E"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3C1606">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3C1606">
      <w:rPr>
        <w:rFonts w:ascii="Palatino Linotype" w:hAnsi="Palatino Linotype" w:cs="Arial"/>
        <w:b/>
        <w:bCs/>
        <w:noProof/>
        <w:sz w:val="20"/>
        <w:szCs w:val="20"/>
      </w:rPr>
      <w:t>19</w:t>
    </w:r>
    <w:r w:rsidRPr="00F12350">
      <w:rPr>
        <w:rFonts w:ascii="Palatino Linotype" w:hAnsi="Palatino Linotype" w:cs="Arial"/>
        <w:b/>
        <w:bCs/>
        <w:sz w:val="20"/>
        <w:szCs w:val="20"/>
      </w:rPr>
      <w:fldChar w:fldCharType="end"/>
    </w:r>
  </w:p>
  <w:p w:rsidR="00D53C9E" w:rsidRDefault="00D53C9E">
    <w:pPr>
      <w:pStyle w:val="Piedepgina"/>
    </w:pPr>
  </w:p>
  <w:p w:rsidR="009B13E8" w:rsidRDefault="009B13E8"/>
  <w:p w:rsidR="009B13E8" w:rsidRDefault="009B13E8"/>
  <w:p w:rsidR="009B13E8" w:rsidRDefault="009B13E8"/>
  <w:p w:rsidR="009B13E8" w:rsidRDefault="009B13E8"/>
  <w:p w:rsidR="009B13E8" w:rsidRDefault="009B13E8"/>
  <w:p w:rsidR="009B13E8" w:rsidRDefault="009B13E8"/>
  <w:p w:rsidR="009B13E8" w:rsidRDefault="009B13E8"/>
  <w:p w:rsidR="009B13E8" w:rsidRDefault="009B13E8"/>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5722" w:rsidRDefault="00E75722" w:rsidP="00224D6A">
      <w:r>
        <w:separator/>
      </w:r>
    </w:p>
  </w:footnote>
  <w:footnote w:type="continuationSeparator" w:id="0">
    <w:p w:rsidR="00E75722" w:rsidRDefault="00E75722" w:rsidP="00224D6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C9E" w:rsidRDefault="00D53C9E" w:rsidP="00E72E93">
    <w:pPr>
      <w:pStyle w:val="Encabezado"/>
      <w:jc w:val="both"/>
    </w:pPr>
    <w:r>
      <w:rPr>
        <w:noProof/>
        <w:lang w:val="en-US" w:eastAsia="en-US"/>
      </w:rPr>
      <w:drawing>
        <wp:anchor distT="0" distB="0" distL="114300" distR="114300" simplePos="0" relativeHeight="251661312" behindDoc="1" locked="0" layoutInCell="1" allowOverlap="1" wp14:anchorId="34F6E400" wp14:editId="7E95AC7D">
          <wp:simplePos x="0" y="0"/>
          <wp:positionH relativeFrom="page">
            <wp:posOffset>425201</wp:posOffset>
          </wp:positionH>
          <wp:positionV relativeFrom="paragraph">
            <wp:posOffset>-313910</wp:posOffset>
          </wp:positionV>
          <wp:extent cx="7635600" cy="9943200"/>
          <wp:effectExtent l="0" t="0" r="3810" b="127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5670" w:type="dxa"/>
      <w:tblInd w:w="3119" w:type="dxa"/>
      <w:tblLayout w:type="fixed"/>
      <w:tblLook w:val="04A0" w:firstRow="1" w:lastRow="0" w:firstColumn="1" w:lastColumn="0" w:noHBand="0" w:noVBand="1"/>
    </w:tblPr>
    <w:tblGrid>
      <w:gridCol w:w="2551"/>
      <w:gridCol w:w="3119"/>
    </w:tblGrid>
    <w:tr w:rsidR="00D53C9E" w:rsidTr="003A781E">
      <w:tc>
        <w:tcPr>
          <w:tcW w:w="2551" w:type="dxa"/>
          <w:vAlign w:val="center"/>
          <w:hideMark/>
        </w:tcPr>
        <w:p w:rsidR="00D53C9E" w:rsidRDefault="00D53C9E" w:rsidP="00E72E93">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rsidR="00D53C9E" w:rsidRDefault="00470F62" w:rsidP="00E72E93">
          <w:pPr>
            <w:jc w:val="both"/>
            <w:rPr>
              <w:rFonts w:ascii="Palatino Linotype" w:hAnsi="Palatino Linotype"/>
              <w:b/>
              <w:sz w:val="22"/>
              <w:szCs w:val="22"/>
              <w:lang w:val="es-ES_tradnl"/>
            </w:rPr>
          </w:pPr>
          <w:r>
            <w:rPr>
              <w:rFonts w:ascii="Palatino Linotype" w:hAnsi="Palatino Linotype"/>
              <w:b/>
              <w:sz w:val="22"/>
              <w:szCs w:val="22"/>
              <w:lang w:val="es-ES_tradnl"/>
            </w:rPr>
            <w:t>05789</w:t>
          </w:r>
          <w:r w:rsidR="00D53C9E">
            <w:rPr>
              <w:rFonts w:ascii="Palatino Linotype" w:hAnsi="Palatino Linotype"/>
              <w:b/>
              <w:sz w:val="22"/>
              <w:szCs w:val="22"/>
              <w:lang w:val="es-ES_tradnl"/>
            </w:rPr>
            <w:t xml:space="preserve">/INFOEM/IP/RR/2021. </w:t>
          </w:r>
        </w:p>
      </w:tc>
    </w:tr>
    <w:tr w:rsidR="00D53C9E" w:rsidTr="003A781E">
      <w:trPr>
        <w:trHeight w:val="228"/>
      </w:trPr>
      <w:tc>
        <w:tcPr>
          <w:tcW w:w="2551" w:type="dxa"/>
          <w:vAlign w:val="center"/>
          <w:hideMark/>
        </w:tcPr>
        <w:p w:rsidR="00D53C9E" w:rsidRDefault="00E578F2" w:rsidP="00E72E93">
          <w:pPr>
            <w:rPr>
              <w:rFonts w:ascii="Palatino Linotype" w:hAnsi="Palatino Linotype"/>
              <w:b/>
              <w:sz w:val="22"/>
              <w:szCs w:val="22"/>
              <w:lang w:val="es-ES_tradnl"/>
            </w:rPr>
          </w:pPr>
          <w:r>
            <w:rPr>
              <w:rFonts w:ascii="Palatino Linotype" w:hAnsi="Palatino Linotype"/>
              <w:b/>
              <w:sz w:val="22"/>
              <w:szCs w:val="22"/>
              <w:lang w:val="es-ES_tradnl"/>
            </w:rPr>
            <w:t>Sujeto O</w:t>
          </w:r>
          <w:r w:rsidR="00D53C9E">
            <w:rPr>
              <w:rFonts w:ascii="Palatino Linotype" w:hAnsi="Palatino Linotype"/>
              <w:b/>
              <w:sz w:val="22"/>
              <w:szCs w:val="22"/>
              <w:lang w:val="es-ES_tradnl"/>
            </w:rPr>
            <w:t>bligado:</w:t>
          </w:r>
        </w:p>
      </w:tc>
      <w:tc>
        <w:tcPr>
          <w:tcW w:w="3119" w:type="dxa"/>
          <w:vAlign w:val="center"/>
          <w:hideMark/>
        </w:tcPr>
        <w:p w:rsidR="00D53C9E" w:rsidRDefault="00470F62" w:rsidP="00E72E93">
          <w:pPr>
            <w:jc w:val="both"/>
            <w:rPr>
              <w:rFonts w:ascii="Palatino Linotype" w:hAnsi="Palatino Linotype"/>
              <w:b/>
              <w:sz w:val="22"/>
              <w:szCs w:val="22"/>
              <w:lang w:val="es-ES_tradnl"/>
            </w:rPr>
          </w:pPr>
          <w:r>
            <w:rPr>
              <w:rFonts w:ascii="Palatino Linotype" w:hAnsi="Palatino Linotype"/>
              <w:b/>
              <w:sz w:val="22"/>
              <w:szCs w:val="22"/>
              <w:lang w:val="es-ES_tradnl"/>
            </w:rPr>
            <w:t>Secretaría General de Gobierno</w:t>
          </w:r>
          <w:r w:rsidR="00D53C9E">
            <w:rPr>
              <w:rFonts w:ascii="Palatino Linotype" w:hAnsi="Palatino Linotype"/>
              <w:b/>
              <w:sz w:val="22"/>
              <w:szCs w:val="22"/>
              <w:lang w:val="es-ES_tradnl"/>
            </w:rPr>
            <w:t>.</w:t>
          </w:r>
        </w:p>
      </w:tc>
    </w:tr>
    <w:tr w:rsidR="00D53C9E" w:rsidTr="003A781E">
      <w:tc>
        <w:tcPr>
          <w:tcW w:w="2551" w:type="dxa"/>
          <w:vAlign w:val="center"/>
          <w:hideMark/>
        </w:tcPr>
        <w:p w:rsidR="00D53C9E" w:rsidRDefault="00D53C9E" w:rsidP="00E72E93">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119" w:type="dxa"/>
          <w:vAlign w:val="center"/>
          <w:hideMark/>
        </w:tcPr>
        <w:p w:rsidR="00D53C9E" w:rsidRDefault="00D53C9E" w:rsidP="00E72E93">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D53C9E" w:rsidRDefault="00D53C9E" w:rsidP="00E4481D">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C9E" w:rsidRDefault="00D53C9E" w:rsidP="00224D6A">
    <w:pPr>
      <w:pStyle w:val="Encabezado"/>
      <w:jc w:val="both"/>
    </w:pPr>
    <w:r>
      <w:rPr>
        <w:noProof/>
        <w:lang w:val="en-US" w:eastAsia="en-US"/>
      </w:rPr>
      <w:drawing>
        <wp:anchor distT="0" distB="0" distL="114300" distR="114300" simplePos="0" relativeHeight="251659264" behindDoc="1" locked="0" layoutInCell="1" allowOverlap="1" wp14:anchorId="11EDAEA5" wp14:editId="6651AD9B">
          <wp:simplePos x="0" y="0"/>
          <wp:positionH relativeFrom="page">
            <wp:posOffset>388371</wp:posOffset>
          </wp:positionH>
          <wp:positionV relativeFrom="paragraph">
            <wp:posOffset>-207369</wp:posOffset>
          </wp:positionV>
          <wp:extent cx="7635600" cy="9943200"/>
          <wp:effectExtent l="0" t="0" r="3810" b="127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5953" w:type="dxa"/>
      <w:tblInd w:w="3119" w:type="dxa"/>
      <w:tblLayout w:type="fixed"/>
      <w:tblLook w:val="04A0" w:firstRow="1" w:lastRow="0" w:firstColumn="1" w:lastColumn="0" w:noHBand="0" w:noVBand="1"/>
    </w:tblPr>
    <w:tblGrid>
      <w:gridCol w:w="2551"/>
      <w:gridCol w:w="3402"/>
    </w:tblGrid>
    <w:tr w:rsidR="00D53C9E" w:rsidTr="000B6E12">
      <w:tc>
        <w:tcPr>
          <w:tcW w:w="2551" w:type="dxa"/>
          <w:vAlign w:val="center"/>
          <w:hideMark/>
        </w:tcPr>
        <w:p w:rsidR="00D53C9E" w:rsidRPr="000B6E12" w:rsidRDefault="00D53C9E" w:rsidP="00224D6A">
          <w:pPr>
            <w:rPr>
              <w:rFonts w:ascii="Palatino Linotype" w:hAnsi="Palatino Linotype"/>
              <w:b/>
              <w:sz w:val="20"/>
              <w:szCs w:val="20"/>
              <w:lang w:val="es-ES_tradnl"/>
            </w:rPr>
          </w:pPr>
          <w:r w:rsidRPr="000B6E12">
            <w:rPr>
              <w:rFonts w:ascii="Palatino Linotype" w:hAnsi="Palatino Linotype"/>
              <w:b/>
              <w:sz w:val="20"/>
              <w:szCs w:val="20"/>
              <w:lang w:val="es-ES_tradnl"/>
            </w:rPr>
            <w:t>Recurso de Revisión:</w:t>
          </w:r>
        </w:p>
      </w:tc>
      <w:tc>
        <w:tcPr>
          <w:tcW w:w="3402" w:type="dxa"/>
          <w:vAlign w:val="center"/>
          <w:hideMark/>
        </w:tcPr>
        <w:p w:rsidR="00D53C9E" w:rsidRPr="000B6E12" w:rsidRDefault="00470F62" w:rsidP="00224D6A">
          <w:pPr>
            <w:jc w:val="both"/>
            <w:rPr>
              <w:rFonts w:ascii="Palatino Linotype" w:hAnsi="Palatino Linotype"/>
              <w:b/>
              <w:sz w:val="20"/>
              <w:szCs w:val="20"/>
              <w:lang w:val="es-ES_tradnl"/>
            </w:rPr>
          </w:pPr>
          <w:r>
            <w:rPr>
              <w:rFonts w:ascii="Palatino Linotype" w:hAnsi="Palatino Linotype"/>
              <w:b/>
              <w:sz w:val="20"/>
              <w:szCs w:val="20"/>
              <w:lang w:val="es-ES_tradnl"/>
            </w:rPr>
            <w:t>05789</w:t>
          </w:r>
          <w:r w:rsidR="00D53C9E" w:rsidRPr="000B6E12">
            <w:rPr>
              <w:rFonts w:ascii="Palatino Linotype" w:hAnsi="Palatino Linotype"/>
              <w:b/>
              <w:sz w:val="20"/>
              <w:szCs w:val="20"/>
              <w:lang w:val="es-ES_tradnl"/>
            </w:rPr>
            <w:t xml:space="preserve">/INFOEM/IP/RR/2021 </w:t>
          </w:r>
        </w:p>
      </w:tc>
    </w:tr>
    <w:tr w:rsidR="00D53C9E" w:rsidTr="000B6E12">
      <w:tc>
        <w:tcPr>
          <w:tcW w:w="2551" w:type="dxa"/>
          <w:vAlign w:val="center"/>
          <w:hideMark/>
        </w:tcPr>
        <w:p w:rsidR="00D53C9E" w:rsidRPr="000B6E12" w:rsidRDefault="00D53C9E" w:rsidP="00224D6A">
          <w:pPr>
            <w:ind w:left="35" w:hanging="35"/>
            <w:rPr>
              <w:rFonts w:ascii="Palatino Linotype" w:hAnsi="Palatino Linotype"/>
              <w:b/>
              <w:sz w:val="20"/>
              <w:szCs w:val="20"/>
              <w:lang w:val="es-ES_tradnl"/>
            </w:rPr>
          </w:pPr>
          <w:r w:rsidRPr="000B6E12">
            <w:rPr>
              <w:rFonts w:ascii="Palatino Linotype" w:hAnsi="Palatino Linotype"/>
              <w:b/>
              <w:sz w:val="20"/>
              <w:szCs w:val="20"/>
              <w:lang w:val="es-ES_tradnl"/>
            </w:rPr>
            <w:t>Recurrente:</w:t>
          </w:r>
        </w:p>
      </w:tc>
      <w:tc>
        <w:tcPr>
          <w:tcW w:w="3402" w:type="dxa"/>
          <w:vAlign w:val="center"/>
          <w:hideMark/>
        </w:tcPr>
        <w:p w:rsidR="00D53C9E" w:rsidRPr="000B6E12" w:rsidRDefault="003C1606" w:rsidP="000B6E12">
          <w:pPr>
            <w:ind w:right="600"/>
            <w:jc w:val="both"/>
            <w:rPr>
              <w:rFonts w:ascii="Palatino Linotype" w:hAnsi="Palatino Linotype"/>
              <w:b/>
              <w:sz w:val="20"/>
              <w:szCs w:val="20"/>
              <w:lang w:val="es-ES_tradnl"/>
            </w:rPr>
          </w:pPr>
          <w:r>
            <w:rPr>
              <w:rFonts w:ascii="Palatino Linotype" w:hAnsi="Palatino Linotype"/>
              <w:b/>
              <w:sz w:val="20"/>
              <w:szCs w:val="20"/>
              <w:lang w:val="es-ES_tradnl"/>
            </w:rPr>
            <w:t xml:space="preserve">XXXXX </w:t>
          </w:r>
          <w:proofErr w:type="spellStart"/>
          <w:r>
            <w:rPr>
              <w:rFonts w:ascii="Palatino Linotype" w:hAnsi="Palatino Linotype"/>
              <w:b/>
              <w:sz w:val="20"/>
              <w:szCs w:val="20"/>
              <w:lang w:val="es-ES_tradnl"/>
            </w:rPr>
            <w:t>XXXXX</w:t>
          </w:r>
          <w:proofErr w:type="spellEnd"/>
          <w:r>
            <w:rPr>
              <w:rFonts w:ascii="Palatino Linotype" w:hAnsi="Palatino Linotype"/>
              <w:b/>
              <w:sz w:val="20"/>
              <w:szCs w:val="20"/>
              <w:lang w:val="es-ES_tradnl"/>
            </w:rPr>
            <w:t xml:space="preserve"> </w:t>
          </w:r>
          <w:proofErr w:type="spellStart"/>
          <w:r>
            <w:rPr>
              <w:rFonts w:ascii="Palatino Linotype" w:hAnsi="Palatino Linotype"/>
              <w:b/>
              <w:sz w:val="20"/>
              <w:szCs w:val="20"/>
              <w:lang w:val="es-ES_tradnl"/>
            </w:rPr>
            <w:t>XXXXX</w:t>
          </w:r>
          <w:proofErr w:type="spellEnd"/>
          <w:r w:rsidR="00D53C9E" w:rsidRPr="000B6E12">
            <w:rPr>
              <w:rFonts w:ascii="Palatino Linotype" w:hAnsi="Palatino Linotype"/>
              <w:b/>
              <w:sz w:val="20"/>
              <w:szCs w:val="20"/>
              <w:lang w:val="es-ES_tradnl"/>
            </w:rPr>
            <w:t>.</w:t>
          </w:r>
        </w:p>
      </w:tc>
    </w:tr>
    <w:tr w:rsidR="00D53C9E" w:rsidTr="000B6E12">
      <w:trPr>
        <w:trHeight w:val="228"/>
      </w:trPr>
      <w:tc>
        <w:tcPr>
          <w:tcW w:w="2551" w:type="dxa"/>
          <w:vAlign w:val="center"/>
          <w:hideMark/>
        </w:tcPr>
        <w:p w:rsidR="00D53C9E" w:rsidRPr="000B6E12" w:rsidRDefault="00D53C9E" w:rsidP="00224D6A">
          <w:pPr>
            <w:rPr>
              <w:rFonts w:ascii="Palatino Linotype" w:hAnsi="Palatino Linotype"/>
              <w:b/>
              <w:sz w:val="20"/>
              <w:szCs w:val="20"/>
              <w:lang w:val="es-ES_tradnl"/>
            </w:rPr>
          </w:pPr>
          <w:r w:rsidRPr="000B6E12">
            <w:rPr>
              <w:rFonts w:ascii="Palatino Linotype" w:hAnsi="Palatino Linotype"/>
              <w:b/>
              <w:sz w:val="20"/>
              <w:szCs w:val="20"/>
              <w:lang w:val="es-ES_tradnl"/>
            </w:rPr>
            <w:t>Sujeto obligado:</w:t>
          </w:r>
        </w:p>
      </w:tc>
      <w:tc>
        <w:tcPr>
          <w:tcW w:w="3402" w:type="dxa"/>
          <w:vAlign w:val="center"/>
          <w:hideMark/>
        </w:tcPr>
        <w:p w:rsidR="00D53C9E" w:rsidRPr="000B6E12" w:rsidRDefault="00470F62" w:rsidP="001A51C8">
          <w:pPr>
            <w:ind w:right="-533"/>
            <w:jc w:val="both"/>
            <w:rPr>
              <w:rFonts w:ascii="Palatino Linotype" w:hAnsi="Palatino Linotype"/>
              <w:b/>
              <w:sz w:val="20"/>
              <w:szCs w:val="20"/>
              <w:lang w:val="es-ES_tradnl"/>
            </w:rPr>
          </w:pPr>
          <w:r>
            <w:rPr>
              <w:rFonts w:ascii="Palatino Linotype" w:hAnsi="Palatino Linotype"/>
              <w:b/>
              <w:sz w:val="20"/>
              <w:szCs w:val="20"/>
              <w:lang w:val="es-ES_tradnl"/>
            </w:rPr>
            <w:t>Secretaría General de Gobierno</w:t>
          </w:r>
          <w:r w:rsidR="001A51C8">
            <w:rPr>
              <w:rFonts w:ascii="Palatino Linotype" w:hAnsi="Palatino Linotype"/>
              <w:b/>
              <w:sz w:val="20"/>
              <w:szCs w:val="20"/>
              <w:lang w:val="es-ES_tradnl"/>
            </w:rPr>
            <w:t>.</w:t>
          </w:r>
        </w:p>
      </w:tc>
    </w:tr>
    <w:tr w:rsidR="00D53C9E" w:rsidTr="000B6E12">
      <w:tc>
        <w:tcPr>
          <w:tcW w:w="2551" w:type="dxa"/>
          <w:vAlign w:val="center"/>
          <w:hideMark/>
        </w:tcPr>
        <w:p w:rsidR="00D53C9E" w:rsidRPr="000B6E12" w:rsidRDefault="00D53C9E" w:rsidP="00224D6A">
          <w:pPr>
            <w:rPr>
              <w:rFonts w:ascii="Palatino Linotype" w:hAnsi="Palatino Linotype"/>
              <w:b/>
              <w:sz w:val="20"/>
              <w:szCs w:val="20"/>
              <w:lang w:val="es-ES_tradnl"/>
            </w:rPr>
          </w:pPr>
          <w:r w:rsidRPr="000B6E12">
            <w:rPr>
              <w:rFonts w:ascii="Palatino Linotype" w:hAnsi="Palatino Linotype"/>
              <w:b/>
              <w:sz w:val="20"/>
              <w:szCs w:val="20"/>
              <w:lang w:val="es-ES_tradnl"/>
            </w:rPr>
            <w:t>Comisionada ponente:</w:t>
          </w:r>
        </w:p>
      </w:tc>
      <w:tc>
        <w:tcPr>
          <w:tcW w:w="3402" w:type="dxa"/>
          <w:vAlign w:val="center"/>
          <w:hideMark/>
        </w:tcPr>
        <w:p w:rsidR="00D53C9E" w:rsidRPr="000B6E12" w:rsidRDefault="00D53C9E" w:rsidP="00224D6A">
          <w:pPr>
            <w:ind w:right="-533"/>
            <w:jc w:val="both"/>
            <w:rPr>
              <w:rFonts w:ascii="Palatino Linotype" w:hAnsi="Palatino Linotype"/>
              <w:b/>
              <w:sz w:val="20"/>
              <w:szCs w:val="20"/>
              <w:lang w:val="es-ES_tradnl"/>
            </w:rPr>
          </w:pPr>
          <w:r w:rsidRPr="000B6E12">
            <w:rPr>
              <w:rFonts w:ascii="Palatino Linotype" w:hAnsi="Palatino Linotype"/>
              <w:b/>
              <w:sz w:val="20"/>
              <w:szCs w:val="20"/>
              <w:lang w:val="es-ES_tradnl"/>
            </w:rPr>
            <w:t>Guadalupe Ramírez Peña.</w:t>
          </w:r>
        </w:p>
      </w:tc>
    </w:tr>
  </w:tbl>
  <w:p w:rsidR="00D53C9E" w:rsidRDefault="00D53C9E" w:rsidP="00224D6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627" w:hanging="324"/>
      </w:pPr>
      <w:rPr>
        <w:rFonts w:ascii="Arial" w:hAnsi="Arial" w:cs="Arial"/>
        <w:b w:val="0"/>
        <w:bCs w:val="0"/>
        <w:w w:val="110"/>
      </w:rPr>
    </w:lvl>
    <w:lvl w:ilvl="1">
      <w:numFmt w:val="bullet"/>
      <w:lvlText w:val="•"/>
      <w:lvlJc w:val="left"/>
      <w:pPr>
        <w:ind w:left="1438" w:hanging="324"/>
      </w:pPr>
    </w:lvl>
    <w:lvl w:ilvl="2">
      <w:numFmt w:val="bullet"/>
      <w:lvlText w:val="•"/>
      <w:lvlJc w:val="left"/>
      <w:pPr>
        <w:ind w:left="2256" w:hanging="324"/>
      </w:pPr>
    </w:lvl>
    <w:lvl w:ilvl="3">
      <w:numFmt w:val="bullet"/>
      <w:lvlText w:val="•"/>
      <w:lvlJc w:val="left"/>
      <w:pPr>
        <w:ind w:left="3074" w:hanging="324"/>
      </w:pPr>
    </w:lvl>
    <w:lvl w:ilvl="4">
      <w:numFmt w:val="bullet"/>
      <w:lvlText w:val="•"/>
      <w:lvlJc w:val="left"/>
      <w:pPr>
        <w:ind w:left="3892" w:hanging="324"/>
      </w:pPr>
    </w:lvl>
    <w:lvl w:ilvl="5">
      <w:numFmt w:val="bullet"/>
      <w:lvlText w:val="•"/>
      <w:lvlJc w:val="left"/>
      <w:pPr>
        <w:ind w:left="4710" w:hanging="324"/>
      </w:pPr>
    </w:lvl>
    <w:lvl w:ilvl="6">
      <w:numFmt w:val="bullet"/>
      <w:lvlText w:val="•"/>
      <w:lvlJc w:val="left"/>
      <w:pPr>
        <w:ind w:left="5528" w:hanging="324"/>
      </w:pPr>
    </w:lvl>
    <w:lvl w:ilvl="7">
      <w:numFmt w:val="bullet"/>
      <w:lvlText w:val="•"/>
      <w:lvlJc w:val="left"/>
      <w:pPr>
        <w:ind w:left="6346" w:hanging="324"/>
      </w:pPr>
    </w:lvl>
    <w:lvl w:ilvl="8">
      <w:numFmt w:val="bullet"/>
      <w:lvlText w:val="•"/>
      <w:lvlJc w:val="left"/>
      <w:pPr>
        <w:ind w:left="7164" w:hanging="324"/>
      </w:pPr>
    </w:lvl>
  </w:abstractNum>
  <w:abstractNum w:abstractNumId="1" w15:restartNumberingAfterBreak="0">
    <w:nsid w:val="08217AE8"/>
    <w:multiLevelType w:val="hybridMultilevel"/>
    <w:tmpl w:val="F5461D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EE7F57"/>
    <w:multiLevelType w:val="hybridMultilevel"/>
    <w:tmpl w:val="EEDE53AA"/>
    <w:lvl w:ilvl="0" w:tplc="BD084DDC">
      <w:start w:val="5"/>
      <w:numFmt w:val="upperRoman"/>
      <w:lvlText w:val="%1."/>
      <w:lvlJc w:val="left"/>
      <w:pPr>
        <w:ind w:left="1713" w:hanging="72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 w15:restartNumberingAfterBreak="0">
    <w:nsid w:val="18995210"/>
    <w:multiLevelType w:val="hybridMultilevel"/>
    <w:tmpl w:val="082A74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494159"/>
    <w:multiLevelType w:val="hybridMultilevel"/>
    <w:tmpl w:val="7CF681D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23331724"/>
    <w:multiLevelType w:val="hybridMultilevel"/>
    <w:tmpl w:val="FCFE28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C591276"/>
    <w:multiLevelType w:val="hybridMultilevel"/>
    <w:tmpl w:val="F3AA743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DAA0CD7"/>
    <w:multiLevelType w:val="hybridMultilevel"/>
    <w:tmpl w:val="44B4350E"/>
    <w:lvl w:ilvl="0" w:tplc="080A0017">
      <w:start w:val="1"/>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317490"/>
    <w:multiLevelType w:val="hybridMultilevel"/>
    <w:tmpl w:val="60CA9754"/>
    <w:lvl w:ilvl="0" w:tplc="5EFE98EE">
      <w:start w:val="1"/>
      <w:numFmt w:val="decimal"/>
      <w:lvlText w:val="%1."/>
      <w:lvlJc w:val="left"/>
      <w:pPr>
        <w:ind w:left="5180" w:hanging="360"/>
      </w:pPr>
      <w:rPr>
        <w:rFonts w:hint="default"/>
        <w:b/>
        <w:i w:val="0"/>
        <w:sz w:val="24"/>
      </w:rPr>
    </w:lvl>
    <w:lvl w:ilvl="1" w:tplc="D8BE9144">
      <w:start w:val="1"/>
      <w:numFmt w:val="upperRoman"/>
      <w:lvlText w:val="%2."/>
      <w:lvlJc w:val="left"/>
      <w:pPr>
        <w:ind w:left="1800" w:hanging="720"/>
      </w:pPr>
      <w:rPr>
        <w:rFonts w:hint="default"/>
        <w:color w:val="auto"/>
      </w:rPr>
    </w:lvl>
    <w:lvl w:ilvl="2" w:tplc="080A0011">
      <w:start w:val="1"/>
      <w:numFmt w:val="decimal"/>
      <w:lvlText w:val="%3)"/>
      <w:lvlJc w:val="left"/>
      <w:pPr>
        <w:ind w:left="2340" w:hanging="360"/>
      </w:pPr>
      <w:rPr>
        <w:rFonts w:hint="default"/>
        <w:color w:val="auto"/>
      </w:rPr>
    </w:lvl>
    <w:lvl w:ilvl="3" w:tplc="A306CC5E">
      <w:start w:val="1"/>
      <w:numFmt w:val="decimal"/>
      <w:lvlText w:val="%4."/>
      <w:lvlJc w:val="left"/>
      <w:pPr>
        <w:ind w:left="928" w:hanging="360"/>
      </w:pPr>
      <w:rPr>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9C631F9"/>
    <w:multiLevelType w:val="hybridMultilevel"/>
    <w:tmpl w:val="BFBC1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5506B2"/>
    <w:multiLevelType w:val="hybridMultilevel"/>
    <w:tmpl w:val="2918F5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C9A7531"/>
    <w:multiLevelType w:val="hybridMultilevel"/>
    <w:tmpl w:val="30BCF5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E124630"/>
    <w:multiLevelType w:val="multilevel"/>
    <w:tmpl w:val="DB2EF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C40A8E"/>
    <w:multiLevelType w:val="hybridMultilevel"/>
    <w:tmpl w:val="68029E4C"/>
    <w:lvl w:ilvl="0" w:tplc="62860FFA">
      <w:start w:val="1"/>
      <w:numFmt w:val="upperRoman"/>
      <w:lvlText w:val="%1."/>
      <w:lvlJc w:val="left"/>
      <w:pPr>
        <w:ind w:left="1713" w:hanging="72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4" w15:restartNumberingAfterBreak="0">
    <w:nsid w:val="59927624"/>
    <w:multiLevelType w:val="hybridMultilevel"/>
    <w:tmpl w:val="C34815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3A44FF6"/>
    <w:multiLevelType w:val="hybridMultilevel"/>
    <w:tmpl w:val="B07876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7F14CE"/>
    <w:multiLevelType w:val="hybridMultilevel"/>
    <w:tmpl w:val="09F44904"/>
    <w:lvl w:ilvl="0" w:tplc="69E27CA2">
      <w:start w:val="1"/>
      <w:numFmt w:val="upperRoman"/>
      <w:lvlText w:val="%1."/>
      <w:lvlJc w:val="left"/>
      <w:pPr>
        <w:ind w:left="4265" w:hanging="720"/>
      </w:pPr>
    </w:lvl>
    <w:lvl w:ilvl="1" w:tplc="080A0019">
      <w:start w:val="1"/>
      <w:numFmt w:val="lowerLetter"/>
      <w:lvlText w:val="%2."/>
      <w:lvlJc w:val="left"/>
      <w:pPr>
        <w:ind w:left="4625" w:hanging="360"/>
      </w:pPr>
    </w:lvl>
    <w:lvl w:ilvl="2" w:tplc="080A001B">
      <w:start w:val="1"/>
      <w:numFmt w:val="lowerRoman"/>
      <w:lvlText w:val="%3."/>
      <w:lvlJc w:val="right"/>
      <w:pPr>
        <w:ind w:left="5345" w:hanging="180"/>
      </w:pPr>
    </w:lvl>
    <w:lvl w:ilvl="3" w:tplc="080A000F">
      <w:start w:val="1"/>
      <w:numFmt w:val="decimal"/>
      <w:lvlText w:val="%4."/>
      <w:lvlJc w:val="left"/>
      <w:pPr>
        <w:ind w:left="6065" w:hanging="360"/>
      </w:pPr>
    </w:lvl>
    <w:lvl w:ilvl="4" w:tplc="080A0019">
      <w:start w:val="1"/>
      <w:numFmt w:val="lowerLetter"/>
      <w:lvlText w:val="%5."/>
      <w:lvlJc w:val="left"/>
      <w:pPr>
        <w:ind w:left="6785" w:hanging="360"/>
      </w:pPr>
    </w:lvl>
    <w:lvl w:ilvl="5" w:tplc="080A001B">
      <w:start w:val="1"/>
      <w:numFmt w:val="lowerRoman"/>
      <w:lvlText w:val="%6."/>
      <w:lvlJc w:val="right"/>
      <w:pPr>
        <w:ind w:left="7505" w:hanging="180"/>
      </w:pPr>
    </w:lvl>
    <w:lvl w:ilvl="6" w:tplc="080A000F">
      <w:start w:val="1"/>
      <w:numFmt w:val="decimal"/>
      <w:lvlText w:val="%7."/>
      <w:lvlJc w:val="left"/>
      <w:pPr>
        <w:ind w:left="8225" w:hanging="360"/>
      </w:pPr>
    </w:lvl>
    <w:lvl w:ilvl="7" w:tplc="080A0019">
      <w:start w:val="1"/>
      <w:numFmt w:val="lowerLetter"/>
      <w:lvlText w:val="%8."/>
      <w:lvlJc w:val="left"/>
      <w:pPr>
        <w:ind w:left="8945" w:hanging="360"/>
      </w:pPr>
    </w:lvl>
    <w:lvl w:ilvl="8" w:tplc="080A001B">
      <w:start w:val="1"/>
      <w:numFmt w:val="lowerRoman"/>
      <w:lvlText w:val="%9."/>
      <w:lvlJc w:val="right"/>
      <w:pPr>
        <w:ind w:left="9665" w:hanging="180"/>
      </w:pPr>
    </w:lvl>
  </w:abstractNum>
  <w:abstractNum w:abstractNumId="17" w15:restartNumberingAfterBreak="0">
    <w:nsid w:val="6E8F2AC0"/>
    <w:multiLevelType w:val="hybridMultilevel"/>
    <w:tmpl w:val="7A602B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9973A6"/>
    <w:multiLevelType w:val="hybridMultilevel"/>
    <w:tmpl w:val="1BE4648E"/>
    <w:lvl w:ilvl="0" w:tplc="B5481E6A">
      <w:start w:val="1"/>
      <w:numFmt w:val="upperRoman"/>
      <w:lvlText w:val="%1."/>
      <w:lvlJc w:val="left"/>
      <w:pPr>
        <w:ind w:left="1713" w:hanging="720"/>
      </w:pPr>
      <w:rPr>
        <w:rFonts w:cs="Segoe UI"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9" w15:restartNumberingAfterBreak="0">
    <w:nsid w:val="7913187D"/>
    <w:multiLevelType w:val="hybridMultilevel"/>
    <w:tmpl w:val="BFBC1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CEC4444"/>
    <w:multiLevelType w:val="hybridMultilevel"/>
    <w:tmpl w:val="4D702E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0"/>
  </w:num>
  <w:num w:numId="4">
    <w:abstractNumId w:val="7"/>
  </w:num>
  <w:num w:numId="5">
    <w:abstractNumId w:val="3"/>
  </w:num>
  <w:num w:numId="6">
    <w:abstractNumId w:val="6"/>
  </w:num>
  <w:num w:numId="7">
    <w:abstractNumId w:val="8"/>
  </w:num>
  <w:num w:numId="8">
    <w:abstractNumId w:val="5"/>
  </w:num>
  <w:num w:numId="9">
    <w:abstractNumId w:val="4"/>
  </w:num>
  <w:num w:numId="10">
    <w:abstractNumId w:val="14"/>
  </w:num>
  <w:num w:numId="11">
    <w:abstractNumId w:val="13"/>
  </w:num>
  <w:num w:numId="12">
    <w:abstractNumId w:val="17"/>
  </w:num>
  <w:num w:numId="13">
    <w:abstractNumId w:val="9"/>
  </w:num>
  <w:num w:numId="14">
    <w:abstractNumId w:val="19"/>
  </w:num>
  <w:num w:numId="15">
    <w:abstractNumId w:val="2"/>
  </w:num>
  <w:num w:numId="16">
    <w:abstractNumId w:val="18"/>
  </w:num>
  <w:num w:numId="17">
    <w:abstractNumId w:val="20"/>
  </w:num>
  <w:num w:numId="18">
    <w:abstractNumId w:val="11"/>
  </w:num>
  <w:num w:numId="19">
    <w:abstractNumId w:val="15"/>
  </w:num>
  <w:num w:numId="20">
    <w:abstractNumId w:val="10"/>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396"/>
    <w:rsid w:val="000033B1"/>
    <w:rsid w:val="000065CB"/>
    <w:rsid w:val="0001561E"/>
    <w:rsid w:val="00015B46"/>
    <w:rsid w:val="00020628"/>
    <w:rsid w:val="00021168"/>
    <w:rsid w:val="000216E2"/>
    <w:rsid w:val="00022119"/>
    <w:rsid w:val="000237B7"/>
    <w:rsid w:val="00027BBB"/>
    <w:rsid w:val="000337DA"/>
    <w:rsid w:val="00037D72"/>
    <w:rsid w:val="0004608D"/>
    <w:rsid w:val="00062052"/>
    <w:rsid w:val="00066EA9"/>
    <w:rsid w:val="00067496"/>
    <w:rsid w:val="00072D95"/>
    <w:rsid w:val="000750A7"/>
    <w:rsid w:val="00076C9A"/>
    <w:rsid w:val="00080788"/>
    <w:rsid w:val="00094A52"/>
    <w:rsid w:val="00096161"/>
    <w:rsid w:val="00096C72"/>
    <w:rsid w:val="00097DC6"/>
    <w:rsid w:val="000A3261"/>
    <w:rsid w:val="000A7478"/>
    <w:rsid w:val="000B37AE"/>
    <w:rsid w:val="000B6E12"/>
    <w:rsid w:val="000D34A1"/>
    <w:rsid w:val="000D4727"/>
    <w:rsid w:val="000D4A20"/>
    <w:rsid w:val="000E0F0F"/>
    <w:rsid w:val="000E3843"/>
    <w:rsid w:val="000E4227"/>
    <w:rsid w:val="000E77F3"/>
    <w:rsid w:val="000F2D64"/>
    <w:rsid w:val="000F51C1"/>
    <w:rsid w:val="0010499F"/>
    <w:rsid w:val="0010633D"/>
    <w:rsid w:val="00113F0F"/>
    <w:rsid w:val="00114A6D"/>
    <w:rsid w:val="00114A9A"/>
    <w:rsid w:val="00116785"/>
    <w:rsid w:val="001342BD"/>
    <w:rsid w:val="0013433C"/>
    <w:rsid w:val="00142FA9"/>
    <w:rsid w:val="00146257"/>
    <w:rsid w:val="00153C0D"/>
    <w:rsid w:val="00161C08"/>
    <w:rsid w:val="001639B7"/>
    <w:rsid w:val="00165298"/>
    <w:rsid w:val="00170E33"/>
    <w:rsid w:val="00171420"/>
    <w:rsid w:val="001714D5"/>
    <w:rsid w:val="00173DD2"/>
    <w:rsid w:val="001778FE"/>
    <w:rsid w:val="00181755"/>
    <w:rsid w:val="0018182C"/>
    <w:rsid w:val="0018407B"/>
    <w:rsid w:val="00184165"/>
    <w:rsid w:val="00186A33"/>
    <w:rsid w:val="00190F13"/>
    <w:rsid w:val="0019247C"/>
    <w:rsid w:val="0019336E"/>
    <w:rsid w:val="0019366F"/>
    <w:rsid w:val="00195135"/>
    <w:rsid w:val="001A4769"/>
    <w:rsid w:val="001A51C8"/>
    <w:rsid w:val="001A5DB6"/>
    <w:rsid w:val="001A73AF"/>
    <w:rsid w:val="001B5585"/>
    <w:rsid w:val="001C16F6"/>
    <w:rsid w:val="001C54FE"/>
    <w:rsid w:val="001C66D4"/>
    <w:rsid w:val="001E04EA"/>
    <w:rsid w:val="001E35F1"/>
    <w:rsid w:val="001E571F"/>
    <w:rsid w:val="001F5725"/>
    <w:rsid w:val="001F72FB"/>
    <w:rsid w:val="002012F5"/>
    <w:rsid w:val="002043EC"/>
    <w:rsid w:val="00205EF0"/>
    <w:rsid w:val="00206CFD"/>
    <w:rsid w:val="0021444D"/>
    <w:rsid w:val="00214E16"/>
    <w:rsid w:val="0022062A"/>
    <w:rsid w:val="00223B07"/>
    <w:rsid w:val="00224D6A"/>
    <w:rsid w:val="00226398"/>
    <w:rsid w:val="0022754A"/>
    <w:rsid w:val="00232C0E"/>
    <w:rsid w:val="00235A8C"/>
    <w:rsid w:val="002417A9"/>
    <w:rsid w:val="0024214B"/>
    <w:rsid w:val="00246A48"/>
    <w:rsid w:val="00252213"/>
    <w:rsid w:val="00266653"/>
    <w:rsid w:val="00266B48"/>
    <w:rsid w:val="00273EF3"/>
    <w:rsid w:val="00276DAD"/>
    <w:rsid w:val="00286483"/>
    <w:rsid w:val="00293A1F"/>
    <w:rsid w:val="00293CA1"/>
    <w:rsid w:val="00293EB6"/>
    <w:rsid w:val="002A05B6"/>
    <w:rsid w:val="002A11F8"/>
    <w:rsid w:val="002A6F11"/>
    <w:rsid w:val="002B0D00"/>
    <w:rsid w:val="002B3972"/>
    <w:rsid w:val="002C0440"/>
    <w:rsid w:val="002C20F6"/>
    <w:rsid w:val="002D48FE"/>
    <w:rsid w:val="002D5D7C"/>
    <w:rsid w:val="002D6562"/>
    <w:rsid w:val="002E0B73"/>
    <w:rsid w:val="002E1C93"/>
    <w:rsid w:val="002E5396"/>
    <w:rsid w:val="002F081A"/>
    <w:rsid w:val="003000C4"/>
    <w:rsid w:val="003048AD"/>
    <w:rsid w:val="003132E1"/>
    <w:rsid w:val="00313ADE"/>
    <w:rsid w:val="003239B7"/>
    <w:rsid w:val="003241E5"/>
    <w:rsid w:val="0033087D"/>
    <w:rsid w:val="003347C3"/>
    <w:rsid w:val="00336113"/>
    <w:rsid w:val="00340981"/>
    <w:rsid w:val="003443C1"/>
    <w:rsid w:val="00345F68"/>
    <w:rsid w:val="00363976"/>
    <w:rsid w:val="0036505F"/>
    <w:rsid w:val="00365264"/>
    <w:rsid w:val="00373C0A"/>
    <w:rsid w:val="00380275"/>
    <w:rsid w:val="00382DC3"/>
    <w:rsid w:val="00386076"/>
    <w:rsid w:val="00391967"/>
    <w:rsid w:val="00392DE2"/>
    <w:rsid w:val="00392DEB"/>
    <w:rsid w:val="00392F63"/>
    <w:rsid w:val="00394387"/>
    <w:rsid w:val="00394748"/>
    <w:rsid w:val="003A0920"/>
    <w:rsid w:val="003A10D3"/>
    <w:rsid w:val="003A24CA"/>
    <w:rsid w:val="003A386A"/>
    <w:rsid w:val="003A781E"/>
    <w:rsid w:val="003B0CBF"/>
    <w:rsid w:val="003B19DA"/>
    <w:rsid w:val="003B4C11"/>
    <w:rsid w:val="003C1448"/>
    <w:rsid w:val="003C1606"/>
    <w:rsid w:val="003C4A56"/>
    <w:rsid w:val="003E3A0E"/>
    <w:rsid w:val="003E67EC"/>
    <w:rsid w:val="003E7C61"/>
    <w:rsid w:val="003F2267"/>
    <w:rsid w:val="00410B33"/>
    <w:rsid w:val="00416F97"/>
    <w:rsid w:val="0042081B"/>
    <w:rsid w:val="00422958"/>
    <w:rsid w:val="00431776"/>
    <w:rsid w:val="00441DEC"/>
    <w:rsid w:val="0044607B"/>
    <w:rsid w:val="00452381"/>
    <w:rsid w:val="00452AA3"/>
    <w:rsid w:val="00455513"/>
    <w:rsid w:val="00461C88"/>
    <w:rsid w:val="00463004"/>
    <w:rsid w:val="00470F62"/>
    <w:rsid w:val="004728FD"/>
    <w:rsid w:val="004879EC"/>
    <w:rsid w:val="00490FD1"/>
    <w:rsid w:val="00497433"/>
    <w:rsid w:val="004A78DC"/>
    <w:rsid w:val="004B0649"/>
    <w:rsid w:val="004B0F26"/>
    <w:rsid w:val="004B7469"/>
    <w:rsid w:val="004C7BE4"/>
    <w:rsid w:val="004D295E"/>
    <w:rsid w:val="004D453C"/>
    <w:rsid w:val="004D63E3"/>
    <w:rsid w:val="004D6DE5"/>
    <w:rsid w:val="004D6F01"/>
    <w:rsid w:val="004E51D4"/>
    <w:rsid w:val="004F31E2"/>
    <w:rsid w:val="004F5A47"/>
    <w:rsid w:val="004F6F27"/>
    <w:rsid w:val="00504982"/>
    <w:rsid w:val="00505840"/>
    <w:rsid w:val="005124BF"/>
    <w:rsid w:val="005165E9"/>
    <w:rsid w:val="00523D85"/>
    <w:rsid w:val="00526638"/>
    <w:rsid w:val="00530E63"/>
    <w:rsid w:val="005323AC"/>
    <w:rsid w:val="00537F89"/>
    <w:rsid w:val="00540979"/>
    <w:rsid w:val="005426EA"/>
    <w:rsid w:val="00546029"/>
    <w:rsid w:val="005507DC"/>
    <w:rsid w:val="00551415"/>
    <w:rsid w:val="00581E90"/>
    <w:rsid w:val="005975CD"/>
    <w:rsid w:val="00597C70"/>
    <w:rsid w:val="005B1C86"/>
    <w:rsid w:val="005C2B9A"/>
    <w:rsid w:val="005D0014"/>
    <w:rsid w:val="005E0477"/>
    <w:rsid w:val="005E40AB"/>
    <w:rsid w:val="005F0C47"/>
    <w:rsid w:val="00600AFE"/>
    <w:rsid w:val="0060122B"/>
    <w:rsid w:val="00625BB7"/>
    <w:rsid w:val="00626D6C"/>
    <w:rsid w:val="006302EB"/>
    <w:rsid w:val="0063409B"/>
    <w:rsid w:val="00636BF0"/>
    <w:rsid w:val="00640896"/>
    <w:rsid w:val="00641CF7"/>
    <w:rsid w:val="00642ED3"/>
    <w:rsid w:val="00651AE4"/>
    <w:rsid w:val="00651B2F"/>
    <w:rsid w:val="00667C75"/>
    <w:rsid w:val="0067242C"/>
    <w:rsid w:val="00673AC9"/>
    <w:rsid w:val="00673F19"/>
    <w:rsid w:val="00676C17"/>
    <w:rsid w:val="00686C66"/>
    <w:rsid w:val="0069454E"/>
    <w:rsid w:val="00695C47"/>
    <w:rsid w:val="006975B4"/>
    <w:rsid w:val="006A22FD"/>
    <w:rsid w:val="006A7EE4"/>
    <w:rsid w:val="006B54F6"/>
    <w:rsid w:val="006C60A8"/>
    <w:rsid w:val="006D0954"/>
    <w:rsid w:val="006E1131"/>
    <w:rsid w:val="006E32F0"/>
    <w:rsid w:val="006F2A2A"/>
    <w:rsid w:val="006F37E6"/>
    <w:rsid w:val="006F40FE"/>
    <w:rsid w:val="00702C67"/>
    <w:rsid w:val="007048F5"/>
    <w:rsid w:val="00713DD7"/>
    <w:rsid w:val="0071726B"/>
    <w:rsid w:val="00720105"/>
    <w:rsid w:val="00722A61"/>
    <w:rsid w:val="0073045B"/>
    <w:rsid w:val="007372F8"/>
    <w:rsid w:val="0074427E"/>
    <w:rsid w:val="00745A16"/>
    <w:rsid w:val="00747FEA"/>
    <w:rsid w:val="00752494"/>
    <w:rsid w:val="0075545F"/>
    <w:rsid w:val="00763D10"/>
    <w:rsid w:val="0077066B"/>
    <w:rsid w:val="00771004"/>
    <w:rsid w:val="00771FD8"/>
    <w:rsid w:val="00776053"/>
    <w:rsid w:val="00777D38"/>
    <w:rsid w:val="007826B6"/>
    <w:rsid w:val="00782D84"/>
    <w:rsid w:val="00786399"/>
    <w:rsid w:val="00787330"/>
    <w:rsid w:val="0079066D"/>
    <w:rsid w:val="0079175F"/>
    <w:rsid w:val="00793A46"/>
    <w:rsid w:val="00795888"/>
    <w:rsid w:val="007A2EAF"/>
    <w:rsid w:val="007A6AB4"/>
    <w:rsid w:val="007B188B"/>
    <w:rsid w:val="007B1D27"/>
    <w:rsid w:val="007B6B59"/>
    <w:rsid w:val="007C08DD"/>
    <w:rsid w:val="007C26DD"/>
    <w:rsid w:val="007D2A34"/>
    <w:rsid w:val="007D3B62"/>
    <w:rsid w:val="007D70B1"/>
    <w:rsid w:val="007E06D7"/>
    <w:rsid w:val="007E20FC"/>
    <w:rsid w:val="007E28D4"/>
    <w:rsid w:val="007E5123"/>
    <w:rsid w:val="007E6426"/>
    <w:rsid w:val="007F09BB"/>
    <w:rsid w:val="007F6117"/>
    <w:rsid w:val="0080178F"/>
    <w:rsid w:val="008029E6"/>
    <w:rsid w:val="008035A8"/>
    <w:rsid w:val="00815F59"/>
    <w:rsid w:val="00821319"/>
    <w:rsid w:val="00825D48"/>
    <w:rsid w:val="0084038C"/>
    <w:rsid w:val="008422E5"/>
    <w:rsid w:val="0085194C"/>
    <w:rsid w:val="00854B1C"/>
    <w:rsid w:val="008558D7"/>
    <w:rsid w:val="0085799A"/>
    <w:rsid w:val="00864153"/>
    <w:rsid w:val="0087361A"/>
    <w:rsid w:val="00880949"/>
    <w:rsid w:val="00881FC4"/>
    <w:rsid w:val="0089424B"/>
    <w:rsid w:val="008A0CDC"/>
    <w:rsid w:val="008A100D"/>
    <w:rsid w:val="008A3111"/>
    <w:rsid w:val="008B5639"/>
    <w:rsid w:val="008E0A94"/>
    <w:rsid w:val="008E520C"/>
    <w:rsid w:val="008E6621"/>
    <w:rsid w:val="008F324A"/>
    <w:rsid w:val="008F459F"/>
    <w:rsid w:val="00901BCB"/>
    <w:rsid w:val="00921A6C"/>
    <w:rsid w:val="00924D37"/>
    <w:rsid w:val="00944CD5"/>
    <w:rsid w:val="00945457"/>
    <w:rsid w:val="00950BEC"/>
    <w:rsid w:val="00957724"/>
    <w:rsid w:val="009602E3"/>
    <w:rsid w:val="00966DD3"/>
    <w:rsid w:val="00976507"/>
    <w:rsid w:val="0098057B"/>
    <w:rsid w:val="009902CB"/>
    <w:rsid w:val="00997B8F"/>
    <w:rsid w:val="009A15B8"/>
    <w:rsid w:val="009A47D5"/>
    <w:rsid w:val="009B13E8"/>
    <w:rsid w:val="009B3DAD"/>
    <w:rsid w:val="009C49CD"/>
    <w:rsid w:val="009E1FAD"/>
    <w:rsid w:val="009E71E7"/>
    <w:rsid w:val="009F00A5"/>
    <w:rsid w:val="00A02EE8"/>
    <w:rsid w:val="00A0527F"/>
    <w:rsid w:val="00A11D70"/>
    <w:rsid w:val="00A26A48"/>
    <w:rsid w:val="00A32E26"/>
    <w:rsid w:val="00A3384C"/>
    <w:rsid w:val="00A34630"/>
    <w:rsid w:val="00A3483A"/>
    <w:rsid w:val="00A37BB0"/>
    <w:rsid w:val="00A43706"/>
    <w:rsid w:val="00A7395C"/>
    <w:rsid w:val="00A80726"/>
    <w:rsid w:val="00A93289"/>
    <w:rsid w:val="00A9340E"/>
    <w:rsid w:val="00AA1D9C"/>
    <w:rsid w:val="00AA23D5"/>
    <w:rsid w:val="00AA3766"/>
    <w:rsid w:val="00AA5B9D"/>
    <w:rsid w:val="00AB4201"/>
    <w:rsid w:val="00AB4D6F"/>
    <w:rsid w:val="00AB619D"/>
    <w:rsid w:val="00AC2D4D"/>
    <w:rsid w:val="00AD0C26"/>
    <w:rsid w:val="00AD1F1D"/>
    <w:rsid w:val="00AD62E4"/>
    <w:rsid w:val="00AE03C3"/>
    <w:rsid w:val="00AE2FE4"/>
    <w:rsid w:val="00AF1553"/>
    <w:rsid w:val="00AF3687"/>
    <w:rsid w:val="00AF3EE9"/>
    <w:rsid w:val="00B00578"/>
    <w:rsid w:val="00B027BE"/>
    <w:rsid w:val="00B10115"/>
    <w:rsid w:val="00B124E5"/>
    <w:rsid w:val="00B151F3"/>
    <w:rsid w:val="00B17F12"/>
    <w:rsid w:val="00B20D9F"/>
    <w:rsid w:val="00B24AA0"/>
    <w:rsid w:val="00B276BE"/>
    <w:rsid w:val="00B307A8"/>
    <w:rsid w:val="00B44473"/>
    <w:rsid w:val="00B450CA"/>
    <w:rsid w:val="00B55F88"/>
    <w:rsid w:val="00B62D1E"/>
    <w:rsid w:val="00B84CB3"/>
    <w:rsid w:val="00B94E90"/>
    <w:rsid w:val="00BB2A04"/>
    <w:rsid w:val="00BB2B3D"/>
    <w:rsid w:val="00BB4ED8"/>
    <w:rsid w:val="00BB61F7"/>
    <w:rsid w:val="00BB75C3"/>
    <w:rsid w:val="00BC3332"/>
    <w:rsid w:val="00BC5CBE"/>
    <w:rsid w:val="00BD09ED"/>
    <w:rsid w:val="00BD1EA0"/>
    <w:rsid w:val="00BD1F18"/>
    <w:rsid w:val="00BE545E"/>
    <w:rsid w:val="00BE5DED"/>
    <w:rsid w:val="00BF5449"/>
    <w:rsid w:val="00C01EF3"/>
    <w:rsid w:val="00C04AC7"/>
    <w:rsid w:val="00C055C3"/>
    <w:rsid w:val="00C05B60"/>
    <w:rsid w:val="00C1056D"/>
    <w:rsid w:val="00C12F96"/>
    <w:rsid w:val="00C16923"/>
    <w:rsid w:val="00C17246"/>
    <w:rsid w:val="00C31A4E"/>
    <w:rsid w:val="00C3219F"/>
    <w:rsid w:val="00C32DD3"/>
    <w:rsid w:val="00C367B8"/>
    <w:rsid w:val="00C407B9"/>
    <w:rsid w:val="00C41145"/>
    <w:rsid w:val="00C43202"/>
    <w:rsid w:val="00C52B7C"/>
    <w:rsid w:val="00C6202E"/>
    <w:rsid w:val="00C62A48"/>
    <w:rsid w:val="00C63420"/>
    <w:rsid w:val="00C65C6D"/>
    <w:rsid w:val="00C66BA8"/>
    <w:rsid w:val="00C706D2"/>
    <w:rsid w:val="00C76ABB"/>
    <w:rsid w:val="00C8268C"/>
    <w:rsid w:val="00C8338F"/>
    <w:rsid w:val="00C87077"/>
    <w:rsid w:val="00C910ED"/>
    <w:rsid w:val="00CA4A50"/>
    <w:rsid w:val="00CA6C81"/>
    <w:rsid w:val="00CA7CFD"/>
    <w:rsid w:val="00CC3412"/>
    <w:rsid w:val="00CC51B6"/>
    <w:rsid w:val="00CD4117"/>
    <w:rsid w:val="00CD4712"/>
    <w:rsid w:val="00CE169F"/>
    <w:rsid w:val="00CE3484"/>
    <w:rsid w:val="00D027C7"/>
    <w:rsid w:val="00D03D82"/>
    <w:rsid w:val="00D049F6"/>
    <w:rsid w:val="00D04AE4"/>
    <w:rsid w:val="00D04B37"/>
    <w:rsid w:val="00D078B4"/>
    <w:rsid w:val="00D129B1"/>
    <w:rsid w:val="00D135C7"/>
    <w:rsid w:val="00D213EC"/>
    <w:rsid w:val="00D215DE"/>
    <w:rsid w:val="00D24040"/>
    <w:rsid w:val="00D246B8"/>
    <w:rsid w:val="00D25C96"/>
    <w:rsid w:val="00D2638F"/>
    <w:rsid w:val="00D27626"/>
    <w:rsid w:val="00D35465"/>
    <w:rsid w:val="00D46C55"/>
    <w:rsid w:val="00D50BF2"/>
    <w:rsid w:val="00D522BD"/>
    <w:rsid w:val="00D53C9E"/>
    <w:rsid w:val="00D564E9"/>
    <w:rsid w:val="00D60D50"/>
    <w:rsid w:val="00D642F2"/>
    <w:rsid w:val="00D64D7A"/>
    <w:rsid w:val="00D65330"/>
    <w:rsid w:val="00D66DC4"/>
    <w:rsid w:val="00D74228"/>
    <w:rsid w:val="00D817CC"/>
    <w:rsid w:val="00D84317"/>
    <w:rsid w:val="00D86D06"/>
    <w:rsid w:val="00D95F0F"/>
    <w:rsid w:val="00DA4FC4"/>
    <w:rsid w:val="00DB61BC"/>
    <w:rsid w:val="00DC1614"/>
    <w:rsid w:val="00DC1FC8"/>
    <w:rsid w:val="00DC3DCD"/>
    <w:rsid w:val="00DC6C96"/>
    <w:rsid w:val="00DD00F1"/>
    <w:rsid w:val="00DD57B6"/>
    <w:rsid w:val="00DE25D7"/>
    <w:rsid w:val="00DE4E6A"/>
    <w:rsid w:val="00DE772D"/>
    <w:rsid w:val="00DE7A75"/>
    <w:rsid w:val="00DF3918"/>
    <w:rsid w:val="00DF4A44"/>
    <w:rsid w:val="00E00033"/>
    <w:rsid w:val="00E003BF"/>
    <w:rsid w:val="00E06B17"/>
    <w:rsid w:val="00E115C4"/>
    <w:rsid w:val="00E13192"/>
    <w:rsid w:val="00E17FB8"/>
    <w:rsid w:val="00E22A8D"/>
    <w:rsid w:val="00E22EA1"/>
    <w:rsid w:val="00E23E83"/>
    <w:rsid w:val="00E2702C"/>
    <w:rsid w:val="00E279AD"/>
    <w:rsid w:val="00E3118E"/>
    <w:rsid w:val="00E33B23"/>
    <w:rsid w:val="00E34595"/>
    <w:rsid w:val="00E4013E"/>
    <w:rsid w:val="00E4481D"/>
    <w:rsid w:val="00E479A9"/>
    <w:rsid w:val="00E53ECD"/>
    <w:rsid w:val="00E578F2"/>
    <w:rsid w:val="00E67840"/>
    <w:rsid w:val="00E72E93"/>
    <w:rsid w:val="00E75722"/>
    <w:rsid w:val="00E827A0"/>
    <w:rsid w:val="00E84CD8"/>
    <w:rsid w:val="00E87E7E"/>
    <w:rsid w:val="00E9188C"/>
    <w:rsid w:val="00E96956"/>
    <w:rsid w:val="00E969C6"/>
    <w:rsid w:val="00E9748A"/>
    <w:rsid w:val="00E97D16"/>
    <w:rsid w:val="00EA040E"/>
    <w:rsid w:val="00EA28F2"/>
    <w:rsid w:val="00EB6B00"/>
    <w:rsid w:val="00EC1780"/>
    <w:rsid w:val="00EC32C0"/>
    <w:rsid w:val="00EC5F74"/>
    <w:rsid w:val="00EC6D97"/>
    <w:rsid w:val="00ED39F1"/>
    <w:rsid w:val="00ED4138"/>
    <w:rsid w:val="00EE6DBE"/>
    <w:rsid w:val="00EF0E0E"/>
    <w:rsid w:val="00EF50C0"/>
    <w:rsid w:val="00EF5983"/>
    <w:rsid w:val="00EF7597"/>
    <w:rsid w:val="00F03394"/>
    <w:rsid w:val="00F041BB"/>
    <w:rsid w:val="00F11217"/>
    <w:rsid w:val="00F13931"/>
    <w:rsid w:val="00F15EDD"/>
    <w:rsid w:val="00F2486F"/>
    <w:rsid w:val="00F33C22"/>
    <w:rsid w:val="00F363AD"/>
    <w:rsid w:val="00F41009"/>
    <w:rsid w:val="00F4384F"/>
    <w:rsid w:val="00F470CE"/>
    <w:rsid w:val="00F56D15"/>
    <w:rsid w:val="00F677C7"/>
    <w:rsid w:val="00F706E0"/>
    <w:rsid w:val="00F75AEC"/>
    <w:rsid w:val="00F77E17"/>
    <w:rsid w:val="00F84DB8"/>
    <w:rsid w:val="00F86EFA"/>
    <w:rsid w:val="00F930F7"/>
    <w:rsid w:val="00FA3138"/>
    <w:rsid w:val="00FA544C"/>
    <w:rsid w:val="00FB268B"/>
    <w:rsid w:val="00FB2CEE"/>
    <w:rsid w:val="00FB32A7"/>
    <w:rsid w:val="00FB34FF"/>
    <w:rsid w:val="00FB75C0"/>
    <w:rsid w:val="00FC2357"/>
    <w:rsid w:val="00FC4004"/>
    <w:rsid w:val="00FC4A1A"/>
    <w:rsid w:val="00FE56B6"/>
    <w:rsid w:val="00FF34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9C904B0"/>
  <w15:chartTrackingRefBased/>
  <w15:docId w15:val="{815575B0-D91A-4563-B063-6085A1DB8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396"/>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1E35F1"/>
    <w:pPr>
      <w:spacing w:after="0" w:line="240" w:lineRule="auto"/>
    </w:pPr>
  </w:style>
  <w:style w:type="character" w:customStyle="1" w:styleId="SinespaciadoCar">
    <w:name w:val="Sin espaciado Car"/>
    <w:aliases w:val="Francesa Car,INAI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114A6D"/>
    <w:rPr>
      <w:vertAlign w:val="superscript"/>
    </w:rPr>
  </w:style>
  <w:style w:type="character" w:styleId="Hipervnculovisitado">
    <w:name w:val="FollowedHyperlink"/>
    <w:basedOn w:val="Fuentedeprrafopredeter"/>
    <w:uiPriority w:val="99"/>
    <w:semiHidden/>
    <w:unhideWhenUsed/>
    <w:rsid w:val="00787330"/>
    <w:rPr>
      <w:color w:val="954F72" w:themeColor="followedHyperlink"/>
      <w:u w:val="single"/>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uiPriority w:val="99"/>
    <w:rsid w:val="001A51C8"/>
    <w:rPr>
      <w:rFonts w:ascii="Times New Roman" w:eastAsia="Times New Roman" w:hAnsi="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885249">
      <w:bodyDiv w:val="1"/>
      <w:marLeft w:val="0"/>
      <w:marRight w:val="0"/>
      <w:marTop w:val="0"/>
      <w:marBottom w:val="0"/>
      <w:divBdr>
        <w:top w:val="none" w:sz="0" w:space="0" w:color="auto"/>
        <w:left w:val="none" w:sz="0" w:space="0" w:color="auto"/>
        <w:bottom w:val="none" w:sz="0" w:space="0" w:color="auto"/>
        <w:right w:val="none" w:sz="0" w:space="0" w:color="auto"/>
      </w:divBdr>
    </w:div>
    <w:div w:id="311957216">
      <w:bodyDiv w:val="1"/>
      <w:marLeft w:val="0"/>
      <w:marRight w:val="0"/>
      <w:marTop w:val="0"/>
      <w:marBottom w:val="0"/>
      <w:divBdr>
        <w:top w:val="none" w:sz="0" w:space="0" w:color="auto"/>
        <w:left w:val="none" w:sz="0" w:space="0" w:color="auto"/>
        <w:bottom w:val="none" w:sz="0" w:space="0" w:color="auto"/>
        <w:right w:val="none" w:sz="0" w:space="0" w:color="auto"/>
      </w:divBdr>
    </w:div>
    <w:div w:id="349456916">
      <w:bodyDiv w:val="1"/>
      <w:marLeft w:val="0"/>
      <w:marRight w:val="0"/>
      <w:marTop w:val="0"/>
      <w:marBottom w:val="0"/>
      <w:divBdr>
        <w:top w:val="none" w:sz="0" w:space="0" w:color="auto"/>
        <w:left w:val="none" w:sz="0" w:space="0" w:color="auto"/>
        <w:bottom w:val="none" w:sz="0" w:space="0" w:color="auto"/>
        <w:right w:val="none" w:sz="0" w:space="0" w:color="auto"/>
      </w:divBdr>
    </w:div>
    <w:div w:id="382218733">
      <w:bodyDiv w:val="1"/>
      <w:marLeft w:val="0"/>
      <w:marRight w:val="0"/>
      <w:marTop w:val="0"/>
      <w:marBottom w:val="0"/>
      <w:divBdr>
        <w:top w:val="none" w:sz="0" w:space="0" w:color="auto"/>
        <w:left w:val="none" w:sz="0" w:space="0" w:color="auto"/>
        <w:bottom w:val="none" w:sz="0" w:space="0" w:color="auto"/>
        <w:right w:val="none" w:sz="0" w:space="0" w:color="auto"/>
      </w:divBdr>
    </w:div>
    <w:div w:id="508906201">
      <w:bodyDiv w:val="1"/>
      <w:marLeft w:val="0"/>
      <w:marRight w:val="0"/>
      <w:marTop w:val="0"/>
      <w:marBottom w:val="0"/>
      <w:divBdr>
        <w:top w:val="none" w:sz="0" w:space="0" w:color="auto"/>
        <w:left w:val="none" w:sz="0" w:space="0" w:color="auto"/>
        <w:bottom w:val="none" w:sz="0" w:space="0" w:color="auto"/>
        <w:right w:val="none" w:sz="0" w:space="0" w:color="auto"/>
      </w:divBdr>
    </w:div>
    <w:div w:id="515774719">
      <w:bodyDiv w:val="1"/>
      <w:marLeft w:val="0"/>
      <w:marRight w:val="0"/>
      <w:marTop w:val="0"/>
      <w:marBottom w:val="0"/>
      <w:divBdr>
        <w:top w:val="none" w:sz="0" w:space="0" w:color="auto"/>
        <w:left w:val="none" w:sz="0" w:space="0" w:color="auto"/>
        <w:bottom w:val="none" w:sz="0" w:space="0" w:color="auto"/>
        <w:right w:val="none" w:sz="0" w:space="0" w:color="auto"/>
      </w:divBdr>
    </w:div>
    <w:div w:id="567809210">
      <w:bodyDiv w:val="1"/>
      <w:marLeft w:val="0"/>
      <w:marRight w:val="0"/>
      <w:marTop w:val="0"/>
      <w:marBottom w:val="0"/>
      <w:divBdr>
        <w:top w:val="none" w:sz="0" w:space="0" w:color="auto"/>
        <w:left w:val="none" w:sz="0" w:space="0" w:color="auto"/>
        <w:bottom w:val="none" w:sz="0" w:space="0" w:color="auto"/>
        <w:right w:val="none" w:sz="0" w:space="0" w:color="auto"/>
      </w:divBdr>
    </w:div>
    <w:div w:id="600456613">
      <w:bodyDiv w:val="1"/>
      <w:marLeft w:val="0"/>
      <w:marRight w:val="0"/>
      <w:marTop w:val="0"/>
      <w:marBottom w:val="0"/>
      <w:divBdr>
        <w:top w:val="none" w:sz="0" w:space="0" w:color="auto"/>
        <w:left w:val="none" w:sz="0" w:space="0" w:color="auto"/>
        <w:bottom w:val="none" w:sz="0" w:space="0" w:color="auto"/>
        <w:right w:val="none" w:sz="0" w:space="0" w:color="auto"/>
      </w:divBdr>
    </w:div>
    <w:div w:id="662900695">
      <w:bodyDiv w:val="1"/>
      <w:marLeft w:val="0"/>
      <w:marRight w:val="0"/>
      <w:marTop w:val="0"/>
      <w:marBottom w:val="0"/>
      <w:divBdr>
        <w:top w:val="none" w:sz="0" w:space="0" w:color="auto"/>
        <w:left w:val="none" w:sz="0" w:space="0" w:color="auto"/>
        <w:bottom w:val="none" w:sz="0" w:space="0" w:color="auto"/>
        <w:right w:val="none" w:sz="0" w:space="0" w:color="auto"/>
      </w:divBdr>
    </w:div>
    <w:div w:id="665207938">
      <w:bodyDiv w:val="1"/>
      <w:marLeft w:val="0"/>
      <w:marRight w:val="0"/>
      <w:marTop w:val="0"/>
      <w:marBottom w:val="0"/>
      <w:divBdr>
        <w:top w:val="none" w:sz="0" w:space="0" w:color="auto"/>
        <w:left w:val="none" w:sz="0" w:space="0" w:color="auto"/>
        <w:bottom w:val="none" w:sz="0" w:space="0" w:color="auto"/>
        <w:right w:val="none" w:sz="0" w:space="0" w:color="auto"/>
      </w:divBdr>
    </w:div>
    <w:div w:id="723677420">
      <w:bodyDiv w:val="1"/>
      <w:marLeft w:val="0"/>
      <w:marRight w:val="0"/>
      <w:marTop w:val="0"/>
      <w:marBottom w:val="0"/>
      <w:divBdr>
        <w:top w:val="none" w:sz="0" w:space="0" w:color="auto"/>
        <w:left w:val="none" w:sz="0" w:space="0" w:color="auto"/>
        <w:bottom w:val="none" w:sz="0" w:space="0" w:color="auto"/>
        <w:right w:val="none" w:sz="0" w:space="0" w:color="auto"/>
      </w:divBdr>
    </w:div>
    <w:div w:id="742487295">
      <w:bodyDiv w:val="1"/>
      <w:marLeft w:val="0"/>
      <w:marRight w:val="0"/>
      <w:marTop w:val="0"/>
      <w:marBottom w:val="0"/>
      <w:divBdr>
        <w:top w:val="none" w:sz="0" w:space="0" w:color="auto"/>
        <w:left w:val="none" w:sz="0" w:space="0" w:color="auto"/>
        <w:bottom w:val="none" w:sz="0" w:space="0" w:color="auto"/>
        <w:right w:val="none" w:sz="0" w:space="0" w:color="auto"/>
      </w:divBdr>
    </w:div>
    <w:div w:id="812530335">
      <w:bodyDiv w:val="1"/>
      <w:marLeft w:val="0"/>
      <w:marRight w:val="0"/>
      <w:marTop w:val="0"/>
      <w:marBottom w:val="0"/>
      <w:divBdr>
        <w:top w:val="none" w:sz="0" w:space="0" w:color="auto"/>
        <w:left w:val="none" w:sz="0" w:space="0" w:color="auto"/>
        <w:bottom w:val="none" w:sz="0" w:space="0" w:color="auto"/>
        <w:right w:val="none" w:sz="0" w:space="0" w:color="auto"/>
      </w:divBdr>
    </w:div>
    <w:div w:id="832329647">
      <w:bodyDiv w:val="1"/>
      <w:marLeft w:val="0"/>
      <w:marRight w:val="0"/>
      <w:marTop w:val="0"/>
      <w:marBottom w:val="0"/>
      <w:divBdr>
        <w:top w:val="none" w:sz="0" w:space="0" w:color="auto"/>
        <w:left w:val="none" w:sz="0" w:space="0" w:color="auto"/>
        <w:bottom w:val="none" w:sz="0" w:space="0" w:color="auto"/>
        <w:right w:val="none" w:sz="0" w:space="0" w:color="auto"/>
      </w:divBdr>
    </w:div>
    <w:div w:id="836768855">
      <w:bodyDiv w:val="1"/>
      <w:marLeft w:val="0"/>
      <w:marRight w:val="0"/>
      <w:marTop w:val="0"/>
      <w:marBottom w:val="0"/>
      <w:divBdr>
        <w:top w:val="none" w:sz="0" w:space="0" w:color="auto"/>
        <w:left w:val="none" w:sz="0" w:space="0" w:color="auto"/>
        <w:bottom w:val="none" w:sz="0" w:space="0" w:color="auto"/>
        <w:right w:val="none" w:sz="0" w:space="0" w:color="auto"/>
      </w:divBdr>
    </w:div>
    <w:div w:id="850147686">
      <w:bodyDiv w:val="1"/>
      <w:marLeft w:val="0"/>
      <w:marRight w:val="0"/>
      <w:marTop w:val="0"/>
      <w:marBottom w:val="0"/>
      <w:divBdr>
        <w:top w:val="none" w:sz="0" w:space="0" w:color="auto"/>
        <w:left w:val="none" w:sz="0" w:space="0" w:color="auto"/>
        <w:bottom w:val="none" w:sz="0" w:space="0" w:color="auto"/>
        <w:right w:val="none" w:sz="0" w:space="0" w:color="auto"/>
      </w:divBdr>
    </w:div>
    <w:div w:id="867715009">
      <w:bodyDiv w:val="1"/>
      <w:marLeft w:val="0"/>
      <w:marRight w:val="0"/>
      <w:marTop w:val="0"/>
      <w:marBottom w:val="0"/>
      <w:divBdr>
        <w:top w:val="none" w:sz="0" w:space="0" w:color="auto"/>
        <w:left w:val="none" w:sz="0" w:space="0" w:color="auto"/>
        <w:bottom w:val="none" w:sz="0" w:space="0" w:color="auto"/>
        <w:right w:val="none" w:sz="0" w:space="0" w:color="auto"/>
      </w:divBdr>
    </w:div>
    <w:div w:id="877938250">
      <w:bodyDiv w:val="1"/>
      <w:marLeft w:val="0"/>
      <w:marRight w:val="0"/>
      <w:marTop w:val="0"/>
      <w:marBottom w:val="0"/>
      <w:divBdr>
        <w:top w:val="none" w:sz="0" w:space="0" w:color="auto"/>
        <w:left w:val="none" w:sz="0" w:space="0" w:color="auto"/>
        <w:bottom w:val="none" w:sz="0" w:space="0" w:color="auto"/>
        <w:right w:val="none" w:sz="0" w:space="0" w:color="auto"/>
      </w:divBdr>
    </w:div>
    <w:div w:id="897983042">
      <w:bodyDiv w:val="1"/>
      <w:marLeft w:val="0"/>
      <w:marRight w:val="0"/>
      <w:marTop w:val="0"/>
      <w:marBottom w:val="0"/>
      <w:divBdr>
        <w:top w:val="none" w:sz="0" w:space="0" w:color="auto"/>
        <w:left w:val="none" w:sz="0" w:space="0" w:color="auto"/>
        <w:bottom w:val="none" w:sz="0" w:space="0" w:color="auto"/>
        <w:right w:val="none" w:sz="0" w:space="0" w:color="auto"/>
      </w:divBdr>
    </w:div>
    <w:div w:id="905532406">
      <w:bodyDiv w:val="1"/>
      <w:marLeft w:val="0"/>
      <w:marRight w:val="0"/>
      <w:marTop w:val="0"/>
      <w:marBottom w:val="0"/>
      <w:divBdr>
        <w:top w:val="none" w:sz="0" w:space="0" w:color="auto"/>
        <w:left w:val="none" w:sz="0" w:space="0" w:color="auto"/>
        <w:bottom w:val="none" w:sz="0" w:space="0" w:color="auto"/>
        <w:right w:val="none" w:sz="0" w:space="0" w:color="auto"/>
      </w:divBdr>
    </w:div>
    <w:div w:id="1030762129">
      <w:bodyDiv w:val="1"/>
      <w:marLeft w:val="0"/>
      <w:marRight w:val="0"/>
      <w:marTop w:val="0"/>
      <w:marBottom w:val="0"/>
      <w:divBdr>
        <w:top w:val="none" w:sz="0" w:space="0" w:color="auto"/>
        <w:left w:val="none" w:sz="0" w:space="0" w:color="auto"/>
        <w:bottom w:val="none" w:sz="0" w:space="0" w:color="auto"/>
        <w:right w:val="none" w:sz="0" w:space="0" w:color="auto"/>
      </w:divBdr>
    </w:div>
    <w:div w:id="1120107820">
      <w:bodyDiv w:val="1"/>
      <w:marLeft w:val="0"/>
      <w:marRight w:val="0"/>
      <w:marTop w:val="0"/>
      <w:marBottom w:val="0"/>
      <w:divBdr>
        <w:top w:val="none" w:sz="0" w:space="0" w:color="auto"/>
        <w:left w:val="none" w:sz="0" w:space="0" w:color="auto"/>
        <w:bottom w:val="none" w:sz="0" w:space="0" w:color="auto"/>
        <w:right w:val="none" w:sz="0" w:space="0" w:color="auto"/>
      </w:divBdr>
    </w:div>
    <w:div w:id="1136532456">
      <w:bodyDiv w:val="1"/>
      <w:marLeft w:val="0"/>
      <w:marRight w:val="0"/>
      <w:marTop w:val="0"/>
      <w:marBottom w:val="0"/>
      <w:divBdr>
        <w:top w:val="none" w:sz="0" w:space="0" w:color="auto"/>
        <w:left w:val="none" w:sz="0" w:space="0" w:color="auto"/>
        <w:bottom w:val="none" w:sz="0" w:space="0" w:color="auto"/>
        <w:right w:val="none" w:sz="0" w:space="0" w:color="auto"/>
      </w:divBdr>
    </w:div>
    <w:div w:id="1187212983">
      <w:bodyDiv w:val="1"/>
      <w:marLeft w:val="0"/>
      <w:marRight w:val="0"/>
      <w:marTop w:val="0"/>
      <w:marBottom w:val="0"/>
      <w:divBdr>
        <w:top w:val="none" w:sz="0" w:space="0" w:color="auto"/>
        <w:left w:val="none" w:sz="0" w:space="0" w:color="auto"/>
        <w:bottom w:val="none" w:sz="0" w:space="0" w:color="auto"/>
        <w:right w:val="none" w:sz="0" w:space="0" w:color="auto"/>
      </w:divBdr>
    </w:div>
    <w:div w:id="1267814666">
      <w:bodyDiv w:val="1"/>
      <w:marLeft w:val="0"/>
      <w:marRight w:val="0"/>
      <w:marTop w:val="0"/>
      <w:marBottom w:val="0"/>
      <w:divBdr>
        <w:top w:val="none" w:sz="0" w:space="0" w:color="auto"/>
        <w:left w:val="none" w:sz="0" w:space="0" w:color="auto"/>
        <w:bottom w:val="none" w:sz="0" w:space="0" w:color="auto"/>
        <w:right w:val="none" w:sz="0" w:space="0" w:color="auto"/>
      </w:divBdr>
    </w:div>
    <w:div w:id="1413354029">
      <w:bodyDiv w:val="1"/>
      <w:marLeft w:val="0"/>
      <w:marRight w:val="0"/>
      <w:marTop w:val="0"/>
      <w:marBottom w:val="0"/>
      <w:divBdr>
        <w:top w:val="none" w:sz="0" w:space="0" w:color="auto"/>
        <w:left w:val="none" w:sz="0" w:space="0" w:color="auto"/>
        <w:bottom w:val="none" w:sz="0" w:space="0" w:color="auto"/>
        <w:right w:val="none" w:sz="0" w:space="0" w:color="auto"/>
      </w:divBdr>
    </w:div>
    <w:div w:id="1447698457">
      <w:bodyDiv w:val="1"/>
      <w:marLeft w:val="0"/>
      <w:marRight w:val="0"/>
      <w:marTop w:val="0"/>
      <w:marBottom w:val="0"/>
      <w:divBdr>
        <w:top w:val="none" w:sz="0" w:space="0" w:color="auto"/>
        <w:left w:val="none" w:sz="0" w:space="0" w:color="auto"/>
        <w:bottom w:val="none" w:sz="0" w:space="0" w:color="auto"/>
        <w:right w:val="none" w:sz="0" w:space="0" w:color="auto"/>
      </w:divBdr>
    </w:div>
    <w:div w:id="1556547921">
      <w:bodyDiv w:val="1"/>
      <w:marLeft w:val="0"/>
      <w:marRight w:val="0"/>
      <w:marTop w:val="0"/>
      <w:marBottom w:val="0"/>
      <w:divBdr>
        <w:top w:val="none" w:sz="0" w:space="0" w:color="auto"/>
        <w:left w:val="none" w:sz="0" w:space="0" w:color="auto"/>
        <w:bottom w:val="none" w:sz="0" w:space="0" w:color="auto"/>
        <w:right w:val="none" w:sz="0" w:space="0" w:color="auto"/>
      </w:divBdr>
    </w:div>
    <w:div w:id="1563449153">
      <w:bodyDiv w:val="1"/>
      <w:marLeft w:val="0"/>
      <w:marRight w:val="0"/>
      <w:marTop w:val="0"/>
      <w:marBottom w:val="0"/>
      <w:divBdr>
        <w:top w:val="none" w:sz="0" w:space="0" w:color="auto"/>
        <w:left w:val="none" w:sz="0" w:space="0" w:color="auto"/>
        <w:bottom w:val="none" w:sz="0" w:space="0" w:color="auto"/>
        <w:right w:val="none" w:sz="0" w:space="0" w:color="auto"/>
      </w:divBdr>
    </w:div>
    <w:div w:id="1595481566">
      <w:bodyDiv w:val="1"/>
      <w:marLeft w:val="0"/>
      <w:marRight w:val="0"/>
      <w:marTop w:val="0"/>
      <w:marBottom w:val="0"/>
      <w:divBdr>
        <w:top w:val="none" w:sz="0" w:space="0" w:color="auto"/>
        <w:left w:val="none" w:sz="0" w:space="0" w:color="auto"/>
        <w:bottom w:val="none" w:sz="0" w:space="0" w:color="auto"/>
        <w:right w:val="none" w:sz="0" w:space="0" w:color="auto"/>
      </w:divBdr>
    </w:div>
    <w:div w:id="1607154074">
      <w:bodyDiv w:val="1"/>
      <w:marLeft w:val="0"/>
      <w:marRight w:val="0"/>
      <w:marTop w:val="0"/>
      <w:marBottom w:val="0"/>
      <w:divBdr>
        <w:top w:val="none" w:sz="0" w:space="0" w:color="auto"/>
        <w:left w:val="none" w:sz="0" w:space="0" w:color="auto"/>
        <w:bottom w:val="none" w:sz="0" w:space="0" w:color="auto"/>
        <w:right w:val="none" w:sz="0" w:space="0" w:color="auto"/>
      </w:divBdr>
    </w:div>
    <w:div w:id="1618175211">
      <w:bodyDiv w:val="1"/>
      <w:marLeft w:val="0"/>
      <w:marRight w:val="0"/>
      <w:marTop w:val="0"/>
      <w:marBottom w:val="0"/>
      <w:divBdr>
        <w:top w:val="none" w:sz="0" w:space="0" w:color="auto"/>
        <w:left w:val="none" w:sz="0" w:space="0" w:color="auto"/>
        <w:bottom w:val="none" w:sz="0" w:space="0" w:color="auto"/>
        <w:right w:val="none" w:sz="0" w:space="0" w:color="auto"/>
      </w:divBdr>
    </w:div>
    <w:div w:id="1671064063">
      <w:bodyDiv w:val="1"/>
      <w:marLeft w:val="0"/>
      <w:marRight w:val="0"/>
      <w:marTop w:val="0"/>
      <w:marBottom w:val="0"/>
      <w:divBdr>
        <w:top w:val="none" w:sz="0" w:space="0" w:color="auto"/>
        <w:left w:val="none" w:sz="0" w:space="0" w:color="auto"/>
        <w:bottom w:val="none" w:sz="0" w:space="0" w:color="auto"/>
        <w:right w:val="none" w:sz="0" w:space="0" w:color="auto"/>
      </w:divBdr>
    </w:div>
    <w:div w:id="1682004051">
      <w:bodyDiv w:val="1"/>
      <w:marLeft w:val="0"/>
      <w:marRight w:val="0"/>
      <w:marTop w:val="0"/>
      <w:marBottom w:val="0"/>
      <w:divBdr>
        <w:top w:val="none" w:sz="0" w:space="0" w:color="auto"/>
        <w:left w:val="none" w:sz="0" w:space="0" w:color="auto"/>
        <w:bottom w:val="none" w:sz="0" w:space="0" w:color="auto"/>
        <w:right w:val="none" w:sz="0" w:space="0" w:color="auto"/>
      </w:divBdr>
    </w:div>
    <w:div w:id="2021271048">
      <w:bodyDiv w:val="1"/>
      <w:marLeft w:val="0"/>
      <w:marRight w:val="0"/>
      <w:marTop w:val="0"/>
      <w:marBottom w:val="0"/>
      <w:divBdr>
        <w:top w:val="none" w:sz="0" w:space="0" w:color="auto"/>
        <w:left w:val="none" w:sz="0" w:space="0" w:color="auto"/>
        <w:bottom w:val="none" w:sz="0" w:space="0" w:color="auto"/>
        <w:right w:val="none" w:sz="0" w:space="0" w:color="auto"/>
      </w:divBdr>
    </w:div>
    <w:div w:id="2043821905">
      <w:bodyDiv w:val="1"/>
      <w:marLeft w:val="0"/>
      <w:marRight w:val="0"/>
      <w:marTop w:val="0"/>
      <w:marBottom w:val="0"/>
      <w:divBdr>
        <w:top w:val="none" w:sz="0" w:space="0" w:color="auto"/>
        <w:left w:val="none" w:sz="0" w:space="0" w:color="auto"/>
        <w:bottom w:val="none" w:sz="0" w:space="0" w:color="auto"/>
        <w:right w:val="none" w:sz="0" w:space="0" w:color="auto"/>
      </w:divBdr>
    </w:div>
    <w:div w:id="2045400488">
      <w:bodyDiv w:val="1"/>
      <w:marLeft w:val="0"/>
      <w:marRight w:val="0"/>
      <w:marTop w:val="0"/>
      <w:marBottom w:val="0"/>
      <w:divBdr>
        <w:top w:val="none" w:sz="0" w:space="0" w:color="auto"/>
        <w:left w:val="none" w:sz="0" w:space="0" w:color="auto"/>
        <w:bottom w:val="none" w:sz="0" w:space="0" w:color="auto"/>
        <w:right w:val="none" w:sz="0" w:space="0" w:color="auto"/>
      </w:divBdr>
    </w:div>
    <w:div w:id="2124492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78697.page"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aimex.org.mx/saimex/solicitud/downloadAttach/1278697.pag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759661-508E-473B-A204-92BF96EA1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19</Pages>
  <Words>3515</Words>
  <Characters>20037</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23505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NAJERA </cp:lastModifiedBy>
  <cp:revision>8</cp:revision>
  <cp:lastPrinted>2021-11-30T18:44:00Z</cp:lastPrinted>
  <dcterms:created xsi:type="dcterms:W3CDTF">2022-01-25T16:49:00Z</dcterms:created>
  <dcterms:modified xsi:type="dcterms:W3CDTF">2022-03-04T00:03:00Z</dcterms:modified>
</cp:coreProperties>
</file>