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1A402" w14:textId="77777777" w:rsidR="0026489B" w:rsidRDefault="00AF689E">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julio de dos mil veintidós. </w:t>
      </w:r>
    </w:p>
    <w:p w14:paraId="3C9D81C5" w14:textId="3D794122"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03889/INFOEM/IP/RR/2022</w:t>
      </w:r>
      <w:r>
        <w:rPr>
          <w:rFonts w:ascii="Palatino Linotype" w:eastAsia="Palatino Linotype" w:hAnsi="Palatino Linotype" w:cs="Palatino Linotype"/>
        </w:rPr>
        <w:t xml:space="preserve">, interpuesto por </w:t>
      </w:r>
      <w:r w:rsidR="002D470E">
        <w:rPr>
          <w:rFonts w:ascii="Palatino Linotype" w:eastAsia="Palatino Linotype" w:hAnsi="Palatino Linotype" w:cs="Palatino Linotype"/>
          <w:b/>
        </w:rPr>
        <w:t>XXXXXXXXX XXX XXXXX XXXXX XXX XX XXXXX XXXXXXXXXXXXXXX</w:t>
      </w:r>
      <w:r>
        <w:rPr>
          <w:rFonts w:ascii="Palatino Linotype" w:eastAsia="Palatino Linotype" w:hAnsi="Palatino Linotype" w:cs="Palatino Linotype"/>
        </w:rPr>
        <w:t xml:space="preserve"> 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 la </w:t>
      </w:r>
      <w:r>
        <w:rPr>
          <w:rFonts w:ascii="Palatino Linotype" w:eastAsia="Palatino Linotype" w:hAnsi="Palatino Linotype" w:cs="Palatino Linotype"/>
          <w:b/>
        </w:rPr>
        <w:t xml:space="preserve">Secretaría de Movilidad,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01884062" w14:textId="77777777" w:rsidR="0026489B" w:rsidRDefault="00AF689E">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Pr>
          <w:rFonts w:ascii="Palatino Linotype" w:eastAsia="Palatino Linotype" w:hAnsi="Palatino Linotype" w:cs="Palatino Linotype"/>
          <w:b/>
        </w:rPr>
        <w:t>I. A N T E C E D E N T E S</w:t>
      </w:r>
    </w:p>
    <w:p w14:paraId="631AA39A"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ocho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00079/SMOV/IP/2022, </w:t>
      </w:r>
      <w:r>
        <w:rPr>
          <w:rFonts w:ascii="Palatino Linotype" w:eastAsia="Palatino Linotype" w:hAnsi="Palatino Linotype" w:cs="Palatino Linotype"/>
        </w:rPr>
        <w:t xml:space="preserve">mediante la cual requirió la información siguiente: </w:t>
      </w:r>
    </w:p>
    <w:p w14:paraId="10032709" w14:textId="77777777" w:rsidR="0026489B" w:rsidRDefault="00AF689E">
      <w:pPr>
        <w:spacing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Pr>
          <w:rFonts w:ascii="Palatino Linotype" w:eastAsia="Palatino Linotype" w:hAnsi="Palatino Linotype" w:cs="Palatino Linotype"/>
          <w:i/>
          <w:sz w:val="22"/>
          <w:szCs w:val="22"/>
        </w:rPr>
        <w:t xml:space="preserve">“En fecha 20 de diciembre de 2017, la Secretaria de Movilidad me entrego el Formato Universal “Reposición de tarjeta de circulación y título de concesión permiso todas modalidades tipos” del Título de Concesión No. 818851688, Clave Nueva: CAS1047D4818851688, a la fecha no se me ha otorgado la Tarjeta de Circulación ni el título de concesión a nombre de Servicios de Taxis Estado de México y Zoco S.C. de R.L. de C.V., por lo que solicito por la Ley de Transparencia se me entrege dicho documento debido a que ya fue pagado. El pago lo hicimos Xxxxxxxxx Xxxxx </w:t>
      </w:r>
      <w:r>
        <w:rPr>
          <w:rFonts w:ascii="Palatino Linotype" w:eastAsia="Palatino Linotype" w:hAnsi="Palatino Linotype" w:cs="Palatino Linotype"/>
          <w:i/>
          <w:sz w:val="22"/>
          <w:szCs w:val="22"/>
        </w:rPr>
        <w:lastRenderedPageBreak/>
        <w:t>Xxxxxxxx xxx Xxxxx xx xx Xxxxx Xxxxxx Solicito me entreguen lo solicitado, anexo copias de pago.”(Sic)</w:t>
      </w:r>
    </w:p>
    <w:p w14:paraId="63FD4C46" w14:textId="77777777" w:rsidR="0026489B" w:rsidRDefault="0026489B">
      <w:pPr>
        <w:spacing w:line="276" w:lineRule="auto"/>
        <w:ind w:left="851" w:right="616"/>
        <w:jc w:val="both"/>
        <w:rPr>
          <w:rFonts w:ascii="Palatino Linotype" w:eastAsia="Palatino Linotype" w:hAnsi="Palatino Linotype" w:cs="Palatino Linotype"/>
          <w:i/>
          <w:sz w:val="22"/>
          <w:szCs w:val="22"/>
        </w:rPr>
      </w:pPr>
    </w:p>
    <w:p w14:paraId="076408A1" w14:textId="77777777" w:rsidR="0026489B" w:rsidRDefault="00AF689E">
      <w:pPr>
        <w:spacing w:line="360" w:lineRule="auto"/>
        <w:ind w:left="851" w:right="616"/>
        <w:jc w:val="both"/>
        <w:rPr>
          <w:rFonts w:ascii="Palatino Linotype" w:eastAsia="Palatino Linotype" w:hAnsi="Palatino Linotype" w:cs="Palatino Linotype"/>
        </w:rPr>
      </w:pPr>
      <w:r>
        <w:rPr>
          <w:rFonts w:ascii="Palatino Linotype" w:eastAsia="Palatino Linotype" w:hAnsi="Palatino Linotype" w:cs="Palatino Linotype"/>
        </w:rPr>
        <w:t xml:space="preserve">Solicitud a la que agregó el archivo electrónico identificado como </w:t>
      </w:r>
      <w:r>
        <w:rPr>
          <w:rFonts w:ascii="Palatino Linotype" w:eastAsia="Palatino Linotype" w:hAnsi="Palatino Linotype" w:cs="Palatino Linotype"/>
          <w:b/>
          <w:i/>
        </w:rPr>
        <w:t xml:space="preserve">“Pago.pdf” </w:t>
      </w:r>
      <w:r>
        <w:rPr>
          <w:rFonts w:ascii="Palatino Linotype" w:eastAsia="Palatino Linotype" w:hAnsi="Palatino Linotype" w:cs="Palatino Linotype"/>
        </w:rPr>
        <w:t xml:space="preserve">en el que se observa el formato universal de pago con línea de captura para pago en ventanilla; así como, el comprobante de pago. </w:t>
      </w:r>
    </w:p>
    <w:p w14:paraId="23ABAAE2"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0BC761E4" w14:textId="77777777" w:rsidR="0026489B" w:rsidRDefault="00AF689E">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7B032DBC" w14:textId="77777777" w:rsidR="0026489B" w:rsidRDefault="0026489B">
      <w:pPr>
        <w:spacing w:line="360" w:lineRule="auto"/>
        <w:ind w:left="851" w:right="616"/>
        <w:jc w:val="both"/>
        <w:rPr>
          <w:rFonts w:ascii="Palatino Linotype" w:eastAsia="Palatino Linotype" w:hAnsi="Palatino Linotype" w:cs="Palatino Linotype"/>
          <w:i/>
          <w:sz w:val="22"/>
          <w:szCs w:val="22"/>
        </w:rPr>
      </w:pPr>
    </w:p>
    <w:p w14:paraId="43FE7132" w14:textId="77777777" w:rsidR="0026489B" w:rsidRDefault="00AF689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Solicitante: En atención a la solicitud de acceso a la información identificada con el número de folio 00079/SMOV/IP/2022, anexo al presente se remite la respuesta proporcionada por la unidad administrativa competente. Con fundamento en los artículos 6 de la Constitución Política de los Estados Unidos Mexicanos, 78 y 143 de la Constitución Política del Estado Libre y Soberano de México; 1, 3, 15, 19 fracción XVI y 32 fracción XVIII de la Ley Orgánica de la Administración Pública, 1.1 fracción VI del Código Administrativo, ambos del Estado de México; 1, 4, 7, 8, 11, 12, 17, 21, 59, 92, 150, 160 y 161 de la Ley de Transparencia y Acceso a la Información Pública del Estado de México y Municipios; 1, 2, 3 fracciones VII y XI; 25 del Reglamento Interior de la Secretaría de Movilidad y en aras de un libre acceso a la información pública gubernamental, doy respuesta a su solicitud con número de folio 00079/SMOV/IP/2022, presentada ante el Instituto de Transparencia, Acceso a la Información Pública y Protección de Datos Personales del Estado de México y Municipios, donde se señala: “En fecha 20 de diciembre de 2017, la Secretaria de Movilidad me entrego el Formato Universal “Reposición de tarjeta de circulación y título de concesión permiso todas modalidades tipos” del Título de Concesión No. 818851688, Clave Nueva: CAS1047D4818851688, a la fecha no se me ha otorgado la Tarjeta de Circulación ni el título de concesión a nombre de Servicios de Taxis Estado de México y Zoco S.C. de R.L. de C.V., por lo que solicito por la Ley de </w:t>
      </w:r>
      <w:r>
        <w:rPr>
          <w:rFonts w:ascii="Palatino Linotype" w:eastAsia="Palatino Linotype" w:hAnsi="Palatino Linotype" w:cs="Palatino Linotype"/>
          <w:i/>
          <w:sz w:val="22"/>
          <w:szCs w:val="22"/>
        </w:rPr>
        <w:lastRenderedPageBreak/>
        <w:t xml:space="preserve">Transparencia se me entrege dicho documento debido a que ya fue pagado. El pago lo hicimos Margarita Nieto Carbajal y/o Jorge de la Torre Moreno Solicito me entreguen lo solicitado, anexo copias de pago.” [Sic]. Al respecto, es importante invocar el artículo 143 de la Constitución Política del Estado Libre y Soberano de México, que indica, las autoridades administrativas únicamente pueden hacer lo que la ley expresamente les confiere, ergo, de conformidad con el artículo 25 del Reglamento Interior de la Secretaría de Movilidad, publicado en Periódico Oficial “Gaceta de Gobierno” el 18 de febrero del año 2022, esta Dirección General del Registro Estatal de Transporte Público únicamente tiene atribuciones para integrar y custodiar la información que con motivo del otorgamiento de concesiones y/o permisos se genere para la prestación del servicio de transporte público. En ese contexto, en atención al derecho de acceso a la información y de conformidad con el párrafo segundo del precepto 12 de la Ley de Transparencia y Acceso a la Información Pública del Estado de México y Municipios, que indica: “Los sujetos obligados sólo proporcionarán la información pública que se les requiera y que obre en sus archivos y en el estado en que ésta se encuentre.”; hago de su conocimiento, que se hizo una búsqueda en los archivos digitales del Registro Estatal de Transporte Público, de la concesión CAS1047D4818851688, misma de la que se encontró registro en dichos archivos, localizando que la concesión está a nombre de una jurídico colectiva, así también en sus antecedentes no se advierte algún trámite efectuado en el año 2017, que permita aludir que es la materialización del pago adjunto al presente folio. Aunado lo anterior es prudente comentar que los formatos universales de pago, así como su comprobante correspondiente, es solo uno de los requisitos con lo que se tiene que cumplir a efecto de poder realizar el trámite de reposición de título y/o tarjeta de circulación, es decir, que la conclusión del trámite no depende únicamente de la emisión de un formato de pago, por lo contrario, se deben de cumplir con los demás requisitos dispuestos en el “ACUERDO POR EL QUE SE MODIFICA LA INTEGRACIÓN DEL “ÍNDICE DEL EXPEDIENTE DE CONCESIONES DE TRANSPORTE PÚBLICO, SUS MOVIMIENTOS ADICIONALES Y AUTORIZACIONES”, publicado en Periódico Oficial “Gaceta de Gobierno”, el 19 de diciembre de 2019, donde se enuncian lo requisitos que se deben de observar para realizar el trámite de Reposición de título de concesión y/o tarjeta de circulación, siendo estos los siguientes: 1. Identificación oficial vigente en original, del titular de la concesión (credencial para votar, expedida por el Instituto Nacional Electoral, pasaporte, cédula profesional, cartilla del servicio militar nacional y/o licencia de </w:t>
      </w:r>
      <w:r>
        <w:rPr>
          <w:rFonts w:ascii="Palatino Linotype" w:eastAsia="Palatino Linotype" w:hAnsi="Palatino Linotype" w:cs="Palatino Linotype"/>
          <w:i/>
          <w:sz w:val="22"/>
          <w:szCs w:val="22"/>
        </w:rPr>
        <w:lastRenderedPageBreak/>
        <w:t xml:space="preserve">conducir expedida por el Gobierno del Estado de México). 2. Carpeta de Investigación en caso de robo. 3. En caso de extravío, deberá de presentar “Constancia de Extravío de Objetos o Documentos”. 4. Protocolización del acta de asamblea vigente y/o poder notarial vigente en ambos casos con facultad de ejercer actos de administración. 5. Carta poder debidamente requisitada e identificación oficial vigente de la persona que realiza el trámite, en caso de personas físicas. 6. Póliza de seguro (cobertura a pasajeros según la capacidad de la unidad) vigente. 7. Línea de captura y comprobante de pago (original). En consecuencia, se puede afirmar que un trámite fue concluido y/o efectuado siempre que se hayan cumplido con los requisitos y normas aplicables a la materia, ergo, se haya expedido el documento que acredite su conclusión (Formato de Transporte Público emitido por la Secretaria de Movilidad) y no así solo al haber obtenido el formato universal de pago, ergo, es indispensable que si a sus intereses conviene se sugiere exhibir el documento oficial (Formato de Transporte Público expedido por la Secretaría de Movilidad) que advierta la realización del trámite de reposición de título y/o tarjeta de circulación, a fin de realizar una nueva búsqueda que permita localizar el registro del tramite que se alude en el presente folio. No se omite mencionar que la ejecución de trámites o la solicitud de algún documento que integra el expediente digital formado con motivo de la concesión CAS1047D4818851688, es en facultad de los representantes y/o administradores únicos del titular de la concesión, de conformidad con el artículo 10 de la Ley General de Sociedades Mercantiles, que establece: “La representación de toda sociedad mercantil corresponderá a su administrador o administradores, quienes podrán realizar todas las operaciones inherentes al objeto de la sociedad… Para que surtan efecto los poderes que otorgue la sociedad mediante acuerdo de la asamblea o del órgano colegiado de administración, en su caso, bastará con la protocolización ante notario de la parte del acta en que conste el acuerdo relativo a su otorgamiento, debidamente firmada por quienes actuaron como presidente o secretario de la asamblea o del órgano de administración según corresponda…”, lo anterior, en razón de que la concesión citada se encuentra a nombre de “SERVICIOS DE TAXIS ESTADO DE MEXICO Y ZOCO, S.C. DE R.L. DE C.V.”, datos que se pueden confirmar con el contenido del formato universal de pago anexo al folio que atañe, donde se puede leer que el contribuyente es la jurídico colectiva mencionada; lo expuesto, se hace de su conocimiento en cumplimiento al derecho de acceso a la información. Sin más por el momento, envío un cordial saludo.” </w:t>
      </w:r>
      <w:r>
        <w:rPr>
          <w:rFonts w:ascii="Palatino Linotype" w:eastAsia="Palatino Linotype" w:hAnsi="Palatino Linotype" w:cs="Palatino Linotype"/>
          <w:b/>
          <w:i/>
          <w:sz w:val="22"/>
          <w:szCs w:val="22"/>
          <w:u w:val="single"/>
        </w:rPr>
        <w:t>(</w:t>
      </w:r>
      <w:r>
        <w:rPr>
          <w:rFonts w:ascii="Palatino Linotype" w:eastAsia="Palatino Linotype" w:hAnsi="Palatino Linotype" w:cs="Palatino Linotype"/>
          <w:i/>
          <w:sz w:val="22"/>
          <w:szCs w:val="22"/>
        </w:rPr>
        <w:t>Sic)</w:t>
      </w:r>
    </w:p>
    <w:p w14:paraId="13495439" w14:textId="77777777" w:rsidR="0026489B" w:rsidRDefault="0026489B">
      <w:pPr>
        <w:ind w:left="851" w:right="900"/>
        <w:jc w:val="both"/>
        <w:rPr>
          <w:rFonts w:ascii="Palatino Linotype" w:eastAsia="Palatino Linotype" w:hAnsi="Palatino Linotype" w:cs="Palatino Linotype"/>
          <w:i/>
          <w:sz w:val="22"/>
          <w:szCs w:val="22"/>
        </w:rPr>
      </w:pPr>
    </w:p>
    <w:p w14:paraId="7F30C600" w14:textId="77777777" w:rsidR="0026489B" w:rsidRDefault="00AF689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catorce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0D28F027" w14:textId="77777777" w:rsidR="0026489B" w:rsidRDefault="00AF689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7691CF46" w14:textId="77777777" w:rsidR="0026489B" w:rsidRDefault="0026489B">
      <w:pPr>
        <w:spacing w:line="360" w:lineRule="auto"/>
        <w:ind w:left="851" w:right="900"/>
        <w:jc w:val="both"/>
        <w:rPr>
          <w:rFonts w:ascii="Palatino Linotype" w:eastAsia="Palatino Linotype" w:hAnsi="Palatino Linotype" w:cs="Palatino Linotype"/>
          <w:i/>
          <w:sz w:val="2"/>
          <w:szCs w:val="2"/>
        </w:rPr>
      </w:pPr>
    </w:p>
    <w:p w14:paraId="52C998BB" w14:textId="77777777" w:rsidR="0026489B" w:rsidRDefault="00AF689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entrego titulo de concesión." (Sic)</w:t>
      </w:r>
    </w:p>
    <w:p w14:paraId="1AF511C8" w14:textId="77777777" w:rsidR="0026489B" w:rsidRDefault="0026489B">
      <w:pPr>
        <w:spacing w:line="360" w:lineRule="auto"/>
        <w:ind w:right="616"/>
        <w:jc w:val="both"/>
        <w:rPr>
          <w:rFonts w:ascii="Palatino Linotype" w:eastAsia="Palatino Linotype" w:hAnsi="Palatino Linotype" w:cs="Palatino Linotype"/>
          <w:b/>
        </w:rPr>
      </w:pPr>
    </w:p>
    <w:p w14:paraId="46B7E2F3" w14:textId="77777777" w:rsidR="0026489B" w:rsidRDefault="00AF689E">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178A4E16" w14:textId="77777777" w:rsidR="0026489B" w:rsidRDefault="00AF689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entrego lo solicitado porque ya demostré que se pago en el formato en la Secretaria de Movilidad que se pagara la reposición del Titulo de concesión y Tarjeta de Circulación y ya lo pagamos desde el 31 de diciembre 2017 y la solicitud de presentar documentos ya lo hicimos el día 23 de mayo de 2018, aclarando que la solicitud de presentar documentos fue por el Director L.P.T. Enrique Zair Rodríguez Bernal de la Dirección General del Registro de Transporte Público, en respuesta a la inconformidad y reclamo de la falta de cumplimiento de la entrega del Título de concesión del la inconformidad 04861/INFOEM/IP/RR/2021, donde solicitaron se ampliara con mas documentos la petición de la entrega de titulo de concesión CAS1047D4818851688. Por lo que nuevamente me están negando la entrega del titulo de concesión." (Sic)</w:t>
      </w:r>
    </w:p>
    <w:p w14:paraId="2FE2523F" w14:textId="77777777" w:rsidR="0026489B" w:rsidRDefault="0026489B">
      <w:pPr>
        <w:spacing w:line="360" w:lineRule="auto"/>
        <w:jc w:val="both"/>
        <w:rPr>
          <w:rFonts w:ascii="Palatino Linotype" w:eastAsia="Palatino Linotype" w:hAnsi="Palatino Linotype" w:cs="Palatino Linotype"/>
          <w:sz w:val="2"/>
          <w:szCs w:val="2"/>
        </w:rPr>
      </w:pPr>
    </w:p>
    <w:p w14:paraId="187A13D4" w14:textId="77777777" w:rsidR="0026489B" w:rsidRDefault="0026489B">
      <w:pPr>
        <w:spacing w:line="360" w:lineRule="auto"/>
        <w:jc w:val="both"/>
        <w:rPr>
          <w:rFonts w:ascii="Palatino Linotype" w:eastAsia="Palatino Linotype" w:hAnsi="Palatino Linotype" w:cs="Palatino Linotype"/>
          <w:sz w:val="2"/>
          <w:szCs w:val="2"/>
        </w:rPr>
      </w:pPr>
    </w:p>
    <w:p w14:paraId="1E5776CC"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1C752E3A" w14:textId="77777777" w:rsidR="0026489B" w:rsidRDefault="00AF689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diecisiete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567B30CC" w14:textId="77777777" w:rsidR="0026489B" w:rsidRDefault="00AF689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treinta y uno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en informe justificado el archivo electrónico que a continuación se describe:</w:t>
      </w:r>
    </w:p>
    <w:p w14:paraId="4F0BF81F" w14:textId="77777777" w:rsidR="0026489B" w:rsidRDefault="00AF689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Informe Justificado RR 03889.pdf</w:t>
      </w:r>
      <w:r>
        <w:rPr>
          <w:rFonts w:ascii="Palatino Linotype" w:eastAsia="Palatino Linotype" w:hAnsi="Palatino Linotype" w:cs="Palatino Linotype"/>
          <w:color w:val="000000"/>
        </w:rPr>
        <w:t xml:space="preserve">: Contiene el oficio SM/2200000000100S/DIPPE/UT/080/2022 de fecha treinta de marzo de dos mil veintidós, suscrito y signado por la Titular de la Unidad de Transparencia por medio del cual ratificó la respuesta inicial e insistió que la reposición de título y/o tarjeta de circulación se trata de un trámite. </w:t>
      </w:r>
    </w:p>
    <w:p w14:paraId="193A9A53" w14:textId="77777777" w:rsidR="0026489B" w:rsidRDefault="00AF689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el </w:t>
      </w:r>
      <w:r>
        <w:rPr>
          <w:rFonts w:ascii="Palatino Linotype" w:eastAsia="Palatino Linotype" w:hAnsi="Palatino Linotype" w:cs="Palatino Linotype"/>
          <w:b/>
        </w:rPr>
        <w:t>dieciséis de mayo de dos mil veintidós</w:t>
      </w:r>
      <w:r>
        <w:rPr>
          <w:rFonts w:ascii="Palatino Linotype" w:eastAsia="Palatino Linotype" w:hAnsi="Palatino Linotype" w:cs="Palatino Linotype"/>
        </w:rPr>
        <w:t xml:space="preserve"> se notificó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conocimiento, quien no realizó manifestaciones, formuló alegatos y no ofreció ningún medio de prueba, tal como se advierte en la siguiente imagen. </w:t>
      </w:r>
    </w:p>
    <w:p w14:paraId="783F2C8E" w14:textId="77777777" w:rsidR="0026489B" w:rsidRDefault="00AF689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158342A3" wp14:editId="67A026E7">
            <wp:extent cx="5612130" cy="2143125"/>
            <wp:effectExtent l="0" t="0" r="0" 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2143125"/>
                    </a:xfrm>
                    <a:prstGeom prst="rect">
                      <a:avLst/>
                    </a:prstGeom>
                    <a:ln/>
                  </pic:spPr>
                </pic:pic>
              </a:graphicData>
            </a:graphic>
          </wp:inline>
        </w:drawing>
      </w:r>
      <w:r>
        <w:rPr>
          <w:rFonts w:ascii="Palatino Linotype" w:eastAsia="Palatino Linotype" w:hAnsi="Palatino Linotype" w:cs="Palatino Linotype"/>
        </w:rPr>
        <w:t xml:space="preserve"> </w:t>
      </w:r>
    </w:p>
    <w:p w14:paraId="2A9D2B97" w14:textId="77777777" w:rsidR="0026489B" w:rsidRDefault="00AF689E">
      <w:pPr>
        <w:widowControl w:val="0"/>
        <w:spacing w:before="240" w:after="240" w:line="360" w:lineRule="auto"/>
        <w:jc w:val="both"/>
        <w:rPr>
          <w:rFonts w:ascii="Palatino Linotype" w:eastAsia="Palatino Linotype" w:hAnsi="Palatino Linotype" w:cs="Palatino Linotype"/>
        </w:rPr>
      </w:pPr>
      <w:r w:rsidRPr="0003091A">
        <w:rPr>
          <w:rFonts w:ascii="Palatino Linotype" w:eastAsia="Palatino Linotype" w:hAnsi="Palatino Linotype" w:cs="Palatino Linotype"/>
          <w:b/>
        </w:rPr>
        <w:t>7. Ampliación</w:t>
      </w:r>
      <w:r>
        <w:rPr>
          <w:rFonts w:ascii="Palatino Linotype" w:eastAsia="Palatino Linotype" w:hAnsi="Palatino Linotype" w:cs="Palatino Linotype"/>
          <w:b/>
        </w:rPr>
        <w:t xml:space="preserve">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6A9DF7D3"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394DCA" w14:textId="77777777" w:rsidR="0026489B" w:rsidRDefault="0026489B">
      <w:pPr>
        <w:spacing w:line="360" w:lineRule="auto"/>
        <w:jc w:val="both"/>
        <w:rPr>
          <w:rFonts w:ascii="Palatino Linotype" w:eastAsia="Palatino Linotype" w:hAnsi="Palatino Linotype" w:cs="Palatino Linotype"/>
        </w:rPr>
      </w:pPr>
    </w:p>
    <w:p w14:paraId="366A2D0E"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w:t>
      </w:r>
      <w:r w:rsidR="0003091A">
        <w:rPr>
          <w:rFonts w:ascii="Palatino Linotype" w:eastAsia="Palatino Linotype" w:hAnsi="Palatino Linotype" w:cs="Palatino Linotype"/>
        </w:rPr>
        <w:t>,</w:t>
      </w:r>
      <w:r>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Pr>
          <w:rFonts w:ascii="Palatino Linotype" w:eastAsia="Palatino Linotype" w:hAnsi="Palatino Linotype" w:cs="Palatino Linotype"/>
        </w:rPr>
        <w:lastRenderedPageBreak/>
        <w:t>órganos jurisdiccionales federales, aplicables también en procedimientos análogos, como el que nos ocupa.</w:t>
      </w:r>
    </w:p>
    <w:p w14:paraId="224F306E" w14:textId="77777777" w:rsidR="0026489B" w:rsidRDefault="0026489B">
      <w:pPr>
        <w:spacing w:line="360" w:lineRule="auto"/>
        <w:jc w:val="both"/>
        <w:rPr>
          <w:rFonts w:ascii="Palatino Linotype" w:eastAsia="Palatino Linotype" w:hAnsi="Palatino Linotype" w:cs="Palatino Linotype"/>
        </w:rPr>
      </w:pPr>
    </w:p>
    <w:p w14:paraId="5301A43B"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065516" w14:textId="77777777" w:rsidR="0026489B" w:rsidRDefault="0026489B">
      <w:pPr>
        <w:spacing w:line="360" w:lineRule="auto"/>
        <w:jc w:val="both"/>
        <w:rPr>
          <w:rFonts w:ascii="Palatino Linotype" w:eastAsia="Palatino Linotype" w:hAnsi="Palatino Linotype" w:cs="Palatino Linotype"/>
        </w:rPr>
      </w:pPr>
    </w:p>
    <w:p w14:paraId="6AFAE4D0"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628E5C4" w14:textId="77777777" w:rsidR="0026489B" w:rsidRDefault="0026489B">
      <w:pPr>
        <w:spacing w:line="360" w:lineRule="auto"/>
        <w:jc w:val="both"/>
        <w:rPr>
          <w:rFonts w:ascii="Palatino Linotype" w:eastAsia="Palatino Linotype" w:hAnsi="Palatino Linotype" w:cs="Palatino Linotype"/>
        </w:rPr>
      </w:pPr>
    </w:p>
    <w:p w14:paraId="5A036C4A" w14:textId="77777777" w:rsidR="0026489B" w:rsidRDefault="00AF689E">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05E35CA" w14:textId="77777777" w:rsidR="0026489B" w:rsidRDefault="0026489B">
      <w:pPr>
        <w:spacing w:line="360" w:lineRule="auto"/>
        <w:jc w:val="both"/>
        <w:rPr>
          <w:rFonts w:ascii="Palatino Linotype" w:eastAsia="Palatino Linotype" w:hAnsi="Palatino Linotype" w:cs="Palatino Linotype"/>
        </w:rPr>
      </w:pPr>
    </w:p>
    <w:p w14:paraId="4942573B" w14:textId="77777777" w:rsidR="0026489B" w:rsidRDefault="00AF689E">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1194BE7" w14:textId="77777777" w:rsidR="0026489B" w:rsidRDefault="0026489B">
      <w:pPr>
        <w:spacing w:line="360" w:lineRule="auto"/>
        <w:ind w:left="927"/>
        <w:jc w:val="both"/>
        <w:rPr>
          <w:rFonts w:ascii="Palatino Linotype" w:eastAsia="Palatino Linotype" w:hAnsi="Palatino Linotype" w:cs="Palatino Linotype"/>
        </w:rPr>
      </w:pPr>
    </w:p>
    <w:p w14:paraId="12818BC0" w14:textId="77777777" w:rsidR="0026489B" w:rsidRDefault="00AF689E">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0EDB0C63" w14:textId="77777777" w:rsidR="0026489B" w:rsidRDefault="0026489B">
      <w:pPr>
        <w:spacing w:line="360" w:lineRule="auto"/>
        <w:jc w:val="both"/>
        <w:rPr>
          <w:rFonts w:ascii="Palatino Linotype" w:eastAsia="Palatino Linotype" w:hAnsi="Palatino Linotype" w:cs="Palatino Linotype"/>
        </w:rPr>
      </w:pPr>
    </w:p>
    <w:p w14:paraId="0476D7F5" w14:textId="77777777" w:rsidR="0026489B" w:rsidRDefault="00AF689E">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5E478900" w14:textId="77777777" w:rsidR="0026489B" w:rsidRDefault="0026489B">
      <w:pPr>
        <w:spacing w:line="360" w:lineRule="auto"/>
        <w:ind w:left="708"/>
        <w:rPr>
          <w:rFonts w:ascii="Palatino Linotype" w:eastAsia="Palatino Linotype" w:hAnsi="Palatino Linotype" w:cs="Palatino Linotype"/>
        </w:rPr>
      </w:pPr>
    </w:p>
    <w:p w14:paraId="795FAB46" w14:textId="77777777" w:rsidR="0026489B" w:rsidRDefault="00AF689E">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663A9A4F" w14:textId="77777777" w:rsidR="0026489B" w:rsidRDefault="0026489B">
      <w:pPr>
        <w:spacing w:line="360" w:lineRule="auto"/>
        <w:jc w:val="both"/>
        <w:rPr>
          <w:rFonts w:ascii="Palatino Linotype" w:eastAsia="Palatino Linotype" w:hAnsi="Palatino Linotype" w:cs="Palatino Linotype"/>
        </w:rPr>
      </w:pPr>
    </w:p>
    <w:p w14:paraId="713EA888"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D44F76" w14:textId="77777777" w:rsidR="0026489B" w:rsidRDefault="0026489B">
      <w:pPr>
        <w:spacing w:line="360" w:lineRule="auto"/>
        <w:jc w:val="both"/>
        <w:rPr>
          <w:rFonts w:ascii="Palatino Linotype" w:eastAsia="Palatino Linotype" w:hAnsi="Palatino Linotype" w:cs="Palatino Linotype"/>
        </w:rPr>
      </w:pPr>
    </w:p>
    <w:p w14:paraId="6AF924A0" w14:textId="77777777" w:rsidR="0026489B" w:rsidRDefault="00AF689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2FF0841" w14:textId="77777777" w:rsidR="0026489B" w:rsidRDefault="0026489B">
      <w:pPr>
        <w:spacing w:line="360" w:lineRule="auto"/>
        <w:jc w:val="both"/>
        <w:rPr>
          <w:rFonts w:ascii="Palatino Linotype" w:eastAsia="Palatino Linotype" w:hAnsi="Palatino Linotype" w:cs="Palatino Linotype"/>
        </w:rPr>
      </w:pPr>
    </w:p>
    <w:p w14:paraId="3CECA8D0"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150F7F" w14:textId="77777777" w:rsidR="0026489B" w:rsidRDefault="0026489B">
      <w:pPr>
        <w:spacing w:line="360" w:lineRule="auto"/>
        <w:jc w:val="both"/>
        <w:rPr>
          <w:rFonts w:ascii="Palatino Linotype" w:eastAsia="Palatino Linotype" w:hAnsi="Palatino Linotype" w:cs="Palatino Linotype"/>
        </w:rPr>
      </w:pPr>
    </w:p>
    <w:p w14:paraId="69007677"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1CDB2AF" w14:textId="77777777" w:rsidR="0026489B" w:rsidRDefault="0026489B">
      <w:pPr>
        <w:spacing w:line="360" w:lineRule="auto"/>
        <w:jc w:val="both"/>
        <w:rPr>
          <w:rFonts w:ascii="Palatino Linotype" w:eastAsia="Palatino Linotype" w:hAnsi="Palatino Linotype" w:cs="Palatino Linotype"/>
        </w:rPr>
      </w:pPr>
    </w:p>
    <w:p w14:paraId="5B4CBC4A"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29E03F1F" w14:textId="77777777" w:rsidR="0026489B" w:rsidRDefault="0026489B">
      <w:pPr>
        <w:spacing w:line="360" w:lineRule="auto"/>
        <w:jc w:val="both"/>
        <w:rPr>
          <w:rFonts w:ascii="Palatino Linotype" w:eastAsia="Palatino Linotype" w:hAnsi="Palatino Linotype" w:cs="Palatino Linotype"/>
          <w:b/>
        </w:rPr>
      </w:pPr>
    </w:p>
    <w:p w14:paraId="1AE252BE"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778D0BA0" w14:textId="77777777" w:rsidR="0026489B" w:rsidRDefault="0026489B">
      <w:pPr>
        <w:spacing w:line="360" w:lineRule="auto"/>
        <w:jc w:val="both"/>
        <w:rPr>
          <w:rFonts w:ascii="Palatino Linotype" w:eastAsia="Palatino Linotype" w:hAnsi="Palatino Linotype" w:cs="Palatino Linotype"/>
        </w:rPr>
      </w:pPr>
    </w:p>
    <w:p w14:paraId="7903F9B3"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88F3C8B" w14:textId="77777777" w:rsidR="0026489B" w:rsidRDefault="00AF689E">
      <w:pPr>
        <w:widowControl w:val="0"/>
        <w:spacing w:before="240" w:after="240" w:line="360" w:lineRule="auto"/>
        <w:jc w:val="both"/>
        <w:rPr>
          <w:rFonts w:ascii="Palatino Linotype" w:eastAsia="Palatino Linotype" w:hAnsi="Palatino Linotype" w:cs="Palatino Linotype"/>
        </w:rPr>
      </w:pPr>
      <w:r w:rsidRPr="0003091A">
        <w:rPr>
          <w:rFonts w:ascii="Palatino Linotype" w:eastAsia="Palatino Linotype" w:hAnsi="Palatino Linotype" w:cs="Palatino Linotype"/>
          <w:b/>
        </w:rPr>
        <w:lastRenderedPageBreak/>
        <w:t xml:space="preserve"> 8. Cierre</w:t>
      </w:r>
      <w:r>
        <w:rPr>
          <w:rFonts w:ascii="Palatino Linotype" w:eastAsia="Palatino Linotype" w:hAnsi="Palatino Linotype" w:cs="Palatino Linotype"/>
          <w:b/>
        </w:rPr>
        <w:t xml:space="preserv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diez de junio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A12655C" w14:textId="77777777" w:rsidR="0026489B" w:rsidRDefault="00AF689E">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49CE4703" w14:textId="77777777" w:rsidR="0026489B" w:rsidRDefault="00AF689E">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09871682"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FC49735" w14:textId="77777777" w:rsidR="002D470E" w:rsidRDefault="002D470E">
      <w:pPr>
        <w:spacing w:before="240" w:after="240" w:line="360" w:lineRule="auto"/>
        <w:jc w:val="both"/>
        <w:rPr>
          <w:rFonts w:ascii="Palatino Linotype" w:eastAsia="Palatino Linotype" w:hAnsi="Palatino Linotype" w:cs="Palatino Linotype"/>
        </w:rPr>
      </w:pPr>
    </w:p>
    <w:p w14:paraId="1E773998" w14:textId="77777777" w:rsidR="0026489B" w:rsidRDefault="00AF689E">
      <w:pPr>
        <w:spacing w:before="240" w:after="240" w:line="360" w:lineRule="auto"/>
        <w:jc w:val="both"/>
        <w:rPr>
          <w:rFonts w:ascii="Palatino Linotype" w:eastAsia="Palatino Linotype" w:hAnsi="Palatino Linotype" w:cs="Palatino Linotype"/>
        </w:rPr>
      </w:pPr>
      <w:bookmarkStart w:id="3" w:name="_heading=h.1fob9te" w:colFirst="0" w:colLast="0"/>
      <w:bookmarkStart w:id="4" w:name="_GoBack"/>
      <w:bookmarkEnd w:id="3"/>
      <w:bookmarkEnd w:id="4"/>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EE930D1"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veintiocho de febrero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catorce de marzo de dos mil veintidós</w:t>
      </w:r>
      <w:r>
        <w:rPr>
          <w:rFonts w:ascii="Palatino Linotype" w:eastAsia="Palatino Linotype" w:hAnsi="Palatino Linotype" w:cs="Palatino Linotype"/>
        </w:rPr>
        <w:t>, esto es, al noveno día hábil siguiente de aquel en que tuvo conocimiento de la respuesta; evidenciándose que la interposición del recurso se encuentra dentro de los márgenes temporales previstos en el citado precepto legal.</w:t>
      </w:r>
    </w:p>
    <w:p w14:paraId="3302AF66" w14:textId="77777777" w:rsidR="0026489B" w:rsidRDefault="00AF689E">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090F9DFF"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w:t>
      </w:r>
      <w:r w:rsidRPr="0003091A">
        <w:rPr>
          <w:rFonts w:ascii="Palatino Linotype" w:eastAsia="Palatino Linotype" w:hAnsi="Palatino Linotype" w:cs="Palatino Linotype"/>
        </w:rPr>
        <w:t>artículo 1</w:t>
      </w:r>
      <w:r w:rsidR="0003091A" w:rsidRPr="0003091A">
        <w:rPr>
          <w:rFonts w:ascii="Palatino Linotype" w:eastAsia="Palatino Linotype" w:hAnsi="Palatino Linotype" w:cs="Palatino Linotype"/>
        </w:rPr>
        <w:t>79, fracciones I y</w:t>
      </w:r>
      <w:r w:rsidR="0003091A">
        <w:rPr>
          <w:rFonts w:ascii="Palatino Linotype" w:eastAsia="Palatino Linotype" w:hAnsi="Palatino Linotype" w:cs="Palatino Linotype"/>
        </w:rPr>
        <w:t xml:space="preserve"> XIV </w:t>
      </w:r>
      <w:r>
        <w:rPr>
          <w:rFonts w:ascii="Palatino Linotype" w:eastAsia="Palatino Linotype" w:hAnsi="Palatino Linotype" w:cs="Palatino Linotype"/>
        </w:rPr>
        <w:t>del ordenamiento legal citado, que a la letra dice: </w:t>
      </w:r>
    </w:p>
    <w:p w14:paraId="372CED1E" w14:textId="77777777" w:rsidR="0026489B" w:rsidRDefault="00AF689E">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1917B8D" w14:textId="77777777" w:rsidR="0026489B" w:rsidRPr="0003091A" w:rsidRDefault="00AF689E">
      <w:pPr>
        <w:tabs>
          <w:tab w:val="left" w:pos="7088"/>
        </w:tabs>
        <w:spacing w:before="120" w:after="120"/>
        <w:ind w:left="993" w:right="616"/>
        <w:jc w:val="both"/>
        <w:rPr>
          <w:rFonts w:ascii="Palatino Linotype" w:eastAsia="Palatino Linotype" w:hAnsi="Palatino Linotype" w:cs="Palatino Linotype"/>
          <w:i/>
          <w:sz w:val="22"/>
          <w:szCs w:val="22"/>
        </w:rPr>
      </w:pPr>
      <w:r w:rsidRPr="0003091A">
        <w:rPr>
          <w:rFonts w:ascii="Palatino Linotype" w:eastAsia="Palatino Linotype" w:hAnsi="Palatino Linotype" w:cs="Palatino Linotype"/>
          <w:b/>
          <w:i/>
          <w:sz w:val="22"/>
          <w:szCs w:val="22"/>
        </w:rPr>
        <w:lastRenderedPageBreak/>
        <w:t xml:space="preserve">I. </w:t>
      </w:r>
      <w:r w:rsidRPr="0003091A">
        <w:rPr>
          <w:rFonts w:ascii="Palatino Linotype" w:eastAsia="Palatino Linotype" w:hAnsi="Palatino Linotype" w:cs="Palatino Linotype"/>
          <w:i/>
          <w:sz w:val="22"/>
          <w:szCs w:val="22"/>
        </w:rPr>
        <w:t xml:space="preserve">La negativa a la informativa solicitada; </w:t>
      </w:r>
    </w:p>
    <w:p w14:paraId="553DC064" w14:textId="77777777" w:rsidR="0026489B" w:rsidRPr="0003091A" w:rsidRDefault="00AF689E">
      <w:pPr>
        <w:tabs>
          <w:tab w:val="left" w:pos="7088"/>
        </w:tabs>
        <w:spacing w:before="120" w:after="120"/>
        <w:ind w:left="993" w:right="616"/>
        <w:jc w:val="both"/>
        <w:rPr>
          <w:rFonts w:ascii="Palatino Linotype" w:eastAsia="Palatino Linotype" w:hAnsi="Palatino Linotype" w:cs="Palatino Linotype"/>
          <w:b/>
          <w:i/>
          <w:sz w:val="22"/>
          <w:szCs w:val="22"/>
        </w:rPr>
      </w:pPr>
      <w:r w:rsidRPr="0003091A">
        <w:rPr>
          <w:rFonts w:ascii="Palatino Linotype" w:eastAsia="Palatino Linotype" w:hAnsi="Palatino Linotype" w:cs="Palatino Linotype"/>
          <w:b/>
          <w:i/>
          <w:sz w:val="22"/>
          <w:szCs w:val="22"/>
        </w:rPr>
        <w:t>…</w:t>
      </w:r>
    </w:p>
    <w:p w14:paraId="3D0A92F2" w14:textId="77777777" w:rsidR="0026489B" w:rsidRDefault="00AF689E">
      <w:pPr>
        <w:tabs>
          <w:tab w:val="left" w:pos="7088"/>
        </w:tabs>
        <w:spacing w:before="120" w:after="120"/>
        <w:ind w:left="993" w:right="616"/>
        <w:jc w:val="both"/>
        <w:rPr>
          <w:rFonts w:ascii="Palatino Linotype" w:eastAsia="Palatino Linotype" w:hAnsi="Palatino Linotype" w:cs="Palatino Linotype"/>
          <w:i/>
          <w:sz w:val="22"/>
          <w:szCs w:val="22"/>
        </w:rPr>
      </w:pPr>
      <w:r w:rsidRPr="0003091A">
        <w:rPr>
          <w:rFonts w:ascii="Palatino Linotype" w:eastAsia="Palatino Linotype" w:hAnsi="Palatino Linotype" w:cs="Palatino Linotype"/>
          <w:b/>
          <w:i/>
          <w:sz w:val="22"/>
          <w:szCs w:val="22"/>
        </w:rPr>
        <w:t xml:space="preserve">XIV. </w:t>
      </w:r>
      <w:r w:rsidRPr="0003091A">
        <w:rPr>
          <w:rFonts w:ascii="Palatino Linotype" w:eastAsia="Palatino Linotype" w:hAnsi="Palatino Linotype" w:cs="Palatino Linotype"/>
          <w:i/>
          <w:sz w:val="22"/>
          <w:szCs w:val="22"/>
        </w:rPr>
        <w:t>La orientación a</w:t>
      </w:r>
      <w:r>
        <w:rPr>
          <w:rFonts w:ascii="Palatino Linotype" w:eastAsia="Palatino Linotype" w:hAnsi="Palatino Linotype" w:cs="Palatino Linotype"/>
          <w:i/>
          <w:sz w:val="22"/>
          <w:szCs w:val="22"/>
        </w:rPr>
        <w:t xml:space="preserve"> un trámite especifico”</w:t>
      </w:r>
    </w:p>
    <w:p w14:paraId="59B426DA" w14:textId="77777777" w:rsidR="0026489B" w:rsidRDefault="0026489B">
      <w:pPr>
        <w:tabs>
          <w:tab w:val="left" w:pos="7088"/>
        </w:tabs>
        <w:spacing w:before="120" w:after="120"/>
        <w:ind w:left="993" w:right="616"/>
        <w:jc w:val="both"/>
        <w:rPr>
          <w:rFonts w:ascii="Palatino Linotype" w:eastAsia="Palatino Linotype" w:hAnsi="Palatino Linotype" w:cs="Palatino Linotype"/>
          <w:i/>
          <w:sz w:val="22"/>
          <w:szCs w:val="22"/>
        </w:rPr>
      </w:pPr>
    </w:p>
    <w:p w14:paraId="6F436A56" w14:textId="77777777" w:rsidR="0026489B" w:rsidRDefault="00AF689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Análisis de las causales de improcedencia y sobreseimiento del Recurso de Revisión. </w:t>
      </w:r>
      <w:r>
        <w:rPr>
          <w:rFonts w:ascii="Palatino Linotype" w:eastAsia="Palatino Linotype" w:hAnsi="Palatino Linotype" w:cs="Palatino Linotype"/>
        </w:rPr>
        <w:t xml:space="preserve">Este Instituto, realiza el estudio preferente y oficioso de las </w:t>
      </w:r>
      <w:r w:rsidR="0003091A">
        <w:rPr>
          <w:rFonts w:ascii="Palatino Linotype" w:eastAsia="Palatino Linotype" w:hAnsi="Palatino Linotype" w:cs="Palatino Linotype"/>
        </w:rPr>
        <w:t>cuales,</w:t>
      </w:r>
      <w:r>
        <w:rPr>
          <w:rFonts w:ascii="Palatino Linotype" w:eastAsia="Palatino Linotype" w:hAnsi="Palatino Linotype" w:cs="Palatino Linotype"/>
        </w:rPr>
        <w:t xml:space="preserve">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085349BA"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“Improcedencia: Sea que las partes la aleguen o no, debe examinarse previamente la procedencia del juicio de amparo, por ser cuestión de orden público en el juicio de garantías.”</w:t>
      </w:r>
    </w:p>
    <w:p w14:paraId="7E400802" w14:textId="77777777" w:rsidR="0026489B" w:rsidRDefault="00AF689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su parte los artículos 186, 191 y 192 de la Ley en cita, disponen lo siguiente:</w:t>
      </w:r>
    </w:p>
    <w:p w14:paraId="798031B4" w14:textId="77777777" w:rsidR="0026489B" w:rsidRDefault="00AF689E">
      <w:pPr>
        <w:spacing w:before="240" w:after="240" w:line="276" w:lineRule="auto"/>
        <w:ind w:left="851"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186. Las resoluciones del Instituto podrán:</w:t>
      </w:r>
    </w:p>
    <w:p w14:paraId="45FFC5B2" w14:textId="77777777" w:rsidR="0026489B" w:rsidRDefault="00AF689E">
      <w:pPr>
        <w:spacing w:before="240" w:after="240" w:line="276" w:lineRule="auto"/>
        <w:ind w:left="851" w:right="4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Desechar o sobreseer el recurso;</w:t>
      </w:r>
    </w:p>
    <w:p w14:paraId="00500886" w14:textId="77777777" w:rsidR="0026489B" w:rsidRDefault="00AF689E">
      <w:pPr>
        <w:spacing w:before="240" w:after="240" w:line="276" w:lineRule="auto"/>
        <w:ind w:left="851"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Confirmar la respuesta del sujeto obligado;</w:t>
      </w:r>
    </w:p>
    <w:p w14:paraId="19639B67" w14:textId="77777777" w:rsidR="0026489B" w:rsidRDefault="00AF689E">
      <w:pPr>
        <w:spacing w:before="240" w:after="240" w:line="276" w:lineRule="auto"/>
        <w:ind w:left="851"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Revocar o modificar la respuesta del sujeto obligado; y</w:t>
      </w:r>
    </w:p>
    <w:p w14:paraId="1D4D8408" w14:textId="77777777" w:rsidR="0026489B" w:rsidRDefault="00AF689E">
      <w:pPr>
        <w:spacing w:before="240" w:after="240" w:line="276" w:lineRule="auto"/>
        <w:ind w:left="851"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Ordenar la entrega de la información…”</w:t>
      </w:r>
    </w:p>
    <w:p w14:paraId="41CEDEEF"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191. El recurso será desechado por improcedente cuando:</w:t>
      </w:r>
    </w:p>
    <w:p w14:paraId="384B5370"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Sea extemporáneo por haber transcurrido el plazo establecido en la presente Ley, a partir de la respuesta;</w:t>
      </w:r>
    </w:p>
    <w:p w14:paraId="3CCCB6A5"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 Se esté tramitando ante el Poder Judicial de la Federación algún recurso o medio de defensa interpuesto por el recurrente;</w:t>
      </w:r>
    </w:p>
    <w:p w14:paraId="1487B24F"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No actualice alguno de los supuestos previstos en la presente Ley;</w:t>
      </w:r>
    </w:p>
    <w:p w14:paraId="34D0366C"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No se haya desahogado la prevención en los términos establecidos en la presente Ley;</w:t>
      </w:r>
    </w:p>
    <w:p w14:paraId="32C4B024"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Se impugne la veracidad de la información proporcionada;</w:t>
      </w:r>
    </w:p>
    <w:p w14:paraId="3EA625ED" w14:textId="77777777" w:rsidR="0026489B" w:rsidRDefault="00AF689E">
      <w:pPr>
        <w:spacing w:before="240" w:after="240"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Se trate de una consulta, o trámite en específico; y</w:t>
      </w:r>
    </w:p>
    <w:p w14:paraId="0709CE91"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El recurrente amplíe su solicitud en el recurso de revisión, únicamente respecto de los nuevos contenidos.”</w:t>
      </w:r>
    </w:p>
    <w:p w14:paraId="1E463F82"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07FF25DD"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El recurrente se desista expresamente del recurso;</w:t>
      </w:r>
    </w:p>
    <w:p w14:paraId="625C3546"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recurrente fallezca o, tratándose de personas jurídicas colectivas, se disuelva;</w:t>
      </w:r>
    </w:p>
    <w:p w14:paraId="06749BCB"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El sujeto obligado responsable del acto lo modifique o revoque de tal manera que el recurso de revisión quede sin materia;</w:t>
      </w:r>
    </w:p>
    <w:p w14:paraId="42897AA9" w14:textId="77777777" w:rsidR="0026489B" w:rsidRDefault="00AF689E">
      <w:pPr>
        <w:spacing w:before="240" w:after="240"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2F337CEA" w14:textId="77777777" w:rsidR="0026489B" w:rsidRDefault="00AF689E">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Cuando por cualquier motivo quede sin materia el recurso.”</w:t>
      </w:r>
    </w:p>
    <w:p w14:paraId="654BD67A" w14:textId="77777777" w:rsidR="0026489B" w:rsidRDefault="00AF689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el presente caso, en el análisis oficioso este Organismo Garante advierte que, una vez admitido el Recurso de Revisión y en su estudio a detalle, surgió una causal de improcedencia, prevista en el artículo 191 fracción VI de la Ley de Transparencia y Acceso a la Información Pública del Estado de México y Municipios.</w:t>
      </w:r>
    </w:p>
    <w:p w14:paraId="296FEC60" w14:textId="77777777" w:rsidR="0026489B" w:rsidRDefault="00AF689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Cobrando aplicación lo previsto en la fracción IV del artículo 192, en razón a que al haber sido el recurso y al actualizarse una causal de improcedencia, debe ser sobreseído.</w:t>
      </w:r>
    </w:p>
    <w:p w14:paraId="45CBE17C" w14:textId="77777777" w:rsidR="0026489B" w:rsidRDefault="00AF689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atención de lo anterior, se procede a analizar las cuestiones de hecho que dieron lugar a la improcedencia en concordancia con el apartado de causales de sobreseimiento.</w:t>
      </w:r>
    </w:p>
    <w:p w14:paraId="39963E3E" w14:textId="77777777" w:rsidR="0026489B" w:rsidRDefault="00AF689E">
      <w:pPr>
        <w:spacing w:before="240" w:after="240"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w:t>
      </w:r>
      <w:r>
        <w:rPr>
          <w:rFonts w:ascii="Palatino Linotype" w:eastAsia="Palatino Linotype" w:hAnsi="Palatino Linotype" w:cs="Palatino Linotype"/>
          <w:b/>
          <w:u w:val="single"/>
        </w:rPr>
        <w:t>toda vez que la parte Recurrente, mediante el recurso de revisión, solicita le sea entregada información que para ser obtenida se requiere llevar a cabo y desahogar mediante un trámite específico.</w:t>
      </w:r>
    </w:p>
    <w:p w14:paraId="53DEB573" w14:textId="77777777" w:rsidR="0026489B" w:rsidRDefault="00AF689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 efecto de sustentar lo anterior, es imprescindible mencionar que, del análisis de la solicitud de información motivo del recurso de revisión que ahora se resuelve, se advierte que la parte solicitante requirió al Sujeto Obligado le proporcione información consistente en lo siguiente:</w:t>
      </w:r>
    </w:p>
    <w:p w14:paraId="21E3F052" w14:textId="77777777" w:rsidR="0026489B" w:rsidRDefault="00AF689E">
      <w:pPr>
        <w:widowControl w:val="0"/>
        <w:numPr>
          <w:ilvl w:val="0"/>
          <w:numId w:val="3"/>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Reposición de tarjeta de circulación y título de concesión a nombre de Servicios de Taxis Estado de México y Zoco S.C. de R.L; toda vez que ya fue pagado el 20 de diciembre de 2017 a la Secretaría de Movilidad, quien </w:t>
      </w:r>
      <w:r>
        <w:rPr>
          <w:rFonts w:ascii="Palatino Linotype" w:eastAsia="Palatino Linotype" w:hAnsi="Palatino Linotype" w:cs="Palatino Linotype"/>
          <w:color w:val="000000"/>
        </w:rPr>
        <w:lastRenderedPageBreak/>
        <w:t xml:space="preserve">entregó el Formato Universal de Pago. </w:t>
      </w:r>
    </w:p>
    <w:p w14:paraId="408730B6" w14:textId="77777777" w:rsidR="0026489B" w:rsidRDefault="00AF689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respuesta a la solicitud de información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en términos generales que: </w:t>
      </w:r>
      <w:r>
        <w:rPr>
          <w:rFonts w:ascii="Palatino Linotype" w:eastAsia="Palatino Linotype" w:hAnsi="Palatino Linotype" w:cs="Palatino Linotype"/>
          <w:i/>
        </w:rPr>
        <w:t xml:space="preserve">“se hizo una búsqueda en los archivos digitales del </w:t>
      </w:r>
      <w:r>
        <w:rPr>
          <w:rFonts w:ascii="Palatino Linotype" w:eastAsia="Palatino Linotype" w:hAnsi="Palatino Linotype" w:cs="Palatino Linotype"/>
          <w:b/>
          <w:i/>
          <w:u w:val="single"/>
        </w:rPr>
        <w:t>Registro Estatal de Transporte Público</w:t>
      </w:r>
      <w:r>
        <w:rPr>
          <w:rFonts w:ascii="Palatino Linotype" w:eastAsia="Palatino Linotype" w:hAnsi="Palatino Linotype" w:cs="Palatino Linotype"/>
          <w:i/>
        </w:rPr>
        <w:t xml:space="preserve">, de la concesión CAS1047D4818851688, misma de la que se encontró registro en dichos archivos, localizando que la concesión está a nombre de una jurídico colectiva, así también en sus antecedentes </w:t>
      </w:r>
      <w:r>
        <w:rPr>
          <w:rFonts w:ascii="Palatino Linotype" w:eastAsia="Palatino Linotype" w:hAnsi="Palatino Linotype" w:cs="Palatino Linotype"/>
          <w:b/>
          <w:i/>
          <w:u w:val="single"/>
        </w:rPr>
        <w:t>no se advierte algún trámite efectuado en el año 2017,</w:t>
      </w:r>
      <w:r>
        <w:rPr>
          <w:rFonts w:ascii="Palatino Linotype" w:eastAsia="Palatino Linotype" w:hAnsi="Palatino Linotype" w:cs="Palatino Linotype"/>
          <w:i/>
        </w:rPr>
        <w:t xml:space="preserve"> que permita aludir que es la materialización del pago adjunto al presente folio. Aunado lo anterior es prudente comentar que</w:t>
      </w:r>
      <w:r>
        <w:rPr>
          <w:rFonts w:ascii="Palatino Linotype" w:eastAsia="Palatino Linotype" w:hAnsi="Palatino Linotype" w:cs="Palatino Linotype"/>
          <w:b/>
          <w:i/>
          <w:u w:val="single"/>
        </w:rPr>
        <w:t xml:space="preserve"> los formatos universales de pago, </w:t>
      </w:r>
      <w:r>
        <w:rPr>
          <w:rFonts w:ascii="Palatino Linotype" w:eastAsia="Palatino Linotype" w:hAnsi="Palatino Linotype" w:cs="Palatino Linotype"/>
          <w:i/>
        </w:rPr>
        <w:t xml:space="preserve">así como su comprobante correspondiente, </w:t>
      </w:r>
      <w:r>
        <w:rPr>
          <w:rFonts w:ascii="Palatino Linotype" w:eastAsia="Palatino Linotype" w:hAnsi="Palatino Linotype" w:cs="Palatino Linotype"/>
          <w:b/>
          <w:i/>
          <w:u w:val="single"/>
        </w:rPr>
        <w:t xml:space="preserve">es solo uno de los requisitos </w:t>
      </w:r>
      <w:r>
        <w:rPr>
          <w:rFonts w:ascii="Palatino Linotype" w:eastAsia="Palatino Linotype" w:hAnsi="Palatino Linotype" w:cs="Palatino Linotype"/>
          <w:i/>
        </w:rPr>
        <w:t xml:space="preserve">con lo que se tiene que cumplir a efecto de poder realizar </w:t>
      </w:r>
      <w:r>
        <w:rPr>
          <w:rFonts w:ascii="Palatino Linotype" w:eastAsia="Palatino Linotype" w:hAnsi="Palatino Linotype" w:cs="Palatino Linotype"/>
          <w:b/>
          <w:i/>
          <w:u w:val="single"/>
        </w:rPr>
        <w:t>el trámite de reposición de título y/o tarjeta de circulación</w:t>
      </w:r>
      <w:r>
        <w:rPr>
          <w:rFonts w:ascii="Palatino Linotype" w:eastAsia="Palatino Linotype" w:hAnsi="Palatino Linotype" w:cs="Palatino Linotype"/>
          <w:i/>
        </w:rPr>
        <w:t>, es decir, que la conclusión del trámite no depende únicamente de la emisión de un formato de pago, por lo contrario, se deben de cumplir con los demás requisitos dispuestos en el “ACUERDO POR EL QUE SE MODIFICA LA INTEGRACIÓN DEL “ÍNDICE DEL EXPEDIENTE DE CONCESIONES DE TRANSPORTE PÚBLICO, SUS MOVIMIENTOS ADICIONALES Y AUTORIZACIONES”</w:t>
      </w:r>
    </w:p>
    <w:p w14:paraId="1D64956E" w14:textId="77777777" w:rsidR="0026489B" w:rsidRDefault="00AF689E">
      <w:pPr>
        <w:spacing w:before="240" w:after="240"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 xml:space="preserve">Del mismo modo, refirió que los requisitos para que se deben observar para realizar el trámite de reposición de título de concesión y/o tarjeta de circulación, siendo los siguientes. </w:t>
      </w:r>
    </w:p>
    <w:p w14:paraId="36C5523C"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1. Identificación oficial vigente en original, del titular de la concesión (credencial para votar, expedida por el Instituto Nacional Electoral, pasaporte, cédula profesional, cartilla del servicio militar nacional y/o licencia de conducir expedida por el Gobierno del Estado de México). </w:t>
      </w:r>
    </w:p>
    <w:p w14:paraId="4AF0A741"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2. Carpeta de Investigación en caso de robo. </w:t>
      </w:r>
    </w:p>
    <w:p w14:paraId="0D4D5231"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3. En caso de extravío, deberá de presentar “Constancia de Extravío de Objetos o Documentos”. </w:t>
      </w:r>
    </w:p>
    <w:p w14:paraId="6A56D2A7"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4. Protocolización del acta de asamblea vigente y/o poder notarial vigente en ambos casos con facultad de ejercer actos de administración. </w:t>
      </w:r>
    </w:p>
    <w:p w14:paraId="1FDC3AFE"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5. Carta poder debidamente requisitada e identificación oficial vigente de la persona que realiza el trámite, en caso de personas físicas. </w:t>
      </w:r>
    </w:p>
    <w:p w14:paraId="5ECFF272"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6. Póliza de seguro (cobertura a pasajeros según la capacidad de la unidad) vigente. </w:t>
      </w:r>
    </w:p>
    <w:p w14:paraId="6A94E6E3"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u w:val="single"/>
        </w:rPr>
        <w:t>7. Línea de captura y comprobante de pago (original).</w:t>
      </w:r>
    </w:p>
    <w:p w14:paraId="6D6A8CBF" w14:textId="77777777" w:rsidR="0026489B" w:rsidRDefault="00AF689E">
      <w:pPr>
        <w:spacing w:before="240" w:after="240" w:line="360" w:lineRule="auto"/>
        <w:ind w:right="48"/>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Ahora bien, es importante referir que una vez notificada la respuesta y posterior a su análisis,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manifestó inconformidad respecto a la negativa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entregar el título de concesión y la tarjeta de circulación, cuya reposición se pagó a la Secretaría de Movilidad el 31 de diciembre de 2017, lo cual demostró con la línea de captura y comprobante de pago adjuntos a la solicitud. </w:t>
      </w:r>
    </w:p>
    <w:p w14:paraId="2BA66603"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conviene mencionar en primer lugar que, este Instituto advierte que la respuesta fue proporcionada por el Servidor Público Habilitado competente ya que de acuerdo a las constancias que integran el expediente en el Sistema de Acceso a la Información Mexiquense (SAIMEX), el Titular de la Unidad de Transparencia en ejercicio de sus funciones realizó el requerimiento correspondiente, al área que de acuerdo con sus atribuciones puede o debe generar, administrar o poseer la información, tal como se visualiza en la siguiente imagen.  </w:t>
      </w:r>
    </w:p>
    <w:p w14:paraId="29A446DA"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060154E5" wp14:editId="7C229B05">
            <wp:extent cx="5612130" cy="1390650"/>
            <wp:effectExtent l="0" t="0" r="0" b="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612130" cy="1390650"/>
                    </a:xfrm>
                    <a:prstGeom prst="rect">
                      <a:avLst/>
                    </a:prstGeom>
                    <a:ln/>
                  </pic:spPr>
                </pic:pic>
              </a:graphicData>
            </a:graphic>
          </wp:inline>
        </w:drawing>
      </w:r>
    </w:p>
    <w:p w14:paraId="1E3ED0CB"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 acuerdo a los registros en el Portal de Información Pública de Oficio (IPOMEX)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la fracción VII referente al directorio de todos los servidores públicos, se advierte que el Servidor Público Habilitado que respondió a la solicitud de información, ocupa el cargo de Director General del Registro Estatal de Transporte Público, tal como se observa en la siguiente captura. </w:t>
      </w:r>
    </w:p>
    <w:p w14:paraId="6ADCCD0A"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56A21A1B" wp14:editId="23D0716D">
            <wp:extent cx="5544326" cy="3915323"/>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544326" cy="3915323"/>
                    </a:xfrm>
                    <a:prstGeom prst="rect">
                      <a:avLst/>
                    </a:prstGeom>
                    <a:ln/>
                  </pic:spPr>
                </pic:pic>
              </a:graphicData>
            </a:graphic>
          </wp:inline>
        </w:drawing>
      </w:r>
      <w:r>
        <w:rPr>
          <w:noProof/>
          <w:lang w:val="es-MX"/>
        </w:rPr>
        <mc:AlternateContent>
          <mc:Choice Requires="wpg">
            <w:drawing>
              <wp:anchor distT="0" distB="0" distL="114300" distR="114300" simplePos="0" relativeHeight="251658240" behindDoc="0" locked="0" layoutInCell="1" hidden="0" allowOverlap="1" wp14:anchorId="0E9C207E" wp14:editId="1697369A">
                <wp:simplePos x="0" y="0"/>
                <wp:positionH relativeFrom="column">
                  <wp:posOffset>1</wp:posOffset>
                </wp:positionH>
                <wp:positionV relativeFrom="paragraph">
                  <wp:posOffset>876300</wp:posOffset>
                </wp:positionV>
                <wp:extent cx="4600575" cy="685800"/>
                <wp:effectExtent l="0" t="0" r="0" b="0"/>
                <wp:wrapNone/>
                <wp:docPr id="34" name="Rectángulo 34"/>
                <wp:cNvGraphicFramePr/>
                <a:graphic xmlns:a="http://schemas.openxmlformats.org/drawingml/2006/main">
                  <a:graphicData uri="http://schemas.microsoft.com/office/word/2010/wordprocessingShape">
                    <wps:wsp>
                      <wps:cNvSpPr/>
                      <wps:spPr>
                        <a:xfrm>
                          <a:off x="3050475" y="3441863"/>
                          <a:ext cx="4591050" cy="676275"/>
                        </a:xfrm>
                        <a:prstGeom prst="rect">
                          <a:avLst/>
                        </a:prstGeom>
                        <a:noFill/>
                        <a:ln w="9525" cap="flat" cmpd="sng">
                          <a:solidFill>
                            <a:srgbClr val="FF0000"/>
                          </a:solidFill>
                          <a:prstDash val="solid"/>
                          <a:round/>
                          <a:headEnd type="none" w="sm" len="sm"/>
                          <a:tailEnd type="none" w="sm" len="sm"/>
                        </a:ln>
                      </wps:spPr>
                      <wps:txbx>
                        <w:txbxContent>
                          <w:p w14:paraId="244EA41F" w14:textId="77777777" w:rsidR="0026489B" w:rsidRDefault="0026489B">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876300</wp:posOffset>
                </wp:positionV>
                <wp:extent cx="4600575" cy="685800"/>
                <wp:effectExtent b="0" l="0" r="0" t="0"/>
                <wp:wrapNone/>
                <wp:docPr id="3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4600575" cy="685800"/>
                        </a:xfrm>
                        <a:prstGeom prst="rect"/>
                        <a:ln/>
                      </pic:spPr>
                    </pic:pic>
                  </a:graphicData>
                </a:graphic>
              </wp:anchor>
            </w:drawing>
          </mc:Fallback>
        </mc:AlternateContent>
      </w:r>
    </w:p>
    <w:p w14:paraId="33B2FBE9"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contexto, es necesario citar que de conformidad con lo dispuesto en los artículos 3, fracción IV y 25 del </w:t>
      </w:r>
      <w:r>
        <w:rPr>
          <w:rFonts w:ascii="Palatino Linotype" w:eastAsia="Palatino Linotype" w:hAnsi="Palatino Linotype" w:cs="Palatino Linotype"/>
          <w:b/>
        </w:rPr>
        <w:t xml:space="preserve">Reglamento Interior de la Secretaría de Movilidad </w:t>
      </w:r>
      <w:r>
        <w:rPr>
          <w:rFonts w:ascii="Palatino Linotype" w:eastAsia="Palatino Linotype" w:hAnsi="Palatino Linotype" w:cs="Palatino Linotype"/>
        </w:rPr>
        <w:t xml:space="preserve">son atribuciones e integración de la </w:t>
      </w:r>
      <w:r>
        <w:rPr>
          <w:rFonts w:ascii="Palatino Linotype" w:eastAsia="Palatino Linotype" w:hAnsi="Palatino Linotype" w:cs="Palatino Linotype"/>
          <w:u w:val="single"/>
        </w:rPr>
        <w:t xml:space="preserve">Dirección General del Registro Estatal de Transporte Público, </w:t>
      </w:r>
      <w:r>
        <w:rPr>
          <w:rFonts w:ascii="Palatino Linotype" w:eastAsia="Palatino Linotype" w:hAnsi="Palatino Linotype" w:cs="Palatino Linotype"/>
        </w:rPr>
        <w:t xml:space="preserve">las siguientes: </w:t>
      </w:r>
    </w:p>
    <w:p w14:paraId="7476D61C"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Al frente de la Secretaría estará una persona titular quien, para el desahogo de los asuntos de su competencia, se auxiliará de las unidades administrativas siguientes:</w:t>
      </w:r>
    </w:p>
    <w:p w14:paraId="0E00E06B" w14:textId="77777777" w:rsidR="0026489B" w:rsidRDefault="00AF689E">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2AE203E"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IV. Dirección General del Registro Estatal de Transporte Público</w:t>
      </w:r>
      <w:r>
        <w:rPr>
          <w:rFonts w:ascii="Palatino Linotype" w:eastAsia="Palatino Linotype" w:hAnsi="Palatino Linotype" w:cs="Palatino Linotype"/>
          <w:i/>
          <w:sz w:val="22"/>
          <w:szCs w:val="22"/>
        </w:rPr>
        <w:t xml:space="preserve">: </w:t>
      </w:r>
    </w:p>
    <w:p w14:paraId="7D17CD47"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Dirección del Registro de Licencias y Operadores; </w:t>
      </w:r>
    </w:p>
    <w:p w14:paraId="152B0612"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Dirección del Registro Estatal de Transporte Público;</w:t>
      </w:r>
    </w:p>
    <w:p w14:paraId="2E949BF5"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Subdirección de Concesiones y Permisos; </w:t>
      </w:r>
    </w:p>
    <w:p w14:paraId="162FE16B" w14:textId="77777777" w:rsidR="0026489B" w:rsidRDefault="00AF689E">
      <w:pPr>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d) Subdirección de Registro y Control;</w:t>
      </w:r>
    </w:p>
    <w:p w14:paraId="45E7906D"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25</w:t>
      </w:r>
      <w:r>
        <w:rPr>
          <w:rFonts w:ascii="Palatino Linotype" w:eastAsia="Palatino Linotype" w:hAnsi="Palatino Linotype" w:cs="Palatino Linotype"/>
          <w:i/>
          <w:sz w:val="22"/>
          <w:szCs w:val="22"/>
        </w:rPr>
        <w:t xml:space="preserve">. Corresponden a la </w:t>
      </w:r>
      <w:r>
        <w:rPr>
          <w:rFonts w:ascii="Palatino Linotype" w:eastAsia="Palatino Linotype" w:hAnsi="Palatino Linotype" w:cs="Palatino Linotype"/>
          <w:b/>
          <w:i/>
          <w:sz w:val="22"/>
          <w:szCs w:val="22"/>
          <w:u w:val="single"/>
        </w:rPr>
        <w:t>Dirección General del Registro Estatal de Transporte Público</w:t>
      </w:r>
      <w:r>
        <w:rPr>
          <w:rFonts w:ascii="Palatino Linotype" w:eastAsia="Palatino Linotype" w:hAnsi="Palatino Linotype" w:cs="Palatino Linotype"/>
          <w:i/>
          <w:sz w:val="22"/>
          <w:szCs w:val="22"/>
        </w:rPr>
        <w:t xml:space="preserve"> las atribuciones siguientes:</w:t>
      </w:r>
    </w:p>
    <w:p w14:paraId="5F9C752B" w14:textId="77777777" w:rsidR="0026489B" w:rsidRDefault="00AF689E">
      <w:pPr>
        <w:spacing w:before="240" w:after="240" w:line="276" w:lineRule="auto"/>
        <w:ind w:left="851" w:right="616"/>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 xml:space="preserve">Dirigir y coordinar los trámites de licencias y permisos en sus diferentes clases y tipos, para conducir vehículos de servicio público y particular; </w:t>
      </w:r>
    </w:p>
    <w:p w14:paraId="1047EF15"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Contribuir con las demás unidades administrativas competentes de la Secretaría, en el </w:t>
      </w:r>
      <w:r>
        <w:rPr>
          <w:rFonts w:ascii="Palatino Linotype" w:eastAsia="Palatino Linotype" w:hAnsi="Palatino Linotype" w:cs="Palatino Linotype"/>
          <w:b/>
          <w:i/>
          <w:sz w:val="22"/>
          <w:szCs w:val="22"/>
          <w:u w:val="single"/>
        </w:rPr>
        <w:t>otorgamiento, revocación, rescate, terminación, modificación y registro de las concesiones, permisos y autorizaciones</w:t>
      </w:r>
      <w:r>
        <w:rPr>
          <w:rFonts w:ascii="Palatino Linotype" w:eastAsia="Palatino Linotype" w:hAnsi="Palatino Linotype" w:cs="Palatino Linotype"/>
          <w:i/>
          <w:sz w:val="22"/>
          <w:szCs w:val="22"/>
        </w:rPr>
        <w:t xml:space="preserve"> para la prestación del servicio público de transporte de pasajeros y de carga; </w:t>
      </w:r>
    </w:p>
    <w:p w14:paraId="32ABA0CB"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b/>
          <w:i/>
          <w:sz w:val="22"/>
          <w:szCs w:val="22"/>
          <w:u w:val="single"/>
        </w:rPr>
        <w:t>. Diseñar, aprobar y expedir los formatos y documentación relativa al control vehicular del transporte público</w:t>
      </w:r>
      <w:r>
        <w:rPr>
          <w:rFonts w:ascii="Palatino Linotype" w:eastAsia="Palatino Linotype" w:hAnsi="Palatino Linotype" w:cs="Palatino Linotype"/>
          <w:i/>
          <w:sz w:val="22"/>
          <w:szCs w:val="22"/>
        </w:rPr>
        <w:t xml:space="preserve">, placas de matriculación, </w:t>
      </w:r>
      <w:r>
        <w:rPr>
          <w:rFonts w:ascii="Palatino Linotype" w:eastAsia="Palatino Linotype" w:hAnsi="Palatino Linotype" w:cs="Palatino Linotype"/>
          <w:b/>
          <w:i/>
          <w:sz w:val="22"/>
          <w:szCs w:val="22"/>
          <w:u w:val="single"/>
        </w:rPr>
        <w:t>tarjetas de circulación</w:t>
      </w:r>
      <w:r>
        <w:rPr>
          <w:rFonts w:ascii="Palatino Linotype" w:eastAsia="Palatino Linotype" w:hAnsi="Palatino Linotype" w:cs="Palatino Linotype"/>
          <w:i/>
          <w:sz w:val="22"/>
          <w:szCs w:val="22"/>
        </w:rPr>
        <w:t xml:space="preserve">, permisos, licencias de servicio público en sus modalidades, licencias de servicio particular y permisos; </w:t>
      </w:r>
    </w:p>
    <w:p w14:paraId="7D444D01"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IV. Diseñar, aprobar y expedir las placas de matriculación, calcomanías, </w:t>
      </w:r>
      <w:r>
        <w:rPr>
          <w:rFonts w:ascii="Palatino Linotype" w:eastAsia="Palatino Linotype" w:hAnsi="Palatino Linotype" w:cs="Palatino Linotype"/>
          <w:b/>
          <w:i/>
          <w:sz w:val="22"/>
          <w:szCs w:val="22"/>
          <w:u w:val="single"/>
        </w:rPr>
        <w:t>tarjetas de circulación y demás elementos de identificación de los vehículos automotores destinados a prestar un servicio a la población</w:t>
      </w:r>
      <w:r>
        <w:rPr>
          <w:rFonts w:ascii="Palatino Linotype" w:eastAsia="Palatino Linotype" w:hAnsi="Palatino Linotype" w:cs="Palatino Linotype"/>
          <w:i/>
          <w:sz w:val="22"/>
          <w:szCs w:val="22"/>
        </w:rPr>
        <w:t xml:space="preserve"> por parte de organismos y dependencias federales, estatales o municipales; </w:t>
      </w:r>
    </w:p>
    <w:p w14:paraId="404B2795"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w:t>
      </w:r>
      <w:r>
        <w:rPr>
          <w:rFonts w:ascii="Palatino Linotype" w:eastAsia="Palatino Linotype" w:hAnsi="Palatino Linotype" w:cs="Palatino Linotype"/>
          <w:b/>
          <w:i/>
          <w:sz w:val="22"/>
          <w:szCs w:val="22"/>
          <w:u w:val="single"/>
        </w:rPr>
        <w:t>Suministrar oportunamente las formas valoradas, placas de matriculación, tarjetas de circulación</w:t>
      </w:r>
      <w:r>
        <w:rPr>
          <w:rFonts w:ascii="Palatino Linotype" w:eastAsia="Palatino Linotype" w:hAnsi="Palatino Linotype" w:cs="Palatino Linotype"/>
          <w:i/>
          <w:sz w:val="22"/>
          <w:szCs w:val="22"/>
        </w:rPr>
        <w:t xml:space="preserve">, licencias, permisos y demás documentación oficial referente al servicio público de transporte; </w:t>
      </w:r>
    </w:p>
    <w:p w14:paraId="1E3A61A9"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w:t>
      </w:r>
      <w:r>
        <w:rPr>
          <w:rFonts w:ascii="Palatino Linotype" w:eastAsia="Palatino Linotype" w:hAnsi="Palatino Linotype" w:cs="Palatino Linotype"/>
          <w:b/>
          <w:i/>
          <w:sz w:val="22"/>
          <w:szCs w:val="22"/>
          <w:u w:val="single"/>
        </w:rPr>
        <w:t>Normar y dictaminar los trámites de control vehicular del servicio público de transporte</w:t>
      </w:r>
      <w:r>
        <w:rPr>
          <w:rFonts w:ascii="Palatino Linotype" w:eastAsia="Palatino Linotype" w:hAnsi="Palatino Linotype" w:cs="Palatino Linotype"/>
          <w:i/>
          <w:sz w:val="22"/>
          <w:szCs w:val="22"/>
        </w:rPr>
        <w:t xml:space="preserve"> y los relacionados con vehículos automotores destinados a prestar un servicio a la población por parte de organismos y dependencias federales, estatales y municipales;</w:t>
      </w:r>
    </w:p>
    <w:p w14:paraId="40C164C4"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56437AE9"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w:t>
      </w:r>
      <w:r>
        <w:rPr>
          <w:rFonts w:ascii="Palatino Linotype" w:eastAsia="Palatino Linotype" w:hAnsi="Palatino Linotype" w:cs="Palatino Linotype"/>
          <w:b/>
          <w:i/>
          <w:sz w:val="22"/>
          <w:szCs w:val="22"/>
          <w:u w:val="single"/>
        </w:rPr>
        <w:t>Recibir, tramitar y resolver los procedimientos administrativos que se deriven de actos relacionados con concesiones, permisos o autorizaciones</w:t>
      </w:r>
      <w:r>
        <w:rPr>
          <w:rFonts w:ascii="Palatino Linotype" w:eastAsia="Palatino Linotype" w:hAnsi="Palatino Linotype" w:cs="Palatino Linotype"/>
          <w:i/>
          <w:sz w:val="22"/>
          <w:szCs w:val="22"/>
        </w:rPr>
        <w:t xml:space="preserve">, cuando de estos surjan conflictos relativos a las funciones y atribuciones de la Dirección del Registro de Transporte Público; </w:t>
      </w:r>
    </w:p>
    <w:p w14:paraId="75CF0FF6"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Coordinar sus funciones con las direcciones generales, </w:t>
      </w:r>
      <w:r>
        <w:rPr>
          <w:rFonts w:ascii="Palatino Linotype" w:eastAsia="Palatino Linotype" w:hAnsi="Palatino Linotype" w:cs="Palatino Linotype"/>
          <w:b/>
          <w:i/>
          <w:sz w:val="22"/>
          <w:szCs w:val="22"/>
          <w:u w:val="single"/>
        </w:rPr>
        <w:t>en materia de concesiones y permisos de servicio público de transporte</w:t>
      </w:r>
      <w:r>
        <w:rPr>
          <w:rFonts w:ascii="Palatino Linotype" w:eastAsia="Palatino Linotype" w:hAnsi="Palatino Linotype" w:cs="Palatino Linotype"/>
          <w:i/>
          <w:sz w:val="22"/>
          <w:szCs w:val="22"/>
        </w:rPr>
        <w:t xml:space="preserve">, a fin de otorgar el emplacamiento correspondiente; </w:t>
      </w:r>
    </w:p>
    <w:p w14:paraId="23A44FF9"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19CC3D1"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w:t>
      </w:r>
      <w:r>
        <w:rPr>
          <w:rFonts w:ascii="Palatino Linotype" w:eastAsia="Palatino Linotype" w:hAnsi="Palatino Linotype" w:cs="Palatino Linotype"/>
          <w:b/>
          <w:i/>
          <w:sz w:val="22"/>
          <w:szCs w:val="22"/>
          <w:u w:val="single"/>
        </w:rPr>
        <w:t>Dirigir y coordinar las funciones del Registro Estatal de Transporte Público</w:t>
      </w:r>
      <w:r>
        <w:rPr>
          <w:rFonts w:ascii="Palatino Linotype" w:eastAsia="Palatino Linotype" w:hAnsi="Palatino Linotype" w:cs="Palatino Linotype"/>
          <w:i/>
          <w:sz w:val="22"/>
          <w:szCs w:val="22"/>
        </w:rPr>
        <w:t>;</w:t>
      </w:r>
    </w:p>
    <w:p w14:paraId="26112A41" w14:textId="77777777" w:rsidR="0026489B" w:rsidRDefault="00AF689E">
      <w:pP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XIV. </w:t>
      </w:r>
      <w:r>
        <w:rPr>
          <w:rFonts w:ascii="Palatino Linotype" w:eastAsia="Palatino Linotype" w:hAnsi="Palatino Linotype" w:cs="Palatino Linotype"/>
          <w:b/>
          <w:i/>
          <w:sz w:val="22"/>
          <w:szCs w:val="22"/>
          <w:u w:val="single"/>
        </w:rPr>
        <w:t>Integrar y custodiar la información que con motivo del otorgamiento de permisos se genere</w:t>
      </w:r>
      <w:r>
        <w:rPr>
          <w:rFonts w:ascii="Palatino Linotype" w:eastAsia="Palatino Linotype" w:hAnsi="Palatino Linotype" w:cs="Palatino Linotype"/>
          <w:i/>
          <w:sz w:val="22"/>
          <w:szCs w:val="22"/>
        </w:rPr>
        <w:t xml:space="preserve">, de acuerdo con los dictámenes elaborados por las direcciones generales de movilidad; </w:t>
      </w:r>
    </w:p>
    <w:p w14:paraId="7B8EC6DE" w14:textId="77777777" w:rsidR="0026489B" w:rsidRDefault="00AF689E">
      <w:pPr>
        <w:spacing w:before="240" w:after="240" w:line="276" w:lineRule="auto"/>
        <w:ind w:left="851" w:right="616"/>
        <w:jc w:val="both"/>
        <w:rPr>
          <w:sz w:val="22"/>
          <w:szCs w:val="22"/>
        </w:rPr>
      </w:pPr>
      <w:r>
        <w:rPr>
          <w:rFonts w:ascii="Palatino Linotype" w:eastAsia="Palatino Linotype" w:hAnsi="Palatino Linotype" w:cs="Palatino Linotype"/>
          <w:i/>
          <w:sz w:val="22"/>
          <w:szCs w:val="22"/>
        </w:rPr>
        <w:t>…</w:t>
      </w:r>
    </w:p>
    <w:p w14:paraId="2F7028E3"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del precepto normativo citado se colige, que el Servidor Público Habilitado que atendió la solicitud de información, es el área que de acuerdo con sus atribuciones puede o debe generar, administrar y poseer la información solicitada por el particular y con ello, se dio cumplimiento a lo estipulado en el artículo 162 de la Ley de Transparencia local que a la letra dice: </w:t>
      </w:r>
    </w:p>
    <w:p w14:paraId="7CDD5837" w14:textId="77777777" w:rsidR="0026489B" w:rsidRDefault="00AF689E">
      <w:pPr>
        <w:spacing w:before="240" w:after="240" w:line="360"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Palatino Linotype" w:hAnsi="Palatino Linotype" w:cs="Palatino Linotype"/>
          <w:i/>
          <w:sz w:val="22"/>
          <w:szCs w:val="22"/>
        </w:rPr>
        <w:t>”</w:t>
      </w:r>
    </w:p>
    <w:p w14:paraId="528E2852" w14:textId="77777777" w:rsidR="0026489B" w:rsidRPr="0003091A" w:rsidRDefault="00AF689E">
      <w:pPr>
        <w:spacing w:before="240" w:after="240" w:line="360" w:lineRule="auto"/>
        <w:jc w:val="both"/>
        <w:rPr>
          <w:rFonts w:ascii="Palatino Linotype" w:eastAsia="Palatino Linotype" w:hAnsi="Palatino Linotype" w:cs="Palatino Linotype"/>
          <w:i/>
        </w:rPr>
      </w:pPr>
      <w:r w:rsidRPr="0003091A">
        <w:rPr>
          <w:rFonts w:ascii="Palatino Linotype" w:eastAsia="Palatino Linotype" w:hAnsi="Palatino Linotype" w:cs="Palatino Linotype"/>
        </w:rPr>
        <w:t xml:space="preserve">Por lo que al haber un pronunciamiento del Servidor público habilitado,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w:t>
      </w:r>
      <w:r w:rsidRPr="0003091A">
        <w:rPr>
          <w:rFonts w:ascii="Palatino Linotype" w:eastAsia="Palatino Linotype" w:hAnsi="Palatino Linotype" w:cs="Palatino Linotype"/>
          <w:b/>
          <w:u w:val="single"/>
        </w:rPr>
        <w:t>tiene el carácter oficial y se presume veraz</w:t>
      </w:r>
      <w:r w:rsidRPr="0003091A">
        <w:rPr>
          <w:rFonts w:ascii="Palatino Linotype" w:eastAsia="Palatino Linotype" w:hAnsi="Palatino Linotype" w:cs="Palatino Linotype"/>
        </w:rPr>
        <w:t>, tan es así que la misma queda registrada en el Sistema de Acceso a la Información Mexiquense (SAIMEX).</w:t>
      </w:r>
    </w:p>
    <w:p w14:paraId="32ADB2D3" w14:textId="77777777" w:rsidR="0026489B" w:rsidRDefault="00AF689E">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14:paraId="4CB204BF" w14:textId="77777777" w:rsidR="0026489B" w:rsidRDefault="00AF689E">
      <w:pPr>
        <w:spacing w:before="240" w:after="24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w:t>
      </w:r>
      <w:r>
        <w:rPr>
          <w:rFonts w:ascii="Palatino Linotype" w:eastAsia="Palatino Linotype" w:hAnsi="Palatino Linotype" w:cs="Palatino Linotype"/>
          <w:i/>
          <w:sz w:val="22"/>
          <w:szCs w:val="22"/>
        </w:rPr>
        <w:lastRenderedPageBreak/>
        <w:t>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6CE0C9"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Más allá de ello, este Instituto analizó la totalidad de las constancias que integran el expediente electrónico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y se concluye </w:t>
      </w:r>
      <w:r>
        <w:rPr>
          <w:rFonts w:ascii="Palatino Linotype" w:eastAsia="Palatino Linotype" w:hAnsi="Palatino Linotype" w:cs="Palatino Linotype"/>
          <w:b/>
          <w:color w:val="000000"/>
        </w:rPr>
        <w:t>SOBRESEER</w:t>
      </w:r>
      <w:r>
        <w:rPr>
          <w:rFonts w:ascii="Palatino Linotype" w:eastAsia="Palatino Linotype" w:hAnsi="Palatino Linotype" w:cs="Palatino Linotype"/>
          <w:color w:val="000000"/>
        </w:rPr>
        <w:t xml:space="preserve"> el presente asunto, en razón de cómo lo precisa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información solicitada se trata de un trámite, pues la </w:t>
      </w:r>
      <w:r>
        <w:rPr>
          <w:rFonts w:ascii="Palatino Linotype" w:eastAsia="Palatino Linotype" w:hAnsi="Palatino Linotype" w:cs="Palatino Linotype"/>
        </w:rPr>
        <w:t xml:space="preserve">Dirección General del Registro Estatal de Transporte Público informó  que para la reposición de un título de concesión y/o tarjeta de circulación de debe cumplir con los requisitos establecidos en el </w:t>
      </w:r>
      <w:r>
        <w:rPr>
          <w:rFonts w:ascii="Palatino Linotype" w:eastAsia="Palatino Linotype" w:hAnsi="Palatino Linotype" w:cs="Palatino Linotype"/>
          <w:i/>
        </w:rPr>
        <w:t>“ACUERDO POR EL QUE SE MODIFICA LA INTEGRACIÓN DEL “ÍNDICE DEL EXPEDIENTE DE CONCESIONES DE TRANSPORTE PÚBLICO, SUS MOVIMIENTOS ADICIONALES Y AUTORIZACIONES”</w:t>
      </w:r>
      <w:r>
        <w:rPr>
          <w:rFonts w:ascii="Palatino Linotype" w:eastAsia="Palatino Linotype" w:hAnsi="Palatino Linotype" w:cs="Palatino Linotype"/>
        </w:rPr>
        <w:t xml:space="preserve"> publicado en el Periódico Oficial “Gaceta el Gobierno del Estado de México, publicado el 19 de diciembre de 2019; no obstante, es importante precisar que el particular refirió que solicitó y pago la reposición de título de concesión y/o tarjeta de circulación en diciembre de dos mil diecisiete; por lo que es necesario señalar que el ACUERDO POR EL QUE SE DISPONE LA INTEGRACIÓN DEL “ÍNDICE DEL EXPEDIENTE DE CONCESIONES DE TRANSPORTE PÚBLICO Y SUS MOVIMIENTOS ADICIONALES” publicado de igual forma en el Periódico Oficial “Gaceta del Gobierno” del Estado de México el veintiocho de septiembre de dos mil dieciséis establecía como requisitos para el trámite referido, los  que se advierten en la siguiente imagen. </w:t>
      </w:r>
    </w:p>
    <w:p w14:paraId="3FF87136"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42166798" wp14:editId="70910E27">
            <wp:extent cx="5144219" cy="4334481"/>
            <wp:effectExtent l="12700" t="12700" r="12700" b="12700"/>
            <wp:docPr id="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5144219" cy="4334481"/>
                    </a:xfrm>
                    <a:prstGeom prst="rect">
                      <a:avLst/>
                    </a:prstGeom>
                    <a:ln w="12700">
                      <a:solidFill>
                        <a:srgbClr val="000000"/>
                      </a:solidFill>
                      <a:prstDash val="solid"/>
                    </a:ln>
                  </pic:spPr>
                </pic:pic>
              </a:graphicData>
            </a:graphic>
          </wp:inline>
        </w:drawing>
      </w:r>
      <w:r>
        <w:rPr>
          <w:noProof/>
          <w:lang w:val="es-MX"/>
        </w:rPr>
        <mc:AlternateContent>
          <mc:Choice Requires="wpg">
            <w:drawing>
              <wp:anchor distT="0" distB="0" distL="114300" distR="114300" simplePos="0" relativeHeight="251659264" behindDoc="0" locked="0" layoutInCell="1" hidden="0" allowOverlap="1" wp14:anchorId="07D8E981" wp14:editId="2782ACBE">
                <wp:simplePos x="0" y="0"/>
                <wp:positionH relativeFrom="column">
                  <wp:posOffset>571500</wp:posOffset>
                </wp:positionH>
                <wp:positionV relativeFrom="paragraph">
                  <wp:posOffset>1676400</wp:posOffset>
                </wp:positionV>
                <wp:extent cx="3962400" cy="333375"/>
                <wp:effectExtent l="0" t="0" r="0" b="0"/>
                <wp:wrapNone/>
                <wp:docPr id="36" name="Rectángulo 36"/>
                <wp:cNvGraphicFramePr/>
                <a:graphic xmlns:a="http://schemas.openxmlformats.org/drawingml/2006/main">
                  <a:graphicData uri="http://schemas.microsoft.com/office/word/2010/wordprocessingShape">
                    <wps:wsp>
                      <wps:cNvSpPr/>
                      <wps:spPr>
                        <a:xfrm>
                          <a:off x="3379088" y="3627600"/>
                          <a:ext cx="3933825" cy="304800"/>
                        </a:xfrm>
                        <a:prstGeom prst="rect">
                          <a:avLst/>
                        </a:prstGeom>
                        <a:noFill/>
                        <a:ln w="28575" cap="flat" cmpd="sng">
                          <a:solidFill>
                            <a:srgbClr val="FF0000"/>
                          </a:solidFill>
                          <a:prstDash val="solid"/>
                          <a:round/>
                          <a:headEnd type="none" w="sm" len="sm"/>
                          <a:tailEnd type="none" w="sm" len="sm"/>
                        </a:ln>
                      </wps:spPr>
                      <wps:txbx>
                        <w:txbxContent>
                          <w:p w14:paraId="72CE7B03" w14:textId="77777777" w:rsidR="0026489B" w:rsidRDefault="0026489B">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571500</wp:posOffset>
                </wp:positionH>
                <wp:positionV relativeFrom="paragraph">
                  <wp:posOffset>1676400</wp:posOffset>
                </wp:positionV>
                <wp:extent cx="3962400" cy="333375"/>
                <wp:effectExtent b="0" l="0" r="0" t="0"/>
                <wp:wrapNone/>
                <wp:docPr id="36"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3962400" cy="33337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0288" behindDoc="0" locked="0" layoutInCell="1" hidden="0" allowOverlap="1" wp14:anchorId="5B29B550" wp14:editId="6A1D920E">
                <wp:simplePos x="0" y="0"/>
                <wp:positionH relativeFrom="column">
                  <wp:posOffset>101601</wp:posOffset>
                </wp:positionH>
                <wp:positionV relativeFrom="paragraph">
                  <wp:posOffset>4013200</wp:posOffset>
                </wp:positionV>
                <wp:extent cx="257175" cy="55244"/>
                <wp:effectExtent l="0" t="0" r="0" b="0"/>
                <wp:wrapNone/>
                <wp:docPr id="37" name="Flecha derecha 37"/>
                <wp:cNvGraphicFramePr/>
                <a:graphic xmlns:a="http://schemas.openxmlformats.org/drawingml/2006/main">
                  <a:graphicData uri="http://schemas.microsoft.com/office/word/2010/wordprocessingShape">
                    <wps:wsp>
                      <wps:cNvSpPr/>
                      <wps:spPr>
                        <a:xfrm>
                          <a:off x="5222175" y="3757141"/>
                          <a:ext cx="247650" cy="45719"/>
                        </a:xfrm>
                        <a:prstGeom prst="rightArrow">
                          <a:avLst>
                            <a:gd name="adj1" fmla="val 50000"/>
                            <a:gd name="adj2" fmla="val 50000"/>
                          </a:avLst>
                        </a:prstGeom>
                        <a:solidFill>
                          <a:srgbClr val="FF0000"/>
                        </a:solidFill>
                        <a:ln w="9525" cap="flat" cmpd="sng">
                          <a:solidFill>
                            <a:srgbClr val="FF0000"/>
                          </a:solidFill>
                          <a:prstDash val="solid"/>
                          <a:round/>
                          <a:headEnd type="none" w="sm" len="sm"/>
                          <a:tailEnd type="none" w="sm" len="sm"/>
                        </a:ln>
                      </wps:spPr>
                      <wps:txbx>
                        <w:txbxContent>
                          <w:p w14:paraId="43881C35" w14:textId="77777777" w:rsidR="0026489B" w:rsidRDefault="0026489B">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101601</wp:posOffset>
                </wp:positionH>
                <wp:positionV relativeFrom="paragraph">
                  <wp:posOffset>4013200</wp:posOffset>
                </wp:positionV>
                <wp:extent cx="257175" cy="55244"/>
                <wp:effectExtent b="0" l="0" r="0" t="0"/>
                <wp:wrapNone/>
                <wp:docPr id="37"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257175" cy="55244"/>
                        </a:xfrm>
                        <a:prstGeom prst="rect"/>
                        <a:ln/>
                      </pic:spPr>
                    </pic:pic>
                  </a:graphicData>
                </a:graphic>
              </wp:anchor>
            </w:drawing>
          </mc:Fallback>
        </mc:AlternateContent>
      </w:r>
    </w:p>
    <w:p w14:paraId="391BF790"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de la imagen que antecede se advierte que tal como lo refirió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su respuesta, la línea de captura y el comprobante de pago son sólo uno de los requisitos que se deben cumplir para realizar el trámite correspondiente. </w:t>
      </w:r>
    </w:p>
    <w:p w14:paraId="00F52C14"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cabe señalar que en el </w:t>
      </w:r>
      <w:r>
        <w:rPr>
          <w:rFonts w:ascii="Palatino Linotype" w:eastAsia="Palatino Linotype" w:hAnsi="Palatino Linotype" w:cs="Palatino Linotype"/>
          <w:i/>
        </w:rPr>
        <w:t>“</w:t>
      </w:r>
      <w:r>
        <w:rPr>
          <w:rFonts w:ascii="Palatino Linotype" w:eastAsia="Palatino Linotype" w:hAnsi="Palatino Linotype" w:cs="Palatino Linotype"/>
        </w:rPr>
        <w:t xml:space="preserve">ACUERDO POR EL QUE SE MODIFICA LA INTEGRACIÓN DEL “ÍNDICE DEL EXPEDIENTE DE CONCESIONES DE TRANSPORTE PÚBLICO, SUS MOVIMIENTOS ADICIONALES Y AUTORIZACIONES, publicado en dos mil diecinueve y el cual refiere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tanto en respuesta como en informe justificado, se advierten los </w:t>
      </w:r>
      <w:r>
        <w:rPr>
          <w:rFonts w:ascii="Palatino Linotype" w:eastAsia="Palatino Linotype" w:hAnsi="Palatino Linotype" w:cs="Palatino Linotype"/>
        </w:rPr>
        <w:lastRenderedPageBreak/>
        <w:t xml:space="preserve">requisitos que se deben cumplir en el trámite de reposición de título de concesión y/o tarjeta de circulación, en el que se observa lo siguiente. </w:t>
      </w:r>
    </w:p>
    <w:p w14:paraId="58A8A9CB"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0B7914AE" wp14:editId="3F1B18C6">
            <wp:extent cx="5612130" cy="2979420"/>
            <wp:effectExtent l="19050" t="19050" r="19050" b="1905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612130" cy="2979420"/>
                    </a:xfrm>
                    <a:prstGeom prst="rect">
                      <a:avLst/>
                    </a:prstGeom>
                    <a:ln w="19050">
                      <a:solidFill>
                        <a:srgbClr val="000000"/>
                      </a:solidFill>
                      <a:prstDash val="solid"/>
                    </a:ln>
                  </pic:spPr>
                </pic:pic>
              </a:graphicData>
            </a:graphic>
          </wp:inline>
        </w:drawing>
      </w:r>
    </w:p>
    <w:p w14:paraId="5986C93B"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de señalar que la </w:t>
      </w:r>
      <w:r>
        <w:rPr>
          <w:rFonts w:ascii="Palatino Linotype" w:eastAsia="Palatino Linotype" w:hAnsi="Palatino Linotype" w:cs="Palatino Linotype"/>
          <w:b/>
          <w:u w:val="single"/>
        </w:rPr>
        <w:t xml:space="preserve">reposición de título de concesión y/o tarjeta de circulación (R00), </w:t>
      </w:r>
      <w:r>
        <w:rPr>
          <w:rFonts w:ascii="Palatino Linotype" w:eastAsia="Palatino Linotype" w:hAnsi="Palatino Linotype" w:cs="Palatino Linotype"/>
        </w:rPr>
        <w:t>forma parte de la matriz de trámites de la Dirección del Registro de Transporte Público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de acuerdo a lo observado en las imágenes siguientes.</w:t>
      </w:r>
    </w:p>
    <w:p w14:paraId="22E2C4BC" w14:textId="77777777" w:rsidR="0026489B" w:rsidRDefault="00AF689E">
      <w:pPr>
        <w:spacing w:line="360" w:lineRule="auto"/>
        <w:ind w:left="60"/>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0D923B4D" wp14:editId="3DF9A482">
            <wp:extent cx="5612130" cy="1897380"/>
            <wp:effectExtent l="0" t="0" r="0" b="0"/>
            <wp:docPr id="4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612130" cy="1897380"/>
                    </a:xfrm>
                    <a:prstGeom prst="rect">
                      <a:avLst/>
                    </a:prstGeom>
                    <a:ln/>
                  </pic:spPr>
                </pic:pic>
              </a:graphicData>
            </a:graphic>
          </wp:inline>
        </w:drawing>
      </w:r>
    </w:p>
    <w:p w14:paraId="70A23424" w14:textId="77777777" w:rsidR="0026489B" w:rsidRDefault="0026489B">
      <w:pPr>
        <w:spacing w:line="360" w:lineRule="auto"/>
        <w:ind w:left="60"/>
        <w:jc w:val="both"/>
        <w:rPr>
          <w:rFonts w:ascii="Palatino Linotype" w:eastAsia="Palatino Linotype" w:hAnsi="Palatino Linotype" w:cs="Palatino Linotype"/>
          <w:color w:val="000000"/>
        </w:rPr>
      </w:pPr>
    </w:p>
    <w:p w14:paraId="19B72CBC" w14:textId="77777777" w:rsidR="0026489B" w:rsidRDefault="00AF689E">
      <w:pPr>
        <w:spacing w:line="360" w:lineRule="auto"/>
        <w:ind w:left="60"/>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2D28D729" wp14:editId="12D301C2">
            <wp:extent cx="5612130" cy="1578610"/>
            <wp:effectExtent l="0" t="0" r="0" b="0"/>
            <wp:docPr id="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t="18652"/>
                    <a:stretch>
                      <a:fillRect/>
                    </a:stretch>
                  </pic:blipFill>
                  <pic:spPr>
                    <a:xfrm>
                      <a:off x="0" y="0"/>
                      <a:ext cx="5612130" cy="1578610"/>
                    </a:xfrm>
                    <a:prstGeom prst="rect">
                      <a:avLst/>
                    </a:prstGeom>
                    <a:ln/>
                  </pic:spPr>
                </pic:pic>
              </a:graphicData>
            </a:graphic>
          </wp:inline>
        </w:drawing>
      </w:r>
      <w:r>
        <w:rPr>
          <w:noProof/>
          <w:lang w:val="es-MX"/>
        </w:rPr>
        <mc:AlternateContent>
          <mc:Choice Requires="wpg">
            <w:drawing>
              <wp:anchor distT="0" distB="0" distL="114300" distR="114300" simplePos="0" relativeHeight="251661312" behindDoc="0" locked="0" layoutInCell="1" hidden="0" allowOverlap="1" wp14:anchorId="43F73C5A" wp14:editId="7ED33078">
                <wp:simplePos x="0" y="0"/>
                <wp:positionH relativeFrom="column">
                  <wp:posOffset>63501</wp:posOffset>
                </wp:positionH>
                <wp:positionV relativeFrom="paragraph">
                  <wp:posOffset>927100</wp:posOffset>
                </wp:positionV>
                <wp:extent cx="5543550" cy="552450"/>
                <wp:effectExtent l="0" t="0" r="0" b="0"/>
                <wp:wrapNone/>
                <wp:docPr id="35" name="Rectángulo 35"/>
                <wp:cNvGraphicFramePr/>
                <a:graphic xmlns:a="http://schemas.openxmlformats.org/drawingml/2006/main">
                  <a:graphicData uri="http://schemas.microsoft.com/office/word/2010/wordprocessingShape">
                    <wps:wsp>
                      <wps:cNvSpPr/>
                      <wps:spPr>
                        <a:xfrm>
                          <a:off x="2588513" y="3518063"/>
                          <a:ext cx="5514975" cy="523875"/>
                        </a:xfrm>
                        <a:prstGeom prst="rect">
                          <a:avLst/>
                        </a:prstGeom>
                        <a:noFill/>
                        <a:ln w="28575" cap="flat" cmpd="sng">
                          <a:solidFill>
                            <a:srgbClr val="FF0000"/>
                          </a:solidFill>
                          <a:prstDash val="solid"/>
                          <a:round/>
                          <a:headEnd type="none" w="sm" len="sm"/>
                          <a:tailEnd type="none" w="sm" len="sm"/>
                        </a:ln>
                      </wps:spPr>
                      <wps:txbx>
                        <w:txbxContent>
                          <w:p w14:paraId="6CA0B887" w14:textId="77777777" w:rsidR="0026489B" w:rsidRDefault="0026489B">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63501</wp:posOffset>
                </wp:positionH>
                <wp:positionV relativeFrom="paragraph">
                  <wp:posOffset>927100</wp:posOffset>
                </wp:positionV>
                <wp:extent cx="5543550" cy="552450"/>
                <wp:effectExtent b="0" l="0" r="0" t="0"/>
                <wp:wrapNone/>
                <wp:docPr id="35"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5543550" cy="552450"/>
                        </a:xfrm>
                        <a:prstGeom prst="rect"/>
                        <a:ln/>
                      </pic:spPr>
                    </pic:pic>
                  </a:graphicData>
                </a:graphic>
              </wp:anchor>
            </w:drawing>
          </mc:Fallback>
        </mc:AlternateContent>
      </w:r>
    </w:p>
    <w:p w14:paraId="233BF241" w14:textId="77777777" w:rsidR="0026489B" w:rsidRDefault="00AF689E">
      <w:pPr>
        <w:spacing w:line="360" w:lineRule="auto"/>
        <w:ind w:left="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consecuencia, este órgano garante concluye que el procedimiento de acceso a la información pública y el de acceso a datos personales no son las vías para obtener la documentación solicitada, ya que existe un trámite específico que, además, requieren la satisfacción de requisitos concretos, toda vez que no es el medio adecuado para concluir las tramitaciones correspondientes.</w:t>
      </w:r>
    </w:p>
    <w:p w14:paraId="4DC965CE" w14:textId="77777777" w:rsidR="0026489B" w:rsidRDefault="0026489B">
      <w:pPr>
        <w:spacing w:line="360" w:lineRule="auto"/>
        <w:ind w:left="60"/>
        <w:jc w:val="both"/>
        <w:rPr>
          <w:rFonts w:ascii="Palatino Linotype" w:eastAsia="Palatino Linotype" w:hAnsi="Palatino Linotype" w:cs="Palatino Linotype"/>
          <w:color w:val="000000"/>
        </w:rPr>
      </w:pPr>
    </w:p>
    <w:p w14:paraId="42536089" w14:textId="77777777" w:rsidR="0026489B" w:rsidRDefault="00AF689E">
      <w:pPr>
        <w:spacing w:line="360" w:lineRule="auto"/>
        <w:ind w:left="60"/>
        <w:jc w:val="both"/>
      </w:pPr>
      <w:r>
        <w:rPr>
          <w:rFonts w:ascii="Palatino Linotype" w:eastAsia="Palatino Linotype" w:hAnsi="Palatino Linotype" w:cs="Palatino Linotype"/>
          <w:color w:val="000000"/>
        </w:rPr>
        <w:t xml:space="preserve">Bajo este tenor, el artículo 172, párrafo primero, de la Ley de Transparencia y Acceso a la Información Pública del Estado de México y Municipios, menciona que el Sujeto </w:t>
      </w:r>
      <w:r>
        <w:rPr>
          <w:rFonts w:ascii="Palatino Linotype" w:eastAsia="Palatino Linotype" w:hAnsi="Palatino Linotype" w:cs="Palatino Linotype"/>
        </w:rPr>
        <w:t>Obligado</w:t>
      </w:r>
      <w:r>
        <w:rPr>
          <w:rFonts w:ascii="Palatino Linotype" w:eastAsia="Palatino Linotype" w:hAnsi="Palatino Linotype" w:cs="Palatino Linotype"/>
          <w:color w:val="000000"/>
        </w:rPr>
        <w:t xml:space="preserve"> Orientará al solicitante sobre el procedimiento que corresponda.</w:t>
      </w:r>
    </w:p>
    <w:p w14:paraId="13AB334D" w14:textId="77777777" w:rsidR="0026489B" w:rsidRDefault="0026489B">
      <w:pPr>
        <w:pBdr>
          <w:top w:val="nil"/>
          <w:left w:val="nil"/>
          <w:bottom w:val="nil"/>
          <w:right w:val="nil"/>
          <w:between w:val="nil"/>
        </w:pBdr>
        <w:spacing w:line="360" w:lineRule="auto"/>
        <w:ind w:left="420"/>
        <w:rPr>
          <w:color w:val="000000"/>
        </w:rPr>
      </w:pPr>
    </w:p>
    <w:p w14:paraId="29DBC80C" w14:textId="77777777" w:rsidR="0026489B" w:rsidRDefault="00AF689E" w:rsidP="0003091A">
      <w:pPr>
        <w:pBdr>
          <w:top w:val="nil"/>
          <w:left w:val="nil"/>
          <w:bottom w:val="nil"/>
          <w:right w:val="nil"/>
          <w:between w:val="nil"/>
        </w:pBdr>
        <w:spacing w:line="276" w:lineRule="auto"/>
        <w:ind w:left="420" w:right="616"/>
        <w:jc w:val="both"/>
        <w:rPr>
          <w:color w:val="000000"/>
        </w:rPr>
      </w:pPr>
      <w:r>
        <w:rPr>
          <w:rFonts w:ascii="Palatino Linotype" w:eastAsia="Palatino Linotype" w:hAnsi="Palatino Linotype" w:cs="Palatino Linotype"/>
          <w:b/>
          <w:i/>
          <w:color w:val="000000"/>
          <w:sz w:val="22"/>
          <w:szCs w:val="22"/>
        </w:rPr>
        <w:t>“Artículo 172. Cuando lo solicitado corresponda a información que sea posible obtener mediante un trámite previamente establecido y previsto en una norma, el sujeto obligado orientará al solicitante sobre el procedimiento que corresponda</w:t>
      </w:r>
      <w:r>
        <w:rPr>
          <w:rFonts w:ascii="Palatino Linotype" w:eastAsia="Palatino Linotype" w:hAnsi="Palatino Linotype" w:cs="Palatino Linotype"/>
          <w:i/>
          <w:color w:val="000000"/>
          <w:sz w:val="22"/>
          <w:szCs w:val="22"/>
        </w:rPr>
        <w:t>. En esos casos, la solicitud de información podrá desecharse por improcedente,</w:t>
      </w:r>
      <w:r>
        <w:rPr>
          <w:rFonts w:ascii="Palatino Linotype" w:eastAsia="Palatino Linotype" w:hAnsi="Palatino Linotype" w:cs="Palatino Linotype"/>
          <w:i/>
          <w:color w:val="000000"/>
          <w:sz w:val="22"/>
          <w:szCs w:val="22"/>
          <w:u w:val="single"/>
        </w:rPr>
        <w:t xml:space="preserve"> dejando a salvo el derecho del particular de interponer el recurso previsto en la presente Ley, si no estuviere conforme</w:t>
      </w:r>
      <w:r>
        <w:rPr>
          <w:rFonts w:ascii="Palatino Linotype" w:eastAsia="Palatino Linotype" w:hAnsi="Palatino Linotype" w:cs="Palatino Linotype"/>
          <w:i/>
          <w:color w:val="000000"/>
          <w:sz w:val="22"/>
          <w:szCs w:val="22"/>
        </w:rPr>
        <w:t>. Los argumentos para justificar cualquier negativa de acceso a la información deben recaer en el sujeto obligado al cual la información fue solicitada.”</w:t>
      </w:r>
    </w:p>
    <w:p w14:paraId="6F963B3D" w14:textId="77777777" w:rsidR="0026489B" w:rsidRDefault="00AF689E" w:rsidP="0003091A">
      <w:pPr>
        <w:spacing w:line="276" w:lineRule="auto"/>
        <w:ind w:left="142" w:right="616"/>
        <w:jc w:val="both"/>
      </w:pPr>
      <w:r>
        <w:rPr>
          <w:rFonts w:ascii="Palatino Linotype" w:eastAsia="Palatino Linotype" w:hAnsi="Palatino Linotype" w:cs="Palatino Linotype"/>
          <w:color w:val="000000"/>
          <w:sz w:val="22"/>
          <w:szCs w:val="22"/>
        </w:rPr>
        <w:t xml:space="preserve">      (Énfasis añadido)</w:t>
      </w:r>
    </w:p>
    <w:p w14:paraId="716B8CEA" w14:textId="77777777" w:rsidR="0026489B" w:rsidRDefault="0026489B">
      <w:pPr>
        <w:jc w:val="both"/>
        <w:rPr>
          <w:rFonts w:ascii="Palatino Linotype" w:eastAsia="Palatino Linotype" w:hAnsi="Palatino Linotype" w:cs="Palatino Linotype"/>
          <w:color w:val="000000"/>
        </w:rPr>
      </w:pPr>
    </w:p>
    <w:p w14:paraId="4609F3A7" w14:textId="77777777" w:rsidR="0026489B" w:rsidRDefault="00AF689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Como se precisa del precepto legal descrito, y del análisis realizado a la respuesta proporcionada se puede concluir que en efecto para obtener la información solicitada se debe llevar a cabo un trámite específico, al cual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orientó a la particular indicando los requisitos que debe reunir para obtener la documentación deseada.</w:t>
      </w:r>
    </w:p>
    <w:p w14:paraId="06D5373F" w14:textId="77777777" w:rsidR="0026489B" w:rsidRDefault="0026489B">
      <w:pPr>
        <w:spacing w:line="360" w:lineRule="auto"/>
        <w:jc w:val="both"/>
        <w:rPr>
          <w:rFonts w:ascii="Palatino Linotype" w:eastAsia="Palatino Linotype" w:hAnsi="Palatino Linotype" w:cs="Palatino Linotype"/>
          <w:color w:val="000000"/>
        </w:rPr>
      </w:pPr>
    </w:p>
    <w:p w14:paraId="3CB51CBE"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lo previo, es evidente que el motivo de inconformidad, materia del presente medio de impugnación, es improcedente, al garantizarse lo previsto en los artículos 4, 12 y 166 párrafo primero de la Ley de Transparencia en la Entidad antes mencionados. </w:t>
      </w:r>
    </w:p>
    <w:p w14:paraId="0B1C68FD" w14:textId="77777777" w:rsidR="0026489B" w:rsidRDefault="0026489B">
      <w:pPr>
        <w:spacing w:line="360" w:lineRule="auto"/>
        <w:jc w:val="both"/>
        <w:rPr>
          <w:rFonts w:ascii="Palatino Linotype" w:eastAsia="Palatino Linotype" w:hAnsi="Palatino Linotype" w:cs="Palatino Linotype"/>
        </w:rPr>
      </w:pPr>
    </w:p>
    <w:p w14:paraId="5BF45BB8" w14:textId="77777777" w:rsidR="0026489B" w:rsidRDefault="00AF68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sobreseer el recurso de revisión materia de la presente resolución en términos del artículo 186 fracción I de la de la Ley de Transparencia y Acceso a la Información Pública del Estado de México y Municipios en relación directa con los artículos 191 fracción VI y 192 fracción IV de mismo ordenamiento legal, citados con anterioridad, pues se actualizó una causal de improcedencia; ya que, </w:t>
      </w:r>
      <w:r>
        <w:rPr>
          <w:rFonts w:ascii="Palatino Linotype" w:eastAsia="Palatino Linotype" w:hAnsi="Palatino Linotype" w:cs="Palatino Linotype"/>
          <w:color w:val="000000"/>
        </w:rPr>
        <w:t>para obtener el documento solicitado se debe gestionar el trámite correspondiente, toda vez que el Derecho de Acceso a la información no sustituye dicho procedimiento</w:t>
      </w:r>
      <w:r>
        <w:rPr>
          <w:rFonts w:ascii="Palatino Linotype" w:eastAsia="Palatino Linotype" w:hAnsi="Palatino Linotype" w:cs="Palatino Linotype"/>
        </w:rPr>
        <w:t xml:space="preserve">. </w:t>
      </w:r>
    </w:p>
    <w:p w14:paraId="486F8952" w14:textId="77777777" w:rsidR="0026489B" w:rsidRDefault="0026489B">
      <w:pPr>
        <w:spacing w:line="360" w:lineRule="auto"/>
        <w:jc w:val="both"/>
        <w:rPr>
          <w:rFonts w:ascii="Palatino Linotype" w:eastAsia="Palatino Linotype" w:hAnsi="Palatino Linotype" w:cs="Palatino Linotype"/>
        </w:rPr>
      </w:pPr>
    </w:p>
    <w:p w14:paraId="79F3E2B5" w14:textId="77777777" w:rsidR="009319C8" w:rsidRDefault="0003091A" w:rsidP="009319C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rPr>
        <w:t xml:space="preserve">Finalmente, para el caso de que se tratara del </w:t>
      </w:r>
      <w:r w:rsidR="00AF689E" w:rsidRPr="0003091A">
        <w:rPr>
          <w:rFonts w:ascii="Palatino Linotype" w:eastAsia="Palatino Linotype" w:hAnsi="Palatino Linotype" w:cs="Palatino Linotype"/>
        </w:rPr>
        <w:t xml:space="preserve">ejercicio del derecho de acceso a la información la respuesta del Sujeto Obligado </w:t>
      </w:r>
      <w:r w:rsidRPr="0003091A">
        <w:rPr>
          <w:rFonts w:ascii="Palatino Linotype" w:eastAsia="Palatino Linotype" w:hAnsi="Palatino Linotype" w:cs="Palatino Linotype"/>
        </w:rPr>
        <w:t>constituiría</w:t>
      </w:r>
      <w:r w:rsidR="00AF689E" w:rsidRPr="0003091A">
        <w:rPr>
          <w:rFonts w:ascii="Palatino Linotype" w:eastAsia="Palatino Linotype" w:hAnsi="Palatino Linotype" w:cs="Palatino Linotype"/>
        </w:rPr>
        <w:t xml:space="preserve"> un hecho negativo</w:t>
      </w:r>
      <w:r>
        <w:rPr>
          <w:rFonts w:ascii="Palatino Linotype" w:eastAsia="Palatino Linotype" w:hAnsi="Palatino Linotype" w:cs="Palatino Linotype"/>
        </w:rPr>
        <w:t xml:space="preserve">, toda vez que el </w:t>
      </w:r>
      <w:r w:rsidR="009319C8">
        <w:rPr>
          <w:rFonts w:ascii="Palatino Linotype" w:eastAsia="Palatino Linotype" w:hAnsi="Palatino Linotype" w:cs="Palatino Linotype"/>
        </w:rPr>
        <w:t xml:space="preserve">Servidor Público Habilitado de la Dirección General del Registro Estatal del Transporte Publico informó que, en los antecedentes de la concesión, </w:t>
      </w:r>
      <w:r w:rsidR="009319C8" w:rsidRPr="009319C8">
        <w:rPr>
          <w:rFonts w:ascii="Palatino Linotype" w:eastAsia="Palatino Linotype" w:hAnsi="Palatino Linotype" w:cs="Palatino Linotype"/>
          <w:i/>
        </w:rPr>
        <w:t xml:space="preserve">no se </w:t>
      </w:r>
      <w:r w:rsidR="009319C8" w:rsidRPr="009319C8">
        <w:rPr>
          <w:rFonts w:ascii="Palatino Linotype" w:eastAsia="Palatino Linotype" w:hAnsi="Palatino Linotype" w:cs="Palatino Linotype"/>
          <w:i/>
        </w:rPr>
        <w:lastRenderedPageBreak/>
        <w:t>advierte algún tr</w:t>
      </w:r>
      <w:r w:rsidR="009319C8">
        <w:rPr>
          <w:rFonts w:ascii="Palatino Linotype" w:eastAsia="Palatino Linotype" w:hAnsi="Palatino Linotype" w:cs="Palatino Linotype"/>
          <w:i/>
        </w:rPr>
        <w:t xml:space="preserve">ámite efectuado en el año 2017; </w:t>
      </w:r>
      <w:r w:rsidR="009319C8">
        <w:rPr>
          <w:rFonts w:ascii="Palatino Linotype" w:eastAsia="Palatino Linotype" w:hAnsi="Palatino Linotype" w:cs="Palatino Linotype"/>
        </w:rPr>
        <w:t xml:space="preserve">por lo que, </w:t>
      </w:r>
      <w:r w:rsidR="009319C8">
        <w:rPr>
          <w:rFonts w:ascii="Palatino Linotype" w:eastAsia="Palatino Linotype" w:hAnsi="Palatino Linotype" w:cs="Palatino Linotype"/>
          <w:color w:val="000000"/>
        </w:rPr>
        <w:t xml:space="preserve">toda vez que no posee, administra ni genera la información requerida por el particular, constituye un hecho negativo; por lo tanto, no puede fácticamente obrar en los archivos del </w:t>
      </w:r>
      <w:r w:rsidR="009319C8">
        <w:rPr>
          <w:rFonts w:ascii="Palatino Linotype" w:eastAsia="Palatino Linotype" w:hAnsi="Palatino Linotype" w:cs="Palatino Linotype"/>
          <w:b/>
          <w:color w:val="000000"/>
        </w:rPr>
        <w:t>SUJETO OBLIGADO</w:t>
      </w:r>
      <w:r w:rsidR="009319C8">
        <w:rPr>
          <w:rFonts w:ascii="Palatino Linotype" w:eastAsia="Palatino Linotype" w:hAnsi="Palatino Linotype" w:cs="Palatino Linotype"/>
          <w:color w:val="000000"/>
        </w:rPr>
        <w:t>, ya que no puede probarse por ser lógica y materialmente imposible.</w:t>
      </w:r>
    </w:p>
    <w:p w14:paraId="1C4D2461" w14:textId="77777777" w:rsidR="009319C8" w:rsidRDefault="009319C8" w:rsidP="009319C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Asimismo, no se trata de un caso por el cual la negación del hecho implique la afirmación del mismo, simplemente se está ante una notoria y evidente inexistencia fáctica de la información solicitada.</w:t>
      </w:r>
    </w:p>
    <w:p w14:paraId="567962FF" w14:textId="77777777" w:rsidR="009319C8" w:rsidRDefault="009319C8" w:rsidP="009319C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9D7AE9A" w14:textId="77777777" w:rsidR="009319C8" w:rsidRDefault="009319C8" w:rsidP="009319C8">
      <w:pPr>
        <w:pBdr>
          <w:top w:val="nil"/>
          <w:left w:val="nil"/>
          <w:bottom w:val="nil"/>
          <w:right w:val="nil"/>
          <w:between w:val="nil"/>
        </w:pBdr>
        <w:spacing w:line="276" w:lineRule="auto"/>
        <w:ind w:left="860" w:right="560"/>
        <w:jc w:val="both"/>
        <w:rPr>
          <w:color w:val="000000"/>
        </w:rPr>
      </w:pPr>
      <w:r>
        <w:rPr>
          <w:rFonts w:ascii="Palatino Linotype" w:eastAsia="Palatino Linotype" w:hAnsi="Palatino Linotype" w:cs="Palatino Linotype"/>
          <w:b/>
          <w:i/>
          <w:color w:val="000000"/>
          <w:sz w:val="22"/>
          <w:szCs w:val="22"/>
        </w:rPr>
        <w:t>HECHOS NEGATIVOS, NO SON SUSCEPTIBLES DE DEMOSTRACIÓN.</w:t>
      </w:r>
    </w:p>
    <w:p w14:paraId="3251F4E1" w14:textId="77777777" w:rsidR="009319C8" w:rsidRDefault="009319C8" w:rsidP="009319C8">
      <w:pPr>
        <w:pBdr>
          <w:top w:val="nil"/>
          <w:left w:val="nil"/>
          <w:bottom w:val="nil"/>
          <w:right w:val="nil"/>
          <w:between w:val="nil"/>
        </w:pBdr>
        <w:spacing w:line="276" w:lineRule="auto"/>
        <w:ind w:left="860" w:right="560"/>
        <w:jc w:val="both"/>
        <w:rPr>
          <w:color w:val="000000"/>
        </w:rPr>
      </w:pPr>
      <w:r>
        <w:rPr>
          <w:rFonts w:ascii="Palatino Linotype" w:eastAsia="Palatino Linotype" w:hAnsi="Palatino Linotype" w:cs="Palatino Linotype"/>
          <w:i/>
          <w:color w:val="000000"/>
          <w:sz w:val="22"/>
          <w:szCs w:val="22"/>
        </w:rPr>
        <w:t>Tratándose de un hecho negativo, el Juez no tiene por que invocar prueba alguna de la que se desprenda, ya que es bien sabido que esta clase de hechos no son susceptibles de demostración.</w:t>
      </w:r>
    </w:p>
    <w:p w14:paraId="0D2C38A7" w14:textId="77777777" w:rsidR="009319C8" w:rsidRDefault="009319C8" w:rsidP="009319C8">
      <w:pPr>
        <w:pBdr>
          <w:top w:val="nil"/>
          <w:left w:val="nil"/>
          <w:bottom w:val="nil"/>
          <w:right w:val="nil"/>
          <w:between w:val="nil"/>
        </w:pBdr>
        <w:spacing w:line="276" w:lineRule="auto"/>
        <w:ind w:left="860" w:right="560"/>
        <w:jc w:val="both"/>
        <w:rPr>
          <w:color w:val="000000"/>
        </w:rPr>
      </w:pPr>
      <w:r>
        <w:rPr>
          <w:rFonts w:ascii="Palatino Linotype" w:eastAsia="Palatino Linotype" w:hAnsi="Palatino Linotype" w:cs="Palatino Linotype"/>
          <w:i/>
          <w:color w:val="000000"/>
          <w:sz w:val="22"/>
          <w:szCs w:val="22"/>
        </w:rPr>
        <w:t>Amparo en revisión 2022/61. José García Florín (Menor). 9 de octubre de 1961. Cinco votos. Ponente: José Rivera Pérez Campos.”</w:t>
      </w:r>
    </w:p>
    <w:p w14:paraId="74861B22" w14:textId="77777777" w:rsidR="009319C8" w:rsidRDefault="009319C8" w:rsidP="009319C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Además, y de conformidad con lo establecido en el artículo 12 de la Ley de Transparencia y Acceso a la Información Pública del Estado de México y Municipios, anteriormente invocado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sólo proporcionará la información que obra en sus archivos, lo que a</w:t>
      </w:r>
      <w:r>
        <w:rPr>
          <w:rFonts w:ascii="Palatino Linotype" w:eastAsia="Palatino Linotype" w:hAnsi="Palatino Linotype" w:cs="Palatino Linotype"/>
          <w:i/>
          <w:color w:val="000000"/>
        </w:rPr>
        <w:t xml:space="preserve"> contrario sensu</w:t>
      </w:r>
      <w:r>
        <w:rPr>
          <w:rFonts w:ascii="Palatino Linotype" w:eastAsia="Palatino Linotype" w:hAnsi="Palatino Linotype" w:cs="Palatino Linotype"/>
          <w:color w:val="000000"/>
        </w:rPr>
        <w:t xml:space="preserve"> significa que no se está obligado a </w:t>
      </w:r>
      <w:r>
        <w:rPr>
          <w:rFonts w:ascii="Palatino Linotype" w:eastAsia="Palatino Linotype" w:hAnsi="Palatino Linotype" w:cs="Palatino Linotype"/>
          <w:color w:val="000000"/>
        </w:rPr>
        <w:lastRenderedPageBreak/>
        <w:t>proporcionar lo que no obre en sus archivos; por ende, las razones o motivos de inconformidad al respecto devienen infundados.</w:t>
      </w:r>
    </w:p>
    <w:p w14:paraId="57CBD798" w14:textId="77777777" w:rsidR="009319C8" w:rsidRDefault="009319C8" w:rsidP="009319C8">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Aunado a lo anterior, este Pleno considera necesario dejar claro que, al haber existido un pronunciamiento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421ABFF4" w14:textId="77777777" w:rsidR="009319C8" w:rsidRDefault="009319C8" w:rsidP="009319C8">
      <w:pPr>
        <w:pBdr>
          <w:top w:val="nil"/>
          <w:left w:val="nil"/>
          <w:bottom w:val="nil"/>
          <w:right w:val="nil"/>
          <w:between w:val="nil"/>
        </w:pBdr>
        <w:ind w:left="860" w:right="560"/>
        <w:jc w:val="both"/>
        <w:rPr>
          <w:color w:val="000000"/>
        </w:rPr>
      </w:pPr>
      <w:r>
        <w:rPr>
          <w:rFonts w:ascii="Palatino Linotype" w:eastAsia="Palatino Linotype" w:hAnsi="Palatino Linotype" w:cs="Palatino Linotype"/>
          <w:i/>
          <w:color w:val="000000"/>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42D666" w14:textId="77777777" w:rsidR="009319C8" w:rsidRDefault="009319C8" w:rsidP="009319C8">
      <w:pPr>
        <w:tabs>
          <w:tab w:val="left" w:pos="7938"/>
        </w:tabs>
        <w:spacing w:line="360" w:lineRule="auto"/>
        <w:jc w:val="both"/>
        <w:rPr>
          <w:rFonts w:ascii="Palatino Linotype" w:eastAsia="Palatino Linotype" w:hAnsi="Palatino Linotype" w:cs="Palatino Linotype"/>
        </w:rPr>
      </w:pPr>
    </w:p>
    <w:p w14:paraId="7A27C9F6" w14:textId="77777777" w:rsidR="0026489B" w:rsidRPr="009319C8" w:rsidRDefault="0026489B">
      <w:pPr>
        <w:spacing w:line="360" w:lineRule="auto"/>
        <w:jc w:val="both"/>
        <w:rPr>
          <w:rFonts w:ascii="Palatino Linotype" w:eastAsia="Palatino Linotype" w:hAnsi="Palatino Linotype" w:cs="Palatino Linotype"/>
        </w:rPr>
      </w:pPr>
    </w:p>
    <w:p w14:paraId="637BEA6F" w14:textId="77777777" w:rsidR="0026489B" w:rsidRDefault="0026489B">
      <w:pPr>
        <w:spacing w:line="360" w:lineRule="auto"/>
        <w:jc w:val="both"/>
        <w:rPr>
          <w:rFonts w:ascii="Palatino Linotype" w:eastAsia="Palatino Linotype" w:hAnsi="Palatino Linotype" w:cs="Palatino Linotype"/>
        </w:rPr>
      </w:pPr>
    </w:p>
    <w:p w14:paraId="23DD9F22" w14:textId="77777777" w:rsidR="0026489B" w:rsidRDefault="0026489B">
      <w:pPr>
        <w:spacing w:line="360" w:lineRule="auto"/>
        <w:jc w:val="both"/>
        <w:rPr>
          <w:rFonts w:ascii="Palatino Linotype" w:eastAsia="Palatino Linotype" w:hAnsi="Palatino Linotype" w:cs="Palatino Linotype"/>
        </w:rPr>
      </w:pPr>
    </w:p>
    <w:p w14:paraId="082EAA08" w14:textId="77777777" w:rsidR="0026489B" w:rsidRDefault="00AF689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13D9DBF" w14:textId="77777777" w:rsidR="0026489B" w:rsidRDefault="00AF689E">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33D95BA4" w14:textId="77777777" w:rsidR="0026489B" w:rsidRDefault="00AF689E">
      <w:pPr>
        <w:spacing w:before="240" w:after="240" w:line="360" w:lineRule="auto"/>
        <w:jc w:val="both"/>
        <w:rPr>
          <w:rFonts w:ascii="Palatino Linotype" w:eastAsia="Palatino Linotype" w:hAnsi="Palatino Linotype" w:cs="Palatino Linotype"/>
          <w:highlight w:val="red"/>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SOBRESEE </w:t>
      </w:r>
      <w:r>
        <w:rPr>
          <w:rFonts w:ascii="Palatino Linotype" w:eastAsia="Palatino Linotype" w:hAnsi="Palatino Linotype" w:cs="Palatino Linotype"/>
        </w:rPr>
        <w:t xml:space="preserve">el recurso de revisión número </w:t>
      </w:r>
      <w:r>
        <w:rPr>
          <w:rFonts w:ascii="Palatino Linotype" w:eastAsia="Palatino Linotype" w:hAnsi="Palatino Linotype" w:cs="Palatino Linotype"/>
          <w:b/>
        </w:rPr>
        <w:t xml:space="preserve">03889/INFOEM/IP/RR/2022 </w:t>
      </w:r>
      <w:r w:rsidR="001544E0">
        <w:rPr>
          <w:rFonts w:ascii="Palatino Linotype" w:eastAsia="Palatino Linotype" w:hAnsi="Palatino Linotype" w:cs="Palatino Linotype"/>
        </w:rPr>
        <w:t>de conformidad con lo previsto en la fracción IV del artículo 192, porque una vez admitido</w:t>
      </w:r>
      <w:r>
        <w:rPr>
          <w:rFonts w:ascii="Palatino Linotype" w:eastAsia="Palatino Linotype" w:hAnsi="Palatino Linotype" w:cs="Palatino Linotype"/>
        </w:rPr>
        <w:t xml:space="preserve"> se actualizó la </w:t>
      </w:r>
      <w:r w:rsidRPr="001544E0">
        <w:rPr>
          <w:rFonts w:ascii="Palatino Linotype" w:eastAsia="Palatino Linotype" w:hAnsi="Palatino Linotype" w:cs="Palatino Linotype"/>
        </w:rPr>
        <w:t xml:space="preserve">causal de improcedencia </w:t>
      </w:r>
      <w:r>
        <w:rPr>
          <w:rFonts w:ascii="Palatino Linotype" w:eastAsia="Palatino Linotype" w:hAnsi="Palatino Linotype" w:cs="Palatino Linotype"/>
        </w:rPr>
        <w:t>prevista</w:t>
      </w:r>
      <w:r w:rsidR="009319C8">
        <w:rPr>
          <w:rFonts w:ascii="Palatino Linotype" w:eastAsia="Palatino Linotype" w:hAnsi="Palatino Linotype" w:cs="Palatino Linotype"/>
        </w:rPr>
        <w:t xml:space="preserve"> en la fracción VI del art</w:t>
      </w:r>
      <w:r w:rsidR="001544E0">
        <w:rPr>
          <w:rFonts w:ascii="Palatino Linotype" w:eastAsia="Palatino Linotype" w:hAnsi="Palatino Linotype" w:cs="Palatino Linotype"/>
        </w:rPr>
        <w:t xml:space="preserve">ículo 191 </w:t>
      </w:r>
      <w:r>
        <w:rPr>
          <w:rFonts w:ascii="Palatino Linotype" w:eastAsia="Palatino Linotype" w:hAnsi="Palatino Linotype" w:cs="Palatino Linotype"/>
        </w:rPr>
        <w:t>de la Ley de Transparencia vigente en la entidad, en términos del Considerando Terc</w:t>
      </w:r>
      <w:r w:rsidR="001544E0">
        <w:rPr>
          <w:rFonts w:ascii="Palatino Linotype" w:eastAsia="Palatino Linotype" w:hAnsi="Palatino Linotype" w:cs="Palatino Linotype"/>
        </w:rPr>
        <w:t xml:space="preserve">ero de la presente resolución. </w:t>
      </w:r>
    </w:p>
    <w:p w14:paraId="349D5F59"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w:t>
      </w:r>
      <w:r>
        <w:rPr>
          <w:rFonts w:ascii="Palatino Linotype" w:eastAsia="Palatino Linotype" w:hAnsi="Palatino Linotype" w:cs="Palatino Linotype"/>
          <w:b/>
          <w:sz w:val="19"/>
          <w:szCs w:val="19"/>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su conocimiento, lo anterior en términos del artículo 189 de la Ley de Transparencia y Acceso a la Información Pública del Estado de México y Municipios.</w:t>
      </w:r>
    </w:p>
    <w:p w14:paraId="145FA43A" w14:textId="77777777" w:rsidR="0026489B" w:rsidRDefault="00AF689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presente resolución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 </w:t>
      </w:r>
    </w:p>
    <w:p w14:paraId="342BFA75" w14:textId="77777777" w:rsidR="003F7ACA" w:rsidRDefault="003F7ACA">
      <w:pPr>
        <w:spacing w:before="240" w:after="240" w:line="360" w:lineRule="auto"/>
        <w:jc w:val="both"/>
        <w:rPr>
          <w:rFonts w:ascii="Palatino Linotype" w:eastAsia="Palatino Linotype" w:hAnsi="Palatino Linotype" w:cs="Palatino Linotype"/>
        </w:rPr>
      </w:pPr>
    </w:p>
    <w:p w14:paraId="1634313C" w14:textId="77777777" w:rsidR="0026489B" w:rsidRDefault="00AF689E">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004D5">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LUIS GUSTAVO PARRA NORIEGA Y GUADALUPE RAMÍREZ PEÑA; EN LA VIGÉSIMA QUINTA SESIÓN ORDINARIA CELEBRADA EL SEIS DE JULIO DE DOS MIL VEINTIDÓS, ANTE EL SECRETARIO TÉCNICO DEL PLENO, ALEXIS TAPIA RAMÍREZ.</w:t>
      </w:r>
    </w:p>
    <w:p w14:paraId="6B519B01" w14:textId="0EFAE87F" w:rsidR="0026489B" w:rsidRDefault="00B809E3">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62336" behindDoc="0" locked="0" layoutInCell="1" allowOverlap="1" wp14:anchorId="4AB5FF7E" wp14:editId="67F327A7">
                <wp:simplePos x="0" y="0"/>
                <wp:positionH relativeFrom="column">
                  <wp:posOffset>223147</wp:posOffset>
                </wp:positionH>
                <wp:positionV relativeFrom="paragraph">
                  <wp:posOffset>230089</wp:posOffset>
                </wp:positionV>
                <wp:extent cx="5023945" cy="4340772"/>
                <wp:effectExtent l="38100" t="19050" r="62865" b="79375"/>
                <wp:wrapNone/>
                <wp:docPr id="1" name="Conector recto 1"/>
                <wp:cNvGraphicFramePr/>
                <a:graphic xmlns:a="http://schemas.openxmlformats.org/drawingml/2006/main">
                  <a:graphicData uri="http://schemas.microsoft.com/office/word/2010/wordprocessingShape">
                    <wps:wsp>
                      <wps:cNvCnPr/>
                      <wps:spPr>
                        <a:xfrm>
                          <a:off x="0" y="0"/>
                          <a:ext cx="5023945" cy="434077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3BD57"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5pt,18.1pt" to="413.15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" strokecolor="#4f81bd [3204]" strokeweight="2pt">
                <v:shadow on="t" color="black" opacity="24903f" origin=",.5" offset="0,.55556mm"/>
              </v:line>
            </w:pict>
          </mc:Fallback>
        </mc:AlternateContent>
      </w:r>
    </w:p>
    <w:p w14:paraId="34B47382" w14:textId="77777777" w:rsidR="0026489B" w:rsidRDefault="0026489B">
      <w:pPr>
        <w:spacing w:before="240" w:after="240"/>
        <w:jc w:val="both"/>
        <w:rPr>
          <w:rFonts w:ascii="Palatino Linotype" w:eastAsia="Palatino Linotype" w:hAnsi="Palatino Linotype" w:cs="Palatino Linotype"/>
          <w:sz w:val="20"/>
          <w:szCs w:val="20"/>
        </w:rPr>
      </w:pPr>
    </w:p>
    <w:p w14:paraId="09C000F2" w14:textId="77777777" w:rsidR="0026489B" w:rsidRDefault="0026489B">
      <w:pPr>
        <w:spacing w:before="240" w:after="240"/>
        <w:jc w:val="both"/>
        <w:rPr>
          <w:rFonts w:ascii="Palatino Linotype" w:eastAsia="Palatino Linotype" w:hAnsi="Palatino Linotype" w:cs="Palatino Linotype"/>
          <w:sz w:val="20"/>
          <w:szCs w:val="20"/>
        </w:rPr>
      </w:pPr>
    </w:p>
    <w:p w14:paraId="25F0F8AA" w14:textId="77777777" w:rsidR="0026489B" w:rsidRDefault="0026489B">
      <w:pPr>
        <w:spacing w:before="240" w:after="240"/>
        <w:jc w:val="both"/>
        <w:rPr>
          <w:rFonts w:ascii="Palatino Linotype" w:eastAsia="Palatino Linotype" w:hAnsi="Palatino Linotype" w:cs="Palatino Linotype"/>
          <w:sz w:val="20"/>
          <w:szCs w:val="20"/>
        </w:rPr>
      </w:pPr>
    </w:p>
    <w:p w14:paraId="288066CE" w14:textId="77777777" w:rsidR="0026489B" w:rsidRDefault="0026489B">
      <w:pPr>
        <w:spacing w:before="240" w:after="240"/>
        <w:jc w:val="both"/>
        <w:rPr>
          <w:rFonts w:ascii="Palatino Linotype" w:eastAsia="Palatino Linotype" w:hAnsi="Palatino Linotype" w:cs="Palatino Linotype"/>
          <w:sz w:val="20"/>
          <w:szCs w:val="20"/>
        </w:rPr>
      </w:pPr>
    </w:p>
    <w:p w14:paraId="60F4A687" w14:textId="77777777" w:rsidR="0026489B" w:rsidRDefault="0026489B">
      <w:pPr>
        <w:spacing w:before="240" w:after="240"/>
        <w:jc w:val="both"/>
        <w:rPr>
          <w:rFonts w:ascii="Palatino Linotype" w:eastAsia="Palatino Linotype" w:hAnsi="Palatino Linotype" w:cs="Palatino Linotype"/>
          <w:sz w:val="20"/>
          <w:szCs w:val="20"/>
        </w:rPr>
      </w:pPr>
    </w:p>
    <w:p w14:paraId="24A58401" w14:textId="77777777" w:rsidR="0026489B" w:rsidRDefault="0026489B">
      <w:pPr>
        <w:spacing w:before="240" w:after="240"/>
        <w:jc w:val="both"/>
        <w:rPr>
          <w:rFonts w:ascii="Palatino Linotype" w:eastAsia="Palatino Linotype" w:hAnsi="Palatino Linotype" w:cs="Palatino Linotype"/>
          <w:sz w:val="20"/>
          <w:szCs w:val="20"/>
        </w:rPr>
      </w:pPr>
    </w:p>
    <w:p w14:paraId="7CC5D09C" w14:textId="77777777" w:rsidR="0026489B" w:rsidRDefault="0026489B">
      <w:pPr>
        <w:spacing w:before="240" w:after="240"/>
        <w:jc w:val="both"/>
        <w:rPr>
          <w:rFonts w:ascii="Palatino Linotype" w:eastAsia="Palatino Linotype" w:hAnsi="Palatino Linotype" w:cs="Palatino Linotype"/>
          <w:sz w:val="20"/>
          <w:szCs w:val="20"/>
        </w:rPr>
      </w:pPr>
    </w:p>
    <w:p w14:paraId="4BE0DDFE" w14:textId="77777777" w:rsidR="0026489B" w:rsidRDefault="0026489B">
      <w:pPr>
        <w:spacing w:before="240" w:after="240"/>
        <w:jc w:val="both"/>
        <w:rPr>
          <w:rFonts w:ascii="Palatino Linotype" w:eastAsia="Palatino Linotype" w:hAnsi="Palatino Linotype" w:cs="Palatino Linotype"/>
          <w:sz w:val="20"/>
          <w:szCs w:val="20"/>
        </w:rPr>
      </w:pPr>
    </w:p>
    <w:p w14:paraId="0CB133B7" w14:textId="77777777" w:rsidR="0026489B" w:rsidRDefault="0026489B">
      <w:pPr>
        <w:spacing w:before="240" w:after="240"/>
        <w:jc w:val="both"/>
        <w:rPr>
          <w:rFonts w:ascii="Palatino Linotype" w:eastAsia="Palatino Linotype" w:hAnsi="Palatino Linotype" w:cs="Palatino Linotype"/>
          <w:sz w:val="20"/>
          <w:szCs w:val="20"/>
        </w:rPr>
      </w:pPr>
    </w:p>
    <w:p w14:paraId="0519B02D" w14:textId="77777777" w:rsidR="0026489B" w:rsidRDefault="0026489B">
      <w:pPr>
        <w:spacing w:before="240" w:after="240"/>
        <w:jc w:val="both"/>
        <w:rPr>
          <w:rFonts w:ascii="Palatino Linotype" w:eastAsia="Palatino Linotype" w:hAnsi="Palatino Linotype" w:cs="Palatino Linotype"/>
          <w:sz w:val="20"/>
          <w:szCs w:val="20"/>
        </w:rPr>
      </w:pPr>
    </w:p>
    <w:p w14:paraId="458866C5" w14:textId="77777777" w:rsidR="0026489B" w:rsidRDefault="0026489B">
      <w:pPr>
        <w:spacing w:before="240" w:after="240"/>
        <w:jc w:val="both"/>
        <w:rPr>
          <w:rFonts w:ascii="Palatino Linotype" w:eastAsia="Palatino Linotype" w:hAnsi="Palatino Linotype" w:cs="Palatino Linotype"/>
          <w:sz w:val="20"/>
          <w:szCs w:val="20"/>
        </w:rPr>
      </w:pPr>
    </w:p>
    <w:p w14:paraId="1CDB64CB" w14:textId="77777777" w:rsidR="0026489B" w:rsidRDefault="0026489B">
      <w:pPr>
        <w:spacing w:before="240" w:after="240"/>
        <w:jc w:val="both"/>
        <w:rPr>
          <w:rFonts w:ascii="Palatino Linotype" w:eastAsia="Palatino Linotype" w:hAnsi="Palatino Linotype" w:cs="Palatino Linotype"/>
          <w:sz w:val="20"/>
          <w:szCs w:val="20"/>
        </w:rPr>
      </w:pPr>
    </w:p>
    <w:p w14:paraId="27B66F54" w14:textId="77777777" w:rsidR="0026489B" w:rsidRDefault="0026489B">
      <w:pPr>
        <w:spacing w:before="240" w:after="240"/>
        <w:jc w:val="both"/>
        <w:rPr>
          <w:rFonts w:ascii="Palatino Linotype" w:eastAsia="Palatino Linotype" w:hAnsi="Palatino Linotype" w:cs="Palatino Linotype"/>
          <w:sz w:val="20"/>
          <w:szCs w:val="20"/>
        </w:rPr>
      </w:pPr>
    </w:p>
    <w:p w14:paraId="1CD9AA1B" w14:textId="77777777" w:rsidR="0026489B" w:rsidRDefault="0026489B">
      <w:pPr>
        <w:spacing w:before="240" w:after="240"/>
        <w:jc w:val="both"/>
        <w:rPr>
          <w:rFonts w:ascii="Palatino Linotype" w:eastAsia="Palatino Linotype" w:hAnsi="Palatino Linotype" w:cs="Palatino Linotype"/>
          <w:sz w:val="20"/>
          <w:szCs w:val="20"/>
        </w:rPr>
      </w:pPr>
    </w:p>
    <w:p w14:paraId="655F9750" w14:textId="77777777" w:rsidR="0026489B" w:rsidRDefault="0026489B">
      <w:pPr>
        <w:spacing w:before="240" w:after="240"/>
        <w:jc w:val="both"/>
        <w:rPr>
          <w:rFonts w:ascii="Palatino Linotype" w:eastAsia="Palatino Linotype" w:hAnsi="Palatino Linotype" w:cs="Palatino Linotype"/>
          <w:sz w:val="20"/>
          <w:szCs w:val="20"/>
        </w:rPr>
      </w:pPr>
    </w:p>
    <w:p w14:paraId="1F3CB92C" w14:textId="77777777" w:rsidR="0026489B" w:rsidRDefault="0026489B">
      <w:pPr>
        <w:spacing w:before="240" w:after="240"/>
        <w:jc w:val="both"/>
        <w:rPr>
          <w:rFonts w:ascii="Palatino Linotype" w:eastAsia="Palatino Linotype" w:hAnsi="Palatino Linotype" w:cs="Palatino Linotype"/>
          <w:sz w:val="20"/>
          <w:szCs w:val="20"/>
        </w:rPr>
      </w:pPr>
    </w:p>
    <w:p w14:paraId="7798900B" w14:textId="77777777" w:rsidR="0026489B" w:rsidRDefault="0026489B">
      <w:pPr>
        <w:spacing w:before="240" w:after="240"/>
        <w:jc w:val="both"/>
        <w:rPr>
          <w:rFonts w:ascii="Palatino Linotype" w:eastAsia="Palatino Linotype" w:hAnsi="Palatino Linotype" w:cs="Palatino Linotype"/>
          <w:sz w:val="20"/>
          <w:szCs w:val="20"/>
        </w:rPr>
      </w:pPr>
    </w:p>
    <w:p w14:paraId="32DAE5A4" w14:textId="77777777" w:rsidR="0026489B" w:rsidRDefault="0026489B">
      <w:pPr>
        <w:spacing w:before="240" w:after="240"/>
        <w:jc w:val="both"/>
        <w:rPr>
          <w:rFonts w:ascii="Palatino Linotype" w:eastAsia="Palatino Linotype" w:hAnsi="Palatino Linotype" w:cs="Palatino Linotype"/>
          <w:sz w:val="20"/>
          <w:szCs w:val="20"/>
        </w:rPr>
      </w:pPr>
    </w:p>
    <w:p w14:paraId="12A890EF" w14:textId="77777777" w:rsidR="0026489B" w:rsidRDefault="0026489B">
      <w:pPr>
        <w:spacing w:before="240" w:after="240"/>
        <w:jc w:val="both"/>
        <w:rPr>
          <w:rFonts w:ascii="Palatino Linotype" w:eastAsia="Palatino Linotype" w:hAnsi="Palatino Linotype" w:cs="Palatino Linotype"/>
          <w:sz w:val="20"/>
          <w:szCs w:val="20"/>
        </w:rPr>
      </w:pPr>
    </w:p>
    <w:p w14:paraId="67CCD7D2" w14:textId="77777777" w:rsidR="0026489B" w:rsidRDefault="0026489B">
      <w:pPr>
        <w:spacing w:before="240" w:after="240"/>
        <w:jc w:val="both"/>
        <w:rPr>
          <w:rFonts w:ascii="Palatino Linotype" w:eastAsia="Palatino Linotype" w:hAnsi="Palatino Linotype" w:cs="Palatino Linotype"/>
          <w:sz w:val="20"/>
          <w:szCs w:val="20"/>
        </w:rPr>
      </w:pPr>
    </w:p>
    <w:p w14:paraId="38807991" w14:textId="77777777" w:rsidR="0026489B" w:rsidRDefault="0026489B">
      <w:pPr>
        <w:spacing w:before="240" w:after="240"/>
        <w:jc w:val="both"/>
        <w:rPr>
          <w:rFonts w:ascii="Palatino Linotype" w:eastAsia="Palatino Linotype" w:hAnsi="Palatino Linotype" w:cs="Palatino Linotype"/>
          <w:sz w:val="20"/>
          <w:szCs w:val="20"/>
        </w:rPr>
      </w:pPr>
    </w:p>
    <w:p w14:paraId="33C48731" w14:textId="77777777" w:rsidR="0026489B" w:rsidRDefault="0026489B">
      <w:pPr>
        <w:spacing w:before="240" w:after="240"/>
        <w:jc w:val="both"/>
        <w:rPr>
          <w:rFonts w:ascii="Palatino Linotype" w:eastAsia="Palatino Linotype" w:hAnsi="Palatino Linotype" w:cs="Palatino Linotype"/>
          <w:sz w:val="20"/>
          <w:szCs w:val="20"/>
        </w:rPr>
      </w:pPr>
    </w:p>
    <w:sectPr w:rsidR="0026489B">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CFFC7" w14:textId="77777777" w:rsidR="001E46B3" w:rsidRDefault="001E46B3">
      <w:r>
        <w:separator/>
      </w:r>
    </w:p>
  </w:endnote>
  <w:endnote w:type="continuationSeparator" w:id="0">
    <w:p w14:paraId="7A19FC51" w14:textId="77777777" w:rsidR="001E46B3" w:rsidRDefault="001E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55E9" w14:textId="77777777" w:rsidR="0026489B" w:rsidRDefault="00AF68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470E">
      <w:rPr>
        <w:rFonts w:ascii="Palatino Linotype" w:eastAsia="Palatino Linotype" w:hAnsi="Palatino Linotype" w:cs="Palatino Linotype"/>
        <w:b/>
        <w:noProof/>
        <w:color w:val="000000"/>
        <w:sz w:val="20"/>
        <w:szCs w:val="20"/>
      </w:rPr>
      <w:t>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470E">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285F97D9" w14:textId="77777777" w:rsidR="0026489B" w:rsidRDefault="0026489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F53E8" w14:textId="77777777" w:rsidR="0026489B" w:rsidRDefault="00AF689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470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470E">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A72EB2F" w14:textId="77777777" w:rsidR="0026489B" w:rsidRDefault="0026489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BF6C3" w14:textId="77777777" w:rsidR="001E46B3" w:rsidRDefault="001E46B3">
      <w:r>
        <w:separator/>
      </w:r>
    </w:p>
  </w:footnote>
  <w:footnote w:type="continuationSeparator" w:id="0">
    <w:p w14:paraId="4F18A28A" w14:textId="77777777" w:rsidR="001E46B3" w:rsidRDefault="001E46B3">
      <w:r>
        <w:continuationSeparator/>
      </w:r>
    </w:p>
  </w:footnote>
  <w:footnote w:id="1">
    <w:p w14:paraId="54DECF0A" w14:textId="77777777" w:rsidR="0026489B" w:rsidRDefault="00AF689E">
      <w:pPr>
        <w:pBdr>
          <w:top w:val="nil"/>
          <w:left w:val="nil"/>
          <w:bottom w:val="nil"/>
          <w:right w:val="nil"/>
          <w:between w:val="nil"/>
        </w:pBdr>
        <w:rPr>
          <w:rFonts w:ascii="Cambria" w:eastAsia="Cambria" w:hAnsi="Cambria" w:cs="Cambria"/>
          <w:color w:val="000000"/>
          <w:sz w:val="18"/>
          <w:szCs w:val="18"/>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18"/>
          <w:szCs w:val="18"/>
        </w:rPr>
        <w:t>http://smovilidad.edomex.gob.mx/sites/smovilidad.edomex.gob.mx/files/files/pdf/matriz_tramites.pdf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D19FF" w14:textId="77777777" w:rsidR="0026489B" w:rsidRDefault="00AF689E">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AADDE1A" wp14:editId="5B2E65A8">
          <wp:simplePos x="0" y="0"/>
          <wp:positionH relativeFrom="column">
            <wp:posOffset>-1080127</wp:posOffset>
          </wp:positionH>
          <wp:positionV relativeFrom="paragraph">
            <wp:posOffset>-396394</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26489B" w14:paraId="31CD7B5B" w14:textId="77777777">
      <w:tc>
        <w:tcPr>
          <w:tcW w:w="2489" w:type="dxa"/>
          <w:shd w:val="clear" w:color="auto" w:fill="auto"/>
        </w:tcPr>
        <w:p w14:paraId="36AB2B2C" w14:textId="77777777" w:rsidR="0026489B" w:rsidRDefault="00AF689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FA40129" w14:textId="77777777" w:rsidR="0026489B" w:rsidRDefault="00AF689E">
          <w:pPr>
            <w:ind w:right="175"/>
            <w:jc w:val="both"/>
            <w:rPr>
              <w:rFonts w:ascii="Palatino Linotype" w:eastAsia="Palatino Linotype" w:hAnsi="Palatino Linotype" w:cs="Palatino Linotype"/>
              <w:b/>
            </w:rPr>
          </w:pPr>
          <w:r>
            <w:rPr>
              <w:rFonts w:ascii="Palatino Linotype" w:eastAsia="Palatino Linotype" w:hAnsi="Palatino Linotype" w:cs="Palatino Linotype"/>
              <w:b/>
            </w:rPr>
            <w:t>03889/INFOEM/IP/RR/2022</w:t>
          </w:r>
        </w:p>
      </w:tc>
    </w:tr>
    <w:tr w:rsidR="0026489B" w14:paraId="1A9B1BD8" w14:textId="77777777">
      <w:trPr>
        <w:trHeight w:val="228"/>
      </w:trPr>
      <w:tc>
        <w:tcPr>
          <w:tcW w:w="2489" w:type="dxa"/>
          <w:shd w:val="clear" w:color="auto" w:fill="auto"/>
          <w:vAlign w:val="center"/>
        </w:tcPr>
        <w:p w14:paraId="33021665" w14:textId="77777777" w:rsidR="0026489B" w:rsidRDefault="00AF689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221ED57" w14:textId="77777777" w:rsidR="0026489B" w:rsidRDefault="00AF689E">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Secretaría de Movilidad</w:t>
          </w:r>
        </w:p>
      </w:tc>
    </w:tr>
    <w:tr w:rsidR="0026489B" w14:paraId="1CD75292" w14:textId="77777777">
      <w:trPr>
        <w:trHeight w:val="311"/>
      </w:trPr>
      <w:tc>
        <w:tcPr>
          <w:tcW w:w="2489" w:type="dxa"/>
          <w:shd w:val="clear" w:color="auto" w:fill="auto"/>
          <w:vAlign w:val="center"/>
        </w:tcPr>
        <w:p w14:paraId="4B87DD0C" w14:textId="77777777" w:rsidR="0026489B" w:rsidRDefault="00AF689E">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3637FC50" w14:textId="77777777" w:rsidR="0026489B" w:rsidRDefault="00AF689E">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B8765C9" w14:textId="77777777" w:rsidR="0026489B" w:rsidRDefault="00AF689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BF22" w14:textId="77777777" w:rsidR="0026489B" w:rsidRDefault="00AF689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DFED28C" wp14:editId="53E009A5">
          <wp:simplePos x="0" y="0"/>
          <wp:positionH relativeFrom="column">
            <wp:posOffset>-943605</wp:posOffset>
          </wp:positionH>
          <wp:positionV relativeFrom="paragraph">
            <wp:posOffset>-360675</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095" w:type="dxa"/>
      <w:tblInd w:w="3261" w:type="dxa"/>
      <w:tblLayout w:type="fixed"/>
      <w:tblLook w:val="0400" w:firstRow="0" w:lastRow="0" w:firstColumn="0" w:lastColumn="0" w:noHBand="0" w:noVBand="1"/>
    </w:tblPr>
    <w:tblGrid>
      <w:gridCol w:w="2551"/>
      <w:gridCol w:w="3544"/>
    </w:tblGrid>
    <w:tr w:rsidR="0026489B" w14:paraId="674A11B8" w14:textId="77777777">
      <w:tc>
        <w:tcPr>
          <w:tcW w:w="2551" w:type="dxa"/>
          <w:shd w:val="clear" w:color="auto" w:fill="auto"/>
          <w:vAlign w:val="center"/>
        </w:tcPr>
        <w:p w14:paraId="36475232" w14:textId="77777777" w:rsidR="0026489B" w:rsidRDefault="00AF689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69290FA5" w14:textId="77777777" w:rsidR="0026489B" w:rsidRDefault="00AF689E">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03889/INFOEM/IP/RR/2022</w:t>
          </w:r>
        </w:p>
      </w:tc>
    </w:tr>
    <w:tr w:rsidR="0026489B" w14:paraId="08495B1D" w14:textId="77777777">
      <w:trPr>
        <w:trHeight w:val="130"/>
      </w:trPr>
      <w:tc>
        <w:tcPr>
          <w:tcW w:w="2551" w:type="dxa"/>
          <w:shd w:val="clear" w:color="auto" w:fill="auto"/>
          <w:vAlign w:val="center"/>
        </w:tcPr>
        <w:p w14:paraId="1F96A573" w14:textId="77777777" w:rsidR="0026489B" w:rsidRDefault="00AF689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7155EBF0" w14:textId="00AEB662" w:rsidR="0026489B" w:rsidRDefault="002D470E" w:rsidP="002D470E">
          <w:pPr>
            <w:jc w:val="both"/>
            <w:rPr>
              <w:rFonts w:ascii="Palatino Linotype" w:eastAsia="Palatino Linotype" w:hAnsi="Palatino Linotype" w:cs="Palatino Linotype"/>
              <w:b/>
            </w:rPr>
          </w:pPr>
          <w:r>
            <w:rPr>
              <w:rFonts w:ascii="Palatino Linotype" w:eastAsia="Palatino Linotype" w:hAnsi="Palatino Linotype" w:cs="Palatino Linotype"/>
              <w:b/>
            </w:rPr>
            <w:t>XXXXXXXXX</w:t>
          </w:r>
          <w:r w:rsidR="00AF689E">
            <w:rPr>
              <w:rFonts w:ascii="Palatino Linotype" w:eastAsia="Palatino Linotype" w:hAnsi="Palatino Linotype" w:cs="Palatino Linotype"/>
              <w:b/>
            </w:rPr>
            <w:t xml:space="preserve"> </w:t>
          </w:r>
          <w:r>
            <w:rPr>
              <w:rFonts w:ascii="Palatino Linotype" w:eastAsia="Palatino Linotype" w:hAnsi="Palatino Linotype" w:cs="Palatino Linotype"/>
              <w:b/>
            </w:rPr>
            <w:t>XXX</w:t>
          </w:r>
          <w:r w:rsidR="00AF689E">
            <w:rPr>
              <w:rFonts w:ascii="Palatino Linotype" w:eastAsia="Palatino Linotype" w:hAnsi="Palatino Linotype" w:cs="Palatino Linotype"/>
              <w:b/>
            </w:rPr>
            <w:t xml:space="preserve"> </w:t>
          </w:r>
          <w:r>
            <w:rPr>
              <w:rFonts w:ascii="Palatino Linotype" w:eastAsia="Palatino Linotype" w:hAnsi="Palatino Linotype" w:cs="Palatino Linotype"/>
              <w:b/>
            </w:rPr>
            <w:t>XXXXX</w:t>
          </w:r>
          <w:r w:rsidR="00AF689E">
            <w:rPr>
              <w:rFonts w:ascii="Palatino Linotype" w:eastAsia="Palatino Linotype" w:hAnsi="Palatino Linotype" w:cs="Palatino Linotype"/>
              <w:b/>
            </w:rPr>
            <w:t xml:space="preserve"> </w:t>
          </w:r>
          <w:r>
            <w:rPr>
              <w:rFonts w:ascii="Palatino Linotype" w:eastAsia="Palatino Linotype" w:hAnsi="Palatino Linotype" w:cs="Palatino Linotype"/>
              <w:b/>
            </w:rPr>
            <w:t>XXXXX</w:t>
          </w:r>
          <w:r w:rsidR="00AF689E">
            <w:rPr>
              <w:rFonts w:ascii="Palatino Linotype" w:eastAsia="Palatino Linotype" w:hAnsi="Palatino Linotype" w:cs="Palatino Linotype"/>
              <w:b/>
            </w:rPr>
            <w:t xml:space="preserve"> </w:t>
          </w:r>
          <w:r>
            <w:rPr>
              <w:rFonts w:ascii="Palatino Linotype" w:eastAsia="Palatino Linotype" w:hAnsi="Palatino Linotype" w:cs="Palatino Linotype"/>
              <w:b/>
            </w:rPr>
            <w:t>XXX</w:t>
          </w:r>
          <w:r w:rsidR="00AF689E">
            <w:rPr>
              <w:rFonts w:ascii="Palatino Linotype" w:eastAsia="Palatino Linotype" w:hAnsi="Palatino Linotype" w:cs="Palatino Linotype"/>
              <w:b/>
            </w:rPr>
            <w:t xml:space="preserve"> </w:t>
          </w:r>
          <w:r>
            <w:rPr>
              <w:rFonts w:ascii="Palatino Linotype" w:eastAsia="Palatino Linotype" w:hAnsi="Palatino Linotype" w:cs="Palatino Linotype"/>
              <w:b/>
            </w:rPr>
            <w:t>XX</w:t>
          </w:r>
          <w:r w:rsidR="00AF689E">
            <w:rPr>
              <w:rFonts w:ascii="Palatino Linotype" w:eastAsia="Palatino Linotype" w:hAnsi="Palatino Linotype" w:cs="Palatino Linotype"/>
              <w:b/>
            </w:rPr>
            <w:t xml:space="preserve"> </w:t>
          </w:r>
          <w:r>
            <w:rPr>
              <w:rFonts w:ascii="Palatino Linotype" w:eastAsia="Palatino Linotype" w:hAnsi="Palatino Linotype" w:cs="Palatino Linotype"/>
              <w:b/>
            </w:rPr>
            <w:t>XXXXX</w:t>
          </w:r>
          <w:r w:rsidR="00AF689E">
            <w:rPr>
              <w:rFonts w:ascii="Palatino Linotype" w:eastAsia="Palatino Linotype" w:hAnsi="Palatino Linotype" w:cs="Palatino Linotype"/>
              <w:b/>
            </w:rPr>
            <w:t xml:space="preserve"> </w:t>
          </w:r>
          <w:r>
            <w:rPr>
              <w:rFonts w:ascii="Palatino Linotype" w:eastAsia="Palatino Linotype" w:hAnsi="Palatino Linotype" w:cs="Palatino Linotype"/>
              <w:b/>
            </w:rPr>
            <w:t>XXXXXXXXXXXXXXX</w:t>
          </w:r>
        </w:p>
      </w:tc>
    </w:tr>
    <w:tr w:rsidR="0026489B" w14:paraId="5BDA9C1C" w14:textId="77777777">
      <w:trPr>
        <w:trHeight w:val="228"/>
      </w:trPr>
      <w:tc>
        <w:tcPr>
          <w:tcW w:w="2551" w:type="dxa"/>
          <w:shd w:val="clear" w:color="auto" w:fill="auto"/>
          <w:vAlign w:val="center"/>
        </w:tcPr>
        <w:p w14:paraId="01392402" w14:textId="77777777" w:rsidR="0026489B" w:rsidRDefault="00AF689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0827043F" w14:textId="77777777" w:rsidR="0026489B" w:rsidRDefault="00AF689E">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Secretaría de Movilidad</w:t>
          </w:r>
        </w:p>
      </w:tc>
    </w:tr>
    <w:tr w:rsidR="0026489B" w14:paraId="1D4095FD" w14:textId="77777777">
      <w:tc>
        <w:tcPr>
          <w:tcW w:w="2551" w:type="dxa"/>
          <w:shd w:val="clear" w:color="auto" w:fill="auto"/>
          <w:vAlign w:val="center"/>
        </w:tcPr>
        <w:p w14:paraId="6CA3BE7D" w14:textId="77777777" w:rsidR="0026489B" w:rsidRDefault="00AF689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60CFC189" w14:textId="77777777" w:rsidR="0026489B" w:rsidRDefault="00AF689E">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1C6CFFE" w14:textId="77777777" w:rsidR="0026489B" w:rsidRDefault="0026489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5167"/>
    <w:multiLevelType w:val="multilevel"/>
    <w:tmpl w:val="20B62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546FF5"/>
    <w:multiLevelType w:val="multilevel"/>
    <w:tmpl w:val="9DC8801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9441F9"/>
    <w:multiLevelType w:val="multilevel"/>
    <w:tmpl w:val="6A2CBC6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38C1085"/>
    <w:multiLevelType w:val="multilevel"/>
    <w:tmpl w:val="BFD03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9B"/>
    <w:rsid w:val="000004D5"/>
    <w:rsid w:val="000133C2"/>
    <w:rsid w:val="0003091A"/>
    <w:rsid w:val="000C4AB9"/>
    <w:rsid w:val="001544E0"/>
    <w:rsid w:val="001E46B3"/>
    <w:rsid w:val="002405AF"/>
    <w:rsid w:val="0026489B"/>
    <w:rsid w:val="002D470E"/>
    <w:rsid w:val="003B4B92"/>
    <w:rsid w:val="003F7ACA"/>
    <w:rsid w:val="00481CE8"/>
    <w:rsid w:val="00544E09"/>
    <w:rsid w:val="00650B8F"/>
    <w:rsid w:val="00816267"/>
    <w:rsid w:val="009319C8"/>
    <w:rsid w:val="009A6BA3"/>
    <w:rsid w:val="009B0D91"/>
    <w:rsid w:val="00AF689E"/>
    <w:rsid w:val="00B67EFC"/>
    <w:rsid w:val="00B80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F1D5"/>
  <w15:docId w15:val="{B5DF1F1C-2F40-4F7C-A017-31663380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0"/>
    <w:rPr>
      <w:sz w:val="22"/>
      <w:szCs w:val="22"/>
    </w:rPr>
    <w:tblPr>
      <w:tblStyleRowBandSize w:val="1"/>
      <w:tblStyleColBandSize w:val="1"/>
      <w:tblCellMar>
        <w:left w:w="115" w:type="dxa"/>
        <w:right w:w="115" w:type="dxa"/>
      </w:tblCellMar>
    </w:tblPr>
  </w:style>
  <w:style w:type="table" w:customStyle="1" w:styleId="1">
    <w:name w:val="1"/>
    <w:basedOn w:val="TableNormal3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2">
    <w:basedOn w:val="TableNormal3"/>
    <w:rPr>
      <w:sz w:val="22"/>
      <w:szCs w:val="22"/>
    </w:rPr>
    <w:tblPr>
      <w:tblStyleRowBandSize w:val="1"/>
      <w:tblStyleColBandSize w:val="1"/>
      <w:tblCellMar>
        <w:left w:w="115" w:type="dxa"/>
        <w:right w:w="115" w:type="dxa"/>
      </w:tblCellMar>
    </w:tblPr>
  </w:style>
  <w:style w:type="table" w:customStyle="1" w:styleId="a3">
    <w:basedOn w:val="TableNormal3"/>
    <w:rPr>
      <w:sz w:val="22"/>
      <w:szCs w:val="22"/>
    </w:rPr>
    <w:tblPr>
      <w:tblStyleRowBandSize w:val="1"/>
      <w:tblStyleColBandSize w:val="1"/>
      <w:tblCellMar>
        <w:left w:w="115" w:type="dxa"/>
        <w:right w:w="115" w:type="dxa"/>
      </w:tblCellMar>
    </w:tblPr>
  </w:style>
  <w:style w:type="table" w:customStyle="1" w:styleId="a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1.png"/><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oHMnh4+0PL4G7dQvCHGomVXOg==">AMUW2mX5yECe5IW4iOb/sH2NyP1AG+JjjUfbcWSad7VerbADrNJjgzKHo3iOntFXG5uoLuqWA8UEimaYLvccaW+SvosWeb2IWKBh+gNB09fIwlMgag0dZkCjPRXK4Ma5wBNTFu3AKDgyeYTkQ5Rq51nbmTf1cjcm4ThufxBMV+jzK9O5i/6/O5Q=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6804</Words>
  <Characters>37423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2022-07-08T16:41:00Z</cp:lastPrinted>
  <dcterms:created xsi:type="dcterms:W3CDTF">2022-08-04T22:02:00Z</dcterms:created>
  <dcterms:modified xsi:type="dcterms:W3CDTF">2022-08-04T22:08:00Z</dcterms:modified>
</cp:coreProperties>
</file>