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042D1" w14:textId="77777777" w:rsidR="000A3F5F" w:rsidRDefault="000A3F5F" w:rsidP="00663A37">
      <w:pPr>
        <w:pBdr>
          <w:top w:val="nil"/>
          <w:left w:val="nil"/>
          <w:bottom w:val="nil"/>
          <w:right w:val="nil"/>
          <w:between w:val="nil"/>
        </w:pBdr>
        <w:contextualSpacing/>
        <w:rPr>
          <w:rFonts w:eastAsia="Palatino Linotype" w:cs="Palatino Linotype"/>
          <w:color w:val="000000"/>
          <w:szCs w:val="24"/>
          <w:lang w:val="es-ES_tradnl"/>
        </w:rPr>
      </w:pPr>
    </w:p>
    <w:p w14:paraId="336074EC" w14:textId="6C6858AA"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eastAsia="Palatino Linotype" w:cs="Palatino Linotype"/>
          <w:color w:val="000000"/>
          <w:szCs w:val="24"/>
          <w:lang w:val="es-ES_tradnl"/>
        </w:rPr>
        <w:t xml:space="preserve">México, a </w:t>
      </w:r>
      <w:r w:rsidR="00E365C6">
        <w:rPr>
          <w:rFonts w:eastAsia="Palatino Linotype" w:cs="Palatino Linotype"/>
          <w:color w:val="000000"/>
          <w:szCs w:val="24"/>
          <w:lang w:val="es-ES_tradnl"/>
        </w:rPr>
        <w:t>doce</w:t>
      </w:r>
      <w:r w:rsidR="00060BFB">
        <w:rPr>
          <w:rFonts w:eastAsia="Palatino Linotype" w:cs="Palatino Linotype"/>
          <w:color w:val="000000"/>
          <w:szCs w:val="24"/>
          <w:lang w:val="es-ES_tradnl"/>
        </w:rPr>
        <w:t xml:space="preserve"> de octubre</w:t>
      </w:r>
      <w:r w:rsidR="005762A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1B1F858C" w:rsidR="00060BFB" w:rsidRPr="00060BFB"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060BFB">
        <w:rPr>
          <w:rFonts w:eastAsia="Palatino Linotype" w:cs="Palatino Linotype"/>
          <w:b/>
          <w:color w:val="000000"/>
          <w:szCs w:val="24"/>
          <w:lang w:val="es-ES_tradnl"/>
        </w:rPr>
        <w:t>VISTO</w:t>
      </w:r>
      <w:r w:rsidRPr="00060BFB">
        <w:rPr>
          <w:rFonts w:eastAsia="Palatino Linotype" w:cs="Palatino Linotype"/>
          <w:color w:val="000000"/>
          <w:szCs w:val="24"/>
          <w:lang w:val="es-ES_tradnl"/>
        </w:rPr>
        <w:t xml:space="preserve"> el expediente electrónico formado con motivo del recurso de revisión número </w:t>
      </w:r>
      <w:r w:rsidRPr="00060BFB">
        <w:rPr>
          <w:rFonts w:eastAsia="Palatino Linotype" w:cs="Palatino Linotype"/>
          <w:b/>
          <w:color w:val="000000"/>
          <w:szCs w:val="24"/>
          <w:lang w:val="es-ES_tradnl"/>
        </w:rPr>
        <w:t>1</w:t>
      </w:r>
      <w:r w:rsidR="00E365C6">
        <w:rPr>
          <w:rFonts w:eastAsia="Palatino Linotype" w:cs="Palatino Linotype"/>
          <w:b/>
          <w:color w:val="000000"/>
          <w:szCs w:val="24"/>
          <w:lang w:val="es-ES_tradnl"/>
        </w:rPr>
        <w:t>26</w:t>
      </w:r>
      <w:r w:rsidRPr="00060BFB">
        <w:rPr>
          <w:rFonts w:eastAsia="Palatino Linotype" w:cs="Palatino Linotype"/>
          <w:b/>
          <w:color w:val="000000"/>
          <w:szCs w:val="24"/>
          <w:lang w:val="es-ES_tradnl"/>
        </w:rPr>
        <w:t>10/INFOEM/IP/RR/2022</w:t>
      </w:r>
      <w:r w:rsidRPr="00060BFB">
        <w:rPr>
          <w:rFonts w:eastAsia="Palatino Linotype" w:cs="Palatino Linotype"/>
          <w:color w:val="000000"/>
          <w:szCs w:val="24"/>
          <w:lang w:val="es-ES_tradnl"/>
        </w:rPr>
        <w:t xml:space="preserve">, interpuesto por </w:t>
      </w:r>
      <w:r w:rsidR="00B44B27">
        <w:rPr>
          <w:rFonts w:eastAsia="Palatino Linotype" w:cs="Palatino Linotype"/>
          <w:b/>
          <w:bCs/>
          <w:color w:val="000000"/>
          <w:szCs w:val="24"/>
          <w:lang w:val="es-ES_tradnl"/>
        </w:rPr>
        <w:t>XXXXXXXXXXXXXX</w:t>
      </w:r>
      <w:bookmarkStart w:id="0" w:name="_GoBack"/>
      <w:bookmarkEnd w:id="0"/>
      <w:r w:rsidRPr="00060BFB">
        <w:rPr>
          <w:rFonts w:eastAsia="Palatino Linotype" w:cs="Palatino Linotype"/>
          <w:color w:val="000000"/>
          <w:szCs w:val="24"/>
          <w:lang w:val="es-ES_tradnl"/>
        </w:rPr>
        <w:t xml:space="preserve">, en lo sucesivo el </w:t>
      </w:r>
      <w:r w:rsidRPr="00060BFB">
        <w:rPr>
          <w:rFonts w:eastAsia="Palatino Linotype" w:cs="Palatino Linotype"/>
          <w:b/>
          <w:color w:val="000000"/>
          <w:szCs w:val="24"/>
          <w:lang w:val="es-ES_tradnl"/>
        </w:rPr>
        <w:t>Recurrente</w:t>
      </w:r>
      <w:r w:rsidRPr="00060BFB">
        <w:rPr>
          <w:rFonts w:eastAsia="Palatino Linotype" w:cs="Palatino Linotype"/>
          <w:color w:val="000000"/>
          <w:szCs w:val="24"/>
          <w:lang w:val="es-ES_tradnl"/>
        </w:rPr>
        <w:t xml:space="preserve">, en contra de la respuesta del </w:t>
      </w:r>
      <w:r w:rsidRPr="00060BFB">
        <w:rPr>
          <w:rFonts w:eastAsia="Palatino Linotype" w:cs="Palatino Linotype"/>
          <w:b/>
          <w:color w:val="000000"/>
          <w:szCs w:val="24"/>
          <w:lang w:val="es-ES_tradnl"/>
        </w:rPr>
        <w:t>Ayuntamiento de T</w:t>
      </w:r>
      <w:r w:rsidR="00E365C6">
        <w:rPr>
          <w:rFonts w:eastAsia="Palatino Linotype" w:cs="Palatino Linotype"/>
          <w:b/>
          <w:color w:val="000000"/>
          <w:szCs w:val="24"/>
          <w:lang w:val="es-ES_tradnl"/>
        </w:rPr>
        <w:t>oluca</w:t>
      </w:r>
      <w:r w:rsidRPr="00060BFB">
        <w:rPr>
          <w:rFonts w:eastAsia="Palatino Linotype" w:cs="Palatino Linotype"/>
          <w:color w:val="000000"/>
          <w:szCs w:val="24"/>
          <w:lang w:val="es-ES_tradnl"/>
        </w:rPr>
        <w:t>, en lo subsecuente el</w:t>
      </w:r>
      <w:r w:rsidRPr="00060BFB">
        <w:rPr>
          <w:rFonts w:eastAsia="Palatino Linotype" w:cs="Palatino Linotype"/>
          <w:b/>
          <w:color w:val="000000"/>
          <w:szCs w:val="24"/>
          <w:lang w:val="es-ES_tradnl"/>
        </w:rPr>
        <w:t xml:space="preserve"> Sujeto Obligado, </w:t>
      </w:r>
      <w:r w:rsidRPr="00060BFB">
        <w:rPr>
          <w:rFonts w:eastAsia="Palatino Linotype" w:cs="Palatino Linotype"/>
          <w:color w:val="000000"/>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C82353"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A N T E C E D E N T E S</w:t>
      </w:r>
    </w:p>
    <w:p w14:paraId="6C92C78C"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38723149" w:rsidR="00663A37" w:rsidRPr="00C82353"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E365C6">
        <w:rPr>
          <w:rFonts w:eastAsia="Palatino Linotype" w:cs="Palatino Linotype"/>
          <w:color w:val="000000"/>
          <w:szCs w:val="24"/>
          <w:lang w:val="es-ES_tradnl"/>
        </w:rPr>
        <w:t>siete de junio</w:t>
      </w:r>
      <w:r w:rsidR="008B0517">
        <w:rPr>
          <w:rFonts w:eastAsia="Palatino Linotype" w:cs="Palatino Linotype"/>
          <w:color w:val="000000"/>
          <w:szCs w:val="24"/>
          <w:lang w:val="es-ES_tradnl"/>
        </w:rPr>
        <w:t xml:space="preserve"> </w:t>
      </w:r>
      <w:r w:rsidR="002B785F" w:rsidRPr="00C82353">
        <w:rPr>
          <w:rFonts w:eastAsia="Palatino Linotype" w:cs="Palatino Linotype"/>
          <w:color w:val="000000"/>
          <w:szCs w:val="24"/>
          <w:lang w:val="es-ES_tradnl"/>
        </w:rPr>
        <w:t>de dos mil veintidós</w:t>
      </w:r>
      <w:r w:rsidR="00663A37" w:rsidRPr="00C82353">
        <w:rPr>
          <w:rFonts w:eastAsia="Palatino Linotype" w:cs="Palatino Linotype"/>
          <w:color w:val="000000"/>
          <w:szCs w:val="24"/>
          <w:lang w:val="es-ES_tradnl"/>
        </w:rPr>
        <w:t xml:space="preserve">, </w:t>
      </w:r>
      <w:r w:rsidR="00A04BF9">
        <w:rPr>
          <w:rFonts w:eastAsia="Palatino Linotype" w:cs="Palatino Linotype"/>
          <w:color w:val="000000"/>
          <w:szCs w:val="24"/>
          <w:lang w:val="es-ES_tradnl"/>
        </w:rPr>
        <w:t>el</w:t>
      </w:r>
      <w:r w:rsidR="00663A37" w:rsidRPr="00C82353">
        <w:rPr>
          <w:rFonts w:eastAsia="Palatino Linotype" w:cs="Palatino Linotype"/>
          <w:color w:val="000000"/>
          <w:szCs w:val="24"/>
          <w:lang w:val="es-ES_tradnl"/>
        </w:rPr>
        <w:t xml:space="preserve"> Recurrente presentó solicitud de información pública </w:t>
      </w:r>
      <w:r w:rsidRPr="00C82353">
        <w:rPr>
          <w:rFonts w:eastAsia="Palatino Linotype" w:cs="Palatino Linotype"/>
          <w:color w:val="000000"/>
          <w:szCs w:val="24"/>
          <w:lang w:val="es-ES_tradnl"/>
        </w:rPr>
        <w:t>por medio del</w:t>
      </w:r>
      <w:r w:rsidR="00663A37" w:rsidRPr="00C82353">
        <w:rPr>
          <w:rFonts w:eastAsia="Palatino Linotype" w:cs="Palatino Linotype"/>
          <w:color w:val="000000"/>
          <w:szCs w:val="24"/>
          <w:lang w:val="es-ES_tradnl"/>
        </w:rPr>
        <w:t xml:space="preserve"> Sistema de Acceso a la I</w:t>
      </w:r>
      <w:r w:rsidR="00A04BF9">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w:t>
      </w:r>
      <w:r w:rsidR="00663A37" w:rsidRPr="00C82353">
        <w:rPr>
          <w:rFonts w:eastAsia="Palatino Linotype" w:cs="Palatino Linotype"/>
          <w:color w:val="000000"/>
          <w:szCs w:val="24"/>
          <w:lang w:val="es-ES_tradnl"/>
        </w:rPr>
        <w:t>con el número de expediente</w:t>
      </w:r>
      <w:r w:rsidR="00663A37" w:rsidRPr="00C82353">
        <w:rPr>
          <w:rFonts w:eastAsia="Palatino Linotype" w:cs="Palatino Linotype"/>
          <w:b/>
          <w:color w:val="000000"/>
          <w:szCs w:val="24"/>
          <w:lang w:val="es-ES_tradnl"/>
        </w:rPr>
        <w:t xml:space="preserve"> </w:t>
      </w:r>
      <w:r w:rsidR="00E365C6" w:rsidRPr="00E365C6">
        <w:rPr>
          <w:rFonts w:eastAsia="Palatino Linotype" w:cs="Palatino Linotype"/>
          <w:b/>
          <w:bCs/>
          <w:color w:val="000000"/>
          <w:szCs w:val="24"/>
        </w:rPr>
        <w:t>01446/TOLUCA/IP/2022</w:t>
      </w:r>
      <w:r w:rsidR="00663A37" w:rsidRPr="00C82353">
        <w:rPr>
          <w:rFonts w:eastAsia="Palatino Linotype" w:cs="Palatino Linotype"/>
          <w:color w:val="000000"/>
          <w:szCs w:val="24"/>
          <w:lang w:val="es-ES_tradnl"/>
        </w:rPr>
        <w:t>,</w:t>
      </w:r>
      <w:r w:rsidR="00663A37" w:rsidRPr="00C82353">
        <w:rPr>
          <w:rFonts w:eastAsia="Palatino Linotype" w:cs="Palatino Linotype"/>
          <w:b/>
          <w:color w:val="000000"/>
          <w:szCs w:val="24"/>
          <w:lang w:val="es-ES_tradnl"/>
        </w:rPr>
        <w:t xml:space="preserve"> </w:t>
      </w:r>
      <w:r w:rsidR="00663A37" w:rsidRPr="00C82353">
        <w:rPr>
          <w:rFonts w:eastAsia="Palatino Linotype" w:cs="Palatino Linotype"/>
          <w:color w:val="000000"/>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2C39D63" w14:textId="6D7E2042" w:rsidR="008B0517" w:rsidRDefault="00663A37" w:rsidP="00E365C6">
      <w:pPr>
        <w:pStyle w:val="Sinespaciado"/>
        <w:rPr>
          <w:rFonts w:eastAsia="Palatino Linotype"/>
          <w:lang w:val="es-ES_tradnl"/>
        </w:rPr>
      </w:pPr>
      <w:r w:rsidRPr="00C82353">
        <w:rPr>
          <w:rFonts w:eastAsia="Palatino Linotype"/>
          <w:lang w:val="es-ES_tradnl"/>
        </w:rPr>
        <w:t>“</w:t>
      </w:r>
      <w:r w:rsidR="00E365C6" w:rsidRPr="00E365C6">
        <w:rPr>
          <w:rFonts w:eastAsia="Palatino Linotype"/>
          <w:lang w:val="es-ES_tradnl"/>
        </w:rPr>
        <w:t xml:space="preserve">Solicito el </w:t>
      </w:r>
      <w:proofErr w:type="spellStart"/>
      <w:r w:rsidR="00E365C6" w:rsidRPr="00E365C6">
        <w:rPr>
          <w:rFonts w:eastAsia="Palatino Linotype"/>
          <w:lang w:val="es-ES_tradnl"/>
        </w:rPr>
        <w:t>numero</w:t>
      </w:r>
      <w:proofErr w:type="spellEnd"/>
      <w:r w:rsidR="00E365C6" w:rsidRPr="00E365C6">
        <w:rPr>
          <w:rFonts w:eastAsia="Palatino Linotype"/>
          <w:lang w:val="es-ES_tradnl"/>
        </w:rPr>
        <w:t xml:space="preserve"> de patrullas entregadas por esta Administración, solicito todo el procedimiento de adquisición de estas patrullas, facturas, pólizas de seguro. Solicito el contrato de compraventa o de arrendamiento de la adquisición de estas patrullas.</w:t>
      </w:r>
      <w:r w:rsidR="008B0517">
        <w:rPr>
          <w:rFonts w:eastAsia="Palatino Linotype"/>
          <w:lang w:val="es-ES_tradnl"/>
        </w:rPr>
        <w:t>” (Sic)</w:t>
      </w:r>
    </w:p>
    <w:p w14:paraId="41CBE38E" w14:textId="77777777" w:rsidR="008B0517" w:rsidRDefault="008B0517" w:rsidP="008B0517">
      <w:pPr>
        <w:rPr>
          <w:lang w:val="es-ES_tradnl"/>
        </w:rPr>
      </w:pPr>
    </w:p>
    <w:p w14:paraId="185CEF63" w14:textId="2579840E" w:rsidR="00663A37" w:rsidRPr="00C82353" w:rsidRDefault="00663A37" w:rsidP="008B0517">
      <w:pPr>
        <w:rPr>
          <w:szCs w:val="24"/>
          <w:lang w:val="es-ES_tradnl"/>
        </w:rPr>
      </w:pPr>
      <w:r w:rsidRPr="00C82353">
        <w:rPr>
          <w:szCs w:val="24"/>
          <w:lang w:val="es-ES_tradnl"/>
        </w:rPr>
        <w:t xml:space="preserve">Modalidad de entrega: </w:t>
      </w:r>
      <w:r w:rsidR="00C57E04" w:rsidRPr="00C82353">
        <w:rPr>
          <w:b/>
          <w:szCs w:val="24"/>
          <w:lang w:val="es-ES_tradnl"/>
        </w:rPr>
        <w:t>A través del SAIMEX</w:t>
      </w:r>
    </w:p>
    <w:p w14:paraId="4058552C" w14:textId="0FD993EA" w:rsidR="00663A37" w:rsidRDefault="00663A37" w:rsidP="008B0517">
      <w:pPr>
        <w:rPr>
          <w:szCs w:val="24"/>
          <w:lang w:val="es-ES_tradnl"/>
        </w:rPr>
      </w:pPr>
    </w:p>
    <w:p w14:paraId="290C3C0B" w14:textId="3B435E2E" w:rsidR="00E365C6" w:rsidRPr="000A11C8" w:rsidRDefault="00E365C6" w:rsidP="008B0517">
      <w:pPr>
        <w:rPr>
          <w:b/>
          <w:bCs/>
          <w:sz w:val="26"/>
          <w:szCs w:val="26"/>
          <w:lang w:val="es-ES_tradnl"/>
        </w:rPr>
      </w:pPr>
      <w:r w:rsidRPr="000A11C8">
        <w:rPr>
          <w:b/>
          <w:bCs/>
          <w:sz w:val="26"/>
          <w:szCs w:val="26"/>
          <w:lang w:val="es-ES_tradnl"/>
        </w:rPr>
        <w:lastRenderedPageBreak/>
        <w:t>SEGUNDO. De la prórroga para dar respuesta a la solicitud.</w:t>
      </w:r>
    </w:p>
    <w:p w14:paraId="2280CFA6" w14:textId="29B72625" w:rsidR="00E365C6" w:rsidRDefault="00E365C6" w:rsidP="008B0517">
      <w:pPr>
        <w:rPr>
          <w:szCs w:val="24"/>
          <w:lang w:val="es-ES_tradnl"/>
        </w:rPr>
      </w:pPr>
      <w:r>
        <w:rPr>
          <w:szCs w:val="24"/>
          <w:lang w:val="es-ES_tradnl"/>
        </w:rPr>
        <w:t>En fecha veintiocho de junio de dos mil veintidós, el Sujeto Obligado informó al Recurrente que el plazo para dar respuesta a la solicitud de información se había ampliado por siete días hábiles más, lo cual fue aprobado</w:t>
      </w:r>
      <w:r w:rsidR="000A11C8">
        <w:rPr>
          <w:szCs w:val="24"/>
          <w:lang w:val="es-ES_tradnl"/>
        </w:rPr>
        <w:t xml:space="preserve"> en la Tricentésima Quincuagésima Sesión Extraordinaria del Comité de Transparencia celebrada el quince de junio del año en curso.</w:t>
      </w:r>
    </w:p>
    <w:p w14:paraId="1CCAA712" w14:textId="77777777" w:rsidR="00E365C6" w:rsidRDefault="00E365C6" w:rsidP="008B0517">
      <w:pPr>
        <w:rPr>
          <w:szCs w:val="24"/>
          <w:lang w:val="es-ES_tradnl"/>
        </w:rPr>
      </w:pPr>
    </w:p>
    <w:p w14:paraId="17C85945" w14:textId="2D14D9DD" w:rsidR="00663A37" w:rsidRPr="00C82353" w:rsidRDefault="000A11C8"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663A37" w:rsidRPr="00C82353">
        <w:rPr>
          <w:rFonts w:eastAsia="Palatino Linotype" w:cs="Palatino Linotype"/>
          <w:b/>
          <w:color w:val="000000"/>
          <w:sz w:val="26"/>
          <w:szCs w:val="26"/>
          <w:lang w:val="es-ES_tradnl"/>
        </w:rPr>
        <w:t>. De la respuesta del Sujeto Obligado.</w:t>
      </w:r>
    </w:p>
    <w:p w14:paraId="7C156F33" w14:textId="08E12AD8"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De las constancias que obran en el expediente electrónico, se observa que el día </w:t>
      </w:r>
      <w:r w:rsidR="000A11C8">
        <w:rPr>
          <w:rFonts w:eastAsia="Palatino Linotype" w:cs="Palatino Linotype"/>
          <w:color w:val="000000"/>
          <w:szCs w:val="24"/>
          <w:lang w:val="es-ES_tradnl"/>
        </w:rPr>
        <w:t>siete de julio</w:t>
      </w:r>
      <w:r w:rsidR="00703191"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21058D" w14:textId="35FB9E09" w:rsidR="000A11C8" w:rsidRDefault="00663A37" w:rsidP="000A11C8">
      <w:pPr>
        <w:pStyle w:val="Sinespaciado"/>
        <w:rPr>
          <w:rFonts w:eastAsia="Palatino Linotype"/>
          <w:lang w:val="es-ES_tradnl"/>
        </w:rPr>
      </w:pPr>
      <w:r w:rsidRPr="00C82353">
        <w:rPr>
          <w:rFonts w:eastAsia="Palatino Linotype"/>
          <w:lang w:val="es-ES_tradnl"/>
        </w:rPr>
        <w:t>“</w:t>
      </w:r>
      <w:r w:rsidR="000A11C8" w:rsidRPr="000A11C8">
        <w:rPr>
          <w:rFonts w:eastAsia="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EA8867" w14:textId="77777777" w:rsidR="000A11C8" w:rsidRPr="000A11C8" w:rsidRDefault="000A11C8" w:rsidP="000A11C8">
      <w:pPr>
        <w:pStyle w:val="Sinespaciado"/>
        <w:rPr>
          <w:rFonts w:eastAsia="Palatino Linotype"/>
          <w:lang w:val="es-ES_tradnl"/>
        </w:rPr>
      </w:pPr>
    </w:p>
    <w:p w14:paraId="4DDEC278" w14:textId="107F95B0" w:rsidR="000A11C8" w:rsidRDefault="000A11C8" w:rsidP="000A11C8">
      <w:pPr>
        <w:pStyle w:val="Sinespaciado"/>
        <w:rPr>
          <w:rFonts w:eastAsia="Palatino Linotype"/>
          <w:lang w:val="es-ES_tradnl"/>
        </w:rPr>
      </w:pPr>
      <w:r w:rsidRPr="000A11C8">
        <w:rPr>
          <w:rFonts w:eastAsia="Palatino Linotype"/>
          <w:lang w:val="es-ES_tradnl"/>
        </w:rPr>
        <w:t>En atención a la solicitud con folio 01446/TOLUCA/IP/2022, me permito adjuntar al presente la respuesta correspondiente y anexo. Sin más por el momento, reciba un saludo.</w:t>
      </w:r>
    </w:p>
    <w:p w14:paraId="099E323E" w14:textId="77777777" w:rsidR="000A11C8" w:rsidRPr="000A11C8" w:rsidRDefault="000A11C8" w:rsidP="000A11C8">
      <w:pPr>
        <w:pStyle w:val="Sinespaciado"/>
        <w:rPr>
          <w:rFonts w:eastAsia="Palatino Linotype"/>
          <w:lang w:val="es-ES_tradnl"/>
        </w:rPr>
      </w:pPr>
    </w:p>
    <w:p w14:paraId="75D76409" w14:textId="77777777" w:rsidR="000A11C8" w:rsidRPr="000A11C8" w:rsidRDefault="000A11C8" w:rsidP="000A11C8">
      <w:pPr>
        <w:pStyle w:val="Sinespaciado"/>
        <w:rPr>
          <w:rFonts w:eastAsia="Palatino Linotype"/>
          <w:lang w:val="es-ES_tradnl"/>
        </w:rPr>
      </w:pPr>
      <w:r w:rsidRPr="000A11C8">
        <w:rPr>
          <w:rFonts w:eastAsia="Palatino Linotype"/>
          <w:lang w:val="es-ES_tradnl"/>
        </w:rPr>
        <w:t>ATENTAMENTE</w:t>
      </w:r>
    </w:p>
    <w:p w14:paraId="38DF58A5" w14:textId="6325A36E" w:rsidR="00663A37" w:rsidRPr="00C82353" w:rsidRDefault="000A11C8" w:rsidP="000A11C8">
      <w:pPr>
        <w:pStyle w:val="Sinespaciado"/>
        <w:rPr>
          <w:rFonts w:eastAsia="Palatino Linotype"/>
          <w:lang w:val="es-ES_tradnl"/>
        </w:rPr>
      </w:pPr>
      <w:r w:rsidRPr="000A11C8">
        <w:rPr>
          <w:rFonts w:eastAsia="Palatino Linotype"/>
          <w:lang w:val="es-ES_tradnl"/>
        </w:rPr>
        <w:t>Lic. Norma Sofía Pérez Martínez</w:t>
      </w:r>
      <w:r w:rsidR="00663A37" w:rsidRPr="00C82353">
        <w:rPr>
          <w:rFonts w:eastAsia="Palatino Linotype"/>
          <w:lang w:val="es-ES_tradnl"/>
        </w:rPr>
        <w:t>” (Sic)</w:t>
      </w:r>
    </w:p>
    <w:p w14:paraId="6B587EBE" w14:textId="77777777" w:rsidR="00663A37" w:rsidRPr="00C82353" w:rsidRDefault="00663A37" w:rsidP="0074208A">
      <w:pPr>
        <w:pBdr>
          <w:top w:val="nil"/>
          <w:left w:val="nil"/>
          <w:bottom w:val="nil"/>
          <w:right w:val="nil"/>
          <w:between w:val="nil"/>
        </w:pBdr>
        <w:ind w:left="567" w:right="567"/>
        <w:contextualSpacing/>
        <w:rPr>
          <w:rFonts w:eastAsia="Palatino Linotype" w:cs="Palatino Linotype"/>
          <w:i/>
          <w:color w:val="000000"/>
          <w:lang w:val="es-ES_tradnl"/>
        </w:rPr>
      </w:pPr>
    </w:p>
    <w:p w14:paraId="3D031FD5" w14:textId="234945CF" w:rsidR="00663A37" w:rsidRPr="00C82353" w:rsidRDefault="00137ED6" w:rsidP="00C57E04">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El Sujeto Obligado</w:t>
      </w:r>
      <w:r w:rsidR="00C57E04" w:rsidRPr="00C82353">
        <w:rPr>
          <w:rFonts w:eastAsia="Palatino Linotype" w:cs="Palatino Linotype"/>
          <w:color w:val="000000"/>
          <w:szCs w:val="24"/>
          <w:lang w:val="es-ES_tradnl"/>
        </w:rPr>
        <w:t xml:space="preserve"> anex</w:t>
      </w:r>
      <w:r w:rsidR="00A04BF9">
        <w:rPr>
          <w:rFonts w:eastAsia="Palatino Linotype" w:cs="Palatino Linotype"/>
          <w:color w:val="000000"/>
          <w:szCs w:val="24"/>
          <w:lang w:val="es-ES_tradnl"/>
        </w:rPr>
        <w:t>ó</w:t>
      </w:r>
      <w:r w:rsidR="00C57E04" w:rsidRPr="00C82353">
        <w:rPr>
          <w:rFonts w:eastAsia="Palatino Linotype" w:cs="Palatino Linotype"/>
          <w:color w:val="000000"/>
          <w:szCs w:val="24"/>
          <w:lang w:val="es-ES_tradnl"/>
        </w:rPr>
        <w:t xml:space="preserve"> </w:t>
      </w:r>
      <w:r>
        <w:rPr>
          <w:rFonts w:eastAsia="Palatino Linotype" w:cs="Palatino Linotype"/>
          <w:color w:val="000000"/>
          <w:szCs w:val="24"/>
          <w:lang w:val="es-ES_tradnl"/>
        </w:rPr>
        <w:t xml:space="preserve">a su respuesta </w:t>
      </w:r>
      <w:r w:rsidR="008B0517">
        <w:rPr>
          <w:rFonts w:eastAsia="Palatino Linotype" w:cs="Palatino Linotype"/>
          <w:color w:val="000000"/>
          <w:szCs w:val="24"/>
          <w:lang w:val="es-ES_tradnl"/>
        </w:rPr>
        <w:t xml:space="preserve">el documento denominado </w:t>
      </w:r>
      <w:r w:rsidR="00C57E04" w:rsidRPr="00C82353">
        <w:rPr>
          <w:rFonts w:eastAsia="Palatino Linotype" w:cs="Palatino Linotype"/>
          <w:b/>
          <w:color w:val="000000"/>
          <w:szCs w:val="24"/>
          <w:lang w:val="es-ES_tradnl"/>
        </w:rPr>
        <w:t>“</w:t>
      </w:r>
      <w:r w:rsidR="000A11C8">
        <w:rPr>
          <w:rFonts w:eastAsia="Palatino Linotype" w:cs="Palatino Linotype"/>
          <w:b/>
          <w:color w:val="000000"/>
          <w:szCs w:val="24"/>
          <w:lang w:val="es-ES_tradnl"/>
        </w:rPr>
        <w:t>Respuesta 01446_2022</w:t>
      </w:r>
      <w:r w:rsidR="008B0517">
        <w:rPr>
          <w:rFonts w:eastAsia="Palatino Linotype" w:cs="Palatino Linotype"/>
          <w:b/>
          <w:color w:val="000000"/>
          <w:szCs w:val="24"/>
          <w:lang w:val="es-ES_tradnl"/>
        </w:rPr>
        <w:t>.pdf</w:t>
      </w:r>
      <w:r w:rsidR="00C03FCB">
        <w:rPr>
          <w:rFonts w:eastAsia="Palatino Linotype" w:cs="Palatino Linotype"/>
          <w:b/>
          <w:color w:val="000000"/>
          <w:szCs w:val="24"/>
          <w:lang w:val="es-ES_tradnl"/>
        </w:rPr>
        <w:t>”</w:t>
      </w:r>
      <w:r w:rsidR="00C03FCB">
        <w:rPr>
          <w:rFonts w:eastAsia="Palatino Linotype" w:cs="Palatino Linotype"/>
          <w:color w:val="000000"/>
          <w:szCs w:val="24"/>
          <w:lang w:val="es-ES_tradnl"/>
        </w:rPr>
        <w:t xml:space="preserve">, </w:t>
      </w:r>
      <w:r w:rsidR="008B0517">
        <w:rPr>
          <w:rFonts w:eastAsia="Palatino Linotype" w:cs="Palatino Linotype"/>
          <w:color w:val="000000"/>
          <w:szCs w:val="24"/>
          <w:lang w:val="es-ES_tradnl"/>
        </w:rPr>
        <w:t>el cual</w:t>
      </w:r>
      <w:r w:rsidR="00C03FCB">
        <w:rPr>
          <w:rFonts w:eastAsia="Palatino Linotype" w:cs="Palatino Linotype"/>
          <w:color w:val="000000"/>
          <w:szCs w:val="24"/>
          <w:lang w:val="es-ES_tradnl"/>
        </w:rPr>
        <w:t xml:space="preserve"> </w:t>
      </w:r>
      <w:r w:rsidR="00663A37" w:rsidRPr="00C82353">
        <w:rPr>
          <w:rFonts w:eastAsia="Palatino Linotype" w:cs="Palatino Linotype"/>
          <w:color w:val="000000"/>
          <w:szCs w:val="24"/>
          <w:lang w:val="es-ES_tradnl"/>
        </w:rPr>
        <w:t>no se reproduce por ser del conocimiento de las partes; no obstante, se hará referencia de su contenido en el estudio correspondiente.</w:t>
      </w:r>
    </w:p>
    <w:p w14:paraId="65987869" w14:textId="77777777" w:rsidR="000A3F5F" w:rsidRDefault="000A3F5F" w:rsidP="00663A37">
      <w:pPr>
        <w:pBdr>
          <w:top w:val="nil"/>
          <w:left w:val="nil"/>
          <w:bottom w:val="nil"/>
          <w:right w:val="nil"/>
          <w:between w:val="nil"/>
        </w:pBdr>
        <w:contextualSpacing/>
        <w:rPr>
          <w:rFonts w:eastAsia="Palatino Linotype" w:cs="Palatino Linotype"/>
          <w:color w:val="000000"/>
          <w:szCs w:val="24"/>
          <w:lang w:val="es-ES_tradnl"/>
        </w:rPr>
      </w:pPr>
    </w:p>
    <w:p w14:paraId="02DC551A" w14:textId="77777777" w:rsidR="007B0472" w:rsidRPr="00C82353" w:rsidRDefault="007B0472"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38DDE30F" w:rsidR="00663A37" w:rsidRPr="00C82353" w:rsidRDefault="007B0472"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lastRenderedPageBreak/>
        <w:t>CUARTO</w:t>
      </w:r>
      <w:r w:rsidR="00663A37" w:rsidRPr="00C82353">
        <w:rPr>
          <w:rFonts w:eastAsia="Palatino Linotype" w:cs="Palatino Linotype"/>
          <w:b/>
          <w:color w:val="000000"/>
          <w:sz w:val="26"/>
          <w:szCs w:val="26"/>
          <w:lang w:val="es-ES_tradnl"/>
        </w:rPr>
        <w:t>. Del recurso de revisión.</w:t>
      </w:r>
    </w:p>
    <w:p w14:paraId="7F8982C5" w14:textId="249AD77B"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Inconforme con la respuesta </w:t>
      </w:r>
      <w:r w:rsidR="007363B4">
        <w:rPr>
          <w:rFonts w:eastAsia="Palatino Linotype" w:cs="Palatino Linotype"/>
          <w:color w:val="000000"/>
          <w:szCs w:val="24"/>
          <w:lang w:val="es-ES_tradnl"/>
        </w:rPr>
        <w:t>emitida por el Sujeto Obligado, el</w:t>
      </w:r>
      <w:r w:rsidRPr="00C82353">
        <w:rPr>
          <w:rFonts w:eastAsia="Palatino Linotype" w:cs="Palatino Linotype"/>
          <w:color w:val="000000"/>
          <w:szCs w:val="24"/>
          <w:lang w:val="es-ES_tradnl"/>
        </w:rPr>
        <w:t xml:space="preserve"> Recurrente interpuso el presente recurso de re</w:t>
      </w:r>
      <w:r w:rsidR="006377A9" w:rsidRPr="00C82353">
        <w:rPr>
          <w:rFonts w:eastAsia="Palatino Linotype" w:cs="Palatino Linotype"/>
          <w:color w:val="000000"/>
          <w:szCs w:val="24"/>
          <w:lang w:val="es-ES_tradnl"/>
        </w:rPr>
        <w:t xml:space="preserve">visión el día </w:t>
      </w:r>
      <w:r w:rsidR="000A11C8">
        <w:rPr>
          <w:rFonts w:eastAsia="Palatino Linotype" w:cs="Palatino Linotype"/>
          <w:color w:val="000000"/>
          <w:szCs w:val="24"/>
          <w:lang w:val="es-ES_tradnl"/>
        </w:rPr>
        <w:t>once de julio</w:t>
      </w:r>
      <w:r w:rsidR="00E96F04"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el cual se registró con el expediente número </w:t>
      </w:r>
      <w:r w:rsidR="00852791">
        <w:rPr>
          <w:rFonts w:eastAsia="Palatino Linotype" w:cs="Palatino Linotype"/>
          <w:b/>
          <w:color w:val="000000"/>
          <w:szCs w:val="24"/>
          <w:lang w:val="es-ES_tradnl"/>
        </w:rPr>
        <w:t>1</w:t>
      </w:r>
      <w:r w:rsidR="000A11C8">
        <w:rPr>
          <w:rFonts w:eastAsia="Palatino Linotype" w:cs="Palatino Linotype"/>
          <w:b/>
          <w:color w:val="000000"/>
          <w:szCs w:val="24"/>
          <w:lang w:val="es-ES_tradnl"/>
        </w:rPr>
        <w:t>2610</w:t>
      </w:r>
      <w:r w:rsidRPr="00C82353">
        <w:rPr>
          <w:rFonts w:eastAsia="Palatino Linotype" w:cs="Palatino Linotype"/>
          <w:b/>
          <w:color w:val="000000"/>
          <w:szCs w:val="24"/>
          <w:lang w:val="es-ES_tradnl"/>
        </w:rPr>
        <w:t>/INFOEM/IP/RR/202</w:t>
      </w:r>
      <w:r w:rsidR="00E96F04" w:rsidRPr="00C82353">
        <w:rPr>
          <w:rFonts w:eastAsia="Palatino Linotype" w:cs="Palatino Linotype"/>
          <w:b/>
          <w:color w:val="000000"/>
          <w:szCs w:val="24"/>
          <w:lang w:val="es-ES_tradnl"/>
        </w:rPr>
        <w:t>2</w:t>
      </w:r>
      <w:r w:rsidRPr="00C82353">
        <w:rPr>
          <w:rFonts w:eastAsia="Palatino Linotype" w:cs="Palatino Linotype"/>
          <w:color w:val="000000"/>
          <w:szCs w:val="24"/>
          <w:lang w:val="es-ES_tradnl"/>
        </w:rPr>
        <w:t xml:space="preserve">, en el cual </w:t>
      </w:r>
      <w:r w:rsidR="007363B4">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particular manifestó lo siguiente:</w:t>
      </w:r>
    </w:p>
    <w:p w14:paraId="596AC38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C82353" w:rsidRDefault="00663A37" w:rsidP="00E96F04">
      <w:pPr>
        <w:spacing w:before="240"/>
        <w:contextualSpacing/>
        <w:rPr>
          <w:rFonts w:eastAsia="Palatino Linotype" w:cs="Palatino Linotype"/>
          <w:i/>
          <w:lang w:val="es-ES_tradnl"/>
        </w:rPr>
      </w:pPr>
      <w:r w:rsidRPr="00C82353">
        <w:rPr>
          <w:rFonts w:eastAsia="Palatino Linotype" w:cs="Palatino Linotype"/>
          <w:b/>
          <w:szCs w:val="24"/>
          <w:lang w:val="es-ES_tradnl"/>
        </w:rPr>
        <w:t>Acto Impugnado:</w:t>
      </w:r>
      <w:r w:rsidR="00247C4A" w:rsidRPr="00C82353">
        <w:rPr>
          <w:rFonts w:eastAsia="Palatino Linotype" w:cs="Palatino Linotype"/>
          <w:i/>
          <w:lang w:val="es-ES_tradnl"/>
        </w:rPr>
        <w:t xml:space="preserve"> </w:t>
      </w:r>
    </w:p>
    <w:p w14:paraId="6FDB73D8" w14:textId="5CD4D147" w:rsidR="00663A37" w:rsidRPr="00C82353" w:rsidRDefault="00FF1039" w:rsidP="00EC1ED1">
      <w:pPr>
        <w:pStyle w:val="Sinespaciado"/>
        <w:rPr>
          <w:rFonts w:eastAsia="Palatino Linotype"/>
          <w:b/>
          <w:lang w:val="es-ES_tradnl"/>
        </w:rPr>
      </w:pPr>
      <w:r w:rsidRPr="00C82353">
        <w:rPr>
          <w:rFonts w:eastAsia="Palatino Linotype"/>
          <w:lang w:val="es-ES_tradnl"/>
        </w:rPr>
        <w:t>“</w:t>
      </w:r>
      <w:r w:rsidR="00EC1ED1" w:rsidRPr="00EC1ED1">
        <w:rPr>
          <w:rFonts w:eastAsia="Palatino Linotype"/>
          <w:lang w:val="es-ES_tradnl"/>
        </w:rPr>
        <w:t>La respuesta proporcionada.</w:t>
      </w:r>
      <w:r w:rsidR="00663A37" w:rsidRPr="00C82353">
        <w:rPr>
          <w:rFonts w:eastAsia="Palatino Linotype"/>
          <w:lang w:val="es-ES_tradnl"/>
        </w:rPr>
        <w:t>"(Sic)</w:t>
      </w:r>
    </w:p>
    <w:p w14:paraId="50F81DF4" w14:textId="77777777" w:rsidR="00663A37" w:rsidRPr="007363B4" w:rsidRDefault="00663A37" w:rsidP="00663A37">
      <w:pPr>
        <w:contextualSpacing/>
        <w:rPr>
          <w:rFonts w:eastAsia="Palatino Linotype" w:cs="Palatino Linotype"/>
          <w:szCs w:val="24"/>
          <w:lang w:val="es-ES_tradnl"/>
        </w:rPr>
      </w:pPr>
    </w:p>
    <w:p w14:paraId="6CDEFE8C" w14:textId="77777777" w:rsidR="00E96F04" w:rsidRPr="00C82353" w:rsidRDefault="00663A37" w:rsidP="00E96F04">
      <w:pPr>
        <w:spacing w:before="240"/>
        <w:contextualSpacing/>
        <w:rPr>
          <w:rFonts w:eastAsia="Palatino Linotype" w:cs="Palatino Linotype"/>
          <w:szCs w:val="24"/>
          <w:lang w:val="es-ES_tradnl"/>
        </w:rPr>
      </w:pPr>
      <w:r w:rsidRPr="00C82353">
        <w:rPr>
          <w:rFonts w:eastAsia="Palatino Linotype" w:cs="Palatino Linotype"/>
          <w:b/>
          <w:szCs w:val="24"/>
          <w:lang w:val="es-ES_tradnl"/>
        </w:rPr>
        <w:t>Razones o Motivos de Inconformidad</w:t>
      </w:r>
      <w:r w:rsidRPr="00C82353">
        <w:rPr>
          <w:rFonts w:eastAsia="Palatino Linotype" w:cs="Palatino Linotype"/>
          <w:szCs w:val="24"/>
          <w:lang w:val="es-ES_tradnl"/>
        </w:rPr>
        <w:t xml:space="preserve">: </w:t>
      </w:r>
    </w:p>
    <w:p w14:paraId="59A1F67A" w14:textId="601789D0" w:rsidR="00663A37" w:rsidRPr="00C82353" w:rsidRDefault="00663A37" w:rsidP="00EC1ED1">
      <w:pPr>
        <w:pStyle w:val="Sinespaciado"/>
        <w:rPr>
          <w:rFonts w:eastAsia="Palatino Linotype"/>
          <w:lang w:val="es-ES_tradnl"/>
        </w:rPr>
      </w:pPr>
      <w:r w:rsidRPr="00C82353">
        <w:rPr>
          <w:rFonts w:eastAsia="Palatino Linotype"/>
          <w:lang w:val="es-ES_tradnl"/>
        </w:rPr>
        <w:t>“</w:t>
      </w:r>
      <w:r w:rsidR="00EC1ED1" w:rsidRPr="00EC1ED1">
        <w:rPr>
          <w:rFonts w:eastAsia="Palatino Linotype"/>
          <w:lang w:val="es-ES_tradnl"/>
        </w:rPr>
        <w:t>No me entregaron el acta del Comité de Transparencia, con el número de acuerdo de tal reserva. Información incompleta</w:t>
      </w:r>
      <w:r w:rsidRPr="00C82353">
        <w:rPr>
          <w:rFonts w:eastAsia="Palatino Linotype"/>
          <w:lang w:val="es-ES_tradnl"/>
        </w:rPr>
        <w:t>” (Sic)</w:t>
      </w:r>
    </w:p>
    <w:p w14:paraId="1A3AF587" w14:textId="4D289E83" w:rsidR="000A7CE8" w:rsidRPr="00C82353"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015D3574" w:rsidR="00663A37" w:rsidRPr="00C82353" w:rsidRDefault="007B0472"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QUINT</w:t>
      </w:r>
      <w:r w:rsidR="00663A37" w:rsidRPr="00C82353">
        <w:rPr>
          <w:rFonts w:eastAsia="Palatino Linotype" w:cs="Palatino Linotype"/>
          <w:b/>
          <w:color w:val="000000"/>
          <w:sz w:val="26"/>
          <w:szCs w:val="26"/>
          <w:lang w:val="es-ES_tradnl"/>
        </w:rPr>
        <w:t>O. Del turno y admisión del recurso de revisión.</w:t>
      </w:r>
    </w:p>
    <w:p w14:paraId="348439E0" w14:textId="5215944A"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 xml:space="preserve">n en fecha </w:t>
      </w:r>
      <w:r w:rsidR="00EC1ED1">
        <w:rPr>
          <w:rFonts w:eastAsia="Palatino Linotype" w:cs="Palatino Linotype"/>
          <w:color w:val="000000"/>
          <w:szCs w:val="24"/>
          <w:lang w:val="es-ES_tradnl"/>
        </w:rPr>
        <w:t xml:space="preserve">quince de julio </w:t>
      </w:r>
      <w:r w:rsidR="00EF271A"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5BDB61E9" w:rsidR="00663A37" w:rsidRPr="00C82353" w:rsidRDefault="007B0472"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SEX</w:t>
      </w:r>
      <w:r w:rsidR="00663A37" w:rsidRPr="00C82353">
        <w:rPr>
          <w:rFonts w:eastAsia="Palatino Linotype" w:cs="Palatino Linotype"/>
          <w:b/>
          <w:color w:val="000000"/>
          <w:sz w:val="26"/>
          <w:szCs w:val="26"/>
          <w:lang w:val="es-ES_tradnl"/>
        </w:rPr>
        <w:t>TO. De la etapa de instrucción.</w:t>
      </w:r>
    </w:p>
    <w:p w14:paraId="4B9B94B1" w14:textId="43BFA7B4" w:rsidR="00663A37" w:rsidRPr="00C82353" w:rsidRDefault="00247C4A"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Así, una vez abierta la etapa de instrucción, en el sumario se observa que </w:t>
      </w:r>
      <w:r w:rsidR="00EF6457" w:rsidRPr="00C82353">
        <w:rPr>
          <w:rFonts w:eastAsia="Palatino Linotype" w:cs="Palatino Linotype"/>
          <w:color w:val="000000"/>
          <w:szCs w:val="24"/>
          <w:lang w:val="es-ES_tradnl"/>
        </w:rPr>
        <w:t xml:space="preserve">en fecha </w:t>
      </w:r>
      <w:r w:rsidR="00EC1ED1">
        <w:rPr>
          <w:rFonts w:eastAsia="Palatino Linotype" w:cs="Palatino Linotype"/>
          <w:color w:val="000000"/>
          <w:szCs w:val="24"/>
          <w:lang w:val="es-ES_tradnl"/>
        </w:rPr>
        <w:t>nueve y diez de agosto</w:t>
      </w:r>
      <w:r w:rsidR="00EF6457" w:rsidRPr="00C82353">
        <w:rPr>
          <w:rFonts w:eastAsia="Palatino Linotype" w:cs="Palatino Linotype"/>
          <w:color w:val="000000"/>
          <w:szCs w:val="24"/>
          <w:lang w:val="es-ES_tradnl"/>
        </w:rPr>
        <w:t xml:space="preserve"> de dos mil veintidós</w:t>
      </w:r>
      <w:r w:rsidR="00852791">
        <w:rPr>
          <w:rFonts w:eastAsia="Palatino Linotype" w:cs="Palatino Linotype"/>
          <w:color w:val="000000"/>
          <w:szCs w:val="24"/>
          <w:lang w:val="es-ES_tradnl"/>
        </w:rPr>
        <w:t>,</w:t>
      </w:r>
      <w:r w:rsidR="00EF6457" w:rsidRPr="00C82353">
        <w:rPr>
          <w:rFonts w:eastAsia="Palatino Linotype" w:cs="Palatino Linotype"/>
          <w:color w:val="000000"/>
          <w:szCs w:val="24"/>
          <w:lang w:val="es-ES_tradnl"/>
        </w:rPr>
        <w:t xml:space="preserve"> </w:t>
      </w:r>
      <w:r w:rsidRPr="00C82353">
        <w:rPr>
          <w:rFonts w:eastAsia="Palatino Linotype" w:cs="Palatino Linotype"/>
          <w:color w:val="000000"/>
          <w:szCs w:val="24"/>
          <w:lang w:val="es-ES_tradnl"/>
        </w:rPr>
        <w:t xml:space="preserve">el Sujeto Obligado </w:t>
      </w:r>
      <w:r w:rsidR="000D28AE" w:rsidRPr="00C82353">
        <w:rPr>
          <w:rFonts w:eastAsia="Palatino Linotype" w:cs="Palatino Linotype"/>
          <w:color w:val="000000"/>
          <w:szCs w:val="24"/>
          <w:lang w:val="es-ES_tradnl"/>
        </w:rPr>
        <w:t>rindió</w:t>
      </w:r>
      <w:r w:rsidRPr="00C82353">
        <w:rPr>
          <w:rFonts w:eastAsia="Palatino Linotype" w:cs="Palatino Linotype"/>
          <w:color w:val="000000"/>
          <w:szCs w:val="24"/>
          <w:lang w:val="es-ES_tradnl"/>
        </w:rPr>
        <w:t xml:space="preserve"> su Informe Justificado, </w:t>
      </w:r>
      <w:r w:rsidRPr="00C82353">
        <w:rPr>
          <w:rFonts w:eastAsia="Palatino Linotype" w:cs="Palatino Linotype"/>
          <w:color w:val="000000"/>
          <w:szCs w:val="24"/>
          <w:lang w:val="es-ES_tradnl"/>
        </w:rPr>
        <w:lastRenderedPageBreak/>
        <w:t xml:space="preserve">consistente </w:t>
      </w:r>
      <w:r w:rsidR="00E1261A">
        <w:rPr>
          <w:rFonts w:eastAsia="Palatino Linotype" w:cs="Palatino Linotype"/>
          <w:color w:val="000000"/>
          <w:szCs w:val="24"/>
          <w:lang w:val="es-ES_tradnl"/>
        </w:rPr>
        <w:t>en los</w:t>
      </w:r>
      <w:r w:rsidR="005A2C57" w:rsidRPr="00C82353">
        <w:rPr>
          <w:rFonts w:eastAsia="Palatino Linotype" w:cs="Palatino Linotype"/>
          <w:color w:val="000000"/>
          <w:szCs w:val="24"/>
          <w:lang w:val="es-ES_tradnl"/>
        </w:rPr>
        <w:t xml:space="preserve"> documento</w:t>
      </w:r>
      <w:r w:rsidR="00E1261A">
        <w:rPr>
          <w:rFonts w:eastAsia="Palatino Linotype" w:cs="Palatino Linotype"/>
          <w:color w:val="000000"/>
          <w:szCs w:val="24"/>
          <w:lang w:val="es-ES_tradnl"/>
        </w:rPr>
        <w:t>s</w:t>
      </w:r>
      <w:r w:rsidR="005A2C57" w:rsidRPr="00C82353">
        <w:rPr>
          <w:rFonts w:eastAsia="Palatino Linotype" w:cs="Palatino Linotype"/>
          <w:color w:val="000000"/>
          <w:szCs w:val="24"/>
          <w:lang w:val="es-ES_tradnl"/>
        </w:rPr>
        <w:t xml:space="preserve"> denominado</w:t>
      </w:r>
      <w:r w:rsidR="00E1261A">
        <w:rPr>
          <w:rFonts w:eastAsia="Palatino Linotype" w:cs="Palatino Linotype"/>
          <w:color w:val="000000"/>
          <w:szCs w:val="24"/>
          <w:lang w:val="es-ES_tradnl"/>
        </w:rPr>
        <w:t>s</w:t>
      </w:r>
      <w:r w:rsidR="000A3F5F">
        <w:rPr>
          <w:rFonts w:eastAsia="Palatino Linotype" w:cs="Palatino Linotype"/>
          <w:color w:val="000000"/>
          <w:szCs w:val="24"/>
          <w:lang w:val="es-ES_tradnl"/>
        </w:rPr>
        <w:t xml:space="preserve"> </w:t>
      </w:r>
      <w:r w:rsidR="00EF6457" w:rsidRPr="00C82353">
        <w:rPr>
          <w:rFonts w:eastAsia="Palatino Linotype" w:cs="Palatino Linotype"/>
          <w:b/>
          <w:color w:val="000000"/>
          <w:szCs w:val="24"/>
          <w:lang w:val="es-ES_tradnl"/>
        </w:rPr>
        <w:t>“</w:t>
      </w:r>
      <w:r w:rsidR="00852791">
        <w:rPr>
          <w:rFonts w:eastAsia="Palatino Linotype" w:cs="Palatino Linotype"/>
          <w:b/>
          <w:color w:val="000000"/>
          <w:szCs w:val="24"/>
          <w:lang w:val="es-ES_tradnl"/>
        </w:rPr>
        <w:t>R</w:t>
      </w:r>
      <w:r w:rsidR="00EC1ED1">
        <w:rPr>
          <w:rFonts w:eastAsia="Palatino Linotype" w:cs="Palatino Linotype"/>
          <w:b/>
          <w:color w:val="000000"/>
          <w:szCs w:val="24"/>
          <w:lang w:val="es-ES_tradnl"/>
        </w:rPr>
        <w:t>R 12610</w:t>
      </w:r>
      <w:r w:rsidR="00852791" w:rsidRPr="000A3F5F">
        <w:rPr>
          <w:rFonts w:eastAsia="Palatino Linotype" w:cs="Palatino Linotype"/>
          <w:b/>
          <w:color w:val="000000"/>
          <w:szCs w:val="24"/>
          <w:lang w:val="es-ES_tradnl"/>
        </w:rPr>
        <w:t>.pdf</w:t>
      </w:r>
      <w:r w:rsidR="00E1261A">
        <w:rPr>
          <w:rFonts w:eastAsia="Palatino Linotype" w:cs="Palatino Linotype"/>
          <w:b/>
          <w:color w:val="000000"/>
          <w:szCs w:val="24"/>
          <w:lang w:val="es-ES_tradnl"/>
        </w:rPr>
        <w:t>”</w:t>
      </w:r>
      <w:r w:rsidR="00E1261A" w:rsidRPr="00E1261A">
        <w:rPr>
          <w:rFonts w:eastAsia="Palatino Linotype" w:cs="Palatino Linotype"/>
          <w:color w:val="000000"/>
          <w:szCs w:val="24"/>
          <w:lang w:val="es-ES_tradnl"/>
        </w:rPr>
        <w:t xml:space="preserve"> y</w:t>
      </w:r>
      <w:r w:rsidR="00E1261A">
        <w:rPr>
          <w:rFonts w:eastAsia="Palatino Linotype" w:cs="Palatino Linotype"/>
          <w:b/>
          <w:color w:val="000000"/>
          <w:szCs w:val="24"/>
          <w:lang w:val="es-ES_tradnl"/>
        </w:rPr>
        <w:t xml:space="preserve"> “</w:t>
      </w:r>
      <w:r w:rsidR="00EC1ED1">
        <w:rPr>
          <w:rFonts w:eastAsia="Palatino Linotype" w:cs="Palatino Linotype"/>
          <w:b/>
          <w:color w:val="000000"/>
          <w:szCs w:val="24"/>
          <w:lang w:val="es-ES_tradnl"/>
        </w:rPr>
        <w:t>381 Sesión Extraordinaria 22.</w:t>
      </w:r>
      <w:r w:rsidR="00852791">
        <w:rPr>
          <w:rFonts w:eastAsia="Palatino Linotype" w:cs="Palatino Linotype"/>
          <w:b/>
          <w:color w:val="000000"/>
          <w:szCs w:val="24"/>
          <w:lang w:val="es-ES_tradnl"/>
        </w:rPr>
        <w:t>pdf</w:t>
      </w:r>
      <w:r w:rsidR="00EF6457" w:rsidRPr="00C82353">
        <w:rPr>
          <w:rFonts w:eastAsia="Palatino Linotype" w:cs="Palatino Linotype"/>
          <w:b/>
          <w:color w:val="000000"/>
          <w:szCs w:val="24"/>
          <w:lang w:val="es-ES_tradnl"/>
        </w:rPr>
        <w:t>”</w:t>
      </w:r>
      <w:r w:rsidRPr="00C82353">
        <w:rPr>
          <w:rFonts w:eastAsia="Palatino Linotype" w:cs="Palatino Linotype"/>
          <w:color w:val="000000"/>
          <w:szCs w:val="24"/>
          <w:lang w:val="es-ES_tradnl"/>
        </w:rPr>
        <w:t>. Dicho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documento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fue</w:t>
      </w:r>
      <w:r w:rsidR="00E1261A">
        <w:rPr>
          <w:rFonts w:eastAsia="Palatino Linotype" w:cs="Palatino Linotype"/>
          <w:color w:val="000000"/>
          <w:szCs w:val="24"/>
          <w:lang w:val="es-ES_tradnl"/>
        </w:rPr>
        <w:t>ron</w:t>
      </w:r>
      <w:r w:rsidRPr="00C82353">
        <w:rPr>
          <w:rFonts w:eastAsia="Palatino Linotype" w:cs="Palatino Linotype"/>
          <w:color w:val="000000"/>
          <w:szCs w:val="24"/>
          <w:lang w:val="es-ES_tradnl"/>
        </w:rPr>
        <w:t xml:space="preserve"> pue</w:t>
      </w:r>
      <w:r w:rsidR="00956001" w:rsidRPr="00C82353">
        <w:rPr>
          <w:rFonts w:eastAsia="Palatino Linotype" w:cs="Palatino Linotype"/>
          <w:color w:val="000000"/>
          <w:szCs w:val="24"/>
          <w:lang w:val="es-ES_tradnl"/>
        </w:rPr>
        <w:t>sto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a la vista de</w:t>
      </w:r>
      <w:r w:rsidR="00E1261A">
        <w:rPr>
          <w:rFonts w:eastAsia="Palatino Linotype" w:cs="Palatino Linotype"/>
          <w:color w:val="000000"/>
          <w:szCs w:val="24"/>
          <w:lang w:val="es-ES_tradnl"/>
        </w:rPr>
        <w:t>l</w:t>
      </w:r>
      <w:r w:rsidRPr="00C82353">
        <w:rPr>
          <w:rFonts w:eastAsia="Palatino Linotype" w:cs="Palatino Linotype"/>
          <w:color w:val="000000"/>
          <w:szCs w:val="24"/>
          <w:lang w:val="es-ES_tradnl"/>
        </w:rPr>
        <w:t xml:space="preserve"> Recurrente mediante acuerdo de fecha</w:t>
      </w:r>
      <w:r w:rsidR="00EF6457" w:rsidRPr="00C82353">
        <w:rPr>
          <w:rFonts w:eastAsia="Palatino Linotype" w:cs="Palatino Linotype"/>
          <w:color w:val="000000"/>
          <w:szCs w:val="24"/>
          <w:lang w:val="es-ES_tradnl"/>
        </w:rPr>
        <w:t xml:space="preserve"> </w:t>
      </w:r>
      <w:r w:rsidR="00EC1ED1">
        <w:rPr>
          <w:rFonts w:eastAsia="Palatino Linotype" w:cs="Palatino Linotype"/>
          <w:color w:val="000000"/>
          <w:szCs w:val="24"/>
          <w:lang w:val="es-ES_tradnl"/>
        </w:rPr>
        <w:t>once de agosto</w:t>
      </w:r>
      <w:r w:rsidR="00E1261A">
        <w:rPr>
          <w:rFonts w:eastAsia="Palatino Linotype" w:cs="Palatino Linotype"/>
          <w:color w:val="000000"/>
          <w:szCs w:val="24"/>
          <w:lang w:val="es-ES_tradnl"/>
        </w:rPr>
        <w:t xml:space="preserve"> </w:t>
      </w:r>
      <w:r w:rsidR="00EF6457" w:rsidRPr="00C82353">
        <w:rPr>
          <w:rFonts w:eastAsia="Palatino Linotype" w:cs="Palatino Linotype"/>
          <w:color w:val="000000"/>
          <w:szCs w:val="24"/>
          <w:lang w:val="es-ES_tradnl"/>
        </w:rPr>
        <w:t>del año en curso</w:t>
      </w:r>
      <w:r w:rsidR="000D28AE" w:rsidRPr="00C82353">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en términos de la fracción III del artículo 185 de la Ley de Transparencia y Acceso a la Información Pública del Estado de México y Municipios, otorgando a</w:t>
      </w:r>
      <w:r w:rsidR="00E1261A">
        <w:rPr>
          <w:rFonts w:eastAsia="Palatino Linotype" w:cs="Palatino Linotype"/>
          <w:color w:val="000000"/>
          <w:szCs w:val="24"/>
          <w:lang w:val="es-ES_tradnl"/>
        </w:rPr>
        <w:t>l</w:t>
      </w:r>
      <w:r w:rsidRPr="00C82353">
        <w:rPr>
          <w:rFonts w:eastAsia="Palatino Linotype" w:cs="Palatino Linotype"/>
          <w:color w:val="000000"/>
          <w:szCs w:val="24"/>
          <w:lang w:val="es-ES_tradnl"/>
        </w:rPr>
        <w:t xml:space="preserve"> particular un término de tres días para manifestar</w:t>
      </w:r>
      <w:r w:rsidR="000A3F5F">
        <w:rPr>
          <w:rFonts w:eastAsia="Palatino Linotype" w:cs="Palatino Linotype"/>
          <w:color w:val="000000"/>
          <w:szCs w:val="24"/>
          <w:lang w:val="es-ES_tradnl"/>
        </w:rPr>
        <w:t xml:space="preserve"> lo que a su derecho conviniera, por </w:t>
      </w:r>
      <w:r w:rsidR="000B34A9">
        <w:rPr>
          <w:rFonts w:eastAsia="Palatino Linotype" w:cs="Palatino Linotype"/>
          <w:color w:val="000000"/>
          <w:szCs w:val="24"/>
          <w:lang w:val="es-ES_tradnl"/>
        </w:rPr>
        <w:t>tanto,</w:t>
      </w:r>
      <w:r w:rsidR="000A3F5F">
        <w:rPr>
          <w:rFonts w:eastAsia="Palatino Linotype" w:cs="Palatino Linotype"/>
          <w:color w:val="000000"/>
          <w:szCs w:val="24"/>
          <w:lang w:val="es-ES_tradnl"/>
        </w:rPr>
        <w:t xml:space="preserve"> el contenid</w:t>
      </w:r>
      <w:r w:rsidR="000A3F5F" w:rsidRPr="00C82353">
        <w:rPr>
          <w:rFonts w:eastAsia="Palatino Linotype" w:cs="Palatino Linotype"/>
          <w:color w:val="000000"/>
          <w:szCs w:val="24"/>
          <w:lang w:val="es-ES_tradnl"/>
        </w:rPr>
        <w:t>o de los documentos referidos será motivo de análisis durante el estudio respectivo.</w:t>
      </w:r>
      <w:r w:rsidR="000A3F5F">
        <w:rPr>
          <w:rFonts w:eastAsia="Palatino Linotype" w:cs="Palatino Linotype"/>
          <w:color w:val="000000"/>
          <w:szCs w:val="24"/>
          <w:lang w:val="es-ES_tradnl"/>
        </w:rPr>
        <w:t xml:space="preserve"> </w:t>
      </w:r>
      <w:r w:rsidR="00956001" w:rsidRPr="00C82353">
        <w:rPr>
          <w:rFonts w:eastAsia="Palatino Linotype" w:cs="Palatino Linotype"/>
          <w:color w:val="000000"/>
          <w:szCs w:val="24"/>
          <w:lang w:val="es-ES_tradnl"/>
        </w:rPr>
        <w:t>P</w:t>
      </w:r>
      <w:r w:rsidR="00E1261A">
        <w:rPr>
          <w:rFonts w:eastAsia="Palatino Linotype" w:cs="Palatino Linotype"/>
          <w:color w:val="000000"/>
          <w:szCs w:val="24"/>
          <w:lang w:val="es-ES_tradnl"/>
        </w:rPr>
        <w:t>or otra parte, se observa que el</w:t>
      </w:r>
      <w:r w:rsidR="00956001" w:rsidRPr="00C82353">
        <w:rPr>
          <w:rFonts w:eastAsia="Palatino Linotype" w:cs="Palatino Linotype"/>
          <w:color w:val="000000"/>
          <w:szCs w:val="24"/>
          <w:lang w:val="es-ES_tradnl"/>
        </w:rPr>
        <w:t xml:space="preserve"> Recurrente </w:t>
      </w:r>
      <w:r w:rsidR="00E1261A">
        <w:rPr>
          <w:rFonts w:eastAsia="Palatino Linotype" w:cs="Palatino Linotype"/>
          <w:color w:val="000000"/>
          <w:szCs w:val="24"/>
          <w:lang w:val="es-ES_tradnl"/>
        </w:rPr>
        <w:t xml:space="preserve">no </w:t>
      </w:r>
      <w:r w:rsidR="00956001" w:rsidRPr="00C82353">
        <w:rPr>
          <w:rFonts w:eastAsia="Palatino Linotype" w:cs="Palatino Linotype"/>
          <w:color w:val="000000"/>
          <w:szCs w:val="24"/>
          <w:lang w:val="es-ES_tradnl"/>
        </w:rPr>
        <w:t>emitió</w:t>
      </w:r>
      <w:r w:rsidR="00E1261A">
        <w:rPr>
          <w:rFonts w:eastAsia="Palatino Linotype" w:cs="Palatino Linotype"/>
          <w:color w:val="000000"/>
          <w:szCs w:val="24"/>
          <w:lang w:val="es-ES_tradnl"/>
        </w:rPr>
        <w:t xml:space="preserve"> manifestaciones vertió alegatos o presentó pruebas que a su derecho conviniera, del mismo modo</w:t>
      </w:r>
      <w:r w:rsidR="00B035EF" w:rsidRPr="00C82353">
        <w:rPr>
          <w:rFonts w:eastAsia="Palatino Linotype" w:cs="Palatino Linotype"/>
          <w:color w:val="000000"/>
          <w:szCs w:val="24"/>
          <w:lang w:val="es-ES_tradnl"/>
        </w:rPr>
        <w:t>, no rea</w:t>
      </w:r>
      <w:r w:rsidR="0035102E" w:rsidRPr="00C82353">
        <w:rPr>
          <w:rFonts w:eastAsia="Palatino Linotype" w:cs="Palatino Linotype"/>
          <w:color w:val="000000"/>
          <w:szCs w:val="24"/>
          <w:lang w:val="es-ES_tradnl"/>
        </w:rPr>
        <w:t>lizó pronunciamiento alguno respecto del Informe Justificado del Sujeto Obligado.</w:t>
      </w:r>
      <w:r w:rsidR="00E1261A">
        <w:rPr>
          <w:rFonts w:eastAsia="Palatino Linotype" w:cs="Palatino Linotype"/>
          <w:color w:val="000000"/>
          <w:szCs w:val="24"/>
          <w:lang w:val="es-ES_tradnl"/>
        </w:rPr>
        <w:t xml:space="preserve"> </w:t>
      </w:r>
    </w:p>
    <w:p w14:paraId="63CC605B" w14:textId="77777777" w:rsidR="00247C4A" w:rsidRPr="00C82353" w:rsidRDefault="00247C4A"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33D8F658" w:rsidR="00663A37" w:rsidRPr="00C82353" w:rsidRDefault="007B0472"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SÉPTIM</w:t>
      </w:r>
      <w:r w:rsidR="00663A37" w:rsidRPr="00C82353">
        <w:rPr>
          <w:rFonts w:eastAsia="Palatino Linotype" w:cs="Palatino Linotype"/>
          <w:b/>
          <w:color w:val="000000"/>
          <w:sz w:val="26"/>
          <w:szCs w:val="26"/>
          <w:lang w:val="es-ES_tradnl"/>
        </w:rPr>
        <w:t>O. Del cierre de instrucción.</w:t>
      </w:r>
    </w:p>
    <w:p w14:paraId="6E2F1FC8" w14:textId="10742FCE"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EC1ED1">
        <w:rPr>
          <w:rFonts w:eastAsia="Palatino Linotype" w:cs="Palatino Linotype"/>
          <w:color w:val="000000"/>
          <w:szCs w:val="24"/>
          <w:lang w:val="es-ES_tradnl"/>
        </w:rPr>
        <w:t>diecisiete de agosto</w:t>
      </w:r>
      <w:r w:rsidR="00EF645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3A310CF0" w:rsidR="001A3270" w:rsidRPr="00213AD2" w:rsidRDefault="007B0472" w:rsidP="001A3270">
      <w:pPr>
        <w:rPr>
          <w:rFonts w:eastAsiaTheme="minorHAnsi" w:cstheme="minorBidi"/>
          <w:b/>
          <w:sz w:val="26"/>
          <w:szCs w:val="26"/>
          <w:lang w:eastAsia="en-US"/>
        </w:rPr>
      </w:pPr>
      <w:r>
        <w:rPr>
          <w:rFonts w:eastAsiaTheme="minorHAnsi" w:cstheme="minorBidi"/>
          <w:b/>
          <w:sz w:val="26"/>
          <w:szCs w:val="26"/>
          <w:lang w:eastAsia="en-US"/>
        </w:rPr>
        <w:t>OCTAV</w:t>
      </w:r>
      <w:r w:rsidR="001A3270">
        <w:rPr>
          <w:rFonts w:eastAsiaTheme="minorHAnsi" w:cstheme="minorBidi"/>
          <w:b/>
          <w:sz w:val="26"/>
          <w:szCs w:val="26"/>
          <w:lang w:eastAsia="en-US"/>
        </w:rPr>
        <w:t>O</w:t>
      </w:r>
      <w:r w:rsidR="001A3270" w:rsidRPr="00213AD2">
        <w:rPr>
          <w:rFonts w:eastAsiaTheme="minorHAnsi" w:cstheme="minorBidi"/>
          <w:b/>
          <w:sz w:val="26"/>
          <w:szCs w:val="26"/>
          <w:lang w:eastAsia="en-US"/>
        </w:rPr>
        <w:t>. De la ampliación del término para resolver.</w:t>
      </w:r>
    </w:p>
    <w:p w14:paraId="266ED7C0" w14:textId="4C046651" w:rsidR="001A3270" w:rsidRDefault="001A3270" w:rsidP="001A3270">
      <w:pPr>
        <w:rPr>
          <w:rFonts w:eastAsiaTheme="minorHAnsi" w:cstheme="minorBidi"/>
          <w:szCs w:val="24"/>
          <w:lang w:eastAsia="en-US"/>
        </w:rPr>
      </w:pPr>
      <w:r w:rsidRPr="00213AD2">
        <w:rPr>
          <w:rFonts w:eastAsiaTheme="minorHAnsi" w:cstheme="minorBidi"/>
          <w:szCs w:val="24"/>
          <w:lang w:eastAsia="en-US"/>
        </w:rPr>
        <w:t xml:space="preserve">En fecha </w:t>
      </w:r>
      <w:r w:rsidR="00EC1ED1">
        <w:rPr>
          <w:rFonts w:eastAsiaTheme="minorHAnsi" w:cstheme="minorBidi"/>
          <w:szCs w:val="24"/>
          <w:lang w:eastAsia="en-US"/>
        </w:rPr>
        <w:t>nueve de septiembre</w:t>
      </w:r>
      <w:r>
        <w:rPr>
          <w:rFonts w:eastAsiaTheme="minorHAnsi" w:cstheme="minorBidi"/>
          <w:szCs w:val="24"/>
          <w:lang w:eastAsia="en-US"/>
        </w:rPr>
        <w:t xml:space="preserve"> de dos mil vein</w:t>
      </w:r>
      <w:r w:rsidR="00EC1ED1">
        <w:rPr>
          <w:rFonts w:eastAsiaTheme="minorHAnsi" w:cstheme="minorBidi"/>
          <w:szCs w:val="24"/>
          <w:lang w:eastAsia="en-US"/>
        </w:rPr>
        <w:t>tidós</w:t>
      </w:r>
      <w:r w:rsidRPr="00213AD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w:t>
      </w:r>
      <w:r>
        <w:rPr>
          <w:rFonts w:eastAsiaTheme="minorHAnsi" w:cstheme="minorBidi"/>
          <w:szCs w:val="24"/>
          <w:lang w:eastAsia="en-US"/>
        </w:rPr>
        <w:t>n plazo de quince días hábiles.</w:t>
      </w:r>
    </w:p>
    <w:p w14:paraId="63357F87" w14:textId="166A3E67" w:rsidR="00616C63" w:rsidRDefault="00616C63" w:rsidP="001A3270">
      <w:pPr>
        <w:rPr>
          <w:rFonts w:eastAsiaTheme="minorHAnsi" w:cstheme="minorBidi"/>
          <w:szCs w:val="24"/>
          <w:lang w:eastAsia="en-US"/>
        </w:rPr>
      </w:pPr>
    </w:p>
    <w:p w14:paraId="6498D8E8"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lastRenderedPageBreak/>
        <w:t xml:space="preserve">Este organismo garante no pasa por alto justificar, </w:t>
      </w:r>
      <w:r w:rsidRPr="000B3DD1">
        <w:rPr>
          <w:rFonts w:eastAsiaTheme="minorHAnsi" w:cstheme="minorBidi"/>
          <w:bCs/>
          <w:szCs w:val="24"/>
          <w:lang w:eastAsia="en-US"/>
        </w:rPr>
        <w:t xml:space="preserve">que el plazo para emitir resolución en el presente asunto </w:t>
      </w:r>
      <w:r w:rsidRPr="000B3DD1">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C63896" w14:textId="3074967E" w:rsidR="000B3DD1" w:rsidRPr="000B3DD1" w:rsidRDefault="000B3DD1" w:rsidP="000B3DD1">
      <w:pPr>
        <w:rPr>
          <w:rFonts w:eastAsiaTheme="minorHAnsi" w:cstheme="minorBidi"/>
          <w:szCs w:val="24"/>
          <w:lang w:eastAsia="en-US"/>
        </w:rPr>
      </w:pPr>
    </w:p>
    <w:p w14:paraId="0D75B972"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0B3DD1">
        <w:rPr>
          <w:rFonts w:eastAsiaTheme="minorHAnsi" w:cstheme="minorBidi"/>
          <w:bCs/>
          <w:szCs w:val="24"/>
          <w:lang w:eastAsia="en-US"/>
        </w:rPr>
        <w:t>el plazo para emitir resolución</w:t>
      </w:r>
      <w:r w:rsidRPr="000B3DD1">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85813EA" w14:textId="580AC6AC" w:rsidR="000B3DD1" w:rsidRPr="000B3DD1" w:rsidRDefault="000B3DD1" w:rsidP="000B3DD1">
      <w:pPr>
        <w:rPr>
          <w:rFonts w:eastAsiaTheme="minorHAnsi" w:cstheme="minorBidi"/>
          <w:szCs w:val="24"/>
          <w:lang w:eastAsia="en-US"/>
        </w:rPr>
      </w:pPr>
    </w:p>
    <w:p w14:paraId="6600FF7A"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55D4BE" w14:textId="3C63B45A" w:rsidR="000B3DD1" w:rsidRPr="000B3DD1" w:rsidRDefault="000B3DD1" w:rsidP="000B3DD1">
      <w:pPr>
        <w:rPr>
          <w:rFonts w:eastAsiaTheme="minorHAnsi" w:cstheme="minorBidi"/>
          <w:szCs w:val="24"/>
          <w:lang w:eastAsia="en-US"/>
        </w:rPr>
      </w:pPr>
    </w:p>
    <w:p w14:paraId="2ACF6CAB"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88A852" w14:textId="7F21526A" w:rsidR="000B3DD1" w:rsidRPr="000B3DD1" w:rsidRDefault="000B3DD1" w:rsidP="000B3DD1">
      <w:pPr>
        <w:rPr>
          <w:rFonts w:eastAsiaTheme="minorHAnsi" w:cstheme="minorBidi"/>
          <w:szCs w:val="24"/>
          <w:lang w:eastAsia="en-US"/>
        </w:rPr>
      </w:pPr>
    </w:p>
    <w:p w14:paraId="7FAE4793" w14:textId="4032C43C" w:rsidR="000B3DD1" w:rsidRDefault="000B3DD1" w:rsidP="000B3DD1">
      <w:pPr>
        <w:rPr>
          <w:rFonts w:eastAsiaTheme="minorHAnsi" w:cstheme="minorBidi"/>
          <w:szCs w:val="24"/>
          <w:lang w:eastAsia="en-US"/>
        </w:rPr>
      </w:pPr>
      <w:r w:rsidRPr="000B3DD1">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769EFC33" w14:textId="77777777" w:rsidR="00054CC5" w:rsidRPr="00054CC5" w:rsidRDefault="00054CC5" w:rsidP="00054CC5">
      <w:pPr>
        <w:rPr>
          <w:rFonts w:eastAsiaTheme="minorHAnsi" w:cstheme="minorBidi"/>
          <w:szCs w:val="24"/>
          <w:lang w:eastAsia="en-US"/>
        </w:rPr>
      </w:pPr>
    </w:p>
    <w:p w14:paraId="0A81F494" w14:textId="2FEEF6BB" w:rsidR="000B3DD1" w:rsidRPr="00054CC5"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054CC5">
        <w:rPr>
          <w:rFonts w:ascii="Palatino Linotype" w:eastAsiaTheme="minorHAnsi" w:hAnsi="Palatino Linotype" w:cstheme="minorBidi"/>
          <w:lang w:eastAsia="en-US"/>
        </w:rPr>
        <w:t>Complejidad del asunto: La complejidad de la prueba, la pluralidad de sujetos procesales, el tiempo transcurrido, las características y contexto del recurso.</w:t>
      </w:r>
    </w:p>
    <w:p w14:paraId="36909940" w14:textId="3B446717" w:rsidR="000B3DD1" w:rsidRPr="00054CC5"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054CC5">
        <w:rPr>
          <w:rFonts w:ascii="Palatino Linotype" w:eastAsiaTheme="minorHAnsi" w:hAnsi="Palatino Linotype" w:cstheme="minorBidi"/>
          <w:lang w:eastAsia="en-US"/>
        </w:rPr>
        <w:t>Actividad Procesal del interesado: Acciones u omisiones del interesado.</w:t>
      </w:r>
    </w:p>
    <w:p w14:paraId="6453EAAA" w14:textId="5A3C2D39" w:rsidR="000B3DD1" w:rsidRPr="00054CC5"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054CC5">
        <w:rPr>
          <w:rFonts w:ascii="Palatino Linotype" w:eastAsiaTheme="minorHAnsi" w:hAnsi="Palatino Linotype" w:cstheme="minorBidi"/>
          <w:lang w:eastAsia="en-US"/>
        </w:rPr>
        <w:t>Conducta de la Autoridad: Las Acciones u omisiones realizadas en el procedimiento. Así como si la autoridad actuó con la debida diligencia.</w:t>
      </w:r>
    </w:p>
    <w:p w14:paraId="025E615D" w14:textId="7C504403" w:rsidR="000B3DD1" w:rsidRPr="00054CC5"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054CC5">
        <w:rPr>
          <w:rFonts w:ascii="Palatino Linotype" w:eastAsiaTheme="minorHAnsi" w:hAnsi="Palatino Linotype" w:cstheme="minorBidi"/>
          <w:lang w:eastAsia="en-US"/>
        </w:rPr>
        <w:t>La afectación generada en la situación jurídica de la persona involucrada en el proceso: Violación a sus derechos humanos.</w:t>
      </w:r>
    </w:p>
    <w:p w14:paraId="79C9EBF2" w14:textId="77777777" w:rsidR="000B3DD1" w:rsidRPr="00054CC5" w:rsidRDefault="000B3DD1" w:rsidP="00054CC5">
      <w:pPr>
        <w:rPr>
          <w:rFonts w:eastAsiaTheme="minorHAnsi" w:cstheme="minorBidi"/>
          <w:szCs w:val="24"/>
          <w:lang w:eastAsia="en-US"/>
        </w:rPr>
      </w:pPr>
    </w:p>
    <w:p w14:paraId="526DA7D7" w14:textId="2C9CE33C"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CCB680" w14:textId="6554BE9C" w:rsidR="000B3DD1" w:rsidRPr="000B3DD1" w:rsidRDefault="000B3DD1" w:rsidP="000B3DD1">
      <w:pPr>
        <w:rPr>
          <w:rFonts w:eastAsiaTheme="minorHAnsi" w:cstheme="minorBidi"/>
          <w:szCs w:val="24"/>
          <w:lang w:eastAsia="en-US"/>
        </w:rPr>
      </w:pPr>
    </w:p>
    <w:p w14:paraId="6F822CB5"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0B3DD1">
        <w:rPr>
          <w:rFonts w:eastAsiaTheme="minorHAnsi" w:cstheme="minorBidi"/>
          <w:szCs w:val="24"/>
          <w:lang w:eastAsia="en-US"/>
        </w:rPr>
        <w:lastRenderedPageBreak/>
        <w:t>EL LEGISLADOR AL FIJARLOS Y LAS CARACTERÍSTICAS DEL CASO.”, visible en la Gaceta del Seminario Judicial de la Federación con el registro digital 205635.</w:t>
      </w:r>
    </w:p>
    <w:p w14:paraId="6FF9FE48" w14:textId="64748665" w:rsidR="000B3DD1" w:rsidRPr="000B3DD1" w:rsidRDefault="000B3DD1" w:rsidP="000B3DD1">
      <w:pPr>
        <w:rPr>
          <w:rFonts w:eastAsiaTheme="minorHAnsi" w:cstheme="minorBidi"/>
          <w:szCs w:val="24"/>
          <w:lang w:eastAsia="en-US"/>
        </w:rPr>
      </w:pPr>
    </w:p>
    <w:p w14:paraId="471368DA" w14:textId="78B8C63C"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mayor.Al respecto, también son de considerar los criterios sostenidos por el Cuarto Tribunal Colegiado en Materia Administrativa del Primer Circuito, cuyos rubros y datos de identificación son los siguientes:</w:t>
      </w:r>
    </w:p>
    <w:p w14:paraId="4EAA48D6" w14:textId="39DD2F4E" w:rsidR="000B3DD1" w:rsidRPr="000B3DD1" w:rsidRDefault="000B3DD1" w:rsidP="000B3DD1">
      <w:pPr>
        <w:rPr>
          <w:rFonts w:eastAsiaTheme="minorHAnsi" w:cstheme="minorBidi"/>
          <w:szCs w:val="24"/>
          <w:lang w:eastAsia="en-US"/>
        </w:rPr>
      </w:pPr>
    </w:p>
    <w:p w14:paraId="75B92B2E" w14:textId="4A33A210"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5BBA8410" w14:textId="756CA7F6" w:rsidR="000B3DD1" w:rsidRPr="000B3DD1" w:rsidRDefault="000B3DD1" w:rsidP="000B3DD1">
      <w:pPr>
        <w:rPr>
          <w:rFonts w:eastAsiaTheme="minorHAnsi" w:cstheme="minorBidi"/>
          <w:szCs w:val="24"/>
          <w:lang w:eastAsia="en-US"/>
        </w:rPr>
      </w:pPr>
    </w:p>
    <w:p w14:paraId="1D693980"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8CF9540" w14:textId="77777777" w:rsidR="000B3DD1" w:rsidRPr="000B3DD1" w:rsidRDefault="000B3DD1" w:rsidP="000B3DD1">
      <w:pPr>
        <w:rPr>
          <w:rFonts w:eastAsiaTheme="minorHAnsi" w:cstheme="minorBidi"/>
          <w:szCs w:val="24"/>
          <w:lang w:eastAsia="en-US"/>
        </w:rPr>
      </w:pPr>
    </w:p>
    <w:p w14:paraId="532642EB" w14:textId="4B1FA139" w:rsidR="00616C63" w:rsidRDefault="000B3DD1" w:rsidP="000B3DD1">
      <w:pPr>
        <w:rPr>
          <w:rFonts w:eastAsiaTheme="minorHAnsi" w:cstheme="minorBidi"/>
          <w:bCs/>
          <w:szCs w:val="24"/>
          <w:lang w:eastAsia="en-US"/>
        </w:rPr>
      </w:pPr>
      <w:r w:rsidRPr="000B3DD1">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1778E046" w14:textId="77777777" w:rsidR="000B3DD1" w:rsidRPr="00616C63" w:rsidRDefault="000B3DD1" w:rsidP="000B3DD1">
      <w:pPr>
        <w:rPr>
          <w:rFonts w:eastAsiaTheme="minorHAnsi" w:cstheme="minorBidi"/>
          <w:szCs w:val="24"/>
          <w:lang w:eastAsia="en-US"/>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Derivado de la impugnación realizada, es menester señalar que el recurso de revisión inmerso en la Ley de Transparencia vigente en la entidad, tiene el fin y alcance que </w:t>
      </w:r>
      <w:r w:rsidRPr="00C82353">
        <w:rPr>
          <w:rFonts w:eastAsia="Palatino Linotype" w:cs="Palatino Linotype"/>
          <w:color w:val="000000"/>
          <w:szCs w:val="24"/>
          <w:lang w:val="es-ES_tradnl"/>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6C5E8026" w:rsidR="00E1091C" w:rsidRPr="00C82353" w:rsidRDefault="00054CC5" w:rsidP="00E1091C">
      <w:pPr>
        <w:rPr>
          <w:rFonts w:eastAsiaTheme="minorHAnsi" w:cstheme="minorBidi"/>
          <w:b/>
          <w:sz w:val="26"/>
          <w:szCs w:val="26"/>
          <w:lang w:val="es-ES_tradnl" w:eastAsia="en-US"/>
        </w:rPr>
      </w:pPr>
      <w:r>
        <w:rPr>
          <w:rFonts w:eastAsiaTheme="minorHAnsi" w:cstheme="minorBidi"/>
          <w:b/>
          <w:sz w:val="26"/>
          <w:szCs w:val="26"/>
          <w:lang w:val="es-ES_tradnl" w:eastAsia="en-US"/>
        </w:rPr>
        <w:t>TERCERO</w:t>
      </w:r>
      <w:r w:rsidR="00E1091C" w:rsidRPr="00C82353">
        <w:rPr>
          <w:rFonts w:eastAsiaTheme="minorHAnsi" w:cstheme="minorBidi"/>
          <w:b/>
          <w:sz w:val="26"/>
          <w:szCs w:val="26"/>
          <w:lang w:val="es-ES_tradnl" w:eastAsia="en-US"/>
        </w:rPr>
        <w:t xml:space="preserve">. De las causas de improcedencia. </w:t>
      </w:r>
    </w:p>
    <w:p w14:paraId="7A4309FB"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8E2CDB4"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2FFA6568"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lang w:val="es-ES_tradnl"/>
        </w:rPr>
        <w:footnoteReference w:id="1"/>
      </w:r>
      <w:r w:rsidRPr="00FD1870">
        <w:rPr>
          <w:rFonts w:eastAsia="Palatino Linotype" w:cs="Palatino Linotype"/>
          <w:color w:val="000000"/>
          <w:szCs w:val="24"/>
          <w:lang w:val="es-ES_tradnl"/>
        </w:rPr>
        <w:t xml:space="preserve">, la cual permite dilucidar alguna </w:t>
      </w:r>
      <w:r w:rsidRPr="00FD1870">
        <w:rPr>
          <w:rFonts w:eastAsia="Palatino Linotype" w:cs="Palatino Linotype"/>
          <w:color w:val="000000"/>
          <w:szCs w:val="24"/>
          <w:lang w:val="es-ES_tradnl"/>
        </w:rPr>
        <w:lastRenderedPageBreak/>
        <w:t>causal que impida el estudio y resolución, cuando una vez admitido el recurso de revisión se advierta una causa de improcedencia que permita sobreseerlo, sin estudiar el fondo del asunto.</w:t>
      </w:r>
    </w:p>
    <w:p w14:paraId="341119BA"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0F14D156"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AF7EC6"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639F440D" w14:textId="69977A73" w:rsidR="00FD1870" w:rsidRPr="00FD1870" w:rsidRDefault="00FD1870" w:rsidP="00FD1870">
      <w:pPr>
        <w:rPr>
          <w:b/>
          <w:bCs/>
          <w:sz w:val="26"/>
          <w:szCs w:val="26"/>
          <w:lang w:val="es-ES_tradnl"/>
        </w:rPr>
      </w:pPr>
      <w:r>
        <w:rPr>
          <w:b/>
          <w:bCs/>
          <w:sz w:val="26"/>
          <w:szCs w:val="26"/>
          <w:lang w:val="es-ES_tradnl"/>
        </w:rPr>
        <w:t>CUAR</w:t>
      </w:r>
      <w:r w:rsidRPr="00FD1870">
        <w:rPr>
          <w:b/>
          <w:bCs/>
          <w:sz w:val="26"/>
          <w:szCs w:val="26"/>
          <w:lang w:val="es-ES_tradnl"/>
        </w:rPr>
        <w:t>TO. Estudio y resolución del asunto.</w:t>
      </w:r>
    </w:p>
    <w:p w14:paraId="7002838E"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 xml:space="preserve">El análisis y resolución del presente recurso, se funda en el contenido íntegro de las actuaciones que obran en el expediente electrónico, para así estar en posibilidad este </w:t>
      </w:r>
      <w:r w:rsidRPr="00FD1870">
        <w:rPr>
          <w:rFonts w:eastAsia="Palatino Linotype" w:cs="Palatino Linotype"/>
          <w:color w:val="000000"/>
          <w:szCs w:val="24"/>
          <w:lang w:val="es-ES_tradnl"/>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77939D" w14:textId="77777777" w:rsidR="00C82353" w:rsidRPr="00C82353" w:rsidRDefault="00C82353" w:rsidP="00E1091C">
      <w:pPr>
        <w:rPr>
          <w:rFonts w:eastAsiaTheme="minorHAnsi" w:cstheme="minorBidi"/>
          <w:szCs w:val="24"/>
          <w:lang w:val="es-ES_tradnl" w:eastAsia="en-US"/>
        </w:rPr>
      </w:pPr>
    </w:p>
    <w:p w14:paraId="38EE667A" w14:textId="50D206AD" w:rsidR="00F23554" w:rsidRDefault="00EF7470" w:rsidP="001A3270">
      <w:pPr>
        <w:rPr>
          <w:rFonts w:eastAsiaTheme="minorHAnsi" w:cstheme="minorBidi"/>
          <w:szCs w:val="24"/>
          <w:lang w:val="es-ES_tradnl" w:eastAsia="en-US"/>
        </w:rPr>
      </w:pPr>
      <w:r w:rsidRPr="00C82353">
        <w:rPr>
          <w:rFonts w:eastAsiaTheme="minorHAnsi" w:cstheme="minorBidi"/>
          <w:szCs w:val="24"/>
          <w:lang w:val="es-ES_tradnl" w:eastAsia="en-US"/>
        </w:rPr>
        <w:t xml:space="preserve">En virtud de lo anterior, es conveniente recordar que </w:t>
      </w:r>
      <w:r w:rsidR="001A3270">
        <w:rPr>
          <w:rFonts w:eastAsiaTheme="minorHAnsi" w:cstheme="minorBidi"/>
          <w:szCs w:val="24"/>
          <w:lang w:val="es-ES_tradnl" w:eastAsia="en-US"/>
        </w:rPr>
        <w:t xml:space="preserve">el </w:t>
      </w:r>
      <w:r w:rsidR="00F23554">
        <w:rPr>
          <w:rFonts w:eastAsiaTheme="minorHAnsi" w:cstheme="minorBidi"/>
          <w:szCs w:val="24"/>
          <w:lang w:val="es-ES_tradnl" w:eastAsia="en-US"/>
        </w:rPr>
        <w:t>R</w:t>
      </w:r>
      <w:r w:rsidR="001A3270">
        <w:rPr>
          <w:rFonts w:eastAsiaTheme="minorHAnsi" w:cstheme="minorBidi"/>
          <w:szCs w:val="24"/>
          <w:lang w:val="es-ES_tradnl" w:eastAsia="en-US"/>
        </w:rPr>
        <w:t xml:space="preserve">ecurrente solicitó al Sujeto Obligado </w:t>
      </w:r>
      <w:r w:rsidR="00F23554">
        <w:rPr>
          <w:rFonts w:eastAsiaTheme="minorHAnsi" w:cstheme="minorBidi"/>
          <w:szCs w:val="24"/>
          <w:lang w:val="es-ES_tradnl" w:eastAsia="en-US"/>
        </w:rPr>
        <w:t>el número de patrullas entregadas en esta administración, el procedimiento de adquisición de las patrullas, facturas y pólizas de seguro, así como el contrato de compraventa o arrendamiento de dichos vehículos.</w:t>
      </w:r>
    </w:p>
    <w:p w14:paraId="7F1EB428" w14:textId="77777777" w:rsidR="000F2972" w:rsidRDefault="000F2972" w:rsidP="001A3270">
      <w:pPr>
        <w:rPr>
          <w:rFonts w:eastAsiaTheme="minorHAnsi" w:cstheme="minorBidi"/>
          <w:szCs w:val="24"/>
          <w:lang w:val="es-ES_tradnl" w:eastAsia="en-US"/>
        </w:rPr>
      </w:pPr>
    </w:p>
    <w:p w14:paraId="3DA73412" w14:textId="4694834D" w:rsidR="00B05A97" w:rsidRPr="00F23554" w:rsidRDefault="00663A37" w:rsidP="00EF2BAC">
      <w:pPr>
        <w:pBdr>
          <w:top w:val="nil"/>
          <w:left w:val="nil"/>
          <w:bottom w:val="nil"/>
          <w:right w:val="nil"/>
          <w:between w:val="nil"/>
        </w:pBdr>
        <w:contextualSpacing/>
        <w:rPr>
          <w:rFonts w:eastAsia="Palatino Linotype" w:cs="Palatino Linotype"/>
          <w:color w:val="000000"/>
          <w:lang w:val="es-ES_tradnl"/>
        </w:rPr>
      </w:pPr>
      <w:r w:rsidRPr="00C82353">
        <w:rPr>
          <w:rFonts w:eastAsia="Palatino Linotype" w:cs="Palatino Linotype"/>
          <w:color w:val="000000"/>
          <w:szCs w:val="24"/>
          <w:lang w:val="es-ES_tradnl"/>
        </w:rPr>
        <w:t xml:space="preserve">Al respecto, el Sujeto Obligado respondió al solicitante </w:t>
      </w:r>
      <w:r w:rsidR="00F23554">
        <w:rPr>
          <w:rFonts w:eastAsia="Palatino Linotype" w:cs="Palatino Linotype"/>
          <w:color w:val="000000"/>
          <w:szCs w:val="24"/>
          <w:lang w:val="es-ES_tradnl"/>
        </w:rPr>
        <w:t xml:space="preserve">mediante la entrega del documento denominado </w:t>
      </w:r>
      <w:r w:rsidR="00F23554">
        <w:rPr>
          <w:rFonts w:eastAsia="Palatino Linotype" w:cs="Palatino Linotype"/>
          <w:b/>
          <w:bCs/>
          <w:color w:val="000000"/>
          <w:szCs w:val="24"/>
          <w:lang w:val="es-ES_tradnl"/>
        </w:rPr>
        <w:t>“Respuesta 01446_2022.pdf”</w:t>
      </w:r>
      <w:r w:rsidR="00F23554">
        <w:rPr>
          <w:rFonts w:eastAsia="Palatino Linotype" w:cs="Palatino Linotype"/>
          <w:color w:val="000000"/>
          <w:szCs w:val="24"/>
          <w:lang w:val="es-ES_tradnl"/>
        </w:rPr>
        <w:t>, que consiste en el escrito de respuesta emitido por la Titular de la Unidad de Transparencia, mediante el cual se informó que la Dirección General de Seguridad y Protección</w:t>
      </w:r>
      <w:r w:rsidR="00261DE9">
        <w:rPr>
          <w:rFonts w:eastAsia="Palatino Linotype" w:cs="Palatino Linotype"/>
          <w:color w:val="000000"/>
          <w:szCs w:val="24"/>
          <w:lang w:val="es-ES_tradnl"/>
        </w:rPr>
        <w:t xml:space="preserve"> señaló que a la fecha de la solicitud se han entregado ciento treinta patrullas; asimismo, se informó que el contrato de adquisición de las patrullas se clasificó como información reservada conforme al acuerdo número AT/CT/01/2022 en la Tricentésima Octogésima Primera</w:t>
      </w:r>
      <w:r w:rsidR="00B0166A">
        <w:rPr>
          <w:rFonts w:eastAsia="Palatino Linotype" w:cs="Palatino Linotype"/>
          <w:color w:val="000000"/>
          <w:szCs w:val="24"/>
          <w:lang w:val="es-ES_tradnl"/>
        </w:rPr>
        <w:t xml:space="preserve"> Sesión Extraordinaria del Comité de Transparencia de fecha veintiocho de junio del año en curso.</w:t>
      </w:r>
    </w:p>
    <w:p w14:paraId="54387E90" w14:textId="682BCF39" w:rsidR="000F2972"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6419ECD9" w14:textId="3A7B8129" w:rsidR="00663A37" w:rsidRPr="00B674BC"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lastRenderedPageBreak/>
        <w:t xml:space="preserve">Ante la respuesta del Sujeto Obligado, </w:t>
      </w:r>
      <w:r w:rsidR="00B05A97">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Recurrente consideró que su derecho de acceso a la i</w:t>
      </w:r>
      <w:r w:rsidR="00B05A97">
        <w:rPr>
          <w:rFonts w:eastAsia="Palatino Linotype" w:cs="Palatino Linotype"/>
          <w:color w:val="000000"/>
          <w:szCs w:val="24"/>
          <w:lang w:val="es-ES_tradnl"/>
        </w:rPr>
        <w:t xml:space="preserve">nformación </w:t>
      </w:r>
      <w:r w:rsidR="00297F2A">
        <w:rPr>
          <w:rFonts w:eastAsia="Palatino Linotype" w:cs="Palatino Linotype"/>
          <w:color w:val="000000"/>
          <w:szCs w:val="24"/>
          <w:lang w:val="es-ES_tradnl"/>
        </w:rPr>
        <w:t>había sido conculcado</w:t>
      </w:r>
      <w:r w:rsidR="00B05A97">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por lo que interpuso el presente recurso de revisión</w:t>
      </w:r>
      <w:r w:rsidR="00297F2A">
        <w:rPr>
          <w:rFonts w:eastAsia="Palatino Linotype" w:cs="Palatino Linotype"/>
          <w:color w:val="000000"/>
          <w:szCs w:val="24"/>
          <w:lang w:val="es-ES_tradnl"/>
        </w:rPr>
        <w:t xml:space="preserve"> señalando como acto impugnado la respuesta </w:t>
      </w:r>
      <w:r w:rsidR="00B674BC">
        <w:rPr>
          <w:rFonts w:eastAsia="Palatino Linotype" w:cs="Palatino Linotype"/>
          <w:color w:val="000000"/>
          <w:szCs w:val="24"/>
          <w:lang w:val="es-ES_tradnl"/>
        </w:rPr>
        <w:t xml:space="preserve">proporcionada; dando como razones o motivos de inconformidad que </w:t>
      </w:r>
      <w:r w:rsidR="00B674BC">
        <w:rPr>
          <w:rFonts w:eastAsia="Palatino Linotype" w:cs="Palatino Linotype"/>
          <w:b/>
          <w:bCs/>
          <w:color w:val="000000"/>
          <w:szCs w:val="24"/>
          <w:lang w:val="es-ES_tradnl"/>
        </w:rPr>
        <w:t>no se le entregó el acta del Comité de Transparencia con el número de acuerdo de la reserva</w:t>
      </w:r>
      <w:r w:rsidR="00B674BC">
        <w:rPr>
          <w:rFonts w:eastAsia="Palatino Linotype" w:cs="Palatino Linotype"/>
          <w:color w:val="000000"/>
          <w:szCs w:val="24"/>
          <w:lang w:val="es-ES_tradnl"/>
        </w:rPr>
        <w:t>, por lo que la información está incompleta.</w:t>
      </w:r>
    </w:p>
    <w:p w14:paraId="7A4B79CE" w14:textId="77777777" w:rsidR="000E182A" w:rsidRPr="00454690" w:rsidRDefault="000E182A" w:rsidP="00150D6A">
      <w:pPr>
        <w:rPr>
          <w:lang w:val="es-ES_tradnl"/>
        </w:rPr>
      </w:pPr>
    </w:p>
    <w:p w14:paraId="4ADB3DE0" w14:textId="00617C16" w:rsidR="00EB0AFA" w:rsidRPr="00C82353" w:rsidRDefault="00137ED6" w:rsidP="00150D6A">
      <w:pPr>
        <w:rPr>
          <w:lang w:val="es-ES_tradnl"/>
        </w:rPr>
      </w:pPr>
      <w:r>
        <w:rPr>
          <w:lang w:val="es-ES_tradnl"/>
        </w:rPr>
        <w:t>Caber precisar que</w:t>
      </w:r>
      <w:r w:rsidR="004619A2" w:rsidRPr="00C82353">
        <w:rPr>
          <w:lang w:val="es-ES_tradnl"/>
        </w:rPr>
        <w:t xml:space="preserve"> durante la etapa de instrucción </w:t>
      </w:r>
      <w:r w:rsidR="00B05A97">
        <w:rPr>
          <w:lang w:val="es-ES_tradnl"/>
        </w:rPr>
        <w:t>el</w:t>
      </w:r>
      <w:r w:rsidR="00027AEF">
        <w:rPr>
          <w:lang w:val="es-ES_tradnl"/>
        </w:rPr>
        <w:t xml:space="preserve"> Recurrente</w:t>
      </w:r>
      <w:r w:rsidR="004619A2" w:rsidRPr="00C82353">
        <w:rPr>
          <w:lang w:val="es-ES_tradnl"/>
        </w:rPr>
        <w:t xml:space="preserve"> </w:t>
      </w:r>
      <w:r w:rsidR="00B05A97">
        <w:rPr>
          <w:lang w:val="es-ES_tradnl"/>
        </w:rPr>
        <w:t xml:space="preserve">no </w:t>
      </w:r>
      <w:r w:rsidR="004619A2" w:rsidRPr="00C82353">
        <w:rPr>
          <w:lang w:val="es-ES_tradnl"/>
        </w:rPr>
        <w:t>realizó</w:t>
      </w:r>
      <w:r w:rsidR="00027AEF">
        <w:rPr>
          <w:lang w:val="es-ES_tradnl"/>
        </w:rPr>
        <w:t xml:space="preserve"> </w:t>
      </w:r>
      <w:r w:rsidR="00B05A97">
        <w:rPr>
          <w:lang w:val="es-ES_tradnl"/>
        </w:rPr>
        <w:t>manifestaciones</w:t>
      </w:r>
      <w:r w:rsidR="00454690">
        <w:rPr>
          <w:lang w:val="es-ES_tradnl"/>
        </w:rPr>
        <w:t>, vertió alegatos ni presentó pruebas que a su derecho convinieran</w:t>
      </w:r>
      <w:r w:rsidR="00B05A97">
        <w:rPr>
          <w:lang w:val="es-ES_tradnl"/>
        </w:rPr>
        <w:t xml:space="preserve">. Por otra parte, </w:t>
      </w:r>
      <w:r w:rsidR="004619A2" w:rsidRPr="00C82353">
        <w:rPr>
          <w:lang w:val="es-ES_tradnl"/>
        </w:rPr>
        <w:t xml:space="preserve">el Sujeto Obligado </w:t>
      </w:r>
      <w:r w:rsidR="00B30C10" w:rsidRPr="00C82353">
        <w:rPr>
          <w:lang w:val="es-ES_tradnl"/>
        </w:rPr>
        <w:t>rindió su Informe Justificado mediante la presentación de</w:t>
      </w:r>
      <w:r w:rsidR="00B05A97">
        <w:rPr>
          <w:lang w:val="es-ES_tradnl"/>
        </w:rPr>
        <w:t xml:space="preserve"> </w:t>
      </w:r>
      <w:r w:rsidR="00B95251">
        <w:rPr>
          <w:lang w:val="es-ES_tradnl"/>
        </w:rPr>
        <w:t>l</w:t>
      </w:r>
      <w:r w:rsidR="00B05A97">
        <w:rPr>
          <w:lang w:val="es-ES_tradnl"/>
        </w:rPr>
        <w:t>os</w:t>
      </w:r>
      <w:r w:rsidR="00B95251">
        <w:rPr>
          <w:lang w:val="es-ES_tradnl"/>
        </w:rPr>
        <w:t xml:space="preserve"> siguiente</w:t>
      </w:r>
      <w:r w:rsidR="00B05A97">
        <w:rPr>
          <w:lang w:val="es-ES_tradnl"/>
        </w:rPr>
        <w:t>s</w:t>
      </w:r>
      <w:r w:rsidR="00B30C10" w:rsidRPr="00C82353">
        <w:rPr>
          <w:lang w:val="es-ES_tradnl"/>
        </w:rPr>
        <w:t xml:space="preserve"> documento</w:t>
      </w:r>
      <w:r w:rsidR="00B05A97">
        <w:rPr>
          <w:lang w:val="es-ES_tradnl"/>
        </w:rPr>
        <w:t>s</w:t>
      </w:r>
      <w:r w:rsidR="000E182A" w:rsidRPr="00C82353">
        <w:rPr>
          <w:lang w:val="es-ES_tradnl"/>
        </w:rPr>
        <w:t>:</w:t>
      </w:r>
    </w:p>
    <w:p w14:paraId="26148FD8" w14:textId="7DDF076A" w:rsidR="000E182A" w:rsidRPr="00B674BC" w:rsidRDefault="000E182A" w:rsidP="00150D6A">
      <w:pPr>
        <w:rPr>
          <w:szCs w:val="24"/>
          <w:lang w:val="es-ES_tradnl"/>
        </w:rPr>
      </w:pPr>
    </w:p>
    <w:p w14:paraId="4048ACCA" w14:textId="16179E58" w:rsidR="00BF5BF6" w:rsidRPr="00B674BC" w:rsidRDefault="00B674BC" w:rsidP="00150D6A">
      <w:pPr>
        <w:pStyle w:val="Prrafodelista"/>
        <w:numPr>
          <w:ilvl w:val="0"/>
          <w:numId w:val="26"/>
        </w:numPr>
        <w:spacing w:line="360" w:lineRule="auto"/>
        <w:rPr>
          <w:rFonts w:ascii="Palatino Linotype" w:hAnsi="Palatino Linotype"/>
          <w:lang w:val="es-ES_tradnl"/>
        </w:rPr>
      </w:pPr>
      <w:r w:rsidRPr="00B674BC">
        <w:rPr>
          <w:rFonts w:ascii="Palatino Linotype" w:eastAsia="Palatino Linotype" w:hAnsi="Palatino Linotype"/>
          <w:b/>
          <w:bCs/>
          <w:lang w:val="es-ES_tradnl"/>
        </w:rPr>
        <w:t>RR 12610</w:t>
      </w:r>
      <w:r w:rsidR="00BF5BF6" w:rsidRPr="00B674BC">
        <w:rPr>
          <w:rFonts w:ascii="Palatino Linotype" w:eastAsia="Palatino Linotype" w:hAnsi="Palatino Linotype"/>
          <w:b/>
          <w:bCs/>
          <w:lang w:val="es-ES_tradnl"/>
        </w:rPr>
        <w:t>.pdf</w:t>
      </w:r>
      <w:r w:rsidR="00BF5BF6" w:rsidRPr="00B674BC">
        <w:rPr>
          <w:rFonts w:ascii="Palatino Linotype" w:eastAsia="Palatino Linotype" w:hAnsi="Palatino Linotype"/>
          <w:lang w:val="es-ES_tradnl"/>
        </w:rPr>
        <w:t xml:space="preserve">. Oficio número </w:t>
      </w:r>
      <w:r w:rsidRPr="00B674BC">
        <w:rPr>
          <w:rFonts w:ascii="Palatino Linotype" w:eastAsia="Palatino Linotype" w:hAnsi="Palatino Linotype"/>
          <w:lang w:val="es-ES_tradnl"/>
        </w:rPr>
        <w:t>2010A4000/UT/RR/0499/2022</w:t>
      </w:r>
      <w:r>
        <w:rPr>
          <w:rFonts w:ascii="Palatino Linotype" w:eastAsia="Palatino Linotype" w:hAnsi="Palatino Linotype"/>
          <w:lang w:val="es-ES_tradnl"/>
        </w:rPr>
        <w:t>, emitido por la Titular de la Unidad de Transparencia</w:t>
      </w:r>
      <w:r w:rsidR="0079051F">
        <w:rPr>
          <w:rFonts w:ascii="Palatino Linotype" w:eastAsia="Palatino Linotype" w:hAnsi="Palatino Linotype"/>
          <w:lang w:val="es-ES_tradnl"/>
        </w:rPr>
        <w:t xml:space="preserve">, por medio del cual </w:t>
      </w:r>
      <w:r w:rsidR="00F756D7">
        <w:rPr>
          <w:rFonts w:ascii="Palatino Linotype" w:eastAsia="Palatino Linotype" w:hAnsi="Palatino Linotype"/>
          <w:lang w:val="es-ES_tradnl"/>
        </w:rPr>
        <w:t>ratificó la respuesta proporcionada y señaló que se anexaba el acta en la que se fundó y motivó la reserva de la información.</w:t>
      </w:r>
    </w:p>
    <w:p w14:paraId="7777081A" w14:textId="206AE2C4" w:rsidR="00BF5BF6" w:rsidRPr="00B674BC" w:rsidRDefault="00465D7C" w:rsidP="00150D6A">
      <w:pPr>
        <w:pStyle w:val="Prrafodelista"/>
        <w:numPr>
          <w:ilvl w:val="0"/>
          <w:numId w:val="26"/>
        </w:numPr>
        <w:spacing w:line="360" w:lineRule="auto"/>
        <w:rPr>
          <w:rFonts w:ascii="Palatino Linotype" w:hAnsi="Palatino Linotype"/>
          <w:lang w:val="es-ES_tradnl"/>
        </w:rPr>
      </w:pPr>
      <w:r>
        <w:rPr>
          <w:rFonts w:ascii="Palatino Linotype" w:eastAsia="Palatino Linotype" w:hAnsi="Palatino Linotype"/>
          <w:b/>
          <w:lang w:val="es-ES_tradnl"/>
        </w:rPr>
        <w:t>381 Sesión Extraordinaria 22</w:t>
      </w:r>
      <w:r w:rsidR="00BF5BF6" w:rsidRPr="00B674BC">
        <w:rPr>
          <w:rFonts w:ascii="Palatino Linotype" w:eastAsia="Palatino Linotype" w:hAnsi="Palatino Linotype"/>
          <w:b/>
          <w:lang w:val="es-ES_tradnl"/>
        </w:rPr>
        <w:t>.pdf</w:t>
      </w:r>
      <w:r w:rsidR="00463EEB" w:rsidRPr="00B674BC">
        <w:rPr>
          <w:rFonts w:ascii="Palatino Linotype" w:eastAsia="Palatino Linotype" w:hAnsi="Palatino Linotype"/>
          <w:bCs/>
          <w:lang w:val="es-ES_tradnl"/>
        </w:rPr>
        <w:t xml:space="preserve">. </w:t>
      </w:r>
      <w:r>
        <w:rPr>
          <w:rFonts w:ascii="Palatino Linotype" w:eastAsia="Palatino Linotype" w:hAnsi="Palatino Linotype"/>
          <w:bCs/>
          <w:lang w:val="es-ES_tradnl"/>
        </w:rPr>
        <w:t>Acta de la Tricentésima Octogésima Primera Sesión Extraordinaria del Comité de Transparencia celebrada el veintiocho de junio de dos mil veintidós, en la que se emitió el Acuerdo AT/CT/01/2022 mediante el cual se aprobó la reserva total de la información concerniente al contrato de adquisición de patrullas de la Dirección General de Seguridad y Protección por un periodo de dos años.</w:t>
      </w:r>
    </w:p>
    <w:p w14:paraId="38CB0FFA" w14:textId="77777777" w:rsidR="00663A37" w:rsidRPr="00B674BC" w:rsidRDefault="00663A37" w:rsidP="00150D6A">
      <w:pPr>
        <w:rPr>
          <w:szCs w:val="24"/>
          <w:lang w:val="es-ES_tradnl"/>
        </w:rPr>
      </w:pPr>
    </w:p>
    <w:p w14:paraId="3E8E32C0" w14:textId="70C72B6E" w:rsidR="00663A37" w:rsidRPr="00C82353" w:rsidRDefault="00015139"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lastRenderedPageBreak/>
        <w:t>Así, u</w:t>
      </w:r>
      <w:r w:rsidR="005741EE" w:rsidRPr="00C82353">
        <w:rPr>
          <w:rFonts w:eastAsia="Palatino Linotype" w:cs="Palatino Linotype"/>
          <w:color w:val="000000"/>
          <w:szCs w:val="24"/>
          <w:lang w:val="es-ES_tradnl"/>
        </w:rPr>
        <w:t xml:space="preserve">na vez descritas las actuaciones en el expediente del recurso de revisión, </w:t>
      </w:r>
      <w:r w:rsidR="00663A37" w:rsidRPr="00C82353">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CB65FAE"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C82353">
        <w:rPr>
          <w:rFonts w:eastAsia="Palatino Linotype" w:cs="Palatino Linotype"/>
          <w:b/>
          <w:i/>
          <w:color w:val="000000"/>
          <w:lang w:val="es-ES_tradnl"/>
        </w:rPr>
        <w:t>Artículo 6o.</w:t>
      </w:r>
      <w:r w:rsidRPr="00C82353">
        <w:rPr>
          <w:rFonts w:eastAsia="Palatino Linotype" w:cs="Palatino Linotype"/>
          <w:i/>
          <w:color w:val="000000"/>
          <w:lang w:val="es-ES_tradnl"/>
        </w:rPr>
        <w:t xml:space="preserve"> La manifestación de las ideas no será objeto de ninguna inquisición </w:t>
      </w:r>
      <w:r w:rsidRPr="00465D7C">
        <w:rPr>
          <w:rFonts w:eastAsia="Palatino Linotype" w:cs="Palatino Linotype"/>
          <w:i/>
          <w:color w:val="000000"/>
          <w:sz w:val="22"/>
          <w:lang w:val="es-ES_tradnl"/>
        </w:rPr>
        <w:t xml:space="preserve">judicial o administrativa, sino en el caso de que ataque a la moral, la vida privada o los derechos de terceros, provoque algún delito, o perturbe el orden público; el derecho de réplica será ejercido en los términos dispuestos por la ley. </w:t>
      </w:r>
      <w:r w:rsidRPr="00465D7C">
        <w:rPr>
          <w:rFonts w:eastAsia="Palatino Linotype" w:cs="Palatino Linotype"/>
          <w:b/>
          <w:i/>
          <w:color w:val="000000"/>
          <w:sz w:val="22"/>
          <w:lang w:val="es-ES_tradnl"/>
        </w:rPr>
        <w:t>El derecho a la información será garantizado por el Estado.</w:t>
      </w:r>
      <w:r w:rsidRPr="00465D7C">
        <w:rPr>
          <w:rFonts w:eastAsia="Palatino Linotype" w:cs="Palatino Linotype"/>
          <w:i/>
          <w:color w:val="000000"/>
          <w:sz w:val="22"/>
          <w:lang w:val="es-ES_tradnl"/>
        </w:rPr>
        <w:t xml:space="preserve"> </w:t>
      </w:r>
    </w:p>
    <w:p w14:paraId="4B814065"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389046A6"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345E52E5"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Para efectos de lo dispuesto en el presente artículo se observará lo siguiente:</w:t>
      </w:r>
    </w:p>
    <w:p w14:paraId="219EF5A2"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6A42048B"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1DB0C662"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b/>
          <w:i/>
          <w:color w:val="000000"/>
          <w:sz w:val="22"/>
          <w:lang w:val="es-ES_tradnl"/>
        </w:rPr>
        <w:t>I. Toda la información en posesión de</w:t>
      </w:r>
      <w:r w:rsidRPr="00465D7C">
        <w:rPr>
          <w:rFonts w:eastAsia="Palatino Linotype" w:cs="Palatino Linotype"/>
          <w:i/>
          <w:color w:val="000000"/>
          <w:sz w:val="22"/>
          <w:lang w:val="es-ES_tradnl"/>
        </w:rPr>
        <w:t xml:space="preserve"> </w:t>
      </w:r>
      <w:r w:rsidRPr="00465D7C">
        <w:rPr>
          <w:rFonts w:eastAsia="Palatino Linotype" w:cs="Palatino Linotype"/>
          <w:b/>
          <w:i/>
          <w:color w:val="000000"/>
          <w:sz w:val="22"/>
          <w:lang w:val="es-ES_tradnl"/>
        </w:rPr>
        <w:t>cualquier autoridad</w:t>
      </w:r>
      <w:r w:rsidRPr="00465D7C">
        <w:rPr>
          <w:rFonts w:eastAsia="Palatino Linotype" w:cs="Palatino Linotype"/>
          <w:i/>
          <w:color w:val="000000"/>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65D7C">
        <w:rPr>
          <w:rFonts w:eastAsia="Palatino Linotype" w:cs="Palatino Linotype"/>
          <w:b/>
          <w:i/>
          <w:color w:val="000000"/>
          <w:sz w:val="22"/>
          <w:lang w:val="es-ES_tradnl"/>
        </w:rPr>
        <w:t>en el ámbito federal, estatal y municipal, es pública</w:t>
      </w:r>
      <w:r w:rsidRPr="00465D7C">
        <w:rPr>
          <w:rFonts w:eastAsia="Palatino Linotype" w:cs="Palatino Linotype"/>
          <w:i/>
          <w:color w:val="000000"/>
          <w:sz w:val="22"/>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465D7C">
        <w:rPr>
          <w:rFonts w:eastAsia="Palatino Linotype" w:cs="Palatino Linotype"/>
          <w:b/>
          <w:i/>
          <w:color w:val="000000"/>
          <w:sz w:val="22"/>
          <w:lang w:val="es-ES_tradnl"/>
        </w:rPr>
        <w:t>Los sujetos obligados deberán documentar todo acto que derive del ejercicio de sus facultades, competencias o funciones</w:t>
      </w:r>
      <w:r w:rsidRPr="00465D7C">
        <w:rPr>
          <w:rFonts w:eastAsia="Palatino Linotype" w:cs="Palatino Linotype"/>
          <w:i/>
          <w:color w:val="000000"/>
          <w:sz w:val="22"/>
          <w:lang w:val="es-ES_tradnl"/>
        </w:rPr>
        <w:t>, la ley determinará los supuestos específicos bajo los cuales procederá la declaración de inexistencia de la información.</w:t>
      </w:r>
    </w:p>
    <w:p w14:paraId="21B74D30"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II. La información que se refiere a la vida privada y los datos personales será protegida en los términos y con las excepciones que fijen las leyes.</w:t>
      </w:r>
    </w:p>
    <w:p w14:paraId="1018DBAB"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III. Toda persona, sin necesidad de acreditar interés alguno o justificar su utilización, tendrá acceso gratuito a la información pública, a sus datos personales o a la rectificación de éstos.</w:t>
      </w:r>
    </w:p>
    <w:p w14:paraId="24AFEF90"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lastRenderedPageBreak/>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b/>
          <w:i/>
          <w:color w:val="000000"/>
          <w:sz w:val="22"/>
          <w:lang w:val="es-ES_tradnl"/>
        </w:rPr>
        <w:t>V. Los sujetos obligados deberán preservar sus documentos en archivos administrativos actualizados y publicarán, a través de los medios electrónicos disponibles</w:t>
      </w:r>
      <w:r w:rsidRPr="00465D7C">
        <w:rPr>
          <w:rFonts w:eastAsia="Palatino Linotype" w:cs="Palatino Linotype"/>
          <w:i/>
          <w:color w:val="000000"/>
          <w:sz w:val="22"/>
          <w:lang w:val="es-ES_tradnl"/>
        </w:rPr>
        <w:t xml:space="preserve">, </w:t>
      </w:r>
      <w:r w:rsidRPr="00465D7C">
        <w:rPr>
          <w:rFonts w:eastAsia="Palatino Linotype" w:cs="Palatino Linotype"/>
          <w:b/>
          <w:i/>
          <w:color w:val="000000"/>
          <w:sz w:val="22"/>
          <w:lang w:val="es-ES_tradnl"/>
        </w:rPr>
        <w:t xml:space="preserve">la información completa y actualizada sobre el ejercicio de los recursos públicos </w:t>
      </w:r>
      <w:r w:rsidRPr="00465D7C">
        <w:rPr>
          <w:rFonts w:eastAsia="Palatino Linotype" w:cs="Palatino Linotype"/>
          <w:i/>
          <w:color w:val="000000"/>
          <w:sz w:val="22"/>
          <w:lang w:val="es-ES_tradnl"/>
        </w:rPr>
        <w:t>y los indicadores que permitan rendir cuenta del cumplimiento de sus objetivos y de los resultados obtenidos.</w:t>
      </w:r>
    </w:p>
    <w:p w14:paraId="10F4FB17"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VII. La inobservancia a las disposiciones en materia de acceso a la información pública será sancionada en los términos que dispongan las leyes.</w:t>
      </w:r>
    </w:p>
    <w:p w14:paraId="4A696772"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w:t>
      </w:r>
    </w:p>
    <w:p w14:paraId="7B9F53E8"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La ley establecerá aquella información que se considere reservada o confidencial.</w:t>
      </w:r>
    </w:p>
    <w:p w14:paraId="2A62D6A8"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CD1A9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0269DF81"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2B0068B"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b/>
          <w:i/>
          <w:color w:val="000000"/>
          <w:sz w:val="22"/>
          <w:lang w:val="es-ES_tradnl"/>
        </w:rPr>
        <w:t>Artículo 5</w:t>
      </w:r>
      <w:r w:rsidRPr="00465D7C">
        <w:rPr>
          <w:rFonts w:eastAsia="Palatino Linotype" w:cs="Palatino Linotype"/>
          <w:i/>
          <w:color w:val="000000"/>
          <w:sz w:val="22"/>
          <w:lang w:val="es-ES_tradnl"/>
        </w:rPr>
        <w:t xml:space="preserve">. … </w:t>
      </w:r>
    </w:p>
    <w:p w14:paraId="25F7E28F"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798CD79E"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39BFCCEF"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Este derecho se regirá por los principios y bases siguientes:</w:t>
      </w:r>
    </w:p>
    <w:p w14:paraId="0E25CFE2"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5BA4C985"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5444A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3FBE077" w14:textId="60C737C2" w:rsidR="006C2214" w:rsidRPr="005444AD" w:rsidRDefault="006C2214" w:rsidP="006C2214">
      <w:pPr>
        <w:rPr>
          <w:rFonts w:eastAsia="Palatino Linotype" w:cs="Palatino Linotype"/>
          <w:szCs w:val="24"/>
          <w:lang w:val="es-ES_tradnl"/>
        </w:rPr>
      </w:pPr>
      <w:r w:rsidRPr="005444AD">
        <w:rPr>
          <w:rFonts w:eastAsia="Palatino Linotype" w:cs="Palatino Linotype"/>
          <w:szCs w:val="24"/>
          <w:lang w:val="es-ES_tradnl"/>
        </w:rPr>
        <w:t>En ese orden de ideas, la Ley de Transparencia y Acceso a la Información Pública del Estado de México y Municipios, prevé en su artículo 23, fracción I</w:t>
      </w:r>
      <w:r w:rsidR="00BC0772" w:rsidRPr="005444AD">
        <w:rPr>
          <w:rFonts w:eastAsia="Palatino Linotype" w:cs="Palatino Linotype"/>
          <w:szCs w:val="24"/>
          <w:lang w:val="es-ES_tradnl"/>
        </w:rPr>
        <w:t>V</w:t>
      </w:r>
      <w:r w:rsidRPr="005444AD">
        <w:rPr>
          <w:rFonts w:eastAsia="Palatino Linotype" w:cs="Palatino Linotype"/>
          <w:szCs w:val="24"/>
          <w:lang w:val="es-ES_tradnl"/>
        </w:rPr>
        <w:t>, lo siguiente:</w:t>
      </w:r>
    </w:p>
    <w:p w14:paraId="10DEF380" w14:textId="77777777" w:rsidR="006C2214" w:rsidRPr="005444AD" w:rsidRDefault="006C2214" w:rsidP="006C2214">
      <w:pPr>
        <w:rPr>
          <w:rFonts w:eastAsia="Palatino Linotype" w:cs="Palatino Linotype"/>
          <w:szCs w:val="24"/>
          <w:lang w:val="es-ES_tradnl"/>
        </w:rPr>
      </w:pPr>
    </w:p>
    <w:p w14:paraId="543026CD" w14:textId="77777777" w:rsidR="006C2214" w:rsidRPr="00465D7C" w:rsidRDefault="006C2214" w:rsidP="006C2214">
      <w:pPr>
        <w:spacing w:line="240" w:lineRule="auto"/>
        <w:ind w:left="567" w:right="567"/>
        <w:rPr>
          <w:rFonts w:eastAsia="Palatino Linotype" w:cs="Palatino Linotype"/>
          <w:i/>
          <w:sz w:val="22"/>
          <w:lang w:val="es-ES_tradnl"/>
        </w:rPr>
      </w:pPr>
      <w:r w:rsidRPr="00465D7C">
        <w:rPr>
          <w:rFonts w:eastAsia="Palatino Linotype" w:cs="Palatino Linotype"/>
          <w:b/>
          <w:i/>
          <w:sz w:val="22"/>
          <w:lang w:val="es-ES_tradnl"/>
        </w:rPr>
        <w:t>Artículo 23.</w:t>
      </w:r>
      <w:r w:rsidRPr="00465D7C">
        <w:rPr>
          <w:rFonts w:eastAsia="Palatino Linotype" w:cs="Palatino Linotype"/>
          <w:i/>
          <w:sz w:val="22"/>
          <w:lang w:val="es-ES_tradnl"/>
        </w:rPr>
        <w:t xml:space="preserve"> Son sujetos obligados a transparentar y permitir el acceso a su información y proteger los datos personales que obren en su poder:</w:t>
      </w:r>
    </w:p>
    <w:p w14:paraId="0C491F48" w14:textId="794C890F" w:rsidR="005444AD" w:rsidRPr="00465D7C" w:rsidRDefault="005444AD" w:rsidP="006C2214">
      <w:pPr>
        <w:spacing w:line="240" w:lineRule="auto"/>
        <w:ind w:left="567" w:right="567"/>
        <w:rPr>
          <w:rFonts w:eastAsia="Palatino Linotype" w:cs="Palatino Linotype"/>
          <w:i/>
          <w:sz w:val="22"/>
          <w:lang w:val="es-ES_tradnl"/>
        </w:rPr>
      </w:pPr>
      <w:r w:rsidRPr="00465D7C">
        <w:rPr>
          <w:rFonts w:eastAsia="Palatino Linotype" w:cs="Palatino Linotype"/>
          <w:i/>
          <w:sz w:val="22"/>
          <w:lang w:val="es-ES_tradnl"/>
        </w:rPr>
        <w:t>(…)</w:t>
      </w:r>
    </w:p>
    <w:p w14:paraId="74714C55" w14:textId="01B81345" w:rsidR="006C2214" w:rsidRPr="00465D7C" w:rsidRDefault="00015139" w:rsidP="00F02D93">
      <w:pPr>
        <w:spacing w:line="240" w:lineRule="auto"/>
        <w:ind w:left="567" w:right="567"/>
        <w:rPr>
          <w:rFonts w:eastAsia="Palatino Linotype" w:cs="Palatino Linotype"/>
          <w:bCs/>
          <w:i/>
          <w:sz w:val="22"/>
          <w:lang w:val="es-ES_tradnl"/>
        </w:rPr>
      </w:pPr>
      <w:r w:rsidRPr="00465D7C">
        <w:rPr>
          <w:rFonts w:eastAsia="Palatino Linotype" w:cs="Palatino Linotype"/>
          <w:b/>
          <w:bCs/>
          <w:i/>
          <w:sz w:val="22"/>
          <w:lang w:val="es-ES_tradnl"/>
        </w:rPr>
        <w:t>IV.</w:t>
      </w:r>
      <w:r w:rsidR="00F02D93" w:rsidRPr="00465D7C">
        <w:rPr>
          <w:rFonts w:eastAsia="Palatino Linotype" w:cs="Palatino Linotype"/>
          <w:i/>
          <w:sz w:val="22"/>
          <w:lang w:val="es-ES_tradnl"/>
        </w:rPr>
        <w:t xml:space="preserve"> </w:t>
      </w:r>
      <w:r w:rsidR="005444AD" w:rsidRPr="00465D7C">
        <w:rPr>
          <w:rFonts w:eastAsia="Palatino Linotype" w:cs="Palatino Linotype"/>
          <w:i/>
          <w:sz w:val="22"/>
          <w:lang w:val="es-ES_tradnl"/>
        </w:rPr>
        <w:t>Los ayuntamientos y las dependencias, organismos, órganos y entidades de la administración municipal</w:t>
      </w:r>
      <w:r w:rsidR="00F02D93" w:rsidRPr="00465D7C">
        <w:rPr>
          <w:rFonts w:eastAsia="Palatino Linotype" w:cs="Palatino Linotype"/>
          <w:i/>
          <w:sz w:val="22"/>
          <w:lang w:val="es-ES_tradnl"/>
        </w:rPr>
        <w:t>;</w:t>
      </w:r>
    </w:p>
    <w:p w14:paraId="398A429A" w14:textId="77777777" w:rsidR="006C2214" w:rsidRPr="00465D7C" w:rsidRDefault="006C2214" w:rsidP="006C2214">
      <w:pPr>
        <w:spacing w:line="240" w:lineRule="auto"/>
        <w:ind w:left="567" w:right="567"/>
        <w:rPr>
          <w:rFonts w:eastAsia="Palatino Linotype" w:cs="Palatino Linotype"/>
          <w:i/>
          <w:sz w:val="22"/>
          <w:lang w:val="es-ES_tradnl"/>
        </w:rPr>
      </w:pPr>
      <w:r w:rsidRPr="00465D7C">
        <w:rPr>
          <w:rFonts w:eastAsia="Palatino Linotype" w:cs="Palatino Linotype"/>
          <w:i/>
          <w:sz w:val="22"/>
          <w:lang w:val="es-ES_tradnl"/>
        </w:rPr>
        <w:t>(…)</w:t>
      </w:r>
    </w:p>
    <w:p w14:paraId="6F371B11"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01649C5" w14:textId="280E6959"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Es así que, conforme a los preceptos legales citados, se desprende que el derecho de acceso a la información pública es un derecho individual que puede ser ejercido ante cualquier autoridad, entidad, órgano u organismo, tanto federales, como es</w:t>
      </w:r>
      <w:r w:rsidR="006C2214" w:rsidRPr="00C82353">
        <w:rPr>
          <w:rFonts w:eastAsia="Palatino Linotype" w:cs="Palatino Linotype"/>
          <w:color w:val="000000"/>
          <w:szCs w:val="24"/>
          <w:lang w:val="es-ES_tradnl"/>
        </w:rPr>
        <w:t>tatales, de la Ciudad de México</w:t>
      </w:r>
      <w:r w:rsidRPr="00C82353">
        <w:rPr>
          <w:rFonts w:eastAsia="Palatino Linotype" w:cs="Palatino Linotype"/>
          <w:color w:val="000000"/>
          <w:szCs w:val="24"/>
          <w:lang w:val="es-ES_tradnl"/>
        </w:rPr>
        <w:t xml:space="preserve"> o Municipales, con el fin de que los particulares conozcan toda aquella información que es considerada como pública.</w:t>
      </w:r>
    </w:p>
    <w:p w14:paraId="6218E84D" w14:textId="77777777" w:rsidR="00663A37" w:rsidRPr="00C82353" w:rsidRDefault="00663A37" w:rsidP="00C36EE4">
      <w:pPr>
        <w:rPr>
          <w:lang w:val="es-ES_tradnl"/>
        </w:rPr>
      </w:pPr>
    </w:p>
    <w:p w14:paraId="45F141A3" w14:textId="4BC5B920" w:rsidR="00463EEB" w:rsidRDefault="26EDA31A" w:rsidP="26EDA31A">
      <w:pPr>
        <w:rPr>
          <w:lang w:val="es-ES"/>
        </w:rPr>
      </w:pPr>
      <w:r w:rsidRPr="26EDA31A">
        <w:rPr>
          <w:lang w:val="es-ES"/>
        </w:rPr>
        <w:t>En segundo término, es menester establecer la litis en el presente asunto, dado que la inconformidad del Recurrente versa en que la información que se le entregó está incompleta porque no se le hizo entrega del acuerdo del Comité de Transparencia con el cual se fundó y motivó la reserva de la información, sin que se expresara inconformidad ante la respuesta del número de patrullas que manifestó el Sujeto Obligado al momento de dar respuesta a la solicitud de información, ni respecto de la reserva de la información</w:t>
      </w:r>
      <w:r w:rsidR="00D42E5C">
        <w:rPr>
          <w:lang w:val="es-ES"/>
        </w:rPr>
        <w:t>.</w:t>
      </w:r>
    </w:p>
    <w:p w14:paraId="1613A928" w14:textId="3EAEA4A8" w:rsidR="26EDA31A" w:rsidRDefault="26EDA31A" w:rsidP="26EDA31A">
      <w:pPr>
        <w:contextualSpacing/>
        <w:rPr>
          <w:rFonts w:eastAsia="Palatino Linotype" w:cs="Palatino Linotype"/>
        </w:rPr>
      </w:pPr>
    </w:p>
    <w:p w14:paraId="0E6A57FF" w14:textId="40947066" w:rsidR="008B2088" w:rsidRPr="00EB09B7" w:rsidRDefault="26EDA31A" w:rsidP="26EDA31A">
      <w:pPr>
        <w:contextualSpacing/>
        <w:rPr>
          <w:rFonts w:eastAsia="Palatino Linotype" w:cs="Palatino Linotype"/>
        </w:rPr>
      </w:pPr>
      <w:r w:rsidRPr="26EDA31A">
        <w:rPr>
          <w:rFonts w:eastAsia="Palatino Linotype" w:cs="Palatino Linotype"/>
        </w:rPr>
        <w:t xml:space="preserve">En esa tesitura, también se debe considerar que la respuesta se tiene consentida parcialmente. </w:t>
      </w:r>
      <w:r w:rsidRPr="26EDA31A">
        <w:rPr>
          <w:rFonts w:eastAsia="Times New Roman" w:cs="Times New Roman"/>
          <w:color w:val="000000" w:themeColor="text1"/>
        </w:rPr>
        <w:t xml:space="preserve">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26EDA31A">
        <w:rPr>
          <w:rFonts w:eastAsia="Times New Roman" w:cs="Times New Roman"/>
          <w:color w:val="000000" w:themeColor="text1"/>
        </w:rPr>
        <w:lastRenderedPageBreak/>
        <w:t>Semanario Judicial de la Federación y su Gaceta bajo el número de registro 174177, que establece lo siguiente:</w:t>
      </w:r>
    </w:p>
    <w:p w14:paraId="20BE784D" w14:textId="77777777" w:rsidR="008B2088" w:rsidRPr="00EB09B7" w:rsidRDefault="008B2088" w:rsidP="008B2088">
      <w:pPr>
        <w:rPr>
          <w:rFonts w:eastAsia="Times New Roman" w:cs="Times New Roman"/>
          <w:szCs w:val="24"/>
        </w:rPr>
      </w:pPr>
    </w:p>
    <w:p w14:paraId="4619F152" w14:textId="77777777" w:rsidR="008B2088" w:rsidRPr="00EB09B7" w:rsidRDefault="008B2088" w:rsidP="008B2088">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REVISIÓN EN AMPARO. LOS RESOLUTIVOS NO COMBATIDOS DEBEN DECLARARSE FIRMES. </w:t>
      </w:r>
    </w:p>
    <w:p w14:paraId="6C4BBE56" w14:textId="77777777" w:rsidR="008B2088" w:rsidRPr="00EB09B7" w:rsidRDefault="008B2088" w:rsidP="008B2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0D1EA7F" w14:textId="77777777" w:rsidR="008B2088" w:rsidRPr="00EB09B7" w:rsidRDefault="008B2088" w:rsidP="008B2088">
      <w:pPr>
        <w:rPr>
          <w:rFonts w:eastAsia="Times New Roman" w:cs="Times New Roman"/>
          <w:szCs w:val="24"/>
        </w:rPr>
      </w:pPr>
    </w:p>
    <w:p w14:paraId="001DCA5B" w14:textId="77777777" w:rsidR="008B2088" w:rsidRPr="00EB09B7" w:rsidRDefault="008B2088" w:rsidP="008B2088">
      <w:pPr>
        <w:rPr>
          <w:rFonts w:eastAsia="Times New Roman" w:cs="Times New Roman"/>
          <w:szCs w:val="24"/>
        </w:rPr>
      </w:pPr>
      <w:r w:rsidRPr="00EB09B7">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establece lo siguiente:</w:t>
      </w:r>
    </w:p>
    <w:p w14:paraId="11E8ABBA" w14:textId="77777777" w:rsidR="008B2088" w:rsidRPr="00EB09B7" w:rsidRDefault="008B2088" w:rsidP="008B2088">
      <w:pPr>
        <w:rPr>
          <w:rFonts w:eastAsia="Times New Roman" w:cs="Times New Roman"/>
          <w:szCs w:val="24"/>
        </w:rPr>
      </w:pPr>
    </w:p>
    <w:p w14:paraId="2610A78F" w14:textId="77777777" w:rsidR="008B2088" w:rsidRPr="00EB09B7" w:rsidRDefault="008B2088" w:rsidP="008B2088">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ACTOS CONSENTIDOS. SON LOS QUE NO SE IMPUGNAN MEDIANTE EL RECURSO IDÓNEO.</w:t>
      </w:r>
    </w:p>
    <w:p w14:paraId="67F8E881" w14:textId="77777777" w:rsidR="008B2088" w:rsidRPr="00EB09B7" w:rsidRDefault="008B2088" w:rsidP="008B2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FC7AD3" w14:textId="77777777" w:rsidR="008B2088" w:rsidRPr="00EB09B7" w:rsidRDefault="008B2088" w:rsidP="008B2088">
      <w:pPr>
        <w:rPr>
          <w:rFonts w:eastAsia="Times New Roman" w:cs="Times New Roman"/>
          <w:szCs w:val="24"/>
        </w:rPr>
      </w:pPr>
    </w:p>
    <w:p w14:paraId="3B00C1F3" w14:textId="77777777" w:rsidR="008B2088" w:rsidRPr="00EB09B7" w:rsidRDefault="008B2088" w:rsidP="008B2088">
      <w:pPr>
        <w:rPr>
          <w:rFonts w:eastAsia="Times New Roman" w:cs="Times New Roman"/>
          <w:szCs w:val="24"/>
        </w:rPr>
      </w:pPr>
      <w:r w:rsidRPr="00EB09B7">
        <w:rPr>
          <w:rFonts w:eastAsia="Times New Roman" w:cs="Times New Roman"/>
          <w:color w:val="000000"/>
          <w:szCs w:val="24"/>
        </w:rPr>
        <w:lastRenderedPageBreak/>
        <w:t>Para mayor abundamiento, también resulta aplicable el criterio 01/20 emitido por el Instituto Nacional de Transparencia, Acceso a la Información Pública y Protección de Datos Personales, que a la letra estipula lo siguiente: </w:t>
      </w:r>
    </w:p>
    <w:p w14:paraId="271D6431" w14:textId="77777777" w:rsidR="008B2088" w:rsidRPr="00EB09B7" w:rsidRDefault="008B2088" w:rsidP="008B2088">
      <w:pPr>
        <w:rPr>
          <w:rFonts w:eastAsia="Times New Roman" w:cs="Times New Roman"/>
          <w:szCs w:val="24"/>
        </w:rPr>
      </w:pPr>
    </w:p>
    <w:p w14:paraId="2D996845" w14:textId="77777777" w:rsidR="008B2088" w:rsidRPr="00EB09B7" w:rsidRDefault="008B2088" w:rsidP="008B2088">
      <w:pPr>
        <w:spacing w:line="240" w:lineRule="auto"/>
        <w:ind w:left="567" w:right="567"/>
        <w:rPr>
          <w:rFonts w:eastAsia="Times New Roman" w:cs="Times New Roman"/>
          <w:sz w:val="22"/>
        </w:rPr>
      </w:pPr>
      <w:r w:rsidRPr="00EB09B7">
        <w:rPr>
          <w:rFonts w:eastAsia="Times New Roman" w:cs="Times New Roman"/>
          <w:b/>
          <w:bCs/>
          <w:i/>
          <w:iCs/>
          <w:color w:val="000000"/>
          <w:sz w:val="22"/>
        </w:rPr>
        <w:t xml:space="preserve">Actos consentidos tácitamente. Improcedencia de su análisis. </w:t>
      </w:r>
      <w:r w:rsidRPr="00EB09B7">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141E8F1" w14:textId="77777777" w:rsidR="008B2088" w:rsidRPr="00D354EA" w:rsidRDefault="008B2088" w:rsidP="008B2088">
      <w:pPr>
        <w:rPr>
          <w:rFonts w:eastAsia="Times New Roman" w:cs="Times New Roman"/>
          <w:szCs w:val="24"/>
        </w:rPr>
      </w:pPr>
    </w:p>
    <w:p w14:paraId="5DE887A0" w14:textId="76D2050F" w:rsidR="00463FB4" w:rsidRDefault="008B2088" w:rsidP="008B2088">
      <w:pPr>
        <w:rPr>
          <w:rFonts w:eastAsia="Times New Roman" w:cs="Times New Roman"/>
          <w:szCs w:val="24"/>
        </w:rPr>
      </w:pPr>
      <w:r w:rsidRPr="00D354EA">
        <w:rPr>
          <w:rFonts w:eastAsia="Times New Roman" w:cs="Times New Roman"/>
          <w:szCs w:val="24"/>
        </w:rPr>
        <w:t xml:space="preserve">Por lo señalado anteriormente, se tiene por consentida la respuesta </w:t>
      </w:r>
      <w:r>
        <w:rPr>
          <w:rFonts w:eastAsia="Times New Roman" w:cs="Times New Roman"/>
          <w:szCs w:val="24"/>
        </w:rPr>
        <w:t>respecto del número de patrullas entregadas durante la administración actual.</w:t>
      </w:r>
    </w:p>
    <w:p w14:paraId="7218FA3F" w14:textId="43452F02" w:rsidR="008B2088" w:rsidRDefault="008B2088" w:rsidP="008B2088">
      <w:pPr>
        <w:rPr>
          <w:rFonts w:eastAsia="Times New Roman" w:cs="Times New Roman"/>
          <w:szCs w:val="24"/>
        </w:rPr>
      </w:pPr>
    </w:p>
    <w:p w14:paraId="50293DC3" w14:textId="2AB2DFB8" w:rsidR="008B2088" w:rsidRPr="004006F7" w:rsidRDefault="008B2088" w:rsidP="008B2088">
      <w:pPr>
        <w:rPr>
          <w:rFonts w:eastAsia="Palatino Linotype"/>
          <w:bCs/>
          <w:lang w:val="es-ES_tradnl"/>
        </w:rPr>
      </w:pPr>
      <w:r w:rsidRPr="004006F7">
        <w:rPr>
          <w:rFonts w:eastAsia="Times New Roman" w:cs="Times New Roman"/>
          <w:szCs w:val="24"/>
        </w:rPr>
        <w:t>A</w:t>
      </w:r>
      <w:r w:rsidR="00665102" w:rsidRPr="004006F7">
        <w:rPr>
          <w:rFonts w:eastAsia="Times New Roman" w:cs="Times New Roman"/>
          <w:szCs w:val="24"/>
        </w:rPr>
        <w:t xml:space="preserve">hora bien, </w:t>
      </w:r>
      <w:r w:rsidR="007B0472" w:rsidRPr="004006F7">
        <w:rPr>
          <w:rFonts w:eastAsia="Times New Roman" w:cs="Times New Roman"/>
          <w:szCs w:val="24"/>
        </w:rPr>
        <w:t xml:space="preserve">cabe resaltar que la inconformidad del Recurrente </w:t>
      </w:r>
      <w:r w:rsidR="00D42E5C" w:rsidRPr="004006F7">
        <w:rPr>
          <w:rFonts w:eastAsia="Times New Roman" w:cs="Times New Roman"/>
          <w:szCs w:val="24"/>
        </w:rPr>
        <w:t xml:space="preserve">consiste en </w:t>
      </w:r>
      <w:r w:rsidR="007B0472" w:rsidRPr="004006F7">
        <w:rPr>
          <w:rFonts w:eastAsia="Times New Roman" w:cs="Times New Roman"/>
          <w:szCs w:val="24"/>
        </w:rPr>
        <w:t xml:space="preserve">que no se le entregó el </w:t>
      </w:r>
      <w:r w:rsidR="00D42E5C" w:rsidRPr="004006F7">
        <w:rPr>
          <w:rFonts w:eastAsia="Times New Roman" w:cs="Times New Roman"/>
          <w:szCs w:val="24"/>
        </w:rPr>
        <w:t xml:space="preserve">acta en la que se emitió el </w:t>
      </w:r>
      <w:r w:rsidR="007B0472" w:rsidRPr="004006F7">
        <w:rPr>
          <w:rFonts w:eastAsia="Times New Roman" w:cs="Times New Roman"/>
          <w:szCs w:val="24"/>
        </w:rPr>
        <w:t xml:space="preserve">acuerdo </w:t>
      </w:r>
      <w:r w:rsidR="00D42E5C" w:rsidRPr="004006F7">
        <w:rPr>
          <w:rFonts w:eastAsia="Times New Roman" w:cs="Times New Roman"/>
          <w:szCs w:val="24"/>
        </w:rPr>
        <w:t>d</w:t>
      </w:r>
      <w:r w:rsidR="007B0472" w:rsidRPr="004006F7">
        <w:rPr>
          <w:rFonts w:eastAsia="Times New Roman" w:cs="Times New Roman"/>
          <w:szCs w:val="24"/>
        </w:rPr>
        <w:t xml:space="preserve">el Comité de Transparencia del Sujeto Obligado, por lo que consideró que la información estaba incompleta; así, el Sujeto Obligado remitió como anexo a su Informe Justificado el acta de la </w:t>
      </w:r>
      <w:r w:rsidR="007B0472" w:rsidRPr="004006F7">
        <w:rPr>
          <w:rFonts w:eastAsia="Palatino Linotype"/>
          <w:bCs/>
          <w:lang w:val="es-ES_tradnl"/>
        </w:rPr>
        <w:t>Tricentésima Octogésima Primera Sesión Extraordinaria del Comité de Transparencia celebrada el veintiocho de junio de dos mil veintidós, en la que se emitió el Acuerdo AT/CT/01/2022, mediante el cual se aprobó la clasificación de la información solicitada como reservada por un periodo de dos años.</w:t>
      </w:r>
    </w:p>
    <w:p w14:paraId="2B3D55D6" w14:textId="6B12B880" w:rsidR="0080000D" w:rsidRPr="004006F7" w:rsidRDefault="0080000D" w:rsidP="008B2088">
      <w:pPr>
        <w:rPr>
          <w:rFonts w:eastAsia="Palatino Linotype"/>
          <w:bCs/>
          <w:lang w:val="es-ES_tradnl"/>
        </w:rPr>
      </w:pPr>
    </w:p>
    <w:p w14:paraId="483CE476" w14:textId="04A06528" w:rsidR="0080000D" w:rsidRPr="004006F7" w:rsidRDefault="0080000D" w:rsidP="008B2088">
      <w:pPr>
        <w:rPr>
          <w:rFonts w:eastAsia="Palatino Linotype"/>
          <w:bCs/>
          <w:lang w:val="es-ES_tradnl"/>
        </w:rPr>
      </w:pPr>
      <w:r w:rsidRPr="004006F7">
        <w:rPr>
          <w:rFonts w:eastAsia="Palatino Linotype"/>
          <w:bCs/>
          <w:lang w:val="es-ES_tradnl"/>
        </w:rPr>
        <w:t xml:space="preserve">No obstante, es necesario precisar que el hecho de no haber proporcionado el acuerdo al Recurrente al momento de dar respuesta, privó a éste de conocer el fundamento y motivo de la reserva, </w:t>
      </w:r>
      <w:r w:rsidR="0078270D" w:rsidRPr="004006F7">
        <w:rPr>
          <w:rFonts w:eastAsia="Palatino Linotype"/>
          <w:bCs/>
          <w:lang w:val="es-ES_tradnl"/>
        </w:rPr>
        <w:t xml:space="preserve">lo que implica una trasgresión a su derecho de acceso a la información pública en virtud de que el solicitante no contó con los elementos necesarios que le </w:t>
      </w:r>
      <w:r w:rsidR="0078270D" w:rsidRPr="004006F7">
        <w:rPr>
          <w:rFonts w:eastAsia="Palatino Linotype"/>
          <w:bCs/>
          <w:lang w:val="es-ES_tradnl"/>
        </w:rPr>
        <w:lastRenderedPageBreak/>
        <w:t>permitieran tener la certeza jurídica suficiente respecto de los motivos por los cuales el Sujeto Obligado reservó la información requerida.</w:t>
      </w:r>
    </w:p>
    <w:p w14:paraId="18555273" w14:textId="1C48D1FB" w:rsidR="0078270D" w:rsidRPr="004006F7" w:rsidRDefault="0078270D" w:rsidP="008B2088">
      <w:pPr>
        <w:rPr>
          <w:rFonts w:eastAsia="Palatino Linotype"/>
          <w:bCs/>
          <w:lang w:val="es-ES_tradnl"/>
        </w:rPr>
      </w:pPr>
    </w:p>
    <w:p w14:paraId="30AC599C" w14:textId="3A76B185" w:rsidR="0078270D" w:rsidRPr="004006F7" w:rsidRDefault="0078270D" w:rsidP="008B2088">
      <w:pPr>
        <w:rPr>
          <w:rFonts w:eastAsia="Palatino Linotype"/>
          <w:bCs/>
          <w:lang w:val="es-ES_tradnl"/>
        </w:rPr>
      </w:pPr>
      <w:r w:rsidRPr="004006F7">
        <w:rPr>
          <w:rFonts w:eastAsia="Palatino Linotype"/>
          <w:bCs/>
          <w:lang w:val="es-ES_tradnl"/>
        </w:rPr>
        <w:t>Por lo tanto, si bien es cierto que el motivo de inconformidad expresado por el Recurrente radica en que no se le entregó el acta de la sesión del Comité de Transparencia en la que se aprobó la reserva de la información, también lo es que dicha inconformidad impacta en la reserva del contrato solicitado, puesto que el solicitante no tuvo conocimiento de las razones por las cuales se clasificó la información y, por tanto, no estuvo en posibilidad de combatirlas.</w:t>
      </w:r>
    </w:p>
    <w:p w14:paraId="768512D4" w14:textId="6A305536" w:rsidR="0078270D" w:rsidRPr="004006F7" w:rsidRDefault="0078270D" w:rsidP="008B2088">
      <w:pPr>
        <w:rPr>
          <w:rFonts w:eastAsia="Palatino Linotype"/>
          <w:bCs/>
          <w:lang w:val="es-ES_tradnl"/>
        </w:rPr>
      </w:pPr>
    </w:p>
    <w:p w14:paraId="5B41DEBE" w14:textId="124CD691" w:rsidR="0078270D" w:rsidRPr="004006F7" w:rsidRDefault="0078270D" w:rsidP="008B2088">
      <w:pPr>
        <w:rPr>
          <w:rFonts w:eastAsia="Palatino Linotype"/>
          <w:bCs/>
          <w:lang w:val="es-ES_tradnl"/>
        </w:rPr>
      </w:pPr>
      <w:r w:rsidRPr="004006F7">
        <w:rPr>
          <w:rFonts w:eastAsia="Palatino Linotype"/>
          <w:bCs/>
          <w:lang w:val="es-ES_tradnl"/>
        </w:rPr>
        <w:t xml:space="preserve">Por otra parte, no debe perderse de vista que la información que el Sujeto Obligado pretende clasificar consiste en el contrato de </w:t>
      </w:r>
      <w:r w:rsidR="00D95788" w:rsidRPr="004006F7">
        <w:rPr>
          <w:rFonts w:eastAsia="Palatino Linotype"/>
          <w:bCs/>
          <w:lang w:val="es-ES_tradnl"/>
        </w:rPr>
        <w:t>adquisición de patrullas de la Dirección General de Seguridad y Protección, por considerar que el contenido de dicho documento actualiza las causales de reserva previstas en las fracciones I, IV y XI del artículo 140 de la Ley de Transparencia, en las que se establece lo siguiente:</w:t>
      </w:r>
    </w:p>
    <w:p w14:paraId="614B3CA2" w14:textId="1E61F143" w:rsidR="00D95788" w:rsidRPr="004006F7" w:rsidRDefault="00D95788" w:rsidP="008B2088">
      <w:pPr>
        <w:rPr>
          <w:rFonts w:eastAsia="Palatino Linotype"/>
          <w:bCs/>
          <w:lang w:val="es-ES_tradnl"/>
        </w:rPr>
      </w:pPr>
    </w:p>
    <w:p w14:paraId="344C2404" w14:textId="77777777" w:rsidR="0050585A" w:rsidRPr="004006F7" w:rsidRDefault="0050585A" w:rsidP="0050585A">
      <w:pPr>
        <w:pStyle w:val="Sinespaciado"/>
        <w:rPr>
          <w:rFonts w:eastAsia="Palatino Linotype"/>
          <w:lang w:val="es-ES_tradnl"/>
        </w:rPr>
      </w:pPr>
      <w:r w:rsidRPr="004006F7">
        <w:rPr>
          <w:rFonts w:eastAsia="Palatino Linotype"/>
          <w:b/>
          <w:bCs/>
          <w:lang w:val="es-ES_tradnl"/>
        </w:rPr>
        <w:t>Artículo 140.</w:t>
      </w:r>
      <w:r w:rsidRPr="004006F7">
        <w:rPr>
          <w:rFonts w:eastAsia="Palatino Linotype"/>
          <w:lang w:val="es-ES_tradnl"/>
        </w:rPr>
        <w:t xml:space="preserve"> El acceso a la información pública será restringido excepcionalmente, cuando por razones de interés público, ésta sea clasificada como reservada, conforme a los criterios siguientes:</w:t>
      </w:r>
    </w:p>
    <w:p w14:paraId="680E7A2D" w14:textId="77777777" w:rsidR="0050585A" w:rsidRPr="004006F7" w:rsidRDefault="0050585A" w:rsidP="0050585A">
      <w:pPr>
        <w:pStyle w:val="Sinespaciado"/>
        <w:rPr>
          <w:rFonts w:eastAsia="Palatino Linotype"/>
          <w:lang w:val="es-ES_tradnl"/>
        </w:rPr>
      </w:pPr>
    </w:p>
    <w:p w14:paraId="2E716C16" w14:textId="2BE26EB5" w:rsidR="00D95788" w:rsidRPr="004006F7" w:rsidRDefault="0050585A" w:rsidP="0050585A">
      <w:pPr>
        <w:pStyle w:val="Sinespaciado"/>
        <w:rPr>
          <w:rFonts w:eastAsia="Palatino Linotype"/>
          <w:lang w:val="es-ES_tradnl"/>
        </w:rPr>
      </w:pPr>
      <w:r w:rsidRPr="004006F7">
        <w:rPr>
          <w:rFonts w:eastAsia="Palatino Linotype"/>
          <w:b/>
          <w:bCs/>
          <w:lang w:val="es-ES_tradnl"/>
        </w:rPr>
        <w:t>I.</w:t>
      </w:r>
      <w:r w:rsidRPr="004006F7">
        <w:rPr>
          <w:rFonts w:eastAsia="Palatino Linotype"/>
          <w:lang w:val="es-ES_tradnl"/>
        </w:rPr>
        <w:t xml:space="preserve"> Comprometa la seguridad pública y cuente con un propósito genuino y un efecto demostrable;</w:t>
      </w:r>
    </w:p>
    <w:p w14:paraId="1A133F6E" w14:textId="0113F8E6" w:rsidR="00D95788" w:rsidRPr="004006F7" w:rsidRDefault="0050585A" w:rsidP="0050585A">
      <w:pPr>
        <w:pStyle w:val="Sinespaciado"/>
        <w:rPr>
          <w:rFonts w:eastAsia="Palatino Linotype"/>
          <w:lang w:val="es-ES_tradnl"/>
        </w:rPr>
      </w:pPr>
      <w:r w:rsidRPr="004006F7">
        <w:rPr>
          <w:rFonts w:eastAsia="Palatino Linotype"/>
          <w:lang w:val="es-ES_tradnl"/>
        </w:rPr>
        <w:t>(…)</w:t>
      </w:r>
    </w:p>
    <w:p w14:paraId="76402E92" w14:textId="1A07C71C" w:rsidR="0050585A" w:rsidRPr="004006F7" w:rsidRDefault="0050585A" w:rsidP="0050585A">
      <w:pPr>
        <w:pStyle w:val="Sinespaciado"/>
        <w:rPr>
          <w:rFonts w:eastAsia="Palatino Linotype"/>
          <w:lang w:val="es-ES_tradnl"/>
        </w:rPr>
      </w:pPr>
      <w:r w:rsidRPr="004006F7">
        <w:rPr>
          <w:rFonts w:eastAsia="Palatino Linotype"/>
          <w:b/>
          <w:bCs/>
          <w:lang w:val="es-ES_tradnl"/>
        </w:rPr>
        <w:t>IV.</w:t>
      </w:r>
      <w:r w:rsidRPr="004006F7">
        <w:rPr>
          <w:rFonts w:eastAsia="Palatino Linotype"/>
          <w:lang w:val="es-ES_tradnl"/>
        </w:rPr>
        <w:t xml:space="preserve"> Ponga en riesgo la vida, la seguridad o la salud de una persona física;</w:t>
      </w:r>
    </w:p>
    <w:p w14:paraId="79820228" w14:textId="6A209F6C" w:rsidR="00D95788" w:rsidRPr="004006F7" w:rsidRDefault="0050585A" w:rsidP="0050585A">
      <w:pPr>
        <w:pStyle w:val="Sinespaciado"/>
        <w:rPr>
          <w:rFonts w:eastAsia="Palatino Linotype"/>
          <w:lang w:val="es-ES_tradnl"/>
        </w:rPr>
      </w:pPr>
      <w:r w:rsidRPr="004006F7">
        <w:rPr>
          <w:rFonts w:eastAsia="Palatino Linotype"/>
          <w:lang w:val="es-ES_tradnl"/>
        </w:rPr>
        <w:t>(…)</w:t>
      </w:r>
    </w:p>
    <w:p w14:paraId="275EA83E" w14:textId="19614113" w:rsidR="0050585A" w:rsidRPr="004006F7" w:rsidRDefault="0050585A" w:rsidP="0050585A">
      <w:pPr>
        <w:pStyle w:val="Sinespaciado"/>
        <w:rPr>
          <w:rFonts w:eastAsia="Palatino Linotype"/>
          <w:lang w:val="es-ES_tradnl"/>
        </w:rPr>
      </w:pPr>
      <w:r w:rsidRPr="004006F7">
        <w:rPr>
          <w:rFonts w:eastAsia="Palatino Linotype"/>
          <w:b/>
          <w:bCs/>
          <w:lang w:val="es-ES_tradnl"/>
        </w:rPr>
        <w:t>XI.</w:t>
      </w:r>
      <w:r w:rsidRPr="004006F7">
        <w:rPr>
          <w:rFonts w:eastAsia="Palatino Linotype"/>
          <w:lang w:val="es-ES_tradnl"/>
        </w:rPr>
        <w:t xml:space="preserve"> Las que por disposición expresa de una ley tengan tal carácter, siempre que sean acordes con las bases, principios y disposiciones establecidos en esta Ley y no la contravengan; así como las previstas en tratados internacionales.</w:t>
      </w:r>
    </w:p>
    <w:p w14:paraId="5B0C292B" w14:textId="7C943BD9" w:rsidR="0050585A" w:rsidRPr="004006F7" w:rsidRDefault="0050585A" w:rsidP="008B2088">
      <w:pPr>
        <w:rPr>
          <w:rFonts w:eastAsia="Palatino Linotype"/>
          <w:bCs/>
          <w:lang w:val="es-ES_tradnl"/>
        </w:rPr>
      </w:pPr>
    </w:p>
    <w:p w14:paraId="5DC8DCE1" w14:textId="5DA33DC3" w:rsidR="0050585A" w:rsidRPr="004006F7" w:rsidRDefault="0050585A" w:rsidP="008B2088">
      <w:pPr>
        <w:rPr>
          <w:rFonts w:eastAsia="Palatino Linotype"/>
          <w:bCs/>
          <w:lang w:val="es-ES_tradnl"/>
        </w:rPr>
      </w:pPr>
      <w:r w:rsidRPr="004006F7">
        <w:rPr>
          <w:rFonts w:eastAsia="Palatino Linotype"/>
          <w:bCs/>
          <w:lang w:val="es-ES_tradnl"/>
        </w:rPr>
        <w:t>Asimismo, se invocó el artículo 110 de la Ley General del Sistema Nacional de Seguridad Pública, que dispone lo siguiente:</w:t>
      </w:r>
    </w:p>
    <w:p w14:paraId="5A8543B2" w14:textId="4582E60B" w:rsidR="0050585A" w:rsidRPr="004006F7" w:rsidRDefault="0050585A" w:rsidP="008B2088">
      <w:pPr>
        <w:rPr>
          <w:rFonts w:eastAsia="Palatino Linotype"/>
          <w:bCs/>
          <w:lang w:val="es-ES_tradnl"/>
        </w:rPr>
      </w:pPr>
    </w:p>
    <w:p w14:paraId="3BDAD764" w14:textId="77777777" w:rsidR="0050585A" w:rsidRPr="004006F7" w:rsidRDefault="0050585A" w:rsidP="0050585A">
      <w:pPr>
        <w:pStyle w:val="Sinespaciado"/>
        <w:rPr>
          <w:rFonts w:eastAsia="Palatino Linotype"/>
          <w:lang w:val="es-ES_tradnl"/>
        </w:rPr>
      </w:pPr>
      <w:r w:rsidRPr="004006F7">
        <w:rPr>
          <w:rFonts w:eastAsia="Palatino Linotype"/>
          <w:b/>
          <w:lang w:val="es-ES_tradnl"/>
        </w:rPr>
        <w:t>Artículo 110.-</w:t>
      </w:r>
      <w:r w:rsidRPr="004006F7">
        <w:rPr>
          <w:rFonts w:eastAsia="Palatino Linotype"/>
          <w:lang w:val="es-ES_tradnl"/>
        </w:rPr>
        <w:t xml:space="preserve">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585F477" w14:textId="77777777" w:rsidR="0050585A" w:rsidRPr="004006F7" w:rsidRDefault="0050585A" w:rsidP="0050585A">
      <w:pPr>
        <w:pStyle w:val="Sinespaciado"/>
        <w:rPr>
          <w:rFonts w:eastAsia="Palatino Linotype"/>
          <w:lang w:val="es-ES_tradnl"/>
        </w:rPr>
      </w:pPr>
    </w:p>
    <w:p w14:paraId="0F004A9B" w14:textId="77777777" w:rsidR="0050585A" w:rsidRPr="004006F7" w:rsidRDefault="0050585A" w:rsidP="0050585A">
      <w:pPr>
        <w:pStyle w:val="Sinespaciado"/>
        <w:rPr>
          <w:rFonts w:eastAsia="Palatino Linotype"/>
          <w:lang w:val="es-ES_tradnl"/>
        </w:rPr>
      </w:pPr>
      <w:r w:rsidRPr="004006F7">
        <w:rPr>
          <w:rFonts w:eastAsia="Palatino Linotype"/>
          <w:lang w:val="es-ES_tradnl"/>
        </w:rPr>
        <w:t>Para efecto de dar cumplimiento al párrafo anterior, se adoptarán los mecanismos tecnológicos necesarios para la interconexión en tiempo real y respaldo de la información.</w:t>
      </w:r>
    </w:p>
    <w:p w14:paraId="193AD9D4" w14:textId="77777777" w:rsidR="0050585A" w:rsidRPr="004006F7" w:rsidRDefault="0050585A" w:rsidP="0050585A">
      <w:pPr>
        <w:pStyle w:val="Sinespaciado"/>
        <w:rPr>
          <w:rFonts w:eastAsia="Palatino Linotype"/>
          <w:lang w:val="es-ES_tradnl"/>
        </w:rPr>
      </w:pPr>
    </w:p>
    <w:p w14:paraId="01C3525E" w14:textId="77777777" w:rsidR="0050585A" w:rsidRPr="004006F7" w:rsidRDefault="0050585A" w:rsidP="0050585A">
      <w:pPr>
        <w:pStyle w:val="Sinespaciado"/>
        <w:rPr>
          <w:rFonts w:eastAsia="Palatino Linotype"/>
          <w:lang w:val="es-ES_tradnl"/>
        </w:rPr>
      </w:pPr>
      <w:r w:rsidRPr="004006F7">
        <w:rPr>
          <w:rFonts w:eastAsia="Palatino Linotype"/>
          <w:lang w:val="es-ES_tradnl"/>
        </w:rPr>
        <w:t>La información contenida en las Bases de Datos del Sistema Nacional de Información, podrá ser certificada por la autoridad respectiva y tendrá el valor probatorio que las disposiciones legales determinen.</w:t>
      </w:r>
    </w:p>
    <w:p w14:paraId="3D3B840A" w14:textId="77777777" w:rsidR="0050585A" w:rsidRPr="004006F7" w:rsidRDefault="0050585A" w:rsidP="0050585A">
      <w:pPr>
        <w:pStyle w:val="Sinespaciado"/>
        <w:rPr>
          <w:rFonts w:eastAsia="Palatino Linotype"/>
          <w:lang w:val="es-ES_tradnl"/>
        </w:rPr>
      </w:pPr>
    </w:p>
    <w:p w14:paraId="49C020CB" w14:textId="2F454DB3" w:rsidR="0050585A" w:rsidRPr="004006F7" w:rsidRDefault="0050585A" w:rsidP="0050585A">
      <w:pPr>
        <w:pStyle w:val="Sinespaciado"/>
        <w:rPr>
          <w:rFonts w:eastAsia="Palatino Linotype"/>
          <w:lang w:val="es-ES_tradnl"/>
        </w:rPr>
      </w:pPr>
      <w:r w:rsidRPr="004006F7">
        <w:rPr>
          <w:rFonts w:eastAsia="Palatino Linotype"/>
          <w:b/>
          <w:bCs/>
          <w:u w:val="single"/>
          <w:lang w:val="es-ES_tradnl"/>
        </w:rPr>
        <w:t>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w:t>
      </w:r>
      <w:r w:rsidRPr="004006F7">
        <w:rPr>
          <w:rFonts w:eastAsia="Palatino Linotype"/>
          <w:lang w:val="es-ES_tradnl"/>
        </w:rPr>
        <w:t>a</w:t>
      </w:r>
    </w:p>
    <w:p w14:paraId="7985BC77" w14:textId="77777777" w:rsidR="0050585A" w:rsidRPr="004006F7" w:rsidRDefault="0050585A" w:rsidP="008B2088">
      <w:pPr>
        <w:rPr>
          <w:rFonts w:eastAsia="Palatino Linotype"/>
          <w:bCs/>
          <w:lang w:val="es-ES_tradnl"/>
        </w:rPr>
      </w:pPr>
    </w:p>
    <w:p w14:paraId="0C96A91A" w14:textId="3D409054" w:rsidR="00285D47" w:rsidRPr="004006F7" w:rsidRDefault="0050585A" w:rsidP="008B2088">
      <w:pPr>
        <w:rPr>
          <w:rFonts w:eastAsia="Times New Roman" w:cs="Times New Roman"/>
          <w:szCs w:val="24"/>
          <w:lang w:val="es-ES_tradnl"/>
        </w:rPr>
      </w:pPr>
      <w:r w:rsidRPr="004006F7">
        <w:rPr>
          <w:rFonts w:eastAsia="Times New Roman" w:cs="Times New Roman"/>
          <w:szCs w:val="24"/>
          <w:lang w:val="es-ES_tradnl"/>
        </w:rPr>
        <w:t xml:space="preserve">En esa tesitura, </w:t>
      </w:r>
      <w:r w:rsidR="00285D47" w:rsidRPr="004006F7">
        <w:rPr>
          <w:rFonts w:eastAsia="Times New Roman" w:cs="Times New Roman"/>
          <w:szCs w:val="24"/>
          <w:lang w:val="es-ES_tradnl"/>
        </w:rPr>
        <w:t>el Sujeto Obligado realizó la prueba de daño y concluyó la reserva total respecto del contrato de adquisición referido; sin embargo, este Instituto no considera la procedencia de la reserva total de dicho documento en virtud de las siguientes consideraciones.</w:t>
      </w:r>
    </w:p>
    <w:p w14:paraId="70EDBF9A" w14:textId="6BDC7605" w:rsidR="00285D47" w:rsidRPr="004006F7" w:rsidRDefault="00285D47" w:rsidP="008B2088">
      <w:pPr>
        <w:rPr>
          <w:rFonts w:eastAsia="Times New Roman" w:cs="Times New Roman"/>
          <w:szCs w:val="24"/>
          <w:lang w:val="es-ES_tradnl"/>
        </w:rPr>
      </w:pPr>
    </w:p>
    <w:p w14:paraId="03A8A06C" w14:textId="7B3B4DB0" w:rsidR="00285D47" w:rsidRPr="004006F7" w:rsidRDefault="00285D47" w:rsidP="008B2088">
      <w:pPr>
        <w:rPr>
          <w:rFonts w:eastAsia="Times New Roman" w:cs="Times New Roman"/>
          <w:szCs w:val="24"/>
          <w:lang w:val="es-ES_tradnl"/>
        </w:rPr>
      </w:pPr>
      <w:r w:rsidRPr="004006F7">
        <w:rPr>
          <w:rFonts w:eastAsia="Times New Roman" w:cs="Times New Roman"/>
          <w:szCs w:val="24"/>
          <w:lang w:val="es-ES_tradnl"/>
        </w:rPr>
        <w:t xml:space="preserve">Así, se debe recordar que, como regla general, toda la información generada por los Sujeto Obligado es considerada pública, y ésta regla únicamente tiene como restricción la </w:t>
      </w:r>
      <w:r w:rsidRPr="004006F7">
        <w:rPr>
          <w:rFonts w:eastAsia="Times New Roman" w:cs="Times New Roman"/>
          <w:szCs w:val="24"/>
          <w:lang w:val="es-ES_tradnl"/>
        </w:rPr>
        <w:lastRenderedPageBreak/>
        <w:t xml:space="preserve">clasificación como reservada por razones de interés público cuando se </w:t>
      </w:r>
      <w:r w:rsidR="00916768" w:rsidRPr="004006F7">
        <w:rPr>
          <w:rFonts w:eastAsia="Times New Roman" w:cs="Times New Roman"/>
          <w:szCs w:val="24"/>
          <w:lang w:val="es-ES_tradnl"/>
        </w:rPr>
        <w:t>actualicen los supuestos establecidos en el artículo 140 de la Ley de la materia.</w:t>
      </w:r>
    </w:p>
    <w:p w14:paraId="2D20655B" w14:textId="4EDD16D2" w:rsidR="00916768" w:rsidRPr="004006F7" w:rsidRDefault="00916768" w:rsidP="008B2088">
      <w:pPr>
        <w:rPr>
          <w:rFonts w:eastAsia="Times New Roman" w:cs="Times New Roman"/>
          <w:szCs w:val="24"/>
          <w:lang w:val="es-ES_tradnl"/>
        </w:rPr>
      </w:pPr>
    </w:p>
    <w:p w14:paraId="12C14A10" w14:textId="54B41CBD" w:rsidR="00916768" w:rsidRPr="004006F7" w:rsidRDefault="00916768" w:rsidP="008B2088">
      <w:pPr>
        <w:rPr>
          <w:rFonts w:eastAsia="Times New Roman" w:cs="Times New Roman"/>
          <w:szCs w:val="24"/>
          <w:lang w:val="es-ES_tradnl"/>
        </w:rPr>
      </w:pPr>
      <w:r w:rsidRPr="004006F7">
        <w:rPr>
          <w:rFonts w:eastAsia="Times New Roman" w:cs="Times New Roman"/>
          <w:szCs w:val="24"/>
          <w:lang w:val="es-ES_tradnl"/>
        </w:rPr>
        <w:t xml:space="preserve">Empero, el Poder Judicial de la Federación ha emitido diversos criterios en los que se establece que la clasificación de la información deberá realizarse mediante un análisis casos por caso y mediante la aplicación de la prueba de daño; y una vez realizado este análisis, si un documento contiene partes que se consideren reservadas o confidenciales, </w:t>
      </w:r>
      <w:r w:rsidRPr="004006F7">
        <w:rPr>
          <w:rFonts w:eastAsia="Times New Roman" w:cs="Times New Roman"/>
          <w:b/>
          <w:bCs/>
          <w:szCs w:val="24"/>
          <w:lang w:val="es-ES_tradnl"/>
        </w:rPr>
        <w:t>los sujetos obligados deberán generar una versión pública</w:t>
      </w:r>
      <w:r w:rsidRPr="004006F7">
        <w:rPr>
          <w:rFonts w:eastAsia="Times New Roman" w:cs="Times New Roman"/>
          <w:szCs w:val="24"/>
          <w:lang w:val="es-ES_tradnl"/>
        </w:rPr>
        <w:t xml:space="preserve"> en la que exclusivamente se supriman dichas secciones, tal como lo dispone la tesis con número de registro digital 2011541</w:t>
      </w:r>
      <w:r w:rsidRPr="004006F7">
        <w:rPr>
          <w:rStyle w:val="Refdenotaalpie"/>
          <w:rFonts w:eastAsia="Times New Roman" w:cs="Times New Roman"/>
          <w:szCs w:val="24"/>
          <w:lang w:val="es-ES_tradnl"/>
        </w:rPr>
        <w:footnoteReference w:id="2"/>
      </w:r>
      <w:r w:rsidRPr="004006F7">
        <w:rPr>
          <w:rFonts w:eastAsia="Times New Roman" w:cs="Times New Roman"/>
          <w:szCs w:val="24"/>
          <w:lang w:val="es-ES_tradnl"/>
        </w:rPr>
        <w:t>, que a la letra establece lo siguiente:</w:t>
      </w:r>
    </w:p>
    <w:p w14:paraId="44CADFB6" w14:textId="35F5255B" w:rsidR="00916768" w:rsidRPr="004006F7" w:rsidRDefault="00916768" w:rsidP="008B2088">
      <w:pPr>
        <w:rPr>
          <w:rFonts w:eastAsia="Times New Roman" w:cs="Times New Roman"/>
          <w:szCs w:val="24"/>
          <w:lang w:val="es-ES_tradnl"/>
        </w:rPr>
      </w:pPr>
    </w:p>
    <w:p w14:paraId="38742C05" w14:textId="1DD1B9C4" w:rsidR="008621F5" w:rsidRPr="004006F7" w:rsidRDefault="008621F5" w:rsidP="008621F5">
      <w:pPr>
        <w:pStyle w:val="Sinespaciado"/>
        <w:rPr>
          <w:b/>
          <w:bCs/>
          <w:lang w:val="es-ES_tradnl"/>
        </w:rPr>
      </w:pPr>
      <w:r w:rsidRPr="004006F7">
        <w:rPr>
          <w:b/>
          <w:bCs/>
          <w:lang w:val="es-ES_tradnl"/>
        </w:rPr>
        <w:t>ACCESO A LA INFORMACIÓN. EJERCICIO DEL DERECHO RELATIVO TRATÁNDOSE DE LA CLASIFICADA COMO CONFIDENCIAL, MEDIANTE LA PRUEBA DE DAÑO O DEL INTERÉS PÚBLICO Y ROL DEL JUEZ DE AMPARO PARA FACILITAR LA DEFENSA DE LAS PARTES.</w:t>
      </w:r>
    </w:p>
    <w:p w14:paraId="18A6DE8A" w14:textId="235E1997" w:rsidR="00916768" w:rsidRPr="004006F7" w:rsidRDefault="008621F5" w:rsidP="008621F5">
      <w:pPr>
        <w:pStyle w:val="Sinespaciado"/>
        <w:rPr>
          <w:lang w:val="es-ES_tradnl"/>
        </w:rPr>
      </w:pPr>
      <w:r w:rsidRPr="004006F7">
        <w:rPr>
          <w:lang w:val="es-ES_tradnl"/>
        </w:rPr>
        <w:t xml:space="preserve">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w:t>
      </w:r>
      <w:proofErr w:type="gramStart"/>
      <w:r w:rsidRPr="004006F7">
        <w:rPr>
          <w:lang w:val="es-ES_tradnl"/>
        </w:rPr>
        <w:t>Además</w:t>
      </w:r>
      <w:proofErr w:type="gramEnd"/>
      <w:r w:rsidRPr="004006F7">
        <w:rPr>
          <w:lang w:val="es-ES_tradnl"/>
        </w:rPr>
        <w:t xml:space="preserve"> señala, como regla general, el acceso a dicha información y, por excepción, la clasificación. Es así que para clasificar la información como reservada, debe hacerse un análisis, caso por caso, mediante la aplicación de la "prueba de daño". Sin perjuicio de lo anterior,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 Por otra parte, si alguien </w:t>
      </w:r>
      <w:r w:rsidRPr="004006F7">
        <w:rPr>
          <w:lang w:val="es-ES_tradnl"/>
        </w:rPr>
        <w:lastRenderedPageBreak/>
        <w:t>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se advierte que corresponde a los sujetos obligados realizar la clasificación de la información que obre en su poder y, contra la decisión que adopten, procede interponer el recurso de revisión ante el organismo garante que corresponda. En consecuencia, la obligación de clasificar la información corresponde única y directamente a los sujetos obligados, en tanto que al Juez de amparo sólo compete facilitar, bajo su más estricta responsabilidad, el acceso a la que sea "indispensable para la adecuada defensa de las partes".</w:t>
      </w:r>
    </w:p>
    <w:p w14:paraId="263A2A58" w14:textId="207743DE" w:rsidR="00285D47" w:rsidRPr="004006F7" w:rsidRDefault="00285D47" w:rsidP="008B2088">
      <w:pPr>
        <w:rPr>
          <w:rFonts w:eastAsia="Times New Roman" w:cs="Times New Roman"/>
          <w:szCs w:val="24"/>
          <w:lang w:val="es-ES_tradnl"/>
        </w:rPr>
      </w:pPr>
    </w:p>
    <w:p w14:paraId="1A736395" w14:textId="354E0CCE" w:rsidR="00285D47" w:rsidRPr="004006F7" w:rsidRDefault="008621F5" w:rsidP="008B2088">
      <w:pPr>
        <w:rPr>
          <w:rFonts w:eastAsia="Times New Roman" w:cs="Times New Roman"/>
          <w:szCs w:val="24"/>
          <w:lang w:val="es-ES_tradnl"/>
        </w:rPr>
      </w:pPr>
      <w:r w:rsidRPr="004006F7">
        <w:rPr>
          <w:rFonts w:eastAsia="Times New Roman" w:cs="Times New Roman"/>
          <w:szCs w:val="24"/>
          <w:lang w:val="es-ES_tradnl"/>
        </w:rPr>
        <w:t>Del criterio citado se desprende que la reserva de la información debe acreditarse por los sujetos obligados caso por caso mediante la prueba de daño y, en el supuesto de que el documento contuviera partes o secciones que deben ser protegidas, es procedente la supresión de estas y se deberá hacer entrega de la versión pública del documento solicitado.</w:t>
      </w:r>
    </w:p>
    <w:p w14:paraId="35A4EE12" w14:textId="134DF7E4" w:rsidR="008621F5" w:rsidRPr="004006F7" w:rsidRDefault="008621F5" w:rsidP="008B2088">
      <w:pPr>
        <w:rPr>
          <w:rFonts w:eastAsia="Times New Roman" w:cs="Times New Roman"/>
          <w:szCs w:val="24"/>
          <w:lang w:val="es-ES_tradnl"/>
        </w:rPr>
      </w:pPr>
    </w:p>
    <w:p w14:paraId="312BA704" w14:textId="5F7E8635" w:rsidR="008621F5" w:rsidRPr="004006F7" w:rsidRDefault="008621F5" w:rsidP="008B2088">
      <w:pPr>
        <w:rPr>
          <w:rFonts w:eastAsia="Times New Roman" w:cs="Times New Roman"/>
          <w:szCs w:val="24"/>
          <w:lang w:val="es-ES_tradnl"/>
        </w:rPr>
      </w:pPr>
      <w:r w:rsidRPr="004006F7">
        <w:rPr>
          <w:rFonts w:eastAsia="Times New Roman" w:cs="Times New Roman"/>
          <w:szCs w:val="24"/>
          <w:lang w:val="es-ES_tradnl"/>
        </w:rPr>
        <w:t xml:space="preserve">Por lo anterior, en el presente caso se tiene que el Sujeto Obligado remitió el acuerdo de reserva emitido por el Comité de Transparencia, en el que se fundó y motivo la reserva del contrato de adquisición de las patrullas; no obstante, como quedó establecido anteriormente, si bien </w:t>
      </w:r>
      <w:r w:rsidR="00A30144" w:rsidRPr="004006F7">
        <w:rPr>
          <w:rFonts w:eastAsia="Times New Roman" w:cs="Times New Roman"/>
          <w:szCs w:val="24"/>
          <w:lang w:val="es-ES_tradnl"/>
        </w:rPr>
        <w:t>es cierto que dicho documento contiene información que puede actualizar las causales de reserva referidas, también es cierto que lo procedente es la entrega de la versión pública del contrato en la que se testes o elimine los datos que actualicen dichas causales.</w:t>
      </w:r>
    </w:p>
    <w:p w14:paraId="13EF896E" w14:textId="67780332" w:rsidR="00A30144" w:rsidRPr="004006F7" w:rsidRDefault="00A30144" w:rsidP="008B2088">
      <w:pPr>
        <w:rPr>
          <w:rFonts w:eastAsia="Times New Roman" w:cs="Times New Roman"/>
          <w:szCs w:val="24"/>
          <w:lang w:val="es-ES_tradnl"/>
        </w:rPr>
      </w:pPr>
    </w:p>
    <w:p w14:paraId="021F84E3" w14:textId="3938A873" w:rsidR="00A30144" w:rsidRPr="004006F7" w:rsidRDefault="00A30144" w:rsidP="008B2088">
      <w:pPr>
        <w:rPr>
          <w:rFonts w:eastAsia="Times New Roman" w:cs="Times New Roman"/>
          <w:szCs w:val="24"/>
          <w:lang w:val="es-ES_tradnl"/>
        </w:rPr>
      </w:pPr>
      <w:r w:rsidRPr="004006F7">
        <w:rPr>
          <w:rFonts w:eastAsia="Times New Roman" w:cs="Times New Roman"/>
          <w:szCs w:val="24"/>
          <w:lang w:val="es-ES_tradnl"/>
        </w:rPr>
        <w:t xml:space="preserve">Dichos datos pueden consistir, de manera enunciativa mas no limitativa, de las especificaciones técnicas de los vehículos adquiridos, lo que actualiza el supuesto </w:t>
      </w:r>
      <w:r w:rsidRPr="004006F7">
        <w:rPr>
          <w:rFonts w:eastAsia="Times New Roman" w:cs="Times New Roman"/>
          <w:szCs w:val="24"/>
          <w:lang w:val="es-ES_tradnl"/>
        </w:rPr>
        <w:lastRenderedPageBreak/>
        <w:t>previsto en el artículo 110 de la Ley General del Sistema Nacional de Seguridad Pública, por lo que resulta factible la protección de esa información.</w:t>
      </w:r>
    </w:p>
    <w:p w14:paraId="4DA31500" w14:textId="046976F2" w:rsidR="00A30144" w:rsidRPr="004006F7" w:rsidRDefault="00A30144" w:rsidP="008B2088">
      <w:pPr>
        <w:rPr>
          <w:rFonts w:eastAsia="Times New Roman" w:cs="Times New Roman"/>
          <w:szCs w:val="24"/>
          <w:lang w:val="es-ES_tradnl"/>
        </w:rPr>
      </w:pPr>
    </w:p>
    <w:p w14:paraId="5D04E280" w14:textId="22861147" w:rsidR="00A30144" w:rsidRPr="004006F7" w:rsidRDefault="00A30144" w:rsidP="008B2088">
      <w:pPr>
        <w:rPr>
          <w:rFonts w:eastAsia="Times New Roman" w:cs="Times New Roman"/>
          <w:szCs w:val="24"/>
          <w:lang w:val="es-ES_tradnl"/>
        </w:rPr>
      </w:pPr>
      <w:r w:rsidRPr="004006F7">
        <w:rPr>
          <w:rFonts w:eastAsia="Times New Roman" w:cs="Times New Roman"/>
          <w:szCs w:val="24"/>
          <w:lang w:val="es-ES_tradnl"/>
        </w:rPr>
        <w:t>Aunado a lo anterior, no debe perderse de vista que la información relativa a los procedimientos de adquisición es considerada como una obligación de transparencia común a todos los sujetos obligados, conforme lo establece el artículo 92 fracción XXIX de la Ley de Transparencia estatal, que a la letra dispone lo siguiente:</w:t>
      </w:r>
    </w:p>
    <w:p w14:paraId="38C720CE" w14:textId="4A4246EB" w:rsidR="00A30144" w:rsidRPr="004006F7" w:rsidRDefault="00A30144" w:rsidP="008B2088">
      <w:pPr>
        <w:rPr>
          <w:rFonts w:eastAsia="Times New Roman" w:cs="Times New Roman"/>
          <w:szCs w:val="24"/>
          <w:lang w:val="es-ES_tradnl"/>
        </w:rPr>
      </w:pPr>
    </w:p>
    <w:p w14:paraId="7364EC7B" w14:textId="77777777" w:rsidR="00A30144" w:rsidRPr="004006F7" w:rsidRDefault="00A30144" w:rsidP="00892FEE">
      <w:pPr>
        <w:pStyle w:val="Sinespaciado"/>
      </w:pPr>
      <w:r w:rsidRPr="004006F7">
        <w:rPr>
          <w:b/>
        </w:rPr>
        <w:t xml:space="preserve">Artículo 92. </w:t>
      </w:r>
      <w:r w:rsidRPr="004006F7">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A7752B" w14:textId="072EAC84" w:rsidR="00A30144" w:rsidRPr="004006F7" w:rsidRDefault="00A30144" w:rsidP="00892FEE">
      <w:pPr>
        <w:pStyle w:val="Sinespaciado"/>
      </w:pPr>
      <w:r w:rsidRPr="004006F7">
        <w:t>(…)</w:t>
      </w:r>
    </w:p>
    <w:p w14:paraId="70C899B5" w14:textId="77777777" w:rsidR="00892FEE" w:rsidRPr="004006F7" w:rsidRDefault="00892FEE" w:rsidP="00892FEE">
      <w:pPr>
        <w:pStyle w:val="Sinespaciado"/>
      </w:pPr>
      <w:r w:rsidRPr="004006F7">
        <w:rPr>
          <w:b/>
          <w:bCs/>
        </w:rPr>
        <w:t>XXIX.</w:t>
      </w:r>
      <w:r w:rsidRPr="004006F7">
        <w:rPr>
          <w:b/>
          <w:bCs/>
        </w:rPr>
        <w:tab/>
      </w:r>
      <w:r w:rsidRPr="004006F7">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5ABDBA80" w14:textId="77777777" w:rsidR="00892FEE" w:rsidRPr="004006F7" w:rsidRDefault="00892FEE" w:rsidP="00892FEE">
      <w:pPr>
        <w:pStyle w:val="Sinespaciado"/>
      </w:pPr>
    </w:p>
    <w:p w14:paraId="3BA8A32E" w14:textId="77777777" w:rsidR="00892FEE" w:rsidRPr="004006F7" w:rsidRDefault="00892FEE" w:rsidP="00892FEE">
      <w:pPr>
        <w:pStyle w:val="Sinespaciado"/>
        <w:ind w:left="1134"/>
      </w:pPr>
      <w:r w:rsidRPr="004006F7">
        <w:t>a)</w:t>
      </w:r>
      <w:r w:rsidRPr="004006F7">
        <w:tab/>
        <w:t>De licitaciones públicas o procedimientos de invitación restringida:</w:t>
      </w:r>
    </w:p>
    <w:p w14:paraId="4F88FE04" w14:textId="77777777" w:rsidR="00892FEE" w:rsidRPr="004006F7" w:rsidRDefault="00892FEE" w:rsidP="00892FEE">
      <w:pPr>
        <w:pStyle w:val="Sinespaciado"/>
        <w:ind w:left="1134"/>
      </w:pPr>
    </w:p>
    <w:p w14:paraId="5585C548" w14:textId="77777777" w:rsidR="00892FEE" w:rsidRPr="004006F7" w:rsidRDefault="00892FEE" w:rsidP="00892FEE">
      <w:pPr>
        <w:pStyle w:val="Sinespaciado"/>
        <w:ind w:left="1560"/>
      </w:pPr>
      <w:r w:rsidRPr="004006F7">
        <w:t>1)</w:t>
      </w:r>
      <w:r w:rsidRPr="004006F7">
        <w:tab/>
        <w:t>La convocatoria o invitación emitida, así como los fundamentos legales aplicados para llevarla a cabo;</w:t>
      </w:r>
    </w:p>
    <w:p w14:paraId="470F9282" w14:textId="130251F0" w:rsidR="00892FEE" w:rsidRPr="004006F7" w:rsidRDefault="00892FEE" w:rsidP="00892FEE">
      <w:pPr>
        <w:pStyle w:val="Sinespaciado"/>
        <w:ind w:left="1560"/>
      </w:pPr>
      <w:r w:rsidRPr="004006F7">
        <w:t>2)</w:t>
      </w:r>
      <w:r w:rsidRPr="004006F7">
        <w:tab/>
        <w:t>Los nombres de los participantes o invitados;</w:t>
      </w:r>
    </w:p>
    <w:p w14:paraId="3B745CF8" w14:textId="77777777" w:rsidR="00892FEE" w:rsidRPr="004006F7" w:rsidRDefault="00892FEE" w:rsidP="00892FEE">
      <w:pPr>
        <w:pStyle w:val="Sinespaciado"/>
        <w:ind w:left="1560"/>
      </w:pPr>
      <w:r w:rsidRPr="004006F7">
        <w:t>3)</w:t>
      </w:r>
      <w:r w:rsidRPr="004006F7">
        <w:tab/>
        <w:t>El nombre del ganador y las razones que lo justifican;</w:t>
      </w:r>
    </w:p>
    <w:p w14:paraId="215E2949" w14:textId="77777777" w:rsidR="00892FEE" w:rsidRPr="004006F7" w:rsidRDefault="00892FEE" w:rsidP="00892FEE">
      <w:pPr>
        <w:pStyle w:val="Sinespaciado"/>
        <w:ind w:left="1560"/>
      </w:pPr>
      <w:r w:rsidRPr="004006F7">
        <w:t>4)</w:t>
      </w:r>
      <w:r w:rsidRPr="004006F7">
        <w:tab/>
        <w:t>El área solicitante y la responsable de su ejecución;</w:t>
      </w:r>
    </w:p>
    <w:p w14:paraId="45A1141E" w14:textId="77777777" w:rsidR="00892FEE" w:rsidRPr="004006F7" w:rsidRDefault="00892FEE" w:rsidP="00892FEE">
      <w:pPr>
        <w:pStyle w:val="Sinespaciado"/>
        <w:ind w:left="1560"/>
      </w:pPr>
      <w:r w:rsidRPr="004006F7">
        <w:t>5)</w:t>
      </w:r>
      <w:r w:rsidRPr="004006F7">
        <w:tab/>
        <w:t>Las convocatorias e invitaciones emitidas;</w:t>
      </w:r>
    </w:p>
    <w:p w14:paraId="044A6CCA" w14:textId="77777777" w:rsidR="00892FEE" w:rsidRPr="004006F7" w:rsidRDefault="00892FEE" w:rsidP="00892FEE">
      <w:pPr>
        <w:pStyle w:val="Sinespaciado"/>
        <w:ind w:left="1560"/>
      </w:pPr>
      <w:r w:rsidRPr="004006F7">
        <w:t>6)</w:t>
      </w:r>
      <w:r w:rsidRPr="004006F7">
        <w:tab/>
        <w:t>Los dictámenes y fallo de adjudicación;</w:t>
      </w:r>
    </w:p>
    <w:p w14:paraId="3C9706AF" w14:textId="77777777" w:rsidR="00892FEE" w:rsidRPr="004006F7" w:rsidRDefault="00892FEE" w:rsidP="00892FEE">
      <w:pPr>
        <w:pStyle w:val="Sinespaciado"/>
        <w:ind w:left="1560"/>
      </w:pPr>
      <w:r w:rsidRPr="004006F7">
        <w:t>7)</w:t>
      </w:r>
      <w:r w:rsidRPr="004006F7">
        <w:tab/>
        <w:t>El contrato y, en su caso, sus anexos;</w:t>
      </w:r>
    </w:p>
    <w:p w14:paraId="50255C8F" w14:textId="77777777" w:rsidR="00892FEE" w:rsidRPr="004006F7" w:rsidRDefault="00892FEE" w:rsidP="00892FEE">
      <w:pPr>
        <w:pStyle w:val="Sinespaciado"/>
        <w:ind w:left="1560"/>
      </w:pPr>
      <w:r w:rsidRPr="004006F7">
        <w:t>8)</w:t>
      </w:r>
      <w:r w:rsidRPr="004006F7">
        <w:tab/>
        <w:t>Los mecanismos de vigilancia y supervisión, incluyendo en su caso, los estudios de impacto urbano y ambiental, según corresponda;</w:t>
      </w:r>
    </w:p>
    <w:p w14:paraId="35F3C0D4" w14:textId="77777777" w:rsidR="00892FEE" w:rsidRPr="004006F7" w:rsidRDefault="00892FEE" w:rsidP="00892FEE">
      <w:pPr>
        <w:pStyle w:val="Sinespaciado"/>
        <w:ind w:left="1560"/>
      </w:pPr>
      <w:r w:rsidRPr="004006F7">
        <w:t>9)</w:t>
      </w:r>
      <w:r w:rsidRPr="004006F7">
        <w:tab/>
        <w:t>La partida presupuestal, de conformidad con el clasificador por objeto del gasto, en el caso de ser aplicable;</w:t>
      </w:r>
    </w:p>
    <w:p w14:paraId="294F5C5F" w14:textId="77777777" w:rsidR="00892FEE" w:rsidRPr="004006F7" w:rsidRDefault="00892FEE" w:rsidP="00892FEE">
      <w:pPr>
        <w:pStyle w:val="Sinespaciado"/>
        <w:ind w:left="1560"/>
      </w:pPr>
      <w:r w:rsidRPr="004006F7">
        <w:lastRenderedPageBreak/>
        <w:t>10)</w:t>
      </w:r>
      <w:r w:rsidRPr="004006F7">
        <w:tab/>
        <w:t>Origen de los recursos especificando si son federales, estatales o municipales, así como el tipo de fondo de participación o aportación respectiva;</w:t>
      </w:r>
    </w:p>
    <w:p w14:paraId="22C9CFDF" w14:textId="77777777" w:rsidR="00892FEE" w:rsidRPr="004006F7" w:rsidRDefault="00892FEE" w:rsidP="00892FEE">
      <w:pPr>
        <w:pStyle w:val="Sinespaciado"/>
        <w:ind w:left="1560"/>
      </w:pPr>
      <w:r w:rsidRPr="004006F7">
        <w:t>11)</w:t>
      </w:r>
      <w:r w:rsidRPr="004006F7">
        <w:tab/>
        <w:t>Los convenios modificatorios que, en su caso, sean firmados, precisando el objeto y la fecha de celebración;</w:t>
      </w:r>
    </w:p>
    <w:p w14:paraId="13DCEB9A" w14:textId="77777777" w:rsidR="00892FEE" w:rsidRPr="004006F7" w:rsidRDefault="00892FEE" w:rsidP="00892FEE">
      <w:pPr>
        <w:pStyle w:val="Sinespaciado"/>
        <w:ind w:left="1560"/>
      </w:pPr>
      <w:r w:rsidRPr="004006F7">
        <w:t>12)</w:t>
      </w:r>
      <w:r w:rsidRPr="004006F7">
        <w:tab/>
        <w:t>Los informes de avance físico y financiero sobre las obras o servicios contratados;</w:t>
      </w:r>
    </w:p>
    <w:p w14:paraId="4D5A91C0" w14:textId="77777777" w:rsidR="00892FEE" w:rsidRPr="004006F7" w:rsidRDefault="00892FEE" w:rsidP="00892FEE">
      <w:pPr>
        <w:pStyle w:val="Sinespaciado"/>
        <w:ind w:left="1560"/>
      </w:pPr>
      <w:r w:rsidRPr="004006F7">
        <w:t>13)</w:t>
      </w:r>
      <w:r w:rsidRPr="004006F7">
        <w:tab/>
        <w:t>El convenio de terminación; y</w:t>
      </w:r>
    </w:p>
    <w:p w14:paraId="710A773F" w14:textId="77777777" w:rsidR="00892FEE" w:rsidRPr="004006F7" w:rsidRDefault="00892FEE" w:rsidP="00892FEE">
      <w:pPr>
        <w:pStyle w:val="Sinespaciado"/>
        <w:ind w:left="1560"/>
      </w:pPr>
      <w:r w:rsidRPr="004006F7">
        <w:t>14)</w:t>
      </w:r>
      <w:r w:rsidRPr="004006F7">
        <w:tab/>
        <w:t>El finiquito.</w:t>
      </w:r>
    </w:p>
    <w:p w14:paraId="398D9EC1" w14:textId="77777777" w:rsidR="00892FEE" w:rsidRPr="004006F7" w:rsidRDefault="00892FEE" w:rsidP="00892FEE">
      <w:pPr>
        <w:pStyle w:val="Sinespaciado"/>
        <w:ind w:left="1134"/>
      </w:pPr>
    </w:p>
    <w:p w14:paraId="4953E544" w14:textId="77777777" w:rsidR="00892FEE" w:rsidRPr="004006F7" w:rsidRDefault="00892FEE" w:rsidP="00892FEE">
      <w:pPr>
        <w:pStyle w:val="Sinespaciado"/>
        <w:ind w:left="1134"/>
      </w:pPr>
      <w:r w:rsidRPr="004006F7">
        <w:t>b)</w:t>
      </w:r>
      <w:r w:rsidRPr="004006F7">
        <w:tab/>
        <w:t>De las adjudicaciones directas:</w:t>
      </w:r>
    </w:p>
    <w:p w14:paraId="328F35D9" w14:textId="77777777" w:rsidR="00892FEE" w:rsidRPr="004006F7" w:rsidRDefault="00892FEE" w:rsidP="00892FEE">
      <w:pPr>
        <w:pStyle w:val="Sinespaciado"/>
        <w:ind w:left="1134"/>
      </w:pPr>
    </w:p>
    <w:p w14:paraId="3B119EFF" w14:textId="77777777" w:rsidR="00892FEE" w:rsidRPr="004006F7" w:rsidRDefault="00892FEE" w:rsidP="00892FEE">
      <w:pPr>
        <w:pStyle w:val="Sinespaciado"/>
        <w:ind w:left="1560"/>
      </w:pPr>
      <w:r w:rsidRPr="004006F7">
        <w:t>1)</w:t>
      </w:r>
      <w:r w:rsidRPr="004006F7">
        <w:tab/>
        <w:t>La propuesta enviada por el participante;</w:t>
      </w:r>
    </w:p>
    <w:p w14:paraId="56672DE7" w14:textId="77777777" w:rsidR="00892FEE" w:rsidRPr="004006F7" w:rsidRDefault="00892FEE" w:rsidP="00892FEE">
      <w:pPr>
        <w:pStyle w:val="Sinespaciado"/>
        <w:ind w:left="1560"/>
      </w:pPr>
      <w:r w:rsidRPr="004006F7">
        <w:t>2)</w:t>
      </w:r>
      <w:r w:rsidRPr="004006F7">
        <w:tab/>
        <w:t>Los motivos y fundamentos legales aplicados para llevarla a cabo;</w:t>
      </w:r>
    </w:p>
    <w:p w14:paraId="20CE4BCD" w14:textId="77777777" w:rsidR="00892FEE" w:rsidRPr="004006F7" w:rsidRDefault="00892FEE" w:rsidP="00892FEE">
      <w:pPr>
        <w:pStyle w:val="Sinespaciado"/>
        <w:ind w:left="1560"/>
      </w:pPr>
      <w:r w:rsidRPr="004006F7">
        <w:t>3)</w:t>
      </w:r>
      <w:r w:rsidRPr="004006F7">
        <w:tab/>
        <w:t>La autorización del ejercicio de la opción;</w:t>
      </w:r>
    </w:p>
    <w:p w14:paraId="72E89EA6" w14:textId="77777777" w:rsidR="00892FEE" w:rsidRPr="004006F7" w:rsidRDefault="00892FEE" w:rsidP="00892FEE">
      <w:pPr>
        <w:pStyle w:val="Sinespaciado"/>
        <w:ind w:left="1560"/>
      </w:pPr>
      <w:r w:rsidRPr="004006F7">
        <w:t>4)</w:t>
      </w:r>
      <w:r w:rsidRPr="004006F7">
        <w:tab/>
        <w:t>En su caso, las cotizaciones consideradas, especificando los nombres de los proveedores y sus montos;</w:t>
      </w:r>
    </w:p>
    <w:p w14:paraId="6E613B7D" w14:textId="77777777" w:rsidR="00892FEE" w:rsidRPr="004006F7" w:rsidRDefault="00892FEE" w:rsidP="00892FEE">
      <w:pPr>
        <w:pStyle w:val="Sinespaciado"/>
        <w:ind w:left="1560"/>
      </w:pPr>
      <w:r w:rsidRPr="004006F7">
        <w:t>5)</w:t>
      </w:r>
      <w:r w:rsidRPr="004006F7">
        <w:tab/>
        <w:t>El nombre de la persona física o jurídica colectiva adjudicada;</w:t>
      </w:r>
    </w:p>
    <w:p w14:paraId="2106555F" w14:textId="77777777" w:rsidR="00892FEE" w:rsidRPr="004006F7" w:rsidRDefault="00892FEE" w:rsidP="00892FEE">
      <w:pPr>
        <w:pStyle w:val="Sinespaciado"/>
        <w:ind w:left="1560"/>
      </w:pPr>
      <w:r w:rsidRPr="004006F7">
        <w:t>6)</w:t>
      </w:r>
      <w:r w:rsidRPr="004006F7">
        <w:tab/>
        <w:t>La unidad administrativa solicitante y la responsable de su ejecución;</w:t>
      </w:r>
    </w:p>
    <w:p w14:paraId="7B5452E1" w14:textId="77777777" w:rsidR="00892FEE" w:rsidRPr="004006F7" w:rsidRDefault="00892FEE" w:rsidP="00892FEE">
      <w:pPr>
        <w:pStyle w:val="Sinespaciado"/>
        <w:ind w:left="1560"/>
      </w:pPr>
      <w:r w:rsidRPr="004006F7">
        <w:t>7)</w:t>
      </w:r>
      <w:r w:rsidRPr="004006F7">
        <w:tab/>
        <w:t>El número, fecha, el monto del contrato y el plazo de entrega o de ejecución de los servicios u obra;</w:t>
      </w:r>
    </w:p>
    <w:p w14:paraId="2B06CF46" w14:textId="77777777" w:rsidR="00892FEE" w:rsidRPr="004006F7" w:rsidRDefault="00892FEE" w:rsidP="00892FEE">
      <w:pPr>
        <w:pStyle w:val="Sinespaciado"/>
        <w:ind w:left="1560"/>
      </w:pPr>
      <w:r w:rsidRPr="004006F7">
        <w:t>8)</w:t>
      </w:r>
      <w:r w:rsidRPr="004006F7">
        <w:tab/>
        <w:t>Los mecanismos de vigilancia y supervisión, incluyendo, en su caso, los estudios de impacto urbano y ambiental, según corresponda;</w:t>
      </w:r>
    </w:p>
    <w:p w14:paraId="247D063B" w14:textId="77777777" w:rsidR="00892FEE" w:rsidRPr="004006F7" w:rsidRDefault="00892FEE" w:rsidP="00892FEE">
      <w:pPr>
        <w:pStyle w:val="Sinespaciado"/>
        <w:ind w:left="1560"/>
      </w:pPr>
      <w:r w:rsidRPr="004006F7">
        <w:t>9)</w:t>
      </w:r>
      <w:r w:rsidRPr="004006F7">
        <w:tab/>
        <w:t>Los informes de avance sobre las obras o servicios contratados;</w:t>
      </w:r>
    </w:p>
    <w:p w14:paraId="1466B9AE" w14:textId="77777777" w:rsidR="00892FEE" w:rsidRPr="004006F7" w:rsidRDefault="00892FEE" w:rsidP="00892FEE">
      <w:pPr>
        <w:pStyle w:val="Sinespaciado"/>
        <w:ind w:left="1560"/>
      </w:pPr>
      <w:r w:rsidRPr="004006F7">
        <w:t>10)</w:t>
      </w:r>
      <w:r w:rsidRPr="004006F7">
        <w:tab/>
        <w:t>El convenio de terminación; y</w:t>
      </w:r>
    </w:p>
    <w:p w14:paraId="249CFBDA" w14:textId="1B0E69EC" w:rsidR="00892FEE" w:rsidRPr="004006F7" w:rsidRDefault="00892FEE" w:rsidP="00892FEE">
      <w:pPr>
        <w:pStyle w:val="Sinespaciado"/>
        <w:ind w:left="1560"/>
      </w:pPr>
      <w:r w:rsidRPr="004006F7">
        <w:t>11)</w:t>
      </w:r>
      <w:r w:rsidRPr="004006F7">
        <w:tab/>
        <w:t>El finiquito.</w:t>
      </w:r>
    </w:p>
    <w:p w14:paraId="7DBF3925" w14:textId="2C004E95" w:rsidR="00285D47" w:rsidRPr="004006F7" w:rsidRDefault="00285D47" w:rsidP="008B2088">
      <w:pPr>
        <w:rPr>
          <w:rFonts w:eastAsia="Times New Roman" w:cs="Times New Roman"/>
          <w:szCs w:val="24"/>
          <w:lang w:val="es-ES_tradnl"/>
        </w:rPr>
      </w:pPr>
    </w:p>
    <w:p w14:paraId="22D373A3" w14:textId="66B3FB9D" w:rsidR="00285D47" w:rsidRPr="004006F7" w:rsidRDefault="00892FEE" w:rsidP="008B2088">
      <w:pPr>
        <w:rPr>
          <w:rFonts w:eastAsia="Times New Roman" w:cs="Times New Roman"/>
          <w:szCs w:val="24"/>
          <w:lang w:val="es-ES_tradnl"/>
        </w:rPr>
      </w:pPr>
      <w:r w:rsidRPr="004006F7">
        <w:rPr>
          <w:rFonts w:eastAsia="Times New Roman" w:cs="Times New Roman"/>
          <w:szCs w:val="24"/>
          <w:lang w:val="es-ES_tradnl"/>
        </w:rPr>
        <w:t>Por tanto, este Instituto no considera procedente la reserva total realizada por el Sujeto Obligado respecto del contrato referido por el Recurrente en su solicitud, por lo que se estima necesario que con el propósito de colmar el derecho de acceso a la información pública del hoy Recurrente se deberá hacer entrega de la versión pública del documento referido la cual deberá estar sustentada mediante el acuerdo debidamente fundado y motivado que emita el Comité de Transparencia del Sujeto Obligado.</w:t>
      </w:r>
    </w:p>
    <w:p w14:paraId="21C8AF1F" w14:textId="2AF3001F" w:rsidR="00892FEE" w:rsidRPr="004006F7" w:rsidRDefault="00892FEE" w:rsidP="008B2088">
      <w:pPr>
        <w:rPr>
          <w:rFonts w:eastAsia="Times New Roman" w:cs="Times New Roman"/>
          <w:szCs w:val="24"/>
          <w:lang w:val="es-ES_tradnl"/>
        </w:rPr>
      </w:pPr>
    </w:p>
    <w:p w14:paraId="644E1DBF" w14:textId="1A5AA8DA" w:rsidR="00892FEE" w:rsidRPr="004006F7" w:rsidRDefault="00892FEE" w:rsidP="008B2088">
      <w:pPr>
        <w:rPr>
          <w:rFonts w:eastAsia="Times New Roman" w:cs="Times New Roman"/>
          <w:szCs w:val="24"/>
          <w:lang w:val="es-ES_tradnl"/>
        </w:rPr>
      </w:pPr>
      <w:r w:rsidRPr="004006F7">
        <w:rPr>
          <w:rFonts w:eastAsia="Times New Roman" w:cs="Times New Roman"/>
          <w:szCs w:val="24"/>
          <w:lang w:val="es-ES_tradnl"/>
        </w:rPr>
        <w:lastRenderedPageBreak/>
        <w:t xml:space="preserve">Consecuentemente, aun cuando el Sujeto Obligado pretendió modificar su respuesta mediante la entrega del acta </w:t>
      </w:r>
      <w:r w:rsidR="00841B2A" w:rsidRPr="004006F7">
        <w:rPr>
          <w:rFonts w:eastAsia="Times New Roman" w:cs="Times New Roman"/>
          <w:szCs w:val="24"/>
          <w:lang w:val="es-ES_tradnl"/>
        </w:rPr>
        <w:t>en la que se emitió el acuerdo de reserva de la información, esto no puede satisfacer a plenitud la pretensión del Recurrente.</w:t>
      </w:r>
    </w:p>
    <w:p w14:paraId="230C6181" w14:textId="2D054F15" w:rsidR="00841B2A" w:rsidRPr="004006F7" w:rsidRDefault="00841B2A" w:rsidP="008B2088">
      <w:pPr>
        <w:rPr>
          <w:rFonts w:eastAsia="Times New Roman" w:cs="Times New Roman"/>
          <w:szCs w:val="24"/>
          <w:lang w:val="es-ES_tradnl"/>
        </w:rPr>
      </w:pPr>
    </w:p>
    <w:p w14:paraId="3FB79B77" w14:textId="193D408E" w:rsidR="00841B2A" w:rsidRDefault="00841B2A" w:rsidP="008B2088">
      <w:pPr>
        <w:rPr>
          <w:rFonts w:eastAsia="Times New Roman" w:cs="Times New Roman"/>
          <w:szCs w:val="24"/>
          <w:lang w:val="es-ES_tradnl"/>
        </w:rPr>
      </w:pPr>
      <w:r w:rsidRPr="004006F7">
        <w:rPr>
          <w:rFonts w:eastAsia="Times New Roman" w:cs="Times New Roman"/>
          <w:szCs w:val="24"/>
          <w:lang w:val="es-ES_tradnl"/>
        </w:rPr>
        <w:t>En conclusión, este Instituto estima que los motivos de inconformidad planteados por el Recurrente devienen parcialmente fundados, por lo que es procedente revocar la respuesta del Sujeto Obligado y ordenar la entrega de la versión pública del contrato de adquisición de patrullas referido en la respuesta, sustentado mediante el acuerdo debidamente fundado y motivado emitido por el Comité de Transparencia.</w:t>
      </w:r>
    </w:p>
    <w:p w14:paraId="3C67166E" w14:textId="3759FAFB" w:rsidR="00285D47" w:rsidRDefault="00285D47" w:rsidP="008B2088">
      <w:pPr>
        <w:rPr>
          <w:rFonts w:eastAsia="Times New Roman" w:cs="Times New Roman"/>
          <w:szCs w:val="24"/>
          <w:lang w:val="es-ES_tradnl"/>
        </w:rPr>
      </w:pPr>
    </w:p>
    <w:p w14:paraId="11FE334C" w14:textId="5C10E491" w:rsidR="00841B2A" w:rsidRPr="00841B2A" w:rsidRDefault="00841B2A" w:rsidP="008B2088">
      <w:pPr>
        <w:rPr>
          <w:rFonts w:eastAsia="Times New Roman" w:cs="Times New Roman"/>
          <w:b/>
          <w:bCs/>
          <w:i/>
          <w:iCs/>
          <w:szCs w:val="24"/>
          <w:u w:val="single"/>
          <w:lang w:val="es-ES_tradnl"/>
        </w:rPr>
      </w:pPr>
      <w:r w:rsidRPr="00841B2A">
        <w:rPr>
          <w:rFonts w:eastAsia="Times New Roman" w:cs="Times New Roman"/>
          <w:b/>
          <w:bCs/>
          <w:i/>
          <w:iCs/>
          <w:szCs w:val="24"/>
          <w:u w:val="single"/>
          <w:lang w:val="es-ES_tradnl"/>
        </w:rPr>
        <w:t>DE LA VERSIÓN PÚBLICA</w:t>
      </w:r>
    </w:p>
    <w:p w14:paraId="46B54AB0" w14:textId="25D96AB1" w:rsidR="00841B2A" w:rsidRPr="007657CF" w:rsidRDefault="00841B2A" w:rsidP="00841B2A">
      <w:pPr>
        <w:rPr>
          <w:rFonts w:eastAsia="Palatino Linotype" w:cs="Palatino Linotype"/>
          <w:szCs w:val="24"/>
        </w:rPr>
      </w:pPr>
      <w:r w:rsidRPr="007657CF">
        <w:rPr>
          <w:rFonts w:eastAsia="Palatino Linotype" w:cs="Palatino Linotype"/>
          <w:szCs w:val="24"/>
        </w:rPr>
        <w:t>En la elaboración de la versión pública se deberá considera lo dispuesto en los artículos 3 fracciones IX, XX, XXI</w:t>
      </w:r>
      <w:r>
        <w:rPr>
          <w:rFonts w:eastAsia="Palatino Linotype" w:cs="Palatino Linotype"/>
          <w:szCs w:val="24"/>
        </w:rPr>
        <w:t>, XXIV</w:t>
      </w:r>
      <w:r w:rsidRPr="007657CF">
        <w:rPr>
          <w:rFonts w:eastAsia="Palatino Linotype" w:cs="Palatino Linotype"/>
          <w:szCs w:val="24"/>
        </w:rPr>
        <w:t xml:space="preserve"> y XLV, 91 y 132 fracciones II y III de la Ley de Transparencia y Acceso a la Información Pública del Estado de México y Municipios que establecen lo siguiente:</w:t>
      </w:r>
    </w:p>
    <w:p w14:paraId="33FF0F31" w14:textId="77777777" w:rsidR="00841B2A" w:rsidRPr="007657CF" w:rsidRDefault="00841B2A" w:rsidP="00841B2A">
      <w:pPr>
        <w:rPr>
          <w:rFonts w:eastAsia="Palatino Linotype" w:cs="Palatino Linotype"/>
          <w:szCs w:val="24"/>
        </w:rPr>
      </w:pPr>
    </w:p>
    <w:p w14:paraId="5AF688B1" w14:textId="77777777" w:rsidR="00841B2A" w:rsidRPr="007657CF" w:rsidRDefault="00841B2A" w:rsidP="00841B2A">
      <w:pPr>
        <w:pStyle w:val="Sinespaciado"/>
      </w:pPr>
      <w:r w:rsidRPr="007657CF">
        <w:rPr>
          <w:b/>
        </w:rPr>
        <w:t>Artículo 3.</w:t>
      </w:r>
      <w:r w:rsidRPr="007657CF">
        <w:t xml:space="preserve"> Para los efectos de la presente Ley se entenderá por:</w:t>
      </w:r>
    </w:p>
    <w:p w14:paraId="3EE6C97D" w14:textId="77777777" w:rsidR="00841B2A" w:rsidRPr="007657CF" w:rsidRDefault="00841B2A" w:rsidP="00841B2A">
      <w:pPr>
        <w:pStyle w:val="Sinespaciado"/>
      </w:pPr>
      <w:r w:rsidRPr="007657CF">
        <w:t>(…)</w:t>
      </w:r>
    </w:p>
    <w:p w14:paraId="36CC9C6C" w14:textId="77777777" w:rsidR="00841B2A" w:rsidRPr="007657CF" w:rsidRDefault="00841B2A" w:rsidP="00841B2A">
      <w:pPr>
        <w:pStyle w:val="Sinespaciado"/>
      </w:pPr>
      <w:r w:rsidRPr="007657CF">
        <w:rPr>
          <w:b/>
        </w:rPr>
        <w:t>IX. Datos personales:</w:t>
      </w:r>
      <w:r w:rsidRPr="007657CF">
        <w:t xml:space="preserve"> La información concerniente a una persona, identificada o identificable según lo dispuesto por la Ley de Protección de Datos Personales del Estado de México; </w:t>
      </w:r>
    </w:p>
    <w:p w14:paraId="6299B72B" w14:textId="77777777" w:rsidR="00841B2A" w:rsidRPr="007657CF" w:rsidRDefault="00841B2A" w:rsidP="00841B2A">
      <w:pPr>
        <w:pStyle w:val="Sinespaciado"/>
      </w:pPr>
      <w:r w:rsidRPr="007657CF">
        <w:rPr>
          <w:b/>
        </w:rPr>
        <w:t>XX.</w:t>
      </w:r>
      <w:r w:rsidRPr="007657CF">
        <w:t xml:space="preserve"> </w:t>
      </w:r>
      <w:r w:rsidRPr="007657CF">
        <w:rPr>
          <w:b/>
        </w:rPr>
        <w:t>Información clasificada:</w:t>
      </w:r>
      <w:r w:rsidRPr="007657CF">
        <w:t xml:space="preserve"> Aquella considerada por la presente Ley como reservada o confidencial;</w:t>
      </w:r>
    </w:p>
    <w:p w14:paraId="3E14E7F4" w14:textId="20DED21C" w:rsidR="00841B2A" w:rsidRDefault="00841B2A" w:rsidP="00841B2A">
      <w:pPr>
        <w:pStyle w:val="Sinespaciado"/>
      </w:pPr>
      <w:r w:rsidRPr="007657CF">
        <w:rPr>
          <w:b/>
        </w:rPr>
        <w:t>XXI.</w:t>
      </w:r>
      <w:r w:rsidRPr="007657CF">
        <w:t xml:space="preserve"> </w:t>
      </w:r>
      <w:r w:rsidRPr="007657CF">
        <w:rPr>
          <w:b/>
        </w:rPr>
        <w:t>Información confidencial:</w:t>
      </w:r>
      <w:r w:rsidRPr="007657C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2F3AD0" w14:textId="2404AED7" w:rsidR="00841B2A" w:rsidRPr="00841B2A" w:rsidRDefault="00841B2A" w:rsidP="00841B2A">
      <w:pPr>
        <w:pStyle w:val="Sinespaciado"/>
      </w:pPr>
      <w:r w:rsidRPr="00841B2A">
        <w:rPr>
          <w:b/>
          <w:bCs/>
        </w:rPr>
        <w:lastRenderedPageBreak/>
        <w:t>XXIV. Información reservada:</w:t>
      </w:r>
      <w:r w:rsidRPr="00841B2A">
        <w:t xml:space="preserve"> La clasificada con este carácter de manera temporal por las disposiciones de esta Ley, cuya divulgación puede causar daño en términos de lo establecido por esta Ley;</w:t>
      </w:r>
    </w:p>
    <w:p w14:paraId="431354BB" w14:textId="77777777" w:rsidR="00841B2A" w:rsidRPr="007657CF" w:rsidRDefault="00841B2A" w:rsidP="00841B2A">
      <w:pPr>
        <w:pStyle w:val="Sinespaciado"/>
      </w:pPr>
      <w:r w:rsidRPr="007657CF">
        <w:rPr>
          <w:b/>
        </w:rPr>
        <w:t>…</w:t>
      </w:r>
    </w:p>
    <w:p w14:paraId="57A662A6" w14:textId="77777777" w:rsidR="00841B2A" w:rsidRPr="007657CF" w:rsidRDefault="00841B2A" w:rsidP="00841B2A">
      <w:pPr>
        <w:pStyle w:val="Sinespaciado"/>
      </w:pPr>
      <w:r w:rsidRPr="007657CF">
        <w:rPr>
          <w:b/>
        </w:rPr>
        <w:t>XLV.</w:t>
      </w:r>
      <w:r w:rsidRPr="007657CF">
        <w:t xml:space="preserve"> </w:t>
      </w:r>
      <w:r w:rsidRPr="007657CF">
        <w:rPr>
          <w:b/>
        </w:rPr>
        <w:t>Versión pública:</w:t>
      </w:r>
      <w:r w:rsidRPr="007657CF">
        <w:t xml:space="preserve"> Documento en el que se elimine, suprime o borra la información clasificada como reservada o confidencial para permitir su acceso.</w:t>
      </w:r>
    </w:p>
    <w:p w14:paraId="2523568B" w14:textId="77777777" w:rsidR="00841B2A" w:rsidRPr="007657CF" w:rsidRDefault="00841B2A" w:rsidP="00841B2A">
      <w:pPr>
        <w:pStyle w:val="Sinespaciado"/>
      </w:pPr>
      <w:r w:rsidRPr="007657CF">
        <w:t>(…)</w:t>
      </w:r>
    </w:p>
    <w:p w14:paraId="57BBDCF9" w14:textId="77777777" w:rsidR="00841B2A" w:rsidRPr="007657CF" w:rsidRDefault="00841B2A" w:rsidP="00841B2A">
      <w:pPr>
        <w:pStyle w:val="Sinespaciado"/>
      </w:pPr>
    </w:p>
    <w:p w14:paraId="5D192B6D" w14:textId="77777777" w:rsidR="00841B2A" w:rsidRPr="007657CF" w:rsidRDefault="00841B2A" w:rsidP="00841B2A">
      <w:pPr>
        <w:pStyle w:val="Sinespaciado"/>
      </w:pPr>
      <w:r w:rsidRPr="007657CF">
        <w:rPr>
          <w:b/>
        </w:rPr>
        <w:t xml:space="preserve">Artículo 91. </w:t>
      </w:r>
      <w:r w:rsidRPr="007657CF">
        <w:t>El acceso a la información pública será restringido excepcionalmente, cuando ésta sea clasificada como reservada o confidencial.</w:t>
      </w:r>
    </w:p>
    <w:p w14:paraId="29A3CED0" w14:textId="77777777" w:rsidR="00841B2A" w:rsidRPr="007657CF" w:rsidRDefault="00841B2A" w:rsidP="00841B2A">
      <w:pPr>
        <w:pStyle w:val="Sinespaciado"/>
      </w:pPr>
    </w:p>
    <w:p w14:paraId="0C41CFB7" w14:textId="77777777" w:rsidR="00841B2A" w:rsidRPr="007657CF" w:rsidRDefault="00841B2A" w:rsidP="00841B2A">
      <w:pPr>
        <w:pStyle w:val="Sinespaciado"/>
      </w:pPr>
      <w:r w:rsidRPr="007657CF">
        <w:rPr>
          <w:b/>
        </w:rPr>
        <w:t>Artículo 132.</w:t>
      </w:r>
      <w:r w:rsidRPr="007657CF">
        <w:t xml:space="preserve"> </w:t>
      </w:r>
      <w:r w:rsidRPr="007657CF">
        <w:rPr>
          <w:u w:val="single"/>
        </w:rPr>
        <w:t>La clasificación de la información se llevará a cabo en el momento en que</w:t>
      </w:r>
      <w:r w:rsidRPr="007657CF">
        <w:t>:</w:t>
      </w:r>
    </w:p>
    <w:p w14:paraId="53CA6444" w14:textId="77777777" w:rsidR="00841B2A" w:rsidRPr="007657CF" w:rsidRDefault="00841B2A" w:rsidP="00841B2A">
      <w:pPr>
        <w:pStyle w:val="Sinespaciado"/>
      </w:pPr>
      <w:r w:rsidRPr="007657CF">
        <w:rPr>
          <w:b/>
        </w:rPr>
        <w:t>I.</w:t>
      </w:r>
      <w:r w:rsidRPr="007657CF">
        <w:t xml:space="preserve"> Se reciba una solicitud de acceso a la información;</w:t>
      </w:r>
    </w:p>
    <w:p w14:paraId="167554CE" w14:textId="77777777" w:rsidR="00841B2A" w:rsidRPr="007657CF" w:rsidRDefault="00841B2A" w:rsidP="00841B2A">
      <w:pPr>
        <w:pStyle w:val="Sinespaciado"/>
      </w:pPr>
      <w:r w:rsidRPr="007657CF">
        <w:rPr>
          <w:b/>
        </w:rPr>
        <w:t>II.</w:t>
      </w:r>
      <w:r w:rsidRPr="007657CF">
        <w:t xml:space="preserve"> </w:t>
      </w:r>
      <w:r w:rsidRPr="007657CF">
        <w:rPr>
          <w:u w:val="single"/>
        </w:rPr>
        <w:t>Se determine mediante resolución de autoridad competente; o</w:t>
      </w:r>
    </w:p>
    <w:p w14:paraId="2E431CFB" w14:textId="77777777" w:rsidR="00841B2A" w:rsidRPr="007657CF" w:rsidRDefault="00841B2A" w:rsidP="00841B2A">
      <w:pPr>
        <w:pStyle w:val="Sinespaciado"/>
        <w:rPr>
          <w:u w:val="single"/>
        </w:rPr>
      </w:pPr>
      <w:r w:rsidRPr="007657CF">
        <w:rPr>
          <w:b/>
        </w:rPr>
        <w:t>III.</w:t>
      </w:r>
      <w:r w:rsidRPr="007657CF">
        <w:t xml:space="preserve"> </w:t>
      </w:r>
      <w:r w:rsidRPr="007657CF">
        <w:rPr>
          <w:u w:val="single"/>
        </w:rPr>
        <w:t>Se generen versiones públicas para dar cumplimiento a las obligaciones de transparencia previstas en esta Ley.</w:t>
      </w:r>
    </w:p>
    <w:p w14:paraId="5FBBA139" w14:textId="409A1E3E" w:rsidR="00841B2A" w:rsidRDefault="00841B2A" w:rsidP="00841B2A">
      <w:pPr>
        <w:pStyle w:val="Sinespaciado"/>
      </w:pPr>
      <w:r w:rsidRPr="007657CF">
        <w:t>(…)</w:t>
      </w:r>
    </w:p>
    <w:p w14:paraId="7386F77A" w14:textId="77777777" w:rsidR="00022480" w:rsidRPr="00022480" w:rsidRDefault="00022480" w:rsidP="00022480">
      <w:pPr>
        <w:pStyle w:val="Sinespaciado"/>
      </w:pPr>
    </w:p>
    <w:p w14:paraId="692903B6" w14:textId="77777777" w:rsidR="00022480" w:rsidRDefault="00022480" w:rsidP="00022480">
      <w:pPr>
        <w:pStyle w:val="Sinespaciado"/>
      </w:pPr>
      <w:r w:rsidRPr="00022480">
        <w:rPr>
          <w:b/>
          <w:bCs/>
        </w:rPr>
        <w:t>Artículo 140.</w:t>
      </w:r>
      <w:r>
        <w:t xml:space="preserve"> El acceso a la información pública será restringido excepcionalmente, cuando por razones de interés público, ésta sea clasificada como reservada, conforme a los criterios siguientes:</w:t>
      </w:r>
    </w:p>
    <w:p w14:paraId="6580469D" w14:textId="77777777" w:rsidR="00022480" w:rsidRDefault="00022480" w:rsidP="00022480">
      <w:pPr>
        <w:pStyle w:val="Sinespaciado"/>
      </w:pPr>
    </w:p>
    <w:p w14:paraId="0521EBA7" w14:textId="77777777" w:rsidR="00022480" w:rsidRDefault="00022480" w:rsidP="00022480">
      <w:pPr>
        <w:pStyle w:val="Sinespaciado"/>
      </w:pPr>
      <w:r>
        <w:t>I.</w:t>
      </w:r>
      <w:r>
        <w:tab/>
        <w:t>Comprometa la seguridad pública y cuente con un propósito genuino y un efecto demostrable;</w:t>
      </w:r>
    </w:p>
    <w:p w14:paraId="4E8D93D7" w14:textId="4358CC15" w:rsidR="00022480" w:rsidRDefault="00022480" w:rsidP="00022480">
      <w:pPr>
        <w:pStyle w:val="Sinespaciado"/>
      </w:pPr>
      <w:r>
        <w:t>II.</w:t>
      </w:r>
      <w:r>
        <w:tab/>
        <w:t>Pueda menoscabar la conducción de las negociaciones y relaciones internacionales;</w:t>
      </w:r>
    </w:p>
    <w:p w14:paraId="286D6CCF" w14:textId="77777777" w:rsidR="00022480" w:rsidRDefault="00022480" w:rsidP="00022480">
      <w:pPr>
        <w:pStyle w:val="Sinespaciado"/>
      </w:pPr>
      <w:r>
        <w:t>III.</w:t>
      </w:r>
      <w:r>
        <w:tab/>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122A99" w14:textId="77777777" w:rsidR="00022480" w:rsidRDefault="00022480" w:rsidP="00022480">
      <w:pPr>
        <w:pStyle w:val="Sinespaciado"/>
      </w:pPr>
      <w:r>
        <w:t>IV.</w:t>
      </w:r>
      <w:r>
        <w:tab/>
        <w:t>Ponga en riesgo la vida, la seguridad o la salud de una persona física;</w:t>
      </w:r>
    </w:p>
    <w:p w14:paraId="42D5207E" w14:textId="77777777" w:rsidR="00022480" w:rsidRDefault="00022480" w:rsidP="00022480">
      <w:pPr>
        <w:pStyle w:val="Sinespaciado"/>
      </w:pPr>
      <w:r>
        <w:t>V.</w:t>
      </w:r>
      <w:r>
        <w:tab/>
        <w:t>Aquella cuya divulgación obstruya o pueda causar un serio perjuicio a:</w:t>
      </w:r>
    </w:p>
    <w:p w14:paraId="5B60DEDB" w14:textId="77777777" w:rsidR="00022480" w:rsidRDefault="00022480" w:rsidP="00022480">
      <w:pPr>
        <w:pStyle w:val="Sinespaciado"/>
      </w:pPr>
      <w:r>
        <w:t>1.</w:t>
      </w:r>
      <w:r>
        <w:tab/>
        <w:t>Las actividades de fiscalización, verificación, inspección, comprobación y auditoría sobre el cumplimiento de las Leyes; o</w:t>
      </w:r>
    </w:p>
    <w:p w14:paraId="28489960" w14:textId="77777777" w:rsidR="00022480" w:rsidRDefault="00022480" w:rsidP="00022480">
      <w:pPr>
        <w:pStyle w:val="Sinespaciado"/>
      </w:pPr>
      <w:r>
        <w:t>2.</w:t>
      </w:r>
      <w:r>
        <w:tab/>
        <w:t>La recaudación de las contribuciones.</w:t>
      </w:r>
    </w:p>
    <w:p w14:paraId="5A894919" w14:textId="77777777" w:rsidR="00022480" w:rsidRDefault="00022480" w:rsidP="00022480">
      <w:pPr>
        <w:pStyle w:val="Sinespaciado"/>
      </w:pPr>
      <w:r>
        <w:t>VI.</w:t>
      </w:r>
      <w:r>
        <w:tab/>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w:t>
      </w:r>
      <w:r>
        <w:lastRenderedPageBreak/>
        <w:t>denunciante, querellante o testigo, así como sus familias, en los términos de las disposiciones jurídicas aplicables;</w:t>
      </w:r>
    </w:p>
    <w:p w14:paraId="51033B0C" w14:textId="77777777" w:rsidR="00022480" w:rsidRDefault="00022480" w:rsidP="00022480">
      <w:pPr>
        <w:pStyle w:val="Sinespaciado"/>
      </w:pPr>
      <w:r>
        <w:t>VII.</w:t>
      </w:r>
      <w:r>
        <w:tab/>
        <w:t>La que contengan las opiniones, recomendaciones o puntos de vista que formen parte del proceso deliberativo de los servidores públicos, hasta en tanto sea adoptada la decisión definitiva, la cual deberá estar documentada;</w:t>
      </w:r>
    </w:p>
    <w:p w14:paraId="229B4F3D" w14:textId="77777777" w:rsidR="00022480" w:rsidRDefault="00022480" w:rsidP="00022480">
      <w:pPr>
        <w:pStyle w:val="Sinespaciado"/>
      </w:pPr>
      <w:r>
        <w:t>VIII.</w:t>
      </w:r>
      <w:r>
        <w:tab/>
        <w:t>Vulnere la conducción de los expedientes judiciales o de los procedimientos administrativos seguidos en forma de juicio, en tanto no hayan quedado firmes;</w:t>
      </w:r>
    </w:p>
    <w:p w14:paraId="7AD44C3F" w14:textId="77777777" w:rsidR="00022480" w:rsidRDefault="00022480" w:rsidP="00022480">
      <w:pPr>
        <w:pStyle w:val="Sinespaciado"/>
      </w:pPr>
      <w:r>
        <w:t>IX.</w:t>
      </w:r>
      <w:r>
        <w:tab/>
        <w:t>Se encuentre contenida dentro de las investigaciones de hechos que la Ley señale como delitos y se tramiten ante el Ministerio Público;</w:t>
      </w:r>
    </w:p>
    <w:p w14:paraId="2952CB50" w14:textId="77777777" w:rsidR="00022480" w:rsidRDefault="00022480" w:rsidP="00022480">
      <w:pPr>
        <w:pStyle w:val="Sinespaciado"/>
      </w:pPr>
      <w:r>
        <w:t>X.</w:t>
      </w:r>
      <w:r>
        <w:tab/>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5A960D5" w14:textId="77777777" w:rsidR="00022480" w:rsidRDefault="00022480" w:rsidP="00022480">
      <w:pPr>
        <w:pStyle w:val="Sinespaciado"/>
      </w:pPr>
      <w: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806C57B" w14:textId="77777777" w:rsidR="00022480" w:rsidRDefault="00022480" w:rsidP="00022480">
      <w:pPr>
        <w:pStyle w:val="Sinespaciado"/>
      </w:pPr>
      <w:r>
        <w:t>XI.</w:t>
      </w:r>
      <w:r>
        <w:tab/>
        <w:t>Las que por disposición expresa de una ley tengan tal carácter, siempre que sean acordes con las bases, principios y disposiciones establecidos en esta Ley y no la contravengan; así como las previstas en tratados internacionales.</w:t>
      </w:r>
    </w:p>
    <w:p w14:paraId="16D2D4BB" w14:textId="77777777" w:rsidR="00022480" w:rsidRDefault="00022480" w:rsidP="00022480">
      <w:pPr>
        <w:pStyle w:val="Sinespaciado"/>
      </w:pPr>
    </w:p>
    <w:p w14:paraId="501210C1" w14:textId="3137C3A1" w:rsidR="00022480" w:rsidRPr="00022480" w:rsidRDefault="00022480" w:rsidP="00022480">
      <w:pPr>
        <w:pStyle w:val="Sinespaciado"/>
      </w:pPr>
      <w:r w:rsidRPr="00022480">
        <w:rPr>
          <w:b/>
          <w:bCs/>
        </w:rPr>
        <w:t>Artículo 141.</w:t>
      </w:r>
      <w:r>
        <w:t xml:space="preserve"> Las causales de reserva previstas en este Capítulo se deberán fundar y motivar, a través de la aplicación de la prueba de daño a la que se hace referencia en el presente Título.</w:t>
      </w:r>
    </w:p>
    <w:p w14:paraId="3C24F1F5" w14:textId="77777777" w:rsidR="00841B2A" w:rsidRPr="007657CF" w:rsidRDefault="00841B2A" w:rsidP="00841B2A">
      <w:pPr>
        <w:rPr>
          <w:rFonts w:eastAsia="Palatino Linotype" w:cs="Palatino Linotype"/>
          <w:i/>
          <w:szCs w:val="24"/>
        </w:rPr>
      </w:pPr>
    </w:p>
    <w:p w14:paraId="70630D35" w14:textId="1B326E58" w:rsidR="00841B2A" w:rsidRPr="007657CF" w:rsidRDefault="00841B2A" w:rsidP="00841B2A">
      <w:pPr>
        <w:rPr>
          <w:rFonts w:eastAsia="Palatino Linotype" w:cs="Palatino Linotype"/>
          <w:szCs w:val="24"/>
        </w:rPr>
      </w:pPr>
      <w:r w:rsidRPr="007657CF">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00022480">
        <w:rPr>
          <w:rFonts w:eastAsia="Palatino Linotype" w:cs="Palatino Linotype"/>
          <w:szCs w:val="24"/>
        </w:rPr>
        <w:t xml:space="preserve"> y aquella que actualice las causales de reserva establecidas en la normatividad aplicable.</w:t>
      </w:r>
    </w:p>
    <w:p w14:paraId="22FE95DA" w14:textId="78BFEA26" w:rsidR="00841B2A" w:rsidRDefault="00841B2A" w:rsidP="00841B2A">
      <w:pPr>
        <w:rPr>
          <w:rFonts w:eastAsia="Palatino Linotype" w:cs="Palatino Linotype"/>
          <w:szCs w:val="24"/>
        </w:rPr>
      </w:pPr>
    </w:p>
    <w:p w14:paraId="7586BF3E" w14:textId="21A89258" w:rsidR="00022480" w:rsidRDefault="00022480" w:rsidP="00841B2A">
      <w:pPr>
        <w:rPr>
          <w:rFonts w:eastAsia="Palatino Linotype" w:cs="Palatino Linotype"/>
          <w:szCs w:val="24"/>
        </w:rPr>
      </w:pPr>
      <w:r>
        <w:rPr>
          <w:rFonts w:eastAsia="Palatino Linotype" w:cs="Palatino Linotype"/>
          <w:szCs w:val="24"/>
        </w:rPr>
        <w:t xml:space="preserve">En el presente caso, en el supuesto de que en el documento ordenado se observe información relativa a especificaciones técnicas, armamento, equipo, o cualquier otra que </w:t>
      </w:r>
      <w:r>
        <w:rPr>
          <w:rFonts w:eastAsia="Palatino Linotype" w:cs="Palatino Linotype"/>
          <w:szCs w:val="24"/>
        </w:rPr>
        <w:lastRenderedPageBreak/>
        <w:t>permita acceder al estado de fuerza o capacidad de reacción de las áreas dedicadas a la seguridad pública, dicha información deberá se suprimida o testada del documento, conforme al procedimiento de reserva de la información establecida en la Ley de la materia.</w:t>
      </w:r>
    </w:p>
    <w:p w14:paraId="044047FE" w14:textId="77777777" w:rsidR="00022480" w:rsidRPr="007657CF" w:rsidRDefault="00022480" w:rsidP="00841B2A">
      <w:pPr>
        <w:rPr>
          <w:rFonts w:eastAsia="Palatino Linotype" w:cs="Palatino Linotype"/>
          <w:szCs w:val="24"/>
        </w:rPr>
      </w:pPr>
    </w:p>
    <w:p w14:paraId="1BC79FBE" w14:textId="77777777" w:rsidR="00841B2A" w:rsidRPr="007657CF" w:rsidRDefault="00841B2A" w:rsidP="00841B2A">
      <w:pPr>
        <w:rPr>
          <w:rFonts w:eastAsia="Palatino Linotype" w:cs="Palatino Linotype"/>
          <w:szCs w:val="24"/>
        </w:rPr>
      </w:pPr>
      <w:r w:rsidRPr="007657CF">
        <w:rPr>
          <w:rFonts w:eastAsia="Palatino Linotype" w:cs="Palatino Linotype"/>
          <w:szCs w:val="24"/>
        </w:rPr>
        <w:t xml:space="preserve">Por otro lado, los </w:t>
      </w:r>
      <w:r w:rsidRPr="007657CF">
        <w:rPr>
          <w:rFonts w:eastAsia="Palatino Linotype" w:cs="Palatino Linotype"/>
          <w:i/>
          <w:szCs w:val="24"/>
        </w:rPr>
        <w:t>Lineamientos Generales en Materia de Clasificación y Desclasificación de la Información, así como para la elaboración de Versiones Públicas</w:t>
      </w:r>
      <w:r w:rsidRPr="007657CF">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4803CE" w14:textId="77777777" w:rsidR="00841B2A" w:rsidRPr="007657CF" w:rsidRDefault="00841B2A" w:rsidP="00841B2A">
      <w:pPr>
        <w:rPr>
          <w:rFonts w:eastAsia="Palatino Linotype" w:cs="Palatino Linotype"/>
          <w:szCs w:val="24"/>
        </w:rPr>
      </w:pPr>
    </w:p>
    <w:p w14:paraId="69C6D01F" w14:textId="77777777" w:rsidR="00841B2A" w:rsidRPr="007657CF" w:rsidRDefault="00841B2A" w:rsidP="00841B2A">
      <w:pPr>
        <w:rPr>
          <w:rFonts w:eastAsia="Palatino Linotype" w:cs="Palatino Linotype"/>
          <w:szCs w:val="24"/>
        </w:rPr>
      </w:pPr>
      <w:r w:rsidRPr="007657CF">
        <w:rPr>
          <w:rFonts w:eastAsia="Palatino Linotype" w:cs="Palatino Linotype"/>
          <w:szCs w:val="24"/>
        </w:rPr>
        <w:t>Entorno a lo que aquí nos interesa, los Lineamientos Quincuagésimo sexto, Quincuagésimo séptimo y Quincuagésimo octavo, establecen lo siguiente:</w:t>
      </w:r>
    </w:p>
    <w:p w14:paraId="0B2B30BF" w14:textId="77777777" w:rsidR="00841B2A" w:rsidRPr="007657CF" w:rsidRDefault="00841B2A" w:rsidP="00841B2A">
      <w:pPr>
        <w:rPr>
          <w:rFonts w:eastAsia="Palatino Linotype" w:cs="Palatino Linotype"/>
        </w:rPr>
      </w:pPr>
    </w:p>
    <w:p w14:paraId="12F9D00E" w14:textId="77777777" w:rsidR="00841B2A" w:rsidRPr="007657CF" w:rsidRDefault="00841B2A" w:rsidP="00841B2A">
      <w:pPr>
        <w:pStyle w:val="Sinespaciado"/>
      </w:pPr>
      <w:r w:rsidRPr="007657CF">
        <w:rPr>
          <w:b/>
        </w:rPr>
        <w:t>Quincuagésimo sexto.</w:t>
      </w:r>
      <w:r w:rsidRPr="007657CF">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4AF5333" w14:textId="77777777" w:rsidR="00841B2A" w:rsidRPr="007657CF" w:rsidRDefault="00841B2A" w:rsidP="00841B2A">
      <w:pPr>
        <w:pStyle w:val="Sinespaciado"/>
      </w:pPr>
    </w:p>
    <w:p w14:paraId="25178227" w14:textId="77777777" w:rsidR="00841B2A" w:rsidRPr="007657CF" w:rsidRDefault="00841B2A" w:rsidP="00841B2A">
      <w:pPr>
        <w:pStyle w:val="Sinespaciado"/>
      </w:pPr>
      <w:r w:rsidRPr="007657CF">
        <w:rPr>
          <w:b/>
        </w:rPr>
        <w:t>Quincuagésimo séptimo.</w:t>
      </w:r>
      <w:r w:rsidRPr="007657CF">
        <w:t xml:space="preserve"> Se considera, en principio, como información pública y no podrá omitirse de las versiones públicas la siguiente:</w:t>
      </w:r>
    </w:p>
    <w:p w14:paraId="11E8D59B" w14:textId="77777777" w:rsidR="00841B2A" w:rsidRPr="007657CF" w:rsidRDefault="00841B2A" w:rsidP="00841B2A">
      <w:pPr>
        <w:pStyle w:val="Sinespaciado"/>
      </w:pPr>
      <w:r w:rsidRPr="007657CF">
        <w:t xml:space="preserve"> </w:t>
      </w:r>
    </w:p>
    <w:p w14:paraId="2C576112" w14:textId="77777777" w:rsidR="00841B2A" w:rsidRPr="007657CF" w:rsidRDefault="00841B2A" w:rsidP="00841B2A">
      <w:pPr>
        <w:pStyle w:val="Sinespaciado"/>
      </w:pPr>
      <w:r w:rsidRPr="007657CF">
        <w:t xml:space="preserve">I. La relativa a las Obligaciones de Transparencia que contempla el Título V de la Ley General y las demás disposiciones legales aplicables; </w:t>
      </w:r>
    </w:p>
    <w:p w14:paraId="2F33A723" w14:textId="77777777" w:rsidR="00841B2A" w:rsidRPr="007657CF" w:rsidRDefault="00841B2A" w:rsidP="00841B2A">
      <w:pPr>
        <w:pStyle w:val="Sinespaciado"/>
      </w:pPr>
      <w:r w:rsidRPr="007657CF">
        <w:lastRenderedPageBreak/>
        <w:t xml:space="preserve">II. El nombre de los servidores públicos en los documentos, y sus firmas autógrafas, cuando sean utilizados en el ejercicio de las facultades conferidas para el desempeño del servicio público, y </w:t>
      </w:r>
    </w:p>
    <w:p w14:paraId="6B9FBB02" w14:textId="77777777" w:rsidR="00841B2A" w:rsidRPr="007657CF" w:rsidRDefault="00841B2A" w:rsidP="00841B2A">
      <w:pPr>
        <w:pStyle w:val="Sinespaciado"/>
      </w:pPr>
      <w:r w:rsidRPr="007657CF">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9D63F00" w14:textId="77777777" w:rsidR="00841B2A" w:rsidRPr="007657CF" w:rsidRDefault="00841B2A" w:rsidP="00841B2A">
      <w:pPr>
        <w:pStyle w:val="Sinespaciado"/>
      </w:pPr>
    </w:p>
    <w:p w14:paraId="5B3BC5D4" w14:textId="77777777" w:rsidR="00841B2A" w:rsidRPr="007657CF" w:rsidRDefault="00841B2A" w:rsidP="00841B2A">
      <w:pPr>
        <w:pStyle w:val="Sinespaciado"/>
      </w:pPr>
      <w:r w:rsidRPr="007657CF">
        <w:t xml:space="preserve">Lo anterior, siempre y cuando no se acredite alguna causal de clasificación, prevista en las leyes o en los tratados internacionales suscritos por el Estado mexicano. </w:t>
      </w:r>
    </w:p>
    <w:p w14:paraId="1F214643" w14:textId="77777777" w:rsidR="00841B2A" w:rsidRPr="007657CF" w:rsidRDefault="00841B2A" w:rsidP="00841B2A">
      <w:pPr>
        <w:pStyle w:val="Sinespaciado"/>
      </w:pPr>
    </w:p>
    <w:p w14:paraId="5A912F90" w14:textId="77777777" w:rsidR="00841B2A" w:rsidRPr="007657CF" w:rsidRDefault="00841B2A" w:rsidP="00841B2A">
      <w:pPr>
        <w:pStyle w:val="Sinespaciado"/>
      </w:pPr>
      <w:r w:rsidRPr="007657CF">
        <w:rPr>
          <w:b/>
        </w:rPr>
        <w:t>Quincuagésimo octavo.</w:t>
      </w:r>
      <w:r w:rsidRPr="007657CF">
        <w:t xml:space="preserve"> Los sujetos obligados garantizarán que los sistemas o medios empleados para eliminar la información en las versiones públicas no permitan la recuperación o visualización de la misma.</w:t>
      </w:r>
    </w:p>
    <w:p w14:paraId="0EDA7C22" w14:textId="77777777" w:rsidR="00841B2A" w:rsidRPr="007657CF" w:rsidRDefault="00841B2A" w:rsidP="00841B2A">
      <w:pPr>
        <w:rPr>
          <w:rFonts w:eastAsia="Palatino Linotype" w:cs="Palatino Linotype"/>
          <w:i/>
          <w:szCs w:val="24"/>
        </w:rPr>
      </w:pPr>
    </w:p>
    <w:p w14:paraId="6ED8EF81" w14:textId="77777777" w:rsidR="00841B2A" w:rsidRDefault="00841B2A" w:rsidP="00841B2A">
      <w:pPr>
        <w:rPr>
          <w:rFonts w:eastAsia="Palatino Linotype" w:cs="Palatino Linotype"/>
          <w:szCs w:val="24"/>
        </w:rPr>
      </w:pPr>
      <w:r w:rsidRPr="007657CF">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36908D3" w14:textId="77777777" w:rsidR="00841B2A" w:rsidRDefault="00841B2A" w:rsidP="00841B2A">
      <w:pPr>
        <w:rPr>
          <w:rFonts w:eastAsia="Palatino Linotype" w:cs="Palatino Linotype"/>
          <w:szCs w:val="24"/>
        </w:rPr>
      </w:pPr>
    </w:p>
    <w:p w14:paraId="2DC97B29" w14:textId="77777777" w:rsidR="00841B2A" w:rsidRPr="007657CF" w:rsidRDefault="00841B2A" w:rsidP="00841B2A">
      <w:pPr>
        <w:rPr>
          <w:rFonts w:eastAsia="Palatino Linotype" w:cs="Palatino Linotype"/>
          <w:szCs w:val="24"/>
        </w:rPr>
      </w:pPr>
      <w:r w:rsidRPr="007657CF">
        <w:rPr>
          <w:rFonts w:eastAsia="Palatino Linotype" w:cs="Palatino Linotype"/>
          <w:szCs w:val="24"/>
        </w:rPr>
        <w:t>Por lo que respecta al Acuerdo del Comité de Transparencia que sustente la versión pública de la documentación a entregar, deberá ser notificado mediante el SAIMEX.</w:t>
      </w:r>
    </w:p>
    <w:p w14:paraId="2586AB1D" w14:textId="77777777" w:rsidR="00841B2A" w:rsidRPr="007657CF" w:rsidRDefault="00841B2A" w:rsidP="00841B2A">
      <w:pPr>
        <w:rPr>
          <w:rFonts w:eastAsia="Palatino Linotype" w:cs="Palatino Linotype"/>
          <w:szCs w:val="24"/>
        </w:rPr>
      </w:pPr>
    </w:p>
    <w:p w14:paraId="3A5F3B7F" w14:textId="77777777" w:rsidR="00841B2A" w:rsidRPr="007657CF" w:rsidRDefault="00841B2A" w:rsidP="00841B2A">
      <w:pPr>
        <w:rPr>
          <w:szCs w:val="24"/>
        </w:rPr>
      </w:pPr>
      <w:r w:rsidRPr="007657CF">
        <w:rPr>
          <w:rFonts w:eastAsia="Palatino Linotype" w:cs="Palatino Linotype"/>
          <w:color w:val="000000"/>
          <w:szCs w:val="24"/>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727A474F" w14:textId="77777777" w:rsidR="00841B2A" w:rsidRDefault="00841B2A" w:rsidP="00841B2A">
      <w:pPr>
        <w:pBdr>
          <w:top w:val="nil"/>
          <w:left w:val="nil"/>
          <w:bottom w:val="nil"/>
          <w:right w:val="nil"/>
          <w:between w:val="nil"/>
        </w:pBdr>
        <w:rPr>
          <w:rFonts w:eastAsia="Palatino Linotype" w:cs="Palatino Linotype"/>
          <w:color w:val="000000"/>
          <w:szCs w:val="24"/>
        </w:rPr>
      </w:pPr>
    </w:p>
    <w:p w14:paraId="580E892D" w14:textId="252B4530"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6F2304">
        <w:rPr>
          <w:rFonts w:eastAsia="Palatino Linotype" w:cs="Palatino Linotype"/>
          <w:b/>
          <w:color w:val="000000"/>
          <w:szCs w:val="24"/>
        </w:rPr>
        <w:t xml:space="preserve">con fundamento en la primera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Pr="006F2304">
        <w:rPr>
          <w:rFonts w:eastAsia="Palatino Linotype" w:cs="Palatino Linotype"/>
          <w:b/>
          <w:color w:val="000000"/>
          <w:szCs w:val="24"/>
        </w:rPr>
        <w:t xml:space="preserve">REVOCA </w:t>
      </w:r>
      <w:r w:rsidRPr="006F2304">
        <w:rPr>
          <w:rFonts w:eastAsia="Palatino Linotype" w:cs="Palatino Linotype"/>
          <w:color w:val="000000"/>
          <w:szCs w:val="24"/>
        </w:rPr>
        <w:t>la respuesta a la solicitud de información número</w:t>
      </w:r>
      <w:r w:rsidRPr="006F2304">
        <w:rPr>
          <w:rFonts w:eastAsia="Palatino Linotype" w:cs="Palatino Linotype"/>
          <w:b/>
          <w:color w:val="000000"/>
          <w:szCs w:val="24"/>
        </w:rPr>
        <w:t xml:space="preserve"> </w:t>
      </w:r>
      <w:r w:rsidR="00022480" w:rsidRPr="00022480">
        <w:rPr>
          <w:rFonts w:eastAsia="Palatino Linotype" w:cs="Palatino Linotype"/>
          <w:b/>
          <w:bCs/>
          <w:color w:val="000000"/>
          <w:szCs w:val="24"/>
        </w:rPr>
        <w:t>01446/TOLUCA/IP/2022</w:t>
      </w:r>
      <w:r w:rsidRPr="006F2304">
        <w:rPr>
          <w:rFonts w:eastAsia="Palatino Linotype" w:cs="Palatino Linotype"/>
          <w:color w:val="000000"/>
          <w:szCs w:val="24"/>
        </w:rPr>
        <w:t>, que ha sido materia del presente estudio.</w:t>
      </w:r>
    </w:p>
    <w:p w14:paraId="40B15758"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6E709632"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703EE416"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37C11DCC" w14:textId="77777777" w:rsidR="00841B2A" w:rsidRPr="006F2304" w:rsidRDefault="00841B2A" w:rsidP="00841B2A">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t>S E    R E S U E L V E</w:t>
      </w:r>
    </w:p>
    <w:p w14:paraId="06A0F40E" w14:textId="77777777" w:rsidR="00841B2A" w:rsidRPr="006F2304" w:rsidRDefault="00841B2A" w:rsidP="00841B2A">
      <w:pPr>
        <w:pBdr>
          <w:top w:val="nil"/>
          <w:left w:val="nil"/>
          <w:bottom w:val="nil"/>
          <w:right w:val="nil"/>
          <w:between w:val="nil"/>
        </w:pBdr>
        <w:rPr>
          <w:rFonts w:eastAsia="Palatino Linotype" w:cs="Palatino Linotype"/>
          <w:b/>
          <w:color w:val="000000"/>
          <w:szCs w:val="24"/>
        </w:rPr>
      </w:pPr>
    </w:p>
    <w:p w14:paraId="67BF6180" w14:textId="035DB635"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PRIMERO.</w:t>
      </w:r>
      <w:r w:rsidRPr="006F2304">
        <w:rPr>
          <w:rFonts w:eastAsia="Palatino Linotype" w:cs="Palatino Linotype"/>
          <w:color w:val="000000"/>
          <w:szCs w:val="24"/>
        </w:rPr>
        <w:t xml:space="preserve"> Se </w:t>
      </w:r>
      <w:r w:rsidRPr="006F2304">
        <w:rPr>
          <w:rFonts w:eastAsia="Palatino Linotype" w:cs="Palatino Linotype"/>
          <w:b/>
          <w:color w:val="000000"/>
          <w:szCs w:val="24"/>
        </w:rPr>
        <w:t>REVOCA</w:t>
      </w:r>
      <w:r w:rsidRPr="006F2304">
        <w:rPr>
          <w:rFonts w:eastAsia="Palatino Linotype" w:cs="Palatino Linotype"/>
          <w:color w:val="000000"/>
          <w:szCs w:val="24"/>
        </w:rPr>
        <w:t xml:space="preserve"> la respuesta entregada por el Sujeto Obligado</w:t>
      </w:r>
      <w:r w:rsidRPr="006F2304">
        <w:rPr>
          <w:rFonts w:eastAsia="Palatino Linotype" w:cs="Palatino Linotype"/>
          <w:b/>
          <w:color w:val="000000"/>
          <w:szCs w:val="24"/>
        </w:rPr>
        <w:t xml:space="preserve"> </w:t>
      </w:r>
      <w:r w:rsidRPr="006F2304">
        <w:rPr>
          <w:rFonts w:eastAsia="Palatino Linotype" w:cs="Palatino Linotype"/>
          <w:color w:val="000000"/>
          <w:szCs w:val="24"/>
        </w:rPr>
        <w:t xml:space="preserve">a la solicitud de información número </w:t>
      </w:r>
      <w:r w:rsidR="00022480" w:rsidRPr="00022480">
        <w:rPr>
          <w:rFonts w:eastAsia="Palatino Linotype" w:cs="Palatino Linotype"/>
          <w:b/>
          <w:bCs/>
          <w:color w:val="000000"/>
          <w:szCs w:val="24"/>
        </w:rPr>
        <w:t>01446/TOLUCA/IP/2022</w:t>
      </w:r>
      <w:r w:rsidRPr="006F2304">
        <w:rPr>
          <w:rFonts w:eastAsia="Palatino Linotype" w:cs="Palatino Linotype"/>
          <w:color w:val="000000"/>
          <w:szCs w:val="24"/>
        </w:rPr>
        <w:t xml:space="preserve">, por resultar fundados los motivos de inconformidad argüidos por </w:t>
      </w:r>
      <w:r>
        <w:rPr>
          <w:rFonts w:eastAsia="Palatino Linotype" w:cs="Palatino Linotype"/>
          <w:color w:val="000000"/>
          <w:szCs w:val="24"/>
        </w:rPr>
        <w:t>el</w:t>
      </w:r>
      <w:r w:rsidRPr="006F2304">
        <w:rPr>
          <w:rFonts w:eastAsia="Palatino Linotype" w:cs="Palatino Linotype"/>
          <w:color w:val="000000"/>
          <w:szCs w:val="24"/>
        </w:rPr>
        <w:t xml:space="preserve"> Recurrente, en términos del</w:t>
      </w:r>
      <w:r w:rsidRPr="006F2304">
        <w:rPr>
          <w:rFonts w:eastAsia="Palatino Linotype" w:cs="Palatino Linotype"/>
          <w:b/>
          <w:color w:val="000000"/>
          <w:szCs w:val="24"/>
        </w:rPr>
        <w:t xml:space="preserve"> Considerando </w:t>
      </w:r>
      <w:r w:rsidR="00022480">
        <w:rPr>
          <w:rFonts w:eastAsia="Palatino Linotype" w:cs="Palatino Linotype"/>
          <w:b/>
          <w:color w:val="000000"/>
          <w:szCs w:val="24"/>
        </w:rPr>
        <w:t>CUAR</w:t>
      </w:r>
      <w:r w:rsidRPr="006F2304">
        <w:rPr>
          <w:rFonts w:eastAsia="Palatino Linotype" w:cs="Palatino Linotype"/>
          <w:b/>
          <w:color w:val="000000"/>
          <w:szCs w:val="24"/>
        </w:rPr>
        <w:t xml:space="preserve">TO </w:t>
      </w:r>
      <w:r w:rsidRPr="006F2304">
        <w:rPr>
          <w:rFonts w:eastAsia="Palatino Linotype" w:cs="Palatino Linotype"/>
          <w:color w:val="000000"/>
          <w:szCs w:val="24"/>
        </w:rPr>
        <w:t xml:space="preserve">de la presente resolución. </w:t>
      </w:r>
    </w:p>
    <w:p w14:paraId="340C4FFB"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576519E9" w14:textId="622328BA" w:rsidR="00841B2A" w:rsidRPr="004006F7" w:rsidRDefault="00841B2A" w:rsidP="00841B2A">
      <w:pPr>
        <w:pBdr>
          <w:top w:val="nil"/>
          <w:left w:val="nil"/>
          <w:bottom w:val="nil"/>
          <w:right w:val="nil"/>
          <w:between w:val="nil"/>
        </w:pBdr>
        <w:rPr>
          <w:rFonts w:eastAsia="Palatino Linotype" w:cs="Palatino Linotype"/>
          <w:color w:val="000000"/>
          <w:szCs w:val="24"/>
        </w:rPr>
      </w:pPr>
      <w:r w:rsidRPr="004006F7">
        <w:rPr>
          <w:rFonts w:eastAsia="Palatino Linotype" w:cs="Palatino Linotype"/>
          <w:b/>
          <w:color w:val="000000"/>
          <w:szCs w:val="24"/>
        </w:rPr>
        <w:lastRenderedPageBreak/>
        <w:t>SEGUNDO.</w:t>
      </w:r>
      <w:r w:rsidRPr="004006F7">
        <w:rPr>
          <w:rFonts w:eastAsia="Palatino Linotype" w:cs="Palatino Linotype"/>
          <w:color w:val="000000"/>
          <w:szCs w:val="24"/>
        </w:rPr>
        <w:t xml:space="preserve"> Se </w:t>
      </w:r>
      <w:r w:rsidRPr="004006F7">
        <w:rPr>
          <w:rFonts w:eastAsia="Palatino Linotype" w:cs="Palatino Linotype"/>
          <w:b/>
          <w:color w:val="000000"/>
          <w:szCs w:val="24"/>
        </w:rPr>
        <w:t>ORDENA</w:t>
      </w:r>
      <w:r w:rsidRPr="004006F7">
        <w:rPr>
          <w:rFonts w:eastAsia="Palatino Linotype" w:cs="Palatino Linotype"/>
          <w:color w:val="000000"/>
          <w:szCs w:val="24"/>
        </w:rPr>
        <w:t xml:space="preserve"> al Sujeto Obligado que realice una búsqueda exhaustiva y razonable en los archivos de las unidades administrativas que se consideren competentes y haga entrega al Recurrente mediante el Sistema de Acceso a la Información Mexiquense (SAIMEX), en </w:t>
      </w:r>
      <w:r w:rsidR="00022480" w:rsidRPr="004006F7">
        <w:rPr>
          <w:rFonts w:eastAsia="Palatino Linotype" w:cs="Palatino Linotype"/>
          <w:color w:val="000000"/>
          <w:szCs w:val="24"/>
        </w:rPr>
        <w:t>versión pública</w:t>
      </w:r>
      <w:r w:rsidRPr="004006F7">
        <w:rPr>
          <w:rFonts w:eastAsia="Palatino Linotype" w:cs="Palatino Linotype"/>
          <w:color w:val="000000"/>
          <w:szCs w:val="24"/>
        </w:rPr>
        <w:t xml:space="preserve"> y en términos del </w:t>
      </w:r>
      <w:r w:rsidRPr="004006F7">
        <w:rPr>
          <w:rFonts w:eastAsia="Palatino Linotype" w:cs="Palatino Linotype"/>
          <w:b/>
          <w:color w:val="000000"/>
          <w:szCs w:val="24"/>
        </w:rPr>
        <w:t xml:space="preserve">Considerando </w:t>
      </w:r>
      <w:r w:rsidR="00022480" w:rsidRPr="004006F7">
        <w:rPr>
          <w:rFonts w:eastAsia="Palatino Linotype" w:cs="Palatino Linotype"/>
          <w:b/>
          <w:color w:val="000000"/>
          <w:szCs w:val="24"/>
        </w:rPr>
        <w:t>CUAR</w:t>
      </w:r>
      <w:r w:rsidRPr="004006F7">
        <w:rPr>
          <w:rFonts w:eastAsia="Palatino Linotype" w:cs="Palatino Linotype"/>
          <w:b/>
          <w:color w:val="000000"/>
          <w:szCs w:val="24"/>
        </w:rPr>
        <w:t>TO</w:t>
      </w:r>
      <w:r w:rsidRPr="004006F7">
        <w:rPr>
          <w:rFonts w:eastAsia="Palatino Linotype" w:cs="Palatino Linotype"/>
          <w:color w:val="000000"/>
          <w:szCs w:val="24"/>
        </w:rPr>
        <w:t xml:space="preserve">, de lo siguiente: </w:t>
      </w:r>
    </w:p>
    <w:p w14:paraId="5C9FF5A8" w14:textId="77777777" w:rsidR="00841B2A" w:rsidRPr="004006F7" w:rsidRDefault="00841B2A" w:rsidP="00841B2A">
      <w:pPr>
        <w:pBdr>
          <w:top w:val="nil"/>
          <w:left w:val="nil"/>
          <w:bottom w:val="nil"/>
          <w:right w:val="nil"/>
          <w:between w:val="nil"/>
        </w:pBdr>
        <w:rPr>
          <w:rFonts w:eastAsia="Palatino Linotype" w:cs="Palatino Linotype"/>
          <w:color w:val="000000"/>
          <w:szCs w:val="24"/>
        </w:rPr>
      </w:pPr>
    </w:p>
    <w:p w14:paraId="7FA00B17" w14:textId="4930681B" w:rsidR="00841B2A" w:rsidRPr="004006F7" w:rsidRDefault="00022480" w:rsidP="00841B2A">
      <w:pPr>
        <w:numPr>
          <w:ilvl w:val="0"/>
          <w:numId w:val="13"/>
        </w:numPr>
        <w:pBdr>
          <w:top w:val="nil"/>
          <w:left w:val="nil"/>
          <w:bottom w:val="nil"/>
          <w:right w:val="nil"/>
          <w:between w:val="nil"/>
        </w:pBdr>
        <w:ind w:left="851" w:hanging="567"/>
        <w:rPr>
          <w:rFonts w:eastAsia="Palatino Linotype" w:cs="Palatino Linotype"/>
          <w:color w:val="000000"/>
          <w:szCs w:val="24"/>
        </w:rPr>
      </w:pPr>
      <w:r w:rsidRPr="004006F7">
        <w:rPr>
          <w:rFonts w:eastAsia="Palatino Linotype" w:cs="Palatino Linotype"/>
          <w:i/>
          <w:color w:val="000000"/>
          <w:szCs w:val="24"/>
        </w:rPr>
        <w:t>Contrato de adquisición de patrullas referido en la respuesta del Sujeto Obligado.</w:t>
      </w:r>
    </w:p>
    <w:p w14:paraId="39D66220"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707F2756" w14:textId="77777777" w:rsidR="00841B2A"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F568FA3"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26D11B09"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TERCERO. Notifíquese</w:t>
      </w:r>
      <w:r w:rsidRPr="006F2304">
        <w:rPr>
          <w:rFonts w:eastAsia="Palatino Linotype" w:cs="Palatino Linotype"/>
          <w:b/>
          <w:i/>
          <w:color w:val="000000"/>
          <w:szCs w:val="24"/>
        </w:rPr>
        <w:t xml:space="preserve"> </w:t>
      </w:r>
      <w:r w:rsidRPr="006F2304">
        <w:rPr>
          <w:rFonts w:eastAsia="Palatino Linotype" w:cs="Palatino Linotype"/>
          <w:color w:val="000000"/>
          <w:szCs w:val="24"/>
        </w:rPr>
        <w:t>al Titular de la Unidad de Transparencia del</w:t>
      </w:r>
      <w:r w:rsidRPr="006F2304">
        <w:rPr>
          <w:rFonts w:eastAsia="Palatino Linotype" w:cs="Palatino Linotype"/>
          <w:b/>
          <w:color w:val="000000"/>
          <w:szCs w:val="24"/>
        </w:rPr>
        <w:t xml:space="preserve"> </w:t>
      </w:r>
      <w:r w:rsidRPr="006F2304">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F06F24D"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088A3923"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 xml:space="preserve">CUARTO. </w:t>
      </w:r>
      <w:r w:rsidRPr="006F2304">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6F2304">
        <w:rPr>
          <w:rFonts w:eastAsia="Palatino Linotype" w:cs="Palatino Linotype"/>
          <w:color w:val="000000"/>
          <w:szCs w:val="24"/>
        </w:rPr>
        <w:lastRenderedPageBreak/>
        <w:t>Sujeto Obligado, de manera fundada y motivada, podrá solicitar una ampliación de plazo para el cumplimiento de la presente resolución.</w:t>
      </w:r>
    </w:p>
    <w:p w14:paraId="39BE99EE" w14:textId="77777777" w:rsidR="00841B2A" w:rsidRPr="006F2304" w:rsidRDefault="00841B2A" w:rsidP="00841B2A">
      <w:pPr>
        <w:pBdr>
          <w:top w:val="nil"/>
          <w:left w:val="nil"/>
          <w:bottom w:val="nil"/>
          <w:right w:val="nil"/>
          <w:between w:val="nil"/>
        </w:pBdr>
        <w:rPr>
          <w:rFonts w:eastAsia="Palatino Linotype" w:cs="Palatino Linotype"/>
          <w:b/>
          <w:color w:val="000000"/>
          <w:szCs w:val="24"/>
        </w:rPr>
      </w:pPr>
    </w:p>
    <w:p w14:paraId="60240B5D" w14:textId="77777777" w:rsidR="00841B2A" w:rsidRPr="006F2304" w:rsidRDefault="00841B2A" w:rsidP="00841B2A">
      <w:pPr>
        <w:pBdr>
          <w:top w:val="nil"/>
          <w:left w:val="nil"/>
          <w:bottom w:val="nil"/>
          <w:right w:val="nil"/>
          <w:between w:val="nil"/>
        </w:pBdr>
        <w:rPr>
          <w:rFonts w:eastAsia="Palatino Linotype" w:cs="Palatino Linotype"/>
          <w:color w:val="000000"/>
          <w:szCs w:val="24"/>
          <w:highlight w:val="white"/>
        </w:rPr>
      </w:pPr>
      <w:r w:rsidRPr="006F2304">
        <w:rPr>
          <w:rFonts w:eastAsia="Palatino Linotype" w:cs="Palatino Linotype"/>
          <w:b/>
          <w:color w:val="000000"/>
          <w:szCs w:val="24"/>
        </w:rPr>
        <w:t xml:space="preserve">QUINTO. Notifíquese </w:t>
      </w:r>
      <w:r w:rsidRPr="006F2304">
        <w:rPr>
          <w:rFonts w:eastAsia="Palatino Linotype" w:cs="Palatino Linotype"/>
          <w:color w:val="000000"/>
          <w:szCs w:val="24"/>
        </w:rPr>
        <w:t>la presente resolución a</w:t>
      </w:r>
      <w:r>
        <w:rPr>
          <w:rFonts w:eastAsia="Palatino Linotype" w:cs="Palatino Linotype"/>
          <w:color w:val="000000"/>
          <w:szCs w:val="24"/>
        </w:rPr>
        <w:t>l</w:t>
      </w:r>
      <w:r w:rsidRPr="006F2304">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6F2304">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41B193EF" w14:textId="77777777" w:rsidR="006E621A" w:rsidRPr="00841B2A" w:rsidRDefault="006E621A" w:rsidP="00BE4E95">
      <w:pPr>
        <w:contextualSpacing/>
        <w:rPr>
          <w:rFonts w:eastAsiaTheme="minorHAnsi" w:cs="Arial"/>
          <w:szCs w:val="24"/>
          <w:lang w:eastAsia="en-US"/>
        </w:rPr>
      </w:pPr>
    </w:p>
    <w:p w14:paraId="3AB65A77" w14:textId="0FC9C0A5" w:rsidR="00E97F10" w:rsidRPr="00C82353" w:rsidRDefault="26EDA31A" w:rsidP="26EDA31A">
      <w:pPr>
        <w:pBdr>
          <w:top w:val="nil"/>
          <w:left w:val="nil"/>
          <w:bottom w:val="nil"/>
          <w:right w:val="nil"/>
          <w:between w:val="nil"/>
        </w:pBdr>
        <w:contextualSpacing/>
        <w:rPr>
          <w:rFonts w:eastAsia="Palatino Linotype" w:cs="Palatino Linotype"/>
          <w:color w:val="000000"/>
          <w:lang w:val="es-ES"/>
        </w:rPr>
      </w:pPr>
      <w:r w:rsidRPr="26EDA31A">
        <w:rPr>
          <w:rFonts w:eastAsia="Palatino Linotype" w:cs="Palatino Linotype"/>
          <w:color w:val="000000" w:themeColor="text1"/>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006F7">
        <w:rPr>
          <w:rFonts w:eastAsia="Palatino Linotype" w:cs="Palatino Linotype"/>
          <w:color w:val="000000" w:themeColor="text1"/>
          <w:lang w:val="es-ES"/>
        </w:rPr>
        <w:t xml:space="preserve"> EMITIENDO VOTO PARTICULAR</w:t>
      </w:r>
      <w:r w:rsidRPr="26EDA31A">
        <w:rPr>
          <w:rFonts w:eastAsia="Palatino Linotype" w:cs="Palatino Linotype"/>
          <w:color w:val="000000" w:themeColor="text1"/>
          <w:lang w:val="es-ES"/>
        </w:rPr>
        <w:t xml:space="preserve"> Y GUADALUPE RAMÍREZ PEÑA, EN LA TRIGÉSIMA SÉPTIMA SESIÓN ORDINARIA CELEBRADA EL DOCE DE OCTUBRE DE DOS MIL VEINTIDÓS, ANTE EL SECRETARIO TÉCNICO DEL PLENO, ALEXIS TAPIA RAMÍREZ.----------------------------------------------------------------------------------------------------------------------------------------------------------------------------------------------------------------------------------------------------------------------------------------------------------------------------------------------------------------------------------------------------------------------------------------------------------------------------------------------------------------</w:t>
      </w:r>
      <w:r w:rsidR="00022480">
        <w:rPr>
          <w:rFonts w:eastAsia="Palatino Linotype" w:cs="Palatino Linotype"/>
          <w:color w:val="000000" w:themeColor="text1"/>
          <w:lang w:val="es-ES"/>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w:t>
      </w:r>
      <w:proofErr w:type="spellStart"/>
      <w:r w:rsidRPr="00C82353">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7B0472">
      <w:headerReference w:type="even" r:id="rId8"/>
      <w:headerReference w:type="default" r:id="rId9"/>
      <w:footerReference w:type="default" r:id="rId10"/>
      <w:headerReference w:type="first" r:id="rId11"/>
      <w:footerReference w:type="first" r:id="rId12"/>
      <w:pgSz w:w="12240" w:h="15840"/>
      <w:pgMar w:top="3084" w:right="1134" w:bottom="1276"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A2002" w14:textId="77777777" w:rsidR="00E93FF9" w:rsidRDefault="00E93FF9" w:rsidP="00F2498E">
      <w:pPr>
        <w:spacing w:line="240" w:lineRule="auto"/>
      </w:pPr>
      <w:r>
        <w:separator/>
      </w:r>
    </w:p>
  </w:endnote>
  <w:endnote w:type="continuationSeparator" w:id="0">
    <w:p w14:paraId="2ACE637A" w14:textId="77777777" w:rsidR="00E93FF9" w:rsidRDefault="00E93FF9"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13A4141A" w:rsidR="00E030B9" w:rsidRPr="001E1226" w:rsidRDefault="00E030B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4B27">
      <w:rPr>
        <w:rFonts w:ascii="Palatino Linotype" w:hAnsi="Palatino Linotype"/>
        <w:b/>
        <w:bCs/>
        <w:noProof/>
        <w:sz w:val="20"/>
      </w:rPr>
      <w:t>31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4B27">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7A8F4CA3" w:rsidR="00E030B9" w:rsidRPr="001E1226" w:rsidRDefault="00E030B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4B2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4B27">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84084" w14:textId="77777777" w:rsidR="00E93FF9" w:rsidRDefault="00E93FF9" w:rsidP="00F2498E">
      <w:pPr>
        <w:spacing w:line="240" w:lineRule="auto"/>
      </w:pPr>
      <w:r>
        <w:separator/>
      </w:r>
    </w:p>
  </w:footnote>
  <w:footnote w:type="continuationSeparator" w:id="0">
    <w:p w14:paraId="01002A34" w14:textId="77777777" w:rsidR="00E93FF9" w:rsidRDefault="00E93FF9" w:rsidP="00F2498E">
      <w:pPr>
        <w:spacing w:line="240" w:lineRule="auto"/>
      </w:pPr>
      <w:r>
        <w:continuationSeparator/>
      </w:r>
    </w:p>
  </w:footnote>
  <w:footnote w:id="1">
    <w:p w14:paraId="2B7DE0D0" w14:textId="77777777" w:rsidR="00FD1870" w:rsidRPr="0031280C" w:rsidRDefault="00FD1870" w:rsidP="00FD1870">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72659B7" w14:textId="77777777" w:rsidR="00FD1870" w:rsidRPr="0031280C" w:rsidRDefault="00FD1870" w:rsidP="00FD1870">
      <w:pPr>
        <w:pBdr>
          <w:top w:val="nil"/>
          <w:left w:val="nil"/>
          <w:bottom w:val="nil"/>
          <w:right w:val="nil"/>
          <w:between w:val="nil"/>
        </w:pBdr>
        <w:spacing w:line="240" w:lineRule="auto"/>
        <w:rPr>
          <w:rFonts w:eastAsia="Palatino Linotype" w:cs="Palatino Linotype"/>
          <w:color w:val="000000"/>
          <w:sz w:val="20"/>
          <w:szCs w:val="20"/>
        </w:rPr>
      </w:pPr>
    </w:p>
    <w:p w14:paraId="354C8644" w14:textId="77777777" w:rsidR="00FD1870" w:rsidRPr="0031280C" w:rsidRDefault="00FD1870" w:rsidP="00FD1870">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3C7AECD" w14:textId="77777777" w:rsidR="00FD1870" w:rsidRPr="0031280C" w:rsidRDefault="00FD1870" w:rsidP="00FD1870">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CBF58E0" w14:textId="04D067CD" w:rsidR="00916768" w:rsidRPr="00916768" w:rsidRDefault="00916768">
      <w:pPr>
        <w:pStyle w:val="Textonotapie"/>
      </w:pPr>
      <w:r>
        <w:rPr>
          <w:rStyle w:val="Refdenotaalpie"/>
        </w:rPr>
        <w:footnoteRef/>
      </w:r>
      <w:r w:rsidRPr="008621F5">
        <w:t xml:space="preserve"> Tesis I. 1o. </w:t>
      </w:r>
      <w:r w:rsidRPr="00916768">
        <w:t xml:space="preserve">A.E.133 A (10a.), </w:t>
      </w:r>
      <w:r>
        <w:rPr>
          <w:i/>
          <w:iCs/>
        </w:rPr>
        <w:t>Gaceta del Semanario Judicial de la Federación</w:t>
      </w:r>
      <w:r>
        <w:t>, Décima Época, libro 29, tomo III, abril de 2016, pág. 2133.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E030B9" w:rsidRDefault="00E93FF9">
    <w:pPr>
      <w:pStyle w:val="Encabezado"/>
    </w:pPr>
    <w:r>
      <w:rPr>
        <w:noProof/>
        <w:lang w:val="es-MX" w:eastAsia="es-MX"/>
      </w:rPr>
      <w:pict w14:anchorId="0098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030B9" w:rsidRPr="00B17577" w14:paraId="37B9EBDE" w14:textId="77777777" w:rsidTr="001E1226">
      <w:trPr>
        <w:trHeight w:val="227"/>
      </w:trPr>
      <w:tc>
        <w:tcPr>
          <w:tcW w:w="5103" w:type="dxa"/>
          <w:hideMark/>
        </w:tcPr>
        <w:p w14:paraId="4964FBC5" w14:textId="54CDA645" w:rsidR="00E030B9" w:rsidRPr="00096248" w:rsidRDefault="00E030B9"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B100915" w:rsidR="00E030B9" w:rsidRPr="00096248" w:rsidRDefault="00060BFB" w:rsidP="001E1226">
          <w:pPr>
            <w:spacing w:after="120" w:line="240" w:lineRule="auto"/>
            <w:ind w:right="71"/>
            <w:jc w:val="right"/>
            <w:rPr>
              <w:rFonts w:cs="Arial"/>
              <w:b/>
              <w:szCs w:val="24"/>
            </w:rPr>
          </w:pPr>
          <w:r>
            <w:rPr>
              <w:rFonts w:cs="Arial"/>
              <w:b/>
              <w:bCs/>
              <w:szCs w:val="24"/>
            </w:rPr>
            <w:t>1</w:t>
          </w:r>
          <w:r w:rsidR="00E365C6">
            <w:rPr>
              <w:rFonts w:cs="Arial"/>
              <w:b/>
              <w:bCs/>
              <w:szCs w:val="24"/>
            </w:rPr>
            <w:t>26</w:t>
          </w:r>
          <w:r>
            <w:rPr>
              <w:rFonts w:cs="Arial"/>
              <w:b/>
              <w:bCs/>
              <w:szCs w:val="24"/>
            </w:rPr>
            <w:t>10</w:t>
          </w:r>
          <w:r w:rsidR="00E030B9" w:rsidRPr="00096248">
            <w:rPr>
              <w:rFonts w:cs="Arial"/>
              <w:b/>
              <w:bCs/>
              <w:szCs w:val="24"/>
            </w:rPr>
            <w:t>/INFOEM/IP/RR/202</w:t>
          </w:r>
          <w:r w:rsidR="00E030B9">
            <w:rPr>
              <w:rFonts w:cs="Arial"/>
              <w:b/>
              <w:bCs/>
              <w:szCs w:val="24"/>
            </w:rPr>
            <w:t>2</w:t>
          </w:r>
        </w:p>
      </w:tc>
    </w:tr>
    <w:tr w:rsidR="00E030B9" w14:paraId="7591D3C9" w14:textId="77777777" w:rsidTr="001E1226">
      <w:trPr>
        <w:trHeight w:val="242"/>
      </w:trPr>
      <w:tc>
        <w:tcPr>
          <w:tcW w:w="5103" w:type="dxa"/>
          <w:hideMark/>
        </w:tcPr>
        <w:p w14:paraId="729A65A8" w14:textId="77777777" w:rsidR="00E030B9" w:rsidRPr="00096248" w:rsidRDefault="00E030B9"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CA3823B" w:rsidR="00E030B9" w:rsidRPr="00096248" w:rsidRDefault="00E030B9" w:rsidP="001E1226">
          <w:pPr>
            <w:spacing w:after="120" w:line="240" w:lineRule="auto"/>
            <w:ind w:right="74"/>
            <w:jc w:val="right"/>
            <w:rPr>
              <w:rFonts w:cs="Arial"/>
              <w:szCs w:val="24"/>
            </w:rPr>
          </w:pPr>
          <w:r>
            <w:rPr>
              <w:rFonts w:cs="Arial"/>
              <w:szCs w:val="24"/>
            </w:rPr>
            <w:t xml:space="preserve">Ayuntamiento de </w:t>
          </w:r>
          <w:r w:rsidR="00060BFB">
            <w:rPr>
              <w:rFonts w:cs="Arial"/>
              <w:szCs w:val="24"/>
            </w:rPr>
            <w:t>T</w:t>
          </w:r>
          <w:r w:rsidR="00E365C6">
            <w:rPr>
              <w:rFonts w:cs="Arial"/>
              <w:szCs w:val="24"/>
            </w:rPr>
            <w:t>oluca</w:t>
          </w:r>
        </w:p>
      </w:tc>
    </w:tr>
    <w:tr w:rsidR="00E030B9" w:rsidRPr="00F63239" w14:paraId="037E914D" w14:textId="77777777" w:rsidTr="001E1226">
      <w:trPr>
        <w:trHeight w:val="342"/>
      </w:trPr>
      <w:tc>
        <w:tcPr>
          <w:tcW w:w="5103" w:type="dxa"/>
          <w:hideMark/>
        </w:tcPr>
        <w:p w14:paraId="7676B68F" w14:textId="64D69EAF" w:rsidR="00E030B9" w:rsidRPr="00096248" w:rsidRDefault="00E030B9"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E030B9" w:rsidRPr="00096248" w:rsidRDefault="00E030B9"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E030B9" w:rsidRPr="001E1226" w:rsidRDefault="00E93FF9">
    <w:pPr>
      <w:pStyle w:val="Encabezado"/>
      <w:rPr>
        <w:sz w:val="2"/>
        <w:szCs w:val="2"/>
      </w:rPr>
    </w:pPr>
    <w:r>
      <w:rPr>
        <w:noProof/>
        <w:lang w:val="es-MX" w:eastAsia="es-MX"/>
      </w:rPr>
      <w:pict w14:anchorId="4CEB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0.9pt;margin-top:-148.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E030B9">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030B9" w14:paraId="0F9FE9B6" w14:textId="77777777" w:rsidTr="001E1226">
      <w:trPr>
        <w:trHeight w:val="227"/>
      </w:trPr>
      <w:tc>
        <w:tcPr>
          <w:tcW w:w="5245" w:type="dxa"/>
          <w:hideMark/>
        </w:tcPr>
        <w:p w14:paraId="6D1D9D71" w14:textId="11150E5A" w:rsidR="00E030B9" w:rsidRPr="00663A37" w:rsidRDefault="00E030B9"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E752A08" w:rsidR="00E030B9" w:rsidRPr="00096248" w:rsidRDefault="00060BFB" w:rsidP="001E1226">
          <w:pPr>
            <w:spacing w:after="120" w:line="240" w:lineRule="auto"/>
            <w:ind w:left="-488" w:right="68" w:firstLine="556"/>
            <w:jc w:val="right"/>
            <w:rPr>
              <w:rFonts w:cs="Arial"/>
              <w:b/>
              <w:szCs w:val="24"/>
            </w:rPr>
          </w:pPr>
          <w:r>
            <w:rPr>
              <w:rFonts w:cs="Arial"/>
              <w:b/>
              <w:bCs/>
              <w:szCs w:val="24"/>
            </w:rPr>
            <w:t>1</w:t>
          </w:r>
          <w:r w:rsidR="00E365C6">
            <w:rPr>
              <w:rFonts w:cs="Arial"/>
              <w:b/>
              <w:bCs/>
              <w:szCs w:val="24"/>
            </w:rPr>
            <w:t>26</w:t>
          </w:r>
          <w:r>
            <w:rPr>
              <w:rFonts w:cs="Arial"/>
              <w:b/>
              <w:bCs/>
              <w:szCs w:val="24"/>
            </w:rPr>
            <w:t>10</w:t>
          </w:r>
          <w:r w:rsidR="00E030B9" w:rsidRPr="00096248">
            <w:rPr>
              <w:rFonts w:cs="Arial"/>
              <w:b/>
              <w:bCs/>
              <w:szCs w:val="24"/>
            </w:rPr>
            <w:t>/INFOEM/IP/RR/202</w:t>
          </w:r>
          <w:r w:rsidR="00E030B9">
            <w:rPr>
              <w:rFonts w:cs="Arial"/>
              <w:b/>
              <w:bCs/>
              <w:szCs w:val="24"/>
            </w:rPr>
            <w:t>2</w:t>
          </w:r>
        </w:p>
      </w:tc>
    </w:tr>
    <w:tr w:rsidR="00E030B9" w:rsidRPr="001F57CD" w14:paraId="1377D264" w14:textId="77777777" w:rsidTr="001E1226">
      <w:trPr>
        <w:trHeight w:val="196"/>
      </w:trPr>
      <w:tc>
        <w:tcPr>
          <w:tcW w:w="5245" w:type="dxa"/>
          <w:hideMark/>
        </w:tcPr>
        <w:p w14:paraId="04D597A1" w14:textId="77777777" w:rsidR="00E030B9" w:rsidRPr="00663A37" w:rsidRDefault="00E030B9"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C671240" w:rsidR="00E030B9" w:rsidRPr="00663A37" w:rsidRDefault="00B44B27" w:rsidP="001E1226">
          <w:pPr>
            <w:spacing w:after="120" w:line="240" w:lineRule="auto"/>
            <w:ind w:right="68"/>
            <w:jc w:val="right"/>
            <w:rPr>
              <w:rFonts w:cs="Arial"/>
              <w:szCs w:val="24"/>
            </w:rPr>
          </w:pPr>
          <w:r>
            <w:rPr>
              <w:rFonts w:cs="Arial"/>
              <w:szCs w:val="24"/>
            </w:rPr>
            <w:t>XXXXXXXXXXXXXXXX</w:t>
          </w:r>
        </w:p>
      </w:tc>
    </w:tr>
    <w:tr w:rsidR="00E030B9" w14:paraId="4DC11993" w14:textId="77777777" w:rsidTr="001E1226">
      <w:trPr>
        <w:trHeight w:val="242"/>
      </w:trPr>
      <w:tc>
        <w:tcPr>
          <w:tcW w:w="5245" w:type="dxa"/>
          <w:hideMark/>
        </w:tcPr>
        <w:p w14:paraId="76CEF1B5" w14:textId="77777777" w:rsidR="00E030B9" w:rsidRPr="00663A37" w:rsidRDefault="00E030B9"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32EDCD2" w:rsidR="00E030B9" w:rsidRPr="00663A37" w:rsidRDefault="00E030B9" w:rsidP="001E1226">
          <w:pPr>
            <w:spacing w:after="120" w:line="240" w:lineRule="auto"/>
            <w:ind w:left="-68" w:right="68"/>
            <w:jc w:val="right"/>
            <w:rPr>
              <w:rFonts w:cs="Arial"/>
              <w:szCs w:val="24"/>
            </w:rPr>
          </w:pPr>
          <w:r>
            <w:rPr>
              <w:rFonts w:cs="Arial"/>
              <w:szCs w:val="24"/>
            </w:rPr>
            <w:t xml:space="preserve">Ayuntamiento de </w:t>
          </w:r>
          <w:r w:rsidR="00060BFB">
            <w:rPr>
              <w:rFonts w:cs="Arial"/>
              <w:szCs w:val="24"/>
            </w:rPr>
            <w:t>T</w:t>
          </w:r>
          <w:r w:rsidR="00E365C6">
            <w:rPr>
              <w:rFonts w:cs="Arial"/>
              <w:szCs w:val="24"/>
            </w:rPr>
            <w:t>oluca</w:t>
          </w:r>
        </w:p>
      </w:tc>
    </w:tr>
    <w:tr w:rsidR="00E030B9" w14:paraId="5C2B511D" w14:textId="77777777" w:rsidTr="001E1226">
      <w:trPr>
        <w:trHeight w:val="342"/>
      </w:trPr>
      <w:tc>
        <w:tcPr>
          <w:tcW w:w="5245" w:type="dxa"/>
          <w:hideMark/>
        </w:tcPr>
        <w:p w14:paraId="03FEF68C" w14:textId="45E91CF4" w:rsidR="00E030B9" w:rsidRPr="00663A37" w:rsidRDefault="00E030B9"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030B9" w:rsidRPr="00663A37" w:rsidRDefault="00E030B9"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E030B9" w:rsidRPr="001E1226" w:rsidRDefault="00E93FF9">
    <w:pPr>
      <w:pStyle w:val="Encabezado"/>
      <w:rPr>
        <w:sz w:val="2"/>
        <w:szCs w:val="2"/>
      </w:rPr>
    </w:pPr>
    <w:r>
      <w:rPr>
        <w:noProof/>
        <w:lang w:val="es-MX" w:eastAsia="es-MX"/>
      </w:rPr>
      <w:pict w14:anchorId="215C6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45pt;margin-top:-148.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E030B9">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4"/>
  </w:num>
  <w:num w:numId="2">
    <w:abstractNumId w:val="9"/>
  </w:num>
  <w:num w:numId="3">
    <w:abstractNumId w:val="26"/>
  </w:num>
  <w:num w:numId="4">
    <w:abstractNumId w:val="1"/>
  </w:num>
  <w:num w:numId="5">
    <w:abstractNumId w:val="15"/>
  </w:num>
  <w:num w:numId="6">
    <w:abstractNumId w:val="10"/>
  </w:num>
  <w:num w:numId="7">
    <w:abstractNumId w:val="21"/>
  </w:num>
  <w:num w:numId="8">
    <w:abstractNumId w:val="3"/>
  </w:num>
  <w:num w:numId="9">
    <w:abstractNumId w:val="20"/>
  </w:num>
  <w:num w:numId="10">
    <w:abstractNumId w:val="4"/>
  </w:num>
  <w:num w:numId="11">
    <w:abstractNumId w:val="14"/>
  </w:num>
  <w:num w:numId="12">
    <w:abstractNumId w:val="18"/>
  </w:num>
  <w:num w:numId="13">
    <w:abstractNumId w:val="5"/>
  </w:num>
  <w:num w:numId="14">
    <w:abstractNumId w:val="17"/>
  </w:num>
  <w:num w:numId="15">
    <w:abstractNumId w:val="23"/>
  </w:num>
  <w:num w:numId="16">
    <w:abstractNumId w:val="6"/>
  </w:num>
  <w:num w:numId="17">
    <w:abstractNumId w:val="0"/>
  </w:num>
  <w:num w:numId="18">
    <w:abstractNumId w:val="7"/>
  </w:num>
  <w:num w:numId="19">
    <w:abstractNumId w:val="22"/>
  </w:num>
  <w:num w:numId="20">
    <w:abstractNumId w:val="13"/>
  </w:num>
  <w:num w:numId="21">
    <w:abstractNumId w:val="27"/>
  </w:num>
  <w:num w:numId="22">
    <w:abstractNumId w:val="16"/>
  </w:num>
  <w:num w:numId="23">
    <w:abstractNumId w:val="2"/>
  </w:num>
  <w:num w:numId="24">
    <w:abstractNumId w:val="11"/>
  </w:num>
  <w:num w:numId="25">
    <w:abstractNumId w:val="12"/>
  </w:num>
  <w:num w:numId="26">
    <w:abstractNumId w:val="19"/>
  </w:num>
  <w:num w:numId="27">
    <w:abstractNumId w:val="8"/>
  </w:num>
  <w:num w:numId="2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1DE9"/>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EC4"/>
    <w:rsid w:val="002D15F2"/>
    <w:rsid w:val="002D2F05"/>
    <w:rsid w:val="002D3A3B"/>
    <w:rsid w:val="002D4953"/>
    <w:rsid w:val="002D5CCE"/>
    <w:rsid w:val="002E0E09"/>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04F79"/>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6124"/>
    <w:rsid w:val="00426F24"/>
    <w:rsid w:val="00430498"/>
    <w:rsid w:val="004310BB"/>
    <w:rsid w:val="0043126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6671"/>
    <w:rsid w:val="004F78C4"/>
    <w:rsid w:val="00500557"/>
    <w:rsid w:val="00500E29"/>
    <w:rsid w:val="005025C7"/>
    <w:rsid w:val="00503552"/>
    <w:rsid w:val="00504B42"/>
    <w:rsid w:val="0050585A"/>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10026"/>
    <w:rsid w:val="00610A95"/>
    <w:rsid w:val="00610C37"/>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102"/>
    <w:rsid w:val="00665A8F"/>
    <w:rsid w:val="00667860"/>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E1C"/>
    <w:rsid w:val="007A0DC1"/>
    <w:rsid w:val="007A19E0"/>
    <w:rsid w:val="007A1AB6"/>
    <w:rsid w:val="007A23F8"/>
    <w:rsid w:val="007A2D52"/>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00D"/>
    <w:rsid w:val="0080069B"/>
    <w:rsid w:val="00800EF1"/>
    <w:rsid w:val="008017D6"/>
    <w:rsid w:val="0080185B"/>
    <w:rsid w:val="00802AC9"/>
    <w:rsid w:val="00803304"/>
    <w:rsid w:val="00807B2A"/>
    <w:rsid w:val="00810E97"/>
    <w:rsid w:val="0081123B"/>
    <w:rsid w:val="00811393"/>
    <w:rsid w:val="00816324"/>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7EF2"/>
    <w:rsid w:val="008B0517"/>
    <w:rsid w:val="008B0DFB"/>
    <w:rsid w:val="008B2088"/>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E5EF0"/>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16768"/>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397C"/>
    <w:rsid w:val="00996257"/>
    <w:rsid w:val="00996BCA"/>
    <w:rsid w:val="009A0E79"/>
    <w:rsid w:val="009A216A"/>
    <w:rsid w:val="009A23B0"/>
    <w:rsid w:val="009A35C9"/>
    <w:rsid w:val="009A3604"/>
    <w:rsid w:val="009A473C"/>
    <w:rsid w:val="009A640D"/>
    <w:rsid w:val="009A7701"/>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166A"/>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4B27"/>
    <w:rsid w:val="00B4620E"/>
    <w:rsid w:val="00B46CB0"/>
    <w:rsid w:val="00B5462A"/>
    <w:rsid w:val="00B57348"/>
    <w:rsid w:val="00B61E5E"/>
    <w:rsid w:val="00B62D2B"/>
    <w:rsid w:val="00B63807"/>
    <w:rsid w:val="00B65D4D"/>
    <w:rsid w:val="00B66649"/>
    <w:rsid w:val="00B66DB5"/>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2E5C"/>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788"/>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3FF9"/>
    <w:rsid w:val="00E96F04"/>
    <w:rsid w:val="00E97F10"/>
    <w:rsid w:val="00EA4C1F"/>
    <w:rsid w:val="00EA5B2B"/>
    <w:rsid w:val="00EA7EA7"/>
    <w:rsid w:val="00EB0AFA"/>
    <w:rsid w:val="00EB2BE8"/>
    <w:rsid w:val="00EB3FD5"/>
    <w:rsid w:val="00EB4897"/>
    <w:rsid w:val="00EB5F05"/>
    <w:rsid w:val="00EB65D1"/>
    <w:rsid w:val="00EC1362"/>
    <w:rsid w:val="00EC1ED1"/>
    <w:rsid w:val="00EC238F"/>
    <w:rsid w:val="00EC291E"/>
    <w:rsid w:val="00EC2EEA"/>
    <w:rsid w:val="00EC3519"/>
    <w:rsid w:val="00EC6ABB"/>
    <w:rsid w:val="00EC7B44"/>
    <w:rsid w:val="00ED10D9"/>
    <w:rsid w:val="00ED28F4"/>
    <w:rsid w:val="00ED30A9"/>
    <w:rsid w:val="00ED4023"/>
    <w:rsid w:val="00ED43C6"/>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3554"/>
    <w:rsid w:val="00F2498E"/>
    <w:rsid w:val="00F3332A"/>
    <w:rsid w:val="00F34068"/>
    <w:rsid w:val="00F3421F"/>
    <w:rsid w:val="00F34782"/>
    <w:rsid w:val="00F34C48"/>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56D7"/>
    <w:rsid w:val="00F77300"/>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870"/>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26EDA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next w:val="Default"/>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17456-859A-4267-B34D-7E5C25B1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33</Pages>
  <Words>8271</Words>
  <Characters>45491</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7</cp:revision>
  <cp:lastPrinted>2019-06-13T15:30:00Z</cp:lastPrinted>
  <dcterms:created xsi:type="dcterms:W3CDTF">2022-10-10T22:18:00Z</dcterms:created>
  <dcterms:modified xsi:type="dcterms:W3CDTF">2022-10-27T20:36:00Z</dcterms:modified>
</cp:coreProperties>
</file>