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trece</w:t>
      </w:r>
      <w:r>
        <w:rPr>
          <w:rFonts w:ascii="Palatino Linotype" w:eastAsia="Palatino Linotype" w:hAnsi="Palatino Linotype" w:cs="Palatino Linotype"/>
        </w:rPr>
        <w:t xml:space="preserve"> </w:t>
      </w:r>
      <w:r>
        <w:rPr>
          <w:rFonts w:ascii="Palatino Linotype" w:eastAsia="Palatino Linotype" w:hAnsi="Palatino Linotype" w:cs="Palatino Linotype"/>
          <w:b/>
        </w:rPr>
        <w:t>de julio del dos mil veintidós</w:t>
      </w:r>
      <w:r>
        <w:rPr>
          <w:rFonts w:ascii="Palatino Linotype" w:eastAsia="Palatino Linotype" w:hAnsi="Palatino Linotype" w:cs="Palatino Linotype"/>
        </w:rPr>
        <w:t>.</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04114/INFOEM/IP/RR/2022</w:t>
      </w:r>
      <w:r>
        <w:rPr>
          <w:rFonts w:ascii="Palatino Linotype" w:eastAsia="Palatino Linotype" w:hAnsi="Palatino Linotype" w:cs="Palatino Linotype"/>
        </w:rPr>
        <w:t>, interpuesto por</w:t>
      </w:r>
      <w:r w:rsidR="00677EA4">
        <w:rPr>
          <w:rFonts w:ascii="Palatino Linotype" w:eastAsia="Palatino Linotype" w:hAnsi="Palatino Linotype" w:cs="Palatino Linotype"/>
          <w:b/>
        </w:rPr>
        <w:t xml:space="preserve"> XXXXX</w:t>
      </w:r>
      <w:bookmarkStart w:id="0" w:name="_GoBack"/>
      <w:bookmarkEnd w:id="0"/>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rPr>
        <w:t>00046/TULTEPEC/IP/2022,</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Tultepec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CD0F3E" w:rsidRDefault="00D470B8">
      <w:pPr>
        <w:pStyle w:val="Ttulo2"/>
        <w:spacing w:before="240" w:after="24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CD0F3E" w:rsidRDefault="00D470B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cuatro de marzo del dos mil veintidós,</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Pr>
          <w:rFonts w:ascii="Palatino Linotype" w:eastAsia="Palatino Linotype" w:hAnsi="Palatino Linotype" w:cs="Palatino Linotype"/>
        </w:rPr>
        <w:t>de folio</w:t>
      </w:r>
      <w:r>
        <w:rPr>
          <w:rFonts w:ascii="Palatino Linotype" w:eastAsia="Palatino Linotype" w:hAnsi="Palatino Linotype" w:cs="Palatino Linotype"/>
          <w:b/>
        </w:rPr>
        <w:t xml:space="preserve"> </w:t>
      </w:r>
      <w:r w:rsidR="00F84C84" w:rsidRPr="00F84C84">
        <w:rPr>
          <w:rFonts w:ascii="Palatino Linotype" w:eastAsia="Palatino Linotype" w:hAnsi="Palatino Linotype" w:cs="Palatino Linotype"/>
          <w:b/>
        </w:rPr>
        <w:t>00046/TULTEPEC/IP/2022</w:t>
      </w:r>
      <w:r>
        <w:rPr>
          <w:rFonts w:ascii="Palatino Linotype" w:eastAsia="Palatino Linotype" w:hAnsi="Palatino Linotype" w:cs="Palatino Linotype"/>
          <w:b/>
        </w:rPr>
        <w:t xml:space="preserve">, </w:t>
      </w:r>
      <w:r>
        <w:rPr>
          <w:rFonts w:ascii="Palatino Linotype" w:eastAsia="Palatino Linotype" w:hAnsi="Palatino Linotype" w:cs="Palatino Linotype"/>
        </w:rPr>
        <w:t>a través de la cual requirió  lo siguiente:</w:t>
      </w:r>
    </w:p>
    <w:p w:rsidR="00CD0F3E" w:rsidRDefault="00D470B8">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“Deseo conocer </w:t>
      </w:r>
      <w:r w:rsidRPr="00022B4E">
        <w:rPr>
          <w:rFonts w:ascii="Palatino Linotype" w:eastAsia="Palatino Linotype" w:hAnsi="Palatino Linotype" w:cs="Palatino Linotype"/>
          <w:b/>
          <w:i/>
          <w:color w:val="000000" w:themeColor="text1"/>
          <w:sz w:val="22"/>
          <w:szCs w:val="22"/>
        </w:rPr>
        <w:t xml:space="preserve">con que recurso fue construido el DEPORTIVO EL DORADO y el DEPORTIVO EMIQUIA? A </w:t>
      </w:r>
      <w:proofErr w:type="spellStart"/>
      <w:r w:rsidRPr="00022B4E">
        <w:rPr>
          <w:rFonts w:ascii="Palatino Linotype" w:eastAsia="Palatino Linotype" w:hAnsi="Palatino Linotype" w:cs="Palatino Linotype"/>
          <w:b/>
          <w:i/>
          <w:color w:val="000000" w:themeColor="text1"/>
          <w:sz w:val="22"/>
          <w:szCs w:val="22"/>
        </w:rPr>
        <w:t>que</w:t>
      </w:r>
      <w:proofErr w:type="spellEnd"/>
      <w:r w:rsidRPr="00022B4E">
        <w:rPr>
          <w:rFonts w:ascii="Palatino Linotype" w:eastAsia="Palatino Linotype" w:hAnsi="Palatino Linotype" w:cs="Palatino Linotype"/>
          <w:b/>
          <w:i/>
          <w:color w:val="000000" w:themeColor="text1"/>
          <w:sz w:val="22"/>
          <w:szCs w:val="22"/>
        </w:rPr>
        <w:t xml:space="preserve"> ejercicio Fiscal permaneció</w:t>
      </w:r>
      <w:proofErr w:type="gramStart"/>
      <w:r w:rsidRPr="00022B4E">
        <w:rPr>
          <w:rFonts w:ascii="Palatino Linotype" w:eastAsia="Palatino Linotype" w:hAnsi="Palatino Linotype" w:cs="Palatino Linotype"/>
          <w:b/>
          <w:i/>
          <w:color w:val="000000" w:themeColor="text1"/>
          <w:sz w:val="22"/>
          <w:szCs w:val="22"/>
        </w:rPr>
        <w:t>?</w:t>
      </w:r>
      <w:proofErr w:type="gramEnd"/>
      <w:r w:rsidRPr="00022B4E">
        <w:rPr>
          <w:rFonts w:ascii="Palatino Linotype" w:eastAsia="Palatino Linotype" w:hAnsi="Palatino Linotype" w:cs="Palatino Linotype"/>
          <w:b/>
          <w:i/>
          <w:color w:val="000000" w:themeColor="text1"/>
          <w:sz w:val="22"/>
          <w:szCs w:val="22"/>
        </w:rPr>
        <w:t xml:space="preserve"> A cuanto ascendió la construcción Total</w:t>
      </w:r>
      <w:proofErr w:type="gramStart"/>
      <w:r w:rsidRPr="00022B4E">
        <w:rPr>
          <w:rFonts w:ascii="Palatino Linotype" w:eastAsia="Palatino Linotype" w:hAnsi="Palatino Linotype" w:cs="Palatino Linotype"/>
          <w:b/>
          <w:i/>
          <w:color w:val="000000" w:themeColor="text1"/>
          <w:sz w:val="22"/>
          <w:szCs w:val="22"/>
        </w:rPr>
        <w:t>?</w:t>
      </w:r>
      <w:proofErr w:type="gramEnd"/>
      <w:r w:rsidRPr="00022B4E">
        <w:rPr>
          <w:rFonts w:ascii="Palatino Linotype" w:eastAsia="Palatino Linotype" w:hAnsi="Palatino Linotype" w:cs="Palatino Linotype"/>
          <w:b/>
          <w:i/>
          <w:color w:val="000000" w:themeColor="text1"/>
          <w:sz w:val="22"/>
          <w:szCs w:val="22"/>
        </w:rPr>
        <w:t xml:space="preserve"> De ser posible se anexe la Ficha Técnica o Expediente Técnico con el que se </w:t>
      </w:r>
      <w:proofErr w:type="spellStart"/>
      <w:r w:rsidRPr="00022B4E">
        <w:rPr>
          <w:rFonts w:ascii="Palatino Linotype" w:eastAsia="Palatino Linotype" w:hAnsi="Palatino Linotype" w:cs="Palatino Linotype"/>
          <w:b/>
          <w:i/>
          <w:color w:val="000000" w:themeColor="text1"/>
          <w:sz w:val="22"/>
          <w:szCs w:val="22"/>
        </w:rPr>
        <w:t>Gestiono</w:t>
      </w:r>
      <w:proofErr w:type="spellEnd"/>
      <w:r w:rsidRPr="00022B4E">
        <w:rPr>
          <w:rFonts w:ascii="Palatino Linotype" w:eastAsia="Palatino Linotype" w:hAnsi="Palatino Linotype" w:cs="Palatino Linotype"/>
          <w:b/>
          <w:i/>
          <w:color w:val="000000" w:themeColor="text1"/>
          <w:sz w:val="22"/>
          <w:szCs w:val="22"/>
        </w:rPr>
        <w:t>, el acta de COCICOVI, INICIO DE OBRA, TERMINO DE OBRA, NOMBRAMIENTO DEL RESIDENTE O SUPERVISOR DE OBRA, ADEMAS DEL DIRECTOR DE OBRAS PUBLICAS EN TURNO Y TESORERO DEBIDAMENTE ACREDITADOS (NOMBRAMIENTO)</w:t>
      </w:r>
      <w:r w:rsidRPr="00022B4E">
        <w:rPr>
          <w:rFonts w:ascii="Palatino Linotype" w:eastAsia="Palatino Linotype" w:hAnsi="Palatino Linotype" w:cs="Palatino Linotype"/>
          <w:i/>
          <w:color w:val="000000" w:themeColor="text1"/>
          <w:sz w:val="22"/>
          <w:szCs w:val="22"/>
        </w:rPr>
        <w:t>”</w:t>
      </w:r>
      <w:r>
        <w:rPr>
          <w:rFonts w:ascii="Palatino Linotype" w:eastAsia="Palatino Linotype" w:hAnsi="Palatino Linotype" w:cs="Palatino Linotype"/>
          <w:i/>
          <w:sz w:val="22"/>
          <w:szCs w:val="22"/>
        </w:rPr>
        <w:t xml:space="preserve"> (Sic) (Énfasis añadido)</w:t>
      </w:r>
    </w:p>
    <w:p w:rsidR="00CD0F3E" w:rsidRDefault="00D470B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dieciséis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la respuesta a la solicitud de acceso a la información en los siguientes términos:</w:t>
      </w:r>
    </w:p>
    <w:p w:rsidR="00CD0F3E" w:rsidRDefault="00D470B8">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 medio de la presente y con la finalidad de garantizar su derecho de acceso a la información pública y cubrir satisfactoriamente su solicitud ingresada bajo el número de folio 00046/TULTEPEC/IP/2022, dando cumplimiento a lo establecido en el artículo 53, Fracciones II, V y VI de la Ley de Transparencia y Acceso a la Información Pública del Estado de México y Municipios, ANEXO EN ARCHIVO ADJUNTO CON RESPUESTA. Sin otro particular quedo a sus órdenes. ATTE: Luis Fernando Hurtado Aduna Encargada de despacho de la Unidad de Transparencia.</w:t>
      </w:r>
    </w:p>
    <w:p w:rsidR="00CD0F3E" w:rsidRDefault="00D470B8">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CD0F3E" w:rsidRDefault="00D470B8">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CONSUELO EMILY ESPINOZA MENDOZA (Sic)</w:t>
      </w:r>
    </w:p>
    <w:p w:rsidR="00CD0F3E" w:rsidRDefault="00D470B8">
      <w:pPr>
        <w:spacing w:before="240" w:after="240"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b/>
        </w:rPr>
        <w:t>Archivos adjuntos: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los archivos electrónicos que se describen a continuación: </w:t>
      </w:r>
    </w:p>
    <w:p w:rsidR="00CD0F3E" w:rsidRDefault="00D470B8">
      <w:pPr>
        <w:spacing w:before="240" w:after="240"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“00046-TULTEPEC-IP-2022.zip”: </w:t>
      </w:r>
      <w:r>
        <w:rPr>
          <w:rFonts w:ascii="Palatino Linotype" w:eastAsia="Palatino Linotype" w:hAnsi="Palatino Linotype" w:cs="Palatino Linotype"/>
          <w:sz w:val="22"/>
          <w:szCs w:val="22"/>
        </w:rPr>
        <w:t>Carpeta comprimida que a su vez contiene los archivos electrónicos “</w:t>
      </w:r>
      <w:r>
        <w:rPr>
          <w:rFonts w:ascii="Palatino Linotype" w:eastAsia="Palatino Linotype" w:hAnsi="Palatino Linotype" w:cs="Palatino Linotype"/>
          <w:b/>
          <w:i/>
          <w:sz w:val="22"/>
          <w:szCs w:val="22"/>
        </w:rPr>
        <w:t xml:space="preserve">OFICIO RECIBIDO DE OBRAS PUBLICAS-0046.pdf” y “OFICIO EMITIDO A OBRAS PUBLICAS_0046.pdf”, </w:t>
      </w:r>
      <w:r>
        <w:rPr>
          <w:rFonts w:ascii="Palatino Linotype" w:eastAsia="Palatino Linotype" w:hAnsi="Palatino Linotype" w:cs="Palatino Linotype"/>
          <w:sz w:val="22"/>
          <w:szCs w:val="22"/>
        </w:rPr>
        <w:t xml:space="preserve">los cuales consisten en el oficio de turno al Director de Obras Públicas y su </w:t>
      </w:r>
      <w:proofErr w:type="gramStart"/>
      <w:r>
        <w:rPr>
          <w:rFonts w:ascii="Palatino Linotype" w:eastAsia="Palatino Linotype" w:hAnsi="Palatino Linotype" w:cs="Palatino Linotype"/>
          <w:sz w:val="22"/>
          <w:szCs w:val="22"/>
        </w:rPr>
        <w:t>pronunciamiento</w:t>
      </w:r>
      <w:proofErr w:type="gramEnd"/>
      <w:r>
        <w:rPr>
          <w:rFonts w:ascii="Palatino Linotype" w:eastAsia="Palatino Linotype" w:hAnsi="Palatino Linotype" w:cs="Palatino Linotype"/>
          <w:sz w:val="22"/>
          <w:szCs w:val="22"/>
        </w:rPr>
        <w:t xml:space="preserve"> respecto de la solicitud de información, mismos que se insertan a continuación: </w:t>
      </w:r>
    </w:p>
    <w:p w:rsidR="00CD0F3E" w:rsidRDefault="00D470B8">
      <w:pPr>
        <w:spacing w:before="240" w:after="240" w:line="360" w:lineRule="auto"/>
        <w:ind w:left="567" w:right="567"/>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lastRenderedPageBreak/>
        <w:drawing>
          <wp:inline distT="0" distB="0" distL="0" distR="0">
            <wp:extent cx="5391150" cy="6743700"/>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91150" cy="6743700"/>
                    </a:xfrm>
                    <a:prstGeom prst="rect">
                      <a:avLst/>
                    </a:prstGeom>
                    <a:ln/>
                  </pic:spPr>
                </pic:pic>
              </a:graphicData>
            </a:graphic>
          </wp:inline>
        </w:drawing>
      </w:r>
    </w:p>
    <w:p w:rsidR="00CD0F3E" w:rsidRDefault="00D470B8">
      <w:pPr>
        <w:spacing w:before="240" w:after="240" w:line="360" w:lineRule="auto"/>
        <w:ind w:left="567" w:right="567"/>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lastRenderedPageBreak/>
        <w:drawing>
          <wp:inline distT="0" distB="0" distL="0" distR="0">
            <wp:extent cx="5400675" cy="7362825"/>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400675" cy="7362825"/>
                    </a:xfrm>
                    <a:prstGeom prst="rect">
                      <a:avLst/>
                    </a:prstGeom>
                    <a:ln/>
                  </pic:spPr>
                </pic:pic>
              </a:graphicData>
            </a:graphic>
          </wp:inline>
        </w:drawing>
      </w:r>
    </w:p>
    <w:p w:rsidR="00CD0F3E" w:rsidRDefault="00CD0F3E">
      <w:pPr>
        <w:spacing w:before="240" w:after="240" w:line="360" w:lineRule="auto"/>
        <w:ind w:left="567" w:right="567"/>
        <w:jc w:val="center"/>
        <w:rPr>
          <w:rFonts w:ascii="Palatino Linotype" w:eastAsia="Palatino Linotype" w:hAnsi="Palatino Linotype" w:cs="Palatino Linotype"/>
          <w:sz w:val="22"/>
          <w:szCs w:val="22"/>
        </w:rPr>
      </w:pP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Recurrente interpuso en fecha </w:t>
      </w:r>
      <w:r>
        <w:rPr>
          <w:rFonts w:ascii="Palatino Linotype" w:eastAsia="Palatino Linotype" w:hAnsi="Palatino Linotype" w:cs="Palatino Linotype"/>
          <w:b/>
        </w:rPr>
        <w:t>veintidós de marzo del año dos mil veintidós</w:t>
      </w:r>
      <w:r>
        <w:rPr>
          <w:rFonts w:ascii="Palatino Linotype" w:eastAsia="Palatino Linotype" w:hAnsi="Palatino Linotype" w:cs="Palatino Linotype"/>
        </w:rPr>
        <w:t>, el presente medio de impugnación expresando las siguientes manifestaciones:</w:t>
      </w:r>
    </w:p>
    <w:p w:rsidR="00CD0F3E" w:rsidRDefault="00D470B8">
      <w:pPr>
        <w:spacing w:before="240" w:after="24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CD0F3E" w:rsidRDefault="00D470B8">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SENTIDO DE LO QUE SE PREGUNTO NO SE COMPLETA O ANEXA LA INFORMACION SUFICIENTE” (Sic)</w:t>
      </w:r>
    </w:p>
    <w:p w:rsidR="00CD0F3E" w:rsidRDefault="00D470B8">
      <w:pPr>
        <w:spacing w:before="240" w:after="24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CD0F3E" w:rsidRDefault="00D470B8">
      <w:pPr>
        <w:spacing w:before="240" w:after="240"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“SE SOLICITO ADEMAS DE LO MANIFESTADO EL QUE PUDIESE ANEXARSE: " </w:t>
      </w:r>
      <w:r>
        <w:rPr>
          <w:rFonts w:ascii="Palatino Linotype" w:eastAsia="Palatino Linotype" w:hAnsi="Palatino Linotype" w:cs="Palatino Linotype"/>
          <w:b/>
          <w:i/>
          <w:sz w:val="22"/>
          <w:szCs w:val="22"/>
        </w:rPr>
        <w:t xml:space="preserve">la Ficha Técnica o Expediente Técnico con el que se </w:t>
      </w:r>
      <w:proofErr w:type="spellStart"/>
      <w:r>
        <w:rPr>
          <w:rFonts w:ascii="Palatino Linotype" w:eastAsia="Palatino Linotype" w:hAnsi="Palatino Linotype" w:cs="Palatino Linotype"/>
          <w:b/>
          <w:i/>
          <w:sz w:val="22"/>
          <w:szCs w:val="22"/>
        </w:rPr>
        <w:t>Gestiono</w:t>
      </w:r>
      <w:proofErr w:type="spellEnd"/>
      <w:r>
        <w:rPr>
          <w:rFonts w:ascii="Palatino Linotype" w:eastAsia="Palatino Linotype" w:hAnsi="Palatino Linotype" w:cs="Palatino Linotype"/>
          <w:b/>
          <w:i/>
          <w:sz w:val="22"/>
          <w:szCs w:val="22"/>
        </w:rPr>
        <w:t>, el acta de COCICOVI, INICIO DE OBRA, TERMINO DE OBRA, NOMBRAMIENTO DEL RESIDENTE O SUPERVISOR DE OBRA</w:t>
      </w:r>
      <w:r>
        <w:rPr>
          <w:rFonts w:ascii="Palatino Linotype" w:eastAsia="Palatino Linotype" w:hAnsi="Palatino Linotype" w:cs="Palatino Linotype"/>
          <w:i/>
          <w:sz w:val="22"/>
          <w:szCs w:val="22"/>
        </w:rPr>
        <w:t>" (Sic) (Énfasis añadido)</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CD0F3E" w:rsidRDefault="00D470B8">
      <w:pPr>
        <w:spacing w:before="240" w:after="240" w:line="360" w:lineRule="auto"/>
        <w:jc w:val="both"/>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Mediante auto de fecha </w:t>
      </w:r>
      <w:r>
        <w:rPr>
          <w:rFonts w:ascii="Palatino Linotype" w:eastAsia="Palatino Linotype" w:hAnsi="Palatino Linotype" w:cs="Palatino Linotype"/>
          <w:b/>
        </w:rPr>
        <w:t>veinticinco de marzo del dos mil veintidós</w:t>
      </w:r>
      <w:r>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w:t>
      </w:r>
      <w:r>
        <w:rPr>
          <w:rFonts w:ascii="Palatino Linotype" w:eastAsia="Palatino Linotype" w:hAnsi="Palatino Linotype" w:cs="Palatino Linotype"/>
        </w:rPr>
        <w:lastRenderedPageBreak/>
        <w:t xml:space="preserve">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CD0F3E" w:rsidRDefault="00D470B8">
      <w:pPr>
        <w:widowControl w:val="0"/>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las constancias que integran el expediente en que se actúan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 asimismo, por cuanto hace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tiene que fue omiso en emitir pronunciamiento alguno que a su derecho convenga, por lo tanto,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 efecto. </w:t>
      </w:r>
    </w:p>
    <w:p w:rsidR="00CD0F3E" w:rsidRDefault="00D470B8">
      <w:pPr>
        <w:widowControl w:val="0"/>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400675" cy="809625"/>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400675" cy="809625"/>
                    </a:xfrm>
                    <a:prstGeom prst="rect">
                      <a:avLst/>
                    </a:prstGeom>
                    <a:ln/>
                  </pic:spPr>
                </pic:pic>
              </a:graphicData>
            </a:graphic>
          </wp:inline>
        </w:drawing>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de junio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Este organismo garante no pasa por alto justificar, que el plazo </w:t>
      </w:r>
      <w:r>
        <w:rPr>
          <w:rFonts w:ascii="Palatino Linotype" w:eastAsia="Palatino Linotype" w:hAnsi="Palatino Linotype" w:cs="Palatino Linotype"/>
        </w:rPr>
        <w:t>para</w:t>
      </w:r>
      <w:r>
        <w:rPr>
          <w:rFonts w:ascii="Palatino Linotype" w:eastAsia="Palatino Linotype" w:hAnsi="Palatino Linotype" w:cs="Palatino Linotype"/>
          <w:color w:val="000000"/>
        </w:rPr>
        <w:t xml:space="preserv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w:t>
      </w:r>
      <w:r>
        <w:rPr>
          <w:rFonts w:ascii="Palatino Linotype" w:eastAsia="Palatino Linotype" w:hAnsi="Palatino Linotype" w:cs="Palatino Linotype"/>
          <w:color w:val="000000"/>
        </w:rPr>
        <w:lastRenderedPageBreak/>
        <w:t>que ha rebasado las capacidades técnicas y humanas del personal encargado de la proyección de las resoluciones a dichos medios de impugnación.</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color w:val="000000"/>
        </w:rPr>
        <w:t>su resolución atentos</w:t>
      </w:r>
      <w:proofErr w:type="gramEnd"/>
      <w:r>
        <w:rPr>
          <w:rFonts w:ascii="Palatino Linotype" w:eastAsia="Palatino Linotype" w:hAnsi="Palatino Linotype" w:cs="Palatino Linotype"/>
          <w:color w:val="000000"/>
        </w:rPr>
        <w:t xml:space="preserve"> a los siguientes criterios: </w:t>
      </w:r>
    </w:p>
    <w:p w:rsidR="00CD0F3E" w:rsidRDefault="00D470B8">
      <w:pPr>
        <w:spacing w:line="360" w:lineRule="auto"/>
      </w:pPr>
      <w:r>
        <w:br/>
      </w:r>
    </w:p>
    <w:p w:rsidR="00CD0F3E" w:rsidRDefault="00D470B8">
      <w:pPr>
        <w:numPr>
          <w:ilvl w:val="0"/>
          <w:numId w:val="10"/>
        </w:numPr>
        <w:pBdr>
          <w:top w:val="nil"/>
          <w:left w:val="nil"/>
          <w:bottom w:val="nil"/>
          <w:right w:val="nil"/>
          <w:between w:val="nil"/>
        </w:pBd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Complejidad del Asunto: La complejidad de la prueba, la pluralidad de sujetos procesales, el tiempo transcurrido, las características y contexto del recurso. </w:t>
      </w:r>
    </w:p>
    <w:p w:rsidR="00CD0F3E" w:rsidRDefault="00D470B8">
      <w:pPr>
        <w:spacing w:line="360" w:lineRule="auto"/>
      </w:pPr>
      <w:r>
        <w:br/>
      </w:r>
    </w:p>
    <w:p w:rsidR="00CD0F3E" w:rsidRDefault="00D470B8">
      <w:pPr>
        <w:numPr>
          <w:ilvl w:val="0"/>
          <w:numId w:val="11"/>
        </w:numPr>
        <w:pBdr>
          <w:top w:val="nil"/>
          <w:left w:val="nil"/>
          <w:bottom w:val="nil"/>
          <w:right w:val="nil"/>
          <w:between w:val="nil"/>
        </w:pBd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Actividad Procesal del interesado. Acciones u omisiones del interesado.</w:t>
      </w:r>
    </w:p>
    <w:p w:rsidR="00CD0F3E" w:rsidRDefault="00D470B8">
      <w:pPr>
        <w:spacing w:line="360" w:lineRule="auto"/>
      </w:pPr>
      <w:r>
        <w:br/>
      </w:r>
    </w:p>
    <w:p w:rsidR="00CD0F3E" w:rsidRDefault="00D470B8">
      <w:pPr>
        <w:numPr>
          <w:ilvl w:val="0"/>
          <w:numId w:val="1"/>
        </w:numPr>
        <w:pBdr>
          <w:top w:val="nil"/>
          <w:left w:val="nil"/>
          <w:bottom w:val="nil"/>
          <w:right w:val="nil"/>
          <w:between w:val="nil"/>
        </w:pBd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CD0F3E" w:rsidRDefault="00CD0F3E">
      <w:pPr>
        <w:spacing w:line="360" w:lineRule="auto"/>
      </w:pPr>
    </w:p>
    <w:p w:rsidR="00CD0F3E" w:rsidRDefault="00D470B8">
      <w:pPr>
        <w:pBdr>
          <w:top w:val="nil"/>
          <w:left w:val="nil"/>
          <w:bottom w:val="nil"/>
          <w:right w:val="nil"/>
          <w:between w:val="nil"/>
        </w:pBdr>
        <w:spacing w:line="360" w:lineRule="auto"/>
        <w:ind w:left="567"/>
        <w:jc w:val="both"/>
        <w:rPr>
          <w:color w:val="000000"/>
        </w:rPr>
      </w:pPr>
      <w:r>
        <w:rPr>
          <w:rFonts w:ascii="Palatino Linotype" w:eastAsia="Palatino Linotype" w:hAnsi="Palatino Linotype" w:cs="Palatino Linotype"/>
          <w:color w:val="000000"/>
        </w:rPr>
        <w:t>d) La afectación generada en la situación jurídica de la persona involucrada en el proceso: Violación a sus derechos humanos.</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Argumento que encuentra sustento en la jurisprudencia P</w:t>
      </w:r>
      <w:proofErr w:type="gramStart"/>
      <w:r>
        <w:rPr>
          <w:rFonts w:ascii="Palatino Linotype" w:eastAsia="Palatino Linotype" w:hAnsi="Palatino Linotype" w:cs="Palatino Linotype"/>
          <w:color w:val="000000"/>
        </w:rPr>
        <w:t>./</w:t>
      </w:r>
      <w:proofErr w:type="gramEnd"/>
      <w:r>
        <w:rPr>
          <w:rFonts w:ascii="Palatino Linotype" w:eastAsia="Palatino Linotype" w:hAnsi="Palatino Linotype" w:cs="Palatino Linotype"/>
          <w:color w:val="000000"/>
        </w:rPr>
        <w:t xml:space="preserve">J. 32/92 emitida por el Pleno de la Suprema Corte de Justicia de la Nación de rubro </w:t>
      </w:r>
      <w:r>
        <w:rPr>
          <w:rFonts w:ascii="Palatino Linotype" w:eastAsia="Palatino Linotype" w:hAnsi="Palatino Linotype" w:cs="Palatino Linotype"/>
          <w:i/>
          <w:color w:val="000000"/>
        </w:rPr>
        <w:t xml:space="preserve">“TÉRMINOS PROCESALES. PARA DETERMINAR SI UN FUNCIONARIO JUDICIAL ACTUÓ INDEBIDAMENTE POR NO RESPETARLOS SE DEBE ATENDER AL </w:t>
      </w:r>
      <w:r>
        <w:rPr>
          <w:rFonts w:ascii="Palatino Linotype" w:eastAsia="Palatino Linotype" w:hAnsi="Palatino Linotype" w:cs="Palatino Linotype"/>
          <w:i/>
          <w:color w:val="000000"/>
        </w:rPr>
        <w:lastRenderedPageBreak/>
        <w:t>PRESUPUESTO QUE CONSIDERÓ EL LEGISLADOR AL FIJARLOS Y LAS CARACTERÍSTICAS DEL CASO.”</w:t>
      </w:r>
      <w:r>
        <w:rPr>
          <w:rFonts w:ascii="Palatino Linotype" w:eastAsia="Palatino Linotype" w:hAnsi="Palatino Linotype" w:cs="Palatino Linotype"/>
          <w:color w:val="000000"/>
        </w:rPr>
        <w:t>, visible en la Gaceta del Seminario Judicial de la Federación con el registro digital 205635.</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rPr>
        <w:t>“PLAZO RAZONABLE PARA RESOLVER. DIMENSIÓN Y EFECTOS DE ESTE CONCEPTO CUANDO SE ADUCE EXCESIVA CARGA DE TRABAJO.”</w:t>
      </w:r>
      <w:r>
        <w:rPr>
          <w:rFonts w:ascii="Palatino Linotype" w:eastAsia="Palatino Linotype" w:hAnsi="Palatino Linotype" w:cs="Palatino Linotype"/>
          <w:color w:val="000000"/>
        </w:rPr>
        <w:t xml:space="preserve"> consultable en el Seminario Judicial de la Federación y su gaceta, con el registro digital 2002351.</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i/>
          <w:color w:val="000000"/>
        </w:rPr>
        <w:lastRenderedPageBreak/>
        <w:t>“PLAZO RAZONABLE PARA RESOLVER. CONCEPTO Y ELEMENTOS QUE LO INTEGRAN A LA LUZ DEL DERECHO INTERNACIONAL DE LOS DERECHOS HUMANOS.”</w:t>
      </w:r>
      <w:r>
        <w:rPr>
          <w:rFonts w:ascii="Palatino Linotype" w:eastAsia="Palatino Linotype" w:hAnsi="Palatino Linotype" w:cs="Palatino Linotype"/>
          <w:color w:val="000000"/>
        </w:rPr>
        <w:t>, visible en el Seminario Judicial de la Federación y su gaceta, con el registro digital 2002350.</w:t>
      </w:r>
    </w:p>
    <w:p w:rsidR="00CD0F3E" w:rsidRDefault="00CD0F3E">
      <w:pPr>
        <w:spacing w:line="360" w:lineRule="auto"/>
      </w:pPr>
    </w:p>
    <w:p w:rsidR="00CD0F3E" w:rsidRDefault="00D470B8">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Por ello, este organismo garante comprometido con la tutela de los derechos humanos confiados, señala que este </w:t>
      </w:r>
      <w:r w:rsidR="004C3D30">
        <w:rPr>
          <w:rFonts w:ascii="Palatino Linotype" w:eastAsia="Palatino Linotype" w:hAnsi="Palatino Linotype" w:cs="Palatino Linotype"/>
          <w:color w:val="000000"/>
        </w:rPr>
        <w:t xml:space="preserve">exceso del </w:t>
      </w:r>
      <w:r>
        <w:rPr>
          <w:rFonts w:ascii="Palatino Linotype" w:eastAsia="Palatino Linotype" w:hAnsi="Palatino Linotype" w:cs="Palatino Linotype"/>
          <w:color w:val="000000"/>
        </w:rPr>
        <w:t>plazo legal para resolver el presente asunto, resulta de carácter excepcional.</w:t>
      </w:r>
    </w:p>
    <w:p w:rsidR="00CD0F3E" w:rsidRDefault="00D470B8">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de junio del año dos mil veintidós</w:t>
      </w:r>
      <w:r>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 </w:t>
      </w:r>
    </w:p>
    <w:p w:rsidR="00CD0F3E" w:rsidRDefault="00D470B8">
      <w:pPr>
        <w:pStyle w:val="Ttulo2"/>
        <w:spacing w:before="240" w:after="24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CD0F3E" w:rsidRDefault="00D470B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w:t>
      </w:r>
      <w:r>
        <w:rPr>
          <w:rFonts w:ascii="Palatino Linotype" w:eastAsia="Palatino Linotype" w:hAnsi="Palatino Linotype" w:cs="Palatino Linotype"/>
          <w:highlight w:val="white"/>
        </w:rPr>
        <w:lastRenderedPageBreak/>
        <w:t xml:space="preserve">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D0F3E" w:rsidRDefault="00D470B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 respuesta a la solicitud de información el día </w:t>
      </w:r>
      <w:r>
        <w:rPr>
          <w:rFonts w:ascii="Palatino Linotype" w:eastAsia="Palatino Linotype" w:hAnsi="Palatino Linotype" w:cs="Palatino Linotype"/>
          <w:b/>
        </w:rPr>
        <w:t xml:space="preserve">dieciséis de marzo de dos mil veintidós, </w:t>
      </w:r>
      <w:r>
        <w:rPr>
          <w:rFonts w:ascii="Palatino Linotype" w:eastAsia="Palatino Linotype" w:hAnsi="Palatino Linotype" w:cs="Palatino Linotype"/>
        </w:rPr>
        <w:t xml:space="preserve">mientras que el recurso de revisión interpuesto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veintidós de marzo de dos mil veintidós</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tercer día hábil</w:t>
      </w:r>
      <w:r>
        <w:rPr>
          <w:rFonts w:ascii="Palatino Linotype" w:eastAsia="Palatino Linotype" w:hAnsi="Palatino Linotype" w:cs="Palatino Linotype"/>
        </w:rPr>
        <w:t xml:space="preserve"> en que tuvo conocimiento de la respuesta impugnada</w:t>
      </w:r>
      <w:r>
        <w:rPr>
          <w:rFonts w:ascii="Palatino Linotype" w:eastAsia="Palatino Linotype" w:hAnsi="Palatino Linotype" w:cs="Palatino Linotype"/>
          <w:b/>
        </w:rPr>
        <w:t>.</w:t>
      </w:r>
    </w:p>
    <w:p w:rsidR="00CD0F3E" w:rsidRDefault="00CD0F3E">
      <w:pPr>
        <w:spacing w:before="240" w:after="240" w:line="360" w:lineRule="auto"/>
        <w:jc w:val="both"/>
        <w:rPr>
          <w:rFonts w:ascii="Palatino Linotype" w:eastAsia="Palatino Linotype" w:hAnsi="Palatino Linotype" w:cs="Palatino Linotype"/>
          <w:b/>
          <w:highlight w:val="red"/>
        </w:rPr>
      </w:pPr>
    </w:p>
    <w:p w:rsidR="004C20D6" w:rsidRDefault="004C20D6" w:rsidP="004C20D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Asimismo,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w:t>
      </w:r>
      <w:r>
        <w:rPr>
          <w:rFonts w:ascii="Palatino Linotype" w:eastAsia="Palatino Linotype" w:hAnsi="Palatino Linotype" w:cs="Palatino Linotype"/>
        </w:rPr>
        <w:t xml:space="preserve">l </w:t>
      </w:r>
      <w:r>
        <w:rPr>
          <w:rFonts w:ascii="Palatino Linotype" w:eastAsia="Palatino Linotype" w:hAnsi="Palatino Linotype" w:cs="Palatino Linotype"/>
          <w:color w:val="000000"/>
        </w:rPr>
        <w:t xml:space="preserve"> recurso de </w:t>
      </w:r>
      <w:r>
        <w:rPr>
          <w:rFonts w:ascii="Palatino Linotype" w:eastAsia="Palatino Linotype" w:hAnsi="Palatino Linotype" w:cs="Palatino Linotype"/>
        </w:rPr>
        <w:t>revisión</w:t>
      </w:r>
      <w:r>
        <w:rPr>
          <w:rFonts w:ascii="Palatino Linotype" w:eastAsia="Palatino Linotype" w:hAnsi="Palatino Linotype" w:cs="Palatino Linotype"/>
          <w:color w:val="000000"/>
        </w:rPr>
        <w:t xml:space="preserve">,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C20D6" w:rsidRDefault="004C20D6" w:rsidP="004C20D6">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C20D6" w:rsidRDefault="004C20D6" w:rsidP="004C20D6">
      <w:pPr>
        <w:spacing w:before="240" w:after="240"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D0F3E" w:rsidRDefault="00D470B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acuerdo al artículo 179, fracción V de la Ley de Transparencia y Acceso a la Información Pública del Estado de México y Municipios; que a la letra dice:</w:t>
      </w:r>
    </w:p>
    <w:p w:rsidR="00CD0F3E" w:rsidRDefault="00D470B8">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D0F3E" w:rsidRDefault="00D470B8">
      <w:pPr>
        <w:spacing w:before="240" w:after="24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CD0F3E" w:rsidRDefault="00D470B8">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La entrega de información incompleta;</w:t>
      </w:r>
      <w:r>
        <w:rPr>
          <w:rFonts w:ascii="Palatino Linotype" w:eastAsia="Palatino Linotype" w:hAnsi="Palatino Linotype" w:cs="Palatino Linotype"/>
          <w:i/>
          <w:sz w:val="22"/>
          <w:szCs w:val="22"/>
        </w:rPr>
        <w:t>”    (Sic)</w:t>
      </w:r>
    </w:p>
    <w:p w:rsidR="00CD0F3E" w:rsidRDefault="00D470B8">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(Énfasis añadido)              </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D0F3E" w:rsidRDefault="00D470B8">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 xml:space="preserve">Artículo 1o. En los Estados Unidos Mexicanos todas las personas gozarán de los derechos humanos reconocidos en esta Constitución y en los tratados internacionales de los que el Estado Mexicano sea </w:t>
      </w:r>
      <w:r>
        <w:rPr>
          <w:rFonts w:ascii="Palatino Linotype" w:eastAsia="Palatino Linotype" w:hAnsi="Palatino Linotype" w:cs="Palatino Linotype"/>
          <w:b/>
          <w:i/>
          <w:color w:val="000000"/>
          <w:sz w:val="22"/>
          <w:szCs w:val="22"/>
          <w:u w:val="single"/>
        </w:rPr>
        <w:lastRenderedPageBreak/>
        <w:t>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CD0F3E" w:rsidRDefault="00D470B8">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CD0F3E" w:rsidRDefault="00D470B8">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CD0F3E" w:rsidRDefault="00D470B8">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rsidR="00CD0F3E" w:rsidRDefault="00D470B8">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rsidR="00CD0F3E" w:rsidRDefault="00D470B8">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lastRenderedPageBreak/>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CD0F3E" w:rsidRDefault="00D470B8">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CD0F3E" w:rsidRDefault="00D470B8">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CD0F3E" w:rsidRDefault="00D470B8">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D0F3E" w:rsidRDefault="00D470B8">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solicitantes.”(Sic)</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CD0F3E" w:rsidRDefault="00D470B8">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CD0F3E" w:rsidRDefault="00D470B8">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D0F3E" w:rsidRDefault="00D470B8">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D0F3E" w:rsidRDefault="00D470B8">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CD0F3E"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CD0F3E"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CD0F3E" w:rsidRDefault="00D470B8">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w:t>
      </w:r>
      <w:r>
        <w:rPr>
          <w:rFonts w:ascii="Palatino Linotype" w:eastAsia="Palatino Linotype" w:hAnsi="Palatino Linotype" w:cs="Palatino Linotype"/>
          <w:color w:val="000000"/>
        </w:rPr>
        <w:lastRenderedPageBreak/>
        <w:t>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CD0F3E" w:rsidRDefault="00D470B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rsidR="00CD0F3E" w:rsidRDefault="00D470B8">
      <w:pPr>
        <w:numPr>
          <w:ilvl w:val="0"/>
          <w:numId w:val="2"/>
        </w:numPr>
        <w:pBdr>
          <w:top w:val="nil"/>
          <w:left w:val="nil"/>
          <w:bottom w:val="nil"/>
          <w:right w:val="nil"/>
          <w:between w:val="nil"/>
        </w:pBdr>
        <w:spacing w:before="240" w:after="240" w:line="360" w:lineRule="auto"/>
        <w:ind w:right="567"/>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Conocer con qué recurso fue construido el DEPORTIVO EL DORADO y el DEPORTIVO EMIQUIA? A qué ejercicio Fiscal permaneció</w:t>
      </w:r>
      <w:proofErr w:type="gramStart"/>
      <w:r>
        <w:rPr>
          <w:rFonts w:ascii="Palatino Linotype" w:eastAsia="Palatino Linotype" w:hAnsi="Palatino Linotype" w:cs="Palatino Linotype"/>
          <w:b/>
          <w:color w:val="000000"/>
          <w:sz w:val="22"/>
          <w:szCs w:val="22"/>
        </w:rPr>
        <w:t>?</w:t>
      </w:r>
      <w:proofErr w:type="gramEnd"/>
      <w:r>
        <w:rPr>
          <w:rFonts w:ascii="Palatino Linotype" w:eastAsia="Palatino Linotype" w:hAnsi="Palatino Linotype" w:cs="Palatino Linotype"/>
          <w:b/>
          <w:color w:val="000000"/>
          <w:sz w:val="22"/>
          <w:szCs w:val="22"/>
        </w:rPr>
        <w:t xml:space="preserve"> ¿A cuánto ascendió la construcción Total? De ser posible se anexe la Ficha Técnica o Expediente Técnico con el que se gestionó, el acta de COCICOVI, INICIO DE OBRA, TERMINO DE OBRA, NOMBRAMIENTO DEL RESIDENTE O SUPERVISOR DE OBRA, ADEMAS DEL DIRECTOR DE OBRAS PUBLICAS EN TURNO Y TESORERO DEBIDAMENTE ACREDITADOS (NOMBRAMIENTO)</w:t>
      </w:r>
    </w:p>
    <w:p w:rsidR="00CD0F3E" w:rsidRDefault="00D470B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 la solicitud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una carpeta comprimida, en la cual destaca un oficio signado por el Director de Obras Públicas, del cual destacan los siguientes puntos:</w:t>
      </w:r>
    </w:p>
    <w:p w:rsidR="00CD0F3E" w:rsidRDefault="00D470B8">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Del Deportivo “El Dorado” </w:t>
      </w:r>
      <w:r w:rsidRPr="004C3D30">
        <w:rPr>
          <w:rFonts w:ascii="Palatino Linotype" w:eastAsia="Palatino Linotype" w:hAnsi="Palatino Linotype" w:cs="Palatino Linotype"/>
          <w:b/>
          <w:i/>
          <w:color w:val="000000"/>
          <w:sz w:val="22"/>
          <w:szCs w:val="22"/>
          <w:u w:val="single"/>
        </w:rPr>
        <w:t>se invirtieron varios recursos,</w:t>
      </w:r>
      <w:r>
        <w:rPr>
          <w:rFonts w:ascii="Palatino Linotype" w:eastAsia="Palatino Linotype" w:hAnsi="Palatino Linotype" w:cs="Palatino Linotype"/>
          <w:color w:val="000000"/>
          <w:sz w:val="22"/>
          <w:szCs w:val="22"/>
        </w:rPr>
        <w:t xml:space="preserve"> los cuales fueron del Programa de Acciones para el Desarrollo, Crédito y FOPAEDAPIE, correspondientes al ejercicio 2015 y Crédito 2014; por un monto total ejercido de $12,926.114.17; tal obra fue realizada por administración directa. </w:t>
      </w:r>
    </w:p>
    <w:p w:rsidR="004C3D30" w:rsidRDefault="00D470B8" w:rsidP="004C3D30">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Por cuanto hace al Deportivo </w:t>
      </w:r>
      <w:proofErr w:type="spellStart"/>
      <w:r>
        <w:rPr>
          <w:rFonts w:ascii="Palatino Linotype" w:eastAsia="Palatino Linotype" w:hAnsi="Palatino Linotype" w:cs="Palatino Linotype"/>
          <w:color w:val="000000"/>
          <w:sz w:val="22"/>
          <w:szCs w:val="22"/>
        </w:rPr>
        <w:t>Emiquia</w:t>
      </w:r>
      <w:proofErr w:type="spellEnd"/>
      <w:r>
        <w:rPr>
          <w:rFonts w:ascii="Palatino Linotype" w:eastAsia="Palatino Linotype" w:hAnsi="Palatino Linotype" w:cs="Palatino Linotype"/>
          <w:color w:val="000000"/>
          <w:sz w:val="22"/>
          <w:szCs w:val="22"/>
        </w:rPr>
        <w:t xml:space="preserve">, este se realizó en el año 2014 y se ocuparon </w:t>
      </w:r>
      <w:r w:rsidRPr="004C3D30">
        <w:rPr>
          <w:rFonts w:ascii="Palatino Linotype" w:eastAsia="Palatino Linotype" w:hAnsi="Palatino Linotype" w:cs="Palatino Linotype"/>
          <w:b/>
          <w:color w:val="000000"/>
          <w:sz w:val="22"/>
          <w:szCs w:val="22"/>
          <w:u w:val="single"/>
        </w:rPr>
        <w:t>recursos municipales</w:t>
      </w:r>
      <w:r>
        <w:rPr>
          <w:rFonts w:ascii="Palatino Linotype" w:eastAsia="Palatino Linotype" w:hAnsi="Palatino Linotype" w:cs="Palatino Linotype"/>
          <w:color w:val="000000"/>
          <w:sz w:val="22"/>
          <w:szCs w:val="22"/>
        </w:rPr>
        <w:t xml:space="preserve"> que ascendieron a la cantidad de $13,381.641.28, tal obra fue ejecutada por administración directa.</w:t>
      </w:r>
    </w:p>
    <w:p w:rsidR="00CD0F3E" w:rsidRPr="004C3D30" w:rsidRDefault="00D470B8" w:rsidP="004C3D30">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sidRPr="004C3D30">
        <w:rPr>
          <w:rFonts w:ascii="Palatino Linotype" w:eastAsia="Palatino Linotype" w:hAnsi="Palatino Linotype" w:cs="Palatino Linotype"/>
          <w:color w:val="000000"/>
          <w:sz w:val="22"/>
          <w:szCs w:val="22"/>
        </w:rPr>
        <w:t>En esa administración 2013-2015, los servidores públicos que fungieron como Director de Obras Públicas y Tesorero Municipal fueron el Ing. Antonio García Bazán y el C.P Alfonso Martínez Orihuela y C.P Areli Saucedo.</w:t>
      </w:r>
    </w:p>
    <w:p w:rsidR="00CD0F3E" w:rsidRDefault="00D470B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Conocida la respuesta,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que nos ocupa, expresando medularmente en sus razones o motivos de inconformidad lo siguiente: </w:t>
      </w:r>
      <w:r>
        <w:rPr>
          <w:rFonts w:ascii="Palatino Linotype" w:eastAsia="Palatino Linotype" w:hAnsi="Palatino Linotype" w:cs="Palatino Linotype"/>
          <w:i/>
          <w:sz w:val="22"/>
          <w:szCs w:val="22"/>
        </w:rPr>
        <w:t>“SE SOLICITO ADEMAS DE LO MANIFESTADO EL QUE PUDIESE ANEXARSE: "</w:t>
      </w:r>
      <w:r>
        <w:rPr>
          <w:rFonts w:ascii="Palatino Linotype" w:eastAsia="Palatino Linotype" w:hAnsi="Palatino Linotype" w:cs="Palatino Linotype"/>
          <w:b/>
          <w:i/>
          <w:sz w:val="22"/>
          <w:szCs w:val="22"/>
        </w:rPr>
        <w:t xml:space="preserve">la Ficha Técnica o Expediente Técnico con el que se </w:t>
      </w:r>
      <w:proofErr w:type="spellStart"/>
      <w:r>
        <w:rPr>
          <w:rFonts w:ascii="Palatino Linotype" w:eastAsia="Palatino Linotype" w:hAnsi="Palatino Linotype" w:cs="Palatino Linotype"/>
          <w:b/>
          <w:i/>
          <w:sz w:val="22"/>
          <w:szCs w:val="22"/>
        </w:rPr>
        <w:t>Gestiono</w:t>
      </w:r>
      <w:proofErr w:type="spellEnd"/>
      <w:r>
        <w:rPr>
          <w:rFonts w:ascii="Palatino Linotype" w:eastAsia="Palatino Linotype" w:hAnsi="Palatino Linotype" w:cs="Palatino Linotype"/>
          <w:b/>
          <w:i/>
          <w:sz w:val="22"/>
          <w:szCs w:val="22"/>
        </w:rPr>
        <w:t>, el acta de COCICOVI, INICIO DE OBRA, TERMINO DE OBRA, NOMBRAMIENTO DEL RESIDENTE O SUPERVISOR DE OBRA</w:t>
      </w:r>
      <w:r>
        <w:rPr>
          <w:rFonts w:ascii="Palatino Linotype" w:eastAsia="Palatino Linotype" w:hAnsi="Palatino Linotype" w:cs="Palatino Linotype"/>
          <w:i/>
          <w:sz w:val="22"/>
          <w:szCs w:val="22"/>
        </w:rPr>
        <w:t xml:space="preserve">"(Énfasis añadido), </w:t>
      </w:r>
      <w:r>
        <w:rPr>
          <w:rFonts w:ascii="Palatino Linotype" w:eastAsia="Palatino Linotype" w:hAnsi="Palatino Linotype" w:cs="Palatino Linotype"/>
        </w:rPr>
        <w:t xml:space="preserve">por lo cual se advierte que se inconforma por la entrega de información incompleta. </w:t>
      </w:r>
    </w:p>
    <w:p w:rsidR="00CD0F3E" w:rsidRDefault="00D470B8">
      <w:pPr>
        <w:spacing w:before="240"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color w:val="000000"/>
        </w:rPr>
        <w:t xml:space="preserve">Bajo este tenor, la parte de la respuesta concerniente a </w:t>
      </w:r>
      <w:r>
        <w:rPr>
          <w:rFonts w:ascii="Palatino Linotype" w:eastAsia="Palatino Linotype" w:hAnsi="Palatino Linotype" w:cs="Palatino Linotype"/>
          <w:b/>
          <w:i/>
          <w:color w:val="000000"/>
        </w:rPr>
        <w:t>“Conocer con qué recurso fue construido el DEPORTIVO EL DORADO y el DEPORTIVO EMIQUIA? A qué ejercicio Fiscal permaneció</w:t>
      </w:r>
      <w:proofErr w:type="gramStart"/>
      <w:r>
        <w:rPr>
          <w:rFonts w:ascii="Palatino Linotype" w:eastAsia="Palatino Linotype" w:hAnsi="Palatino Linotype" w:cs="Palatino Linotype"/>
          <w:b/>
          <w:i/>
          <w:color w:val="000000"/>
        </w:rPr>
        <w:t>?</w:t>
      </w:r>
      <w:proofErr w:type="gramEnd"/>
      <w:r>
        <w:rPr>
          <w:rFonts w:ascii="Palatino Linotype" w:eastAsia="Palatino Linotype" w:hAnsi="Palatino Linotype" w:cs="Palatino Linotype"/>
          <w:b/>
          <w:i/>
          <w:color w:val="000000"/>
        </w:rPr>
        <w:t xml:space="preserve"> ¿A cuánto ascendió la construcción Total?”</w:t>
      </w:r>
      <w:r>
        <w:rPr>
          <w:rFonts w:ascii="Palatino Linotype" w:eastAsia="Palatino Linotype" w:hAnsi="Palatino Linotype" w:cs="Palatino Linotype"/>
          <w:color w:val="000000"/>
        </w:rPr>
        <w:t xml:space="preserve">, se tiene que no fue impugnada, por lo que consecuentemente debe declararse consentida, toda vez que, al no haber realizado manifestaciones de inconformidad al respecto, se infiere que la información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satisface este punto de la solicitud presentada.</w:t>
      </w:r>
    </w:p>
    <w:p w:rsidR="00CD0F3E" w:rsidRDefault="00D470B8">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es así, debido a que cuando un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impugna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w:t>
      </w:r>
      <w:r>
        <w:rPr>
          <w:rFonts w:ascii="Palatino Linotype" w:eastAsia="Palatino Linotype" w:hAnsi="Palatino Linotype" w:cs="Palatino Linotype"/>
          <w:color w:val="000000"/>
        </w:rPr>
        <w:lastRenderedPageBreak/>
        <w:t xml:space="preserve">se entiende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CD0F3E" w:rsidRDefault="00D470B8">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“REVISIÓN EN AMPARO. LOS RESOLUTIVOS NO COMBATIDOS DEBEN DECLARARSE FIRMES. </w:t>
      </w:r>
      <w:r>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D0F3E" w:rsidRDefault="00D470B8">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Consecuentemente, se reitera que la parte de la solicitud que no fue impugnada debe declararse consentida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rsidR="00CD0F3E" w:rsidRDefault="00D470B8">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rsidR="00CD0F3E" w:rsidRDefault="00D470B8">
      <w:pPr>
        <w:spacing w:before="240" w:after="240" w:line="276"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smallCaps/>
          <w:color w:val="000000"/>
          <w:sz w:val="22"/>
          <w:szCs w:val="22"/>
        </w:rPr>
        <w:t xml:space="preserve">“ACTOS CONSENTIDOS. SON LOS QUE NO SE IMPUGNAN MEDIANTE EL RECURSO IDÓNEO. </w:t>
      </w:r>
      <w:r>
        <w:rPr>
          <w:rFonts w:ascii="Palatino Linotype" w:eastAsia="Palatino Linotype" w:hAnsi="Palatino Linotype" w:cs="Palatino Linotype"/>
          <w:i/>
          <w:color w:val="000000"/>
          <w:sz w:val="22"/>
          <w:szCs w:val="22"/>
        </w:rPr>
        <w:t xml:space="preserve">Debe reputarse como consentido el acto que no se impugnó por el medio establecido por la ley, ya que si se hizo uso </w:t>
      </w:r>
      <w:r>
        <w:rPr>
          <w:rFonts w:ascii="Palatino Linotype" w:eastAsia="Palatino Linotype" w:hAnsi="Palatino Linotype" w:cs="Palatino Linotype"/>
          <w:i/>
          <w:color w:val="000000"/>
          <w:sz w:val="22"/>
          <w:szCs w:val="22"/>
        </w:rPr>
        <w:lastRenderedPageBreak/>
        <w:t>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 efecto de garantizar el efectivo ejercicio del derecho de acceso a la información pública que asiste al particular, resulta conveniente precisar que el presente análisis versará respecto </w:t>
      </w:r>
      <w:r>
        <w:rPr>
          <w:rFonts w:ascii="Palatino Linotype" w:eastAsia="Palatino Linotype" w:hAnsi="Palatino Linotype" w:cs="Palatino Linotype"/>
          <w:b/>
        </w:rPr>
        <w:t>a la ficha Técnica o Expediente Técnico con el que se gestionó, el acta de COCICOVI, inicio de obra, término de obra y nombramiento del residente o supervisor de obra.</w:t>
      </w:r>
    </w:p>
    <w:p w:rsidR="00CD0F3E" w:rsidRDefault="00D470B8">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De la ficha Técnica o Expediente Técnico con el que se gestionó</w:t>
      </w:r>
      <w:r w:rsidR="00A014B5">
        <w:rPr>
          <w:rFonts w:ascii="Palatino Linotype" w:eastAsia="Palatino Linotype" w:hAnsi="Palatino Linotype" w:cs="Palatino Linotype"/>
          <w:b/>
        </w:rPr>
        <w:t>, inicio de obra, término de obra y nombramiento del residente o supervisor de obra</w:t>
      </w:r>
      <w:r>
        <w:rPr>
          <w:rFonts w:ascii="Palatino Linotype" w:eastAsia="Palatino Linotype" w:hAnsi="Palatino Linotype" w:cs="Palatino Linotype"/>
          <w:b/>
        </w:rPr>
        <w:t>.</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estudio de este punto, debemos recordar que el Sujeto Obligado por conducto del Director de Obras Públicas manifestó lo siguiente: </w:t>
      </w:r>
    </w:p>
    <w:p w:rsidR="008D01DC" w:rsidRDefault="00D470B8" w:rsidP="008D01DC">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sidRPr="008D01DC">
        <w:rPr>
          <w:rFonts w:ascii="Palatino Linotype" w:eastAsia="Palatino Linotype" w:hAnsi="Palatino Linotype" w:cs="Palatino Linotype"/>
          <w:color w:val="000000"/>
          <w:sz w:val="22"/>
          <w:szCs w:val="22"/>
        </w:rPr>
        <w:t xml:space="preserve">Del Deportivo “El Dorado” se invirtieron varios recursos, los cuales fueron del Programa de Acciones para el Desarrollo, Crédito y FOPAEDAPIE, correspondientes al ejercicio 2015 y Crédito 2014; por un monto total ejercido de $12,926.114.17; </w:t>
      </w:r>
      <w:r w:rsidRPr="008D01DC">
        <w:rPr>
          <w:rFonts w:ascii="Palatino Linotype" w:eastAsia="Palatino Linotype" w:hAnsi="Palatino Linotype" w:cs="Palatino Linotype"/>
          <w:b/>
          <w:color w:val="000000"/>
          <w:sz w:val="22"/>
          <w:szCs w:val="22"/>
          <w:u w:val="single"/>
        </w:rPr>
        <w:t>tal obra fue realizada por administración directa</w:t>
      </w:r>
      <w:r w:rsidR="008D01DC">
        <w:rPr>
          <w:rFonts w:ascii="Palatino Linotype" w:eastAsia="Palatino Linotype" w:hAnsi="Palatino Linotype" w:cs="Palatino Linotype"/>
          <w:color w:val="000000"/>
          <w:sz w:val="22"/>
          <w:szCs w:val="22"/>
        </w:rPr>
        <w:t xml:space="preserve">. </w:t>
      </w:r>
    </w:p>
    <w:p w:rsidR="00CD0F3E" w:rsidRPr="008D01DC" w:rsidRDefault="00D470B8" w:rsidP="008D01DC">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sidRPr="008D01DC">
        <w:rPr>
          <w:rFonts w:ascii="Palatino Linotype" w:eastAsia="Palatino Linotype" w:hAnsi="Palatino Linotype" w:cs="Palatino Linotype"/>
          <w:color w:val="000000"/>
          <w:sz w:val="22"/>
          <w:szCs w:val="22"/>
        </w:rPr>
        <w:t xml:space="preserve">Por cuanto hace al Deportivo </w:t>
      </w:r>
      <w:proofErr w:type="spellStart"/>
      <w:r w:rsidRPr="008D01DC">
        <w:rPr>
          <w:rFonts w:ascii="Palatino Linotype" w:eastAsia="Palatino Linotype" w:hAnsi="Palatino Linotype" w:cs="Palatino Linotype"/>
          <w:color w:val="000000"/>
          <w:sz w:val="22"/>
          <w:szCs w:val="22"/>
        </w:rPr>
        <w:t>Emiquia</w:t>
      </w:r>
      <w:proofErr w:type="spellEnd"/>
      <w:r w:rsidRPr="008D01DC">
        <w:rPr>
          <w:rFonts w:ascii="Palatino Linotype" w:eastAsia="Palatino Linotype" w:hAnsi="Palatino Linotype" w:cs="Palatino Linotype"/>
          <w:color w:val="000000"/>
          <w:sz w:val="22"/>
          <w:szCs w:val="22"/>
        </w:rPr>
        <w:t xml:space="preserve">, este se realizó en el año 2014 y se ocuparon </w:t>
      </w:r>
      <w:r w:rsidRPr="008D01DC">
        <w:rPr>
          <w:rFonts w:ascii="Palatino Linotype" w:eastAsia="Palatino Linotype" w:hAnsi="Palatino Linotype" w:cs="Palatino Linotype"/>
          <w:color w:val="000000" w:themeColor="text1"/>
          <w:sz w:val="22"/>
          <w:szCs w:val="22"/>
        </w:rPr>
        <w:t xml:space="preserve">recursos municipales </w:t>
      </w:r>
      <w:r w:rsidRPr="008D01DC">
        <w:rPr>
          <w:rFonts w:ascii="Palatino Linotype" w:eastAsia="Palatino Linotype" w:hAnsi="Palatino Linotype" w:cs="Palatino Linotype"/>
          <w:color w:val="000000"/>
          <w:sz w:val="22"/>
          <w:szCs w:val="22"/>
        </w:rPr>
        <w:t xml:space="preserve">que ascendieron a la cantidad de $13,381.641.28, </w:t>
      </w:r>
      <w:r w:rsidRPr="008D01DC">
        <w:rPr>
          <w:rFonts w:ascii="Palatino Linotype" w:eastAsia="Palatino Linotype" w:hAnsi="Palatino Linotype" w:cs="Palatino Linotype"/>
          <w:b/>
          <w:color w:val="000000"/>
          <w:sz w:val="22"/>
          <w:szCs w:val="22"/>
          <w:u w:val="single"/>
        </w:rPr>
        <w:t>tal obra fue ejecutada por administración directa</w:t>
      </w:r>
      <w:r w:rsidRPr="008D01DC">
        <w:rPr>
          <w:rFonts w:ascii="Palatino Linotype" w:eastAsia="Palatino Linotype" w:hAnsi="Palatino Linotype" w:cs="Palatino Linotype"/>
          <w:color w:val="000000"/>
          <w:sz w:val="22"/>
          <w:szCs w:val="22"/>
        </w:rPr>
        <w:t xml:space="preserve">.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respecto la información sobre la que versó la solicitud de información es esencial determinar que se trata de obra pública, por lo que debemos partir de la definición que el derecho mexicano otorga al término Obra Pública, por tal </w:t>
      </w:r>
      <w:r>
        <w:rPr>
          <w:rFonts w:ascii="Palatino Linotype" w:eastAsia="Palatino Linotype" w:hAnsi="Palatino Linotype" w:cs="Palatino Linotype"/>
        </w:rPr>
        <w:lastRenderedPageBreak/>
        <w:t>podemos entender, de acuerdo a Serra Rojas “</w:t>
      </w:r>
      <w:r>
        <w:rPr>
          <w:rFonts w:ascii="Palatino Linotype" w:eastAsia="Palatino Linotype" w:hAnsi="Palatino Linotype" w:cs="Palatino Linotype"/>
          <w:i/>
        </w:rPr>
        <w:t>la cosa hecha o producida por el Estado o a su nombre sobre un inmueble determinado, con un propósito de interés general  y se destina al uso público, a un servicio público o cualquier finalidad de beneficio general</w:t>
      </w:r>
      <w:r>
        <w:rPr>
          <w:rFonts w:ascii="Palatino Linotype" w:eastAsia="Palatino Linotype" w:hAnsi="Palatino Linotype" w:cs="Palatino Linotype"/>
        </w:rPr>
        <w:t xml:space="preserve">”.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la Ley de Obras Públicas y Servicios Relacionados con las Mismas, señalan que como obra pública debe entenderse: </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 Para los efectos de esta Ley, </w:t>
      </w:r>
      <w:r>
        <w:rPr>
          <w:rFonts w:ascii="Palatino Linotype" w:eastAsia="Palatino Linotype" w:hAnsi="Palatino Linotype" w:cs="Palatino Linotype"/>
          <w:b/>
          <w:i/>
          <w:sz w:val="22"/>
          <w:szCs w:val="22"/>
        </w:rPr>
        <w:t>se consideran obras públicas los trabajos que tengan por objeto construir,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instalar,</w:t>
      </w:r>
      <w:r>
        <w:rPr>
          <w:rFonts w:ascii="Palatino Linotype" w:eastAsia="Palatino Linotype" w:hAnsi="Palatino Linotype" w:cs="Palatino Linotype"/>
          <w:i/>
          <w:sz w:val="22"/>
          <w:szCs w:val="22"/>
        </w:rPr>
        <w:t xml:space="preserve"> ampliar, adecuar, remodelar, restaurar, conservar, mantener, modificar y demoler </w:t>
      </w:r>
      <w:r>
        <w:rPr>
          <w:rFonts w:ascii="Palatino Linotype" w:eastAsia="Palatino Linotype" w:hAnsi="Palatino Linotype" w:cs="Palatino Linotype"/>
          <w:b/>
          <w:i/>
          <w:sz w:val="22"/>
          <w:szCs w:val="22"/>
        </w:rPr>
        <w:t>bienes inmuebles</w:t>
      </w:r>
      <w:r>
        <w:rPr>
          <w:rFonts w:ascii="Palatino Linotype" w:eastAsia="Palatino Linotype" w:hAnsi="Palatino Linotype" w:cs="Palatino Linotype"/>
          <w:i/>
          <w:sz w:val="22"/>
          <w:szCs w:val="22"/>
        </w:rPr>
        <w:t xml:space="preserve">. Así mismo, quedan comprendidos dentro de las obras públicas los siguientes conceptos: </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sz w:val="22"/>
          <w:szCs w:val="22"/>
        </w:rPr>
        <w:tab/>
        <w:t>El mantenimiento y la restauración de bienes muebles incorporados o adheridos a un inmueble, cuando implique modificación al propio inmueble…”</w:t>
      </w:r>
    </w:p>
    <w:p w:rsidR="00CD0F3E" w:rsidRDefault="00D470B8">
      <w:pPr>
        <w:spacing w:before="280" w:after="280" w:line="360"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importante considerar el concepto de servicios relacionados con las obras públicas, al efecto es conveniente señalar la Ley de Obras Públicas y Servicios Relacionados con las Mismas en referencia:</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 Para los efectos de esta Ley, se considera como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 incrementar la eficiencia de las instalaciones. Asimismo, quedan comprendidos dentro de los servicios relacionados con las obras públicas los siguientes conceptos: </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 Los estudios que tengan por objeto rehabilitar, corregir, sustituir, o incrementar la eficiencia de las instalaciones de un bien inmueble…”</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relación directa con lo anterior, en términos del artículo 12.4 del Código Administrativo del Estado de México, se considera obra pública </w:t>
      </w:r>
      <w:r>
        <w:rPr>
          <w:rFonts w:ascii="Palatino Linotype" w:eastAsia="Palatino Linotype" w:hAnsi="Palatino Linotype" w:cs="Palatino Linotype"/>
          <w:b/>
        </w:rPr>
        <w:t>todo trabajo que tenga por objeto principal construir, instalar</w:t>
      </w:r>
      <w:r>
        <w:rPr>
          <w:rFonts w:ascii="Palatino Linotype" w:eastAsia="Palatino Linotype" w:hAnsi="Palatino Linotype" w:cs="Palatino Linotype"/>
        </w:rPr>
        <w:t xml:space="preserve">, ampliar, adecuar, remodelar, restaurar, conservar, mantener, modificar o demoler </w:t>
      </w:r>
      <w:r>
        <w:rPr>
          <w:rFonts w:ascii="Palatino Linotype" w:eastAsia="Palatino Linotype" w:hAnsi="Palatino Linotype" w:cs="Palatino Linotype"/>
          <w:b/>
        </w:rPr>
        <w:t xml:space="preserve">bienes inmuebles propiedad </w:t>
      </w:r>
      <w:r>
        <w:rPr>
          <w:rFonts w:ascii="Palatino Linotype" w:eastAsia="Palatino Linotype" w:hAnsi="Palatino Linotype" w:cs="Palatino Linotype"/>
        </w:rPr>
        <w:t xml:space="preserve">del Estado, de sus dependencias y entidades y </w:t>
      </w:r>
      <w:r>
        <w:rPr>
          <w:rFonts w:ascii="Palatino Linotype" w:eastAsia="Palatino Linotype" w:hAnsi="Palatino Linotype" w:cs="Palatino Linotype"/>
          <w:b/>
        </w:rPr>
        <w:t>de los municipios</w:t>
      </w:r>
      <w:r>
        <w:rPr>
          <w:rFonts w:ascii="Palatino Linotype" w:eastAsia="Palatino Linotype" w:hAnsi="Palatino Linotype" w:cs="Palatino Linotype"/>
        </w:rPr>
        <w:t xml:space="preserve"> y sus organismos con cargo a recursos públicos estatales o municipales, entre las que se encuentras las siguientes:</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 El mantenimiento, restauración, desmantelamiento o remoción de bienes muebles incorporados o adheridos a un inmueble;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II. Los proyectos integrales o comúnmente denominados llave en mano, en los cuales el contratista se obliga desde el diseño de la obra hasta su terminación total, incluyéndose, cuando se requiera, la transferencia de tecnología;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III. Los trabajos de exploración, localización y perforación; mejoramiento del suelo y/o subsuelo; desmontes y extracción y aquellos similares que tengan por objeto la explotación y desarrollo de los recursos naturales que se encuentran en el suelo y/o subsuelo;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IV. Los trabajos de infraestructura agropecuaria e </w:t>
      </w:r>
      <w:proofErr w:type="spellStart"/>
      <w:r>
        <w:rPr>
          <w:rFonts w:ascii="Palatino Linotype" w:eastAsia="Palatino Linotype" w:hAnsi="Palatino Linotype" w:cs="Palatino Linotype"/>
        </w:rPr>
        <w:t>hidroagrícola</w:t>
      </w:r>
      <w:proofErr w:type="spellEnd"/>
      <w:r>
        <w:rPr>
          <w:rFonts w:ascii="Palatino Linotype" w:eastAsia="Palatino Linotype" w:hAnsi="Palatino Linotype" w:cs="Palatino Linotype"/>
        </w:rPr>
        <w:t xml:space="preserve">: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V. La instalación, montaje, colocación y/o aplicación, incluyendo las pruebas de operación de bienes muebles que deban incorporarse, adherirse o destinarse a un </w:t>
      </w:r>
      <w:r>
        <w:rPr>
          <w:rFonts w:ascii="Palatino Linotype" w:eastAsia="Palatino Linotype" w:hAnsi="Palatino Linotype" w:cs="Palatino Linotype"/>
        </w:rPr>
        <w:lastRenderedPageBreak/>
        <w:t xml:space="preserve">inmueble, siempre que dichos muebles sean proporcionados por la convocante al contratista o bien, cuando su adquisición esté incluida en los trabajos que se contraten y su precio sea menor al de estos últimos;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VI. Los demás que tengan por objeto principal alguno de los conceptos a que se refiere el párrafo primero de este artículo, excluyéndose expresamente los trabajos regulados por el Libro Décimo Sexto de este Código.</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Teniendo esto en cuenta, resulta importante resaltar que </w:t>
      </w:r>
      <w:r w:rsidR="00EE56AD">
        <w:rPr>
          <w:rFonts w:ascii="Palatino Linotype" w:eastAsia="Palatino Linotype" w:hAnsi="Palatino Linotype" w:cs="Palatino Linotype"/>
        </w:rPr>
        <w:t xml:space="preserve">el </w:t>
      </w:r>
      <w:r w:rsidR="00EE56AD" w:rsidRPr="00EE56AD">
        <w:rPr>
          <w:rFonts w:ascii="Palatino Linotype" w:eastAsia="Palatino Linotype" w:hAnsi="Palatino Linotype" w:cs="Palatino Linotype"/>
          <w:b/>
        </w:rPr>
        <w:t>Sujeto Obligado</w:t>
      </w:r>
      <w:r w:rsidR="00EE56AD">
        <w:rPr>
          <w:rFonts w:ascii="Palatino Linotype" w:eastAsia="Palatino Linotype" w:hAnsi="Palatino Linotype" w:cs="Palatino Linotype"/>
        </w:rPr>
        <w:t xml:space="preserve"> manifestó que </w:t>
      </w:r>
      <w:r>
        <w:rPr>
          <w:rFonts w:ascii="Palatino Linotype" w:eastAsia="Palatino Linotype" w:hAnsi="Palatino Linotype" w:cs="Palatino Linotype"/>
        </w:rPr>
        <w:t xml:space="preserve">dichas obras fueron ejecutadas por administración directa, por lo cual conviene traer a colación lo previsto por el artículo 12.8 del Código Administrativo del Estado de México, </w:t>
      </w:r>
      <w:r w:rsidR="003321F3">
        <w:rPr>
          <w:rFonts w:ascii="Palatino Linotype" w:eastAsia="Palatino Linotype" w:hAnsi="Palatino Linotype" w:cs="Palatino Linotype"/>
        </w:rPr>
        <w:t xml:space="preserve">el cual </w:t>
      </w:r>
      <w:r>
        <w:rPr>
          <w:rFonts w:ascii="Palatino Linotype" w:eastAsia="Palatino Linotype" w:hAnsi="Palatino Linotype" w:cs="Palatino Linotype"/>
          <w:b/>
          <w:u w:val="single"/>
        </w:rPr>
        <w:t>faculta a los ayuntamientos, en el ámbito de sus respectivas competencias, ejecutar la obra pública</w:t>
      </w:r>
      <w:r>
        <w:rPr>
          <w:rFonts w:ascii="Palatino Linotype" w:eastAsia="Palatino Linotype" w:hAnsi="Palatino Linotype" w:cs="Palatino Linotype"/>
        </w:rPr>
        <w:t xml:space="preserve">, mediante contrato con terceros </w:t>
      </w:r>
      <w:r>
        <w:rPr>
          <w:rFonts w:ascii="Palatino Linotype" w:eastAsia="Palatino Linotype" w:hAnsi="Palatino Linotype" w:cs="Palatino Linotype"/>
          <w:b/>
          <w:u w:val="single"/>
        </w:rPr>
        <w:t>o por administración directa</w:t>
      </w:r>
      <w:r>
        <w:rPr>
          <w:rFonts w:ascii="Palatino Linotype" w:eastAsia="Palatino Linotype" w:hAnsi="Palatino Linotype" w:cs="Palatino Linotype"/>
        </w:rPr>
        <w:t xml:space="preserve">. </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Esta ejecución de obra por administración directa se regirá de la siguiente manera, en términos de la Ley de Obras Públicas y Servicios Relacionados con las mismas y el multicitado Código Administrativo que se insertan a continuación: </w:t>
      </w:r>
    </w:p>
    <w:p w:rsidR="00CD0F3E" w:rsidRDefault="00D470B8">
      <w:pPr>
        <w:spacing w:before="280" w:after="28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Ley de Obras Públicas y Servicios Relacionados con las mismas: </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70.- </w:t>
      </w:r>
      <w:r w:rsidRPr="00BA3CF6">
        <w:rPr>
          <w:rFonts w:ascii="Palatino Linotype" w:eastAsia="Palatino Linotype" w:hAnsi="Palatino Linotype" w:cs="Palatino Linotype"/>
          <w:i/>
          <w:sz w:val="22"/>
          <w:szCs w:val="22"/>
        </w:rPr>
        <w:t>Cumplidos los requisitos establecidos en el artículo 24</w:t>
      </w:r>
      <w:r w:rsidR="00BA3CF6">
        <w:rPr>
          <w:rStyle w:val="Refdenotaalpie"/>
          <w:rFonts w:ascii="Palatino Linotype" w:eastAsia="Palatino Linotype" w:hAnsi="Palatino Linotype" w:cs="Palatino Linotype"/>
          <w:i/>
          <w:sz w:val="22"/>
          <w:szCs w:val="22"/>
        </w:rPr>
        <w:footnoteReference w:id="1"/>
      </w:r>
      <w:r w:rsidRPr="00BA3CF6">
        <w:rPr>
          <w:rFonts w:ascii="Palatino Linotype" w:eastAsia="Palatino Linotype" w:hAnsi="Palatino Linotype" w:cs="Palatino Linotype"/>
          <w:i/>
          <w:sz w:val="22"/>
          <w:szCs w:val="22"/>
        </w:rPr>
        <w:t xml:space="preserve"> de esta Le</w:t>
      </w:r>
      <w:r w:rsidRPr="00BA3CF6">
        <w:rPr>
          <w:rFonts w:ascii="Palatino Linotype" w:eastAsia="Palatino Linotype" w:hAnsi="Palatino Linotype" w:cs="Palatino Linotype"/>
          <w:i/>
          <w:color w:val="000000" w:themeColor="text1"/>
          <w:sz w:val="22"/>
          <w:szCs w:val="22"/>
        </w:rPr>
        <w:t xml:space="preserve">y, </w:t>
      </w:r>
      <w:r w:rsidRPr="00BA3CF6">
        <w:rPr>
          <w:rFonts w:ascii="Palatino Linotype" w:eastAsia="Palatino Linotype" w:hAnsi="Palatino Linotype" w:cs="Palatino Linotype"/>
          <w:i/>
          <w:sz w:val="22"/>
          <w:szCs w:val="22"/>
        </w:rPr>
        <w:t>la</w:t>
      </w:r>
      <w:r w:rsidRPr="00C85706">
        <w:rPr>
          <w:rFonts w:ascii="Palatino Linotype" w:eastAsia="Palatino Linotype" w:hAnsi="Palatino Linotype" w:cs="Palatino Linotype"/>
          <w:b/>
          <w:i/>
          <w:sz w:val="22"/>
          <w:szCs w:val="22"/>
        </w:rPr>
        <w:t xml:space="preserve">s dependencias y entidades podrán realizar trabajos por administración </w:t>
      </w:r>
      <w:r w:rsidRPr="00C85706">
        <w:rPr>
          <w:rFonts w:ascii="Palatino Linotype" w:eastAsia="Palatino Linotype" w:hAnsi="Palatino Linotype" w:cs="Palatino Linotype"/>
          <w:b/>
          <w:i/>
          <w:sz w:val="22"/>
          <w:szCs w:val="22"/>
        </w:rPr>
        <w:lastRenderedPageBreak/>
        <w:t>directa, siempre que posean la capacidad técnica y los elementos necesarios para tal efecto, consistentes en maquinaria y equipo de construcción y personal técnico, según el caso, que se requieran para el desarrollo de los trabajos respectivos y podrán</w:t>
      </w:r>
      <w:r>
        <w:rPr>
          <w:rFonts w:ascii="Palatino Linotype" w:eastAsia="Palatino Linotype" w:hAnsi="Palatino Linotype" w:cs="Palatino Linotype"/>
          <w:i/>
          <w:sz w:val="22"/>
          <w:szCs w:val="22"/>
        </w:rPr>
        <w:t xml:space="preserve">: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Utilizar la mano de obra local que se requiera, lo que invariablemente deberá llevarse a cabo por obra determinada;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Alquilar el equipo y maquinaria de construcción complementario;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Utilizar preferentemente los materiales de la región, y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Utilizar los servicios de fletes y acarreos complementarios que se requieran. </w:t>
      </w:r>
    </w:p>
    <w:p w:rsidR="00CD0F3E" w:rsidRPr="00925262" w:rsidRDefault="00D470B8" w:rsidP="00C85706">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b/>
          <w:i/>
          <w:color w:val="000000"/>
          <w:sz w:val="22"/>
          <w:szCs w:val="22"/>
        </w:rPr>
      </w:pPr>
      <w:r w:rsidRPr="00925262">
        <w:rPr>
          <w:rFonts w:ascii="Palatino Linotype" w:eastAsia="Palatino Linotype" w:hAnsi="Palatino Linotype" w:cs="Palatino Linotype"/>
          <w:b/>
          <w:i/>
          <w:color w:val="000000"/>
          <w:sz w:val="22"/>
          <w:szCs w:val="22"/>
        </w:rPr>
        <w:t xml:space="preserve">En la ejecución de los trabajos por administración directa, bajo ninguna circunstancia podrán participar terceros como contratistas, sean cuales </w:t>
      </w:r>
      <w:r w:rsidRPr="00925262">
        <w:rPr>
          <w:rFonts w:ascii="Palatino Linotype" w:eastAsia="Palatino Linotype" w:hAnsi="Palatino Linotype" w:cs="Palatino Linotype"/>
          <w:b/>
          <w:i/>
          <w:color w:val="000000"/>
          <w:sz w:val="22"/>
          <w:szCs w:val="22"/>
        </w:rPr>
        <w:lastRenderedPageBreak/>
        <w:t xml:space="preserve">fueren las condiciones particulares, naturaleza jurídica o modalidades que éstos adopten. Cuando se requieran equipos, instrumentos, elementos prefabricados terminados, materiales u otros bienes que deban ser instalados, montados, colocados o aplicados, su adquisición se regirá por las disposiciones correspondientes a tal materia. </w:t>
      </w:r>
    </w:p>
    <w:p w:rsidR="00925262"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71.- </w:t>
      </w:r>
      <w:r>
        <w:rPr>
          <w:rFonts w:ascii="Palatino Linotype" w:eastAsia="Palatino Linotype" w:hAnsi="Palatino Linotype" w:cs="Palatino Linotype"/>
          <w:b/>
          <w:i/>
          <w:color w:val="000000"/>
          <w:sz w:val="22"/>
          <w:szCs w:val="22"/>
        </w:rPr>
        <w:t>Previamente a la realización de los trabajos por administración directa, el titular del área responsable de la ejecución de los trabajos emitirá el acuerdo respectivo, del cual formarán parte, entre otros aspectos, la descripción pormenorizada de los trabajos que se deban ejecutar, los proyectos, planos, especificaciones, programas de ejecución y suministro y el presupuesto correspondiente.</w:t>
      </w:r>
      <w:r>
        <w:rPr>
          <w:rFonts w:ascii="Palatino Linotype" w:eastAsia="Palatino Linotype" w:hAnsi="Palatino Linotype" w:cs="Palatino Linotype"/>
          <w:i/>
          <w:color w:val="000000"/>
          <w:sz w:val="22"/>
          <w:szCs w:val="22"/>
        </w:rPr>
        <w:t xml:space="preserve"> </w:t>
      </w:r>
    </w:p>
    <w:p w:rsidR="00CD0F3E" w:rsidRPr="00925262"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b/>
          <w:i/>
          <w:color w:val="000000"/>
          <w:sz w:val="22"/>
          <w:szCs w:val="22"/>
        </w:rPr>
      </w:pPr>
      <w:r w:rsidRPr="00925262">
        <w:rPr>
          <w:rFonts w:ascii="Palatino Linotype" w:eastAsia="Palatino Linotype" w:hAnsi="Palatino Linotype" w:cs="Palatino Linotype"/>
          <w:b/>
          <w:i/>
          <w:color w:val="000000"/>
          <w:sz w:val="22"/>
          <w:szCs w:val="22"/>
        </w:rPr>
        <w:t xml:space="preserve">Los órganos internos de control en las dependencias y entidades, previamente a la ejecución de los trabajos por administración directa, verificarán que se cuente con el presupuesto correspondiente y los programas de ejecución, de utilización de recursos humanos y, en su caso, de utilización de maquinaria y equipo de construcción. </w:t>
      </w:r>
    </w:p>
    <w:p w:rsidR="00CD0F3E"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72.- </w:t>
      </w:r>
      <w:r>
        <w:rPr>
          <w:rFonts w:ascii="Palatino Linotype" w:eastAsia="Palatino Linotype" w:hAnsi="Palatino Linotype" w:cs="Palatino Linotype"/>
          <w:b/>
          <w:i/>
          <w:color w:val="000000"/>
          <w:sz w:val="22"/>
          <w:szCs w:val="22"/>
        </w:rPr>
        <w:t>La ejecución de los trabajos estará a cargo de la dependencia o entidad a través de la residencia de obra</w:t>
      </w:r>
      <w:r w:rsidRPr="00C85706">
        <w:rPr>
          <w:rFonts w:ascii="Palatino Linotype" w:eastAsia="Palatino Linotype" w:hAnsi="Palatino Linotype" w:cs="Palatino Linotype"/>
          <w:b/>
          <w:i/>
          <w:color w:val="000000" w:themeColor="text1"/>
          <w:sz w:val="22"/>
          <w:szCs w:val="22"/>
        </w:rPr>
        <w:t>;</w:t>
      </w:r>
      <w:r w:rsidRPr="004C3D30">
        <w:rPr>
          <w:rFonts w:ascii="Palatino Linotype" w:eastAsia="Palatino Linotype" w:hAnsi="Palatino Linotype" w:cs="Palatino Linotype"/>
          <w:b/>
          <w:i/>
          <w:color w:val="FF0000"/>
          <w:sz w:val="22"/>
          <w:szCs w:val="22"/>
        </w:rPr>
        <w:t xml:space="preserve"> </w:t>
      </w:r>
      <w:r>
        <w:rPr>
          <w:rFonts w:ascii="Palatino Linotype" w:eastAsia="Palatino Linotype" w:hAnsi="Palatino Linotype" w:cs="Palatino Linotype"/>
          <w:b/>
          <w:i/>
          <w:color w:val="000000"/>
          <w:sz w:val="22"/>
          <w:szCs w:val="22"/>
        </w:rPr>
        <w:t>una vez concluidos los trabajos por administración directa</w:t>
      </w:r>
      <w:r>
        <w:rPr>
          <w:rFonts w:ascii="Palatino Linotype" w:eastAsia="Palatino Linotype" w:hAnsi="Palatino Linotype" w:cs="Palatino Linotype"/>
          <w:i/>
          <w:color w:val="000000"/>
          <w:sz w:val="22"/>
          <w:szCs w:val="22"/>
        </w:rPr>
        <w:t xml:space="preserve">, deberá entregarse al área responsable de su operación o mantenimiento. La entrega deberá constar por escrito. </w:t>
      </w:r>
    </w:p>
    <w:p w:rsidR="00CD0F3E"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r w:rsidRPr="00925262">
        <w:rPr>
          <w:rFonts w:ascii="Palatino Linotype" w:eastAsia="Palatino Linotype" w:hAnsi="Palatino Linotype" w:cs="Palatino Linotype"/>
          <w:b/>
          <w:i/>
          <w:color w:val="000000"/>
          <w:sz w:val="22"/>
          <w:szCs w:val="22"/>
        </w:rPr>
        <w:t>Artículo 73.- La dependencia o entidad deberá prever y proveer todos los recursos humanos, técnicos, materiales y económicos necesarios para que la ejecución de los trabajos se realice de conformidad con lo previsto en los proyectos, planos y especificaciones técnicas; los programas de ejecución y suministro y los procedimientos para llevarlos a cabo</w:t>
      </w:r>
      <w:r>
        <w:rPr>
          <w:rFonts w:ascii="Palatino Linotype" w:eastAsia="Palatino Linotype" w:hAnsi="Palatino Linotype" w:cs="Palatino Linotype"/>
          <w:i/>
          <w:color w:val="000000"/>
          <w:sz w:val="22"/>
          <w:szCs w:val="22"/>
        </w:rPr>
        <w:t>. En la ejecución de los trabajos por administración directa serán aplicables, en lo procedente, las disposiciones de esta Ley.</w:t>
      </w:r>
    </w:p>
    <w:p w:rsidR="00925262" w:rsidRDefault="00925262">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p>
    <w:p w:rsidR="00925262" w:rsidRDefault="00925262">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p>
    <w:p w:rsidR="00CD0F3E"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Código Administrativo del Estado de México</w:t>
      </w:r>
    </w:p>
    <w:p w:rsidR="00CD0F3E" w:rsidRDefault="00D470B8">
      <w:pPr>
        <w:spacing w:before="280" w:after="280" w:line="276" w:lineRule="auto"/>
        <w:ind w:left="426"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12.60.- </w:t>
      </w:r>
      <w:r>
        <w:rPr>
          <w:rFonts w:ascii="Palatino Linotype" w:eastAsia="Palatino Linotype" w:hAnsi="Palatino Linotype" w:cs="Palatino Linotype"/>
          <w:b/>
          <w:i/>
          <w:sz w:val="22"/>
          <w:szCs w:val="22"/>
        </w:rPr>
        <w:t>Las dependencias, entidades y ayuntamientos podrán realizar obras por administración directa, siempre que posean la capacidad técnica y los elementos necesarios, consistentes en: maquinaria y equipo de construcción, personal técnico, trabajadores y materiales y podrán</w:t>
      </w:r>
      <w:r>
        <w:rPr>
          <w:rFonts w:ascii="Palatino Linotype" w:eastAsia="Palatino Linotype" w:hAnsi="Palatino Linotype" w:cs="Palatino Linotype"/>
          <w:i/>
          <w:sz w:val="22"/>
          <w:szCs w:val="22"/>
        </w:rPr>
        <w:t xml:space="preserve">: </w:t>
      </w:r>
    </w:p>
    <w:p w:rsidR="00CD0F3E" w:rsidRDefault="00D470B8">
      <w:pPr>
        <w:numPr>
          <w:ilvl w:val="1"/>
          <w:numId w:val="10"/>
        </w:numPr>
        <w:pBdr>
          <w:top w:val="nil"/>
          <w:left w:val="nil"/>
          <w:bottom w:val="nil"/>
          <w:right w:val="nil"/>
          <w:between w:val="nil"/>
        </w:pBdr>
        <w:spacing w:before="280" w:after="280" w:line="276" w:lineRule="auto"/>
        <w:ind w:left="567" w:right="567"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Utilizar mano de obra local complementaria, la que necesariamente deberá contratarse por obra determinada;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Alquilar equipo y maquinaria de construcción complementaria;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Utilizar preferentemente los materiales de la región; </w:t>
      </w:r>
    </w:p>
    <w:p w:rsidR="00CD0F3E" w:rsidRDefault="00D470B8">
      <w:pPr>
        <w:numPr>
          <w:ilvl w:val="1"/>
          <w:numId w:val="10"/>
        </w:numPr>
        <w:pBdr>
          <w:top w:val="nil"/>
          <w:left w:val="nil"/>
          <w:bottom w:val="nil"/>
          <w:right w:val="nil"/>
          <w:between w:val="nil"/>
        </w:pBdr>
        <w:spacing w:before="280" w:after="280" w:line="276" w:lineRule="auto"/>
        <w:ind w:left="567" w:right="567"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Contratar equipos, instrumentos, elementos prefabricados terminados y materiales u otros bienes que deban ser instalados, montados, colocados o aplicados; </w:t>
      </w:r>
    </w:p>
    <w:p w:rsidR="00CD0F3E" w:rsidRDefault="00D470B8">
      <w:pPr>
        <w:numPr>
          <w:ilvl w:val="1"/>
          <w:numId w:val="10"/>
        </w:numPr>
        <w:pBdr>
          <w:top w:val="nil"/>
          <w:left w:val="nil"/>
          <w:bottom w:val="nil"/>
          <w:right w:val="nil"/>
          <w:between w:val="nil"/>
        </w:pBdr>
        <w:spacing w:before="280" w:after="280" w:line="276" w:lineRule="auto"/>
        <w:ind w:left="567" w:right="567"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Utilizar servicios de fletes y acarreos complementarios.</w:t>
      </w:r>
    </w:p>
    <w:p w:rsidR="00CD0F3E" w:rsidRDefault="00D470B8">
      <w:pPr>
        <w:pBdr>
          <w:top w:val="nil"/>
          <w:left w:val="nil"/>
          <w:bottom w:val="nil"/>
          <w:right w:val="nil"/>
          <w:between w:val="nil"/>
        </w:pBdr>
        <w:spacing w:before="280" w:after="280" w:line="276" w:lineRule="auto"/>
        <w:ind w:left="567" w:right="567"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Artículo 12.61.- En la ejecución de los trabajos por administración directa serán aplicables en lo conducente, las disposiciones de este Libro relativas a la obra pública contratada. </w:t>
      </w:r>
    </w:p>
    <w:p w:rsidR="00CD0F3E"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12.62.- En la obra por administración directa bajo ninguna circunstancia podrán participar terceros como contratistas, sean cuales fueren las circunstancias particulares, naturaleza jurídica o modalidades que estos adopten.</w:t>
      </w:r>
      <w:r>
        <w:rPr>
          <w:rFonts w:ascii="Palatino Linotype" w:eastAsia="Palatino Linotype" w:hAnsi="Palatino Linotype" w:cs="Palatino Linotype"/>
          <w:i/>
          <w:color w:val="000000"/>
          <w:sz w:val="22"/>
          <w:szCs w:val="22"/>
        </w:rPr>
        <w:t>” (Sic) (Énfasis añadido)</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estas obras al ser ejecutadas por administración directa, únicamente requieren que las entidades públicas cuenten con la capacidad técnica y elementos n</w:t>
      </w:r>
      <w:r w:rsidR="007A475A">
        <w:rPr>
          <w:rFonts w:ascii="Palatino Linotype" w:eastAsia="Palatino Linotype" w:hAnsi="Palatino Linotype" w:cs="Palatino Linotype"/>
        </w:rPr>
        <w:t xml:space="preserve">ecesarios para llevarla a cabo, asimismo </w:t>
      </w:r>
      <w:r w:rsidR="007A475A" w:rsidRPr="007A475A">
        <w:rPr>
          <w:rFonts w:ascii="Palatino Linotype" w:eastAsia="Palatino Linotype" w:hAnsi="Palatino Linotype" w:cs="Palatino Linotype"/>
        </w:rPr>
        <w:t>bajo ninguna circunstancia podrán participar terceros como contratistas, sean cuales fueren las circunstancias particulares, naturaleza jurídica o modalidades que estos adopten</w:t>
      </w:r>
      <w:r w:rsidR="007A475A">
        <w:rPr>
          <w:rFonts w:ascii="Palatino Linotype" w:eastAsia="Palatino Linotype" w:hAnsi="Palatino Linotype" w:cs="Palatino Linotype"/>
        </w:rPr>
        <w:t xml:space="preserve">. </w:t>
      </w:r>
      <w:r w:rsidR="007A475A">
        <w:rPr>
          <w:rFonts w:ascii="Palatino Linotype" w:eastAsia="Palatino Linotype" w:hAnsi="Palatino Linotype" w:cs="Palatino Linotype"/>
        </w:rPr>
        <w:lastRenderedPageBreak/>
        <w:t xml:space="preserve">No debe perderse de vista que </w:t>
      </w:r>
      <w:r w:rsidR="003321F3">
        <w:rPr>
          <w:rFonts w:ascii="Palatino Linotype" w:eastAsia="Palatino Linotype" w:hAnsi="Palatino Linotype" w:cs="Palatino Linotype"/>
        </w:rPr>
        <w:t xml:space="preserve">en términos del multicitado Reglamento </w:t>
      </w:r>
      <w:r w:rsidR="003321F3" w:rsidRPr="003321F3">
        <w:rPr>
          <w:rFonts w:ascii="Palatino Linotype" w:eastAsia="Palatino Linotype" w:hAnsi="Palatino Linotype" w:cs="Palatino Linotype"/>
        </w:rPr>
        <w:t>del Libro Décimo Segundo del Código Administrativo del Estado De México</w:t>
      </w:r>
      <w:r w:rsidR="003321F3">
        <w:rPr>
          <w:rFonts w:ascii="Palatino Linotype" w:eastAsia="Palatino Linotype" w:hAnsi="Palatino Linotype" w:cs="Palatino Linotype"/>
        </w:rPr>
        <w:t xml:space="preserve">, </w:t>
      </w:r>
      <w:r w:rsidR="007A475A">
        <w:rPr>
          <w:rFonts w:ascii="Palatino Linotype" w:eastAsia="Palatino Linotype" w:hAnsi="Palatino Linotype" w:cs="Palatino Linotype"/>
        </w:rPr>
        <w:t>para la ejecución de los trabajos, deberá designarse a un residente de obra, quien a su vez contará con un supervisor de obra, los cuales se encargarán de s</w:t>
      </w:r>
      <w:r w:rsidR="007A475A" w:rsidRPr="007A475A">
        <w:rPr>
          <w:rFonts w:ascii="Palatino Linotype" w:eastAsia="Palatino Linotype" w:hAnsi="Palatino Linotype" w:cs="Palatino Linotype"/>
        </w:rPr>
        <w:t>upervisar, revisar, v</w:t>
      </w:r>
      <w:r w:rsidR="007A475A">
        <w:rPr>
          <w:rFonts w:ascii="Palatino Linotype" w:eastAsia="Palatino Linotype" w:hAnsi="Palatino Linotype" w:cs="Palatino Linotype"/>
        </w:rPr>
        <w:t>igilar y controlar los trabajos.</w:t>
      </w:r>
    </w:p>
    <w:p w:rsidR="003321F3" w:rsidRPr="00925262" w:rsidRDefault="003321F3" w:rsidP="003321F3">
      <w:pPr>
        <w:spacing w:before="280" w:after="280" w:line="276" w:lineRule="auto"/>
        <w:ind w:left="567" w:right="567"/>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 xml:space="preserve"> “</w:t>
      </w:r>
      <w:r w:rsidRPr="00925262">
        <w:rPr>
          <w:rFonts w:ascii="Palatino Linotype" w:eastAsia="Palatino Linotype" w:hAnsi="Palatino Linotype" w:cs="Palatino Linotype"/>
          <w:b/>
          <w:i/>
          <w:sz w:val="22"/>
        </w:rPr>
        <w:t>Artículo 215.- Para dar inicio a la ejecución de los trabajos, el contratante nombrará al servidor público residente de obra; y el contratista, al superintendente de la obra que lo representará.</w:t>
      </w:r>
    </w:p>
    <w:p w:rsidR="003321F3" w:rsidRPr="00925262" w:rsidRDefault="003321F3" w:rsidP="003321F3">
      <w:pPr>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Cuando la supervisión sea contratada con terceras personas, es conveniente que participe desde el fallo del procedimiento de adjudicación del contrato de obra.</w:t>
      </w:r>
    </w:p>
    <w:p w:rsidR="003321F3" w:rsidRPr="00925262" w:rsidRDefault="003321F3" w:rsidP="003321F3">
      <w:pPr>
        <w:spacing w:before="280" w:after="280" w:line="276" w:lineRule="auto"/>
        <w:ind w:left="567" w:right="567"/>
        <w:jc w:val="both"/>
        <w:rPr>
          <w:rFonts w:ascii="Palatino Linotype" w:eastAsia="Palatino Linotype" w:hAnsi="Palatino Linotype" w:cs="Palatino Linotype"/>
          <w:b/>
          <w:i/>
          <w:sz w:val="22"/>
        </w:rPr>
      </w:pPr>
      <w:r w:rsidRPr="00925262">
        <w:rPr>
          <w:rFonts w:ascii="Palatino Linotype" w:eastAsia="Palatino Linotype" w:hAnsi="Palatino Linotype" w:cs="Palatino Linotype"/>
          <w:b/>
          <w:i/>
          <w:sz w:val="22"/>
        </w:rPr>
        <w:t xml:space="preserve">Artículo 216.- Para designar al residente de obra, el contratante deberá prever que tenga los conocimientos, experiencia, habilidades y capacidad suficiente para administrar y dirigir los trabajos; considerando la formación profesional, la experiencia en administración y construcción de obras, el desarrollo profesional y el conocimiento de obras similares a las que se hará cargo. </w:t>
      </w:r>
    </w:p>
    <w:p w:rsidR="003321F3" w:rsidRDefault="003321F3" w:rsidP="003321F3">
      <w:pPr>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Para acreditar esto el servidor público designado deberá presentar la certificación de conocimientos y habilidades expedida en la materia.</w:t>
      </w:r>
    </w:p>
    <w:p w:rsidR="003321F3" w:rsidRDefault="003321F3" w:rsidP="003321F3">
      <w:pPr>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El contratante podrá ubicar la residencia o residencias de obra en la zona de influencia de la ejecución de los trabajos. </w:t>
      </w:r>
    </w:p>
    <w:p w:rsidR="003321F3" w:rsidRDefault="003321F3" w:rsidP="003321F3">
      <w:pPr>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Artículo 217.- Las funciones de la residencia de obra serán: </w:t>
      </w:r>
    </w:p>
    <w:p w:rsidR="003321F3" w:rsidRDefault="003321F3" w:rsidP="003321F3">
      <w:pPr>
        <w:pStyle w:val="Prrafodelista"/>
        <w:numPr>
          <w:ilvl w:val="0"/>
          <w:numId w:val="12"/>
        </w:numPr>
        <w:spacing w:before="280" w:after="280" w:line="276" w:lineRule="auto"/>
        <w:ind w:left="567" w:right="567" w:hanging="141"/>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Vigilar que se cuente con el oficio de autorización de los recursos presupuestales; </w:t>
      </w:r>
    </w:p>
    <w:p w:rsidR="003321F3" w:rsidRPr="00925262" w:rsidRDefault="003321F3" w:rsidP="003321F3">
      <w:pPr>
        <w:pStyle w:val="Prrafodelista"/>
        <w:numPr>
          <w:ilvl w:val="0"/>
          <w:numId w:val="12"/>
        </w:numPr>
        <w:spacing w:before="280" w:after="280" w:line="276" w:lineRule="auto"/>
        <w:ind w:left="567" w:right="567" w:hanging="141"/>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Verificar que, antes del inicio de la obra, se cuente con los proyectos arquitectónicos y de ingeniería, especificaciones de calidad de los materiales y especificaciones generales y particulares de construcción, catálogo de conceptos con sus análisis de precios unitarios o alcance de las actividades de obra, programas de ejecución y </w:t>
      </w:r>
      <w:r w:rsidRPr="00925262">
        <w:rPr>
          <w:rFonts w:ascii="Palatino Linotype" w:eastAsia="Palatino Linotype" w:hAnsi="Palatino Linotype" w:cs="Palatino Linotype"/>
          <w:i/>
          <w:sz w:val="22"/>
        </w:rPr>
        <w:lastRenderedPageBreak/>
        <w:t xml:space="preserve">suministros o utilización, términos de referencia y alcance de servicios; en caso contrario, informar a su inmediato superior; </w:t>
      </w:r>
    </w:p>
    <w:p w:rsidR="003321F3" w:rsidRDefault="003321F3" w:rsidP="003321F3">
      <w:pPr>
        <w:pStyle w:val="Prrafodelista"/>
        <w:numPr>
          <w:ilvl w:val="0"/>
          <w:numId w:val="12"/>
        </w:numPr>
        <w:spacing w:before="280" w:after="280" w:line="276" w:lineRule="auto"/>
        <w:ind w:left="567" w:right="567" w:hanging="141"/>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Abrir la bitácora de obra, la cual quedará bajo su resguardo, y por medio de ella dar las instrucciones pertinentes, y recibir las solicitudes que le formule la supervisión y el contratista; </w:t>
      </w:r>
    </w:p>
    <w:p w:rsidR="003321F3" w:rsidRDefault="003321F3" w:rsidP="003321F3">
      <w:pPr>
        <w:pStyle w:val="Prrafodelista"/>
        <w:numPr>
          <w:ilvl w:val="0"/>
          <w:numId w:val="12"/>
        </w:numPr>
        <w:spacing w:before="280" w:after="280" w:line="276" w:lineRule="auto"/>
        <w:ind w:left="567" w:right="567" w:hanging="141"/>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Supervisar, revisar, vigilar y controlar los trabajos; </w:t>
      </w:r>
    </w:p>
    <w:p w:rsidR="003321F3" w:rsidRDefault="003321F3" w:rsidP="003321F3">
      <w:pPr>
        <w:pStyle w:val="Prrafodelista"/>
        <w:numPr>
          <w:ilvl w:val="0"/>
          <w:numId w:val="12"/>
        </w:numPr>
        <w:spacing w:before="280" w:after="280" w:line="276" w:lineRule="auto"/>
        <w:ind w:left="567" w:right="567" w:hanging="141"/>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Vigilar y controlar el desarrollo de los trabajos, en sus aspectos de tiempo, calidad, costo y apego a los programas de ejecución de los trabajos de acuerdo con los avances, recursos asignados, rendimientos y consumos pactados en el contrato; </w:t>
      </w:r>
    </w:p>
    <w:p w:rsidR="003321F3" w:rsidRDefault="003321F3" w:rsidP="003321F3">
      <w:pPr>
        <w:pStyle w:val="Prrafodelista"/>
        <w:numPr>
          <w:ilvl w:val="0"/>
          <w:numId w:val="12"/>
        </w:numPr>
        <w:spacing w:before="280" w:after="280" w:line="276" w:lineRule="auto"/>
        <w:ind w:left="567" w:right="567" w:hanging="141"/>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Revisar, controlar y comprobar que los materiales, la mano de obra, la maquinaria y equipos sean de la calidad y características pactadas en el contrato. </w:t>
      </w:r>
    </w:p>
    <w:p w:rsidR="003321F3" w:rsidRDefault="003321F3" w:rsidP="003321F3">
      <w:pPr>
        <w:pStyle w:val="Prrafodelista"/>
        <w:numPr>
          <w:ilvl w:val="0"/>
          <w:numId w:val="12"/>
        </w:numPr>
        <w:spacing w:before="280" w:after="280" w:line="276" w:lineRule="auto"/>
        <w:ind w:left="567" w:right="567" w:hanging="283"/>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En rendimientos de la maquinaria o equipo de construcción, deberá vigilar que se cumpla con la cantidad de trabajo indicado por el contratista en los precios unitarios y los programas de ejecución pactados en el contrato, independientemente del número de máquinas o equipos que se requieran para su desarrollo; </w:t>
      </w:r>
    </w:p>
    <w:p w:rsidR="003321F3" w:rsidRDefault="003321F3" w:rsidP="003321F3">
      <w:pPr>
        <w:pStyle w:val="Prrafodelista"/>
        <w:numPr>
          <w:ilvl w:val="0"/>
          <w:numId w:val="12"/>
        </w:numPr>
        <w:spacing w:before="280" w:after="280" w:line="276" w:lineRule="auto"/>
        <w:ind w:left="567" w:right="567" w:hanging="425"/>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Tomar las decisiones técnicas para la correcta ejecución de los trabajos, debiendo resolver oportunamente las consultas, aclaraciones, dudas o autorizaciones que presente el supervisor o el contratista, con relación al cumplimiento de los derechos y obligaciones derivadas del contrato; </w:t>
      </w:r>
    </w:p>
    <w:p w:rsidR="003321F3" w:rsidRDefault="003321F3" w:rsidP="003321F3">
      <w:pPr>
        <w:pStyle w:val="Prrafodelista"/>
        <w:numPr>
          <w:ilvl w:val="0"/>
          <w:numId w:val="12"/>
        </w:numPr>
        <w:spacing w:before="280" w:after="280" w:line="276" w:lineRule="auto"/>
        <w:ind w:left="567" w:right="567" w:hanging="425"/>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Obtener por escrito las autorizaciones del proyectista y los responsables de las áreas competentes, cuando el proyecto requiera de cambios estructurales, arquitectónicos, funcionales, de proceso, entre otros; </w:t>
      </w:r>
    </w:p>
    <w:p w:rsidR="003321F3" w:rsidRDefault="003321F3" w:rsidP="003321F3">
      <w:pPr>
        <w:pStyle w:val="Prrafodelista"/>
        <w:numPr>
          <w:ilvl w:val="0"/>
          <w:numId w:val="12"/>
        </w:numPr>
        <w:spacing w:before="280" w:after="280" w:line="276" w:lineRule="auto"/>
        <w:ind w:left="567" w:right="567" w:hanging="425"/>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Presentar al contratante, cuando exista un cambio sustancial al proyecto, a sus especificaciones o al contrato, el problema con las opciones de solución, en las que se analice y evalúe la factibilidad, el costo, el tiempo de ejecución y, en su caso, la necesidad de prórroga; </w:t>
      </w:r>
    </w:p>
    <w:p w:rsidR="003321F3" w:rsidRDefault="003321F3" w:rsidP="003321F3">
      <w:pPr>
        <w:pStyle w:val="Prrafodelista"/>
        <w:numPr>
          <w:ilvl w:val="0"/>
          <w:numId w:val="12"/>
        </w:numPr>
        <w:spacing w:before="280" w:after="280" w:line="276" w:lineRule="auto"/>
        <w:ind w:left="567" w:right="567" w:hanging="425"/>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lastRenderedPageBreak/>
        <w:t xml:space="preserve">Autorizar las estimaciones, verificando que cuenten con toda la documentación que las respalden; </w:t>
      </w:r>
    </w:p>
    <w:p w:rsidR="003321F3" w:rsidRDefault="003321F3" w:rsidP="003321F3">
      <w:pPr>
        <w:pStyle w:val="Prrafodelista"/>
        <w:numPr>
          <w:ilvl w:val="0"/>
          <w:numId w:val="12"/>
        </w:numPr>
        <w:spacing w:before="280" w:after="280" w:line="276" w:lineRule="auto"/>
        <w:ind w:left="567" w:right="567" w:hanging="425"/>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Tramitar, en su caso, los convenios modificatorios necesarios;</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Artículo 218.- </w:t>
      </w:r>
      <w:r w:rsidRPr="00925262">
        <w:rPr>
          <w:rFonts w:ascii="Palatino Linotype" w:eastAsia="Palatino Linotype" w:hAnsi="Palatino Linotype" w:cs="Palatino Linotype"/>
          <w:b/>
          <w:i/>
          <w:sz w:val="22"/>
        </w:rPr>
        <w:t>La supervisión es el auxiliar de la residencia de obra. Tendrá las funciones que se señalan en este Reglamento</w:t>
      </w:r>
      <w:r w:rsidRPr="00925262">
        <w:rPr>
          <w:rFonts w:ascii="Palatino Linotype" w:eastAsia="Palatino Linotype" w:hAnsi="Palatino Linotype" w:cs="Palatino Linotype"/>
          <w:i/>
          <w:sz w:val="22"/>
        </w:rPr>
        <w:t xml:space="preserve">, así como las que, en su caso, se pacten en el contrato de supervisión. Para tal función se deberá contar con la certificación de conocimientos y habilidades en la materia. </w:t>
      </w:r>
    </w:p>
    <w:p w:rsidR="003321F3" w:rsidRPr="00925262" w:rsidRDefault="003321F3" w:rsidP="003321F3">
      <w:pPr>
        <w:pStyle w:val="Prrafodelista"/>
        <w:spacing w:before="280" w:after="280" w:line="276" w:lineRule="auto"/>
        <w:ind w:left="567" w:right="567"/>
        <w:jc w:val="both"/>
        <w:rPr>
          <w:rFonts w:ascii="Palatino Linotype" w:eastAsia="Palatino Linotype" w:hAnsi="Palatino Linotype" w:cs="Palatino Linotype"/>
          <w:b/>
          <w:i/>
          <w:sz w:val="22"/>
        </w:rPr>
      </w:pPr>
      <w:r w:rsidRPr="00925262">
        <w:rPr>
          <w:rFonts w:ascii="Palatino Linotype" w:eastAsia="Palatino Linotype" w:hAnsi="Palatino Linotype" w:cs="Palatino Linotype"/>
          <w:b/>
          <w:i/>
          <w:sz w:val="22"/>
        </w:rPr>
        <w:t xml:space="preserve">Artículo 219.- Las funciones de la supervisión serán: </w:t>
      </w:r>
    </w:p>
    <w:p w:rsidR="003321F3" w:rsidRDefault="003321F3" w:rsidP="003321F3">
      <w:pPr>
        <w:pStyle w:val="Prrafodelista"/>
        <w:numPr>
          <w:ilvl w:val="0"/>
          <w:numId w:val="13"/>
        </w:numPr>
        <w:spacing w:before="280" w:after="280" w:line="276" w:lineRule="auto"/>
        <w:ind w:left="567" w:right="567" w:hanging="283"/>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Revisar, antes del inicio de los trabajos, la información que le proporcione la residencia de obra respecto del contrato, con el objeto de enterarse con detalle de las características del proyecto y del sitio de la obra, obteniendo la información que le permita iniciar los trabajos de supervisión según lo programado y ejecutarlos ininterrumpidamente hasta su conclusión; </w:t>
      </w:r>
    </w:p>
    <w:p w:rsidR="003321F3" w:rsidRDefault="003321F3" w:rsidP="003321F3">
      <w:pPr>
        <w:pStyle w:val="Prrafodelista"/>
        <w:numPr>
          <w:ilvl w:val="0"/>
          <w:numId w:val="13"/>
        </w:numPr>
        <w:spacing w:before="280" w:after="280" w:line="276" w:lineRule="auto"/>
        <w:ind w:left="567" w:right="567" w:hanging="283"/>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Analizar detalladamente el programa de ejecución de los trabajos, incorporando a éste, según sea el caso, los programas de materiales, maquinaria, equipos, instrumentos y accesorios de instalación permanente que el contratante vaya a proporcionar al contratista; </w:t>
      </w:r>
    </w:p>
    <w:p w:rsidR="003321F3" w:rsidRDefault="003321F3" w:rsidP="003321F3">
      <w:pPr>
        <w:pStyle w:val="Prrafodelista"/>
        <w:numPr>
          <w:ilvl w:val="0"/>
          <w:numId w:val="13"/>
        </w:numPr>
        <w:spacing w:before="280" w:after="280" w:line="276" w:lineRule="auto"/>
        <w:ind w:left="567" w:right="567" w:hanging="283"/>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Integrar y mantener en orden y actualizado el archivo y documentación derivada de la realización de los trabajos, el que contendrá, entre otros: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a. Contrato, convenios, programas de obra y suministros, números generadores, cantidades de obra realizadas y faltantes de ejecutar y presupuesto;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b. Permisos, licencias y autorizaciones;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c. Especificaciones de construcción y procedimientos constructivos;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d. Registro y control de la bitácora y de las minutas de las juntas de obra;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e. Copia de planos y sus modificaciones;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lastRenderedPageBreak/>
        <w:t xml:space="preserve">f. Matrices de precios unitarios o cédula de avances y pagos programados, según corresponda;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g. Estimaciones;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h. Reportes de laboratorio y resultado de las pruebas, y</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i. Manuales y garantía de la maquinaria y equipo;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IV. Vigilar la buena ejecución de la obra y comunicar al contratista oportunamente las órdenes provenientes de la residencia de obra;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 Registrar en la bitácora, por lo menos una vez a la semana, los avances y aspectos relevantes de la obra;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VI. Llevar a cabo juntas de trabajo con el contratista y la residencia de obra para analizar el estado, avance, problemas y opciones de solución, registrando los acuerdos tomados en las minutas;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VII. Analizar con la residencia de obra los problemas técnicos que se susciten y presentar opciones de solución;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VIII. Vigilar que el superintendente de construcción cumpla con las condiciones de seguridad, higiene, limpieza y señalamiento de los trabajos;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IX. Revisar y firmar las estimaciones de trabajos ejecutados para que la residencia de obra las apruebe; y con la superintendencia de construcción del contratista, tramitar con oportunidad el pago;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X. Vigilar que los planos se mantengan actualizados por conducto de las personas que tengan asignada dicha actividad;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XI. Apoyar a la residencia de obra para vigilar que los materiales, la mano de obra, la maquinaria y equipos sean de la calidad y características pactadas en el contrato;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 xml:space="preserve">XII. Verificar la debida terminación de los trabajos dentro del plazo convenido; </w:t>
      </w:r>
    </w:p>
    <w:p w:rsidR="003321F3"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lastRenderedPageBreak/>
        <w:t xml:space="preserve">XIII. Participar en la elaboración del finiquito de los trabajos; y </w:t>
      </w:r>
    </w:p>
    <w:p w:rsidR="003321F3" w:rsidRPr="00925262" w:rsidRDefault="003321F3" w:rsidP="003321F3">
      <w:pPr>
        <w:pStyle w:val="Prrafodelista"/>
        <w:spacing w:before="280" w:after="280" w:line="276" w:lineRule="auto"/>
        <w:ind w:left="567" w:right="567"/>
        <w:jc w:val="both"/>
        <w:rPr>
          <w:rFonts w:ascii="Palatino Linotype" w:eastAsia="Palatino Linotype" w:hAnsi="Palatino Linotype" w:cs="Palatino Linotype"/>
          <w:i/>
          <w:sz w:val="22"/>
        </w:rPr>
      </w:pPr>
      <w:r w:rsidRPr="00925262">
        <w:rPr>
          <w:rFonts w:ascii="Palatino Linotype" w:eastAsia="Palatino Linotype" w:hAnsi="Palatino Linotype" w:cs="Palatino Linotype"/>
          <w:i/>
          <w:sz w:val="22"/>
        </w:rPr>
        <w:t>XIV. Las demás que le señale la residencia de obra o el contratante en los términos de referencia.</w:t>
      </w:r>
      <w:r>
        <w:rPr>
          <w:rFonts w:ascii="Palatino Linotype" w:eastAsia="Palatino Linotype" w:hAnsi="Palatino Linotype" w:cs="Palatino Linotype"/>
          <w:i/>
          <w:sz w:val="22"/>
        </w:rPr>
        <w:t>” (Sic)</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orden de ideas, la Ley de Obras Públicas y Servicios relacionadas con las mismas, establece que previo a la realización de los trabajos por administración directa, </w:t>
      </w:r>
      <w:r>
        <w:rPr>
          <w:rFonts w:ascii="Palatino Linotype" w:eastAsia="Palatino Linotype" w:hAnsi="Palatino Linotype" w:cs="Palatino Linotype"/>
          <w:b/>
        </w:rPr>
        <w:t>el titular del área responsable de la ejecución de los trabajos emitirá el acuerdo respectivo, del cual formarán parte, entre otros aspectos, la descripción pormenorizada de los trabajos que se deban ejecutar, los proyectos, planos, especificaciones, programas de ejecución y suministro y el presupuesto correspondiente</w:t>
      </w:r>
      <w:r w:rsidR="003321F3">
        <w:rPr>
          <w:rFonts w:ascii="Palatino Linotype" w:eastAsia="Palatino Linotype" w:hAnsi="Palatino Linotype" w:cs="Palatino Linotype"/>
        </w:rPr>
        <w:t>. Asimismo, l</w:t>
      </w:r>
      <w:r>
        <w:rPr>
          <w:rFonts w:ascii="Palatino Linotype" w:eastAsia="Palatino Linotype" w:hAnsi="Palatino Linotype" w:cs="Palatino Linotype"/>
        </w:rPr>
        <w:t xml:space="preserve">os órganos internos de control en las dependencias y entidades, previamente a la ejecución de los trabajos por administración directa, verificarán que se cuente con el presupuesto correspondiente y los programas de ejecución, de utilización de recursos humanos y, en su caso, de utilización de maquinaria y equipo de construcción. </w:t>
      </w:r>
    </w:p>
    <w:p w:rsidR="00CD0F3E" w:rsidRDefault="00D470B8">
      <w:pPr>
        <w:spacing w:before="280" w:after="280" w:line="360" w:lineRule="auto"/>
        <w:jc w:val="both"/>
        <w:rPr>
          <w:rFonts w:ascii="Palatino Linotype" w:eastAsia="Palatino Linotype" w:hAnsi="Palatino Linotype" w:cs="Palatino Linotype"/>
          <w:highlight w:val="yellow"/>
        </w:rPr>
      </w:pPr>
      <w:r>
        <w:rPr>
          <w:rFonts w:ascii="Palatino Linotype" w:eastAsia="Palatino Linotype" w:hAnsi="Palatino Linotype" w:cs="Palatino Linotype"/>
        </w:rPr>
        <w:t xml:space="preserve">No pasa desapercibido para este organismo que el Reglamento del Libro Décimo Segundo del Código Administrativo del Estado De México </w:t>
      </w:r>
      <w:r w:rsidR="007A475A">
        <w:rPr>
          <w:rFonts w:ascii="Palatino Linotype" w:eastAsia="Palatino Linotype" w:hAnsi="Palatino Linotype" w:cs="Palatino Linotype"/>
        </w:rPr>
        <w:t xml:space="preserve">regula </w:t>
      </w:r>
      <w:r w:rsidR="008D01DC">
        <w:rPr>
          <w:rFonts w:ascii="Palatino Linotype" w:eastAsia="Palatino Linotype" w:hAnsi="Palatino Linotype" w:cs="Palatino Linotype"/>
        </w:rPr>
        <w:t>lo siguiente respecto de</w:t>
      </w:r>
      <w:r w:rsidR="003321F3">
        <w:rPr>
          <w:rFonts w:ascii="Palatino Linotype" w:eastAsia="Palatino Linotype" w:hAnsi="Palatino Linotype" w:cs="Palatino Linotype"/>
        </w:rPr>
        <w:t>l acuerdo</w:t>
      </w:r>
      <w:r w:rsidR="008D01DC">
        <w:rPr>
          <w:rFonts w:ascii="Palatino Linotype" w:eastAsia="Palatino Linotype" w:hAnsi="Palatino Linotype" w:cs="Palatino Linotype"/>
        </w:rPr>
        <w:t xml:space="preserve"> </w:t>
      </w:r>
      <w:r w:rsidR="003321F3">
        <w:rPr>
          <w:rFonts w:ascii="Palatino Linotype" w:eastAsia="Palatino Linotype" w:hAnsi="Palatino Linotype" w:cs="Palatino Linotype"/>
        </w:rPr>
        <w:t xml:space="preserve">que deberá emitir la entidad o dependencia previo a la ejecución </w:t>
      </w:r>
      <w:r w:rsidR="008D01DC">
        <w:rPr>
          <w:rFonts w:ascii="Palatino Linotype" w:eastAsia="Palatino Linotype" w:hAnsi="Palatino Linotype" w:cs="Palatino Linotype"/>
        </w:rPr>
        <w:t>la obra pública por administración directa</w:t>
      </w:r>
      <w:r w:rsidR="003321F3">
        <w:rPr>
          <w:rFonts w:ascii="Palatino Linotype" w:eastAsia="Palatino Linotype" w:hAnsi="Palatino Linotype" w:cs="Palatino Linotype"/>
        </w:rPr>
        <w:t>, a saber</w:t>
      </w:r>
      <w:r w:rsidR="008D01DC">
        <w:rPr>
          <w:rFonts w:ascii="Palatino Linotype" w:eastAsia="Palatino Linotype" w:hAnsi="Palatino Linotype" w:cs="Palatino Linotype"/>
        </w:rPr>
        <w:t xml:space="preserve">: </w:t>
      </w:r>
    </w:p>
    <w:p w:rsidR="0092781F" w:rsidRPr="0092781F" w:rsidRDefault="00D470B8">
      <w:pPr>
        <w:spacing w:before="280" w:after="28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sidR="0092781F" w:rsidRPr="0092781F">
        <w:rPr>
          <w:rFonts w:ascii="Palatino Linotype" w:eastAsia="Palatino Linotype" w:hAnsi="Palatino Linotype" w:cs="Palatino Linotype"/>
          <w:i/>
          <w:sz w:val="22"/>
          <w:szCs w:val="22"/>
        </w:rPr>
        <w:t xml:space="preserve">Artículo 1.- El cumplimiento y observancia de las disposiciones de este Reglamento son de orden público e interés social. </w:t>
      </w:r>
      <w:r w:rsidR="0092781F" w:rsidRPr="0092781F">
        <w:rPr>
          <w:rFonts w:ascii="Palatino Linotype" w:eastAsia="Palatino Linotype" w:hAnsi="Palatino Linotype" w:cs="Palatino Linotype"/>
          <w:b/>
          <w:i/>
          <w:sz w:val="22"/>
          <w:szCs w:val="22"/>
        </w:rPr>
        <w:t>Serán aplicables a</w:t>
      </w:r>
      <w:r w:rsidR="0092781F" w:rsidRPr="0092781F">
        <w:rPr>
          <w:rFonts w:ascii="Palatino Linotype" w:eastAsia="Palatino Linotype" w:hAnsi="Palatino Linotype" w:cs="Palatino Linotype"/>
          <w:i/>
          <w:sz w:val="22"/>
          <w:szCs w:val="22"/>
        </w:rPr>
        <w:t xml:space="preserve"> las dependencias, entidades, </w:t>
      </w:r>
      <w:r w:rsidR="0092781F" w:rsidRPr="0092781F">
        <w:rPr>
          <w:rFonts w:ascii="Palatino Linotype" w:eastAsia="Palatino Linotype" w:hAnsi="Palatino Linotype" w:cs="Palatino Linotype"/>
          <w:b/>
          <w:i/>
          <w:sz w:val="22"/>
          <w:szCs w:val="22"/>
        </w:rPr>
        <w:t>ayuntamientos</w:t>
      </w:r>
      <w:r w:rsidR="0092781F" w:rsidRPr="0092781F">
        <w:rPr>
          <w:rFonts w:ascii="Palatino Linotype" w:eastAsia="Palatino Linotype" w:hAnsi="Palatino Linotype" w:cs="Palatino Linotype"/>
          <w:i/>
          <w:sz w:val="22"/>
          <w:szCs w:val="22"/>
        </w:rPr>
        <w:t xml:space="preserve">, los poderes Legislativo y Judicial, así como los organismos autónomos y los Tribunales Administrativos </w:t>
      </w:r>
      <w:r w:rsidR="0092781F" w:rsidRPr="0092781F">
        <w:rPr>
          <w:rFonts w:ascii="Palatino Linotype" w:eastAsia="Palatino Linotype" w:hAnsi="Palatino Linotype" w:cs="Palatino Linotype"/>
          <w:b/>
          <w:i/>
          <w:sz w:val="22"/>
          <w:szCs w:val="22"/>
        </w:rPr>
        <w:t xml:space="preserve">que, por si o por conducto de terceros, realicen actividades en materia de planeación, programación, </w:t>
      </w:r>
      <w:proofErr w:type="spellStart"/>
      <w:r w:rsidR="0092781F" w:rsidRPr="0092781F">
        <w:rPr>
          <w:rFonts w:ascii="Palatino Linotype" w:eastAsia="Palatino Linotype" w:hAnsi="Palatino Linotype" w:cs="Palatino Linotype"/>
          <w:b/>
          <w:i/>
          <w:sz w:val="22"/>
          <w:szCs w:val="22"/>
        </w:rPr>
        <w:t>presupuestación</w:t>
      </w:r>
      <w:proofErr w:type="spellEnd"/>
      <w:r w:rsidR="0092781F" w:rsidRPr="0092781F">
        <w:rPr>
          <w:rFonts w:ascii="Palatino Linotype" w:eastAsia="Palatino Linotype" w:hAnsi="Palatino Linotype" w:cs="Palatino Linotype"/>
          <w:b/>
          <w:i/>
          <w:sz w:val="22"/>
          <w:szCs w:val="22"/>
        </w:rPr>
        <w:t>, adjudicación, contratación, ejecución y control de la obra pública y servicios relacionados con la misma.</w:t>
      </w:r>
    </w:p>
    <w:p w:rsidR="0092781F" w:rsidRDefault="0092781F">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8D01DC" w:rsidRPr="000A5063" w:rsidRDefault="008D01DC">
      <w:pPr>
        <w:spacing w:before="280" w:after="280" w:line="276" w:lineRule="auto"/>
        <w:ind w:left="567" w:right="567"/>
        <w:jc w:val="both"/>
        <w:rPr>
          <w:rFonts w:ascii="Palatino Linotype" w:eastAsia="Palatino Linotype" w:hAnsi="Palatino Linotype" w:cs="Palatino Linotype"/>
          <w:b/>
          <w:i/>
          <w:sz w:val="22"/>
          <w:szCs w:val="22"/>
        </w:rPr>
      </w:pPr>
      <w:r w:rsidRPr="008D01DC">
        <w:rPr>
          <w:rFonts w:ascii="Palatino Linotype" w:eastAsia="Palatino Linotype" w:hAnsi="Palatino Linotype" w:cs="Palatino Linotype"/>
          <w:i/>
          <w:sz w:val="22"/>
          <w:szCs w:val="22"/>
        </w:rPr>
        <w:t xml:space="preserve">Artículo 260.- </w:t>
      </w:r>
      <w:r w:rsidRPr="000A5063">
        <w:rPr>
          <w:rFonts w:ascii="Palatino Linotype" w:eastAsia="Palatino Linotype" w:hAnsi="Palatino Linotype" w:cs="Palatino Linotype"/>
          <w:b/>
          <w:i/>
          <w:sz w:val="22"/>
          <w:szCs w:val="22"/>
        </w:rPr>
        <w:t xml:space="preserve">Las dependencias y entidades podrán realizar obras por administración directa, siempre que posean </w:t>
      </w:r>
      <w:r w:rsidRPr="000A5063">
        <w:rPr>
          <w:rFonts w:ascii="Palatino Linotype" w:eastAsia="Palatino Linotype" w:hAnsi="Palatino Linotype" w:cs="Palatino Linotype"/>
          <w:i/>
          <w:sz w:val="22"/>
          <w:szCs w:val="22"/>
        </w:rPr>
        <w:t>la capacidad técnica y la maquinaria y equipo de construcción, personal técnico, trabajadores y materiales que se requieran para el desarrollo de los trabajos y</w:t>
      </w:r>
      <w:r w:rsidRPr="000A5063">
        <w:rPr>
          <w:rFonts w:ascii="Palatino Linotype" w:eastAsia="Palatino Linotype" w:hAnsi="Palatino Linotype" w:cs="Palatino Linotype"/>
          <w:b/>
          <w:i/>
          <w:sz w:val="22"/>
          <w:szCs w:val="22"/>
        </w:rPr>
        <w:t xml:space="preserve"> </w:t>
      </w:r>
      <w:r w:rsidRPr="000A5063">
        <w:rPr>
          <w:rFonts w:ascii="Palatino Linotype" w:eastAsia="Palatino Linotype" w:hAnsi="Palatino Linotype" w:cs="Palatino Linotype"/>
          <w:b/>
          <w:i/>
          <w:sz w:val="22"/>
          <w:szCs w:val="22"/>
          <w:u w:val="single"/>
        </w:rPr>
        <w:t>la autorización respectiva de la Secretaría del Ramo haya sido publicada en el periódico oficial “Gaceta del Gobierno”</w:t>
      </w:r>
      <w:r w:rsidRPr="000A5063">
        <w:rPr>
          <w:rFonts w:ascii="Palatino Linotype" w:eastAsia="Palatino Linotype" w:hAnsi="Palatino Linotype" w:cs="Palatino Linotype"/>
          <w:b/>
          <w:i/>
          <w:sz w:val="22"/>
          <w:szCs w:val="22"/>
        </w:rPr>
        <w:t xml:space="preserve">. </w:t>
      </w:r>
    </w:p>
    <w:p w:rsidR="008D01DC" w:rsidRPr="008D01DC" w:rsidRDefault="008D01DC">
      <w:pPr>
        <w:spacing w:before="280" w:after="280" w:line="276" w:lineRule="auto"/>
        <w:ind w:left="567" w:right="567"/>
        <w:jc w:val="both"/>
        <w:rPr>
          <w:rFonts w:ascii="Palatino Linotype" w:eastAsia="Palatino Linotype" w:hAnsi="Palatino Linotype" w:cs="Palatino Linotype"/>
          <w:b/>
          <w:i/>
          <w:sz w:val="22"/>
          <w:szCs w:val="22"/>
        </w:rPr>
      </w:pPr>
      <w:r w:rsidRPr="008D01DC">
        <w:rPr>
          <w:rFonts w:ascii="Palatino Linotype" w:eastAsia="Palatino Linotype" w:hAnsi="Palatino Linotype" w:cs="Palatino Linotype"/>
          <w:b/>
          <w:i/>
          <w:sz w:val="22"/>
          <w:szCs w:val="22"/>
        </w:rPr>
        <w:t>Cuando los ayuntamientos realicen obras con cargo total o parcial a fondos estatales, deberán contar con la autorización señalada en este artículo.</w:t>
      </w:r>
    </w:p>
    <w:p w:rsidR="00CD0F3E" w:rsidRDefault="00D470B8">
      <w:pPr>
        <w:spacing w:before="280" w:after="28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264.- Previo a la realización de los trabajos por administración directa, el titular de la dependencia o entidad emitirá un acuerdo que mínimo contendrá:</w:t>
      </w:r>
      <w:r>
        <w:rPr>
          <w:rFonts w:ascii="Palatino Linotype" w:eastAsia="Palatino Linotype" w:hAnsi="Palatino Linotype" w:cs="Palatino Linotype"/>
          <w:i/>
          <w:sz w:val="22"/>
          <w:szCs w:val="22"/>
        </w:rPr>
        <w:t xml:space="preserve">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descripción pormenorizada de los trabajos a ejecutar;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proyectos de ingeniería, arquitectura y otros requeridos;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normas y especificaciones de construcción;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Plazo de ejecución de los trabajos determinado en días naturales, indicando la fecha de inicio y término de los mismos;</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programas de ejecución de los trabajos y de suministro o utilización de los insumos;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autorización presupuestal de la Secretaría de Finanzas;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permisos y licencias correspondientes;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presupuesto total de los trabajos y, en su caso, los montos por ejercer en cada ejercicio; </w:t>
      </w:r>
    </w:p>
    <w:p w:rsidR="00CD0F3E" w:rsidRPr="0092781F"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b/>
          <w:i/>
          <w:color w:val="000000"/>
          <w:sz w:val="22"/>
          <w:szCs w:val="22"/>
          <w:u w:val="single"/>
        </w:rPr>
      </w:pPr>
      <w:r w:rsidRPr="0092781F">
        <w:rPr>
          <w:rFonts w:ascii="Palatino Linotype" w:eastAsia="Palatino Linotype" w:hAnsi="Palatino Linotype" w:cs="Palatino Linotype"/>
          <w:b/>
          <w:i/>
          <w:color w:val="000000"/>
          <w:sz w:val="22"/>
          <w:szCs w:val="22"/>
          <w:u w:val="single"/>
        </w:rPr>
        <w:t xml:space="preserve">Las áreas y servidores públicos responsables de la autorización, supervisión y ejecución de los trabajos;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lugar y la fecha; y </w:t>
      </w:r>
    </w:p>
    <w:p w:rsidR="00CD0F3E" w:rsidRDefault="00D470B8">
      <w:pPr>
        <w:numPr>
          <w:ilvl w:val="0"/>
          <w:numId w:val="4"/>
        </w:numPr>
        <w:pBdr>
          <w:top w:val="nil"/>
          <w:left w:val="nil"/>
          <w:bottom w:val="nil"/>
          <w:right w:val="nil"/>
          <w:between w:val="nil"/>
        </w:pBdr>
        <w:spacing w:before="280" w:after="280" w:line="276" w:lineRule="auto"/>
        <w:ind w:left="56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El nombre y firma del servidor público que emite el acuerdo. </w:t>
      </w:r>
    </w:p>
    <w:p w:rsidR="00CD0F3E"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El acuerdo deberá hacerse del conocimiento de la Secretaría del Ramo, de la Contraloría y, en el caso de las entidades, de la dependencia coordinadora correspondiente. </w:t>
      </w:r>
    </w:p>
    <w:p w:rsidR="00CD0F3E" w:rsidRDefault="00D470B8">
      <w:pPr>
        <w:pBdr>
          <w:top w:val="nil"/>
          <w:left w:val="nil"/>
          <w:bottom w:val="nil"/>
          <w:right w:val="nil"/>
          <w:between w:val="nil"/>
        </w:pBdr>
        <w:spacing w:before="280" w:after="280" w:line="276" w:lineRule="auto"/>
        <w:ind w:left="567" w:right="567"/>
        <w:jc w:val="both"/>
        <w:rPr>
          <w:rFonts w:ascii="Palatino Linotype" w:eastAsia="Palatino Linotype" w:hAnsi="Palatino Linotype" w:cs="Palatino Linotype"/>
          <w:i/>
          <w:color w:val="000000"/>
          <w:sz w:val="22"/>
          <w:szCs w:val="22"/>
        </w:rPr>
      </w:pPr>
      <w:r w:rsidRPr="00C85706">
        <w:rPr>
          <w:rFonts w:ascii="Palatino Linotype" w:eastAsia="Palatino Linotype" w:hAnsi="Palatino Linotype" w:cs="Palatino Linotype"/>
          <w:i/>
          <w:color w:val="000000" w:themeColor="text1"/>
          <w:sz w:val="22"/>
          <w:szCs w:val="22"/>
        </w:rPr>
        <w:t xml:space="preserve">Cuando los ayuntamientos realicen obras con cargo total o parcial a fondos estatales, </w:t>
      </w:r>
      <w:r>
        <w:rPr>
          <w:rFonts w:ascii="Palatino Linotype" w:eastAsia="Palatino Linotype" w:hAnsi="Palatino Linotype" w:cs="Palatino Linotype"/>
          <w:i/>
          <w:color w:val="000000"/>
          <w:sz w:val="22"/>
          <w:szCs w:val="22"/>
        </w:rPr>
        <w:t>el presidente municipal expedirá el acuerdo de autorización señalado en este artículo.”</w:t>
      </w:r>
    </w:p>
    <w:p w:rsidR="003321F3" w:rsidRDefault="008D01DC" w:rsidP="003321F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Debemos recordar que el Sujeto Obligado refirió que dichas obras se financiaron con </w:t>
      </w:r>
      <w:r w:rsidR="003321F3" w:rsidRPr="003321F3">
        <w:rPr>
          <w:rFonts w:ascii="Palatino Linotype" w:eastAsia="Palatino Linotype" w:hAnsi="Palatino Linotype" w:cs="Palatino Linotype"/>
        </w:rPr>
        <w:t xml:space="preserve">varios recursos, los cuales </w:t>
      </w:r>
      <w:r w:rsidR="003321F3">
        <w:rPr>
          <w:rFonts w:ascii="Palatino Linotype" w:eastAsia="Palatino Linotype" w:hAnsi="Palatino Linotype" w:cs="Palatino Linotype"/>
        </w:rPr>
        <w:t xml:space="preserve">emanan </w:t>
      </w:r>
      <w:r w:rsidR="003321F3" w:rsidRPr="003321F3">
        <w:rPr>
          <w:rFonts w:ascii="Palatino Linotype" w:eastAsia="Palatino Linotype" w:hAnsi="Palatino Linotype" w:cs="Palatino Linotype"/>
        </w:rPr>
        <w:t>del Programa de Accione</w:t>
      </w:r>
      <w:r w:rsidR="003321F3">
        <w:rPr>
          <w:rFonts w:ascii="Palatino Linotype" w:eastAsia="Palatino Linotype" w:hAnsi="Palatino Linotype" w:cs="Palatino Linotype"/>
        </w:rPr>
        <w:t xml:space="preserve">s para el Desarrollo, </w:t>
      </w:r>
      <w:r w:rsidR="003321F3" w:rsidRPr="003321F3">
        <w:rPr>
          <w:rFonts w:ascii="Palatino Linotype" w:eastAsia="Palatino Linotype" w:hAnsi="Palatino Linotype" w:cs="Palatino Linotype"/>
        </w:rPr>
        <w:t>FOPAEDAPIE</w:t>
      </w:r>
      <w:r w:rsidR="003321F3">
        <w:rPr>
          <w:rFonts w:ascii="Palatino Linotype" w:eastAsia="Palatino Linotype" w:hAnsi="Palatino Linotype" w:cs="Palatino Linotype"/>
        </w:rPr>
        <w:t xml:space="preserve"> y por recursos municipales. Al respecto, debe mencionarse lo siguiente:</w:t>
      </w:r>
    </w:p>
    <w:p w:rsidR="003321F3" w:rsidRPr="003321F3" w:rsidRDefault="003321F3" w:rsidP="003321F3">
      <w:pPr>
        <w:spacing w:before="280" w:after="280" w:line="360" w:lineRule="auto"/>
        <w:jc w:val="both"/>
        <w:rPr>
          <w:rFonts w:ascii="Palatino Linotype" w:eastAsia="Palatino Linotype" w:hAnsi="Palatino Linotype" w:cs="Palatino Linotype"/>
          <w:b/>
        </w:rPr>
      </w:pPr>
      <w:r w:rsidRPr="003321F3">
        <w:rPr>
          <w:rFonts w:ascii="Palatino Linotype" w:eastAsia="Palatino Linotype" w:hAnsi="Palatino Linotype" w:cs="Palatino Linotype"/>
          <w:b/>
        </w:rPr>
        <w:t xml:space="preserve"> Programa de Acciones para el Desarrollo</w:t>
      </w:r>
      <w:r>
        <w:rPr>
          <w:rFonts w:ascii="Palatino Linotype" w:eastAsia="Palatino Linotype" w:hAnsi="Palatino Linotype" w:cs="Palatino Linotype"/>
          <w:b/>
        </w:rPr>
        <w:t>:</w:t>
      </w:r>
    </w:p>
    <w:p w:rsidR="003321F3" w:rsidRPr="003321F3" w:rsidRDefault="003321F3" w:rsidP="003321F3">
      <w:pPr>
        <w:spacing w:before="280" w:after="280" w:line="360" w:lineRule="auto"/>
        <w:jc w:val="both"/>
        <w:rPr>
          <w:rFonts w:ascii="Palatino Linotype" w:eastAsia="Palatino Linotype" w:hAnsi="Palatino Linotype" w:cs="Palatino Linotype"/>
          <w:b/>
        </w:rPr>
      </w:pPr>
      <w:r w:rsidRPr="003321F3">
        <w:rPr>
          <w:rFonts w:ascii="Palatino Linotype" w:eastAsia="Palatino Linotype" w:hAnsi="Palatino Linotype" w:cs="Palatino Linotype"/>
        </w:rPr>
        <w:t>Los recursos del Programa de Acciones Para el Desarrollo (PAD), anteriormente programa d</w:t>
      </w:r>
      <w:r>
        <w:rPr>
          <w:rFonts w:ascii="Palatino Linotype" w:eastAsia="Palatino Linotype" w:hAnsi="Palatino Linotype" w:cs="Palatino Linotype"/>
        </w:rPr>
        <w:t xml:space="preserve">e Gasto de Inversión Sectorial, </w:t>
      </w:r>
      <w:r w:rsidRPr="003321F3">
        <w:rPr>
          <w:rFonts w:ascii="Palatino Linotype" w:eastAsia="Palatino Linotype" w:hAnsi="Palatino Linotype" w:cs="Palatino Linotype"/>
        </w:rPr>
        <w:t xml:space="preserve">están alineados al Plan de Desarrollo del Estado de México 2011-2017 y a los programas específicos del Gobierno del Estado de México. </w:t>
      </w:r>
      <w:r w:rsidRPr="003321F3">
        <w:rPr>
          <w:rFonts w:ascii="Palatino Linotype" w:eastAsia="Palatino Linotype" w:hAnsi="Palatino Linotype" w:cs="Palatino Linotype"/>
          <w:b/>
        </w:rPr>
        <w:t>Este programa permitirá que se otorguen subsidios o apoyos económicos a diversos niveles de gobierno, asociaciones o representantes de la sociedad.</w:t>
      </w:r>
    </w:p>
    <w:p w:rsidR="003321F3" w:rsidRDefault="003321F3" w:rsidP="003321F3">
      <w:pPr>
        <w:spacing w:before="280" w:after="280" w:line="360" w:lineRule="auto"/>
        <w:jc w:val="both"/>
        <w:rPr>
          <w:rFonts w:ascii="Palatino Linotype" w:eastAsia="Palatino Linotype" w:hAnsi="Palatino Linotype" w:cs="Palatino Linotype"/>
        </w:rPr>
      </w:pPr>
      <w:r w:rsidRPr="003321F3">
        <w:rPr>
          <w:rFonts w:ascii="Palatino Linotype" w:eastAsia="Palatino Linotype" w:hAnsi="Palatino Linotype" w:cs="Palatino Linotype"/>
        </w:rPr>
        <w:t xml:space="preserve">Su objetivo es fomentar el desarrollo y disminuir la pobreza, procurar la seguridad económica, pública y social en el Estado de México. </w:t>
      </w:r>
      <w:r w:rsidRPr="003321F3">
        <w:rPr>
          <w:rFonts w:ascii="Palatino Linotype" w:eastAsia="Palatino Linotype" w:hAnsi="Palatino Linotype" w:cs="Palatino Linotype"/>
          <w:b/>
        </w:rPr>
        <w:t>La adjudicación, contratación, ejecución, comprobación y entrega  de las obras</w:t>
      </w:r>
      <w:r w:rsidRPr="003321F3">
        <w:rPr>
          <w:rFonts w:ascii="Palatino Linotype" w:eastAsia="Palatino Linotype" w:hAnsi="Palatino Linotype" w:cs="Palatino Linotype"/>
        </w:rPr>
        <w:t xml:space="preserve"> y/o acciones autorizadas estarán sujetas invariablemente a las disposiciones que resulten </w:t>
      </w:r>
      <w:r w:rsidRPr="003321F3">
        <w:rPr>
          <w:rFonts w:ascii="Palatino Linotype" w:eastAsia="Palatino Linotype" w:hAnsi="Palatino Linotype" w:cs="Palatino Linotype"/>
        </w:rPr>
        <w:lastRenderedPageBreak/>
        <w:t>aplicables para cada caso, de conformidad con la normatividad vigente en la materia.</w:t>
      </w:r>
    </w:p>
    <w:p w:rsidR="003321F3" w:rsidRDefault="003321F3" w:rsidP="003321F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se concluye que </w:t>
      </w:r>
      <w:r w:rsidR="000A5063">
        <w:rPr>
          <w:rFonts w:ascii="Palatino Linotype" w:eastAsia="Palatino Linotype" w:hAnsi="Palatino Linotype" w:cs="Palatino Linotype"/>
        </w:rPr>
        <w:t xml:space="preserve">este fondo emana del </w:t>
      </w:r>
      <w:r w:rsidR="000A5063" w:rsidRPr="000A5063">
        <w:rPr>
          <w:rFonts w:ascii="Palatino Linotype" w:eastAsia="Palatino Linotype" w:hAnsi="Palatino Linotype" w:cs="Palatino Linotype"/>
        </w:rPr>
        <w:t>Presupuesto de Egresos del Gobierno del Estado de México</w:t>
      </w:r>
      <w:r w:rsidR="000A5063">
        <w:rPr>
          <w:rFonts w:ascii="Palatino Linotype" w:eastAsia="Palatino Linotype" w:hAnsi="Palatino Linotype" w:cs="Palatino Linotype"/>
        </w:rPr>
        <w:t xml:space="preserve"> para el Ejercicio Fiscal 2014 y, por ende, es de naturaleza estatal. </w:t>
      </w:r>
    </w:p>
    <w:p w:rsidR="000A5063" w:rsidRPr="000A5063" w:rsidRDefault="000A5063" w:rsidP="003321F3">
      <w:pPr>
        <w:spacing w:before="280" w:after="280" w:line="360" w:lineRule="auto"/>
        <w:jc w:val="both"/>
        <w:rPr>
          <w:rFonts w:ascii="Palatino Linotype" w:eastAsia="Palatino Linotype" w:hAnsi="Palatino Linotype" w:cs="Palatino Linotype"/>
          <w:b/>
        </w:rPr>
      </w:pPr>
      <w:r w:rsidRPr="000A5063">
        <w:rPr>
          <w:rFonts w:ascii="Palatino Linotype" w:eastAsia="Palatino Linotype" w:hAnsi="Palatino Linotype" w:cs="Palatino Linotype"/>
          <w:b/>
        </w:rPr>
        <w:t>FOPAEDAPIE (Fondo de Pavimentación, Espacios Deportivos, Alumbrado Público y Rehabilitación de Infraestructura Educativa para Municipios y Demarcaciones Territoriales del Distrito Federal)</w:t>
      </w:r>
    </w:p>
    <w:p w:rsidR="008D01DC" w:rsidRDefault="00CD0767" w:rsidP="00CD076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fondo deriva del Ramo 23, el cual </w:t>
      </w:r>
      <w:r w:rsidRPr="00CD0767">
        <w:rPr>
          <w:rFonts w:ascii="Palatino Linotype" w:eastAsia="Palatino Linotype" w:hAnsi="Palatino Linotype" w:cs="Palatino Linotype"/>
        </w:rPr>
        <w:t>es un instrumento de política presupuestaria que permite atende</w:t>
      </w:r>
      <w:r>
        <w:rPr>
          <w:rFonts w:ascii="Palatino Linotype" w:eastAsia="Palatino Linotype" w:hAnsi="Palatino Linotype" w:cs="Palatino Linotype"/>
        </w:rPr>
        <w:t xml:space="preserve">r las obligaciones del Gobierno </w:t>
      </w:r>
      <w:r w:rsidRPr="00CD0767">
        <w:rPr>
          <w:rFonts w:ascii="Palatino Linotype" w:eastAsia="Palatino Linotype" w:hAnsi="Palatino Linotype" w:cs="Palatino Linotype"/>
        </w:rPr>
        <w:t>Federal cuyas asignaciones de recursos no corresponden al gasto directo de las de</w:t>
      </w:r>
      <w:r>
        <w:rPr>
          <w:rFonts w:ascii="Palatino Linotype" w:eastAsia="Palatino Linotype" w:hAnsi="Palatino Linotype" w:cs="Palatino Linotype"/>
        </w:rPr>
        <w:t xml:space="preserve">pendencias ni de las entidades; </w:t>
      </w:r>
      <w:r w:rsidRPr="00CD0767">
        <w:rPr>
          <w:rFonts w:ascii="Palatino Linotype" w:eastAsia="Palatino Linotype" w:hAnsi="Palatino Linotype" w:cs="Palatino Linotype"/>
        </w:rPr>
        <w:t>específicamente este ramo se encarga de las provisiones salariales y económic</w:t>
      </w:r>
      <w:r>
        <w:rPr>
          <w:rFonts w:ascii="Palatino Linotype" w:eastAsia="Palatino Linotype" w:hAnsi="Palatino Linotype" w:cs="Palatino Linotype"/>
        </w:rPr>
        <w:t xml:space="preserve">as para: i) el cumplimiento del </w:t>
      </w:r>
      <w:r w:rsidRPr="00CD0767">
        <w:rPr>
          <w:rFonts w:ascii="Palatino Linotype" w:eastAsia="Palatino Linotype" w:hAnsi="Palatino Linotype" w:cs="Palatino Linotype"/>
        </w:rPr>
        <w:t xml:space="preserve">balance presupuestario, ii) el control de las ampliaciones y reducciones al </w:t>
      </w:r>
      <w:r>
        <w:rPr>
          <w:rFonts w:ascii="Palatino Linotype" w:eastAsia="Palatino Linotype" w:hAnsi="Palatino Linotype" w:cs="Palatino Linotype"/>
        </w:rPr>
        <w:t xml:space="preserve">presupuesto aprobado, con cargo </w:t>
      </w:r>
      <w:r w:rsidRPr="00CD0767">
        <w:rPr>
          <w:rFonts w:ascii="Palatino Linotype" w:eastAsia="Palatino Linotype" w:hAnsi="Palatino Linotype" w:cs="Palatino Linotype"/>
        </w:rPr>
        <w:t>a modificaciones en ingresos, iii) la operación de mecanismos de control y cier</w:t>
      </w:r>
      <w:r>
        <w:rPr>
          <w:rFonts w:ascii="Palatino Linotype" w:eastAsia="Palatino Linotype" w:hAnsi="Palatino Linotype" w:cs="Palatino Linotype"/>
        </w:rPr>
        <w:t xml:space="preserve">re presupuestario y iv) otorgar </w:t>
      </w:r>
      <w:r w:rsidRPr="00CD0767">
        <w:rPr>
          <w:rFonts w:ascii="Palatino Linotype" w:eastAsia="Palatino Linotype" w:hAnsi="Palatino Linotype" w:cs="Palatino Linotype"/>
        </w:rPr>
        <w:t>provisiones económicas a través de fondos específicos a entidades federativas y municipios.</w:t>
      </w:r>
    </w:p>
    <w:p w:rsidR="00CD0767" w:rsidRDefault="00CD0767" w:rsidP="00CD076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se concluye que este fondo tiene carácter de subsidio federal, en términos del artículo 4, fracción III del Presupuesto de Egresos de la Federación para el Ejercicio Fiscal 2014.</w:t>
      </w:r>
    </w:p>
    <w:p w:rsidR="00CD0767" w:rsidRDefault="00CD0767" w:rsidP="00CD076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Sin embargo, debemos recordar que la legislación y el propio reglamento en análisis mandatan de manera general la expedición de un acuerdo expedido por la Secretaría del Ramo, es decir, la encargada de la Obra Pública, el cual será emitido por el titular de la dependencia o entidad, mismo que derivará posteriormente en una autorización publicada en el Periódico Oficial “Gaceta de Gobierno”. Asimismo, debe precisarse que si las obras se ejecutan con cargo total o parcial a fondos estatales corresponderá al </w:t>
      </w:r>
      <w:r w:rsidRPr="00CD0767">
        <w:rPr>
          <w:rFonts w:ascii="Palatino Linotype" w:eastAsia="Palatino Linotype" w:hAnsi="Palatino Linotype" w:cs="Palatino Linotype"/>
        </w:rPr>
        <w:t>el presidente municipal expedirá el acuerdo de autorización</w:t>
      </w:r>
      <w:r>
        <w:rPr>
          <w:rFonts w:ascii="Palatino Linotype" w:eastAsia="Palatino Linotype" w:hAnsi="Palatino Linotype" w:cs="Palatino Linotype"/>
        </w:rPr>
        <w:t>.</w:t>
      </w:r>
    </w:p>
    <w:p w:rsidR="00A014B5" w:rsidRPr="00A014B5" w:rsidRDefault="00A014B5" w:rsidP="00A014B5">
      <w:pPr>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Finalmente cabe hacer mención que si bien es cierto que en el formato mediante el cual se interpuso su solicitud de información expresó que requiere: </w:t>
      </w:r>
      <w:r>
        <w:rPr>
          <w:rFonts w:ascii="Palatino Linotype" w:eastAsia="Palatino Linotype" w:hAnsi="Palatino Linotype" w:cs="Palatino Linotype"/>
          <w:i/>
        </w:rPr>
        <w:t>“</w:t>
      </w:r>
      <w:r w:rsidRPr="00A014B5">
        <w:rPr>
          <w:rFonts w:ascii="Palatino Linotype" w:eastAsia="Palatino Linotype" w:hAnsi="Palatino Linotype" w:cs="Palatino Linotype"/>
          <w:i/>
        </w:rPr>
        <w:t xml:space="preserve">la Ficha Técnica o Expediente Técnico con el que se </w:t>
      </w:r>
      <w:proofErr w:type="spellStart"/>
      <w:r w:rsidRPr="00A014B5">
        <w:rPr>
          <w:rFonts w:ascii="Palatino Linotype" w:eastAsia="Palatino Linotype" w:hAnsi="Palatino Linotype" w:cs="Palatino Linotype"/>
          <w:i/>
        </w:rPr>
        <w:t>Gestiono</w:t>
      </w:r>
      <w:proofErr w:type="spellEnd"/>
      <w:r>
        <w:rPr>
          <w:rFonts w:ascii="Palatino Linotype" w:eastAsia="Palatino Linotype" w:hAnsi="Palatino Linotype" w:cs="Palatino Linotype"/>
          <w:i/>
        </w:rPr>
        <w:t xml:space="preserve">” (sic), </w:t>
      </w:r>
      <w:r>
        <w:rPr>
          <w:rFonts w:ascii="Palatino Linotype" w:eastAsia="Palatino Linotype" w:hAnsi="Palatino Linotype" w:cs="Palatino Linotype"/>
        </w:rPr>
        <w:t>también lo es</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resulta procedente suplir la deficiencia de la queja en términos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rsidR="00A014B5" w:rsidRDefault="00A014B5" w:rsidP="00A014B5">
      <w:pPr>
        <w:shd w:val="clear" w:color="auto" w:fill="FFFFFF"/>
        <w:spacing w:before="240" w:after="240"/>
        <w:ind w:left="567" w:right="567"/>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rsidR="00A014B5" w:rsidRDefault="00A014B5" w:rsidP="00A014B5">
      <w:pPr>
        <w:shd w:val="clear" w:color="auto" w:fill="FFFFFF"/>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181.</w:t>
      </w:r>
      <w:r>
        <w:rPr>
          <w:rFonts w:ascii="Palatino Linotype" w:eastAsia="Palatino Linotype" w:hAnsi="Palatino Linotype" w:cs="Palatino Linotype"/>
          <w:i/>
          <w:sz w:val="22"/>
          <w:szCs w:val="22"/>
        </w:rPr>
        <w:t> </w:t>
      </w:r>
    </w:p>
    <w:p w:rsidR="00A014B5" w:rsidRDefault="00A014B5" w:rsidP="00A014B5">
      <w:pPr>
        <w:shd w:val="clear" w:color="auto" w:fill="FFFFFF"/>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p>
    <w:p w:rsidR="00A014B5" w:rsidRDefault="00A014B5" w:rsidP="00A014B5">
      <w:pPr>
        <w:shd w:val="clear" w:color="auto" w:fill="FFFFFF"/>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rsidR="00A014B5" w:rsidRDefault="00A014B5" w:rsidP="00A014B5">
      <w:pPr>
        <w:shd w:val="clear" w:color="auto" w:fill="FFFFFF"/>
        <w:ind w:right="567"/>
        <w:jc w:val="both"/>
        <w:rPr>
          <w:rFonts w:ascii="Palatino Linotype" w:eastAsia="Palatino Linotype" w:hAnsi="Palatino Linotype" w:cs="Palatino Linotype"/>
          <w:i/>
          <w:sz w:val="22"/>
          <w:szCs w:val="22"/>
        </w:rPr>
      </w:pPr>
    </w:p>
    <w:p w:rsidR="00A014B5" w:rsidRDefault="00A014B5" w:rsidP="00A014B5">
      <w:pPr>
        <w:shd w:val="clear" w:color="auto" w:fill="FFFFFF"/>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lastRenderedPageBreak/>
        <w:t>Así también en armonía con lo señalado en la jurisprudencia y en la tesis aislada, emitida por la Suprema Corte de Justicia de la Nación, que llevan por rubro respectivamente; “</w:t>
      </w:r>
      <w:r>
        <w:rPr>
          <w:rFonts w:ascii="Palatino Linotype" w:eastAsia="Palatino Linotype" w:hAnsi="Palatino Linotype" w:cs="Palatino Linotype"/>
          <w:i/>
        </w:rPr>
        <w:t>SUPLENCIA DE LA QUEJA DEFICIENTE SU PROCEDENCIA EN OTRAS MATERIAS, AUN A FALTA DE CONCEPTO DE VIOLACIÓN O AGRAVIO, CUANDO SE ADVIERTA VIOLACIÓN GRAVE Y MANIFIESTA DE LA LEY”</w:t>
      </w:r>
      <w:r>
        <w:rPr>
          <w:rFonts w:ascii="Palatino Linotype" w:eastAsia="Palatino Linotype" w:hAnsi="Palatino Linotype" w:cs="Palatino Linotype"/>
          <w:i/>
          <w:vertAlign w:val="superscript"/>
        </w:rPr>
        <w:footnoteReference w:id="2"/>
      </w:r>
      <w:r>
        <w:rPr>
          <w:rFonts w:ascii="Palatino Linotype" w:eastAsia="Palatino Linotype" w:hAnsi="Palatino Linotype" w:cs="Palatino Linotype"/>
        </w:rPr>
        <w:t xml:space="preserve"> y </w:t>
      </w:r>
      <w:r>
        <w:rPr>
          <w:rFonts w:ascii="Palatino Linotype" w:eastAsia="Palatino Linotype" w:hAnsi="Palatino Linotype" w:cs="Palatino Linotype"/>
          <w:i/>
        </w:rPr>
        <w:t>“SUPLENCIA DE LA QUEJA DEFICIENTE EN MATERIAS CIVIL Y ADMINISTRATIVA (INTERPRETACIÓN DEL ARTÍCULO 79, FRACCIÓN VI, DE LA LEY DE AMPARO).”</w:t>
      </w:r>
      <w:r>
        <w:rPr>
          <w:rFonts w:ascii="Palatino Linotype" w:eastAsia="Palatino Linotype" w:hAnsi="Palatino Linotype" w:cs="Palatino Linotype"/>
          <w:i/>
          <w:vertAlign w:val="superscript"/>
        </w:rPr>
        <w:footnoteReference w:id="3"/>
      </w:r>
      <w:r>
        <w:rPr>
          <w:rFonts w:ascii="Palatino Linotype" w:eastAsia="Palatino Linotype" w:hAnsi="Palatino Linotype" w:cs="Palatino Linotype"/>
        </w:rPr>
        <w:t xml:space="preserve">, que indican esencialmente que es obligación del </w:t>
      </w:r>
      <w:r>
        <w:rPr>
          <w:rFonts w:ascii="Palatino Linotype" w:eastAsia="Palatino Linotype" w:hAnsi="Palatino Linotype" w:cs="Palatino Linotype"/>
        </w:rPr>
        <w:lastRenderedPageBreak/>
        <w:t>juzgador suplir la queja deficiente ante una violación evidente de la ley que haya dejado sin defensa al particular, aún ante la ausencia de concepto de violación con el fin de evitar el beneficio de una de las partes a costa de la indefensión de la otra.</w:t>
      </w:r>
    </w:p>
    <w:p w:rsidR="00A014B5" w:rsidRDefault="00A014B5" w:rsidP="00F416D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white"/>
        </w:rPr>
        <w:t>Lo anterior, se estima resulta aplicable en el caso concreto, derivado de que si bien es cierto la petición del particular consistió en acceder a una ficha o expediente t</w:t>
      </w:r>
      <w:r>
        <w:rPr>
          <w:rFonts w:ascii="Palatino Linotype" w:eastAsia="Palatino Linotype" w:hAnsi="Palatino Linotype" w:cs="Palatino Linotype"/>
        </w:rPr>
        <w:t>écnico, bajo la óptica de esta autoridad y con fundamento en lo analizado en líneas argumentativas anteriores, se precisa que el particular requiere el documento que dé cuenta de las especificaciones técnicas de las obras, que de manera enunciativa más no limitativa obra en los acuerdos emitidos por las entidades o dependencias para la autorización de las obras</w:t>
      </w:r>
      <w:r w:rsidR="00F416DD">
        <w:rPr>
          <w:rFonts w:ascii="Palatino Linotype" w:eastAsia="Palatino Linotype" w:hAnsi="Palatino Linotype" w:cs="Palatino Linotype"/>
        </w:rPr>
        <w:t xml:space="preserve">, </w:t>
      </w:r>
      <w:r w:rsidR="00D470B8">
        <w:rPr>
          <w:rFonts w:ascii="Palatino Linotype" w:eastAsia="Palatino Linotype" w:hAnsi="Palatino Linotype" w:cs="Palatino Linotype"/>
        </w:rPr>
        <w:t xml:space="preserve">previo a su ejecución. </w:t>
      </w:r>
    </w:p>
    <w:p w:rsidR="00CD0F3E" w:rsidRDefault="0006449C">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2.- Del acta del COCICOVI</w:t>
      </w:r>
    </w:p>
    <w:p w:rsidR="00CD0767" w:rsidRPr="00A014B5" w:rsidRDefault="00CD0767" w:rsidP="00CD0767">
      <w:pPr>
        <w:spacing w:before="280" w:after="280" w:line="360" w:lineRule="auto"/>
        <w:jc w:val="both"/>
        <w:rPr>
          <w:rFonts w:ascii="Palatino Linotype" w:eastAsia="Palatino Linotype" w:hAnsi="Palatino Linotype" w:cs="Palatino Linotype"/>
        </w:rPr>
      </w:pPr>
      <w:r w:rsidRPr="00A014B5">
        <w:rPr>
          <w:rFonts w:ascii="Palatino Linotype" w:eastAsia="Palatino Linotype" w:hAnsi="Palatino Linotype" w:cs="Palatino Linotype"/>
        </w:rPr>
        <w:t>Sobre este punto, el Sujeto Obligado fue omiso en pronunciarse, por lo que se estima que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rsidR="00CD0767" w:rsidRPr="00A014B5" w:rsidRDefault="00CD0767" w:rsidP="00A014B5">
      <w:pPr>
        <w:spacing w:before="280" w:after="280" w:line="276" w:lineRule="auto"/>
        <w:ind w:left="567" w:right="567"/>
        <w:jc w:val="both"/>
        <w:rPr>
          <w:rFonts w:ascii="Palatino Linotype" w:eastAsia="Palatino Linotype" w:hAnsi="Palatino Linotype" w:cs="Palatino Linotype"/>
          <w:i/>
          <w:sz w:val="22"/>
        </w:rPr>
      </w:pPr>
      <w:r w:rsidRPr="00A014B5">
        <w:rPr>
          <w:rFonts w:ascii="Palatino Linotype" w:eastAsia="Palatino Linotype" w:hAnsi="Palatino Linotype" w:cs="Palatino Linotype"/>
          <w:i/>
          <w:sz w:val="22"/>
        </w:rPr>
        <w:t>“</w:t>
      </w:r>
      <w:r w:rsidRPr="00A014B5">
        <w:rPr>
          <w:rFonts w:ascii="Palatino Linotype" w:eastAsia="Palatino Linotype" w:hAnsi="Palatino Linotype" w:cs="Palatino Linotype"/>
          <w:b/>
          <w:i/>
          <w:sz w:val="22"/>
        </w:rPr>
        <w:t>Congruencia y exhaustividad. Sus alcances para garantizar el derecho de acceso a la información</w:t>
      </w:r>
      <w:r w:rsidRPr="00A014B5">
        <w:rPr>
          <w:rFonts w:ascii="Palatino Linotype" w:eastAsia="Palatino Linotype" w:hAnsi="Palatino Linotype" w:cs="Palatino Linotype"/>
          <w:i/>
          <w:sz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w:t>
      </w:r>
      <w:r w:rsidRPr="00A014B5">
        <w:rPr>
          <w:rFonts w:ascii="Palatino Linotype" w:eastAsia="Palatino Linotype" w:hAnsi="Palatino Linotype" w:cs="Palatino Linotype"/>
          <w:i/>
          <w:sz w:val="22"/>
        </w:rPr>
        <w:lastRenderedPageBreak/>
        <w:t>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CD0F3E" w:rsidRPr="00A014B5" w:rsidRDefault="00CD0767" w:rsidP="00A014B5">
      <w:pPr>
        <w:spacing w:before="280" w:after="280" w:line="276" w:lineRule="auto"/>
        <w:ind w:left="567" w:right="567"/>
        <w:jc w:val="both"/>
        <w:rPr>
          <w:rFonts w:ascii="Palatino Linotype" w:eastAsia="Palatino Linotype" w:hAnsi="Palatino Linotype" w:cs="Palatino Linotype"/>
          <w:i/>
          <w:sz w:val="22"/>
        </w:rPr>
      </w:pPr>
      <w:r w:rsidRPr="00A014B5">
        <w:rPr>
          <w:rFonts w:ascii="Palatino Linotype" w:eastAsia="Palatino Linotype" w:hAnsi="Palatino Linotype" w:cs="Palatino Linotype"/>
          <w:i/>
          <w:sz w:val="22"/>
        </w:rPr>
        <w:t>(Énfasis añadido)</w:t>
      </w:r>
    </w:p>
    <w:p w:rsidR="00CD0F3E" w:rsidRDefault="00A014B5">
      <w:pPr>
        <w:spacing w:before="280" w:after="280" w:line="360" w:lineRule="auto"/>
        <w:jc w:val="both"/>
        <w:rPr>
          <w:rFonts w:ascii="Palatino Linotype" w:eastAsia="Palatino Linotype" w:hAnsi="Palatino Linotype" w:cs="Palatino Linotype"/>
          <w:b/>
        </w:rPr>
      </w:pPr>
      <w:r w:rsidRPr="00A014B5">
        <w:rPr>
          <w:rFonts w:ascii="Palatino Linotype" w:eastAsia="Palatino Linotype" w:hAnsi="Palatino Linotype" w:cs="Palatino Linotype"/>
          <w:lang w:eastAsia="es-ES"/>
        </w:rPr>
        <w:t xml:space="preserve">Por lo que en el presente asunto, es dable </w:t>
      </w:r>
      <w:r w:rsidRPr="00A014B5">
        <w:rPr>
          <w:rFonts w:ascii="Palatino Linotype" w:eastAsia="Palatino Linotype" w:hAnsi="Palatino Linotype" w:cs="Palatino Linotype"/>
          <w:b/>
          <w:lang w:eastAsia="es-ES"/>
        </w:rPr>
        <w:t>ordenar</w:t>
      </w:r>
      <w:r w:rsidRPr="00A014B5">
        <w:rPr>
          <w:rFonts w:ascii="Palatino Linotype" w:eastAsia="Palatino Linotype" w:hAnsi="Palatino Linotype" w:cs="Palatino Linotype"/>
          <w:lang w:eastAsia="es-ES"/>
        </w:rPr>
        <w:t xml:space="preserve"> al </w:t>
      </w:r>
      <w:r w:rsidRPr="00A014B5">
        <w:rPr>
          <w:rFonts w:ascii="Palatino Linotype" w:eastAsia="Palatino Linotype" w:hAnsi="Palatino Linotype" w:cs="Palatino Linotype"/>
          <w:b/>
          <w:lang w:eastAsia="es-ES"/>
        </w:rPr>
        <w:t xml:space="preserve">Sujeto Obligado </w:t>
      </w:r>
      <w:r w:rsidRPr="00A014B5">
        <w:rPr>
          <w:rFonts w:ascii="Palatino Linotype" w:eastAsia="Palatino Linotype" w:hAnsi="Palatino Linotype" w:cs="Palatino Linotype"/>
          <w:lang w:eastAsia="es-ES"/>
        </w:rPr>
        <w:t>realice una búsqueda exhaustiva y razonable en sus archivos para efecto de localizar la in</w:t>
      </w:r>
      <w:r>
        <w:rPr>
          <w:rFonts w:ascii="Palatino Linotype" w:eastAsia="Palatino Linotype" w:hAnsi="Palatino Linotype" w:cs="Palatino Linotype"/>
          <w:lang w:eastAsia="es-ES"/>
        </w:rPr>
        <w:t xml:space="preserve">formación correspondiente a las actas de </w:t>
      </w:r>
      <w:r w:rsidRPr="00A014B5">
        <w:rPr>
          <w:rFonts w:ascii="Palatino Linotype" w:eastAsia="Palatino Linotype" w:hAnsi="Palatino Linotype" w:cs="Palatino Linotype"/>
          <w:lang w:eastAsia="es-ES"/>
        </w:rPr>
        <w:t>los Comités Ciudadanos de Control y Vigilancia</w:t>
      </w:r>
      <w:r>
        <w:rPr>
          <w:rFonts w:ascii="Palatino Linotype" w:eastAsia="Palatino Linotype" w:hAnsi="Palatino Linotype" w:cs="Palatino Linotype"/>
          <w:lang w:eastAsia="es-ES"/>
        </w:rPr>
        <w:t xml:space="preserve">, generadas con motivo de la </w:t>
      </w:r>
      <w:r w:rsidRPr="00A014B5">
        <w:rPr>
          <w:rFonts w:ascii="Palatino Linotype" w:eastAsia="Palatino Linotype" w:hAnsi="Palatino Linotype" w:cs="Palatino Linotype"/>
          <w:lang w:eastAsia="es-ES"/>
        </w:rPr>
        <w:t>de la construcción de los deportivos “El Dorado” y “</w:t>
      </w:r>
      <w:proofErr w:type="spellStart"/>
      <w:r w:rsidRPr="00A014B5">
        <w:rPr>
          <w:rFonts w:ascii="Palatino Linotype" w:eastAsia="Palatino Linotype" w:hAnsi="Palatino Linotype" w:cs="Palatino Linotype"/>
          <w:lang w:eastAsia="es-ES"/>
        </w:rPr>
        <w:t>Emiquia</w:t>
      </w:r>
      <w:proofErr w:type="spellEnd"/>
      <w:r w:rsidRPr="00A014B5">
        <w:rPr>
          <w:rFonts w:ascii="Palatino Linotype" w:eastAsia="Palatino Linotype" w:hAnsi="Palatino Linotype" w:cs="Palatino Linotype"/>
          <w:lang w:eastAsia="es-ES"/>
        </w:rPr>
        <w:t>”.</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este punto, la Ley Orgánica Municipal en sus artículos 113 A, 113 B, 113 C y 113 D, establece que los Ayuntamientos promoverán los Comités Ciudadanos de Control y Vigilancia, por lo que, para cada obra pública se deberá integrar cuando menos uno de dichos organismos, conformado por tres vecinos de la localidad, cuyo fin es supervisar las obras públicas, conforme a las siguientes funciones: </w:t>
      </w:r>
    </w:p>
    <w:p w:rsidR="00CD0F3E" w:rsidRDefault="00D470B8">
      <w:pPr>
        <w:spacing w:before="280" w:after="280" w:line="360" w:lineRule="auto"/>
        <w:jc w:val="both"/>
        <w:rPr>
          <w:rFonts w:ascii="Palatino Linotype" w:eastAsia="Palatino Linotype" w:hAnsi="Palatino Linotype" w:cs="Palatino Linotype"/>
        </w:rPr>
      </w:pPr>
      <w:r>
        <w:rPr>
          <w:rFonts w:ascii="Symbol" w:eastAsia="Symbol" w:hAnsi="Symbol" w:cs="Symbol"/>
        </w:rPr>
        <w:t>∙</w:t>
      </w:r>
      <w:r>
        <w:rPr>
          <w:rFonts w:ascii="Palatino Linotype" w:eastAsia="Palatino Linotype" w:hAnsi="Palatino Linotype" w:cs="Palatino Linotype"/>
        </w:rPr>
        <w:t xml:space="preserve"> Vigilar que la obra pública se realice de acuerdo al expediente técnico; </w:t>
      </w:r>
    </w:p>
    <w:p w:rsidR="00CD0F3E" w:rsidRDefault="00D470B8">
      <w:pPr>
        <w:spacing w:before="280" w:after="280" w:line="360" w:lineRule="auto"/>
        <w:jc w:val="both"/>
        <w:rPr>
          <w:rFonts w:ascii="Palatino Linotype" w:eastAsia="Palatino Linotype" w:hAnsi="Palatino Linotype" w:cs="Palatino Linotype"/>
        </w:rPr>
      </w:pPr>
      <w:r>
        <w:rPr>
          <w:rFonts w:ascii="Symbol" w:eastAsia="Symbol" w:hAnsi="Symbol" w:cs="Symbol"/>
        </w:rPr>
        <w:t>∙</w:t>
      </w:r>
      <w:r>
        <w:rPr>
          <w:rFonts w:ascii="Palatino Linotype" w:eastAsia="Palatino Linotype" w:hAnsi="Palatino Linotype" w:cs="Palatino Linotype"/>
        </w:rPr>
        <w:t xml:space="preserve"> Participar como observador en los procesos o actos administrativos relacionados con la adjudicación o concesión de la ejecución de la obra;</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Symbol" w:eastAsia="Symbol" w:hAnsi="Symbol" w:cs="Symbol"/>
        </w:rPr>
        <w:t>∙</w:t>
      </w:r>
      <w:r>
        <w:rPr>
          <w:rFonts w:ascii="Palatino Linotype" w:eastAsia="Palatino Linotype" w:hAnsi="Palatino Linotype" w:cs="Palatino Linotype"/>
        </w:rPr>
        <w:t xml:space="preserve"> Hacer visitas de inspección y llevar registro de sus resultados; </w:t>
      </w:r>
    </w:p>
    <w:p w:rsidR="00CD0F3E" w:rsidRDefault="00D470B8">
      <w:pPr>
        <w:spacing w:before="280" w:after="280" w:line="360" w:lineRule="auto"/>
        <w:jc w:val="both"/>
        <w:rPr>
          <w:rFonts w:ascii="Palatino Linotype" w:eastAsia="Palatino Linotype" w:hAnsi="Palatino Linotype" w:cs="Palatino Linotype"/>
        </w:rPr>
      </w:pPr>
      <w:r>
        <w:rPr>
          <w:rFonts w:ascii="Symbol" w:eastAsia="Symbol" w:hAnsi="Symbol" w:cs="Symbol"/>
        </w:rPr>
        <w:lastRenderedPageBreak/>
        <w:t>∙</w:t>
      </w:r>
      <w:r>
        <w:rPr>
          <w:rFonts w:ascii="Palatino Linotype" w:eastAsia="Palatino Linotype" w:hAnsi="Palatino Linotype" w:cs="Palatino Linotype"/>
        </w:rPr>
        <w:t xml:space="preserve"> Intervenir en los actos de entrega-recepción de las obras y acciones, informando a los vecinos el resultado del desempeño de sus funciones, y </w:t>
      </w:r>
    </w:p>
    <w:p w:rsidR="00CD0F3E" w:rsidRDefault="00D470B8">
      <w:pPr>
        <w:spacing w:before="280" w:after="280" w:line="360" w:lineRule="auto"/>
        <w:jc w:val="both"/>
        <w:rPr>
          <w:rFonts w:ascii="Palatino Linotype" w:eastAsia="Palatino Linotype" w:hAnsi="Palatino Linotype" w:cs="Palatino Linotype"/>
        </w:rPr>
      </w:pPr>
      <w:r>
        <w:rPr>
          <w:rFonts w:ascii="Symbol" w:eastAsia="Symbol" w:hAnsi="Symbol" w:cs="Symbol"/>
        </w:rPr>
        <w:t>∙</w:t>
      </w:r>
      <w:r>
        <w:rPr>
          <w:rFonts w:ascii="Palatino Linotype" w:eastAsia="Palatino Linotype" w:hAnsi="Palatino Linotype" w:cs="Palatino Linotype"/>
        </w:rPr>
        <w:t xml:space="preserve"> Verificar la calidad con que se realiza la obra pública</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que conforme al apartado de Contraloría Social del Portal de la Secretaría de la Contraloría del Estado de México (consultada el uno de julio de dos mil veintidós, a las quince horas, en la liga </w:t>
      </w:r>
      <w:hyperlink r:id="rId12">
        <w:r>
          <w:rPr>
            <w:rFonts w:ascii="Palatino Linotype" w:eastAsia="Palatino Linotype" w:hAnsi="Palatino Linotype" w:cs="Palatino Linotype"/>
            <w:color w:val="0000FF"/>
            <w:u w:val="single"/>
          </w:rPr>
          <w:t>https://portal.secogem.gob.mx/sites/default/files/doctos/ActaConstitucionObraPublicaV07.pdf</w:t>
        </w:r>
      </w:hyperlink>
      <w:r>
        <w:rPr>
          <w:rFonts w:ascii="Palatino Linotype" w:eastAsia="Palatino Linotype" w:hAnsi="Palatino Linotype" w:cs="Palatino Linotype"/>
        </w:rPr>
        <w:t xml:space="preserve"> ), se logra advertir que para integrar a los Comités Ciudadanos de Control y Vigilancia, deben realizar un Acta Constitutiva, tal como se muestra a continuación:</w:t>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391150" cy="649605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391150" cy="6496050"/>
                    </a:xfrm>
                    <a:prstGeom prst="rect">
                      <a:avLst/>
                    </a:prstGeom>
                    <a:ln/>
                  </pic:spPr>
                </pic:pic>
              </a:graphicData>
            </a:graphic>
          </wp:inline>
        </w:drawing>
      </w:r>
    </w:p>
    <w:p w:rsidR="00CD0F3E" w:rsidRDefault="00D470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como se abordó previamente, los Comités Ciudadanos de Control y Vigilancia, se constituyen por cada programa social u obra pública para </w:t>
      </w:r>
      <w:r>
        <w:rPr>
          <w:rFonts w:ascii="Palatino Linotype" w:eastAsia="Palatino Linotype" w:hAnsi="Palatino Linotype" w:cs="Palatino Linotype"/>
        </w:rPr>
        <w:lastRenderedPageBreak/>
        <w:t xml:space="preserve">observar y vigilar preventivamente el desempeño de los servidores públicos directa o indirectamente relacionados con la ejecución y operación de los programas sociales, obra pública o acciones, así como en la prestación de trámites y servicios, constatando que se conduzcan con respeto, diligencia e imparcialidad con los beneficiarios o usuarios de los mismos, por lo que resulta dable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efectuar una búsqueda exhaustiva y razonable para efecto de que localice las dos actas constitutivas de los Comités Ciudadanos de Control y Vigilancia que se generaron con motivo de la construcción de los deportivos “El Dorado” y “</w:t>
      </w:r>
      <w:proofErr w:type="spellStart"/>
      <w:r>
        <w:rPr>
          <w:rFonts w:ascii="Palatino Linotype" w:eastAsia="Palatino Linotype" w:hAnsi="Palatino Linotype" w:cs="Palatino Linotype"/>
        </w:rPr>
        <w:t>Emiquia</w:t>
      </w:r>
      <w:proofErr w:type="spellEnd"/>
      <w:r>
        <w:rPr>
          <w:rFonts w:ascii="Palatino Linotype" w:eastAsia="Palatino Linotype" w:hAnsi="Palatino Linotype" w:cs="Palatino Linotype"/>
        </w:rPr>
        <w:t xml:space="preserve">”. </w:t>
      </w:r>
    </w:p>
    <w:p w:rsidR="00CD0F3E" w:rsidRDefault="00D470B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por todo lo expuesto que se concluye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garantizó el derecho de acceso a la información del particular, toda vez que, en términos del análisis planteado se determinó que no se satisface a totalidad la solicitud de información, se estima procedente ordenar la entrega de </w:t>
      </w:r>
      <w:r w:rsidR="00A014B5">
        <w:rPr>
          <w:rFonts w:ascii="Palatino Linotype" w:eastAsia="Palatino Linotype" w:hAnsi="Palatino Linotype" w:cs="Palatino Linotype"/>
        </w:rPr>
        <w:t xml:space="preserve">los documentos donde consten las especificaciones técnicas de las obras </w:t>
      </w:r>
      <w:r>
        <w:rPr>
          <w:rFonts w:ascii="Palatino Linotype" w:eastAsia="Palatino Linotype" w:hAnsi="Palatino Linotype" w:cs="Palatino Linotype"/>
        </w:rPr>
        <w:t>con el que se gestionó la construcción de los deportivos, fecha de inicio</w:t>
      </w:r>
      <w:r w:rsidR="00A014B5">
        <w:rPr>
          <w:rFonts w:ascii="Palatino Linotype" w:eastAsia="Palatino Linotype" w:hAnsi="Palatino Linotype" w:cs="Palatino Linotype"/>
        </w:rPr>
        <w:t xml:space="preserve"> y término de obra, nombre</w:t>
      </w:r>
      <w:r>
        <w:rPr>
          <w:rFonts w:ascii="Palatino Linotype" w:eastAsia="Palatino Linotype" w:hAnsi="Palatino Linotype" w:cs="Palatino Linotype"/>
        </w:rPr>
        <w:t xml:space="preserve"> del </w:t>
      </w:r>
      <w:r w:rsidR="00A014B5">
        <w:rPr>
          <w:rFonts w:ascii="Palatino Linotype" w:eastAsia="Palatino Linotype" w:hAnsi="Palatino Linotype" w:cs="Palatino Linotype"/>
        </w:rPr>
        <w:t xml:space="preserve">residente o </w:t>
      </w:r>
      <w:r>
        <w:rPr>
          <w:rFonts w:ascii="Palatino Linotype" w:eastAsia="Palatino Linotype" w:hAnsi="Palatino Linotype" w:cs="Palatino Linotype"/>
        </w:rPr>
        <w:t>supervisor de las obras consistentes en la construcción de los deportivos  y las actas constitutivas de los Comités Ciudadanos de Control y Vigilancia que se generaron con motivo de la construcción de los deportivos, esto de conformidad con el Considerando siguiente.</w:t>
      </w:r>
    </w:p>
    <w:p w:rsidR="00CD0F3E" w:rsidRDefault="00D470B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w:t>
      </w:r>
      <w:r>
        <w:rPr>
          <w:rFonts w:ascii="Palatino Linotype" w:eastAsia="Palatino Linotype" w:hAnsi="Palatino Linotype" w:cs="Palatino Linotype"/>
        </w:rPr>
        <w:lastRenderedPageBreak/>
        <w:t>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CD0F3E" w:rsidRDefault="00D470B8">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de Transparencia y Acceso a la Información Pública del Estado de México y Municipios que establecen:</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132. </w:t>
      </w:r>
      <w:r>
        <w:rPr>
          <w:rFonts w:ascii="Palatino Linotype" w:eastAsia="Palatino Linotype" w:hAnsi="Palatino Linotype" w:cs="Palatino Linotype"/>
          <w:i/>
          <w:sz w:val="22"/>
          <w:szCs w:val="22"/>
        </w:rPr>
        <w:t>La clasificación de la información se llevará a cabo en el momento en que:</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w:t>
      </w:r>
      <w:r>
        <w:rPr>
          <w:rFonts w:ascii="Palatino Linotype" w:eastAsia="Palatino Linotype" w:hAnsi="Palatino Linotype" w:cs="Palatino Linotype"/>
        </w:rPr>
        <w:lastRenderedPageBreak/>
        <w:t>posean, desclasificarán y generarán, en su caso, versiones públicas de expedientes o documentos que contengan partes o secciones clasificadas.</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CD0F3E" w:rsidRDefault="00D470B8">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CD0F3E" w:rsidRDefault="00D470B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w:t>
      </w:r>
      <w:r>
        <w:rPr>
          <w:rFonts w:ascii="Palatino Linotype" w:eastAsia="Palatino Linotype" w:hAnsi="Palatino Linotype" w:cs="Palatino Linotype"/>
        </w:rPr>
        <w:lastRenderedPageBreak/>
        <w:t>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CD0F3E">
        <w:tc>
          <w:tcPr>
            <w:tcW w:w="4253" w:type="dxa"/>
            <w:gridSpan w:val="2"/>
            <w:tcBorders>
              <w:top w:val="nil"/>
              <w:left w:val="nil"/>
              <w:right w:val="nil"/>
            </w:tcBorders>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Total</w:t>
            </w:r>
          </w:p>
        </w:tc>
      </w:tr>
      <w:tr w:rsidR="00CD0F3E">
        <w:tc>
          <w:tcPr>
            <w:tcW w:w="1134" w:type="dxa"/>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119" w:type="dxa"/>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1129" w:type="dxa"/>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CD0F3E">
        <w:tc>
          <w:tcPr>
            <w:tcW w:w="8828" w:type="dxa"/>
            <w:gridSpan w:val="4"/>
          </w:tcPr>
          <w:p w:rsidR="00CD0F3E" w:rsidRDefault="00D470B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Sello oficial o logotipo del sujeto obligado</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Información reservada</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2"/>
                <w:szCs w:val="12"/>
              </w:rPr>
              <w:t>anotarán</w:t>
            </w:r>
            <w:proofErr w:type="gramEnd"/>
            <w:r>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CD0F3E">
        <w:tc>
          <w:tcPr>
            <w:tcW w:w="1134"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119"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CD0F3E">
        <w:tc>
          <w:tcPr>
            <w:tcW w:w="1134" w:type="dxa"/>
          </w:tcPr>
          <w:p w:rsidR="00CD0F3E" w:rsidRDefault="00CD0F3E">
            <w:pPr>
              <w:jc w:val="both"/>
              <w:rPr>
                <w:rFonts w:ascii="Palatino Linotype" w:eastAsia="Palatino Linotype" w:hAnsi="Palatino Linotype" w:cs="Palatino Linotype"/>
                <w:b/>
                <w:sz w:val="12"/>
                <w:szCs w:val="12"/>
              </w:rPr>
            </w:pPr>
          </w:p>
        </w:tc>
        <w:tc>
          <w:tcPr>
            <w:tcW w:w="3119" w:type="dxa"/>
          </w:tcPr>
          <w:p w:rsidR="00CD0F3E" w:rsidRDefault="00CD0F3E">
            <w:pPr>
              <w:jc w:val="both"/>
              <w:rPr>
                <w:rFonts w:ascii="Palatino Linotype" w:eastAsia="Palatino Linotype" w:hAnsi="Palatino Linotype" w:cs="Palatino Linotype"/>
                <w:sz w:val="12"/>
                <w:szCs w:val="12"/>
              </w:rPr>
            </w:pP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CD0F3E">
        <w:tc>
          <w:tcPr>
            <w:tcW w:w="1134" w:type="dxa"/>
          </w:tcPr>
          <w:p w:rsidR="00CD0F3E" w:rsidRDefault="00CD0F3E">
            <w:pPr>
              <w:jc w:val="both"/>
              <w:rPr>
                <w:rFonts w:ascii="Palatino Linotype" w:eastAsia="Palatino Linotype" w:hAnsi="Palatino Linotype" w:cs="Palatino Linotype"/>
                <w:b/>
                <w:sz w:val="12"/>
                <w:szCs w:val="12"/>
              </w:rPr>
            </w:pPr>
          </w:p>
        </w:tc>
        <w:tc>
          <w:tcPr>
            <w:tcW w:w="3119" w:type="dxa"/>
          </w:tcPr>
          <w:p w:rsidR="00CD0F3E" w:rsidRDefault="00CD0F3E">
            <w:pPr>
              <w:jc w:val="both"/>
              <w:rPr>
                <w:rFonts w:ascii="Palatino Linotype" w:eastAsia="Palatino Linotype" w:hAnsi="Palatino Linotype" w:cs="Palatino Linotype"/>
                <w:sz w:val="12"/>
                <w:szCs w:val="12"/>
              </w:rPr>
            </w:pPr>
          </w:p>
        </w:tc>
        <w:tc>
          <w:tcPr>
            <w:tcW w:w="1129" w:type="dxa"/>
          </w:tcPr>
          <w:p w:rsidR="00CD0F3E" w:rsidRDefault="00D470B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CD0F3E" w:rsidRDefault="00D470B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entregue la información requerida.</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CD0F3E" w:rsidRDefault="00D470B8">
      <w:pPr>
        <w:numPr>
          <w:ilvl w:val="0"/>
          <w:numId w:val="9"/>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el 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04114/INFOEM/IP/RR/2022</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CD0F3E" w:rsidRDefault="00D470B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 los </w:t>
      </w:r>
      <w:r>
        <w:rPr>
          <w:rFonts w:ascii="Palatino Linotype" w:eastAsia="Palatino Linotype" w:hAnsi="Palatino Linotype" w:cs="Palatino Linotype"/>
          <w:b/>
        </w:rPr>
        <w:t xml:space="preserve">Considerandos Cuarto y Quinto </w:t>
      </w:r>
      <w:r>
        <w:rPr>
          <w:rFonts w:ascii="Palatino Linotype" w:eastAsia="Palatino Linotype" w:hAnsi="Palatino Linotype" w:cs="Palatino Linotype"/>
        </w:rPr>
        <w:t xml:space="preserve">de esta resolución haga entrega en versión pública de ser procedente,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 los documentos que den cuenta de lo siguiente respecto de la construcción de los deportivos “El Dorado” y “</w:t>
      </w:r>
      <w:proofErr w:type="spellStart"/>
      <w:r>
        <w:rPr>
          <w:rFonts w:ascii="Palatino Linotype" w:eastAsia="Palatino Linotype" w:hAnsi="Palatino Linotype" w:cs="Palatino Linotype"/>
          <w:b/>
        </w:rPr>
        <w:t>Emiquia</w:t>
      </w:r>
      <w:proofErr w:type="spellEnd"/>
      <w:r>
        <w:rPr>
          <w:rFonts w:ascii="Palatino Linotype" w:eastAsia="Palatino Linotype" w:hAnsi="Palatino Linotype" w:cs="Palatino Linotype"/>
          <w:b/>
        </w:rPr>
        <w:t>”</w:t>
      </w:r>
      <w:r>
        <w:rPr>
          <w:rFonts w:ascii="Palatino Linotype" w:eastAsia="Palatino Linotype" w:hAnsi="Palatino Linotype" w:cs="Palatino Linotype"/>
        </w:rPr>
        <w:t>:</w:t>
      </w:r>
    </w:p>
    <w:p w:rsidR="00CD0F3E" w:rsidRPr="00A014B5" w:rsidRDefault="00A014B5" w:rsidP="00A014B5">
      <w:pPr>
        <w:numPr>
          <w:ilvl w:val="0"/>
          <w:numId w:val="7"/>
        </w:numPr>
        <w:pBdr>
          <w:top w:val="nil"/>
          <w:left w:val="nil"/>
          <w:bottom w:val="nil"/>
          <w:right w:val="nil"/>
          <w:between w:val="nil"/>
        </w:pBdr>
        <w:ind w:left="567" w:right="567" w:hanging="283"/>
        <w:jc w:val="both"/>
        <w:rPr>
          <w:rFonts w:ascii="Palatino Linotype" w:eastAsia="Palatino Linotype" w:hAnsi="Palatino Linotype" w:cs="Palatino Linotype"/>
          <w:i/>
          <w:color w:val="000000"/>
          <w:sz w:val="22"/>
          <w:szCs w:val="22"/>
        </w:rPr>
      </w:pPr>
      <w:r w:rsidRPr="00A014B5">
        <w:rPr>
          <w:rFonts w:ascii="Palatino Linotype" w:eastAsia="Palatino Linotype" w:hAnsi="Palatino Linotype" w:cs="Palatino Linotype"/>
          <w:i/>
          <w:color w:val="000000"/>
          <w:sz w:val="22"/>
          <w:szCs w:val="22"/>
        </w:rPr>
        <w:t>Especificaciones técnicas de las obras</w:t>
      </w:r>
      <w:r w:rsidR="00D470B8" w:rsidRPr="00A014B5">
        <w:rPr>
          <w:rFonts w:ascii="Palatino Linotype" w:eastAsia="Palatino Linotype" w:hAnsi="Palatino Linotype" w:cs="Palatino Linotype"/>
          <w:i/>
          <w:color w:val="000000"/>
          <w:sz w:val="22"/>
          <w:szCs w:val="22"/>
        </w:rPr>
        <w:t xml:space="preserve"> </w:t>
      </w:r>
    </w:p>
    <w:p w:rsidR="00CD0F3E" w:rsidRPr="00A014B5" w:rsidRDefault="00D470B8">
      <w:pPr>
        <w:numPr>
          <w:ilvl w:val="0"/>
          <w:numId w:val="7"/>
        </w:numPr>
        <w:pBdr>
          <w:top w:val="nil"/>
          <w:left w:val="nil"/>
          <w:bottom w:val="nil"/>
          <w:right w:val="nil"/>
          <w:between w:val="nil"/>
        </w:pBdr>
        <w:ind w:left="567" w:right="567" w:hanging="283"/>
        <w:jc w:val="both"/>
        <w:rPr>
          <w:rFonts w:ascii="Palatino Linotype" w:eastAsia="Palatino Linotype" w:hAnsi="Palatino Linotype" w:cs="Palatino Linotype"/>
          <w:i/>
          <w:color w:val="000000"/>
          <w:sz w:val="22"/>
          <w:szCs w:val="22"/>
        </w:rPr>
      </w:pPr>
      <w:r w:rsidRPr="00A014B5">
        <w:rPr>
          <w:rFonts w:ascii="Palatino Linotype" w:eastAsia="Palatino Linotype" w:hAnsi="Palatino Linotype" w:cs="Palatino Linotype"/>
          <w:i/>
          <w:color w:val="000000"/>
          <w:sz w:val="22"/>
          <w:szCs w:val="22"/>
        </w:rPr>
        <w:t>Fecha de inicio y término de obra</w:t>
      </w:r>
    </w:p>
    <w:p w:rsidR="00CD0F3E" w:rsidRPr="00A014B5" w:rsidRDefault="00A014B5">
      <w:pPr>
        <w:numPr>
          <w:ilvl w:val="0"/>
          <w:numId w:val="7"/>
        </w:numPr>
        <w:pBdr>
          <w:top w:val="nil"/>
          <w:left w:val="nil"/>
          <w:bottom w:val="nil"/>
          <w:right w:val="nil"/>
          <w:between w:val="nil"/>
        </w:pBdr>
        <w:ind w:left="567" w:right="567" w:hanging="283"/>
        <w:jc w:val="both"/>
        <w:rPr>
          <w:rFonts w:ascii="Palatino Linotype" w:eastAsia="Palatino Linotype" w:hAnsi="Palatino Linotype" w:cs="Palatino Linotype"/>
          <w:i/>
          <w:color w:val="000000"/>
          <w:sz w:val="22"/>
          <w:szCs w:val="22"/>
        </w:rPr>
      </w:pPr>
      <w:r w:rsidRPr="00A014B5">
        <w:rPr>
          <w:rFonts w:ascii="Palatino Linotype" w:eastAsia="Palatino Linotype" w:hAnsi="Palatino Linotype" w:cs="Palatino Linotype"/>
          <w:i/>
          <w:color w:val="000000"/>
          <w:sz w:val="22"/>
          <w:szCs w:val="22"/>
        </w:rPr>
        <w:lastRenderedPageBreak/>
        <w:t>Nombre</w:t>
      </w:r>
      <w:r w:rsidR="00D470B8" w:rsidRPr="00A014B5">
        <w:rPr>
          <w:rFonts w:ascii="Palatino Linotype" w:eastAsia="Palatino Linotype" w:hAnsi="Palatino Linotype" w:cs="Palatino Linotype"/>
          <w:i/>
          <w:color w:val="000000"/>
          <w:sz w:val="22"/>
          <w:szCs w:val="22"/>
        </w:rPr>
        <w:t xml:space="preserve"> del residente o supervisor de las obras</w:t>
      </w:r>
    </w:p>
    <w:p w:rsidR="00CD0F3E" w:rsidRPr="00A014B5" w:rsidRDefault="00D470B8">
      <w:pPr>
        <w:numPr>
          <w:ilvl w:val="0"/>
          <w:numId w:val="7"/>
        </w:numPr>
        <w:pBdr>
          <w:top w:val="nil"/>
          <w:left w:val="nil"/>
          <w:bottom w:val="nil"/>
          <w:right w:val="nil"/>
          <w:between w:val="nil"/>
        </w:pBdr>
        <w:ind w:left="567" w:right="709" w:hanging="283"/>
        <w:jc w:val="both"/>
        <w:rPr>
          <w:rFonts w:ascii="Palatino Linotype" w:eastAsia="Palatino Linotype" w:hAnsi="Palatino Linotype" w:cs="Palatino Linotype"/>
          <w:b/>
          <w:i/>
          <w:color w:val="000000"/>
          <w:sz w:val="22"/>
          <w:szCs w:val="22"/>
        </w:rPr>
      </w:pPr>
      <w:r w:rsidRPr="00A014B5">
        <w:rPr>
          <w:rFonts w:ascii="Palatino Linotype" w:eastAsia="Palatino Linotype" w:hAnsi="Palatino Linotype" w:cs="Palatino Linotype"/>
          <w:i/>
          <w:color w:val="000000"/>
          <w:sz w:val="22"/>
          <w:szCs w:val="22"/>
        </w:rPr>
        <w:t xml:space="preserve">Actas constitutivas de los Comités Ciudadanos de Control y Vigilancia. </w:t>
      </w:r>
    </w:p>
    <w:p w:rsidR="00CD0F3E" w:rsidRDefault="00CD0F3E" w:rsidP="00A014B5">
      <w:pPr>
        <w:ind w:right="709"/>
        <w:jc w:val="both"/>
        <w:rPr>
          <w:rFonts w:ascii="Palatino Linotype" w:eastAsia="Palatino Linotype" w:hAnsi="Palatino Linotype" w:cs="Palatino Linotype"/>
          <w:i/>
          <w:sz w:val="22"/>
          <w:szCs w:val="22"/>
        </w:rPr>
      </w:pPr>
    </w:p>
    <w:p w:rsidR="00CD0F3E" w:rsidRDefault="00D470B8">
      <w:pPr>
        <w:ind w:left="284"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ser el caso en el que la entrega de los documentos se dé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w:t>
      </w:r>
    </w:p>
    <w:p w:rsidR="00CD0F3E" w:rsidRDefault="00CD0F3E">
      <w:pPr>
        <w:ind w:right="709"/>
        <w:jc w:val="both"/>
        <w:rPr>
          <w:rFonts w:ascii="Palatino Linotype" w:eastAsia="Palatino Linotype" w:hAnsi="Palatino Linotype" w:cs="Palatino Linotype"/>
          <w:b/>
          <w:i/>
          <w:sz w:val="22"/>
          <w:szCs w:val="22"/>
        </w:rPr>
      </w:pP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D0F3E" w:rsidRDefault="00D47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recurrente </w:t>
      </w:r>
      <w:r>
        <w:rPr>
          <w:rFonts w:ascii="Palatino Linotype" w:eastAsia="Palatino Linotype" w:hAnsi="Palatino Linotype" w:cs="Palatino Linotype"/>
          <w:b/>
        </w:rPr>
        <w:t xml:space="preserve">vía SAIMEX </w:t>
      </w:r>
      <w:r>
        <w:rPr>
          <w:rFonts w:ascii="Palatino Linotype" w:eastAsia="Palatino Linotype" w:hAnsi="Palatino Linotype" w:cs="Palatino Linotype"/>
        </w:rPr>
        <w:t xml:space="preserve">la presente resolución, así como que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CD0F3E" w:rsidRDefault="00D470B8">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 xml:space="preserve">ASÍ LO RESUELVE, POR UNANIMIDAD DE VOTOS, EL PLENO DEL INSTITUTO DE TRANSPARENCIA, ACCESO A LA INFORMACIÓN </w:t>
      </w:r>
      <w:r>
        <w:rPr>
          <w:rFonts w:ascii="Palatino Linotype" w:eastAsia="Palatino Linotype" w:hAnsi="Palatino Linotype" w:cs="Palatino Linotype"/>
        </w:rPr>
        <w:lastRenderedPageBreak/>
        <w:t xml:space="preserve">PÚBLICA Y PROTECCIÓN DE DATOS PERSONALES DEL ESTADO DE MÉXICO Y MUNICIPIOS, CONFORMADO POR LOS COMISIONADOS JOSÉ MARTÍNEZ VILCHIS, MARÍA DEL ROSARIO MEJÍA AYALA, SHARON CRISTINA MORALES MARTÍNEZ, LUIS GUSTAVO PARRA NORIEGA Y GUADALUPE RAMÍREZ PEÑA; EN LA VIGÉSIMO SEXTA SESIÓN ORDINARIA CELEBRADA EL TRECE DE JULIO DEL DOS MIL VEINTIDÓS, </w:t>
      </w:r>
      <w:r w:rsidR="00022B4E">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24764</wp:posOffset>
                </wp:positionH>
                <wp:positionV relativeFrom="paragraph">
                  <wp:posOffset>2098040</wp:posOffset>
                </wp:positionV>
                <wp:extent cx="5229225" cy="5410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29225" cy="541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098D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65.2pt" to="413.7pt,5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" strokecolor="black [3040]"/>
            </w:pict>
          </mc:Fallback>
        </mc:AlternateContent>
      </w:r>
      <w:r>
        <w:rPr>
          <w:rFonts w:ascii="Palatino Linotype" w:eastAsia="Palatino Linotype" w:hAnsi="Palatino Linotype" w:cs="Palatino Linotype"/>
        </w:rPr>
        <w:t>ANTE EL SECRETARIO TÉCNICO DEL PLENO, ALEXIS TAPIA RAMÍREZ.</w:t>
      </w:r>
    </w:p>
    <w:p w:rsidR="00CD0F3E" w:rsidRDefault="00CD0F3E">
      <w:pPr>
        <w:spacing w:before="240" w:after="240" w:line="360" w:lineRule="auto"/>
        <w:jc w:val="both"/>
        <w:rPr>
          <w:rFonts w:ascii="Palatino Linotype" w:eastAsia="Palatino Linotype" w:hAnsi="Palatino Linotype" w:cs="Palatino Linotype"/>
        </w:rPr>
        <w:sectPr w:rsidR="00CD0F3E">
          <w:headerReference w:type="default" r:id="rId14"/>
          <w:footerReference w:type="default" r:id="rId15"/>
          <w:headerReference w:type="first" r:id="rId16"/>
          <w:footerReference w:type="first" r:id="rId17"/>
          <w:pgSz w:w="12240" w:h="15840"/>
          <w:pgMar w:top="1417" w:right="2034" w:bottom="1417" w:left="1701" w:header="709" w:footer="709" w:gutter="0"/>
          <w:pgNumType w:start="1"/>
          <w:cols w:space="720"/>
          <w:titlePg/>
        </w:sectPr>
      </w:pPr>
    </w:p>
    <w:p w:rsidR="00CD0F3E" w:rsidRDefault="00CD0F3E">
      <w:pPr>
        <w:spacing w:before="240" w:after="240" w:line="360" w:lineRule="auto"/>
        <w:jc w:val="both"/>
        <w:rPr>
          <w:rFonts w:ascii="Palatino Linotype" w:eastAsia="Palatino Linotype" w:hAnsi="Palatino Linotype" w:cs="Palatino Linotype"/>
        </w:rPr>
      </w:pPr>
    </w:p>
    <w:sectPr w:rsidR="00CD0F3E">
      <w:headerReference w:type="first" r:id="rId18"/>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1DC" w:rsidRDefault="008D01DC">
      <w:r>
        <w:separator/>
      </w:r>
    </w:p>
  </w:endnote>
  <w:endnote w:type="continuationSeparator" w:id="0">
    <w:p w:rsidR="008D01DC" w:rsidRDefault="008D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DC" w:rsidRDefault="008D01D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7EA4">
      <w:rPr>
        <w:rFonts w:ascii="Arial" w:eastAsia="Arial" w:hAnsi="Arial" w:cs="Arial"/>
        <w:b/>
        <w:noProof/>
        <w:color w:val="000000"/>
        <w:sz w:val="20"/>
        <w:szCs w:val="20"/>
      </w:rPr>
      <w:t>51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7EA4">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rsidR="008D01DC" w:rsidRDefault="008D01DC">
    <w:pPr>
      <w:pBdr>
        <w:top w:val="nil"/>
        <w:left w:val="nil"/>
        <w:bottom w:val="nil"/>
        <w:right w:val="nil"/>
        <w:between w:val="nil"/>
      </w:pBdr>
      <w:tabs>
        <w:tab w:val="center" w:pos="4252"/>
        <w:tab w:val="right" w:pos="8504"/>
      </w:tabs>
      <w:rPr>
        <w:color w:val="000000"/>
      </w:rPr>
    </w:pPr>
  </w:p>
  <w:p w:rsidR="008D01DC" w:rsidRDefault="008D01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DC" w:rsidRDefault="008D01D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7EA4">
      <w:rPr>
        <w:rFonts w:ascii="Arial" w:eastAsia="Arial" w:hAnsi="Arial" w:cs="Arial"/>
        <w:b/>
        <w:noProof/>
        <w:color w:val="000000"/>
        <w:sz w:val="20"/>
        <w:szCs w:val="20"/>
      </w:rPr>
      <w:t>52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7EA4">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rsidR="008D01DC" w:rsidRDefault="008D01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1DC" w:rsidRDefault="008D01DC">
      <w:r>
        <w:separator/>
      </w:r>
    </w:p>
  </w:footnote>
  <w:footnote w:type="continuationSeparator" w:id="0">
    <w:p w:rsidR="008D01DC" w:rsidRDefault="008D01DC">
      <w:r>
        <w:continuationSeparator/>
      </w:r>
    </w:p>
  </w:footnote>
  <w:footnote w:id="1">
    <w:p w:rsidR="008D01DC" w:rsidRPr="0092781F" w:rsidRDefault="008D01DC" w:rsidP="00BA3CF6">
      <w:pPr>
        <w:pStyle w:val="Textonotapie"/>
        <w:jc w:val="both"/>
      </w:pPr>
      <w:r>
        <w:rPr>
          <w:rStyle w:val="Refdenotaalpie"/>
        </w:rPr>
        <w:footnoteRef/>
      </w:r>
      <w:r>
        <w:t xml:space="preserve"> Artículo 24. La planeación, programación, </w:t>
      </w:r>
      <w:proofErr w:type="spellStart"/>
      <w:r>
        <w:t>presupuestación</w:t>
      </w:r>
      <w:proofErr w:type="spellEnd"/>
      <w:r>
        <w:t xml:space="preserve"> y el gasto de las obras y servicios relacionados con las mismas, se sujetará a las disposiciones específicas del Presupuesto de Egresos de la Federación, así como a lo previsto en la Ley Federal de Presupuesto y Responsabilidad Hacendaria y demás disposiciones aplicables y los recursos destinados a ese fin se administrarán con eficiencia, </w:t>
      </w:r>
      <w:r w:rsidRPr="00BA3CF6">
        <w:rPr>
          <w:rFonts w:ascii="Palatino Linotype" w:hAnsi="Palatino Linotype"/>
        </w:rPr>
        <w:t>eficacia, economía, transparencia, honradez e imparcialidad para satisfacer los objetivos a los que fueren destinados.</w:t>
      </w:r>
    </w:p>
    <w:p w:rsidR="008D01DC" w:rsidRPr="00BA3CF6" w:rsidRDefault="008D01DC" w:rsidP="00BA3CF6">
      <w:pPr>
        <w:pStyle w:val="Textonotapie"/>
        <w:jc w:val="both"/>
        <w:rPr>
          <w:rFonts w:ascii="Palatino Linotype" w:hAnsi="Palatino Linotype"/>
        </w:rPr>
      </w:pPr>
      <w:r w:rsidRPr="00BA3CF6">
        <w:rPr>
          <w:rFonts w:ascii="Palatino Linotype" w:hAnsi="Palatino Linotype"/>
        </w:rPr>
        <w:t>Las dependencias y entidades, bajo su responsabilidad, podrán convocar, adjudicar o contratar obras y servicios relacionados con las mismas, con cargo a su presupuesto autorizado y sujetándose al calendario de gasto correspondiente.</w:t>
      </w:r>
    </w:p>
    <w:p w:rsidR="008D01DC" w:rsidRPr="00BA3CF6" w:rsidRDefault="008D01DC" w:rsidP="00BA3CF6">
      <w:pPr>
        <w:pStyle w:val="Textonotapie"/>
        <w:jc w:val="both"/>
        <w:rPr>
          <w:rFonts w:ascii="Palatino Linotype" w:hAnsi="Palatino Linotype"/>
        </w:rPr>
      </w:pPr>
      <w:r w:rsidRPr="00BA3CF6">
        <w:rPr>
          <w:rFonts w:ascii="Palatino Linotype" w:hAnsi="Palatino Linotype"/>
        </w:rPr>
        <w:t>En casos excepcionales, previo a la autorización de su presupuesto, las dependencias y entidades</w:t>
      </w:r>
    </w:p>
    <w:p w:rsidR="008D01DC" w:rsidRDefault="008D01DC" w:rsidP="00BA3CF6">
      <w:pPr>
        <w:pStyle w:val="Textonotapie"/>
        <w:jc w:val="both"/>
        <w:rPr>
          <w:rFonts w:ascii="Palatino Linotype" w:hAnsi="Palatino Linotype"/>
        </w:rPr>
      </w:pPr>
      <w:r w:rsidRPr="00BA3CF6">
        <w:rPr>
          <w:rFonts w:ascii="Palatino Linotype" w:hAnsi="Palatino Linotype"/>
        </w:rPr>
        <w:t>podrán solicitar a la Secretaría su aprobación para convocar, adjudi</w:t>
      </w:r>
      <w:r>
        <w:rPr>
          <w:rFonts w:ascii="Palatino Linotype" w:hAnsi="Palatino Linotype"/>
        </w:rPr>
        <w:t xml:space="preserve">car y formalizar contratos cuya </w:t>
      </w:r>
      <w:r w:rsidRPr="00BA3CF6">
        <w:rPr>
          <w:rFonts w:ascii="Palatino Linotype" w:hAnsi="Palatino Linotype"/>
        </w:rPr>
        <w:t xml:space="preserve">vigencia inicie en el ejercicio fiscal siguiente de aquél en el que se formalizan. </w:t>
      </w:r>
    </w:p>
    <w:p w:rsidR="008D01DC" w:rsidRPr="00BA3CF6" w:rsidRDefault="008D01DC" w:rsidP="00BA3CF6">
      <w:pPr>
        <w:pStyle w:val="Textonotapie"/>
        <w:jc w:val="both"/>
        <w:rPr>
          <w:rFonts w:ascii="Palatino Linotype" w:hAnsi="Palatino Linotype"/>
        </w:rPr>
      </w:pPr>
      <w:r w:rsidRPr="00BA3CF6">
        <w:rPr>
          <w:rFonts w:ascii="Palatino Linotype" w:hAnsi="Palatino Linotype"/>
        </w:rPr>
        <w:t>Los referidos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8D01DC" w:rsidRPr="00BA3CF6" w:rsidRDefault="008D01DC" w:rsidP="00BA3CF6">
      <w:pPr>
        <w:pStyle w:val="Textonotapie"/>
        <w:jc w:val="both"/>
        <w:rPr>
          <w:rFonts w:ascii="Palatino Linotype" w:hAnsi="Palatino Linotype"/>
        </w:rPr>
      </w:pPr>
      <w:r w:rsidRPr="00BA3CF6">
        <w:rPr>
          <w:rFonts w:ascii="Palatino Linotype" w:hAnsi="Palatino Linotype"/>
        </w:rPr>
        <w:t>Cualquier pacto en contrario a lo dispuesto en este párrafo se considerará nulo.</w:t>
      </w:r>
    </w:p>
    <w:p w:rsidR="008D01DC" w:rsidRDefault="008D01DC" w:rsidP="00BA3CF6">
      <w:pPr>
        <w:pStyle w:val="Textonotapie"/>
        <w:jc w:val="both"/>
        <w:rPr>
          <w:rFonts w:ascii="Palatino Linotype" w:hAnsi="Palatino Linotype"/>
        </w:rPr>
      </w:pPr>
      <w:r w:rsidRPr="0092781F">
        <w:rPr>
          <w:rFonts w:ascii="Palatino Linotype" w:hAnsi="Palatino Linotype"/>
          <w:b/>
        </w:rPr>
        <w:t xml:space="preserve">Para la realización de obras públicas se requerirá contar con los estudios y proyectos, especificaciones de construcción, normas de calidad y el programa de ejecución totalmente terminados, o bien, en el caso de obras públicas de gran complejidad, con un avance en su desarrollo que permita a los licitantes preparar una proposición solvente y ejecutar los trabajos hasta su conclusión en forma ininterrumpida, en concordancia con el programa de ejecución convenido. </w:t>
      </w:r>
    </w:p>
    <w:p w:rsidR="008D01DC" w:rsidRPr="00BA3CF6" w:rsidRDefault="008D01DC" w:rsidP="00BA3CF6">
      <w:pPr>
        <w:pStyle w:val="Textonotapie"/>
        <w:jc w:val="both"/>
        <w:rPr>
          <w:rFonts w:ascii="Palatino Linotype" w:hAnsi="Palatino Linotype"/>
        </w:rPr>
      </w:pPr>
      <w:r w:rsidRPr="00BA3CF6">
        <w:rPr>
          <w:rFonts w:ascii="Palatino Linotype" w:hAnsi="Palatino Linotype"/>
        </w:rPr>
        <w:t>Se exceptúa de lo anterior los casos a que se refieren las fracciones II, V y VIII, salvo los trabajos de mantenimiento, del artículo 42 de esta Ley.</w:t>
      </w:r>
    </w:p>
    <w:p w:rsidR="008D01DC" w:rsidRDefault="008D01DC" w:rsidP="00BA3CF6">
      <w:pPr>
        <w:pStyle w:val="Textonotapie"/>
        <w:jc w:val="both"/>
      </w:pPr>
      <w:r w:rsidRPr="00BA3CF6">
        <w:rPr>
          <w:rFonts w:ascii="Palatino Linotype" w:hAnsi="Palatino Linotype"/>
        </w:rPr>
        <w:t>Lo dispuesto en el párrafo anterior, será de la responsabilidad de los servidores públicos que autoricen el proyecto ejecutivo.</w:t>
      </w:r>
    </w:p>
  </w:footnote>
  <w:footnote w:id="2">
    <w:p w:rsidR="00A014B5" w:rsidRDefault="00A014B5" w:rsidP="00A014B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Cambria" w:eastAsia="Cambria" w:hAnsi="Cambria" w:cs="Cambria"/>
          <w:color w:val="000000"/>
          <w:sz w:val="20"/>
          <w:szCs w:val="20"/>
        </w:rPr>
        <w:t>79, fracción VI, de la Ley de Amparo</w:t>
      </w:r>
      <w:r>
        <w:rPr>
          <w:rFonts w:ascii="Cambria" w:eastAsia="Cambria" w:hAnsi="Cambria" w:cs="Cambria"/>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Cambria" w:eastAsia="Cambria" w:hAnsi="Cambria" w:cs="Cambria"/>
          <w:color w:val="000000"/>
          <w:sz w:val="20"/>
          <w:szCs w:val="20"/>
        </w:rPr>
        <w:t>107, fracción II, antepenúltimo párrafo, de la Constitución Política de los Estados Unidos Mexicanos</w:t>
      </w:r>
      <w:r>
        <w:rPr>
          <w:rFonts w:ascii="Cambria" w:eastAsia="Cambria" w:hAnsi="Cambria" w:cs="Cambria"/>
          <w:color w:val="000000"/>
          <w:sz w:val="20"/>
          <w:szCs w:val="20"/>
          <w:highlight w:val="white"/>
        </w:rPr>
        <w:t>.”</w:t>
      </w:r>
    </w:p>
  </w:footnote>
  <w:footnote w:id="3">
    <w:p w:rsidR="00A014B5" w:rsidRDefault="00A014B5" w:rsidP="00A014B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Tesis aislada publicada en el Semanario Judicial de la Federación número 1a. LXXIII/2015, de la Décima Época, Tomo II, Libro 15, Febrero 2015, cuyo texto es el siguiente: “Del precepto citado deriva que la suplencia 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 76 Bis de la Ley de Amparo abrogada, de redacción similar al 79 de la vigente, estimó que la frase "lo haya dejado sin defensa" no debe interpretarse literalmente,</w:t>
      </w:r>
      <w:r>
        <w:rPr>
          <w:rFonts w:ascii="Palatino Linotype" w:eastAsia="Palatino Linotype" w:hAnsi="Palatino Linotype" w:cs="Palatino Linotype"/>
          <w:color w:val="000000"/>
          <w:sz w:val="16"/>
          <w:szCs w:val="16"/>
          <w:highlight w:val="white"/>
        </w:rPr>
        <w:t xml:space="preserve"> </w:t>
      </w:r>
      <w:r>
        <w:rPr>
          <w:rFonts w:ascii="Cambria" w:eastAsia="Cambria" w:hAnsi="Cambria" w:cs="Cambria"/>
          <w:color w:val="000000"/>
          <w:sz w:val="20"/>
          <w:szCs w:val="20"/>
          <w:highlight w:val="white"/>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 79 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DC" w:rsidRDefault="003321F3">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-1010285</wp:posOffset>
          </wp:positionH>
          <wp:positionV relativeFrom="paragraph">
            <wp:posOffset>-300355</wp:posOffset>
          </wp:positionV>
          <wp:extent cx="7635600" cy="994320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8D01DC">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D01DC" w:rsidRDefault="008D01D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04114/INFOEM/IP/RR/2022</w:t>
          </w:r>
        </w:p>
      </w:tc>
    </w:tr>
    <w:tr w:rsidR="008D01DC">
      <w:trPr>
        <w:trHeight w:val="228"/>
      </w:trPr>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D01DC" w:rsidRDefault="008D01DC">
          <w:pPr>
            <w:tabs>
              <w:tab w:val="left" w:pos="1531"/>
            </w:tabs>
            <w:ind w:right="80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8D01DC">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D01DC" w:rsidRDefault="008D01D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D01DC" w:rsidRDefault="008D01D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DC" w:rsidRDefault="008D01D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-973454</wp:posOffset>
          </wp:positionH>
          <wp:positionV relativeFrom="paragraph">
            <wp:posOffset>-354964</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8D01DC">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04114/INFOEM/IP/RR/2022</w:t>
          </w:r>
        </w:p>
      </w:tc>
    </w:tr>
    <w:tr w:rsidR="008D01DC">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D01DC" w:rsidRDefault="00677E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p>
      </w:tc>
    </w:tr>
    <w:tr w:rsidR="008D01DC">
      <w:trPr>
        <w:trHeight w:val="228"/>
      </w:trPr>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D01DC" w:rsidRDefault="008D01D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8D01DC">
      <w:tc>
        <w:tcPr>
          <w:tcW w:w="2553" w:type="dxa"/>
          <w:vAlign w:val="center"/>
        </w:tcPr>
        <w:p w:rsidR="008D01DC" w:rsidRDefault="008D0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D01DC" w:rsidRDefault="008D01D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D01DC" w:rsidRDefault="008D01D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DC" w:rsidRDefault="008D01D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8D01DC" w:rsidRDefault="008D01D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18E8"/>
    <w:multiLevelType w:val="multilevel"/>
    <w:tmpl w:val="46DCC284"/>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812737"/>
    <w:multiLevelType w:val="multilevel"/>
    <w:tmpl w:val="55B8E6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F4E7E"/>
    <w:multiLevelType w:val="hybridMultilevel"/>
    <w:tmpl w:val="CB60BC7E"/>
    <w:lvl w:ilvl="0" w:tplc="892E22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CA02019"/>
    <w:multiLevelType w:val="multilevel"/>
    <w:tmpl w:val="25126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3C3772F"/>
    <w:multiLevelType w:val="multilevel"/>
    <w:tmpl w:val="2618E8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9CF7366"/>
    <w:multiLevelType w:val="multilevel"/>
    <w:tmpl w:val="AB80C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AC22F3"/>
    <w:multiLevelType w:val="hybridMultilevel"/>
    <w:tmpl w:val="21AAFEBC"/>
    <w:lvl w:ilvl="0" w:tplc="DDC8D3A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8C24D40"/>
    <w:multiLevelType w:val="multilevel"/>
    <w:tmpl w:val="86DE92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043378"/>
    <w:multiLevelType w:val="multilevel"/>
    <w:tmpl w:val="670A80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4"/>
  </w:num>
  <w:num w:numId="6">
    <w:abstractNumId w:val="11"/>
  </w:num>
  <w:num w:numId="7">
    <w:abstractNumId w:val="0"/>
  </w:num>
  <w:num w:numId="8">
    <w:abstractNumId w:val="12"/>
  </w:num>
  <w:num w:numId="9">
    <w:abstractNumId w:val="6"/>
  </w:num>
  <w:num w:numId="10">
    <w:abstractNumId w:val="10"/>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E"/>
    <w:rsid w:val="00022B4E"/>
    <w:rsid w:val="00035B71"/>
    <w:rsid w:val="0006449C"/>
    <w:rsid w:val="000A5063"/>
    <w:rsid w:val="003321F3"/>
    <w:rsid w:val="004364AC"/>
    <w:rsid w:val="004C20D6"/>
    <w:rsid w:val="004C3D30"/>
    <w:rsid w:val="00567DAD"/>
    <w:rsid w:val="00677EA4"/>
    <w:rsid w:val="007A475A"/>
    <w:rsid w:val="008D01DC"/>
    <w:rsid w:val="00925262"/>
    <w:rsid w:val="0092781F"/>
    <w:rsid w:val="00A014B5"/>
    <w:rsid w:val="00BA3CF6"/>
    <w:rsid w:val="00C85706"/>
    <w:rsid w:val="00CD0767"/>
    <w:rsid w:val="00CD0F3E"/>
    <w:rsid w:val="00CF700A"/>
    <w:rsid w:val="00D07ADC"/>
    <w:rsid w:val="00D470B8"/>
    <w:rsid w:val="00EE56AD"/>
    <w:rsid w:val="00F416DD"/>
    <w:rsid w:val="00F84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AC219-1D88-4CA8-9B79-DD6B4DFD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secogem.gob.mx/sites/default/files/doctos/ActaConstitucionObraPublicaV07.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dMxHlEOM5H9e0QItHLjh3ay5vA==">AMUW2mXyzc3nUBOtDmcA2kIvNRbKkVxHbPpa2BKKs6Eb7v9dK7wGpzgM9yZOfxVbtsjjFgJ+j8GCrDYD4++MsaUAF0M2S2T8BZo7iSo9Ag76rPFprLtH5UZCt8Md6kGV2NEVZBC3Cdld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BA46C2-2C89-47BC-94EF-B856C7D5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11732</Words>
  <Characters>64530</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2022-07-13T22:50:00Z</dcterms:created>
  <dcterms:modified xsi:type="dcterms:W3CDTF">2022-08-04T18:59:00Z</dcterms:modified>
</cp:coreProperties>
</file>