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siete de abril de dos mil veintidós. </w:t>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00344/INFOEM/IP/RR/2022</w:t>
      </w:r>
      <w:r w:rsidDel="00000000" w:rsidR="00000000" w:rsidRPr="00000000">
        <w:rPr>
          <w:rFonts w:ascii="Palatino Linotype" w:cs="Palatino Linotype" w:eastAsia="Palatino Linotype" w:hAnsi="Palatino Linotype"/>
          <w:rtl w:val="0"/>
        </w:rPr>
        <w:t xml:space="preserve">, promovido por un particular quien señaló por nombre</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rtl w:val="0"/>
        </w:rPr>
        <w:t xml:space="preserve">XXXXX XXXXXXXX XXXXX</w:t>
      </w:r>
      <w:r w:rsidDel="00000000" w:rsidR="00000000" w:rsidRPr="00000000">
        <w:rPr>
          <w:rFonts w:ascii="Palatino Linotype" w:cs="Palatino Linotype" w:eastAsia="Palatino Linotype" w:hAnsi="Palatino Linotype"/>
          <w:b w:val="1"/>
          <w:sz w:val="26"/>
          <w:szCs w:val="26"/>
          <w:rtl w:val="0"/>
        </w:rPr>
        <w:t xml:space="preserve">, </w:t>
      </w:r>
      <w:r w:rsidDel="00000000" w:rsidR="00000000" w:rsidRPr="00000000">
        <w:rPr>
          <w:rFonts w:ascii="Palatino Linotype" w:cs="Palatino Linotype" w:eastAsia="Palatino Linotype" w:hAnsi="Palatino Linotype"/>
          <w:sz w:val="26"/>
          <w:szCs w:val="26"/>
          <w:rtl w:val="0"/>
        </w:rPr>
        <w:t xml:space="preserve">a qu</w:t>
      </w:r>
      <w:r w:rsidDel="00000000" w:rsidR="00000000" w:rsidRPr="00000000">
        <w:rPr>
          <w:rFonts w:ascii="Palatino Linotype" w:cs="Palatino Linotype" w:eastAsia="Palatino Linotype" w:hAnsi="Palatino Linotype"/>
          <w:rtl w:val="0"/>
        </w:rPr>
        <w:t xml:space="preserve">ien en lo sucesivo se le denominará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emitida por el</w:t>
      </w:r>
      <w:r w:rsidDel="00000000" w:rsidR="00000000" w:rsidRPr="00000000">
        <w:rPr>
          <w:rFonts w:ascii="Palatino Linotype" w:cs="Palatino Linotype" w:eastAsia="Palatino Linotype" w:hAnsi="Palatino Linotype"/>
          <w:b w:val="1"/>
          <w:rtl w:val="0"/>
        </w:rPr>
        <w:t xml:space="preserve"> Ayuntamiento de Valle de Bravo, </w:t>
      </w:r>
      <w:r w:rsidDel="00000000" w:rsidR="00000000" w:rsidRPr="00000000">
        <w:rPr>
          <w:rFonts w:ascii="Palatino Linotype" w:cs="Palatino Linotype" w:eastAsia="Palatino Linotype" w:hAnsi="Palatino Linotype"/>
          <w:rtl w:val="0"/>
        </w:rPr>
        <w:t xml:space="preserve">a quien en lo sucesivo se le denominará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ANTECEDENTES</w:t>
      </w:r>
    </w:p>
    <w:p w:rsidR="00000000" w:rsidDel="00000000" w:rsidP="00000000" w:rsidRDefault="00000000" w:rsidRPr="00000000" w14:paraId="00000007">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1.</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Solicitud de Información: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diez de enero de dos mil veintidós,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presentó a través del Sistema de Acceso a la Información Mexiquense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0"/>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ante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00001/VABRAVO/IP/2022,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mediante la cual requirió, lo siguiente: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“Solicito información de todos los bienes inmuebles propiedad del Gobierno del Estado de México en el municipio de Valle de Bravo, indicando en la misma información si el bien inmueble es terreno o terreno y construcción o edificio.” (sic)</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 </w:t>
      </w:r>
      <w:r w:rsidDel="00000000" w:rsidR="00000000" w:rsidRPr="00000000">
        <w:rPr>
          <w:rFonts w:ascii="Palatino Linotype" w:cs="Palatino Linotype" w:eastAsia="Palatino Linotype" w:hAnsi="Palatino Linotype"/>
          <w:rtl w:val="0"/>
        </w:rPr>
        <w:t xml:space="preserve">A través del Sistema de Acceso a la Información Mexiquense (SAIMEX).</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2. Respuesta del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constancias que obran en el expediente electrónico conformado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 Recurso de Revisión materia del presente estudio, se advierte que la Responsable de la Unidad de Información, el día veintiséis de enero de la anualidad que transcurre, informó la Incompetencia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expresando que: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567" w:right="616"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“Derivado de la fecha de ingreso de la solicitud de información y dado que en esas fechas se llevó a cabo la entrega-recepción del área no se pudo determinar que, no somos el sujeto obligado para proporcionar esta información. Esto con fundamento en el Art. 167 de la Ley de Transparencia y Acceso a la Información Pública del Estado de México y sus Municipios. (sic</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3.</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Del Recurso de Revisión.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veintisiete de enero de dos mil veintidós, el particular presentó ante este Organismo Garante, el Recurso de Revisión que hoy día nos ocupa, a través del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Sistema SAIMEX,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que se le asignó el número al rubro citado, en contra de la respuesta otorgada por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 en el cual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realizó las siguientes manifestaciones: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 </w:t>
      </w:r>
      <w:r w:rsidDel="00000000" w:rsidR="00000000" w:rsidRPr="00000000">
        <w:rPr>
          <w:rtl w:val="0"/>
        </w:rPr>
      </w:r>
    </w:p>
    <w:p w:rsidR="00000000" w:rsidDel="00000000" w:rsidP="00000000" w:rsidRDefault="00000000" w:rsidRPr="00000000" w14:paraId="00000014">
      <w:pPr>
        <w:tabs>
          <w:tab w:val="left" w:pos="7936"/>
        </w:tabs>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“Respuesta del sujeto obligado.” (sic)</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el pretexto de que hubo un cambio de administración el sujeto obligado dice que no pudo determinar que sea el sujeto obligado para proporcionar esta información.” (sic)</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4. Turno.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con fecha veintisiete de enero de dos mil veintidós, que el Recurso de que se trata, con fundamento en el artículo 185, fracción I de la Ley de Transparencia y Acceso a la Información Pública del Estado de México y Municipios, se turnó, a través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la Comisionada Ponente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Guadalupe Ramírez Peña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efecto de que decretara su admisión o desechamiento.</w:t>
      </w:r>
      <w:r w:rsidDel="00000000" w:rsidR="00000000" w:rsidRPr="00000000">
        <w:rPr>
          <w:rtl w:val="0"/>
        </w:rPr>
      </w:r>
    </w:p>
    <w:p w:rsidR="00000000" w:rsidDel="00000000" w:rsidP="00000000" w:rsidRDefault="00000000" w:rsidRPr="00000000" w14:paraId="0000001A">
      <w:pPr>
        <w:widowControl w:val="0"/>
        <w:tabs>
          <w:tab w:val="left" w:pos="0"/>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B">
      <w:pPr>
        <w:widowControl w:val="0"/>
        <w:tabs>
          <w:tab w:val="left" w:pos="0"/>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Con fecha primero de febrero de dos mil veintidós, en atención a lo dispuesto en el artículo 185, fracciones I, II y IV, de la Ley de Transparencia y Acceso a la Información Pública del Estado de México y Municipios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se acordó la admisión a trámite del referido Recurso de Revisión; así como, la integración del expediente respectivo, mismo que se puso a disposición de las partes, para que en el plazo máximo de siete días hábiles, </w:t>
      </w:r>
      <w:r w:rsidDel="00000000" w:rsidR="00000000" w:rsidRPr="00000000">
        <w:rPr>
          <w:rFonts w:ascii="Palatino Linotype" w:cs="Palatino Linotype" w:eastAsia="Palatino Linotype" w:hAnsi="Palatino Linotype"/>
          <w:b w:val="1"/>
          <w:rtl w:val="0"/>
        </w:rPr>
        <w:t xml:space="preserve">EL RECURRENTE </w:t>
      </w:r>
      <w:r w:rsidDel="00000000" w:rsidR="00000000" w:rsidRPr="00000000">
        <w:rPr>
          <w:rFonts w:ascii="Palatino Linotype" w:cs="Palatino Linotype" w:eastAsia="Palatino Linotype" w:hAnsi="Palatino Linotype"/>
          <w:rtl w:val="0"/>
        </w:rPr>
        <w:t xml:space="preserve"> realizara manifestaciones, alegatos y ofreciera las pruebas que a su derecho conviniera y, en el caso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para que exhibiera el Informe Justificado correspondiente.</w:t>
      </w:r>
    </w:p>
    <w:p w:rsidR="00000000" w:rsidDel="00000000" w:rsidP="00000000" w:rsidRDefault="00000000" w:rsidRPr="00000000" w14:paraId="0000001C">
      <w:pPr>
        <w:widowControl w:val="0"/>
        <w:tabs>
          <w:tab w:val="left" w:pos="0"/>
        </w:tabs>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6. Manifestaciones: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constancias que obran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desprende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 fecha ocho de febrero de dos mil veintidós, rindió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Informe Justificado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correspondiente, mediante el archivo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01-Secretaría.pdf</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cual contiene el oficio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SA/037/enero/2022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signado por el Secretario del Ayuntamiento de Valle de Bravo, mediante el que refrenda su respuesta primigenia a la solicitud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00001/VABRAVO/IP/2022.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Informe que fue hecho de conocimiento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cuatro de marzo de dos mil veintidós.</w:t>
      </w:r>
    </w:p>
    <w:p w:rsidR="00000000" w:rsidDel="00000000" w:rsidP="00000000" w:rsidRDefault="00000000" w:rsidRPr="00000000" w14:paraId="0000001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destacar que la parte actora, no presentó pruebas, ni realizó manifestación alguna en relación al </w:t>
      </w:r>
      <w:r w:rsidDel="00000000" w:rsidR="00000000" w:rsidRPr="00000000">
        <w:rPr>
          <w:rFonts w:ascii="Palatino Linotype" w:cs="Palatino Linotype" w:eastAsia="Palatino Linotype" w:hAnsi="Palatino Linotype"/>
          <w:b w:val="1"/>
          <w:rtl w:val="0"/>
        </w:rPr>
        <w:t xml:space="preserve">Informe Justificado</w:t>
      </w:r>
      <w:r w:rsidDel="00000000" w:rsidR="00000000" w:rsidRPr="00000000">
        <w:rPr>
          <w:rFonts w:ascii="Palatino Linotype" w:cs="Palatino Linotype" w:eastAsia="Palatino Linotype" w:hAnsi="Palatino Linotype"/>
          <w:rtl w:val="0"/>
        </w:rPr>
        <w:t xml:space="preserve"> o bien en relación al Recurso de Revisión; tal y como se aprecia enseguida:</w:t>
      </w:r>
    </w:p>
    <w:p w:rsidR="00000000" w:rsidDel="00000000" w:rsidP="00000000" w:rsidRDefault="00000000" w:rsidRPr="00000000" w14:paraId="00000020">
      <w:pPr>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034223" cy="2274050"/>
            <wp:effectExtent b="0" l="0" r="0" t="0"/>
            <wp:docPr id="10" name="image4.png"/>
            <a:graphic>
              <a:graphicData uri="http://schemas.openxmlformats.org/drawingml/2006/picture">
                <pic:pic>
                  <pic:nvPicPr>
                    <pic:cNvPr id="0" name="image4.png"/>
                    <pic:cNvPicPr preferRelativeResize="0"/>
                  </pic:nvPicPr>
                  <pic:blipFill>
                    <a:blip r:embed="rId9"/>
                    <a:srcRect b="19941" l="2555" r="2187" t="3412"/>
                    <a:stretch>
                      <a:fillRect/>
                    </a:stretch>
                  </pic:blipFill>
                  <pic:spPr>
                    <a:xfrm>
                      <a:off x="0" y="0"/>
                      <a:ext cx="5034223" cy="22740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 plazo. </w:t>
      </w:r>
      <w:r w:rsidDel="00000000" w:rsidR="00000000" w:rsidRPr="00000000">
        <w:rPr>
          <w:rFonts w:ascii="Palatino Linotype" w:cs="Palatino Linotype" w:eastAsia="Palatino Linotype" w:hAnsi="Palatino Linotype"/>
          <w:rtl w:val="0"/>
        </w:rPr>
        <w:t xml:space="preserve">El treinta y uno de marzo de dos mil veintidós, se notificó a las partes el acuerdo de ampliación del plazo para resolver el Recurso de Revisión en estudio, por un periodo de hasta quince días hábiles, de conformidad con el artículo 181, tercer párrafo de la Ley de Transparencia y Acceso a la Información Pública del Estado de México y Municipios.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8. Cierre de Instrucción: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Una vez analizado el estado procesal que guarda el expediente, el cuatro de abril de dos mil veintidós, la Comisionada Ponente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Guadalupe Ramírez Peña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CONSIDERANDO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 w:val="left" w:pos="1843"/>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PRIMERO. Competencia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 w:val="left" w:pos="1843"/>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Recurso de Revisión fue interpuesto dentro del plazo de quince días hábiles, contados a partir del día siguiente al en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LA PARTE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tuvo conocimiento de la respuesta impugnada; tal y como, lo prevé el artículo 178 de la Ley de Transparencia y Acceso a la Información Pública del Estado de México y Municipios, que establece:</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178.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el caso de que se interponga ante la Unidad de Transparencia, ésta deberá remitir el Recurso de Revisión al Instituto a más tardar al día siguiente de haberlo recibido.</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atendiendo 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notificó la respuesta a la solicitud de acceso a la Información Pública el día</w:t>
      </w:r>
      <w:r w:rsidDel="00000000" w:rsidR="00000000" w:rsidRPr="00000000">
        <w:rPr>
          <w:rFonts w:ascii="Palatino Linotype" w:cs="Palatino Linotype" w:eastAsia="Palatino Linotype" w:hAnsi="Palatino Linotype"/>
          <w:b w:val="1"/>
          <w:rtl w:val="0"/>
        </w:rPr>
        <w:t xml:space="preserve"> veintiséis de enero de dos mil veintidós</w:t>
      </w:r>
      <w:r w:rsidDel="00000000" w:rsidR="00000000" w:rsidRPr="00000000">
        <w:rPr>
          <w:rFonts w:ascii="Palatino Linotype" w:cs="Palatino Linotype" w:eastAsia="Palatino Linotype" w:hAnsi="Palatino Linotype"/>
          <w:rtl w:val="0"/>
        </w:rPr>
        <w:t xml:space="preserve">; así, el plazo de quince días hábiles que el artículo 178 de la Ley de la materia otorga a la hoy parte actora para presentar el respectivo Recurso de Revisión, transcurrió del </w:t>
      </w:r>
      <w:r w:rsidDel="00000000" w:rsidR="00000000" w:rsidRPr="00000000">
        <w:rPr>
          <w:rFonts w:ascii="Palatino Linotype" w:cs="Palatino Linotype" w:eastAsia="Palatino Linotype" w:hAnsi="Palatino Linotype"/>
          <w:b w:val="1"/>
          <w:rtl w:val="0"/>
        </w:rPr>
        <w:t xml:space="preserve">veintisiete de enero de dos mil veintidós</w:t>
      </w:r>
      <w:r w:rsidDel="00000000" w:rsidR="00000000" w:rsidRPr="00000000">
        <w:rPr>
          <w:rFonts w:ascii="Palatino Linotype" w:cs="Palatino Linotype" w:eastAsia="Palatino Linotype" w:hAnsi="Palatino Linotype"/>
          <w:rtl w:val="0"/>
        </w:rPr>
        <w:t xml:space="preserve"> al</w:t>
      </w:r>
      <w:r w:rsidDel="00000000" w:rsidR="00000000" w:rsidRPr="00000000">
        <w:rPr>
          <w:rFonts w:ascii="Palatino Linotype" w:cs="Palatino Linotype" w:eastAsia="Palatino Linotype" w:hAnsi="Palatino Linotype"/>
          <w:b w:val="1"/>
          <w:rtl w:val="0"/>
        </w:rPr>
        <w:t xml:space="preserve"> diecisiete de febrero de dos mil veintidós, </w:t>
      </w:r>
      <w:r w:rsidDel="00000000" w:rsidR="00000000" w:rsidRPr="00000000">
        <w:rPr>
          <w:rFonts w:ascii="Palatino Linotype" w:cs="Palatino Linotype" w:eastAsia="Palatino Linotype" w:hAnsi="Palatino Linotype"/>
          <w:rtl w:val="0"/>
        </w:rPr>
        <w:t xml:space="preserve">sin contemplar en el cómputo los días veintinueve y treinta de enero, cinco, seis, siete, doce y trece de febrero de dos mil veintidós, por ser considerados como días inhábiles, en términos del artículo 3, fracción X de la Ley de Transparencia y Acceso a la Información Pública del Estado de México y Municipios.</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si el Recurso de Revisión que nos ocupa, se interpuso el</w:t>
      </w:r>
      <w:r w:rsidDel="00000000" w:rsidR="00000000" w:rsidRPr="00000000">
        <w:rPr>
          <w:rFonts w:ascii="Palatino Linotype" w:cs="Palatino Linotype" w:eastAsia="Palatino Linotype" w:hAnsi="Palatino Linotype"/>
          <w:b w:val="1"/>
          <w:rtl w:val="0"/>
        </w:rPr>
        <w:t xml:space="preserve"> veintisiete de enero de dos mil veintidós, </w:t>
      </w:r>
      <w:r w:rsidDel="00000000" w:rsidR="00000000" w:rsidRPr="00000000">
        <w:rPr>
          <w:rFonts w:ascii="Palatino Linotype" w:cs="Palatino Linotype" w:eastAsia="Palatino Linotype" w:hAnsi="Palatino Linotype"/>
          <w:rtl w:val="0"/>
        </w:rPr>
        <w:t xml:space="preserve">éste se encuentra dentro de los márgenes temporales previstos en el precepto legal citado en el párrafo anterior y, por tanto, su interposición se considera oportuna.</w:t>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el recurrente en sus motivos de inconformidad, de acuerdo al artículo 179, fracción IV del ordenamiento legal citado, que a la letra dice: </w:t>
      </w:r>
    </w:p>
    <w:p w:rsidR="00000000" w:rsidDel="00000000" w:rsidP="00000000" w:rsidRDefault="00000000" w:rsidRPr="00000000" w14:paraId="00000037">
      <w:pPr>
        <w:tabs>
          <w:tab w:val="left" w:pos="708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La declaración de incompetencia por el sujeto obligado; </w:t>
      </w:r>
      <w:r w:rsidDel="00000000" w:rsidR="00000000" w:rsidRPr="00000000">
        <w:rPr>
          <w:rtl w:val="0"/>
        </w:rPr>
      </w:r>
    </w:p>
    <w:p w:rsidR="00000000" w:rsidDel="00000000" w:rsidP="00000000" w:rsidRDefault="00000000" w:rsidRPr="00000000" w14:paraId="0000003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y análisis del asunto.</w:t>
      </w:r>
      <w:r w:rsidDel="00000000" w:rsidR="00000000" w:rsidRPr="00000000">
        <w:rPr>
          <w:rFonts w:ascii="Palatino Linotype" w:cs="Palatino Linotype" w:eastAsia="Palatino Linotype" w:hAnsi="Palatino Linotype"/>
          <w:rtl w:val="0"/>
        </w:rPr>
        <w:t xml:space="preserve"> 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F">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0">
      <w:pPr>
        <w:tabs>
          <w:tab w:val="left" w:pos="709"/>
        </w:tabs>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1">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2">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3">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4">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9">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E">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54">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5">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56">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7">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8">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9">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5A">
      <w:pPr>
        <w:ind w:left="709"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5C">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D">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6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66">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6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8">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6A">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6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7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2">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76">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8">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7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D">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este contexto, es oportuno reiterar que el entonces solicitante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lo siguiente: </w:t>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“Solicito información de todos los bienes inmuebles propiedad del Gobierno del Estado de México en el municipio de Valle de Bravo, indicando en la misma información si el bien inmueble es terreno o terreno y construcción o edificio.” (sic)</w:t>
      </w:r>
    </w:p>
    <w:p w:rsidR="00000000" w:rsidDel="00000000" w:rsidP="00000000" w:rsidRDefault="00000000" w:rsidRPr="00000000" w14:paraId="00000083">
      <w:pPr>
        <w:rPr>
          <w:sz w:val="22"/>
          <w:szCs w:val="22"/>
        </w:rPr>
      </w:pPr>
      <w:r w:rsidDel="00000000" w:rsidR="00000000" w:rsidRPr="00000000">
        <w:rPr>
          <w:rtl w:val="0"/>
        </w:rPr>
      </w:r>
    </w:p>
    <w:p w:rsidR="00000000" w:rsidDel="00000000" w:rsidP="00000000" w:rsidRDefault="00000000" w:rsidRPr="00000000" w14:paraId="00000084">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le informó que términos del artículo 167 de la LTAIPEMM, era incompetente para entregar la información que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había solicitado. </w:t>
      </w:r>
    </w:p>
    <w:p w:rsidR="00000000" w:rsidDel="00000000" w:rsidP="00000000" w:rsidRDefault="00000000" w:rsidRPr="00000000" w14:paraId="00000085">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con 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el particular presentó el Recurso de Revisión de mérito, en el que señaló como  inconformidad lo siguiente:</w:t>
      </w:r>
    </w:p>
    <w:p w:rsidR="00000000" w:rsidDel="00000000" w:rsidP="00000000" w:rsidRDefault="00000000" w:rsidRPr="00000000" w14:paraId="00000087">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 el pretexto de que hubo un cambio de administración el sujeto obligado dice que no pudo determinar que sea el sujeto obligado para proporcionar esta información.” (sic)</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Ante tales manifestaciones,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Informe Justificado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emitido por la Secretaría del Ayuntamiento, señaló lo siguiente;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le informo respetuosamente que dentro de los archivos de este municipio no se tiene un registro, control, resguardo o inventario sobre los bienes inmuebles patrimonio del Gobierno del Estado de México en el territorio municipal de Valle de Bravo, al no ser el municipio la institución o dependencia facultada que tenga dicha información.” (sic)</w:t>
      </w:r>
    </w:p>
    <w:p w:rsidR="00000000" w:rsidDel="00000000" w:rsidP="00000000" w:rsidRDefault="00000000" w:rsidRPr="00000000" w14:paraId="0000008D">
      <w:pPr>
        <w:rPr>
          <w:sz w:val="22"/>
          <w:szCs w:val="22"/>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que, de acuerdo a los motivos de inconformidad hechos valer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ante la manifestación de incompetencia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del envío del </w:t>
      </w:r>
      <w:r w:rsidDel="00000000" w:rsidR="00000000" w:rsidRPr="00000000">
        <w:rPr>
          <w:rFonts w:ascii="Palatino Linotype" w:cs="Palatino Linotype" w:eastAsia="Palatino Linotype" w:hAnsi="Palatino Linotype"/>
          <w:b w:val="1"/>
          <w:rtl w:val="0"/>
        </w:rPr>
        <w:t xml:space="preserve">Informe Justificado</w:t>
      </w:r>
      <w:r w:rsidDel="00000000" w:rsidR="00000000" w:rsidRPr="00000000">
        <w:rPr>
          <w:rFonts w:ascii="Palatino Linotype" w:cs="Palatino Linotype" w:eastAsia="Palatino Linotype" w:hAnsi="Palatino Linotype"/>
          <w:rtl w:val="0"/>
        </w:rPr>
        <w:t xml:space="preserve">; es que este Órgano Garante, considera pertinente analizar el asunto que hoy nos ocupa, comenzando con la verificación si el Ayuntamiento de Valle de Bravo se encuentra constreñido a trasparentar sus acciones, garantizar y respetar el Derecho de Acceso a la Información Pública respecto al tema de la solicitud de referencia. </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debe destacarse los bienes inmuebles de dominio público y que están destinados a un servicio público por disposición de los artículos 5.4, fracción I del Código Civil del Estado de México; 105 de la Ley Orgánica Municipal del Estado de México; 14, 15, 16, 17 y 18 fracciones V y VI de la Ley de Bienes del Estado de México y sus Municipios, cuyos textos y sentido literal son los siguientes:</w:t>
      </w:r>
    </w:p>
    <w:p w:rsidR="00000000" w:rsidDel="00000000" w:rsidP="00000000" w:rsidRDefault="00000000" w:rsidRPr="00000000" w14:paraId="0000009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Código Civil del Estado de México</w:t>
      </w:r>
    </w:p>
    <w:p w:rsidR="00000000" w:rsidDel="00000000" w:rsidP="00000000" w:rsidRDefault="00000000" w:rsidRPr="00000000" w14:paraId="00000093">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5.4.- </w:t>
      </w:r>
      <w:r w:rsidDel="00000000" w:rsidR="00000000" w:rsidRPr="00000000">
        <w:rPr>
          <w:rFonts w:ascii="Palatino Linotype" w:cs="Palatino Linotype" w:eastAsia="Palatino Linotype" w:hAnsi="Palatino Linotype"/>
          <w:b w:val="1"/>
          <w:i w:val="1"/>
          <w:sz w:val="22"/>
          <w:szCs w:val="22"/>
          <w:rtl w:val="0"/>
        </w:rPr>
        <w:t xml:space="preserve">Son bienes inmuebles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4">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5">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w:t>
        <w:tab/>
        <w:t xml:space="preserve">El suelo y las construcciones adheridas a él;</w:t>
      </w:r>
    </w:p>
    <w:p w:rsidR="00000000" w:rsidDel="00000000" w:rsidP="00000000" w:rsidRDefault="00000000" w:rsidRPr="00000000" w14:paraId="00000096">
      <w:pPr>
        <w:ind w:right="618"/>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7">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Orgánica Municipal del Estado de México</w:t>
      </w:r>
    </w:p>
    <w:p w:rsidR="00000000" w:rsidDel="00000000" w:rsidP="00000000" w:rsidRDefault="00000000" w:rsidRPr="00000000" w14:paraId="00000098">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105.- </w:t>
      </w:r>
      <w:r w:rsidDel="00000000" w:rsidR="00000000" w:rsidRPr="00000000">
        <w:rPr>
          <w:rFonts w:ascii="Palatino Linotype" w:cs="Palatino Linotype" w:eastAsia="Palatino Linotype" w:hAnsi="Palatino Linotype"/>
          <w:i w:val="1"/>
          <w:sz w:val="22"/>
          <w:szCs w:val="22"/>
          <w:rtl w:val="0"/>
        </w:rPr>
        <w:t xml:space="preserve">Los bienes del dominio público municipal son de uso común o destinados a un servicio público, de conformidad con lo que establece la Ley de Bienes del Estado de México y de sus Municipios, en los términos siguientes: </w:t>
      </w:r>
      <w:r w:rsidDel="00000000" w:rsidR="00000000" w:rsidRPr="00000000">
        <w:rPr>
          <w:rtl w:val="0"/>
        </w:rPr>
      </w:r>
    </w:p>
    <w:p w:rsidR="00000000" w:rsidDel="00000000" w:rsidP="00000000" w:rsidRDefault="00000000" w:rsidRPr="00000000" w14:paraId="00000099">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Son bienes de uso común los que pueden ser aprovechados por los habitantes del municipio, sin más limitaciones y restricciones que las establecidas en las leyes y reglamentos administrativos; y </w:t>
      </w:r>
    </w:p>
    <w:p w:rsidR="00000000" w:rsidDel="00000000" w:rsidP="00000000" w:rsidRDefault="00000000" w:rsidRPr="00000000" w14:paraId="0000009A">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Son bienes destinados a un servicio público, aquellos que utilice el municipio para el desarrollo de sus actividades o los que de hecho se utilizan para la prestación de servicios o actividades equiparables a ellos.</w:t>
      </w:r>
    </w:p>
    <w:p w:rsidR="00000000" w:rsidDel="00000000" w:rsidP="00000000" w:rsidRDefault="00000000" w:rsidRPr="00000000" w14:paraId="0000009B">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C">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Bienes del Estado de México y sus Municipios</w:t>
      </w:r>
    </w:p>
    <w:p w:rsidR="00000000" w:rsidDel="00000000" w:rsidP="00000000" w:rsidRDefault="00000000" w:rsidRPr="00000000" w14:paraId="0000009D">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w:t>
      </w:r>
      <w:r w:rsidDel="00000000" w:rsidR="00000000" w:rsidRPr="00000000">
        <w:rPr>
          <w:rFonts w:ascii="Palatino Linotype" w:cs="Palatino Linotype" w:eastAsia="Palatino Linotype" w:hAnsi="Palatino Linotype"/>
          <w:i w:val="1"/>
          <w:sz w:val="22"/>
          <w:szCs w:val="22"/>
          <w:rtl w:val="0"/>
        </w:rPr>
        <w:t xml:space="preserve"> Los bienes del dominio público, se clasifican en:</w:t>
      </w:r>
    </w:p>
    <w:p w:rsidR="00000000" w:rsidDel="00000000" w:rsidP="00000000" w:rsidRDefault="00000000" w:rsidRPr="00000000" w14:paraId="0000009E">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Bienes de uso común; y</w:t>
      </w:r>
    </w:p>
    <w:p w:rsidR="00000000" w:rsidDel="00000000" w:rsidP="00000000" w:rsidRDefault="00000000" w:rsidRPr="00000000" w14:paraId="0000009F">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Bienes destinados a un servicio público.</w:t>
      </w:r>
    </w:p>
    <w:p w:rsidR="00000000" w:rsidDel="00000000" w:rsidP="00000000" w:rsidRDefault="00000000" w:rsidRPr="00000000" w14:paraId="000000A0">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w:t>
      </w:r>
      <w:r w:rsidDel="00000000" w:rsidR="00000000" w:rsidRPr="00000000">
        <w:rPr>
          <w:rFonts w:ascii="Palatino Linotype" w:cs="Palatino Linotype" w:eastAsia="Palatino Linotype" w:hAnsi="Palatino Linotype"/>
          <w:i w:val="1"/>
          <w:sz w:val="22"/>
          <w:szCs w:val="22"/>
          <w:rtl w:val="0"/>
        </w:rPr>
        <w:t xml:space="preserve"> Son bienes de uso común los que pueden ser aprovechados por los habitante del Estado de México y de sus municipios, sin más limitaciones y restricciones que las establecidas por las leyes y los reglamentos administrativos.</w:t>
      </w:r>
    </w:p>
    <w:p w:rsidR="00000000" w:rsidDel="00000000" w:rsidP="00000000" w:rsidRDefault="00000000" w:rsidRPr="00000000" w14:paraId="000000A2">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3">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w:t>
      </w:r>
      <w:r w:rsidDel="00000000" w:rsidR="00000000" w:rsidRPr="00000000">
        <w:rPr>
          <w:rFonts w:ascii="Palatino Linotype" w:cs="Palatino Linotype" w:eastAsia="Palatino Linotype" w:hAnsi="Palatino Linotype"/>
          <w:i w:val="1"/>
          <w:sz w:val="22"/>
          <w:szCs w:val="22"/>
          <w:rtl w:val="0"/>
        </w:rPr>
        <w:t xml:space="preserve"> Son bienes de uso común:</w:t>
      </w:r>
    </w:p>
    <w:p w:rsidR="00000000" w:rsidDel="00000000" w:rsidP="00000000" w:rsidRDefault="00000000" w:rsidRPr="00000000" w14:paraId="000000A4">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Las vías terrestres de comunicación del domino estatal o municipal;</w:t>
      </w:r>
    </w:p>
    <w:p w:rsidR="00000000" w:rsidDel="00000000" w:rsidP="00000000" w:rsidRDefault="00000000" w:rsidRPr="00000000" w14:paraId="000000A5">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montes, bosques y aguas que no sean de la federación o de los particulares;</w:t>
      </w:r>
    </w:p>
    <w:p w:rsidR="00000000" w:rsidDel="00000000" w:rsidP="00000000" w:rsidRDefault="00000000" w:rsidRPr="00000000" w14:paraId="000000A6">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Las plazas, calles, avenidas, viaductos, bajo puentes, paseos, jardines y parques públicos;</w:t>
      </w:r>
    </w:p>
    <w:p w:rsidR="00000000" w:rsidDel="00000000" w:rsidP="00000000" w:rsidRDefault="00000000" w:rsidRPr="00000000" w14:paraId="000000A7">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Los monumentos históricos de propiedad estatal o municipal;</w:t>
      </w:r>
    </w:p>
    <w:p w:rsidR="00000000" w:rsidDel="00000000" w:rsidP="00000000" w:rsidRDefault="00000000" w:rsidRPr="00000000" w14:paraId="000000A8">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Las servidumbres cuando el predio dominante sea propiedad del Estado, de los municipios o de los organismos auxiliares estatales o municipales; y</w:t>
      </w:r>
    </w:p>
    <w:p w:rsidR="00000000" w:rsidDel="00000000" w:rsidP="00000000" w:rsidRDefault="00000000" w:rsidRPr="00000000" w14:paraId="000000A9">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Los demás a los que las leyes les asignen este carácter.</w:t>
      </w:r>
    </w:p>
    <w:p w:rsidR="00000000" w:rsidDel="00000000" w:rsidP="00000000" w:rsidRDefault="00000000" w:rsidRPr="00000000" w14:paraId="000000AA">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B">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 </w:t>
      </w:r>
      <w:r w:rsidDel="00000000" w:rsidR="00000000" w:rsidRPr="00000000">
        <w:rPr>
          <w:rFonts w:ascii="Palatino Linotype" w:cs="Palatino Linotype" w:eastAsia="Palatino Linotype" w:hAnsi="Palatino Linotype"/>
          <w:i w:val="1"/>
          <w:sz w:val="22"/>
          <w:szCs w:val="22"/>
          <w:rtl w:val="0"/>
        </w:rPr>
        <w:t xml:space="preserve">Son bienes destinados a un servicio público, aquéllos que utilicen los poderes del Estado y los municipios para el desarrollo de sus actividades o los que de hecho se utilicen para la prestación de servicios públicos o actividades equiparables a ellos.</w:t>
      </w:r>
    </w:p>
    <w:p w:rsidR="00000000" w:rsidDel="00000000" w:rsidP="00000000" w:rsidRDefault="00000000" w:rsidRPr="00000000" w14:paraId="000000AC">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D">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Son bienes destinados a un servicio público:</w:t>
      </w:r>
    </w:p>
    <w:p w:rsidR="00000000" w:rsidDel="00000000" w:rsidP="00000000" w:rsidRDefault="00000000" w:rsidRPr="00000000" w14:paraId="000000AE">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F">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0">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Los inmuebles utilizados para la prestación de servicios públicos estatales o municipales, tales como: mercados, rastros, hospitales, panteones públicos, zoológicos, jardines botánicos, museos, bibliotecas, parques y los demás similares o análogos a ellos;</w:t>
      </w:r>
    </w:p>
    <w:p w:rsidR="00000000" w:rsidDel="00000000" w:rsidP="00000000" w:rsidRDefault="00000000" w:rsidRPr="00000000" w14:paraId="000000B1">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Los bienes muebles de propiedad estatal o municipal que tengan uso o utilidad en la prestación de un servicio público.</w:t>
      </w:r>
    </w:p>
    <w:p w:rsidR="00000000" w:rsidDel="00000000" w:rsidP="00000000" w:rsidRDefault="00000000" w:rsidRPr="00000000" w14:paraId="000000B3">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expuesto, los Municipios como entes fiscalizables deben integrar su Inventario General de Bienes Inmuebles a través del Secretario del Ayuntamiento con la intervención del Síndico y del Contralor Municipal; inventario que deberá ser avalado por el Presidente y el Tesorero Municipal respectivamente, tal y como lo dispone el  numeral Vigésimo Octavo de los Lineamientos para el Registro y Control del Inventario y Desincorporación de Bienes Muebles e Inmuebles de la Administración Pública Municipal, Dependencias Administrativas, Organismos Descentralizados y Fideicomisos Públicos cuyo texto y sentido literal es el siguiente:</w:t>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“VIGÉSIMO OCTAVO: EL responsable de la elaboración del inventario general de bienes inmuebles municipales, es el secretario, con le intervención del síndico, y la participación del contralor interno, previamente realizará una revisión física de todos los bienes inmuebles; al concluirlo deberán asentar todos sus firmas junto con lo del presidente y tesorero.</w:t>
      </w:r>
    </w:p>
    <w:p w:rsidR="00000000" w:rsidDel="00000000" w:rsidP="00000000" w:rsidRDefault="00000000" w:rsidRPr="00000000" w14:paraId="000000B7">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los organismos públicos descentralizados y fideicomisos públicos de carácter municipal, el responsable de la elaboración del inventario general de bienes inmuebles corresponde al director general o su equivalente, conjuntamente con el comisario y el órgano de control interno, debiendo firmarlo simultáneamente el tesorero. Se asegurarán los bienes inmuebles conforme al estudio de viabilidad, así como a la suficiencia presupuestaria debidamente especificada y aprobada en la partida del gasto del presupuesto de egresos y dentro del programa correspondiente.”</w:t>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se destaca que el Inventario General de Bienes Inmuebles por disposición del numeral Vigésimo Noveno de los Lineamientos materia de estudio, previo que dicho inventario se elaborará dos veces al año, esto es, el primero a más tardar el último día hábil del mes de junio, el segundo el último día hábil del mes de diciembre de cada año.</w:t>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cabe hacer mención que el Capítulo XIII denominado del Sistema de Información Inmobiliaria, prevé, en el numeral Trigésimo Segundo de los multicitados Lineamientos, que los Municipios como entidades fiscalizables deben contar con un sistema de información inmobiliaria, en el cual se contemplan los bienes del dominio público y privado, el cual tiene como propósito obtener, generar y procesar información inmobiliaria necesaria y oportuna, en la ejecución de acciones coordinadas para el adecuado uso y destino de los bienes inmuebles. Así mismo, integra los datos de identificación física, antecedentes jurídicos, regístrales y administrativos de los inmuebles propiedad de las entidades fiscalizables; además deberá recopilar y mantener actualizados los datos, documentos e informes necesarios para la plena identificación de los mismos.</w:t>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la Ley de Bienes del Estado de México y sus Municipios establece los parámetros generales a seguir en el control, registro, administración y destino de los bienes tanto del Estado como de sus Municipios; así como que los Ayuntamientos están facultados para la elaboración del padrón de bienes del dominio público y privado del Estado y de los Municipios, asimismo, para determinar los procedimientos para integrar el inventario de los bienes de dominio público y privado.  Sirve de apoyo a lo anterior los preceptos siguientes:</w:t>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6"/>
          <w:szCs w:val="6"/>
        </w:rPr>
      </w:pPr>
      <w:r w:rsidDel="00000000" w:rsidR="00000000" w:rsidRPr="00000000">
        <w:rPr>
          <w:rtl w:val="0"/>
        </w:rPr>
      </w:r>
    </w:p>
    <w:p w:rsidR="00000000" w:rsidDel="00000000" w:rsidP="00000000" w:rsidRDefault="00000000" w:rsidRPr="00000000" w14:paraId="000000C0">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Bienes del Estado de México y sus Municipios</w:t>
      </w:r>
    </w:p>
    <w:p w:rsidR="00000000" w:rsidDel="00000000" w:rsidP="00000000" w:rsidRDefault="00000000" w:rsidRPr="00000000" w14:paraId="000000C1">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La presente ley es de orden público y tiene por objeto regular el registro, destino, administración, control, posesión, uso, aprovechamiento, desincorporación y destino final de los bienes del Estado de México y de sus municipios. </w:t>
      </w:r>
    </w:p>
    <w:p w:rsidR="00000000" w:rsidDel="00000000" w:rsidP="00000000" w:rsidRDefault="00000000" w:rsidRPr="00000000" w14:paraId="000000C2">
      <w:pPr>
        <w:tabs>
          <w:tab w:val="left" w:pos="2068"/>
        </w:tabs>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ab/>
      </w:r>
    </w:p>
    <w:p w:rsidR="00000000" w:rsidDel="00000000" w:rsidP="00000000" w:rsidRDefault="00000000" w:rsidRPr="00000000" w14:paraId="000000C3">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w:t>
      </w:r>
      <w:r w:rsidDel="00000000" w:rsidR="00000000" w:rsidRPr="00000000">
        <w:rPr>
          <w:rFonts w:ascii="Palatino Linotype" w:cs="Palatino Linotype" w:eastAsia="Palatino Linotype" w:hAnsi="Palatino Linotype"/>
          <w:i w:val="1"/>
          <w:sz w:val="22"/>
          <w:szCs w:val="22"/>
          <w:rtl w:val="0"/>
        </w:rPr>
        <w:t xml:space="preserve"> La aplicación de esta ley corresponde:</w:t>
      </w:r>
    </w:p>
    <w:p w:rsidR="00000000" w:rsidDel="00000000" w:rsidP="00000000" w:rsidRDefault="00000000" w:rsidRPr="00000000" w14:paraId="000000C4">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5">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En los municipios a los órganos que determine la Ley Orgánica Municipal del Estado de México y sus reglamentos.</w:t>
      </w:r>
    </w:p>
    <w:p w:rsidR="00000000" w:rsidDel="00000000" w:rsidP="00000000" w:rsidRDefault="00000000" w:rsidRPr="00000000" w14:paraId="000000C6">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7">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SEGUNDO</w:t>
      </w:r>
    </w:p>
    <w:p w:rsidR="00000000" w:rsidDel="00000000" w:rsidP="00000000" w:rsidRDefault="00000000" w:rsidRPr="00000000" w14:paraId="000000C8">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LAS FACULTADES DE LAS AUTORIDADES</w:t>
      </w:r>
    </w:p>
    <w:p w:rsidR="00000000" w:rsidDel="00000000" w:rsidP="00000000" w:rsidRDefault="00000000" w:rsidRPr="00000000" w14:paraId="000000C9">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Corresponde al Ejecutivo del Estado por conducto de la Secretaría de Finanzas y a los ayuntamientos: </w:t>
      </w:r>
    </w:p>
    <w:p w:rsidR="00000000" w:rsidDel="00000000" w:rsidP="00000000" w:rsidRDefault="00000000" w:rsidRPr="00000000" w14:paraId="000000CA">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elaboración del padrón de bienes del dominio público y privado del Estado y de los ayuntamientos;</w:t>
      </w:r>
    </w:p>
    <w:p w:rsidR="00000000" w:rsidDel="00000000" w:rsidP="00000000" w:rsidRDefault="00000000" w:rsidRPr="00000000" w14:paraId="000000CB">
      <w:pPr>
        <w:spacing w:line="360" w:lineRule="auto"/>
        <w:ind w:lef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C">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w:t>
      </w:r>
      <w:r w:rsidDel="00000000" w:rsidR="00000000" w:rsidRPr="00000000">
        <w:rPr>
          <w:rFonts w:ascii="Palatino Linotype" w:cs="Palatino Linotype" w:eastAsia="Palatino Linotype" w:hAnsi="Palatino Linotype"/>
          <w:i w:val="1"/>
          <w:sz w:val="22"/>
          <w:szCs w:val="22"/>
          <w:rtl w:val="0"/>
        </w:rPr>
        <w:t xml:space="preserve"> Corresponde a cada una de las dependencias, organismos auxiliares y entidades de la administración pública estatal y municipal:</w:t>
      </w:r>
    </w:p>
    <w:p w:rsidR="00000000" w:rsidDel="00000000" w:rsidP="00000000" w:rsidRDefault="00000000" w:rsidRPr="00000000" w14:paraId="000000CD">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Administrar, controlar y utilizar adecuadamente los bienes muebles e inmuebles que detenten o tengan asignados;</w:t>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TERCERO</w:t>
      </w:r>
    </w:p>
    <w:p w:rsidR="00000000" w:rsidDel="00000000" w:rsidP="00000000" w:rsidRDefault="00000000" w:rsidRPr="00000000" w14:paraId="000000D0">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BIENES DEL ESTADO Y DE LOS MUNICIPIOS</w:t>
      </w:r>
    </w:p>
    <w:p w:rsidR="00000000" w:rsidDel="00000000" w:rsidP="00000000" w:rsidRDefault="00000000" w:rsidRPr="00000000" w14:paraId="000000D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El Estado de México y sus municipios tienen personalidad jurídica para adquirir y poseer bienes para la prestación de los servicios públicos y el cumplimiento de sus fines.</w:t>
      </w:r>
    </w:p>
    <w:p w:rsidR="00000000" w:rsidDel="00000000" w:rsidP="00000000" w:rsidRDefault="00000000" w:rsidRPr="00000000" w14:paraId="000000D2">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3">
      <w:pPr>
        <w:ind w:left="851" w:right="618"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Artículo 67. La Secretaría de Finanzas y los ayuntamientos determinarán los procedimientos para integrar el inventario de los bienes del dominio público y privado estatal o municipal.</w:t>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la Ley Orgánica Municipal del Estado de México prevé en materia de bienes muebles e inmuebles lo siguiente:</w:t>
      </w:r>
    </w:p>
    <w:p w:rsidR="00000000" w:rsidDel="00000000" w:rsidP="00000000" w:rsidRDefault="00000000" w:rsidRPr="00000000" w14:paraId="000000D6">
      <w:pPr>
        <w:ind w:left="851" w:right="618" w:firstLine="0"/>
        <w:jc w:val="both"/>
        <w:rPr>
          <w:rFonts w:ascii="Palatino Linotype" w:cs="Palatino Linotype" w:eastAsia="Palatino Linotype" w:hAnsi="Palatino Linotype"/>
          <w:b w:val="1"/>
          <w:i w:val="1"/>
          <w:sz w:val="8"/>
          <w:szCs w:val="8"/>
        </w:rPr>
      </w:pPr>
      <w:r w:rsidDel="00000000" w:rsidR="00000000" w:rsidRPr="00000000">
        <w:rPr>
          <w:rtl w:val="0"/>
        </w:rPr>
      </w:r>
    </w:p>
    <w:p w:rsidR="00000000" w:rsidDel="00000000" w:rsidP="00000000" w:rsidRDefault="00000000" w:rsidRPr="00000000" w14:paraId="000000D7">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CAPITULO TERCERO</w:t>
      </w:r>
    </w:p>
    <w:p w:rsidR="00000000" w:rsidDel="00000000" w:rsidP="00000000" w:rsidRDefault="00000000" w:rsidRPr="00000000" w14:paraId="000000D8">
      <w:pPr>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ATRIBUCIONES DE LOS AYUNTAMIENTOS</w:t>
      </w:r>
    </w:p>
    <w:p w:rsidR="00000000" w:rsidDel="00000000" w:rsidP="00000000" w:rsidRDefault="00000000" w:rsidRPr="00000000" w14:paraId="000000D9">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Son atribuciones de los ayuntamientos:</w:t>
      </w:r>
    </w:p>
    <w:p w:rsidR="00000000" w:rsidDel="00000000" w:rsidP="00000000" w:rsidRDefault="00000000" w:rsidRPr="00000000" w14:paraId="000000DA">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B">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Aprobar en sesión de cabildo los movimientos registrados en el libro especial de bienes muebles e inmuebles;</w:t>
      </w:r>
    </w:p>
    <w:p w:rsidR="00000000" w:rsidDel="00000000" w:rsidP="00000000" w:rsidRDefault="00000000" w:rsidRPr="00000000" w14:paraId="000000DC">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48.-</w:t>
      </w:r>
      <w:r w:rsidDel="00000000" w:rsidR="00000000" w:rsidRPr="00000000">
        <w:rPr>
          <w:rFonts w:ascii="Palatino Linotype" w:cs="Palatino Linotype" w:eastAsia="Palatino Linotype" w:hAnsi="Palatino Linotype"/>
          <w:i w:val="1"/>
          <w:sz w:val="22"/>
          <w:szCs w:val="22"/>
          <w:rtl w:val="0"/>
        </w:rPr>
        <w:t xml:space="preserve"> El presidente municipal tiene las siguientes atribuciones:</w:t>
      </w:r>
    </w:p>
    <w:p w:rsidR="00000000" w:rsidDel="00000000" w:rsidP="00000000" w:rsidRDefault="00000000" w:rsidRPr="00000000" w14:paraId="000000DD">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E">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Supervisar la administración, registro, control, uso, mantenimiento y conservación adecuados de los bienes del municipio;</w:t>
      </w:r>
    </w:p>
    <w:p w:rsidR="00000000" w:rsidDel="00000000" w:rsidP="00000000" w:rsidRDefault="00000000" w:rsidRPr="00000000" w14:paraId="000000DF">
      <w:pPr>
        <w:ind w:right="618"/>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0">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Los síndicos tendrán las siguientes atribuciones:</w:t>
      </w:r>
    </w:p>
    <w:p w:rsidR="00000000" w:rsidDel="00000000" w:rsidP="00000000" w:rsidRDefault="00000000" w:rsidRPr="00000000" w14:paraId="000000E1">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2">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rsidR="00000000" w:rsidDel="00000000" w:rsidP="00000000" w:rsidRDefault="00000000" w:rsidRPr="00000000" w14:paraId="000000E3">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4">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000000" w:rsidDel="00000000" w:rsidP="00000000" w:rsidRDefault="00000000" w:rsidRPr="00000000" w14:paraId="000000E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000000" w:rsidDel="00000000" w:rsidP="00000000" w:rsidRDefault="00000000" w:rsidRPr="00000000" w14:paraId="000000E6">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w:t>
      </w:r>
    </w:p>
    <w:p w:rsidR="00000000" w:rsidDel="00000000" w:rsidP="00000000" w:rsidRDefault="00000000" w:rsidRPr="00000000" w14:paraId="000000E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95.-</w:t>
      </w:r>
      <w:r w:rsidDel="00000000" w:rsidR="00000000" w:rsidRPr="00000000">
        <w:rPr>
          <w:rFonts w:ascii="Palatino Linotype" w:cs="Palatino Linotype" w:eastAsia="Palatino Linotype" w:hAnsi="Palatino Linotype"/>
          <w:i w:val="1"/>
          <w:sz w:val="22"/>
          <w:szCs w:val="22"/>
          <w:rtl w:val="0"/>
        </w:rPr>
        <w:t xml:space="preserve"> Son atribuciones del tesorero municipal:</w:t>
      </w:r>
    </w:p>
    <w:p w:rsidR="00000000" w:rsidDel="00000000" w:rsidP="00000000" w:rsidRDefault="00000000" w:rsidRPr="00000000" w14:paraId="000000E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Administrar la hacienda pública municipal, de conformidad con las disposiciones legales aplicables;</w:t>
      </w:r>
    </w:p>
    <w:p w:rsidR="00000000" w:rsidDel="00000000" w:rsidP="00000000" w:rsidRDefault="00000000" w:rsidRPr="00000000" w14:paraId="000000E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Llevar los registros contables, financieros y administrativos de los ingresos, egresos, e inventarios;</w:t>
      </w:r>
    </w:p>
    <w:p w:rsidR="00000000" w:rsidDel="00000000" w:rsidP="00000000" w:rsidRDefault="00000000" w:rsidRPr="00000000" w14:paraId="000000EC">
      <w:pPr>
        <w:ind w:right="618"/>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D">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112</w:t>
      </w:r>
      <w:r w:rsidDel="00000000" w:rsidR="00000000" w:rsidRPr="00000000">
        <w:rPr>
          <w:rFonts w:ascii="Palatino Linotype" w:cs="Palatino Linotype" w:eastAsia="Palatino Linotype" w:hAnsi="Palatino Linotype"/>
          <w:i w:val="1"/>
          <w:sz w:val="22"/>
          <w:szCs w:val="22"/>
          <w:rtl w:val="0"/>
        </w:rPr>
        <w:t xml:space="preserve">. El órgano interno de control municipal, tendrá a su cargo las funciones siguientes:</w:t>
      </w:r>
    </w:p>
    <w:p w:rsidR="00000000" w:rsidDel="00000000" w:rsidP="00000000" w:rsidRDefault="00000000" w:rsidRPr="00000000" w14:paraId="000000EE">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F">
      <w:pPr>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Participar en la elaboración y actualización del inventario general de los bienes muebles e inmuebles propiedad del municipio, que expresará las características de identificación y destino de los mismos;</w:t>
      </w:r>
    </w:p>
    <w:p w:rsidR="00000000" w:rsidDel="00000000" w:rsidP="00000000" w:rsidRDefault="00000000" w:rsidRPr="00000000" w14:paraId="000000F0">
      <w:pPr>
        <w:ind w:left="851"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a los preceptos anteriormente citados, se advierte que deben aprobarse por el Cabildo los movimientos de los bienes inmuebles, supervisando a través de su Presidente Municipal la administración, registro, control, uso, mantenimiento y conservación de dichos bienes.</w:t>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particular, se destaca que es atribución del Síndico Municipal la inscripción en el libro especial de todos los bienes inmuebles, con expresión de sus valores y de todas las características de identificación, así como formular de manera conjunta con el Secretario del Ayuntamiento el inventario general de los inmuebles del Ayuntamiento, debiendo participar en su elaboración y actualización el Contralor Interno Municipal.</w:t>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 ello, se advierte que deben aprobarse por el Cabildo los movimientos de los bienes inmuebles, supervisando a través de su Presidente Municipal la administración, registro, control, uso, mantenimiento y conservación de dichos bienes.</w:t>
      </w:r>
    </w:p>
    <w:p w:rsidR="00000000" w:rsidDel="00000000" w:rsidP="00000000" w:rsidRDefault="00000000" w:rsidRPr="00000000" w14:paraId="000000F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tiene la obligación de integrar su Inventario General de Bienes Inmuebles, así como, de contar con un sistema de información inmobiliaria por lo que hace a los bienes de dominio público Municipal; y por su parte, la Secretaría de Finanzas es la Encargada de determinar los procedimientos para integrar el inventario de bienes de dominio Público y privado Estatal.</w:t>
      </w:r>
    </w:p>
    <w:p w:rsidR="00000000" w:rsidDel="00000000" w:rsidP="00000000" w:rsidRDefault="00000000" w:rsidRPr="00000000" w14:paraId="000000F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sentido literal,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requería en su solicitud primigenia, información relativa a bienes de dominio público del Gobierno del Estado de México; información per se que no genera, recopila, administra, maneja, procesa, archiva o conserva el Ayuntamiento de Valle de Bravo, tal y como ha sido verificado con antelación. </w:t>
      </w:r>
    </w:p>
    <w:p w:rsidR="00000000" w:rsidDel="00000000" w:rsidP="00000000" w:rsidRDefault="00000000" w:rsidRPr="00000000" w14:paraId="000000FA">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necesario admitir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informó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que no estaba dentro de su esfera competencial el informar acerca de los bienes inmuebles destinados al servicio público que dependieran del Gobierno del Estado de México.</w:t>
      </w:r>
    </w:p>
    <w:p w:rsidR="00000000" w:rsidDel="00000000" w:rsidP="00000000" w:rsidRDefault="00000000" w:rsidRPr="00000000" w14:paraId="000000FC">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detrimento de todo lo expuesto, es igual de importante admitir, en esta segunda etapa del estudio del asunto, que EL SUJETO OBLIGADO debió, mediante su Unidad de Transparencia, determinar la notoria incompetencia para atender la solicitud de información por no encontrarse dentro del ámbito de su competencia, debiéndolo hacer del conocimiento del particular dentro del término de los tres días hábiles posteriores a la presentación de la solicitud de información; por lo que, se exhorta a que en posteriores ocasiones atienda a lo ordenado por el primer párrafo artículo 167 de la Ley de Transparencia, que dice;</w:t>
      </w:r>
    </w:p>
    <w:p w:rsidR="00000000" w:rsidDel="00000000" w:rsidP="00000000" w:rsidRDefault="00000000" w:rsidRPr="00000000" w14:paraId="000000FE">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64" w:right="864"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menester de las Personas Titulares de las Unidades de Transparencia, actuar con apego a los principios rectores del Derecho al Acceso a la Información</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y los similares pero del Procedimiento al Acceso a la Información</w:t>
      </w:r>
      <w:r w:rsidDel="00000000" w:rsidR="00000000" w:rsidRPr="00000000">
        <w:rPr>
          <w:rFonts w:ascii="Palatino Linotype" w:cs="Palatino Linotype" w:eastAsia="Palatino Linotype" w:hAnsi="Palatino Linotype"/>
          <w:vertAlign w:val="superscript"/>
        </w:rPr>
        <w:footnoteReference w:customMarkFollows="0" w:id="5"/>
      </w:r>
      <w:r w:rsidDel="00000000" w:rsidR="00000000" w:rsidRPr="00000000">
        <w:rPr>
          <w:rFonts w:ascii="Palatino Linotype" w:cs="Palatino Linotype" w:eastAsia="Palatino Linotype" w:hAnsi="Palatino Linotype"/>
          <w:rtl w:val="0"/>
        </w:rPr>
        <w:t xml:space="preserve">, en consecuencia, se insta al SUJETO OBLIGADO a realizar sus actuaciones con apego irrestricto a las ordenanzas en la Legislación en materia del Derecho al Acceso a la Información, cumpliendo con los plazos inherentes a él. </w:t>
      </w:r>
    </w:p>
    <w:p w:rsidR="00000000" w:rsidDel="00000000" w:rsidP="00000000" w:rsidRDefault="00000000" w:rsidRPr="00000000" w14:paraId="00000102">
      <w:pPr>
        <w:widowControl w:val="0"/>
        <w:tabs>
          <w:tab w:val="left" w:pos="1701"/>
          <w:tab w:val="left" w:pos="1843"/>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toda vez que como ha quedado ilustrado en el presente fallo; la información no es del ámbito competencial del </w:t>
      </w:r>
      <w:r w:rsidDel="00000000" w:rsidR="00000000" w:rsidRPr="00000000">
        <w:rPr>
          <w:rFonts w:ascii="Palatino Linotype" w:cs="Palatino Linotype" w:eastAsia="Palatino Linotype" w:hAnsi="Palatino Linotype"/>
          <w:b w:val="1"/>
          <w:rtl w:val="0"/>
        </w:rPr>
        <w:t xml:space="preserve">SUJETO OBLIGADO. </w:t>
      </w:r>
    </w:p>
    <w:p w:rsidR="00000000" w:rsidDel="00000000" w:rsidP="00000000" w:rsidRDefault="00000000" w:rsidRPr="00000000" w14:paraId="00000104">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Finalmente, esta Autoridad del Derecho al Acceso a la Información en el Estado de México, en aras de garantizar el ejercicio de esa prerrogativa inherente a toda persona, y en cumplimiento a los principios rectores previstos para el Procedimiento de Acceso a la Información Pública; </w:t>
      </w:r>
      <w:r w:rsidDel="00000000" w:rsidR="00000000" w:rsidRPr="00000000">
        <w:rPr>
          <w:rFonts w:ascii="Palatino Linotype" w:cs="Palatino Linotype" w:eastAsia="Palatino Linotype" w:hAnsi="Palatino Linotype"/>
          <w:b w:val="1"/>
          <w:rtl w:val="0"/>
        </w:rPr>
        <w:t xml:space="preserve">ORIENTA</w:t>
      </w:r>
      <w:r w:rsidDel="00000000" w:rsidR="00000000" w:rsidRPr="00000000">
        <w:rPr>
          <w:rFonts w:ascii="Palatino Linotype" w:cs="Palatino Linotype" w:eastAsia="Palatino Linotype" w:hAnsi="Palatino Linotype"/>
          <w:rtl w:val="0"/>
        </w:rPr>
        <w:t xml:space="preserve">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 que ingrese su solicitud de acceso a la información ante el Sujeto Obligado competente como lo es la </w:t>
      </w:r>
      <w:r w:rsidDel="00000000" w:rsidR="00000000" w:rsidRPr="00000000">
        <w:rPr>
          <w:rFonts w:ascii="Palatino Linotype" w:cs="Palatino Linotype" w:eastAsia="Palatino Linotype" w:hAnsi="Palatino Linotype"/>
          <w:b w:val="1"/>
          <w:rtl w:val="0"/>
        </w:rPr>
        <w:t xml:space="preserve">Secretaría de Finanzas del Estado de México. </w:t>
      </w:r>
    </w:p>
    <w:p w:rsidR="00000000" w:rsidDel="00000000" w:rsidP="00000000" w:rsidRDefault="00000000" w:rsidRPr="00000000" w14:paraId="00000106">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lo anterior, se considera que las razones o motivos de inconformidad planteadas por </w:t>
      </w:r>
      <w:r w:rsidDel="00000000" w:rsidR="00000000" w:rsidRPr="00000000">
        <w:rPr>
          <w:rFonts w:ascii="Palatino Linotype" w:cs="Palatino Linotype" w:eastAsia="Palatino Linotype" w:hAnsi="Palatino Linotype"/>
          <w:b w:val="1"/>
          <w:rtl w:val="0"/>
        </w:rPr>
        <w:t xml:space="preserve">EL RECURRENTE,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en consecuencia, este Órgano Garante determina </w:t>
      </w:r>
      <w:r w:rsidDel="00000000" w:rsidR="00000000" w:rsidRPr="00000000">
        <w:rPr>
          <w:rFonts w:ascii="Palatino Linotype" w:cs="Palatino Linotype" w:eastAsia="Palatino Linotype" w:hAnsi="Palatino Linotype"/>
          <w:b w:val="1"/>
          <w:rtl w:val="0"/>
        </w:rPr>
        <w:t xml:space="preserve">CONFIRMAR </w:t>
      </w:r>
      <w:r w:rsidDel="00000000" w:rsidR="00000000" w:rsidRPr="00000000">
        <w:rPr>
          <w:rFonts w:ascii="Palatino Linotype" w:cs="Palatino Linotype" w:eastAsia="Palatino Linotype" w:hAnsi="Palatino Linotype"/>
          <w:rtl w:val="0"/>
        </w:rPr>
        <w:t xml:space="preserve">la respuesta otorgada por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la solicitud </w:t>
      </w:r>
      <w:r w:rsidDel="00000000" w:rsidR="00000000" w:rsidRPr="00000000">
        <w:rPr>
          <w:rFonts w:ascii="Palatino Linotype" w:cs="Palatino Linotype" w:eastAsia="Palatino Linotype" w:hAnsi="Palatino Linotype"/>
          <w:b w:val="1"/>
          <w:rtl w:val="0"/>
        </w:rPr>
        <w:t xml:space="preserve">00001/VABRAVO/IP/2022.</w:t>
      </w:r>
    </w:p>
    <w:p w:rsidR="00000000" w:rsidDel="00000000" w:rsidP="00000000" w:rsidRDefault="00000000" w:rsidRPr="00000000" w14:paraId="00000108">
      <w:pPr>
        <w:spacing w:line="360" w:lineRule="auto"/>
        <w:ind w:right="75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000000" w:rsidDel="00000000" w:rsidP="00000000" w:rsidRDefault="00000000" w:rsidRPr="00000000" w14:paraId="0000010A">
      <w:pPr>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B">
      <w:pP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RESUELVE</w:t>
      </w:r>
    </w:p>
    <w:p w:rsidR="00000000" w:rsidDel="00000000" w:rsidP="00000000" w:rsidRDefault="00000000" w:rsidRPr="00000000" w14:paraId="0000010C">
      <w:pPr>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INFUNDADAS</w:t>
      </w:r>
      <w:r w:rsidDel="00000000" w:rsidR="00000000" w:rsidRPr="00000000">
        <w:rPr>
          <w:rFonts w:ascii="Palatino Linotype" w:cs="Palatino Linotype" w:eastAsia="Palatino Linotype" w:hAnsi="Palatino Linotype"/>
          <w:rtl w:val="0"/>
        </w:rPr>
        <w:t xml:space="preserve"> las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razones o motivos de inconformidad hechos valer en el Recurso de Revisión </w:t>
      </w:r>
      <w:r w:rsidDel="00000000" w:rsidR="00000000" w:rsidRPr="00000000">
        <w:rPr>
          <w:rFonts w:ascii="Palatino Linotype" w:cs="Palatino Linotype" w:eastAsia="Palatino Linotype" w:hAnsi="Palatino Linotype"/>
          <w:b w:val="1"/>
          <w:rtl w:val="0"/>
        </w:rPr>
        <w:t xml:space="preserve">00344/INFOEM/IP/RR/2022, </w:t>
      </w:r>
      <w:r w:rsidDel="00000000" w:rsidR="00000000" w:rsidRPr="00000000">
        <w:rPr>
          <w:rFonts w:ascii="Palatino Linotype" w:cs="Palatino Linotype" w:eastAsia="Palatino Linotype" w:hAnsi="Palatino Linotype"/>
          <w:rtl w:val="0"/>
        </w:rPr>
        <w:t xml:space="preserve">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0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CONFIRMA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otorgada a la solicitud de acceso a la Información Pública número </w:t>
      </w:r>
      <w:r w:rsidDel="00000000" w:rsidR="00000000" w:rsidRPr="00000000">
        <w:rPr>
          <w:rFonts w:ascii="Palatino Linotype" w:cs="Palatino Linotype" w:eastAsia="Palatino Linotype" w:hAnsi="Palatino Linotype"/>
          <w:b w:val="1"/>
          <w:rtl w:val="0"/>
        </w:rPr>
        <w:t xml:space="preserve">00001/VABRAVO/IP/2022</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0">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tabs>
          <w:tab w:val="left" w:pos="8080"/>
        </w:tabs>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la presente resolución a la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su conocimiento</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12">
      <w:pPr>
        <w:tabs>
          <w:tab w:val="left" w:pos="8080"/>
        </w:tabs>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13">
      <w:pPr>
        <w:shd w:fill="ffffff" w:val="clea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al</w:t>
      </w:r>
      <w:r w:rsidDel="00000000" w:rsidR="00000000" w:rsidRPr="00000000">
        <w:rPr>
          <w:rFonts w:ascii="Palatino Linotype" w:cs="Palatino Linotype" w:eastAsia="Palatino Linotype" w:hAnsi="Palatino Linotype"/>
          <w:b w:val="1"/>
          <w:rtl w:val="0"/>
        </w:rPr>
        <w:t xml:space="preserve"> RECURRENTE </w:t>
      </w:r>
      <w:r w:rsidDel="00000000" w:rsidR="00000000" w:rsidRPr="00000000">
        <w:rPr>
          <w:rFonts w:ascii="Palatino Linotype" w:cs="Palatino Linotype" w:eastAsia="Palatino Linotype" w:hAnsi="Palatino Linotype"/>
          <w:rtl w:val="0"/>
        </w:rPr>
        <w:t xml:space="preserve">la presente resolución vía Sistema de Acceso a la Información Mexiquense.</w:t>
      </w:r>
      <w:r w:rsidDel="00000000" w:rsidR="00000000" w:rsidRPr="00000000">
        <w:rPr>
          <w:rtl w:val="0"/>
        </w:rPr>
      </w:r>
    </w:p>
    <w:p w:rsidR="00000000" w:rsidDel="00000000" w:rsidP="00000000" w:rsidRDefault="00000000" w:rsidRPr="00000000" w14:paraId="00000114">
      <w:pPr>
        <w:shd w:fill="ffffff" w:val="clea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Se hace del conocimiento del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00000" w:rsidDel="00000000" w:rsidP="00000000" w:rsidRDefault="00000000" w:rsidRPr="00000000" w14:paraId="0000011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SIETE DE ABRIL DE DOS MIL VEINTIDÓS, ANTE EL SECRETARIO TÉCNICO DEL PLENO, ALEXIS TAPIA RAMÍREZ.</w:t>
      </w:r>
    </w:p>
    <w:p w:rsidR="00000000" w:rsidDel="00000000" w:rsidP="00000000" w:rsidRDefault="00000000" w:rsidRPr="00000000" w14:paraId="00000118">
      <w:pPr>
        <w:widowControl w:val="0"/>
        <w:spacing w:line="360" w:lineRule="auto"/>
        <w:jc w:val="both"/>
        <w:rPr>
          <w:rFonts w:ascii="Palatino Linotype" w:cs="Palatino Linotype" w:eastAsia="Palatino Linotype" w:hAnsi="Palatino Linotype"/>
        </w:rPr>
      </w:pPr>
      <w:r w:rsidDel="00000000" w:rsidR="00000000" w:rsidRPr="00000000">
        <w:br w:type="page"/>
      </w:r>
      <w:r w:rsidDel="00000000" w:rsidR="00000000" w:rsidRPr="00000000">
        <w:rPr>
          <w:rtl w:val="0"/>
        </w:rPr>
      </w:r>
    </w:p>
    <w:p w:rsidR="00000000" w:rsidDel="00000000" w:rsidP="00000000" w:rsidRDefault="00000000" w:rsidRPr="00000000" w14:paraId="00000119">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jc w:val="both"/>
        <w:rPr>
          <w:rFonts w:ascii="Palatino Linotype" w:cs="Palatino Linotype" w:eastAsia="Palatino Linotype" w:hAnsi="Palatino Linotyp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En adelante, Sistema SAIMEX o el SAIMEX.</w:t>
      </w:r>
    </w:p>
  </w:footnote>
  <w:footnote w:id="1">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En lo sucesivo, la Ley de Transparencia o LTAIPEMM</w:t>
      </w:r>
    </w:p>
  </w:footnote>
  <w:footnote w:id="2">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libri" w:cs="Calibri" w:eastAsia="Calibri" w:hAnsi="Calibri"/>
          <w:color w:val="000000"/>
          <w:sz w:val="20"/>
          <w:szCs w:val="20"/>
          <w:rtl w:val="0"/>
        </w:rPr>
        <w:t xml:space="preserve"> (…)</w:t>
      </w:r>
    </w:p>
  </w:footnote>
  <w:footnote w:id="3">
    <w:p w:rsidR="00000000" w:rsidDel="00000000" w:rsidP="00000000" w:rsidRDefault="00000000" w:rsidRPr="00000000" w14:paraId="0000011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Artículo 9 de la Ley de Transparencia: Certeza, Eficacia, Gratuidad, Imparcialidad, Independencia, Legalidad, Máxima Publicidad, Objetividad, Profesionalismo y Transparencia. </w:t>
      </w:r>
    </w:p>
  </w:footnote>
  <w:footnote w:id="5">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Artículo 150 de la Ley de Transparencia: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356.0" w:type="dxa"/>
      <w:jc w:val="left"/>
      <w:tblInd w:w="-142.0" w:type="dxa"/>
      <w:tblLayout w:type="fixed"/>
      <w:tblLook w:val="0400"/>
    </w:tblPr>
    <w:tblGrid>
      <w:gridCol w:w="3403"/>
      <w:gridCol w:w="2552"/>
      <w:gridCol w:w="3401"/>
      <w:tblGridChange w:id="0">
        <w:tblGrid>
          <w:gridCol w:w="3403"/>
          <w:gridCol w:w="2552"/>
          <w:gridCol w:w="3401"/>
        </w:tblGrid>
      </w:tblGridChange>
    </w:tblGrid>
    <w:tr>
      <w:trPr>
        <w:cantSplit w:val="0"/>
        <w:tblHeader w:val="0"/>
      </w:trPr>
      <w:tc>
        <w:tcPr>
          <w:vMerge w:val="restart"/>
          <w:shd w:fill="auto" w:val="clear"/>
        </w:tcPr>
        <w:p w:rsidR="00000000" w:rsidDel="00000000" w:rsidP="00000000" w:rsidRDefault="00000000" w:rsidRPr="00000000" w14:paraId="0000012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1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2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2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00344/INFOEM/IP/RR/2022</w:t>
          </w:r>
        </w:p>
      </w:tc>
    </w:tr>
    <w:tr>
      <w:trPr>
        <w:cantSplit w:val="0"/>
        <w:tblHeader w:val="0"/>
      </w:trPr>
      <w:tc>
        <w:tcPr>
          <w:vMerge w:val="continue"/>
          <w:shd w:fill="auto" w:val="cle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2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2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XXXXXXXX XXXXX</w:t>
          </w:r>
        </w:p>
      </w:tc>
    </w:tr>
    <w:tr>
      <w:trPr>
        <w:cantSplit w:val="0"/>
        <w:trHeight w:val="228" w:hRule="atLeast"/>
        <w:tblHeader w:val="0"/>
      </w:trPr>
      <w:tc>
        <w:tcPr>
          <w:vMerge w:val="continue"/>
          <w:shd w:fill="auto" w:val="cle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2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2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Valle de Bravo</w:t>
          </w:r>
        </w:p>
      </w:tc>
    </w:tr>
    <w:tr>
      <w:trPr>
        <w:cantSplit w:val="0"/>
        <w:tblHeader w:val="0"/>
      </w:trPr>
      <w:tc>
        <w:tcPr>
          <w:vMerge w:val="continue"/>
          <w:shd w:fill="auto" w:val="clea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2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2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2051" style="position:absolute;margin-left:-60.65pt;margin-top:-104.95pt;width:540pt;height:10in;z-index:-251657216;mso-wrap-edited:f;mso-width-percent:0;mso-height-percent:0;mso-position-horizontal-relative:margin;mso-position-vertical-relative:margin;mso-width-percent:0;mso-height-percent:0;mso-position-horizontal:absolute;mso-position-vertical:absolute;" alt="RESOLUCIÓN" o:allowincell="f" type="#_x0000_t75">
          <v:imagedata r:id="rId1" o:title="RESOLUCIÓN"/>
          <w10:wrap/>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073.0" w:type="dxa"/>
      <w:jc w:val="left"/>
      <w:tblInd w:w="-284.0" w:type="dxa"/>
      <w:tblLayout w:type="fixed"/>
      <w:tblLook w:val="0400"/>
    </w:tblPr>
    <w:tblGrid>
      <w:gridCol w:w="3403"/>
      <w:gridCol w:w="2552"/>
      <w:gridCol w:w="3118"/>
      <w:tblGridChange w:id="0">
        <w:tblGrid>
          <w:gridCol w:w="3403"/>
          <w:gridCol w:w="2552"/>
          <w:gridCol w:w="3118"/>
        </w:tblGrid>
      </w:tblGridChange>
    </w:tblGrid>
    <w:tr>
      <w:trPr>
        <w:cantSplit w:val="0"/>
        <w:tblHeader w:val="0"/>
      </w:trPr>
      <w:tc>
        <w:tcPr>
          <w:vMerge w:val="restart"/>
          <w:shd w:fill="auto" w:val="clear"/>
        </w:tcPr>
        <w:p w:rsidR="00000000" w:rsidDel="00000000" w:rsidP="00000000" w:rsidRDefault="00000000" w:rsidRPr="00000000" w14:paraId="0000013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1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3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3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00344/INFOEM/IP/RR/2022</w:t>
          </w:r>
        </w:p>
      </w:tc>
    </w:tr>
    <w:tr>
      <w:trPr>
        <w:cantSplit w:val="0"/>
        <w:trHeight w:val="228" w:hRule="atLeast"/>
        <w:tblHeader w:val="0"/>
      </w:trPr>
      <w:tc>
        <w:tcPr>
          <w:vMerge w:val="continue"/>
          <w:shd w:fill="auto"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3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3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Valle de Bravo</w:t>
          </w:r>
        </w:p>
      </w:tc>
    </w:tr>
    <w:tr>
      <w:trPr>
        <w:cantSplit w:val="0"/>
        <w:tblHeader w:val="0"/>
      </w:trPr>
      <w:tc>
        <w:tcPr>
          <w:vMerge w:val="continue"/>
          <w:shd w:fill="auto"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3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3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Pr>
      <w:pict>
        <v:shape id="WordPictureWatermark1" style="position:absolute;width:540.0pt;height:720.0pt;rotation:0;z-index:-503316481;mso-position-horizontal-relative:margin;mso-position-horizontal:absolute;margin-left:-72.65pt;mso-position-vertical-relative:margin;mso-position-vertical:absolute;margin-top:-72.44992125984253pt;" alt="RESOLUCIÓN" type="#_x0000_t75">
          <v:imagedata cropbottom="0f" cropleft="0f" cropright="0f" croptop="0f" r:id="rId3"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259"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22EB2"/>
    <w:pPr>
      <w:spacing w:after="0" w:line="240" w:lineRule="auto"/>
    </w:pPr>
    <w:rPr>
      <w:rFonts w:ascii="Times New Roman" w:cs="Times New Roman" w:eastAsia="Times New Roman" w:hAnsi="Times New Roman"/>
      <w:sz w:val="24"/>
      <w:szCs w:val="24"/>
      <w:lang w:eastAsia="es-ES"/>
    </w:rPr>
  </w:style>
  <w:style w:type="paragraph" w:styleId="Ttulo2">
    <w:name w:val="heading 2"/>
    <w:basedOn w:val="Normal"/>
    <w:next w:val="Normal"/>
    <w:link w:val="Ttulo2Car"/>
    <w:uiPriority w:val="9"/>
    <w:unhideWhenUsed w:val="1"/>
    <w:qFormat w:val="1"/>
    <w:rsid w:val="000040EA"/>
    <w:pPr>
      <w:keepNext w:val="1"/>
      <w:keepLines w:val="1"/>
      <w:spacing w:before="40" w:line="259" w:lineRule="auto"/>
      <w:outlineLvl w:val="1"/>
    </w:pPr>
    <w:rPr>
      <w:rFonts w:asciiTheme="majorHAnsi" w:cstheme="majorBidi" w:eastAsiaTheme="majorEastAsia" w:hAnsiTheme="majorHAnsi"/>
      <w:color w:val="2e74b5" w:themeColor="accent1" w:themeShade="0000BF"/>
      <w:sz w:val="26"/>
      <w:szCs w:val="26"/>
      <w:lang w:eastAsia="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22EB2"/>
    <w:pPr>
      <w:tabs>
        <w:tab w:val="center" w:pos="4419"/>
        <w:tab w:val="right" w:pos="8838"/>
      </w:tabs>
    </w:pPr>
  </w:style>
  <w:style w:type="character" w:styleId="EncabezadoCar" w:customStyle="1">
    <w:name w:val="Encabezado Car"/>
    <w:basedOn w:val="Fuentedeprrafopredeter"/>
    <w:link w:val="Encabezado"/>
    <w:uiPriority w:val="99"/>
    <w:rsid w:val="00D22EB2"/>
    <w:rPr>
      <w:rFonts w:ascii="Times New Roman" w:cs="Times New Roman" w:eastAsia="Times New Roman" w:hAnsi="Times New Roman"/>
      <w:sz w:val="24"/>
      <w:szCs w:val="24"/>
      <w:lang w:eastAsia="es-ES"/>
    </w:rPr>
  </w:style>
  <w:style w:type="paragraph" w:styleId="Piedepgina">
    <w:name w:val="footer"/>
    <w:basedOn w:val="Normal"/>
    <w:link w:val="PiedepginaCar"/>
    <w:uiPriority w:val="99"/>
    <w:unhideWhenUsed w:val="1"/>
    <w:rsid w:val="00D22EB2"/>
    <w:pPr>
      <w:tabs>
        <w:tab w:val="center" w:pos="4419"/>
        <w:tab w:val="right" w:pos="8838"/>
      </w:tabs>
    </w:pPr>
  </w:style>
  <w:style w:type="character" w:styleId="PiedepginaCar" w:customStyle="1">
    <w:name w:val="Pie de página Car"/>
    <w:basedOn w:val="Fuentedeprrafopredeter"/>
    <w:link w:val="Piedepgina"/>
    <w:uiPriority w:val="99"/>
    <w:rsid w:val="00D22EB2"/>
    <w:rPr>
      <w:rFonts w:ascii="Times New Roman" w:cs="Times New Roman" w:eastAsia="Times New Roman" w:hAnsi="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D22EB2"/>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D22EB2"/>
    <w:rPr>
      <w:rFonts w:ascii="Times New Roman" w:cs="Times New Roman" w:eastAsia="Times New Roman" w:hAnsi="Times New Roman"/>
      <w:sz w:val="24"/>
      <w:szCs w:val="24"/>
      <w:lang w:eastAsia="es-ES"/>
    </w:rPr>
  </w:style>
  <w:style w:type="character" w:styleId="Hipervnculo">
    <w:name w:val="Hyperlink"/>
    <w:basedOn w:val="Fuentedeprrafopredeter"/>
    <w:uiPriority w:val="99"/>
    <w:unhideWhenUsed w:val="1"/>
    <w:rsid w:val="00D22EB2"/>
    <w:rPr>
      <w:color w:val="0563c1" w:themeColor="hyperlink"/>
      <w:u w:val="single"/>
    </w:rPr>
  </w:style>
  <w:style w:type="paragraph" w:styleId="Textoindependiente">
    <w:name w:val="Body Text"/>
    <w:basedOn w:val="Normal"/>
    <w:link w:val="TextoindependienteCar"/>
    <w:uiPriority w:val="1"/>
    <w:qFormat w:val="1"/>
    <w:rsid w:val="00B5652D"/>
    <w:pPr>
      <w:widowControl w:val="0"/>
      <w:autoSpaceDE w:val="0"/>
      <w:autoSpaceDN w:val="0"/>
    </w:pPr>
    <w:rPr>
      <w:rFonts w:ascii="Cambria" w:cs="Cambria" w:eastAsia="Cambria" w:hAnsi="Cambria"/>
      <w:sz w:val="25"/>
      <w:szCs w:val="25"/>
      <w:lang w:eastAsia="en-US" w:val="es-ES"/>
    </w:rPr>
  </w:style>
  <w:style w:type="character" w:styleId="TextoindependienteCar" w:customStyle="1">
    <w:name w:val="Texto independiente Car"/>
    <w:basedOn w:val="Fuentedeprrafopredeter"/>
    <w:link w:val="Textoindependiente"/>
    <w:uiPriority w:val="1"/>
    <w:rsid w:val="00B5652D"/>
    <w:rPr>
      <w:rFonts w:ascii="Cambria" w:cs="Cambria" w:eastAsia="Cambria" w:hAnsi="Cambria"/>
      <w:sz w:val="25"/>
      <w:szCs w:val="25"/>
      <w:lang w:val="es-ES"/>
    </w:rPr>
  </w:style>
  <w:style w:type="character" w:styleId="Ttulo2Car" w:customStyle="1">
    <w:name w:val="Título 2 Car"/>
    <w:basedOn w:val="Fuentedeprrafopredeter"/>
    <w:link w:val="Ttulo2"/>
    <w:uiPriority w:val="9"/>
    <w:rsid w:val="000040EA"/>
    <w:rPr>
      <w:rFonts w:asciiTheme="majorHAnsi" w:cstheme="majorBidi" w:eastAsiaTheme="majorEastAsia" w:hAnsiTheme="majorHAnsi"/>
      <w:color w:val="2e74b5" w:themeColor="accent1" w:themeShade="0000BF"/>
      <w:sz w:val="26"/>
      <w:szCs w:val="26"/>
    </w:rPr>
  </w:style>
  <w:style w:type="paragraph" w:styleId="Sinespaciado">
    <w:name w:val="No Spacing"/>
    <w:aliases w:val="Francesa,INAI"/>
    <w:link w:val="SinespaciadoCar"/>
    <w:uiPriority w:val="1"/>
    <w:qFormat w:val="1"/>
    <w:rsid w:val="000040EA"/>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0040EA"/>
    <w:rPr>
      <w:rFonts w:ascii="Times New Roman" w:cs="Times New Roman" w:eastAsia="Times New Roman" w:hAnsi="Times New Roman"/>
      <w:sz w:val="24"/>
      <w:szCs w:val="24"/>
      <w:lang w:eastAsia="es-ES"/>
    </w:rPr>
  </w:style>
  <w:style w:type="character" w:styleId="Textoennegrita">
    <w:name w:val="Strong"/>
    <w:uiPriority w:val="22"/>
    <w:qFormat w:val="1"/>
    <w:rsid w:val="000040EA"/>
    <w:rPr>
      <w:b w:val="1"/>
      <w:bCs w:val="1"/>
    </w:rPr>
  </w:style>
  <w:style w:type="paragraph" w:styleId="Textonotapie">
    <w:name w:val="footnote text"/>
    <w:basedOn w:val="Normal"/>
    <w:link w:val="TextonotapieCar"/>
    <w:uiPriority w:val="99"/>
    <w:semiHidden w:val="1"/>
    <w:unhideWhenUsed w:val="1"/>
    <w:rsid w:val="005A05E4"/>
    <w:rPr>
      <w:sz w:val="20"/>
      <w:szCs w:val="20"/>
    </w:rPr>
  </w:style>
  <w:style w:type="character" w:styleId="TextonotapieCar" w:customStyle="1">
    <w:name w:val="Texto nota pie Car"/>
    <w:basedOn w:val="Fuentedeprrafopredeter"/>
    <w:link w:val="Textonotapie"/>
    <w:uiPriority w:val="99"/>
    <w:semiHidden w:val="1"/>
    <w:rsid w:val="005A05E4"/>
    <w:rPr>
      <w:rFonts w:ascii="Times New Roman" w:cs="Times New Roman" w:eastAsia="Times New Roman" w:hAnsi="Times New Roman"/>
      <w:sz w:val="20"/>
      <w:szCs w:val="20"/>
      <w:lang w:eastAsia="es-ES"/>
    </w:rPr>
  </w:style>
  <w:style w:type="character" w:styleId="Refdenotaalpie">
    <w:name w:val="footnote reference"/>
    <w:basedOn w:val="Fuentedeprrafopredeter"/>
    <w:uiPriority w:val="99"/>
    <w:semiHidden w:val="1"/>
    <w:unhideWhenUsed w:val="1"/>
    <w:rsid w:val="005A05E4"/>
    <w:rPr>
      <w:vertAlign w:val="superscript"/>
    </w:rPr>
  </w:style>
  <w:style w:type="paragraph" w:styleId="Cita">
    <w:name w:val="Quote"/>
    <w:basedOn w:val="Normal"/>
    <w:next w:val="Normal"/>
    <w:link w:val="CitaCar"/>
    <w:uiPriority w:val="29"/>
    <w:qFormat w:val="1"/>
    <w:rsid w:val="005A05E4"/>
    <w:pPr>
      <w:spacing w:after="160" w:before="200"/>
      <w:ind w:left="864" w:right="864"/>
      <w:jc w:val="center"/>
    </w:pPr>
    <w:rPr>
      <w:i w:val="1"/>
      <w:iCs w:val="1"/>
      <w:color w:val="404040" w:themeColor="text1" w:themeTint="0000BF"/>
    </w:rPr>
  </w:style>
  <w:style w:type="character" w:styleId="CitaCar" w:customStyle="1">
    <w:name w:val="Cita Car"/>
    <w:basedOn w:val="Fuentedeprrafopredeter"/>
    <w:link w:val="Cita"/>
    <w:uiPriority w:val="29"/>
    <w:rsid w:val="005A05E4"/>
    <w:rPr>
      <w:rFonts w:ascii="Times New Roman" w:cs="Times New Roman" w:eastAsia="Times New Roman" w:hAnsi="Times New Roman"/>
      <w:i w:val="1"/>
      <w:iCs w:val="1"/>
      <w:color w:val="404040" w:themeColor="text1" w:themeTint="0000BF"/>
      <w:sz w:val="24"/>
      <w:szCs w:val="24"/>
      <w:lang w:eastAsia="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9" Type="http://schemas.openxmlformats.org/officeDocument/2006/relationships/image" Target="media/image4.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3"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cBlr+ToVNWezkuP1u/BKWO/wgg==">AMUW2mUiFSn5tM0/kf2lpDZYywXjEI+Uf9I5QdAXYBcWTVHwk8lM8PBdUw1Vcot6AX35RaVZJcF7m8/oCed56JKzKb1fYqiVJ+JrkY1PQ+LC09OcoYDrJKwkdexkUDmtkrBtZ/+Lx2yB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2022-05-06T19:05:00Z</dcterms:created>
  <dc:creator>Monserrat</dc:creator>
</cp:coreProperties>
</file>