
<file path=[Content_Types].xml><?xml version="1.0" encoding="utf-8"?>
<Types xmlns="http://schemas.openxmlformats.org/package/2006/content-types">
  <Default ContentType="image/jpeg" Extension="jpg"/>
  <Default ContentType="application/vnd.openxmlformats-officedocument.oleObject" Extension="bin"/>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b w:val="1"/>
        </w:rPr>
      </w:pPr>
      <w:bookmarkStart w:colFirst="0" w:colLast="0" w:name="_heading=h.gjdgxs" w:id="0"/>
      <w:bookmarkEnd w:id="0"/>
      <w:r w:rsidDel="00000000" w:rsidR="00000000" w:rsidRPr="00000000">
        <w:rPr>
          <w:rFonts w:ascii="Palatino Linotype" w:cs="Palatino Linotype" w:eastAsia="Palatino Linotype" w:hAnsi="Palatino Linotype"/>
          <w:rtl w:val="0"/>
        </w:rPr>
        <w:t xml:space="preserve">Resolución del Pleno del Instituto de Transparencia, Acceso a la Información Pública y Protección de Datos Personales del Estado de México y Municipios, con domicilio en Metepec, Estado de México, del </w:t>
      </w:r>
      <w:r w:rsidDel="00000000" w:rsidR="00000000" w:rsidRPr="00000000">
        <w:rPr>
          <w:rFonts w:ascii="Palatino Linotype" w:cs="Palatino Linotype" w:eastAsia="Palatino Linotype" w:hAnsi="Palatino Linotype"/>
          <w:b w:val="1"/>
          <w:rtl w:val="0"/>
        </w:rPr>
        <w:t xml:space="preserve">diez de agosto del dos mil veintidós</w:t>
      </w:r>
      <w:r w:rsidDel="00000000" w:rsidR="00000000" w:rsidRPr="00000000">
        <w:rPr>
          <w:rFonts w:ascii="Palatino Linotype" w:cs="Palatino Linotype" w:eastAsia="Palatino Linotype" w:hAnsi="Palatino Linotype"/>
          <w:rtl w:val="0"/>
        </w:rPr>
        <w:t xml:space="preserve">.</w:t>
      </w: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rtl w:val="0"/>
        </w:rPr>
        <w:t xml:space="preserve">Visto</w:t>
      </w:r>
      <w:r w:rsidDel="00000000" w:rsidR="00000000" w:rsidRPr="00000000">
        <w:rPr>
          <w:rFonts w:ascii="Palatino Linotype" w:cs="Palatino Linotype" w:eastAsia="Palatino Linotype" w:hAnsi="Palatino Linotype"/>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04154/INFOEM/IP/RR/2022</w:t>
      </w:r>
      <w:r w:rsidDel="00000000" w:rsidR="00000000" w:rsidRPr="00000000">
        <w:rPr>
          <w:rFonts w:ascii="Palatino Linotype" w:cs="Palatino Linotype" w:eastAsia="Palatino Linotype" w:hAnsi="Palatino Linotype"/>
          <w:rtl w:val="0"/>
        </w:rPr>
        <w:t xml:space="preserve">, interpuesto por </w:t>
      </w:r>
      <w:r w:rsidDel="00000000" w:rsidR="00000000" w:rsidRPr="00000000">
        <w:rPr>
          <w:rFonts w:ascii="Palatino Linotype" w:cs="Palatino Linotype" w:eastAsia="Palatino Linotype" w:hAnsi="Palatino Linotype"/>
          <w:b w:val="1"/>
          <w:rtl w:val="0"/>
        </w:rPr>
        <w:t xml:space="preserve">persona que   no proporcionó nombre,</w:t>
      </w:r>
      <w:r w:rsidDel="00000000" w:rsidR="00000000" w:rsidRPr="00000000">
        <w:rPr>
          <w:rFonts w:ascii="Palatino Linotype" w:cs="Palatino Linotype" w:eastAsia="Palatino Linotype" w:hAnsi="Palatino Linotype"/>
          <w:rtl w:val="0"/>
        </w:rPr>
        <w:t xml:space="preserve"> a quien en lo sucesivo se le denominará </w:t>
      </w:r>
      <w:r w:rsidDel="00000000" w:rsidR="00000000" w:rsidRPr="00000000">
        <w:rPr>
          <w:rFonts w:ascii="Palatino Linotype" w:cs="Palatino Linotype" w:eastAsia="Palatino Linotype" w:hAnsi="Palatino Linotype"/>
          <w:b w:val="1"/>
          <w:rtl w:val="0"/>
        </w:rPr>
        <w:t xml:space="preserve">la parte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contra de la respuesta a su solicitud de información con número de folio</w:t>
      </w:r>
      <w:r w:rsidDel="00000000" w:rsidR="00000000" w:rsidRPr="00000000">
        <w:rPr>
          <w:rFonts w:ascii="Verdana" w:cs="Verdana" w:eastAsia="Verdana" w:hAnsi="Verdana"/>
          <w:b w:val="1"/>
          <w:color w:val="ff0000"/>
          <w:rtl w:val="0"/>
        </w:rPr>
        <w:t xml:space="preserve"> </w:t>
      </w:r>
      <w:r w:rsidDel="00000000" w:rsidR="00000000" w:rsidRPr="00000000">
        <w:rPr>
          <w:rFonts w:ascii="Palatino Linotype" w:cs="Palatino Linotype" w:eastAsia="Palatino Linotype" w:hAnsi="Palatino Linotype"/>
          <w:b w:val="1"/>
          <w:sz w:val="22"/>
          <w:szCs w:val="22"/>
          <w:rtl w:val="0"/>
        </w:rPr>
        <w:t xml:space="preserve">00071/TEOLOYU/IP/2022</w:t>
      </w:r>
      <w:r w:rsidDel="00000000" w:rsidR="00000000" w:rsidRPr="00000000">
        <w:rPr>
          <w:rFonts w:ascii="Palatino Linotype" w:cs="Palatino Linotype" w:eastAsia="Palatino Linotype" w:hAnsi="Palatino Linotype"/>
          <w:b w:val="1"/>
          <w:rtl w:val="0"/>
        </w:rPr>
        <w:t xml:space="preserve">,</w:t>
      </w:r>
      <w:r w:rsidDel="00000000" w:rsidR="00000000" w:rsidRPr="00000000">
        <w:rPr>
          <w:rFonts w:ascii="Palatino Linotype" w:cs="Palatino Linotype" w:eastAsia="Palatino Linotype" w:hAnsi="Palatino Linotype"/>
          <w:rtl w:val="0"/>
        </w:rPr>
        <w:t xml:space="preserve"> otorgada por el </w:t>
      </w:r>
      <w:r w:rsidDel="00000000" w:rsidR="00000000" w:rsidRPr="00000000">
        <w:rPr>
          <w:rFonts w:ascii="Palatino Linotype" w:cs="Palatino Linotype" w:eastAsia="Palatino Linotype" w:hAnsi="Palatino Linotype"/>
          <w:b w:val="1"/>
          <w:sz w:val="22"/>
          <w:szCs w:val="22"/>
          <w:rtl w:val="0"/>
        </w:rPr>
        <w:t xml:space="preserve">Ayuntamiento de Teoloyucan</w:t>
      </w:r>
      <w:r w:rsidDel="00000000" w:rsidR="00000000" w:rsidRPr="00000000">
        <w:rPr>
          <w:rFonts w:ascii="Palatino Linotype" w:cs="Palatino Linotype" w:eastAsia="Palatino Linotype" w:hAnsi="Palatino Linotype"/>
          <w:rtl w:val="0"/>
        </w:rPr>
        <w:t xml:space="preserve">, en lo sucesivo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rtl w:val="0"/>
        </w:rPr>
        <w:t xml:space="preserve"> </w:t>
      </w:r>
      <w:r w:rsidDel="00000000" w:rsidR="00000000" w:rsidRPr="00000000">
        <w:rPr>
          <w:rFonts w:ascii="Palatino Linotype" w:cs="Palatino Linotype" w:eastAsia="Palatino Linotype" w:hAnsi="Palatino Linotype"/>
          <w:rtl w:val="0"/>
        </w:rPr>
        <w:t xml:space="preserve">se procede a dictar la presente resolución, con base en lo siguiente. </w:t>
      </w:r>
      <w:r w:rsidDel="00000000" w:rsidR="00000000" w:rsidRPr="00000000">
        <w:rPr>
          <w:rtl w:val="0"/>
        </w:rPr>
      </w:r>
    </w:p>
    <w:p w:rsidR="00000000" w:rsidDel="00000000" w:rsidP="00000000" w:rsidRDefault="00000000" w:rsidRPr="00000000" w14:paraId="00000004">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 A N T E C E D E N T E S:</w:t>
      </w:r>
    </w:p>
    <w:p w:rsidR="00000000" w:rsidDel="00000000" w:rsidP="00000000" w:rsidRDefault="00000000" w:rsidRPr="00000000" w14:paraId="00000005">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1. Solicitud de acceso a la información.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Con fecha dieciocho</w:t>
      </w:r>
      <w:r w:rsidDel="00000000" w:rsidR="00000000" w:rsidRPr="00000000">
        <w:rPr>
          <w:rFonts w:ascii="Palatino Linotype" w:cs="Palatino Linotype" w:eastAsia="Palatino Linotype" w:hAnsi="Palatino Linotype"/>
          <w:b w:val="1"/>
          <w:rtl w:val="0"/>
        </w:rPr>
        <w:t xml:space="preserve"> de febrero del dos mil veintidós,</w:t>
      </w:r>
      <w:r w:rsidDel="00000000" w:rsidR="00000000" w:rsidRPr="00000000">
        <w:rPr>
          <w:rFonts w:ascii="Palatino Linotype" w:cs="Palatino Linotype" w:eastAsia="Palatino Linotype" w:hAnsi="Palatino Linotype"/>
          <w:rtl w:val="0"/>
        </w:rPr>
        <w:t xml:space="preserve"> la ahora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formuló solicitud de acceso a la información pública 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requiriendo lo siguiente:</w:t>
      </w:r>
    </w:p>
    <w:p w:rsidR="00000000" w:rsidDel="00000000" w:rsidP="00000000" w:rsidRDefault="00000000" w:rsidRPr="00000000" w14:paraId="00000006">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los convenios y denuncias que se llevan en el area juridica si fueron concluidos o no del año 2019 al 2021 “(Sic)</w:t>
      </w:r>
    </w:p>
    <w:p w:rsidR="00000000" w:rsidDel="00000000" w:rsidP="00000000" w:rsidRDefault="00000000" w:rsidRPr="00000000" w14:paraId="00000007">
      <w:pPr>
        <w:spacing w:after="24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08">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Modalidad de entrega de la información</w:t>
      </w:r>
      <w:r w:rsidDel="00000000" w:rsidR="00000000" w:rsidRPr="00000000">
        <w:rPr>
          <w:rFonts w:ascii="Palatino Linotype" w:cs="Palatino Linotype" w:eastAsia="Palatino Linotype" w:hAnsi="Palatino Linotype"/>
          <w:rtl w:val="0"/>
        </w:rPr>
        <w:t xml:space="preserve">: vía </w:t>
      </w:r>
      <w:r w:rsidDel="00000000" w:rsidR="00000000" w:rsidRPr="00000000">
        <w:rPr>
          <w:rFonts w:ascii="Palatino Linotype" w:cs="Palatino Linotype" w:eastAsia="Palatino Linotype" w:hAnsi="Palatino Linotype"/>
          <w:b w:val="1"/>
          <w:rtl w:val="0"/>
        </w:rPr>
        <w:t xml:space="preserve">SAIMEX.</w:t>
      </w:r>
    </w:p>
    <w:p w:rsidR="00000000" w:rsidDel="00000000" w:rsidP="00000000" w:rsidRDefault="00000000" w:rsidRPr="00000000" w14:paraId="00000009">
      <w:pPr>
        <w:spacing w:after="240" w:before="24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0A">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2.  Respuesta. </w:t>
      </w:r>
      <w:r w:rsidDel="00000000" w:rsidR="00000000" w:rsidRPr="00000000">
        <w:rPr>
          <w:rFonts w:ascii="Palatino Linotype" w:cs="Palatino Linotype" w:eastAsia="Palatino Linotype" w:hAnsi="Palatino Linotype"/>
          <w:rtl w:val="0"/>
        </w:rPr>
        <w:t xml:space="preserve">Con fecha </w:t>
      </w:r>
      <w:r w:rsidDel="00000000" w:rsidR="00000000" w:rsidRPr="00000000">
        <w:rPr>
          <w:rFonts w:ascii="Palatino Linotype" w:cs="Palatino Linotype" w:eastAsia="Palatino Linotype" w:hAnsi="Palatino Linotype"/>
          <w:b w:val="1"/>
          <w:rtl w:val="0"/>
        </w:rPr>
        <w:t xml:space="preserve">siete de marzo del dos mil veintidós</w:t>
      </w:r>
      <w:r w:rsidDel="00000000" w:rsidR="00000000" w:rsidRPr="00000000">
        <w:rPr>
          <w:rFonts w:ascii="Palatino Linotype" w:cs="Palatino Linotype" w:eastAsia="Palatino Linotype" w:hAnsi="Palatino Linotype"/>
          <w:rtl w:val="0"/>
        </w:rPr>
        <w:t xml:space="preserv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otorgó,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respuesta a la solicitud de acceso a la información de la siguiente manera:</w:t>
      </w:r>
      <w:r w:rsidDel="00000000" w:rsidR="00000000" w:rsidRPr="00000000">
        <w:rPr>
          <w:rtl w:val="0"/>
        </w:rPr>
      </w:r>
    </w:p>
    <w:p w:rsidR="00000000" w:rsidDel="00000000" w:rsidP="00000000" w:rsidRDefault="00000000" w:rsidRPr="00000000" w14:paraId="0000000B">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C">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adjunta respuesta integradora..” (Sic)</w:t>
      </w:r>
    </w:p>
    <w:p w:rsidR="00000000" w:rsidDel="00000000" w:rsidP="00000000" w:rsidRDefault="00000000" w:rsidRPr="00000000" w14:paraId="0000000D">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0E">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0F">
      <w:pPr>
        <w:spacing w:after="0" w:before="0" w:lineRule="auto"/>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0">
      <w:pPr>
        <w:spacing w:after="240" w:before="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 Adjunto a su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los archivos digitales siguientes: </w:t>
      </w:r>
    </w:p>
    <w:p w:rsidR="00000000" w:rsidDel="00000000" w:rsidP="00000000" w:rsidRDefault="00000000" w:rsidRPr="00000000" w14:paraId="00000011">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1571" w:right="902"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RESPUESTA INTEGRADORA 071 OFICIO 174.pdf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esta documental el SUJETO OBLIGADO adjuntó el oficio OFICIO UT/KMP/174/2022 de fecha siete de marzo de la presente anualidad, suscrito por la Titular de la Unidad de Transparencia a través del cual señala que  la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Dirección Jurídica Consultiva entregó  su respuesta mediante el oficio DJC/EMC/080/2022 mediante el cual se destaca que las denuncias tienen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carácter de información  reservada,  de conformidad con los artículos 133 en sus fracciones VII,X,XI y XII de la Ley General en la Materia, así como en el diverso 140 fracciones VI, VIII, IX y X de la Ley local en la materia la publicación de la información en este momento obstruiría la persecución de un delito así como el derecho del debido proceso que tiene las partes ya que de hacerse pública, los involucrados pueden sufrir un menoscabo en su esfera jurídica y ser víctimas de hostigamiento por la ciudadanía al hacerse juicios infundados.</w:t>
      </w:r>
    </w:p>
    <w:p w:rsidR="00000000" w:rsidDel="00000000" w:rsidP="00000000" w:rsidRDefault="00000000" w:rsidRPr="00000000" w14:paraId="00000012">
      <w:pPr>
        <w:spacing w:after="0" w:before="24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3">
      <w:pPr>
        <w:spacing w:after="0" w:before="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4">
      <w:pPr>
        <w:spacing w:after="0" w:before="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5">
      <w:pPr>
        <w:spacing w:after="0" w:before="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after="240" w:before="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1571" w:right="902"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0" w:before="0" w:line="240" w:lineRule="auto"/>
        <w:ind w:left="1571" w:right="902"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ACUERDO JURIDICO.pdf.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archivo se contiene el oficio DJC/EMC/060/2022 de fecha veintiuno de febrero de la presente anualidad, suscrito por el Titular de la Dirección Jurídica  y Consultiva, por medio del cual informa lo siguiente:</w:t>
      </w: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651" w:right="902"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Que aun cuando la celebración de convenios tiene una naturaleza jurídica, esa Dirección Jurídica y Consultiva  no tiene facultades para suscribirlos por tal razón no cuenta con información al respecto; y , </w:t>
      </w: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51" w:right="902"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2651" w:right="902"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hace a las denuncias, indica que estas son consideradas información reservada de conformidad con los artículos 3 fracción XXIV, 132 fracción I y quinto párrafo y 140 fracciones VI , VIII y X de la Ley local en materia de transparencia cuya divulgación puede causar daño al proceso judicial que aún se continua  ya que al no existir sentencias que hayan causado estado, la publicación perjudicaría las resoluciones, por lo que solicita al comité de transparencia sea considerado con el carácter de reservado. </w:t>
      </w:r>
      <w:r w:rsidDel="00000000" w:rsidR="00000000" w:rsidRPr="00000000">
        <w:rPr>
          <w:rtl w:val="0"/>
        </w:rPr>
      </w:r>
    </w:p>
    <w:p w:rsidR="00000000" w:rsidDel="00000000" w:rsidP="00000000" w:rsidRDefault="00000000" w:rsidRPr="00000000" w14:paraId="0000001C">
      <w:pPr>
        <w:spacing w:after="0" w:before="240" w:lineRule="auto"/>
        <w:ind w:right="902"/>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1D">
      <w:pPr>
        <w:spacing w:after="240" w:before="0" w:lineRule="auto"/>
        <w:ind w:right="902"/>
        <w:jc w:val="both"/>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9"/>
        </w:numPr>
        <w:pBdr>
          <w:top w:space="0" w:sz="0" w:val="nil"/>
          <w:left w:space="0" w:sz="0" w:val="nil"/>
          <w:bottom w:space="0" w:sz="0" w:val="nil"/>
          <w:right w:space="0" w:sz="0" w:val="nil"/>
          <w:between w:space="0" w:sz="0" w:val="nil"/>
        </w:pBdr>
        <w:shd w:fill="auto" w:val="clear"/>
        <w:spacing w:after="240" w:before="240" w:line="240" w:lineRule="auto"/>
        <w:ind w:left="1571" w:right="902"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  PRUEBA DE DAÑO JURIDICO.pdf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este archivo se contiene el oficio DJC/EMC/080/2022 de fecha 28 de febrero de la presente anualidad, suscrito por el titular de la Dirección Jurídica y Consultiva a través del cual señala que las denuncias por su naturaleza tienen el carácter de información reservada de conformidad con el artículo 140, fracciones   VI, VIII, IX y X de la ley de Transparencia, así mimos que al presentarse ante el ministerio público deben seguir un procedimiento de investigación, por lo que al no haber concluido el procedimiento la publicación de la información obstruiría la persecución de un delito así como el derecho al debido proceso, por lo que la publicación de la información causa un deterioro mayor en comparación al beneficio del interés público de conocer la información de referencia. </w:t>
      </w:r>
    </w:p>
    <w:p w:rsidR="00000000" w:rsidDel="00000000" w:rsidP="00000000" w:rsidRDefault="00000000" w:rsidRPr="00000000" w14:paraId="0000001F">
      <w:pPr>
        <w:spacing w:after="0" w:before="240" w:lineRule="auto"/>
        <w:ind w:right="902"/>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0">
      <w:pPr>
        <w:spacing w:after="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3.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Inconforme con la respuesta recibida,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interpuso en fecha veintiuno de marzo de dos mil veintidós, el presente medio de impugnación, sin embargo en consideración a que fue considerado con día inhábil en términos de lo establecido en el calendario oficial, fue ingresado por el sistema en fecha veintidós de marzo de dos mil veintidós, expresando las siguientes manifestaciones:</w:t>
      </w:r>
    </w:p>
    <w:p w:rsidR="00000000" w:rsidDel="00000000" w:rsidP="00000000" w:rsidRDefault="00000000" w:rsidRPr="00000000" w14:paraId="00000021">
      <w:pPr>
        <w:spacing w:after="0" w:before="0"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2">
      <w:pPr>
        <w:spacing w:after="0" w:before="0" w:line="360" w:lineRule="auto"/>
        <w:ind w:left="56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a) Acto impugnado.</w:t>
      </w:r>
    </w:p>
    <w:p w:rsidR="00000000" w:rsidDel="00000000" w:rsidP="00000000" w:rsidRDefault="00000000" w:rsidRPr="00000000" w14:paraId="00000023">
      <w:pPr>
        <w:spacing w:after="0" w:before="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no se si los servidores públicos quieren verle la cara a los doctos en la materia de Transparencia que son los Comisionados y Comisionadas del INFOEM, ya que su disque "prueba de daño" carece de todo, por lo tanto el Acta de "reserva " esta mal fundamentada y motivada ya que en lo basado esta mal encaminado y dirigido, . además de que dicha información NO es de carácter Reservado, ya que se debe dar en versión publica . Lo que se puede apreciar a todas luces es la toma de pelo que quieren hacer a los Comisionados del Infoem y a la ciudadanía. ya que los servidores públicos la Titular de transparencia, secretario del ayuntamiento, contralor municipal y director jurídico CARECEN DE INTELIGENCIA Y DE CONOCIMIENTOS al dar dichas respuestas. de verdad seria muy bueno INFORMARLE al PRESIDENTE MUNICIPAL tanta falta de conocimiento que tienen sus servidores públicos designados..”(Sic)</w:t>
      </w:r>
    </w:p>
    <w:p w:rsidR="00000000" w:rsidDel="00000000" w:rsidP="00000000" w:rsidRDefault="00000000" w:rsidRPr="00000000" w14:paraId="00000024">
      <w:pPr>
        <w:spacing w:after="240" w:before="0" w:line="360" w:lineRule="auto"/>
        <w:ind w:left="567"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b) Razones o motivos de inconformidad.</w:t>
      </w:r>
    </w:p>
    <w:p w:rsidR="00000000" w:rsidDel="00000000" w:rsidP="00000000" w:rsidRDefault="00000000" w:rsidRPr="00000000" w14:paraId="00000025">
      <w:pPr>
        <w:spacing w:after="0" w:before="24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“respuesta, no se si los servidores públicos quieren verle la cara a los doctos en la materia de Transparencia que son los Comisionados y Comisionadas del INFOEM, ya que su disque "prueba de daño" carece de todo, por lo tanto el Acta de "reserva " esta mal fundamentada y motivada ya que en lo basado esta mal encaminado y dirigido, . además de que dicha información NO es de carácter Reservado, ya que se debe dar en versión publica . Lo que se puede apreciar a todas luces es la toma de pelo que quieren hacer a los Comisionados del Infoem y a la ciudadanía. ya que los servidores públicos la Titular de transparencia, secretario del ayuntamiento, contralor municipal y director jurídico CARECEN DE INTELIGENCIA Y DE CONOCIMIENTOS al dar dichas respuestas. de verdad seria muy bueno INFORMARLE al PRESIDENTE MUNICIPAL tanta falta de conocimiento que tienen sus servidores públicos designados..”(Sic)</w:t>
      </w:r>
    </w:p>
    <w:p w:rsidR="00000000" w:rsidDel="00000000" w:rsidP="00000000" w:rsidRDefault="00000000" w:rsidRPr="00000000" w14:paraId="00000026">
      <w:pPr>
        <w:spacing w:after="240" w:before="0"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27">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4. Turno. </w:t>
      </w:r>
      <w:r w:rsidDel="00000000" w:rsidR="00000000" w:rsidRPr="00000000">
        <w:rPr>
          <w:rFonts w:ascii="Palatino Linotype" w:cs="Palatino Linotype" w:eastAsia="Palatino Linotype" w:hAnsi="Palatino Linotype"/>
          <w:rtl w:val="0"/>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por razón de turno fue asignado  a la    </w:t>
      </w:r>
      <w:r w:rsidDel="00000000" w:rsidR="00000000" w:rsidRPr="00000000">
        <w:rPr>
          <w:rFonts w:ascii="Palatino Linotype" w:cs="Palatino Linotype" w:eastAsia="Palatino Linotype" w:hAnsi="Palatino Linotype"/>
          <w:b w:val="1"/>
          <w:rtl w:val="0"/>
        </w:rPr>
        <w:t xml:space="preserve">Comisionada</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Guadalupe Ramírez Peña</w:t>
      </w:r>
      <w:r w:rsidDel="00000000" w:rsidR="00000000" w:rsidRPr="00000000">
        <w:rPr>
          <w:rFonts w:ascii="Palatino Linotype" w:cs="Palatino Linotype" w:eastAsia="Palatino Linotype" w:hAnsi="Palatino Linotype"/>
          <w:rtl w:val="0"/>
        </w:rPr>
        <w:t xml:space="preserve"> a su análisis, estudio, elaboración del proyecto y presentación ante el Pleno de este Instituto.</w:t>
      </w:r>
    </w:p>
    <w:p w:rsidR="00000000" w:rsidDel="00000000" w:rsidP="00000000" w:rsidRDefault="00000000" w:rsidRPr="00000000" w14:paraId="00000028">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5. Admisión. </w:t>
      </w:r>
      <w:r w:rsidDel="00000000" w:rsidR="00000000" w:rsidRPr="00000000">
        <w:rPr>
          <w:rFonts w:ascii="Palatino Linotype" w:cs="Palatino Linotype" w:eastAsia="Palatino Linotype" w:hAnsi="Palatino Linotype"/>
          <w:rtl w:val="0"/>
        </w:rPr>
        <w:t xml:space="preserve">Mediante auto de fecha veinticinco</w:t>
      </w:r>
      <w:r w:rsidDel="00000000" w:rsidR="00000000" w:rsidRPr="00000000">
        <w:rPr>
          <w:rFonts w:ascii="Palatino Linotype" w:cs="Palatino Linotype" w:eastAsia="Palatino Linotype" w:hAnsi="Palatino Linotype"/>
          <w:b w:val="1"/>
          <w:rtl w:val="0"/>
        </w:rPr>
        <w:t xml:space="preserve"> de marzo de este año</w:t>
      </w:r>
      <w:r w:rsidDel="00000000" w:rsidR="00000000" w:rsidRPr="00000000">
        <w:rPr>
          <w:rFonts w:ascii="Palatino Linotype" w:cs="Palatino Linotype" w:eastAsia="Palatino Linotype" w:hAnsi="Palatino Linotype"/>
          <w:rtl w:val="0"/>
        </w:rPr>
        <w:t xml:space="preserve">, este Órgano Garante, admitió a trámite el recurso de revisión respectivo, poniéndose a disposición de las partes, para que un plazo no mayor a siete días hábiles manifestase lo que a su derecho corresponda, a efecto de ofrecer pruebas, informe justificado y alegatos, lo anterior con fundamento en el artículo 185 fracciones I, II y IV de la Ley de Transparencia y Acceso a la Información Pública del Estado de México y Municipios.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6. Manifestaciones.</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 las constancias que integran el expediente en que se actúan se advierte que ambas partes fueron omisas en manifestarse en esta etapa procesal, en tal virtud se tiene por precluido su derecho.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709"/>
        </w:tabs>
        <w:spacing w:after="240" w:before="120" w:line="360" w:lineRule="auto"/>
        <w:ind w:left="0"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7. Cierre de Instrucción.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En fecha veintitrés de junio del año dos mil veintidós, se emitió el acuerdo por medio del cual se declaró cerrada la instrucción, pasando el expediente a resolución, debido a que fue debidamente substanciado el expediente y no existiendo diligencia pendiente de desahogo, en términos del artículo 185 fracciones VI y VIII de la Ley de Transparencia y Acceso a la Información Pública del Estado de México y Municipios, el cual fue notificado a las partes en la misma fecha. </w:t>
      </w:r>
      <w:r w:rsidDel="00000000" w:rsidR="00000000" w:rsidRPr="00000000">
        <w:rPr>
          <w:rFonts w:ascii="Palatino Linotype" w:cs="Palatino Linotype" w:eastAsia="Palatino Linotype" w:hAnsi="Palatino Linotype"/>
          <w:b w:val="1"/>
          <w:i w:val="0"/>
          <w:smallCaps w:val="0"/>
          <w:strike w:val="0"/>
          <w:color w:val="000000"/>
          <w:sz w:val="28"/>
          <w:szCs w:val="28"/>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B">
      <w:pPr>
        <w:widowControl w:val="0"/>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8. Ampliación de plazo.</w:t>
      </w:r>
      <w:r w:rsidDel="00000000" w:rsidR="00000000" w:rsidRPr="00000000">
        <w:rPr>
          <w:rFonts w:ascii="Palatino Linotype" w:cs="Palatino Linotype" w:eastAsia="Palatino Linotype" w:hAnsi="Palatino Linotype"/>
          <w:rtl w:val="0"/>
        </w:rPr>
        <w:t xml:space="preserve"> En fecha once de julio de dos mil veintidós con fundamento en el artículo 181, párrafo tercero de la Ley de Transparencia y Acceso a la Información Pública del Estado de México y Municipios, se acordó la aplicación del plazo para su resolución.</w:t>
      </w:r>
    </w:p>
    <w:p w:rsidR="00000000" w:rsidDel="00000000" w:rsidP="00000000" w:rsidRDefault="00000000" w:rsidRPr="00000000" w14:paraId="0000002C">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000000" w:rsidDel="00000000" w:rsidP="00000000" w:rsidRDefault="00000000" w:rsidRPr="00000000" w14:paraId="0000002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000000" w:rsidDel="00000000" w:rsidP="00000000" w:rsidRDefault="00000000" w:rsidRPr="00000000" w14:paraId="0000002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000000" w:rsidDel="00000000" w:rsidP="00000000" w:rsidRDefault="00000000" w:rsidRPr="00000000" w14:paraId="0000003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000000" w:rsidDel="00000000" w:rsidP="00000000" w:rsidRDefault="00000000" w:rsidRPr="00000000" w14:paraId="0000003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4">
      <w:pPr>
        <w:spacing w:line="360" w:lineRule="auto"/>
        <w:jc w:val="both"/>
        <w:rPr>
          <w:rFonts w:ascii="Palatino Linotype" w:cs="Palatino Linotype" w:eastAsia="Palatino Linotype" w:hAnsi="Palatino Linotype"/>
          <w:strike w:val="1"/>
          <w:color w:val="ff0000"/>
        </w:rPr>
      </w:pPr>
      <w:r w:rsidDel="00000000" w:rsidR="00000000" w:rsidRPr="00000000">
        <w:rPr>
          <w:rFonts w:ascii="Palatino Linotype" w:cs="Palatino Linotype" w:eastAsia="Palatino Linotype" w:hAnsi="Palatino Linotype"/>
          <w:rtl w:val="0"/>
        </w:rPr>
        <w:t xml:space="preserve">Por ello, excepcionalmente, si un asunto es resuelto con posterioridad a los plazos señalados por la norma debe analizarse la razonabilidad del tiempo necesario para su resolución atentos a los siguientes criterios: </w:t>
      </w:r>
      <w:r w:rsidDel="00000000" w:rsidR="00000000" w:rsidRPr="00000000">
        <w:rPr>
          <w:rtl w:val="0"/>
        </w:rPr>
      </w:r>
    </w:p>
    <w:p w:rsidR="00000000" w:rsidDel="00000000" w:rsidP="00000000" w:rsidRDefault="00000000" w:rsidRPr="00000000" w14:paraId="0000003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6">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Complejidad del Asunto: La complejidad de la prueba, la pluralidad de sujetos procesales, el tiempo transcurrido, las características y contexto del recurso. </w:t>
      </w:r>
    </w:p>
    <w:p w:rsidR="00000000" w:rsidDel="00000000" w:rsidP="00000000" w:rsidRDefault="00000000" w:rsidRPr="00000000" w14:paraId="00000037">
      <w:pPr>
        <w:spacing w:line="360" w:lineRule="auto"/>
        <w:ind w:left="927"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8">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Actividad Procesal del interesado. Acciones u omisiones del interesado.</w:t>
      </w:r>
    </w:p>
    <w:p w:rsidR="00000000" w:rsidDel="00000000" w:rsidP="00000000" w:rsidRDefault="00000000" w:rsidRPr="00000000" w14:paraId="0000003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A">
      <w:pPr>
        <w:numPr>
          <w:ilvl w:val="0"/>
          <w:numId w:val="7"/>
        </w:numPr>
        <w:spacing w:line="360" w:lineRule="auto"/>
        <w:ind w:left="927"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Conducta de la Autoridad: Las Acciones u omisiones realizadas en el procedimiento. Así como si la autoridad actuó con la debida diligencia.</w:t>
      </w:r>
    </w:p>
    <w:p w:rsidR="00000000" w:rsidDel="00000000" w:rsidP="00000000" w:rsidRDefault="00000000" w:rsidRPr="00000000" w14:paraId="0000003B">
      <w:pPr>
        <w:spacing w:line="360" w:lineRule="auto"/>
        <w:ind w:left="708" w:firstLine="0"/>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C">
      <w:pPr>
        <w:spacing w:line="360" w:lineRule="auto"/>
        <w:ind w:left="567"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 La afectación generada en la situación jurídica de la persona involucrada en el proceso: Violación a sus derechos humanos.</w:t>
      </w:r>
    </w:p>
    <w:p w:rsidR="00000000" w:rsidDel="00000000" w:rsidP="00000000" w:rsidRDefault="00000000" w:rsidRPr="00000000" w14:paraId="000000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000000" w:rsidDel="00000000" w:rsidP="00000000" w:rsidRDefault="00000000" w:rsidRPr="00000000" w14:paraId="0000003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Argumento que encuentra sustento en la jurisprudencia P./J. 32/92 emitida por el Pleno de la Suprema Corte de Justicia de la Nación de rubro </w:t>
      </w:r>
      <w:r w:rsidDel="00000000" w:rsidR="00000000" w:rsidRPr="00000000">
        <w:rPr>
          <w:rFonts w:ascii="Palatino Linotype" w:cs="Palatino Linotype" w:eastAsia="Palatino Linotype" w:hAnsi="Palatino Linotype"/>
          <w:i w:val="1"/>
          <w:rtl w:val="0"/>
        </w:rPr>
        <w:t xml:space="preserve">“TÉRMINOS PROCESALES. PARA DETERMINAR SI UN FUNCIONARIO JUDICIAL ACTUÓ INDEBIDAMENTE POR NO RESPETARLOS SE DEBE ATENDER AL PRESUPUESTO QUE CONSIDERÓ EL LEGISLADOR AL FIJARLOS Y LAS CARACTERÍSTICAS DEL CASO.”</w:t>
      </w:r>
      <w:r w:rsidDel="00000000" w:rsidR="00000000" w:rsidRPr="00000000">
        <w:rPr>
          <w:rFonts w:ascii="Palatino Linotype" w:cs="Palatino Linotype" w:eastAsia="Palatino Linotype" w:hAnsi="Palatino Linotype"/>
          <w:rtl w:val="0"/>
        </w:rPr>
        <w:t xml:space="preserve">, visible en la Gaceta del Seminario Judicial de la Federación con el registro digital 205635.</w:t>
      </w:r>
      <w:r w:rsidDel="00000000" w:rsidR="00000000" w:rsidRPr="00000000">
        <w:rPr>
          <w:rtl w:val="0"/>
        </w:rPr>
      </w:r>
    </w:p>
    <w:p w:rsidR="00000000" w:rsidDel="00000000" w:rsidP="00000000" w:rsidRDefault="00000000" w:rsidRPr="00000000" w14:paraId="0000004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2">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000000" w:rsidDel="00000000" w:rsidP="00000000" w:rsidRDefault="00000000" w:rsidRPr="00000000" w14:paraId="0000004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4">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también son de considerar los criterios sostenidos por el Cuarto Tribunal Colegiado en Materia Administrativa del Primer Circuito, cuyos rubros y datos de identificación son los siguientes:</w:t>
      </w:r>
    </w:p>
    <w:p w:rsidR="00000000" w:rsidDel="00000000" w:rsidP="00000000" w:rsidRDefault="00000000" w:rsidRPr="00000000" w14:paraId="0000004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i w:val="1"/>
          <w:rtl w:val="0"/>
        </w:rPr>
        <w:t xml:space="preserve">“PLAZO RAZONABLE PARA RESOLVER. DIMENSIÓN Y EFECTOS DE ESTE CONCEPTO CUANDO SE ADUCE EXCESIVA CARGA DE TRABAJO.”</w:t>
      </w:r>
      <w:r w:rsidDel="00000000" w:rsidR="00000000" w:rsidRPr="00000000">
        <w:rPr>
          <w:rFonts w:ascii="Palatino Linotype" w:cs="Palatino Linotype" w:eastAsia="Palatino Linotype" w:hAnsi="Palatino Linotype"/>
          <w:rtl w:val="0"/>
        </w:rPr>
        <w:t xml:space="preserve"> consultable en el Seminario Judicial de la Federación y su gaceta, con el registro digital 2002351.</w:t>
      </w:r>
    </w:p>
    <w:p w:rsidR="00000000" w:rsidDel="00000000" w:rsidP="00000000" w:rsidRDefault="00000000" w:rsidRPr="00000000" w14:paraId="00000047">
      <w:pPr>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“PLAZO RAZONABLE PARA RESOLVER. CONCEPTO Y ELEMENTOS QUE LO INTEGRAN A LA LUZ DEL DERECHO INTERNACIONAL DE LOS DERECHOS HUMANOS.”</w:t>
      </w:r>
      <w:r w:rsidDel="00000000" w:rsidR="00000000" w:rsidRPr="00000000">
        <w:rPr>
          <w:rFonts w:ascii="Palatino Linotype" w:cs="Palatino Linotype" w:eastAsia="Palatino Linotype" w:hAnsi="Palatino Linotype"/>
          <w:rtl w:val="0"/>
        </w:rPr>
        <w:t xml:space="preserve">, visible en el Seminario Judicial de la Federación y su gaceta, con el registro digital 2002350.</w:t>
      </w:r>
    </w:p>
    <w:p w:rsidR="00000000" w:rsidDel="00000000" w:rsidP="00000000" w:rsidRDefault="00000000" w:rsidRPr="00000000" w14:paraId="0000004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4A">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ello, este organismo garante comprometido con la tutela de los derechos humanos confiados, señala que este exceso del plazo legal para resolver el presente asunto, resulta de carácter excepcional.</w:t>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widowControl w:val="0"/>
        <w:spacing w:line="360" w:lineRule="auto"/>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4D">
      <w:pPr>
        <w:pStyle w:val="Heading2"/>
        <w:jc w:val="center"/>
        <w:rPr>
          <w:rFonts w:ascii="Palatino Linotype" w:cs="Palatino Linotype" w:eastAsia="Palatino Linotype" w:hAnsi="Palatino Linotype"/>
          <w:b w:val="1"/>
          <w:color w:val="000000"/>
          <w:sz w:val="24"/>
          <w:szCs w:val="24"/>
        </w:rPr>
      </w:pPr>
      <w:r w:rsidDel="00000000" w:rsidR="00000000" w:rsidRPr="00000000">
        <w:rPr>
          <w:rFonts w:ascii="Palatino Linotype" w:cs="Palatino Linotype" w:eastAsia="Palatino Linotype" w:hAnsi="Palatino Linotype"/>
          <w:b w:val="1"/>
          <w:color w:val="000000"/>
          <w:sz w:val="24"/>
          <w:szCs w:val="24"/>
          <w:rtl w:val="0"/>
        </w:rPr>
        <w:t xml:space="preserve">II. C O N S I D E R A N D O S:</w:t>
      </w:r>
    </w:p>
    <w:p w:rsidR="00000000" w:rsidDel="00000000" w:rsidP="00000000" w:rsidRDefault="00000000" w:rsidRPr="00000000" w14:paraId="0000004E">
      <w:pPr>
        <w:spacing w:after="240" w:before="240"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PRIMERO. Competencia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highlight w:val="white"/>
          <w:rtl w:val="0"/>
        </w:rPr>
        <w:t xml:space="preserve">El Instituto de Transparencia, Acceso a la Información Pública y Protección de Datos Personales del Estado de México y Municipios, es competente para conocer y resolver el presente recurso de revisión interpuesto por la parte </w:t>
      </w:r>
      <w:r w:rsidDel="00000000" w:rsidR="00000000" w:rsidRPr="00000000">
        <w:rPr>
          <w:rFonts w:ascii="Palatino Linotype" w:cs="Palatino Linotype" w:eastAsia="Palatino Linotype" w:hAnsi="Palatino Linotype"/>
          <w:b w:val="1"/>
          <w:highlight w:val="white"/>
          <w:rtl w:val="0"/>
        </w:rPr>
        <w:t xml:space="preserve">recurrente</w:t>
      </w:r>
      <w:r w:rsidDel="00000000" w:rsidR="00000000" w:rsidRPr="00000000">
        <w:rPr>
          <w:rFonts w:ascii="Palatino Linotype" w:cs="Palatino Linotype" w:eastAsia="Palatino Linotype" w:hAnsi="Palatino Linotype"/>
          <w:highlight w:val="white"/>
          <w:rtl w:val="0"/>
        </w:rPr>
        <w:t xml:space="preserve">, conforme a lo dispuesto en los artículos 6, apartado A de la Constitución Política de los Estados Unidos Mexicanos; 5, párrafos trigésimo,  trigésimo primero, y trigésimo segundo fracción IV y V de la Constitución Política del Estado Libre y Soberano de México; 1, 2, fracción II; 13,  29, 36, fracciones I y II; 176, 178, 179, 181 párrafo 3 y 185 de la Ley Transparencia y Acceso a la Información Pública del Estado de México y Municipios; </w:t>
      </w:r>
      <w:r w:rsidDel="00000000" w:rsidR="00000000" w:rsidRPr="00000000">
        <w:rPr>
          <w:rFonts w:ascii="Palatino Linotype" w:cs="Palatino Linotype" w:eastAsia="Palatino Linotype" w:hAnsi="Palatino Linotype"/>
          <w:rtl w:val="0"/>
        </w:rPr>
        <w:t xml:space="preserve">9 fracciones I, XXIV y 11 </w:t>
      </w:r>
      <w:r w:rsidDel="00000000" w:rsidR="00000000" w:rsidRPr="00000000">
        <w:rPr>
          <w:rFonts w:ascii="Palatino Linotype" w:cs="Palatino Linotype" w:eastAsia="Palatino Linotype" w:hAnsi="Palatino Linotype"/>
          <w:highlight w:val="white"/>
          <w:rtl w:val="0"/>
        </w:rPr>
        <w:t xml:space="preserve">del Reglamento Interior del Instituto de Transparencia, Acceso a la Información Pública y Protección de Datos Personales del Estado de México y Municipios.</w:t>
      </w:r>
      <w:r w:rsidDel="00000000" w:rsidR="00000000" w:rsidRPr="00000000">
        <w:rPr>
          <w:rtl w:val="0"/>
        </w:rPr>
      </w:r>
    </w:p>
    <w:p w:rsidR="00000000" w:rsidDel="00000000" w:rsidP="00000000" w:rsidRDefault="00000000" w:rsidRPr="00000000" w14:paraId="0000004F">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 Oportunidad y Procedibilidad del Recurso de Revisión.</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rtl w:val="0"/>
        </w:rPr>
        <w:t xml:space="preserve">De conformidad con los requisitos de Oportunidad y Procedibilidad que debe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emitió su respuesta a la solicitud planteada por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en fecha </w:t>
      </w:r>
      <w:r w:rsidDel="00000000" w:rsidR="00000000" w:rsidRPr="00000000">
        <w:rPr>
          <w:rFonts w:ascii="Palatino Linotype" w:cs="Palatino Linotype" w:eastAsia="Palatino Linotype" w:hAnsi="Palatino Linotype"/>
          <w:b w:val="1"/>
          <w:rtl w:val="0"/>
        </w:rPr>
        <w:t xml:space="preserve">siete de marzo del año dos mil veintidós</w:t>
      </w:r>
      <w:r w:rsidDel="00000000" w:rsidR="00000000" w:rsidRPr="00000000">
        <w:rPr>
          <w:rFonts w:ascii="Palatino Linotype" w:cs="Palatino Linotype" w:eastAsia="Palatino Linotype" w:hAnsi="Palatino Linotype"/>
          <w:rtl w:val="0"/>
        </w:rPr>
        <w:t xml:space="preserve"> y </w:t>
      </w:r>
      <w:r w:rsidDel="00000000" w:rsidR="00000000" w:rsidRPr="00000000">
        <w:rPr>
          <w:rFonts w:ascii="Palatino Linotype" w:cs="Palatino Linotype" w:eastAsia="Palatino Linotype" w:hAnsi="Palatino Linotype"/>
          <w:b w:val="1"/>
          <w:rtl w:val="0"/>
        </w:rPr>
        <w:t xml:space="preserve">la parte recurrente</w:t>
      </w:r>
      <w:r w:rsidDel="00000000" w:rsidR="00000000" w:rsidRPr="00000000">
        <w:rPr>
          <w:rFonts w:ascii="Palatino Linotype" w:cs="Palatino Linotype" w:eastAsia="Palatino Linotype" w:hAnsi="Palatino Linotype"/>
          <w:rtl w:val="0"/>
        </w:rPr>
        <w:t xml:space="preserve"> presentó su recurso de revisión el día </w:t>
      </w:r>
      <w:r w:rsidDel="00000000" w:rsidR="00000000" w:rsidRPr="00000000">
        <w:rPr>
          <w:rFonts w:ascii="Palatino Linotype" w:cs="Palatino Linotype" w:eastAsia="Palatino Linotype" w:hAnsi="Palatino Linotype"/>
          <w:b w:val="1"/>
          <w:rtl w:val="0"/>
        </w:rPr>
        <w:t xml:space="preserve">veintidós de marzo del mismo año</w:t>
      </w:r>
      <w:r w:rsidDel="00000000" w:rsidR="00000000" w:rsidRPr="00000000">
        <w:rPr>
          <w:rFonts w:ascii="Palatino Linotype" w:cs="Palatino Linotype" w:eastAsia="Palatino Linotype" w:hAnsi="Palatino Linotype"/>
          <w:rtl w:val="0"/>
        </w:rPr>
        <w:t xml:space="preserve">, esto es, al </w:t>
      </w:r>
      <w:r w:rsidDel="00000000" w:rsidR="00000000" w:rsidRPr="00000000">
        <w:rPr>
          <w:rFonts w:ascii="Palatino Linotype" w:cs="Palatino Linotype" w:eastAsia="Palatino Linotype" w:hAnsi="Palatino Linotype"/>
          <w:b w:val="1"/>
          <w:rtl w:val="0"/>
        </w:rPr>
        <w:t xml:space="preserve">décimo día hábil</w:t>
      </w:r>
      <w:r w:rsidDel="00000000" w:rsidR="00000000" w:rsidRPr="00000000">
        <w:rPr>
          <w:rFonts w:ascii="Palatino Linotype" w:cs="Palatino Linotype" w:eastAsia="Palatino Linotype" w:hAnsi="Palatino Linotype"/>
          <w:rtl w:val="0"/>
        </w:rPr>
        <w:t xml:space="preserve"> en el que tuvo conocimiento de la respuesta; evidenciándose que la interposición del recurso se encuentra dentro de los márgenes temporales previstos en el citado precepto legal.</w:t>
      </w:r>
    </w:p>
    <w:p w:rsidR="00000000" w:rsidDel="00000000" w:rsidP="00000000" w:rsidRDefault="00000000" w:rsidRPr="00000000" w14:paraId="00000050">
      <w:pPr>
        <w:shd w:fill="ffffff" w:val="clear"/>
        <w:spacing w:line="360" w:lineRule="auto"/>
        <w:jc w:val="both"/>
        <w:rPr>
          <w:rFonts w:ascii="Palatino Linotype" w:cs="Palatino Linotype" w:eastAsia="Palatino Linotype" w:hAnsi="Palatino Linotype"/>
          <w:color w:val="222222"/>
        </w:rPr>
      </w:pPr>
      <w:r w:rsidDel="00000000" w:rsidR="00000000" w:rsidRPr="00000000">
        <w:rPr>
          <w:rFonts w:ascii="Palatino Linotype" w:cs="Palatino Linotype" w:eastAsia="Palatino Linotype" w:hAnsi="Palatino Linotype"/>
          <w:color w:val="222222"/>
          <w:rtl w:val="0"/>
        </w:rPr>
        <w:t xml:space="preserve">Por otro es de suma importancia mencionar que, si bien la parte  recurrente no proporcionó nombre completo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 "</w:t>
      </w:r>
      <w:r w:rsidDel="00000000" w:rsidR="00000000" w:rsidRPr="00000000">
        <w:rPr>
          <w:rFonts w:ascii="Palatino Linotype" w:cs="Palatino Linotype" w:eastAsia="Palatino Linotype" w:hAnsi="Palatino Linotype"/>
          <w:i w:val="1"/>
          <w:color w:val="2222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51">
      <w:pPr>
        <w:shd w:fill="ffffff" w:val="clear"/>
        <w:spacing w:line="360" w:lineRule="auto"/>
        <w:jc w:val="both"/>
        <w:rPr>
          <w:rFonts w:ascii="Palatino Linotype" w:cs="Palatino Linotype" w:eastAsia="Palatino Linotype" w:hAnsi="Palatino Linotype"/>
          <w:color w:val="222222"/>
        </w:rPr>
      </w:pPr>
      <w:r w:rsidDel="00000000" w:rsidR="00000000" w:rsidRPr="00000000">
        <w:rPr>
          <w:rtl w:val="0"/>
        </w:rPr>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after="0" w:line="360" w:lineRule="auto"/>
        <w:ind w:right="-147"/>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Ahora bien, resulta procedente la interposición del recurso, según lo aducido por la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en sus razones o </w:t>
      </w:r>
      <w:r w:rsidDel="00000000" w:rsidR="00000000" w:rsidRPr="00000000">
        <w:rPr>
          <w:rFonts w:ascii="Palatino Linotype" w:cs="Palatino Linotype" w:eastAsia="Palatino Linotype" w:hAnsi="Palatino Linotype"/>
          <w:color w:val="000000"/>
          <w:rtl w:val="0"/>
        </w:rPr>
        <w:t xml:space="preserve">motivos de inconformidad, de acuerdo a los artículos 176 y  179, fracción I de la Ley de Transparencia y Acceso a la Información Pública del Estado de México y Municipios; que a la letra dice:</w:t>
      </w:r>
    </w:p>
    <w:p w:rsidR="00000000" w:rsidDel="00000000" w:rsidP="00000000" w:rsidRDefault="00000000" w:rsidRPr="00000000" w14:paraId="00000053">
      <w:pPr>
        <w:spacing w:after="120" w:lineRule="auto"/>
        <w:ind w:left="851" w:right="902" w:firstLine="0"/>
        <w:jc w:val="both"/>
        <w:rPr>
          <w:rFonts w:ascii="Palatino Linotype" w:cs="Palatino Linotype" w:eastAsia="Palatino Linotype" w:hAnsi="Palatino Linotype"/>
          <w:b w:val="1"/>
          <w:i w:val="1"/>
          <w:sz w:val="20"/>
          <w:szCs w:val="20"/>
        </w:rPr>
      </w:pPr>
      <w:r w:rsidDel="00000000" w:rsidR="00000000" w:rsidRPr="00000000">
        <w:rPr>
          <w:rtl w:val="0"/>
        </w:rPr>
      </w:r>
    </w:p>
    <w:p w:rsidR="00000000" w:rsidDel="00000000" w:rsidP="00000000" w:rsidRDefault="00000000" w:rsidRPr="00000000" w14:paraId="00000054">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176. </w:t>
      </w:r>
      <w:r w:rsidDel="00000000" w:rsidR="00000000" w:rsidRPr="00000000">
        <w:rPr>
          <w:rFonts w:ascii="Palatino Linotype" w:cs="Palatino Linotype" w:eastAsia="Palatino Linotype" w:hAnsi="Palatino Linotype"/>
          <w:i w:val="1"/>
          <w:sz w:val="22"/>
          <w:szCs w:val="22"/>
          <w:rtl w:val="0"/>
        </w:rPr>
        <w:t xml:space="preserve">El recurso de revisión es la garantía secundaria mediante la cual se pretende reparar cualquier posible afectación al derecho de acceso a la información pública en términos del presente y siguiente Capítulo.</w:t>
      </w:r>
    </w:p>
    <w:p w:rsidR="00000000" w:rsidDel="00000000" w:rsidP="00000000" w:rsidRDefault="00000000" w:rsidRPr="00000000" w14:paraId="00000055">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56">
      <w:pPr>
        <w:spacing w:after="120" w:lineRule="auto"/>
        <w:ind w:left="851"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57">
      <w:pPr>
        <w:spacing w:after="120"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993" w:right="902" w:firstLine="0"/>
        <w:jc w:val="both"/>
        <w:rPr>
          <w:rFonts w:ascii="Palatino Linotype" w:cs="Palatino Linotype" w:eastAsia="Palatino Linotype" w:hAnsi="Palatino Linotype"/>
          <w:b w:val="1"/>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II. La clasificación de la información; </w:t>
      </w:r>
    </w:p>
    <w:p w:rsidR="00000000" w:rsidDel="00000000" w:rsidP="00000000" w:rsidRDefault="00000000" w:rsidRPr="00000000" w14:paraId="00000059">
      <w:pPr>
        <w:spacing w:after="120" w:lineRule="auto"/>
        <w:ind w:right="902"/>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 (Sic)</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tl w:val="0"/>
        </w:rPr>
      </w:r>
    </w:p>
    <w:p w:rsidR="00000000" w:rsidDel="00000000" w:rsidP="00000000" w:rsidRDefault="00000000" w:rsidRPr="00000000" w14:paraId="0000005A">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Asimismo, tras la revisión del escrito de interposición, se concluye la acreditación plena de todos y cada uno de los elementos formales exigidos por el artículo 180 de la Ley de Transparencia y Acceso a la Información Pública del Estado de México y Municipios, y en consecuencia resulta conforme a derecho entrar al estudio de fondo y resolver el presente medio de impugnación.</w:t>
      </w:r>
    </w:p>
    <w:p w:rsidR="00000000" w:rsidDel="00000000" w:rsidP="00000000" w:rsidRDefault="00000000" w:rsidRPr="00000000" w14:paraId="0000005B">
      <w:pPr>
        <w:spacing w:after="280" w:before="28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 Materia de la revisión. </w:t>
      </w:r>
      <w:r w:rsidDel="00000000" w:rsidR="00000000" w:rsidRPr="00000000">
        <w:rPr>
          <w:rFonts w:ascii="Palatino Linotype" w:cs="Palatino Linotype" w:eastAsia="Palatino Linotype" w:hAnsi="Palatino Linotype"/>
          <w:rtl w:val="0"/>
        </w:rPr>
        <w:t xml:space="preserve">De la revisión a las constancias y documentos que obran en el expediente electrónico se advierte, que el tema sobre el que este Órgano Garante de Transparencia y Acceso a la Información se pronunciará será: </w:t>
      </w:r>
      <w:r w:rsidDel="00000000" w:rsidR="00000000" w:rsidRPr="00000000">
        <w:rPr>
          <w:rFonts w:ascii="Palatino Linotype" w:cs="Palatino Linotype" w:eastAsia="Palatino Linotype" w:hAnsi="Palatino Linotype"/>
          <w:b w:val="1"/>
          <w:rtl w:val="0"/>
        </w:rPr>
        <w:t xml:space="preserve">verificar si la respuesta otorgada por el SUJETO OBLIGADO es adecuada y suficiente para satisfacer el derecho de acceso a la información pública </w:t>
      </w:r>
      <w:r w:rsidDel="00000000" w:rsidR="00000000" w:rsidRPr="00000000">
        <w:rPr>
          <w:rFonts w:ascii="Palatino Linotype" w:cs="Palatino Linotype" w:eastAsia="Palatino Linotype" w:hAnsi="Palatino Linotype"/>
          <w:rtl w:val="0"/>
        </w:rPr>
        <w:t xml:space="preserve">de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o en su defecto, en caso de ser procedente, ordenar la entrega de información oportuna.</w:t>
      </w:r>
    </w:p>
    <w:p w:rsidR="00000000" w:rsidDel="00000000" w:rsidP="00000000" w:rsidRDefault="00000000" w:rsidRPr="00000000" w14:paraId="0000005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 Estudio del asunto. </w:t>
      </w:r>
      <w:r w:rsidDel="00000000" w:rsidR="00000000" w:rsidRPr="00000000">
        <w:rPr>
          <w:rFonts w:ascii="Palatino Linotype" w:cs="Palatino Linotype" w:eastAsia="Palatino Linotype" w:hAnsi="Palatino Linotype"/>
          <w:rtl w:val="0"/>
        </w:rPr>
        <w:t xml:space="preserve">Agotado lo anterior, tenemos que  el artículo 6°, Apartado A), fracción I de la Constitución Política de los Estados Unidos Mexicanos, establece que toda la información en posesión de cualquier autoridad es pública y sólo podrá ser reservada temporalmente por razones de interés público. </w:t>
      </w:r>
    </w:p>
    <w:p w:rsidR="00000000" w:rsidDel="00000000" w:rsidP="00000000" w:rsidRDefault="00000000" w:rsidRPr="00000000" w14:paraId="0000005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000000" w:rsidDel="00000000" w:rsidP="00000000" w:rsidRDefault="00000000" w:rsidRPr="00000000" w14:paraId="0000005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5F">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su parte, la Ley de Transparencia y Acceso a la Información Pública del Estado de México y Municipios (Reglamentaria del artículo 5° de la Constitución Local), establece lo siguiente:</w:t>
      </w:r>
    </w:p>
    <w:p w:rsidR="00000000" w:rsidDel="00000000" w:rsidP="00000000" w:rsidRDefault="00000000" w:rsidRPr="00000000" w14:paraId="0000006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1">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12, que, quienes generen, recopilen, administren, manejen, procesen, archiven o conserven información pública serán responsables de la misma.</w:t>
      </w:r>
    </w:p>
    <w:p w:rsidR="00000000" w:rsidDel="00000000" w:rsidP="00000000" w:rsidRDefault="00000000" w:rsidRPr="00000000" w14:paraId="0000006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18, que, los Sujetos Obligados deberán documentar todo acto que derive del ejercicio de sus facultades, competencias o funciones, considerando desde su origen la eventual publicidad y reutilización de la información que generen.</w:t>
      </w:r>
    </w:p>
    <w:p w:rsidR="00000000" w:rsidDel="00000000" w:rsidP="00000000" w:rsidRDefault="00000000" w:rsidRPr="00000000" w14:paraId="0000006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5">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36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000000" w:rsidDel="00000000" w:rsidP="00000000" w:rsidRDefault="00000000" w:rsidRPr="00000000" w14:paraId="00000066">
      <w:pPr>
        <w:spacing w:line="360" w:lineRule="auto"/>
        <w:ind w:right="-93"/>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67">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esta lógica,  debe destacarse que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68">
      <w:pPr>
        <w:ind w:left="851" w:right="899"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69">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6A">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6B">
      <w:pPr>
        <w:ind w:left="851" w:right="899"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6C">
      <w:pPr>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D">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6E">
      <w:pPr>
        <w:ind w:right="89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F">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w:t>
      </w:r>
    </w:p>
    <w:p w:rsidR="00000000" w:rsidDel="00000000" w:rsidP="00000000" w:rsidRDefault="00000000" w:rsidRPr="00000000" w14:paraId="00000070">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71">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72">
      <w:pPr>
        <w:ind w:left="851" w:right="89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w:t>
      </w:r>
      <w:r w:rsidDel="00000000" w:rsidR="00000000" w:rsidRPr="00000000">
        <w:rPr>
          <w:rFonts w:ascii="Palatino Linotype" w:cs="Palatino Linotype" w:eastAsia="Palatino Linotype" w:hAnsi="Palatino Linotype"/>
          <w:b w:val="1"/>
          <w:i w:val="1"/>
          <w:sz w:val="22"/>
          <w:szCs w:val="22"/>
          <w:rtl w:val="0"/>
        </w:rPr>
        <w:t xml:space="preserve">Que se trate de información registrada en cualquier soporte documental, que en ejercicio de las atribuciones conferidas, sea generada por los Sujetos Obligados;</w:t>
      </w:r>
      <w:r w:rsidDel="00000000" w:rsidR="00000000" w:rsidRPr="00000000">
        <w:rPr>
          <w:rtl w:val="0"/>
        </w:rPr>
      </w:r>
    </w:p>
    <w:p w:rsidR="00000000" w:rsidDel="00000000" w:rsidP="00000000" w:rsidRDefault="00000000" w:rsidRPr="00000000" w14:paraId="00000073">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74">
      <w:pPr>
        <w:ind w:left="851" w:right="899"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75">
      <w:pPr>
        <w:ind w:left="851" w:right="899"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color w:val="000000"/>
        </w:rPr>
      </w:pPr>
      <w:r w:rsidDel="00000000" w:rsidR="00000000" w:rsidRPr="00000000">
        <w:rPr>
          <w:rFonts w:ascii="Palatino Linotype" w:cs="Palatino Linotype" w:eastAsia="Palatino Linotype" w:hAnsi="Palatino Linotype"/>
          <w:rtl w:val="0"/>
        </w:rPr>
        <w:t xml:space="preserve">Ahora, en el caso concreto que nos ocupa el particular solicito le fueran entregados en vía del Derecho de acceso a la información pública, </w:t>
      </w:r>
      <w:r w:rsidDel="00000000" w:rsidR="00000000" w:rsidRPr="00000000">
        <w:rPr>
          <w:rFonts w:ascii="Palatino Linotype" w:cs="Palatino Linotype" w:eastAsia="Palatino Linotype" w:hAnsi="Palatino Linotype"/>
          <w:color w:val="000000"/>
          <w:rtl w:val="0"/>
        </w:rPr>
        <w:t xml:space="preserve">los convenios y denuncias que se llevan en el área jurídica del año 2019 al 2021. </w:t>
      </w:r>
    </w:p>
    <w:p w:rsidR="00000000" w:rsidDel="00000000" w:rsidP="00000000" w:rsidRDefault="00000000" w:rsidRPr="00000000" w14:paraId="00000077">
      <w:pPr>
        <w:spacing w:line="360" w:lineRule="auto"/>
        <w:jc w:val="both"/>
        <w:rPr>
          <w:rFonts w:ascii="Palatino Linotype" w:cs="Palatino Linotype" w:eastAsia="Palatino Linotype" w:hAnsi="Palatino Linotype"/>
          <w:color w:val="000000"/>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respuesta,  se adjunta el oficio DJC/EMC/060/2022 de fecha veintiuno de febrero de la presente anualidad, suscrito por el Titular de la Dirección Jurídica  y Consultiva, por medio del cual informa lo siguiente:</w:t>
      </w:r>
    </w:p>
    <w:p w:rsidR="00000000" w:rsidDel="00000000" w:rsidP="00000000" w:rsidRDefault="00000000" w:rsidRPr="00000000" w14:paraId="0000007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240" w:line="240" w:lineRule="auto"/>
        <w:ind w:left="2651" w:right="902"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aun cuando la celebración de convenios tiene una naturaleza jurídica, esa Dirección Jurídica y Consultiva  no tiene facultades para suscribirlos por tal razón no cuenta con información al respecto; y , </w:t>
      </w:r>
      <w:r w:rsidDel="00000000" w:rsidR="00000000" w:rsidRPr="00000000">
        <w:rPr>
          <w:rtl w:val="0"/>
        </w:rPr>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651" w:right="902" w:firstLine="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240" w:before="0" w:line="240" w:lineRule="auto"/>
        <w:ind w:left="2651" w:right="902" w:hanging="360"/>
        <w:jc w:val="both"/>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Por lo que hace a las denuncias, indica que estas son consideradas información reservada de conformidad con los artículos 3 fracción XXIV, 132 fracción I y quinto párrafo y 140 fracciones VI , VIII y X de la Ley local en materia de transparencia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cuya divulgación puede causar daño al proceso judicial que aún se continua</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ya que al no existir sentencias que hayan causado estado, la publicación perjudicaría las resoluciones, por lo que solicita al comité de transparencia sea considerado con el carácter de reservado.</w:t>
      </w:r>
      <w:r w:rsidDel="00000000" w:rsidR="00000000" w:rsidRPr="00000000">
        <w:rPr>
          <w:rtl w:val="0"/>
        </w:rPr>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76" w:lineRule="auto"/>
        <w:ind w:left="0" w:right="-28"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Finalmente, como motivos de agravio el particular señala que:  </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"…prueba de daño" carece de todo, por lo tanto el Acta de "reserva " esta mal fundamentada y motivada ya que en lo basado esta mal encaminado y dirigido, . además de que dicha información NO es de carácter Reservado, ya que se debe dar en versión publica . …“</w:t>
      </w:r>
      <w:r w:rsidDel="00000000" w:rsidR="00000000" w:rsidRPr="00000000">
        <w:rPr>
          <w:rtl w:val="0"/>
        </w:rPr>
      </w:r>
    </w:p>
    <w:p w:rsidR="00000000" w:rsidDel="00000000" w:rsidP="00000000" w:rsidRDefault="00000000" w:rsidRPr="00000000" w14:paraId="0000007D">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apuntado lo anterior, este Órgano Garante procede al análisis de las razones o motivos de inconformidad hechos valer por la parte recurrente, estudio que versará únicamente sobre los puntos controvertidos, en virtud de que la parte recurrente no refiere motivo de agravio en contra de las documentales entregadas por el SUJETO OBLIGADO en vía de respuesta a </w:t>
      </w:r>
      <w:r w:rsidDel="00000000" w:rsidR="00000000" w:rsidRPr="00000000">
        <w:rPr>
          <w:rFonts w:ascii="Palatino Linotype" w:cs="Palatino Linotype" w:eastAsia="Palatino Linotype" w:hAnsi="Palatino Linotype"/>
          <w:color w:val="000000"/>
          <w:rtl w:val="0"/>
        </w:rPr>
        <w:t xml:space="preserve">los convenios que se llevan en el área jurídica del año 2019 al 2021</w:t>
      </w:r>
      <w:r w:rsidDel="00000000" w:rsidR="00000000" w:rsidRPr="00000000">
        <w:rPr>
          <w:rFonts w:ascii="Palatino Linotype" w:cs="Palatino Linotype" w:eastAsia="Palatino Linotype" w:hAnsi="Palatino Linotype"/>
          <w:rtl w:val="0"/>
        </w:rPr>
        <w:t xml:space="preserve">; esto es, la parte recurrente se siente satisfecho con la respuesta entregada por el SUJETO OBLIGADO en la cual le refirió que,   aun cuando la celebración de convenios tiene una naturaleza jurídica, esa Dirección Jurídica y Consultiva  no tiene facultades para suscribirlos por tal razón no cuenta con información al respecto</w:t>
      </w:r>
    </w:p>
    <w:p w:rsidR="00000000" w:rsidDel="00000000" w:rsidP="00000000" w:rsidRDefault="00000000" w:rsidRPr="00000000" w14:paraId="0000007E">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es así, debido a que cuando un recurrente impugna la respuesta del SUJETO OBLIGADO, y éste no expresa razón o motivo de inconformidad en contra de todos los rubros solicitados, dichos rubros deben declararse atendidos, pues se entiende que la parte recurrente está conforme con la información entregada al no contravenirla.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7F">
      <w:pPr>
        <w:spacing w:after="360" w:before="240" w:lineRule="auto"/>
        <w:ind w:left="851" w:right="4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18"/>
          <w:szCs w:val="18"/>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80">
      <w:pPr>
        <w:spacing w:after="360" w:before="240" w:line="360" w:lineRule="auto"/>
        <w:jc w:val="both"/>
        <w:rPr>
          <w:rFonts w:ascii="Palatino Linotype" w:cs="Palatino Linotype" w:eastAsia="Palatino Linotype" w:hAnsi="Palatino Linotype"/>
          <w:sz w:val="10"/>
          <w:szCs w:val="10"/>
        </w:rPr>
      </w:pPr>
      <w:r w:rsidDel="00000000" w:rsidR="00000000" w:rsidRPr="00000000">
        <w:rPr>
          <w:rFonts w:ascii="Palatino Linotype" w:cs="Palatino Linotype" w:eastAsia="Palatino Linotype" w:hAnsi="Palatino Linotype"/>
          <w:rtl w:val="0"/>
        </w:rPr>
        <w:t xml:space="preserve">Consecuentemente, la parte de la solicitud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del recurrente ante la falta de impugnación eficaz. Sirve de sustento a lo anterior, por analogía, la tesis jurisprudencial número VI.3o.C. J/60, publicada en el Semanario Judicial de la Federación y su Gaceta bajo el número de registro 176,608 que a la letra dice:</w:t>
      </w:r>
      <w:r w:rsidDel="00000000" w:rsidR="00000000" w:rsidRPr="00000000">
        <w:rPr>
          <w:rtl w:val="0"/>
        </w:rPr>
      </w:r>
    </w:p>
    <w:p w:rsidR="00000000" w:rsidDel="00000000" w:rsidP="00000000" w:rsidRDefault="00000000" w:rsidRPr="00000000" w14:paraId="00000081">
      <w:pPr>
        <w:spacing w:after="360" w:before="240" w:lineRule="auto"/>
        <w:ind w:left="708"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82">
      <w:pPr>
        <w:spacing w:after="360" w:before="240" w:lineRule="auto"/>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83">
      <w:pPr>
        <w:spacing w:after="360" w:before="240" w:lineRule="auto"/>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84">
      <w:pPr>
        <w:spacing w:after="360" w:before="240" w:lineRule="auto"/>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85">
      <w:pPr>
        <w:spacing w:after="360" w:before="240" w:lineRule="auto"/>
        <w:jc w:val="both"/>
        <w:rPr>
          <w:rFonts w:ascii="Palatino Linotype" w:cs="Palatino Linotype" w:eastAsia="Palatino Linotype" w:hAnsi="Palatino Linotype"/>
          <w:b w:val="1"/>
          <w:i w:val="1"/>
          <w:smallCaps w:val="1"/>
          <w:sz w:val="22"/>
          <w:szCs w:val="22"/>
        </w:rPr>
      </w:pPr>
      <w:r w:rsidDel="00000000" w:rsidR="00000000" w:rsidRPr="00000000">
        <w:rPr>
          <w:rtl w:val="0"/>
        </w:rPr>
      </w:r>
    </w:p>
    <w:p w:rsidR="00000000" w:rsidDel="00000000" w:rsidP="00000000" w:rsidRDefault="00000000" w:rsidRPr="00000000" w14:paraId="00000086">
      <w:pPr>
        <w:spacing w:after="36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para comenzar con el análisis de los motivos de inconformidad planteados por la parte recurrente, en lo tocante a :  </w:t>
      </w:r>
      <w:r w:rsidDel="00000000" w:rsidR="00000000" w:rsidRPr="00000000">
        <w:rPr>
          <w:rFonts w:ascii="Palatino Linotype" w:cs="Palatino Linotype" w:eastAsia="Palatino Linotype" w:hAnsi="Palatino Linotype"/>
          <w:i w:val="1"/>
          <w:rtl w:val="0"/>
        </w:rPr>
        <w:t xml:space="preserve">"…prueba de daño" carece de todo, por lo tanto el Acta de "reserva " esta mal fundamentada y motivada ya que en lo basado esta mal encaminado y dirigido, …“</w:t>
      </w: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En ese orden de ideas, las excepciones al derecho de acceso a la información, consisten en que la documentación sea inexistente o </w:t>
      </w:r>
      <w:r w:rsidDel="00000000" w:rsidR="00000000" w:rsidRPr="00000000">
        <w:rPr>
          <w:rFonts w:ascii="Palatino Linotype" w:cs="Palatino Linotype" w:eastAsia="Palatino Linotype" w:hAnsi="Palatino Linotype"/>
          <w:b w:val="1"/>
          <w:rtl w:val="0"/>
        </w:rPr>
        <w:t xml:space="preserve">se encuentre clasificada</w:t>
      </w:r>
      <w:r w:rsidDel="00000000" w:rsidR="00000000" w:rsidRPr="00000000">
        <w:rPr>
          <w:rFonts w:ascii="Palatino Linotype" w:cs="Palatino Linotype" w:eastAsia="Palatino Linotype" w:hAnsi="Palatino Linotype"/>
          <w:rtl w:val="0"/>
        </w:rPr>
        <w:t xml:space="preserve">; es decir, la negativa de acceso a la información, recae cuando la documentación no se encuentre en los archivos del SUJETO OBLIGADO, o bien exista, pero no pueda proporcionar por contener datos </w:t>
      </w:r>
      <w:r w:rsidDel="00000000" w:rsidR="00000000" w:rsidRPr="00000000">
        <w:rPr>
          <w:rFonts w:ascii="Palatino Linotype" w:cs="Palatino Linotype" w:eastAsia="Palatino Linotype" w:hAnsi="Palatino Linotype"/>
          <w:b w:val="1"/>
          <w:rtl w:val="0"/>
        </w:rPr>
        <w:t xml:space="preserve">confidenciales o reservados.</w:t>
      </w:r>
    </w:p>
    <w:p w:rsidR="00000000" w:rsidDel="00000000" w:rsidP="00000000" w:rsidRDefault="00000000" w:rsidRPr="00000000" w14:paraId="00000088">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en los artículos 122, 128 y 130 de la Ley de la materia, se prevé que </w:t>
      </w:r>
      <w:r w:rsidDel="00000000" w:rsidR="00000000" w:rsidRPr="00000000">
        <w:rPr>
          <w:rFonts w:ascii="Palatino Linotype" w:cs="Palatino Linotype" w:eastAsia="Palatino Linotype" w:hAnsi="Palatino Linotype"/>
          <w:b w:val="1"/>
          <w:rtl w:val="0"/>
        </w:rPr>
        <w:t xml:space="preserve">la clasificación </w:t>
      </w:r>
      <w:r w:rsidDel="00000000" w:rsidR="00000000" w:rsidRPr="00000000">
        <w:rPr>
          <w:rFonts w:ascii="Palatino Linotype" w:cs="Palatino Linotype" w:eastAsia="Palatino Linotype" w:hAnsi="Palatino Linotype"/>
          <w:rtl w:val="0"/>
        </w:rPr>
        <w:t xml:space="preserve">es el proceso mediante el cual el SUJETO OBLIGADO determina que la información en su poder, actualiza alguno de los supuestos de reserva o confidencialidad. Además, que dichos entes deberán aplicar de manera restrictiva y limitada, las excepciones al derecho de acceso a la información, por lo que, tendrán que acreditar la procedencia.</w:t>
      </w:r>
    </w:p>
    <w:p w:rsidR="00000000" w:rsidDel="00000000" w:rsidP="00000000" w:rsidRDefault="00000000" w:rsidRPr="00000000" w14:paraId="0000008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cual, en los casos en que se niegue el acceso a la información, por actualizarse alguno de los supuestos de clasificación, </w:t>
      </w:r>
      <w:r w:rsidDel="00000000" w:rsidR="00000000" w:rsidRPr="00000000">
        <w:rPr>
          <w:rFonts w:ascii="Palatino Linotype" w:cs="Palatino Linotype" w:eastAsia="Palatino Linotype" w:hAnsi="Palatino Linotype"/>
          <w:b w:val="1"/>
          <w:rtl w:val="0"/>
        </w:rPr>
        <w:t xml:space="preserve">el Comité de Transparencia deberá confirmar, modificar o revocar la decisión; </w:t>
      </w:r>
      <w:r w:rsidDel="00000000" w:rsidR="00000000" w:rsidRPr="00000000">
        <w:rPr>
          <w:rFonts w:ascii="Palatino Linotype" w:cs="Palatino Linotype" w:eastAsia="Palatino Linotype" w:hAnsi="Palatino Linotype"/>
          <w:rtl w:val="0"/>
        </w:rPr>
        <w:t xml:space="preserve">además, deberá motivar la confirmación de dicha situación, señalando las razones, motivos o circunstancias especiales que llevaron al sujeto obligado a concluir que en el caso particular se ajusta al supuesto previsto por la norma legal invocada como fundamento.</w:t>
      </w:r>
    </w:p>
    <w:p w:rsidR="00000000" w:rsidDel="00000000" w:rsidP="00000000" w:rsidRDefault="00000000" w:rsidRPr="00000000" w14:paraId="0000008C">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sentido, el Octavo de los Lineamientos Generales en Materia de Clasificación y Desclasificación de la Información, así como para la Elaboración de Versiones Públicas, que precisa lo siguiente:</w:t>
      </w:r>
    </w:p>
    <w:p w:rsidR="00000000" w:rsidDel="00000000" w:rsidP="00000000" w:rsidRDefault="00000000" w:rsidRPr="00000000" w14:paraId="0000008D">
      <w:pPr>
        <w:numPr>
          <w:ilvl w:val="0"/>
          <w:numId w:val="2"/>
        </w:numPr>
        <w:shd w:fill="ffffff" w:val="clea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fundar la clasificación</w:t>
      </w:r>
      <w:r w:rsidDel="00000000" w:rsidR="00000000" w:rsidRPr="00000000">
        <w:rPr>
          <w:rFonts w:ascii="Palatino Linotype" w:cs="Palatino Linotype" w:eastAsia="Palatino Linotype" w:hAnsi="Palatino Linotype"/>
          <w:rtl w:val="0"/>
        </w:rPr>
        <w:t xml:space="preserve"> de la información se deberán señalar el artículo, fracción, inciso, párrafo o numeral de la Ley aplicable;</w:t>
      </w:r>
    </w:p>
    <w:p w:rsidR="00000000" w:rsidDel="00000000" w:rsidP="00000000" w:rsidRDefault="00000000" w:rsidRPr="00000000" w14:paraId="0000008E">
      <w:pPr>
        <w:shd w:fill="ffffff" w:val="clea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8F">
      <w:pPr>
        <w:numPr>
          <w:ilvl w:val="0"/>
          <w:numId w:val="2"/>
        </w:numPr>
        <w:shd w:fill="ffffff" w:val="clea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Para motivar la clasificación</w:t>
      </w:r>
      <w:r w:rsidDel="00000000" w:rsidR="00000000" w:rsidRPr="00000000">
        <w:rPr>
          <w:rFonts w:ascii="Palatino Linotype" w:cs="Palatino Linotype" w:eastAsia="Palatino Linotype" w:hAnsi="Palatino Linotype"/>
          <w:rtl w:val="0"/>
        </w:rPr>
        <w:t xml:space="preserve"> se deberán indicar las razones y circunstancias especiales que lo llevaron a concluir que el caso particular se ajusta al supuesto previsto por la norma legal invocada.</w:t>
      </w:r>
    </w:p>
    <w:p w:rsidR="00000000" w:rsidDel="00000000" w:rsidP="00000000" w:rsidRDefault="00000000" w:rsidRPr="00000000" w14:paraId="00000090">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1">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toma sustento con la Tesis aislada número I. 4o. P. 56 P, Octava Época, publicada en el Semanario Judicial de la Federación, Tomo XIV, noviembre de mil novecientos noventa y cuatro, (p. 450), que establece lo siguiente:</w:t>
      </w:r>
    </w:p>
    <w:p w:rsidR="00000000" w:rsidDel="00000000" w:rsidP="00000000" w:rsidRDefault="00000000" w:rsidRPr="00000000" w14:paraId="00000092">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3">
      <w:pPr>
        <w:shd w:fill="ffffff" w:val="clea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“FUNDAMENTACION Y MOTIVACION, CONCEPTO DE. </w:t>
      </w:r>
      <w:r w:rsidDel="00000000" w:rsidR="00000000" w:rsidRPr="00000000">
        <w:rPr>
          <w:rFonts w:ascii="Palatino Linotype" w:cs="Palatino Linotype" w:eastAsia="Palatino Linotype" w:hAnsi="Palatino Linotype"/>
          <w:i w:val="1"/>
          <w:sz w:val="22"/>
          <w:szCs w:val="22"/>
          <w:rtl w:val="0"/>
        </w:rPr>
        <w:t xml:space="preserve">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rsidR="00000000" w:rsidDel="00000000" w:rsidP="00000000" w:rsidRDefault="00000000" w:rsidRPr="00000000" w14:paraId="00000094">
      <w:pPr>
        <w:shd w:fill="ffffff" w:val="clea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5">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Conforme a lo anterior, se advierte lo siguiente:</w:t>
      </w:r>
    </w:p>
    <w:p w:rsidR="00000000" w:rsidDel="00000000" w:rsidP="00000000" w:rsidRDefault="00000000" w:rsidRPr="00000000" w14:paraId="00000096">
      <w:pPr>
        <w:numPr>
          <w:ilvl w:val="0"/>
          <w:numId w:val="3"/>
        </w:numPr>
        <w:shd w:fill="ffffff" w:val="clea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Fundamentación: </w:t>
      </w:r>
      <w:r w:rsidDel="00000000" w:rsidR="00000000" w:rsidRPr="00000000">
        <w:rPr>
          <w:rFonts w:ascii="Palatino Linotype" w:cs="Palatino Linotype" w:eastAsia="Palatino Linotype" w:hAnsi="Palatino Linotype"/>
          <w:rtl w:val="0"/>
        </w:rPr>
        <w:t xml:space="preserve">Obligación de la autoridad que emite un acto, para citar los preceptos legales, sustantivos y adjetivos, en que se apoye para la determinación tomada.</w:t>
      </w:r>
      <w:r w:rsidDel="00000000" w:rsidR="00000000" w:rsidRPr="00000000">
        <w:rPr>
          <w:rtl w:val="0"/>
        </w:rPr>
      </w:r>
    </w:p>
    <w:p w:rsidR="00000000" w:rsidDel="00000000" w:rsidP="00000000" w:rsidRDefault="00000000" w:rsidRPr="00000000" w14:paraId="00000097">
      <w:pPr>
        <w:shd w:fill="ffffff" w:val="clear"/>
        <w:spacing w:line="360" w:lineRule="auto"/>
        <w:ind w:left="720" w:firstLine="0"/>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98">
      <w:pPr>
        <w:numPr>
          <w:ilvl w:val="0"/>
          <w:numId w:val="3"/>
        </w:numPr>
        <w:shd w:fill="ffffff" w:val="clear"/>
        <w:spacing w:line="360" w:lineRule="auto"/>
        <w:ind w:left="720" w:hanging="36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Motivación: </w:t>
      </w:r>
      <w:r w:rsidDel="00000000" w:rsidR="00000000" w:rsidRPr="00000000">
        <w:rPr>
          <w:rFonts w:ascii="Palatino Linotype" w:cs="Palatino Linotype" w:eastAsia="Palatino Linotype" w:hAnsi="Palatino Linotype"/>
          <w:rtl w:val="0"/>
        </w:rPr>
        <w:t xml:space="preserve">Razonamientos lógico-jurídicos sobre porque se consideró en el caso en concreto, que se ajusta a la hipótesis normativa.</w:t>
      </w:r>
      <w:r w:rsidDel="00000000" w:rsidR="00000000" w:rsidRPr="00000000">
        <w:rPr>
          <w:rtl w:val="0"/>
        </w:rPr>
      </w:r>
    </w:p>
    <w:p w:rsidR="00000000" w:rsidDel="00000000" w:rsidP="00000000" w:rsidRDefault="00000000" w:rsidRPr="00000000" w14:paraId="0000009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ese orden de ideas, el Trigésimo tercero de los Lineamientos Generales, establece la forma en que se debe fundamentar y motivar la reserva de loa información, es decir, a través de los siguientes pasos:</w:t>
      </w:r>
    </w:p>
    <w:p w:rsidR="00000000" w:rsidDel="00000000" w:rsidP="00000000" w:rsidRDefault="00000000" w:rsidRPr="00000000" w14:paraId="0000009A">
      <w:pPr>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9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deberá citar la fracción y, en su caso, la causal aplicable de las Ley General de Transparencia y Acceso a la Información Pública o, en el presente caso, de la Ley de Transparencia y Acceso a la Información Pública del Estado de México y Municipios, vinculándola con el Lineamiento específico; </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deberá demostrar que la publicidad de la información generaría un riesgo de perjuicio, que rebasa el interés público;</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acreditará el vínculo entre la difusión de la información y la afectación del interés jurídico tutelado;</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precisará las razones objetivas por las que la apertura de la información generaría una afectación, por medio del riesgo real, demostrable e identificable;</w:t>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deberán señalar las circunstancias de modo, tiempo y lugar del daño, y</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08" w:right="0" w:firstLine="0"/>
        <w:jc w:val="both"/>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Se elegirá la opción de excepción al acceso a la información que menos restrinja, la cual será adecuada y proporcional para la protección del interés público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6">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lo que resulta necesario, analizar dicho Acuerdo de clasificación  de la información antes referida, entregado por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en su respuesta, a fin de establecer si el Comité de Transparencia cumplió cabalmente con las formalidades exigidas por la Ley de Transparencia y Acceso a la Información Pública, y los Lineamientos Generales en Materia de Clasificación y Desclasificación de la Información, así como para la Elaboración de Versiones Públicas.</w:t>
      </w:r>
    </w:p>
    <w:p w:rsidR="00000000" w:rsidDel="00000000" w:rsidP="00000000" w:rsidRDefault="00000000" w:rsidRPr="00000000" w14:paraId="000000A9">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rPr>
      </w:pPr>
      <w:r w:rsidDel="00000000" w:rsidR="00000000" w:rsidRPr="00000000">
        <w:rPr>
          <w:rtl w:val="0"/>
        </w:rPr>
      </w:r>
    </w:p>
    <w:tbl>
      <w:tblPr>
        <w:tblStyle w:val="Table1"/>
        <w:tblW w:w="9072.0" w:type="dxa"/>
        <w:jc w:val="left"/>
        <w:tblInd w:w="0.0" w:type="dxa"/>
        <w:tblBorders>
          <w:top w:color="93cddc" w:space="0" w:sz="4" w:val="single"/>
          <w:left w:color="93cddc" w:space="0" w:sz="4" w:val="single"/>
          <w:bottom w:color="93cddc" w:space="0" w:sz="4" w:val="single"/>
          <w:right w:color="93cddc" w:space="0" w:sz="4" w:val="single"/>
          <w:insideH w:color="93cddc" w:space="0" w:sz="4" w:val="single"/>
          <w:insideV w:color="93cddc" w:space="0" w:sz="4" w:val="single"/>
        </w:tblBorders>
        <w:tblLayout w:type="fixed"/>
        <w:tblLook w:val="0400"/>
      </w:tblPr>
      <w:tblGrid>
        <w:gridCol w:w="1560"/>
        <w:gridCol w:w="1417"/>
        <w:gridCol w:w="6095"/>
        <w:tblGridChange w:id="0">
          <w:tblGrid>
            <w:gridCol w:w="1560"/>
            <w:gridCol w:w="1417"/>
            <w:gridCol w:w="6095"/>
          </w:tblGrid>
        </w:tblGridChange>
      </w:tblGrid>
      <w:tr>
        <w:trPr>
          <w:cantSplit w:val="0"/>
          <w:tblHeader w:val="0"/>
        </w:trPr>
        <w:tc>
          <w:tcPr>
            <w:tcBorders>
              <w:top w:color="000000" w:space="0" w:sz="0" w:val="nil"/>
              <w:left w:color="000000" w:space="0" w:sz="0" w:val="nil"/>
            </w:tcBorders>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7" w:right="0" w:firstLine="0"/>
              <w:jc w:val="both"/>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4" w:val="single"/>
            </w:tcBorders>
            <w:shd w:fill="bfbfbf" w:val="clear"/>
            <w:vAlign w:val="bottom"/>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7" w:right="0" w:firstLine="0"/>
              <w:jc w:val="center"/>
              <w:rPr>
                <w:rFonts w:ascii="Palatino Linotype" w:cs="Palatino Linotype" w:eastAsia="Palatino Linotype" w:hAnsi="Palatino Linotype"/>
                <w:b w:val="1"/>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Cumplió:</w:t>
            </w:r>
            <w:r w:rsidDel="00000000" w:rsidR="00000000" w:rsidRPr="00000000">
              <w:rPr>
                <w:rtl w:val="0"/>
              </w:rPr>
            </w:r>
          </w:p>
        </w:tc>
        <w:tc>
          <w:tcPr>
            <w:tcBorders>
              <w:bottom w:color="000000" w:space="0" w:sz="4" w:val="single"/>
            </w:tcBorders>
            <w:shd w:fill="bfbfbf" w:val="clear"/>
            <w:vAlign w:val="bottom"/>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47" w:right="0" w:firstLine="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Contenido</w:t>
            </w:r>
          </w:p>
        </w:tc>
      </w:tr>
      <w:tr>
        <w:trPr>
          <w:cantSplit w:val="0"/>
          <w:tblHeader w:val="0"/>
        </w:trPr>
        <w:tc>
          <w:tcPr>
            <w:vAlign w:val="center"/>
          </w:tcPr>
          <w:p w:rsidR="00000000" w:rsidDel="00000000" w:rsidP="00000000" w:rsidRDefault="00000000" w:rsidRPr="00000000" w14:paraId="000000AE">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Número de folio de la solicitud</w:t>
            </w:r>
          </w:p>
        </w:tc>
        <w:tc>
          <w:tcPr>
            <w:tcBorders>
              <w:top w:color="000000" w:space="0" w:sz="4" w:val="single"/>
            </w:tcBorders>
            <w:vAlign w:val="center"/>
          </w:tcPr>
          <w:p w:rsidR="00000000" w:rsidDel="00000000" w:rsidP="00000000" w:rsidRDefault="00000000" w:rsidRPr="00000000" w14:paraId="000000AF">
            <w:pPr>
              <w:spacing w:after="120" w:lineRule="auto"/>
              <w:ind w:left="47"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w:t>
            </w:r>
          </w:p>
        </w:tc>
        <w:tc>
          <w:tcPr>
            <w:tcBorders>
              <w:top w:color="000000" w:space="0" w:sz="4" w:val="single"/>
            </w:tcBorders>
            <w:vAlign w:val="center"/>
          </w:tcPr>
          <w:p w:rsidR="00000000" w:rsidDel="00000000" w:rsidP="00000000" w:rsidRDefault="00000000" w:rsidRPr="00000000" w14:paraId="000000B0">
            <w:pPr>
              <w:spacing w:after="120" w:lineRule="auto"/>
              <w:ind w:left="-115" w:firstLine="0"/>
              <w:jc w:val="center"/>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B1">
            <w:pPr>
              <w:spacing w:after="120" w:lineRule="auto"/>
              <w:ind w:left="-115" w:firstLine="0"/>
              <w:jc w:val="center"/>
              <w:rPr>
                <w:rFonts w:ascii="Palatino Linotype" w:cs="Palatino Linotype" w:eastAsia="Palatino Linotype" w:hAnsi="Palatino Linotype"/>
              </w:rPr>
            </w:pPr>
            <w:r w:rsidDel="00000000" w:rsidR="00000000" w:rsidRPr="00000000">
              <w:rPr/>
              <w:pict>
                <v:shape id="_x0000_i1025" style="width:294pt;height:54.75pt" o:ole="" type="#_x0000_t75">
                  <v:imagedata r:id="rId1" o:title=""/>
                </v:shape>
                <o:OLEObject DrawAspect="Content" r:id="rId2" ObjectID="_1721120352" ProgID="PBrush" ShapeID="_x0000_i1025"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2">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Referencia de la información solicitada</w:t>
            </w:r>
          </w:p>
        </w:tc>
        <w:tc>
          <w:tcPr>
            <w:vAlign w:val="center"/>
          </w:tcPr>
          <w:p w:rsidR="00000000" w:rsidDel="00000000" w:rsidP="00000000" w:rsidRDefault="00000000" w:rsidRPr="00000000" w14:paraId="000000B3">
            <w:pPr>
              <w:spacing w:after="120" w:lineRule="auto"/>
              <w:ind w:left="47"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w:t>
            </w:r>
          </w:p>
        </w:tc>
        <w:tc>
          <w:tcPr>
            <w:vAlign w:val="center"/>
          </w:tcPr>
          <w:p w:rsidR="00000000" w:rsidDel="00000000" w:rsidP="00000000" w:rsidRDefault="00000000" w:rsidRPr="00000000" w14:paraId="000000B4">
            <w:pPr>
              <w:spacing w:after="120" w:lineRule="auto"/>
              <w:jc w:val="center"/>
              <w:rPr>
                <w:rFonts w:ascii="Palatino Linotype" w:cs="Palatino Linotype" w:eastAsia="Palatino Linotype" w:hAnsi="Palatino Linotype"/>
                <w:b w:val="1"/>
              </w:rPr>
            </w:pPr>
            <w:r w:rsidDel="00000000" w:rsidR="00000000" w:rsidRPr="00000000">
              <w:rPr/>
              <w:pict>
                <v:shape id="_x0000_i1026" style="width:294pt;height:54.75pt" o:ole="" type="#_x0000_t75">
                  <v:imagedata r:id="rId3" o:title=""/>
                </v:shape>
                <o:OLEObject DrawAspect="Content" r:id="rId4" ObjectID="_1721120353" ProgID="PBrush" ShapeID="_x0000_i1026"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5">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Causal aplicable del artículo 113 de la Ley General, vinculándola con el Lineamiento específico del presente ordenamiento y, cuando corresponda, el supuesto normativo que expresamente le otorga el carácter de información reservada</w:t>
            </w:r>
          </w:p>
        </w:tc>
        <w:tc>
          <w:tcPr>
            <w:vAlign w:val="center"/>
          </w:tcPr>
          <w:p w:rsidR="00000000" w:rsidDel="00000000" w:rsidP="00000000" w:rsidRDefault="00000000" w:rsidRPr="00000000" w14:paraId="000000B6">
            <w:pPr>
              <w:spacing w:after="120" w:lineRule="auto"/>
              <w:ind w:left="47"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Sí</w:t>
            </w:r>
          </w:p>
        </w:tc>
        <w:tc>
          <w:tcPr>
            <w:vAlign w:val="center"/>
          </w:tcPr>
          <w:p w:rsidR="00000000" w:rsidDel="00000000" w:rsidP="00000000" w:rsidRDefault="00000000" w:rsidRPr="00000000" w14:paraId="000000B7">
            <w:pPr>
              <w:spacing w:after="120" w:lineRule="auto"/>
              <w:jc w:val="center"/>
              <w:rPr>
                <w:rFonts w:ascii="Palatino Linotype" w:cs="Palatino Linotype" w:eastAsia="Palatino Linotype" w:hAnsi="Palatino Linotype"/>
                <w:b w:val="1"/>
              </w:rPr>
            </w:pPr>
            <w:r w:rsidDel="00000000" w:rsidR="00000000" w:rsidRPr="00000000">
              <w:rPr/>
              <w:pict>
                <v:shape id="_x0000_i1027" style="width:294pt;height:81pt" o:ole="" type="#_x0000_t75">
                  <v:imagedata r:id="rId5" o:title=""/>
                </v:shape>
                <o:OLEObject DrawAspect="Content" r:id="rId6" ObjectID="_1721120354" ProgID="PBrush" ShapeID="_x0000_i1027" Type="Embed"/>
              </w:pic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B8">
            <w:pPr>
              <w:tabs>
                <w:tab w:val="left" w:pos="317"/>
              </w:tabs>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Fundamento y Motivación Legal</w:t>
            </w:r>
          </w:p>
        </w:tc>
        <w:tc>
          <w:tcPr>
            <w:vAlign w:val="center"/>
          </w:tcPr>
          <w:p w:rsidR="00000000" w:rsidDel="00000000" w:rsidP="00000000" w:rsidRDefault="00000000" w:rsidRPr="00000000" w14:paraId="000000B9">
            <w:pPr>
              <w:spacing w:after="120" w:lineRule="auto"/>
              <w:ind w:left="47" w:firstLine="0"/>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parcial</w:t>
            </w:r>
          </w:p>
        </w:tc>
        <w:tc>
          <w:tcPr>
            <w:vAlign w:val="center"/>
          </w:tcPr>
          <w:p w:rsidR="00000000" w:rsidDel="00000000" w:rsidP="00000000" w:rsidRDefault="00000000" w:rsidRPr="00000000" w14:paraId="000000BA">
            <w:pPr>
              <w:spacing w:after="120" w:lineRule="auto"/>
              <w:rPr>
                <w:rFonts w:ascii="Palatino Linotype" w:cs="Palatino Linotype" w:eastAsia="Palatino Linotype" w:hAnsi="Palatino Linotype"/>
                <w:sz w:val="2"/>
                <w:szCs w:val="2"/>
              </w:rPr>
            </w:pPr>
            <w:r w:rsidDel="00000000" w:rsidR="00000000" w:rsidRPr="00000000">
              <w:rPr>
                <w:rtl w:val="0"/>
              </w:rPr>
            </w:r>
          </w:p>
          <w:p w:rsidR="00000000" w:rsidDel="00000000" w:rsidP="00000000" w:rsidRDefault="00000000" w:rsidRPr="00000000" w14:paraId="000000BB">
            <w:pPr>
              <w:spacing w:after="120" w:lineRule="auto"/>
              <w:ind w:left="47" w:firstLine="0"/>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Únicamente se señala el fundamento legal que deriva de la clasificación.</w:t>
            </w:r>
            <w:r w:rsidDel="00000000" w:rsidR="00000000" w:rsidRPr="00000000">
              <w:rPr>
                <w:rFonts w:ascii="Palatino Linotype" w:cs="Palatino Linotype" w:eastAsia="Palatino Linotype" w:hAnsi="Palatino Linotype"/>
                <w:b w:val="1"/>
                <w:rtl w:val="0"/>
              </w:rPr>
              <w:t xml:space="preserve"> </w:t>
            </w:r>
          </w:p>
        </w:tc>
      </w:tr>
      <w:tr>
        <w:trPr>
          <w:cantSplit w:val="0"/>
          <w:tblHeader w:val="0"/>
        </w:trPr>
        <w:tc>
          <w:tcPr>
            <w:vAlign w:val="center"/>
          </w:tcPr>
          <w:p w:rsidR="00000000" w:rsidDel="00000000" w:rsidP="00000000" w:rsidRDefault="00000000" w:rsidRPr="00000000" w14:paraId="000000BC">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Conexión entre los fundamentos y motivos que dieron origen a la Reserva de la información</w:t>
            </w:r>
          </w:p>
        </w:tc>
        <w:tc>
          <w:tcPr>
            <w:vAlign w:val="center"/>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gridSpan w:val="3"/>
            <w:shd w:fill="d9d9d9" w:val="clear"/>
            <w:vAlign w:val="center"/>
          </w:tcPr>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Prueba de Daño</w:t>
            </w:r>
            <w:r w:rsidDel="00000000" w:rsidR="00000000" w:rsidRPr="00000000">
              <w:rPr>
                <w:rtl w:val="0"/>
              </w:rPr>
            </w:r>
          </w:p>
        </w:tc>
      </w:tr>
      <w:tr>
        <w:trPr>
          <w:cantSplit w:val="0"/>
          <w:tblHeader w:val="0"/>
        </w:trPr>
        <w:tc>
          <w:tcPr>
            <w:vAlign w:val="center"/>
          </w:tcPr>
          <w:p w:rsidR="00000000" w:rsidDel="00000000" w:rsidP="00000000" w:rsidRDefault="00000000" w:rsidRPr="00000000" w14:paraId="000000C3">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Riesgo Real, Demostrable e Identificable</w:t>
            </w:r>
          </w:p>
          <w:p w:rsidR="00000000" w:rsidDel="00000000" w:rsidP="00000000" w:rsidRDefault="00000000" w:rsidRPr="00000000" w14:paraId="000000C4">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(Modo, Tiempo y Lugar)</w:t>
            </w:r>
          </w:p>
        </w:tc>
        <w:tc>
          <w:tcPr>
            <w:vAlign w:val="center"/>
          </w:tcPr>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vAlign w:val="center"/>
          </w:tcPr>
          <w:p w:rsidR="00000000" w:rsidDel="00000000" w:rsidP="00000000" w:rsidRDefault="00000000" w:rsidRPr="00000000" w14:paraId="000000C7">
            <w:pPr>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Temporalidad de la Reserva de la información</w:t>
            </w:r>
          </w:p>
        </w:tc>
        <w:tc>
          <w:tcPr>
            <w:vAlign w:val="center"/>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No</w:t>
            </w:r>
          </w:p>
        </w:tc>
        <w:tc>
          <w:tcPr>
            <w:vAlign w:val="center"/>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517" w:hRule="atLeast"/>
          <w:tblHeader w:val="0"/>
        </w:trPr>
        <w:tc>
          <w:tcPr>
            <w:vAlign w:val="center"/>
          </w:tcPr>
          <w:p w:rsidR="00000000" w:rsidDel="00000000" w:rsidP="00000000" w:rsidRDefault="00000000" w:rsidRPr="00000000" w14:paraId="000000CB">
            <w:pPr>
              <w:tabs>
                <w:tab w:val="left" w:pos="317"/>
              </w:tabs>
              <w:spacing w:after="120" w:lineRule="auto"/>
              <w:jc w:val="center"/>
              <w:rPr>
                <w:rFonts w:ascii="Palatino Linotype" w:cs="Palatino Linotype" w:eastAsia="Palatino Linotype" w:hAnsi="Palatino Linotype"/>
                <w:b w:val="1"/>
                <w:sz w:val="16"/>
                <w:szCs w:val="16"/>
              </w:rPr>
            </w:pPr>
            <w:r w:rsidDel="00000000" w:rsidR="00000000" w:rsidRPr="00000000">
              <w:rPr>
                <w:rFonts w:ascii="Palatino Linotype" w:cs="Palatino Linotype" w:eastAsia="Palatino Linotype" w:hAnsi="Palatino Linotype"/>
                <w:b w:val="1"/>
                <w:sz w:val="16"/>
                <w:szCs w:val="16"/>
                <w:rtl w:val="0"/>
              </w:rPr>
              <w:t xml:space="preserve">Autoridades competentes.</w:t>
            </w:r>
          </w:p>
        </w:tc>
        <w:tc>
          <w:tcPr>
            <w:vAlign w:val="center"/>
          </w:tcPr>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9" w:right="0" w:firstLine="18.000000000000004"/>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Sí</w:t>
            </w:r>
          </w:p>
        </w:tc>
        <w:tc>
          <w:tcPr/>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pict>
                <v:shape id="_x0000_i1028" style="width:293.25pt;height:126pt" o:ole="" type="#_x0000_t75">
                  <v:imagedata r:id="rId7" o:title=""/>
                </v:shape>
                <o:OLEObject DrawAspect="Content" r:id="rId8" ObjectID="_1721120355" ProgID="PBrush" ShapeID="_x0000_i1028" Type="Embed"/>
              </w:pict>
            </w:r>
            <w:r w:rsidDel="00000000" w:rsidR="00000000" w:rsidRPr="00000000">
              <w:rPr>
                <w:rtl w:val="0"/>
              </w:rPr>
            </w:r>
          </w:p>
        </w:tc>
      </w:tr>
    </w:tbl>
    <w:p w:rsidR="00000000" w:rsidDel="00000000" w:rsidP="00000000" w:rsidRDefault="00000000" w:rsidRPr="00000000" w14:paraId="000000C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0">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1">
      <w:pPr>
        <w:spacing w:line="360" w:lineRule="auto"/>
        <w:ind w:right="-93"/>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rtl w:val="0"/>
        </w:rPr>
        <w:t xml:space="preserve">Por tal motivo, se concluye que el Ente Recurrido, no atendió el procedimiento de clasificación establecido en la normatividad señalada, toda vez que si bien señaló que no podía dar a conocer  la información solicitada al encontrarse en procedimiento el cual se seguía en trámite, lo cierto es que no proporcionó la respectiva aprobación  del Comité de Transparencia, en donde señalara las razones, motivos o circunstancias que acreditaran que la información requerida era reservada, a través de la respectiva prueba de daño y por lo tanto, el agravio hecho valer por el Particular es </w:t>
      </w:r>
      <w:r w:rsidDel="00000000" w:rsidR="00000000" w:rsidRPr="00000000">
        <w:rPr>
          <w:rFonts w:ascii="Palatino Linotype" w:cs="Palatino Linotype" w:eastAsia="Palatino Linotype" w:hAnsi="Palatino Linotype"/>
          <w:b w:val="1"/>
          <w:rtl w:val="0"/>
        </w:rPr>
        <w:t xml:space="preserve">FUNDADO. </w:t>
      </w:r>
    </w:p>
    <w:p w:rsidR="00000000" w:rsidDel="00000000" w:rsidP="00000000" w:rsidRDefault="00000000" w:rsidRPr="00000000" w14:paraId="000000D2">
      <w:pPr>
        <w:spacing w:line="360" w:lineRule="auto"/>
        <w:ind w:right="-93"/>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0D3">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Una vez establecido lo anterior, se procede analizar si procede la entrega o no, de la información solicitada, en virtud de que el particular refiere: </w:t>
      </w:r>
      <w:r w:rsidDel="00000000" w:rsidR="00000000" w:rsidRPr="00000000">
        <w:rPr>
          <w:rFonts w:ascii="Palatino Linotype" w:cs="Palatino Linotype" w:eastAsia="Palatino Linotype" w:hAnsi="Palatino Linotype"/>
          <w:i w:val="1"/>
          <w:rtl w:val="0"/>
        </w:rPr>
        <w:t xml:space="preserve">“…dicha información NO es de carácter Reservado, ya que se debe dar en versión publica…”</w:t>
      </w:r>
      <w:r w:rsidDel="00000000" w:rsidR="00000000" w:rsidRPr="00000000">
        <w:rPr>
          <w:rtl w:val="0"/>
        </w:rPr>
      </w:r>
    </w:p>
    <w:p w:rsidR="00000000" w:rsidDel="00000000" w:rsidP="00000000" w:rsidRDefault="00000000" w:rsidRPr="00000000" w14:paraId="000000D4">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5">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6">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primer lugar, resulta necesario recordar que el SUJETO OBLIGADO gestionó la solicitud de información, a la Dirección Jurídica y Consultiva, por lo que es necesario hacer referencia al </w:t>
      </w:r>
      <w:r w:rsidDel="00000000" w:rsidR="00000000" w:rsidRPr="00000000">
        <w:rPr>
          <w:rFonts w:ascii="Palatino Linotype" w:cs="Palatino Linotype" w:eastAsia="Palatino Linotype" w:hAnsi="Palatino Linotype"/>
          <w:b w:val="1"/>
          <w:rtl w:val="0"/>
        </w:rPr>
        <w:t xml:space="preserve">procedimiento de búsqueda que deben de seguir los Sujetos Obligados para localizar la información</w:t>
      </w:r>
      <w:r w:rsidDel="00000000" w:rsidR="00000000" w:rsidRPr="00000000">
        <w:rPr>
          <w:rFonts w:ascii="Palatino Linotype" w:cs="Palatino Linotype" w:eastAsia="Palatino Linotype" w:hAnsi="Palatino Linotype"/>
          <w:rtl w:val="0"/>
        </w:rPr>
        <w:t xml:space="preserve">, el cual se encuentra previsto en los artículos 160 y 162 de la Ley de Transparencia y Acceso a la Información Pública del Estado de México y Municipios,  mismo que es el siguiente:</w:t>
      </w:r>
    </w:p>
    <w:p w:rsidR="00000000" w:rsidDel="00000000" w:rsidP="00000000" w:rsidRDefault="00000000" w:rsidRPr="00000000" w14:paraId="000000D7">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8">
      <w:pPr>
        <w:numPr>
          <w:ilvl w:val="0"/>
          <w:numId w:val="6"/>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00000000" w:rsidDel="00000000" w:rsidP="00000000" w:rsidRDefault="00000000" w:rsidRPr="00000000" w14:paraId="000000D9">
      <w:pPr>
        <w:spacing w:line="360" w:lineRule="auto"/>
        <w:ind w:left="72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DA">
      <w:pPr>
        <w:numPr>
          <w:ilvl w:val="0"/>
          <w:numId w:val="6"/>
        </w:numPr>
        <w:spacing w:line="360" w:lineRule="auto"/>
        <w:ind w:left="720" w:hanging="36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00000000" w:rsidDel="00000000" w:rsidP="00000000" w:rsidRDefault="00000000" w:rsidRPr="00000000" w14:paraId="000000DB">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C">
      <w:pPr>
        <w:tabs>
          <w:tab w:val="left" w:pos="7088"/>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Atento a lo dispuesto en los preceptos legales de referencia, es de señalar que el SUJETO OBLIGADO, cuenta con diversas unidades administrativas para el ejercicio de sus atribuciones, entre las cuales, se encuentra la Dirección Jurídica y Consultiva. </w:t>
      </w:r>
    </w:p>
    <w:p w:rsidR="00000000" w:rsidDel="00000000" w:rsidP="00000000" w:rsidRDefault="00000000" w:rsidRPr="00000000" w14:paraId="000000DD">
      <w:pPr>
        <w:tabs>
          <w:tab w:val="left" w:pos="7088"/>
        </w:tabs>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E">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En este sentido, al derivar la respuesta del área con atribuciones; </w:t>
      </w:r>
      <w:r w:rsidDel="00000000" w:rsidR="00000000" w:rsidRPr="00000000">
        <w:rPr>
          <w:rFonts w:ascii="Palatino Linotype" w:cs="Palatino Linotype" w:eastAsia="Palatino Linotype" w:hAnsi="Palatino Linotype"/>
          <w:color w:val="000000"/>
          <w:rtl w:val="0"/>
        </w:rPr>
        <w:t xml:space="preserve">este Instituto no puede prejuzgar sobre las contestaciones esgrimidas por los sujetos obligados, dado que no se encuentra facultado para </w:t>
      </w:r>
      <w:r w:rsidDel="00000000" w:rsidR="00000000" w:rsidRPr="00000000">
        <w:rPr>
          <w:rFonts w:ascii="Palatino Linotype" w:cs="Palatino Linotype" w:eastAsia="Palatino Linotype" w:hAnsi="Palatino Linotype"/>
          <w:b w:val="1"/>
          <w:color w:val="000000"/>
          <w:rtl w:val="0"/>
        </w:rPr>
        <w:t xml:space="preserve">dudar de la veracidad</w:t>
      </w:r>
      <w:r w:rsidDel="00000000" w:rsidR="00000000" w:rsidRPr="00000000">
        <w:rPr>
          <w:rFonts w:ascii="Palatino Linotype" w:cs="Palatino Linotype" w:eastAsia="Palatino Linotype" w:hAnsi="Palatino Linotype"/>
          <w:color w:val="000000"/>
          <w:rtl w:val="0"/>
        </w:rPr>
        <w:t xml:space="preserve"> </w:t>
      </w:r>
      <w:r w:rsidDel="00000000" w:rsidR="00000000" w:rsidRPr="00000000">
        <w:rPr>
          <w:rFonts w:ascii="Palatino Linotype" w:cs="Palatino Linotype" w:eastAsia="Palatino Linotype" w:hAnsi="Palatino Linotype"/>
          <w:rtl w:val="0"/>
        </w:rPr>
        <w:t xml:space="preserve">de las respuestas emitidas por los sujetos obligados ni de la que ponen a disposición de los solicitantes; situación que se aleja de las atribuciones de este Instituto </w:t>
      </w:r>
      <w:r w:rsidDel="00000000" w:rsidR="00000000" w:rsidRPr="00000000">
        <w:rPr>
          <w:rFonts w:ascii="Palatino Linotype" w:cs="Palatino Linotype" w:eastAsia="Palatino Linotype" w:hAnsi="Palatino Linotype"/>
          <w:color w:val="000000"/>
          <w:rtl w:val="0"/>
        </w:rPr>
        <w:t xml:space="preserve">máxime que al momento que ponen a disposición ésta, la misma tiene el carácter oficial y se presume veraz, tan es así que la misma queda registrada en el SAIMEX.</w:t>
      </w:r>
      <w:r w:rsidDel="00000000" w:rsidR="00000000" w:rsidRPr="00000000">
        <w:rPr>
          <w:rtl w:val="0"/>
        </w:rPr>
      </w:r>
    </w:p>
    <w:p w:rsidR="00000000" w:rsidDel="00000000" w:rsidP="00000000" w:rsidRDefault="00000000" w:rsidRPr="00000000" w14:paraId="000000DF">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0">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Sirviendo de apoyo a lo anterior por analogía, el criterio 31-10 emitido por el ahora Instituto Nacional de Transparencia, Acceso a la Información y Protección de Datos Personales, que a la letra dice:</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360" w:before="240" w:line="240" w:lineRule="auto"/>
        <w:ind w:left="851" w:right="850" w:firstLine="0"/>
        <w:jc w:val="both"/>
        <w:rPr>
          <w:rFonts w:ascii="Palatino Linotype" w:cs="Palatino Linotype" w:eastAsia="Palatino Linotype" w:hAnsi="Palatino Linotype"/>
          <w:b w:val="0"/>
          <w:i w:val="1"/>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El Instituto Federal de Acceso a la Información y Protección de Datos </w:t>
      </w:r>
      <w:r w:rsidDel="00000000" w:rsidR="00000000" w:rsidRPr="00000000">
        <w:rPr>
          <w:rFonts w:ascii="Palatino Linotype" w:cs="Palatino Linotype" w:eastAsia="Palatino Linotype" w:hAnsi="Palatino Linotype"/>
          <w:b w:val="1"/>
          <w:i w:val="1"/>
          <w:smallCaps w:val="0"/>
          <w:strike w:val="0"/>
          <w:color w:val="000000"/>
          <w:sz w:val="24"/>
          <w:szCs w:val="24"/>
          <w:u w:val="none"/>
          <w:shd w:fill="auto" w:val="clear"/>
          <w:vertAlign w:val="baseline"/>
          <w:rtl w:val="0"/>
        </w:rPr>
        <w:t xml:space="preserve">no cuenta con facultades para pronunciarse respecto de la veracidad de los documentos proporcionados por los sujetos obligados.</w:t>
      </w:r>
      <w:r w:rsidDel="00000000" w:rsidR="00000000" w:rsidRPr="00000000">
        <w:rPr>
          <w:rFonts w:ascii="Palatino Linotype" w:cs="Palatino Linotype" w:eastAsia="Palatino Linotype" w:hAnsi="Palatino Linotype"/>
          <w:b w:val="0"/>
          <w:i w:val="1"/>
          <w:smallCaps w:val="0"/>
          <w:strike w:val="0"/>
          <w:color w:val="000000"/>
          <w:sz w:val="24"/>
          <w:szCs w:val="24"/>
          <w:u w:val="none"/>
          <w:shd w:fill="auto" w:val="clear"/>
          <w:vertAlign w:val="baseline"/>
          <w:rtl w:val="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000000" w:rsidDel="00000000" w:rsidP="00000000" w:rsidRDefault="00000000" w:rsidRPr="00000000" w14:paraId="000000E2">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3">
      <w:pPr>
        <w:spacing w:line="360" w:lineRule="auto"/>
        <w:ind w:right="-93"/>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4">
      <w:pPr>
        <w:spacing w:after="240" w:before="240" w:line="360" w:lineRule="auto"/>
        <w:ind w:right="5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Agotado lo anterior, de conformidad a lo que señalan los artículos 3, fracciones IX, XX, XXXII, XLV; y  137 de la Ley de Transparencia y Acceso a la Información Pública del Estado de México y Municipios vigente, que se leen como sigue:</w:t>
      </w:r>
    </w:p>
    <w:p w:rsidR="00000000" w:rsidDel="00000000" w:rsidP="00000000" w:rsidRDefault="00000000" w:rsidRPr="00000000" w14:paraId="000000E5">
      <w:pPr>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p>
    <w:p w:rsidR="00000000" w:rsidDel="00000000" w:rsidP="00000000" w:rsidRDefault="00000000" w:rsidRPr="00000000" w14:paraId="000000E6">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p>
    <w:p w:rsidR="00000000" w:rsidDel="00000000" w:rsidP="00000000" w:rsidRDefault="00000000" w:rsidRPr="00000000" w14:paraId="000000E7">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E8">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p>
    <w:p w:rsidR="00000000" w:rsidDel="00000000" w:rsidP="00000000" w:rsidRDefault="00000000" w:rsidRPr="00000000" w14:paraId="000000E9">
      <w:pPr>
        <w:ind w:left="993" w:right="104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EA">
      <w:pPr>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B">
      <w:pPr>
        <w:spacing w:after="0" w:lineRule="auto"/>
        <w:ind w:left="993" w:right="104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EC">
      <w:pPr>
        <w:spacing w:after="0" w:before="0" w:lineRule="auto"/>
        <w:ind w:left="993" w:right="104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0ED">
      <w:pPr>
        <w:spacing w:after="0" w:before="0" w:line="360" w:lineRule="auto"/>
        <w:ind w:right="51"/>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0EE">
      <w:pPr>
        <w:spacing w:after="240" w:before="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en el artículo 140 de la precitada Ley, se enuncian los casos en los cuales el acceso a la información pública será restringido excepcionalmente, cuando por razones de interés público, ésta sea clasificada como reservada, de los que se resaltan los siguientes:</w:t>
      </w:r>
    </w:p>
    <w:p w:rsidR="00000000" w:rsidDel="00000000" w:rsidP="00000000" w:rsidRDefault="00000000" w:rsidRPr="00000000" w14:paraId="000000EF">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rtl w:val="0"/>
        </w:rPr>
        <w:t xml:space="preserve">“</w:t>
      </w: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F0">
      <w:pPr>
        <w:spacing w:after="240" w:before="240" w:lineRule="auto"/>
        <w:ind w:left="708"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rtl w:val="0"/>
        </w:rPr>
        <w:t xml:space="preserve">VI.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rsidR="00000000" w:rsidDel="00000000" w:rsidP="00000000" w:rsidRDefault="00000000" w:rsidRPr="00000000" w14:paraId="000000F1">
      <w:pPr>
        <w:spacing w:after="240" w:before="240" w:lineRule="auto"/>
        <w:ind w:left="708"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r>
      <w:r w:rsidDel="00000000" w:rsidR="00000000" w:rsidRPr="00000000">
        <w:rPr>
          <w:rtl w:val="0"/>
        </w:rPr>
      </w:r>
    </w:p>
    <w:p w:rsidR="00000000" w:rsidDel="00000000" w:rsidP="00000000" w:rsidRDefault="00000000" w:rsidRPr="00000000" w14:paraId="000000F2">
      <w:pPr>
        <w:spacing w:after="240" w:before="240" w:lineRule="auto"/>
        <w:ind w:left="708" w:firstLine="0"/>
        <w:jc w:val="both"/>
        <w:rPr>
          <w:rFonts w:ascii="Palatino Linotype" w:cs="Palatino Linotype" w:eastAsia="Palatino Linotype" w:hAnsi="Palatino Linotype"/>
          <w:i w:val="1"/>
          <w:u w:val="single"/>
        </w:rPr>
      </w:pPr>
      <w:r w:rsidDel="00000000" w:rsidR="00000000" w:rsidRPr="00000000">
        <w:rPr>
          <w:rFonts w:ascii="Palatino Linotype" w:cs="Palatino Linotype" w:eastAsia="Palatino Linotype" w:hAnsi="Palatino Linotype"/>
          <w:b w:val="1"/>
          <w:i w:val="1"/>
          <w:rtl w:val="0"/>
        </w:rPr>
        <w:t xml:space="preserve">VIII.</w:t>
      </w:r>
      <w:r w:rsidDel="00000000" w:rsidR="00000000" w:rsidRPr="00000000">
        <w:rPr>
          <w:rFonts w:ascii="Palatino Linotype" w:cs="Palatino Linotype" w:eastAsia="Palatino Linotype" w:hAnsi="Palatino Linotype"/>
          <w:i w:val="1"/>
          <w:rtl w:val="0"/>
        </w:rPr>
        <w:t xml:space="preserve"> </w:t>
      </w:r>
      <w:r w:rsidDel="00000000" w:rsidR="00000000" w:rsidRPr="00000000">
        <w:rPr>
          <w:rFonts w:ascii="Palatino Linotype" w:cs="Palatino Linotype" w:eastAsia="Palatino Linotype" w:hAnsi="Palatino Linotype"/>
          <w:i w:val="1"/>
          <w:u w:val="single"/>
          <w:rtl w:val="0"/>
        </w:rPr>
        <w:t xml:space="preserve">Vulnere la conducción de los expedientes judiciales o de los procedimientos administrativos seguidos en forma de juicio, en tanto no hayan quedado firmes;</w:t>
      </w:r>
    </w:p>
    <w:p w:rsidR="00000000" w:rsidDel="00000000" w:rsidP="00000000" w:rsidRDefault="00000000" w:rsidRPr="00000000" w14:paraId="000000F3">
      <w:pPr>
        <w:spacing w:after="240" w:before="240" w:line="360" w:lineRule="auto"/>
        <w:ind w:left="708"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w:t>
      </w:r>
    </w:p>
    <w:p w:rsidR="00000000" w:rsidDel="00000000" w:rsidP="00000000" w:rsidRDefault="00000000" w:rsidRPr="00000000" w14:paraId="000000F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esta manera, y atendiendo a la naturaleza de la información solicitada, en virtud de que el SUJETO OBLIGADO señaló la imposibilidad, al tenerse un procedimiento el cual no ha concluido y quedado firme, pertenece a un procedimiento, debe someter a consideración del Comité de Transparencia del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para clasificarse como reservada atendiendo las formalidades previstas en los artículos 47, 49 fracción VIII, 122, 125, 128, 129, 131, 132 fracción II, 133, 140 fracción VII y 141 de la Ley de Transparencia y Acceso a la Información Pública del Estado de México y Municipios, que se transcriben a continuación:</w:t>
      </w:r>
    </w:p>
    <w:p w:rsidR="00000000" w:rsidDel="00000000" w:rsidP="00000000" w:rsidRDefault="00000000" w:rsidRPr="00000000" w14:paraId="000000F5">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47. </w:t>
      </w:r>
      <w:r w:rsidDel="00000000" w:rsidR="00000000" w:rsidRPr="00000000">
        <w:rPr>
          <w:rFonts w:ascii="Palatino Linotype" w:cs="Palatino Linotype" w:eastAsia="Palatino Linotype" w:hAnsi="Palatino Linotype"/>
          <w:i w:val="1"/>
          <w:sz w:val="22"/>
          <w:szCs w:val="22"/>
          <w:rtl w:val="0"/>
        </w:rPr>
        <w:t xml:space="preserve">El Comité de Transparencia será la autoridad máxima al interior del sujeto obligado en materia del derecho de acceso a la información.</w:t>
      </w:r>
      <w:r w:rsidDel="00000000" w:rsidR="00000000" w:rsidRPr="00000000">
        <w:rPr>
          <w:rtl w:val="0"/>
        </w:rPr>
      </w:r>
    </w:p>
    <w:p w:rsidR="00000000" w:rsidDel="00000000" w:rsidP="00000000" w:rsidRDefault="00000000" w:rsidRPr="00000000" w14:paraId="000000F6">
      <w:pPr>
        <w:ind w:lef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titulares de las unidades administrativas que propongan la reserva, confidencialidad o declaren la inexistencia de información, acudirán a las sesiones de dicho Comité donde se discuta la propuesta correspondiente</w:t>
      </w:r>
      <w:r w:rsidDel="00000000" w:rsidR="00000000" w:rsidRPr="00000000">
        <w:rPr>
          <w:rFonts w:ascii="Arial" w:cs="Arial" w:eastAsia="Arial" w:hAnsi="Arial"/>
          <w:b w:val="1"/>
          <w:sz w:val="18"/>
          <w:szCs w:val="18"/>
          <w:rtl w:val="0"/>
        </w:rPr>
        <w:t xml:space="preserve">.</w:t>
      </w:r>
      <w:r w:rsidDel="00000000" w:rsidR="00000000" w:rsidRPr="00000000">
        <w:rPr>
          <w:rtl w:val="0"/>
        </w:rPr>
      </w:r>
    </w:p>
    <w:p w:rsidR="00000000" w:rsidDel="00000000" w:rsidP="00000000" w:rsidRDefault="00000000" w:rsidRPr="00000000" w14:paraId="000000F7">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8">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Los Comités de Transparencia tendrán las siguientes atribuciones:</w:t>
      </w:r>
    </w:p>
    <w:p w:rsidR="00000000" w:rsidDel="00000000" w:rsidP="00000000" w:rsidRDefault="00000000" w:rsidRPr="00000000" w14:paraId="000000F9">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A">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p>
    <w:p w:rsidR="00000000" w:rsidDel="00000000" w:rsidP="00000000" w:rsidRDefault="00000000" w:rsidRPr="00000000" w14:paraId="000000FB">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FC">
      <w:pPr>
        <w:ind w:left="567" w:right="335" w:firstLine="0"/>
        <w:jc w:val="both"/>
        <w:rPr>
          <w:rFonts w:ascii="Palatino Linotype" w:cs="Palatino Linotype" w:eastAsia="Palatino Linotype" w:hAnsi="Palatino Linotype"/>
          <w:b w:val="1"/>
          <w:i w:val="1"/>
          <w:color w:val="ff0000"/>
          <w:sz w:val="22"/>
          <w:szCs w:val="22"/>
        </w:rPr>
      </w:pPr>
      <w:r w:rsidDel="00000000" w:rsidR="00000000" w:rsidRPr="00000000">
        <w:rPr>
          <w:rtl w:val="0"/>
        </w:rPr>
      </w:r>
    </w:p>
    <w:p w:rsidR="00000000" w:rsidDel="00000000" w:rsidP="00000000" w:rsidRDefault="00000000" w:rsidRPr="00000000" w14:paraId="000000FD">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122. La clasificación es el proceso mediante el cual el sujeto obligado determina que la información en su poder actualiza alguno de los supuestos de reserva</w:t>
      </w:r>
      <w:r w:rsidDel="00000000" w:rsidR="00000000" w:rsidRPr="00000000">
        <w:rPr>
          <w:rFonts w:ascii="Palatino Linotype" w:cs="Palatino Linotype" w:eastAsia="Palatino Linotype" w:hAnsi="Palatino Linotype"/>
          <w:i w:val="1"/>
          <w:sz w:val="22"/>
          <w:szCs w:val="22"/>
          <w:rtl w:val="0"/>
        </w:rPr>
        <w:t xml:space="preserve"> o confidencialidad, de conformidad con lo dispuesto en el presente título.</w:t>
      </w:r>
    </w:p>
    <w:p w:rsidR="00000000" w:rsidDel="00000000" w:rsidP="00000000" w:rsidRDefault="00000000" w:rsidRPr="00000000" w14:paraId="000000FE">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F">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supuestos de reserva</w:t>
      </w:r>
      <w:r w:rsidDel="00000000" w:rsidR="00000000" w:rsidRPr="00000000">
        <w:rPr>
          <w:rFonts w:ascii="Palatino Linotype" w:cs="Palatino Linotype" w:eastAsia="Palatino Linotype" w:hAnsi="Palatino Linotype"/>
          <w:i w:val="1"/>
          <w:sz w:val="22"/>
          <w:szCs w:val="22"/>
          <w:rtl w:val="0"/>
        </w:rPr>
        <w:t xml:space="preserve"> o confidencialidad previstos en las leyes </w:t>
      </w:r>
      <w:r w:rsidDel="00000000" w:rsidR="00000000" w:rsidRPr="00000000">
        <w:rPr>
          <w:rFonts w:ascii="Palatino Linotype" w:cs="Palatino Linotype" w:eastAsia="Palatino Linotype" w:hAnsi="Palatino Linotype"/>
          <w:b w:val="1"/>
          <w:i w:val="1"/>
          <w:sz w:val="22"/>
          <w:szCs w:val="22"/>
          <w:rtl w:val="0"/>
        </w:rPr>
        <w:t xml:space="preserve">deberán ser acordes con las bases, principios y disposiciones establecidos en la Ley General y, en ningún caso, podrán contravenirla.</w:t>
      </w:r>
    </w:p>
    <w:p w:rsidR="00000000" w:rsidDel="00000000" w:rsidP="00000000" w:rsidRDefault="00000000" w:rsidRPr="00000000" w14:paraId="00000100">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1">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 los sujetos obligados serán los responsables de clasificar la información, de conformidad con lo dispuesto en la presente Ley y demás disposiciones jurídicas aplicables.</w:t>
      </w:r>
    </w:p>
    <w:p w:rsidR="00000000" w:rsidDel="00000000" w:rsidP="00000000" w:rsidRDefault="00000000" w:rsidRPr="00000000" w14:paraId="00000102">
      <w:pPr>
        <w:ind w:left="567" w:right="33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3">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125. La información clasificada como reservada, de acuerdo a lo establecido en esta Ley podrá permanecer con tal carácter hasta por un periodo de cinco años, contados a partir de su clasificación,</w:t>
      </w:r>
      <w:r w:rsidDel="00000000" w:rsidR="00000000" w:rsidRPr="00000000">
        <w:rPr>
          <w:rFonts w:ascii="Palatino Linotype" w:cs="Palatino Linotype" w:eastAsia="Palatino Linotype" w:hAnsi="Palatino Linotype"/>
          <w:i w:val="1"/>
          <w:sz w:val="22"/>
          <w:szCs w:val="22"/>
          <w:rtl w:val="0"/>
        </w:rPr>
        <w:t xml:space="preserve"> salvo que antes del cumplimiento del periodo de restricción, dejaran de existir los motivos de su reserva.</w:t>
      </w:r>
    </w:p>
    <w:p w:rsidR="00000000" w:rsidDel="00000000" w:rsidP="00000000" w:rsidRDefault="00000000" w:rsidRPr="00000000" w14:paraId="00000104">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5">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titulares de las áreas deberán determinar que el plazo de reserva </w:t>
      </w:r>
      <w:r w:rsidDel="00000000" w:rsidR="00000000" w:rsidRPr="00000000">
        <w:rPr>
          <w:rFonts w:ascii="Palatino Linotype" w:cs="Palatino Linotype" w:eastAsia="Palatino Linotype" w:hAnsi="Palatino Linotype"/>
          <w:i w:val="1"/>
          <w:sz w:val="22"/>
          <w:szCs w:val="22"/>
          <w:rtl w:val="0"/>
        </w:rPr>
        <w:t xml:space="preserve">sea el estrictamente necesario para proteger la información mientras subsistan las causas que dieron origen a la clasificación, salvaguardando el interés público protegido y tomarán en cuenta las razones que justifican el periodo de reserva establecido.</w:t>
      </w:r>
    </w:p>
    <w:p w:rsidR="00000000" w:rsidDel="00000000" w:rsidP="00000000" w:rsidRDefault="00000000" w:rsidRPr="00000000" w14:paraId="00000106">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7">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Excepcionalmente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w:t>
      </w:r>
    </w:p>
    <w:p w:rsidR="00000000" w:rsidDel="00000000" w:rsidP="00000000" w:rsidRDefault="00000000" w:rsidRPr="00000000" w14:paraId="00000108">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9">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rsidR="00000000" w:rsidDel="00000000" w:rsidP="00000000" w:rsidRDefault="00000000" w:rsidRPr="00000000" w14:paraId="0000010A">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B">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128. </w:t>
      </w:r>
      <w:r w:rsidDel="00000000" w:rsidR="00000000" w:rsidRPr="00000000">
        <w:rPr>
          <w:rFonts w:ascii="Palatino Linotype" w:cs="Palatino Linotype" w:eastAsia="Palatino Linotype" w:hAnsi="Palatino Linotype"/>
          <w:i w:val="1"/>
          <w:sz w:val="22"/>
          <w:szCs w:val="22"/>
          <w:rtl w:val="0"/>
        </w:rPr>
        <w:t xml:space="preserve">En los casos en que se niegue el acceso a la información, por actualizarse alguno de los supuestos de clasificación, el Comité de Transparencia deberá confirmar, modificar o revocar la decisión.</w:t>
      </w:r>
    </w:p>
    <w:p w:rsidR="00000000" w:rsidDel="00000000" w:rsidP="00000000" w:rsidRDefault="00000000" w:rsidRPr="00000000" w14:paraId="0000010C">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D">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Para motivar la clasificación de la información</w:t>
      </w:r>
      <w:r w:rsidDel="00000000" w:rsidR="00000000" w:rsidRPr="00000000">
        <w:rPr>
          <w:rFonts w:ascii="Palatino Linotype" w:cs="Palatino Linotype" w:eastAsia="Palatino Linotype" w:hAnsi="Palatino Linotype"/>
          <w:i w:val="1"/>
          <w:sz w:val="22"/>
          <w:szCs w:val="22"/>
          <w:rtl w:val="0"/>
        </w:rPr>
        <w:t xml:space="preserve"> y la ampliación del plazo de reserva, </w:t>
      </w:r>
      <w:r w:rsidDel="00000000" w:rsidR="00000000" w:rsidRPr="00000000">
        <w:rPr>
          <w:rFonts w:ascii="Palatino Linotype" w:cs="Palatino Linotype" w:eastAsia="Palatino Linotype" w:hAnsi="Palatino Linotype"/>
          <w:b w:val="1"/>
          <w:i w:val="1"/>
          <w:sz w:val="22"/>
          <w:szCs w:val="22"/>
          <w:rtl w:val="0"/>
        </w:rPr>
        <w:t xml:space="preserve">se deberán señalar las razones, motivos o circunstancias especiales que llevaron al sujeto obligado a concluir que el caso particular se ajusta al supuesto previsto por la norma legal invocada como fundamento. Además, el sujeto obligado deberá, en todo momento, aplicar una prueba de daño.</w:t>
      </w:r>
    </w:p>
    <w:p w:rsidR="00000000" w:rsidDel="00000000" w:rsidP="00000000" w:rsidRDefault="00000000" w:rsidRPr="00000000" w14:paraId="0000010E">
      <w:pPr>
        <w:ind w:left="567" w:right="33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F">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Tratándose de aquélla información que actualice los supuestos de clasificación, deberá señalarse el plazo al que estará sujeto la reserva.</w:t>
      </w:r>
    </w:p>
    <w:p w:rsidR="00000000" w:rsidDel="00000000" w:rsidP="00000000" w:rsidRDefault="00000000" w:rsidRPr="00000000" w14:paraId="00000110">
      <w:pPr>
        <w:ind w:left="567" w:right="33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1">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129. </w:t>
      </w:r>
      <w:r w:rsidDel="00000000" w:rsidR="00000000" w:rsidRPr="00000000">
        <w:rPr>
          <w:rFonts w:ascii="Palatino Linotype" w:cs="Palatino Linotype" w:eastAsia="Palatino Linotype" w:hAnsi="Palatino Linotype"/>
          <w:i w:val="1"/>
          <w:sz w:val="22"/>
          <w:szCs w:val="22"/>
          <w:rtl w:val="0"/>
        </w:rPr>
        <w:t xml:space="preserve">En la aplicación de la prueba de daño, el sujeto obligado deberá precisar las razones objetivas por las que la apertura de la información generaría una afectación, justificando que:</w:t>
      </w:r>
    </w:p>
    <w:p w:rsidR="00000000" w:rsidDel="00000000" w:rsidP="00000000" w:rsidRDefault="00000000" w:rsidRPr="00000000" w14:paraId="00000112">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w:t>
      </w:r>
      <w:r w:rsidDel="00000000" w:rsidR="00000000" w:rsidRPr="00000000">
        <w:rPr>
          <w:rFonts w:ascii="Palatino Linotype" w:cs="Palatino Linotype" w:eastAsia="Palatino Linotype" w:hAnsi="Palatino Linotype"/>
          <w:i w:val="1"/>
          <w:sz w:val="22"/>
          <w:szCs w:val="22"/>
          <w:rtl w:val="0"/>
        </w:rPr>
        <w:t xml:space="preserve">La divulgación de la información representa un riesgo real, demostrable e identificable del perjuicio significativo al interés público o a la seguridad pública;</w:t>
      </w:r>
    </w:p>
    <w:p w:rsidR="00000000" w:rsidDel="00000000" w:rsidP="00000000" w:rsidRDefault="00000000" w:rsidRPr="00000000" w14:paraId="00000113">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El riesgo de perjuicio que supondría la divulgación supera el interés público general de que se difunda; y</w:t>
      </w:r>
    </w:p>
    <w:p w:rsidR="00000000" w:rsidDel="00000000" w:rsidP="00000000" w:rsidRDefault="00000000" w:rsidRPr="00000000" w14:paraId="00000114">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 </w:t>
      </w:r>
      <w:r w:rsidDel="00000000" w:rsidR="00000000" w:rsidRPr="00000000">
        <w:rPr>
          <w:rFonts w:ascii="Palatino Linotype" w:cs="Palatino Linotype" w:eastAsia="Palatino Linotype" w:hAnsi="Palatino Linotype"/>
          <w:i w:val="1"/>
          <w:sz w:val="22"/>
          <w:szCs w:val="22"/>
          <w:rtl w:val="0"/>
        </w:rPr>
        <w:t xml:space="preserve">La limitación se adecua al principio de proporcionalidad y representa el medio menos restrictivo disponible representa el medio menos restrictivo disponible para evitar el perjuicio.</w:t>
      </w:r>
    </w:p>
    <w:p w:rsidR="00000000" w:rsidDel="00000000" w:rsidP="00000000" w:rsidRDefault="00000000" w:rsidRPr="00000000" w14:paraId="00000115">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6">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131. </w:t>
      </w:r>
      <w:r w:rsidDel="00000000" w:rsidR="00000000" w:rsidRPr="00000000">
        <w:rPr>
          <w:rFonts w:ascii="Palatino Linotype" w:cs="Palatino Linotype" w:eastAsia="Palatino Linotype" w:hAnsi="Palatino Linotype"/>
          <w:i w:val="1"/>
          <w:sz w:val="22"/>
          <w:szCs w:val="22"/>
          <w:rtl w:val="0"/>
        </w:rPr>
        <w:t xml:space="preserve">La carga de la prueba para justificar toda negativa de acceso a la información, por actualizarse cualquiera de los supuestos de clasificación previstos en esta Ley corresponderá a los sujetos obligados; en tal caso deberá fundar y motivar debidamente la clasificación de la información, de conformidad con lo previsto en la presente Ley.</w:t>
      </w:r>
    </w:p>
    <w:p w:rsidR="00000000" w:rsidDel="00000000" w:rsidP="00000000" w:rsidRDefault="00000000" w:rsidRPr="00000000" w14:paraId="00000117">
      <w:pPr>
        <w:ind w:left="567" w:right="33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18">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 </w:t>
      </w:r>
      <w:r w:rsidDel="00000000" w:rsidR="00000000" w:rsidRPr="00000000">
        <w:rPr>
          <w:rFonts w:ascii="Palatino Linotype" w:cs="Palatino Linotype" w:eastAsia="Palatino Linotype" w:hAnsi="Palatino Linotype"/>
          <w:i w:val="1"/>
          <w:sz w:val="22"/>
          <w:szCs w:val="22"/>
          <w:rtl w:val="0"/>
        </w:rPr>
        <w:t xml:space="preserve">La clasificación de la información se llevará a cabo en el momento en que:</w:t>
      </w:r>
    </w:p>
    <w:p w:rsidR="00000000" w:rsidDel="00000000" w:rsidP="00000000" w:rsidRDefault="00000000" w:rsidRPr="00000000" w14:paraId="00000119">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1A">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w:t>
      </w:r>
      <w:r w:rsidDel="00000000" w:rsidR="00000000" w:rsidRPr="00000000">
        <w:rPr>
          <w:rFonts w:ascii="Palatino Linotype" w:cs="Palatino Linotype" w:eastAsia="Palatino Linotype" w:hAnsi="Palatino Linotype"/>
          <w:i w:val="1"/>
          <w:sz w:val="22"/>
          <w:szCs w:val="22"/>
          <w:rtl w:val="0"/>
        </w:rPr>
        <w:t xml:space="preserve">Se determine mediante resolución de autoridad competente; o</w:t>
      </w:r>
    </w:p>
    <w:p w:rsidR="00000000" w:rsidDel="00000000" w:rsidP="00000000" w:rsidRDefault="00000000" w:rsidRPr="00000000" w14:paraId="0000011B">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11C">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D">
      <w:pPr>
        <w:ind w:left="567" w:right="335"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133. Los documentos clasificados total</w:t>
      </w:r>
      <w:r w:rsidDel="00000000" w:rsidR="00000000" w:rsidRPr="00000000">
        <w:rPr>
          <w:rFonts w:ascii="Palatino Linotype" w:cs="Palatino Linotype" w:eastAsia="Palatino Linotype" w:hAnsi="Palatino Linotype"/>
          <w:i w:val="1"/>
          <w:sz w:val="22"/>
          <w:szCs w:val="22"/>
          <w:rtl w:val="0"/>
        </w:rPr>
        <w:t xml:space="preserve"> o parcialmente </w:t>
      </w:r>
      <w:r w:rsidDel="00000000" w:rsidR="00000000" w:rsidRPr="00000000">
        <w:rPr>
          <w:rFonts w:ascii="Palatino Linotype" w:cs="Palatino Linotype" w:eastAsia="Palatino Linotype" w:hAnsi="Palatino Linotype"/>
          <w:b w:val="1"/>
          <w:i w:val="1"/>
          <w:sz w:val="22"/>
          <w:szCs w:val="22"/>
          <w:rtl w:val="0"/>
        </w:rPr>
        <w:t xml:space="preserve">deberán llevar una leyenda que indique tal carácter, la fecha de clasificación, el fundamento legal y, en su caso, el periodo de reserva.</w:t>
      </w:r>
    </w:p>
    <w:p w:rsidR="00000000" w:rsidDel="00000000" w:rsidP="00000000" w:rsidRDefault="00000000" w:rsidRPr="00000000" w14:paraId="0000011E">
      <w:pPr>
        <w:ind w:left="567" w:right="335"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1F">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140. </w:t>
      </w:r>
      <w:r w:rsidDel="00000000" w:rsidR="00000000" w:rsidRPr="00000000">
        <w:rPr>
          <w:rFonts w:ascii="Palatino Linotype" w:cs="Palatino Linotype" w:eastAsia="Palatino Linotype" w:hAnsi="Palatino Linotype"/>
          <w:i w:val="1"/>
          <w:sz w:val="22"/>
          <w:szCs w:val="22"/>
          <w:rtl w:val="0"/>
        </w:rPr>
        <w:t xml:space="preserve">El acceso a la información pública será restringido excepcionalmente, cuando por razones de interés público, ésta sea clasificada como reservada, conforme a los criterios siguientes:</w:t>
      </w:r>
    </w:p>
    <w:p w:rsidR="00000000" w:rsidDel="00000000" w:rsidP="00000000" w:rsidRDefault="00000000" w:rsidRPr="00000000" w14:paraId="00000120">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21">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 </w:t>
      </w:r>
      <w:r w:rsidDel="00000000" w:rsidR="00000000" w:rsidRPr="00000000">
        <w:rPr>
          <w:rFonts w:ascii="Palatino Linotype" w:cs="Palatino Linotype" w:eastAsia="Palatino Linotype" w:hAnsi="Palatino Linotype"/>
          <w:i w:val="1"/>
          <w:sz w:val="22"/>
          <w:szCs w:val="22"/>
          <w:rtl w:val="0"/>
        </w:rPr>
        <w:t xml:space="preserve">La que contengan las opiniones, recomendaciones o puntos de vista que formen parte del proceso deliberativo de los servidores públicos, hasta en tanto sea adoptada la decisión definitiva, la cual deberá estar documentada;</w:t>
      </w:r>
    </w:p>
    <w:p w:rsidR="00000000" w:rsidDel="00000000" w:rsidP="00000000" w:rsidRDefault="00000000" w:rsidRPr="00000000" w14:paraId="00000122">
      <w:pPr>
        <w:ind w:left="567" w:right="335"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23">
      <w:pPr>
        <w:ind w:left="567" w:right="335"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141. </w:t>
      </w:r>
      <w:r w:rsidDel="00000000" w:rsidR="00000000" w:rsidRPr="00000000">
        <w:rPr>
          <w:rFonts w:ascii="Palatino Linotype" w:cs="Palatino Linotype" w:eastAsia="Palatino Linotype" w:hAnsi="Palatino Linotype"/>
          <w:i w:val="1"/>
          <w:sz w:val="22"/>
          <w:szCs w:val="22"/>
          <w:rtl w:val="0"/>
        </w:rPr>
        <w:t xml:space="preserve">Las causales de reserva previstas en este Capítulo se deberán fundar y motivar, a través de la aplicación de la prueba de daño a la que se hace referencia en el presente Título.</w:t>
      </w:r>
    </w:p>
    <w:p w:rsidR="00000000" w:rsidDel="00000000" w:rsidP="00000000" w:rsidRDefault="00000000" w:rsidRPr="00000000" w14:paraId="00000124">
      <w:pPr>
        <w:spacing w:after="240" w:before="240" w:line="360" w:lineRule="auto"/>
        <w:ind w:left="567" w:right="334" w:firstLine="0"/>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(Énfasis añadido)</w:t>
      </w:r>
    </w:p>
    <w:p w:rsidR="00000000" w:rsidDel="00000000" w:rsidP="00000000" w:rsidRDefault="00000000" w:rsidRPr="00000000" w14:paraId="00000125">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otro lado, no se omite señalar, que de conforme a al artículo 115 de la Ley General de Transparencia y Acceso a la Información Pública, 142 de la Ley de Transparencia y Acceso a la Información Pública del Estado de México y Municipios, y el Trigésimo Séptimo de los Lineamientos Generales, establecen que no podrá invocarse con el carácter de reservada, aquella información que se encuentre relacionada con posibles violaciones a derechos humanos delitos de lesa humanidad</w:t>
      </w:r>
      <w:r w:rsidDel="00000000" w:rsidR="00000000" w:rsidRPr="00000000">
        <w:rPr>
          <w:rtl w:val="0"/>
        </w:rPr>
        <w:t xml:space="preserve"> </w:t>
      </w:r>
      <w:r w:rsidDel="00000000" w:rsidR="00000000" w:rsidRPr="00000000">
        <w:rPr>
          <w:rFonts w:ascii="Palatino Linotype" w:cs="Palatino Linotype" w:eastAsia="Palatino Linotype" w:hAnsi="Palatino Linotype"/>
          <w:rtl w:val="0"/>
        </w:rPr>
        <w:t xml:space="preserve">o actos de corrupción, preceptos legales que establecen lo siguiente:</w:t>
      </w:r>
    </w:p>
    <w:p w:rsidR="00000000" w:rsidDel="00000000" w:rsidP="00000000" w:rsidRDefault="00000000" w:rsidRPr="00000000" w14:paraId="00000126">
      <w:pPr>
        <w:tabs>
          <w:tab w:val="left" w:pos="709"/>
        </w:tabs>
        <w:spacing w:line="360" w:lineRule="auto"/>
        <w:jc w:val="both"/>
        <w:rPr>
          <w:rFonts w:ascii="Palatino Linotype" w:cs="Palatino Linotype" w:eastAsia="Palatino Linotype" w:hAnsi="Palatino Linotype"/>
          <w:color w:val="ff0000"/>
        </w:rPr>
      </w:pPr>
      <w:r w:rsidDel="00000000" w:rsidR="00000000" w:rsidRPr="00000000">
        <w:rPr>
          <w:rtl w:val="0"/>
        </w:rPr>
      </w:r>
    </w:p>
    <w:p w:rsidR="00000000" w:rsidDel="00000000" w:rsidP="00000000" w:rsidRDefault="00000000" w:rsidRPr="00000000" w14:paraId="00000127">
      <w:pPr>
        <w:tabs>
          <w:tab w:val="left" w:pos="709"/>
        </w:tabs>
        <w:jc w:val="center"/>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General de Transparencia y Acceso a la Información Pública</w:t>
      </w:r>
    </w:p>
    <w:p w:rsidR="00000000" w:rsidDel="00000000" w:rsidP="00000000" w:rsidRDefault="00000000" w:rsidRPr="00000000" w14:paraId="00000128">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115.</w:t>
      </w:r>
      <w:r w:rsidDel="00000000" w:rsidR="00000000" w:rsidRPr="00000000">
        <w:rPr>
          <w:rFonts w:ascii="Palatino Linotype" w:cs="Palatino Linotype" w:eastAsia="Palatino Linotype" w:hAnsi="Palatino Linotype"/>
          <w:i w:val="1"/>
          <w:rtl w:val="0"/>
        </w:rPr>
        <w:t xml:space="preserve"> No podrá invocarse el carácter de reservado cuando:</w:t>
      </w:r>
    </w:p>
    <w:p w:rsidR="00000000" w:rsidDel="00000000" w:rsidP="00000000" w:rsidRDefault="00000000" w:rsidRPr="00000000" w14:paraId="00000129">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trate de violaciones graves de derechos humanos o delitos de lesa humanidad, o</w:t>
      </w:r>
    </w:p>
    <w:p w:rsidR="00000000" w:rsidDel="00000000" w:rsidP="00000000" w:rsidRDefault="00000000" w:rsidRPr="00000000" w14:paraId="0000012A">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trate de información relacionada con actos de corrupción de acuerdo con las leyes aplicables.</w:t>
      </w:r>
    </w:p>
    <w:p w:rsidR="00000000" w:rsidDel="00000000" w:rsidP="00000000" w:rsidRDefault="00000000" w:rsidRPr="00000000" w14:paraId="0000012B">
      <w:pPr>
        <w:tabs>
          <w:tab w:val="left" w:pos="709"/>
        </w:tabs>
        <w:ind w:left="567" w:right="567"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2C">
      <w:pPr>
        <w:tabs>
          <w:tab w:val="left" w:pos="709"/>
        </w:tabs>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Ley de Transparencia y Acceso a la Información Pública del Estado de México y Municipios</w:t>
      </w:r>
    </w:p>
    <w:p w:rsidR="00000000" w:rsidDel="00000000" w:rsidP="00000000" w:rsidRDefault="00000000" w:rsidRPr="00000000" w14:paraId="0000012D">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Artículo 142. Bajo ninguna circunstancia podrá invocarse el carácter de reservado cuando:</w:t>
      </w:r>
    </w:p>
    <w:p w:rsidR="00000000" w:rsidDel="00000000" w:rsidP="00000000" w:rsidRDefault="00000000" w:rsidRPr="00000000" w14:paraId="0000012E">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trate de violaciones graves de derechos humanos, calificada así por autoridad competente;</w:t>
      </w:r>
    </w:p>
    <w:p w:rsidR="00000000" w:rsidDel="00000000" w:rsidP="00000000" w:rsidRDefault="00000000" w:rsidRPr="00000000" w14:paraId="0000012F">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trate de la investigación de posibles violaciones graves de derechos humanos aun cuando no exista pronunciamiento previo de autoridad competente, cuando se determine, a partir de criterios cuantitativos y cualitativos la trascendencia social de las violaciones;</w:t>
      </w:r>
    </w:p>
    <w:p w:rsidR="00000000" w:rsidDel="00000000" w:rsidP="00000000" w:rsidRDefault="00000000" w:rsidRPr="00000000" w14:paraId="00000130">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rsidR="00000000" w:rsidDel="00000000" w:rsidP="00000000" w:rsidRDefault="00000000" w:rsidRPr="00000000" w14:paraId="00000131">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Se trate de información relacionada con actos de corrupción de conformidad con las disposiciones jurídicas aplicables.</w:t>
      </w:r>
    </w:p>
    <w:p w:rsidR="00000000" w:rsidDel="00000000" w:rsidP="00000000" w:rsidRDefault="00000000" w:rsidRPr="00000000" w14:paraId="00000132">
      <w:pPr>
        <w:tabs>
          <w:tab w:val="left" w:pos="709"/>
        </w:tabs>
        <w:ind w:left="567" w:right="567" w:firstLine="0"/>
        <w:jc w:val="both"/>
        <w:rPr>
          <w:rFonts w:ascii="Palatino Linotype" w:cs="Palatino Linotype" w:eastAsia="Palatino Linotype" w:hAnsi="Palatino Linotype"/>
          <w:i w:val="1"/>
          <w:color w:val="ff0000"/>
        </w:rPr>
      </w:pPr>
      <w:r w:rsidDel="00000000" w:rsidR="00000000" w:rsidRPr="00000000">
        <w:rPr>
          <w:rtl w:val="0"/>
        </w:rPr>
      </w:r>
    </w:p>
    <w:p w:rsidR="00000000" w:rsidDel="00000000" w:rsidP="00000000" w:rsidRDefault="00000000" w:rsidRPr="00000000" w14:paraId="00000133">
      <w:pPr>
        <w:tabs>
          <w:tab w:val="left" w:pos="709"/>
        </w:tabs>
        <w:ind w:left="567" w:right="567"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highlight w:val="white"/>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34">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Trigésimo séptimo. No podrá invocarse el carácter de reservado de la información cuando:</w:t>
      </w:r>
    </w:p>
    <w:p w:rsidR="00000000" w:rsidDel="00000000" w:rsidP="00000000" w:rsidRDefault="00000000" w:rsidRPr="00000000" w14:paraId="00000135">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        Se trate de violaciones graves de derechos humanos;</w:t>
      </w:r>
    </w:p>
    <w:p w:rsidR="00000000" w:rsidDel="00000000" w:rsidP="00000000" w:rsidRDefault="00000000" w:rsidRPr="00000000" w14:paraId="00000136">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II.       Se trate de delitos de lesa humanidad conforme a los tratados internacionales ratificados por el Estado mexicano, las resoluciones emitidas por organismos internacionales cuya competencia sea reconocida por el Estado mexicano, así como en las disposiciones legales aplicables;</w:t>
      </w:r>
    </w:p>
    <w:p w:rsidR="00000000" w:rsidDel="00000000" w:rsidP="00000000" w:rsidRDefault="00000000" w:rsidRPr="00000000" w14:paraId="00000137">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 III.      Se trate de información relacionada con actos de corrupción. Lo anterior, en función del uso o aprovechamiento indebido y excesivo de las facultades, funciones y competencias, en beneficio propio o de un tercero, por parte de un servidor público o de otra persona que reciba y ejerza recursos públicos o realice actos de autoridad en el ámbito federal, estatal y municipal, y de acuerdo con las leyes aplicables y los tratados internacionales ratificados por el Estado mexicano; o</w:t>
      </w:r>
    </w:p>
    <w:p w:rsidR="00000000" w:rsidDel="00000000" w:rsidP="00000000" w:rsidRDefault="00000000" w:rsidRPr="00000000" w14:paraId="00000138">
      <w:pPr>
        <w:tabs>
          <w:tab w:val="left" w:pos="709"/>
        </w:tabs>
        <w:ind w:left="567" w:right="567"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IV.      Cuando se trate de información relativa a la asignación y ejercicio de los gastos de campañas, precampañas y gastos en general de partidos políticos con cuenta al presupuesto público, ni las aportaciones de cualquier tipo o especie que realicen los particulares sin importar el destino de los recursos aportados; lo anterior de conformidad con lo establecido en la Ley General de Partidos Políticos.</w:t>
      </w:r>
    </w:p>
    <w:p w:rsidR="00000000" w:rsidDel="00000000" w:rsidP="00000000" w:rsidRDefault="00000000" w:rsidRPr="00000000" w14:paraId="00000139">
      <w:pPr>
        <w:tabs>
          <w:tab w:val="left" w:pos="709"/>
        </w:tabs>
        <w:spacing w:line="360" w:lineRule="auto"/>
        <w:ind w:right="567"/>
        <w:jc w:val="both"/>
        <w:rPr>
          <w:rFonts w:ascii="Palatino Linotype" w:cs="Palatino Linotype" w:eastAsia="Palatino Linotype" w:hAnsi="Palatino Linotype"/>
          <w:i w:val="1"/>
          <w:color w:val="ff0000"/>
        </w:rPr>
      </w:pPr>
      <w:r w:rsidDel="00000000" w:rsidR="00000000" w:rsidRPr="00000000">
        <w:rPr>
          <w:rtl w:val="0"/>
        </w:rPr>
      </w:r>
    </w:p>
    <w:p w:rsidR="00000000" w:rsidDel="00000000" w:rsidP="00000000" w:rsidRDefault="00000000" w:rsidRPr="00000000" w14:paraId="0000013A">
      <w:pPr>
        <w:tabs>
          <w:tab w:val="left" w:pos="709"/>
        </w:tabs>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derivado de la excepción establecida en los preceptos legales antes citados, resulta oportuno mencionar que en tal supuesto, esta ponencia considera que si la información relacionada con las denuncias o que se encuentra contenida dentro de la investigación o procedimiento es relativa a alguna de las fracciones de los artículos 115 de la Ley General de Transparencia y Acceso a la Información Pública, 142 de la Ley de Transparencia y Acceso a la Información Pública del Estado de México y Municipios, y Trigésimo Séptimo de los Lineamientos Generales en Materia de Clasificación y Desclasificación de la Información, así como para la Elaboración de Versiones Públicas; no podrá invocarse con el carácter de clasificada como reservada. En este supuesto resulta procedente su entrega en versión pública atendiendo los parámetros siguientes. </w:t>
      </w:r>
    </w:p>
    <w:p w:rsidR="00000000" w:rsidDel="00000000" w:rsidP="00000000" w:rsidRDefault="00000000" w:rsidRPr="00000000" w14:paraId="0000013B">
      <w:pPr>
        <w:tabs>
          <w:tab w:val="left" w:pos="709"/>
        </w:tabs>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De la Versión Pública. </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Debido a que la información requerida se destaca que de acuerdo con la naturaleza de la información, amerita la elaboración de una versión pública, esto es, omitirá, eliminará o suprimirá la información personal de los servidores públicos sujetos a evaluación, en el caso específico en dichos documentos pueden obran datos que son considerados confidenciales, cuyo acceso debe ser restringido, los cuales deben testarse al momento de la elaboración de versiones públicas, como es el caso del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Registro Federal de Contribuyentes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(RFC),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Clave Única de Registro de Población</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(CURP), la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Clave de cualquier tipo de seguridad social</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(ISSEMYM); </w:t>
      </w: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préstamos o descuentos</w:t>
      </w:r>
      <w:r w:rsidDel="00000000" w:rsidR="00000000" w:rsidRPr="00000000">
        <w:rPr>
          <w:rFonts w:ascii="Palatino Linotype" w:cs="Palatino Linotype" w:eastAsia="Palatino Linotype" w:hAnsi="Palatino Linotype"/>
          <w:b w:val="0"/>
          <w:i w:val="0"/>
          <w:smallCaps w:val="0"/>
          <w:strike w:val="0"/>
          <w:color w:val="000000"/>
          <w:sz w:val="24"/>
          <w:szCs w:val="24"/>
          <w:u w:val="none"/>
          <w:shd w:fill="auto" w:val="clear"/>
          <w:vertAlign w:val="baseline"/>
          <w:rtl w:val="0"/>
        </w:rPr>
        <w:t xml:space="preserve"> que se les hagan y que no tengan relación con los impuestos o la cuota por seguridad social, así como, firmas y calificaciones, entre otros datos.</w:t>
      </w:r>
      <w:r w:rsidDel="00000000" w:rsidR="00000000" w:rsidRPr="00000000">
        <w:rPr>
          <w:rtl w:val="0"/>
        </w:rPr>
      </w:r>
    </w:p>
    <w:p w:rsidR="00000000" w:rsidDel="00000000" w:rsidP="00000000" w:rsidRDefault="00000000" w:rsidRPr="00000000" w14:paraId="0000013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3E">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al </w:t>
      </w:r>
      <w:r w:rsidDel="00000000" w:rsidR="00000000" w:rsidRPr="00000000">
        <w:rPr>
          <w:rFonts w:ascii="Palatino Linotype" w:cs="Palatino Linotype" w:eastAsia="Palatino Linotype" w:hAnsi="Palatino Linotype"/>
          <w:b w:val="1"/>
          <w:rtl w:val="0"/>
        </w:rPr>
        <w:t xml:space="preserve">Registro Federal de Contribuyentes</w:t>
      </w:r>
      <w:r w:rsidDel="00000000" w:rsidR="00000000" w:rsidRPr="00000000">
        <w:rPr>
          <w:rFonts w:ascii="Palatino Linotype" w:cs="Palatino Linotype" w:eastAsia="Palatino Linotype" w:hAnsi="Palatino Linotype"/>
          <w:rtl w:val="0"/>
        </w:rPr>
        <w:t xml:space="preserve"> </w:t>
      </w:r>
      <w:r w:rsidDel="00000000" w:rsidR="00000000" w:rsidRPr="00000000">
        <w:rPr>
          <w:rFonts w:ascii="Palatino Linotype" w:cs="Palatino Linotype" w:eastAsia="Palatino Linotype" w:hAnsi="Palatino Linotype"/>
          <w:b w:val="1"/>
          <w:rtl w:val="0"/>
        </w:rPr>
        <w:t xml:space="preserve">de las personas físicas</w:t>
      </w:r>
      <w:r w:rsidDel="00000000" w:rsidR="00000000" w:rsidRPr="00000000">
        <w:rPr>
          <w:rFonts w:ascii="Palatino Linotype" w:cs="Palatino Linotype" w:eastAsia="Palatino Linotype" w:hAnsi="Palatino Linotype"/>
          <w:rtl w:val="0"/>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homoclave; la cual para su obtención es necesario acreditar personalidad, fecha de nacimiento entre otros con documentos oficiales.</w:t>
      </w:r>
    </w:p>
    <w:p w:rsidR="00000000" w:rsidDel="00000000" w:rsidP="00000000" w:rsidRDefault="00000000" w:rsidRPr="00000000" w14:paraId="0000013F">
      <w:pPr>
        <w:rPr/>
      </w:pPr>
      <w:r w:rsidDel="00000000" w:rsidR="00000000" w:rsidRPr="00000000">
        <w:rPr>
          <w:rtl w:val="0"/>
        </w:rPr>
      </w:r>
    </w:p>
    <w:p w:rsidR="00000000" w:rsidDel="00000000" w:rsidP="00000000" w:rsidRDefault="00000000" w:rsidRPr="00000000" w14:paraId="00000140">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Instituto Nacional de Transparencia, Acceso a la Información y Protección de Datos Personales (INAI) a través del Criterio 19/17, señala literalmente lo siguiente:</w:t>
      </w:r>
    </w:p>
    <w:p w:rsidR="00000000" w:rsidDel="00000000" w:rsidP="00000000" w:rsidRDefault="00000000" w:rsidRPr="00000000" w14:paraId="00000141">
      <w:pPr>
        <w:rPr/>
      </w:pPr>
      <w:r w:rsidDel="00000000" w:rsidR="00000000" w:rsidRPr="00000000">
        <w:rPr>
          <w:rtl w:val="0"/>
        </w:rPr>
      </w:r>
    </w:p>
    <w:p w:rsidR="00000000" w:rsidDel="00000000" w:rsidP="00000000" w:rsidRDefault="00000000" w:rsidRPr="00000000" w14:paraId="00000142">
      <w:pPr>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“Registro Federal de Contribuyentes (RFC) de personas físicas. </w:t>
      </w:r>
      <w:r w:rsidDel="00000000" w:rsidR="00000000" w:rsidRPr="00000000">
        <w:rPr>
          <w:rFonts w:ascii="Palatino Linotype" w:cs="Palatino Linotype" w:eastAsia="Palatino Linotype" w:hAnsi="Palatino Linotype"/>
          <w:i w:val="1"/>
          <w:rtl w:val="0"/>
        </w:rPr>
        <w:t xml:space="preserve">El RFC es una clave de carácter fiscal, única e irrepetible, que permite identificar al titular, su edad y fecha de nacimiento, por lo que es un dato personal de carácter confidencial.</w:t>
      </w:r>
      <w:r w:rsidDel="00000000" w:rsidR="00000000" w:rsidRPr="00000000">
        <w:rPr>
          <w:rtl w:val="0"/>
        </w:rPr>
      </w:r>
    </w:p>
    <w:p w:rsidR="00000000" w:rsidDel="00000000" w:rsidP="00000000" w:rsidRDefault="00000000" w:rsidRPr="00000000" w14:paraId="00000143">
      <w:pPr>
        <w:rPr/>
      </w:pPr>
      <w:r w:rsidDel="00000000" w:rsidR="00000000" w:rsidRPr="00000000">
        <w:rPr>
          <w:rtl w:val="0"/>
        </w:rPr>
      </w:r>
    </w:p>
    <w:p w:rsidR="00000000" w:rsidDel="00000000" w:rsidP="00000000" w:rsidRDefault="00000000" w:rsidRPr="00000000" w14:paraId="00000144">
      <w:pPr>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Resoluciones:</w:t>
      </w:r>
    </w:p>
    <w:p w:rsidR="00000000" w:rsidDel="00000000" w:rsidP="00000000" w:rsidRDefault="00000000" w:rsidRPr="00000000" w14:paraId="00000145">
      <w:pPr>
        <w:ind w:left="851" w:right="902"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w:t>
        <w:tab/>
        <w:t xml:space="preserve">RRA 0189/17. </w:t>
      </w:r>
      <w:r w:rsidDel="00000000" w:rsidR="00000000" w:rsidRPr="00000000">
        <w:rPr>
          <w:rFonts w:ascii="Palatino Linotype" w:cs="Palatino Linotype" w:eastAsia="Palatino Linotype" w:hAnsi="Palatino Linotype"/>
          <w:i w:val="1"/>
          <w:rtl w:val="0"/>
        </w:rPr>
        <w:t xml:space="preserve">Morena. 08 de febrero de 2017. Por unanimidad. Comisionado Ponente Joel Salas Suárez.</w:t>
      </w:r>
    </w:p>
    <w:p w:rsidR="00000000" w:rsidDel="00000000" w:rsidP="00000000" w:rsidRDefault="00000000" w:rsidRPr="00000000" w14:paraId="00000146">
      <w:pPr>
        <w:ind w:left="851" w:right="902"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w:t>
        <w:tab/>
        <w:t xml:space="preserve">RRA 0677/17. </w:t>
      </w:r>
      <w:r w:rsidDel="00000000" w:rsidR="00000000" w:rsidRPr="00000000">
        <w:rPr>
          <w:rFonts w:ascii="Palatino Linotype" w:cs="Palatino Linotype" w:eastAsia="Palatino Linotype" w:hAnsi="Palatino Linotype"/>
          <w:i w:val="1"/>
          <w:rtl w:val="0"/>
        </w:rPr>
        <w:t xml:space="preserve">Universidad Nacional Autónoma de México. 08 de marzo de 2017. Por unanimidad. Comisionado Ponente Rosendoevgueni Monterrey Chepov.</w:t>
      </w:r>
      <w:r w:rsidDel="00000000" w:rsidR="00000000" w:rsidRPr="00000000">
        <w:rPr>
          <w:rFonts w:ascii="Palatino Linotype" w:cs="Palatino Linotype" w:eastAsia="Palatino Linotype" w:hAnsi="Palatino Linotype"/>
          <w:b w:val="1"/>
          <w:i w:val="1"/>
          <w:rtl w:val="0"/>
        </w:rPr>
        <w:t xml:space="preserve"> </w:t>
      </w:r>
    </w:p>
    <w:p w:rsidR="00000000" w:rsidDel="00000000" w:rsidP="00000000" w:rsidRDefault="00000000" w:rsidRPr="00000000" w14:paraId="00000147">
      <w:pPr>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i w:val="1"/>
          <w:rtl w:val="0"/>
        </w:rPr>
        <w:t xml:space="preserve">•</w:t>
        <w:tab/>
        <w:t xml:space="preserve">RRA 1564/17. </w:t>
      </w:r>
      <w:r w:rsidDel="00000000" w:rsidR="00000000" w:rsidRPr="00000000">
        <w:rPr>
          <w:rFonts w:ascii="Palatino Linotype" w:cs="Palatino Linotype" w:eastAsia="Palatino Linotype" w:hAnsi="Palatino Linotype"/>
          <w:i w:val="1"/>
          <w:rtl w:val="0"/>
        </w:rPr>
        <w:t xml:space="preserve">Tribunal Electoral del Poder Judicial de la Federación. 26 de abril de 2017. Por unanimidad. Comisionado Ponente Oscar Mauricio Guerra Ford.”</w:t>
      </w:r>
      <w:r w:rsidDel="00000000" w:rsidR="00000000" w:rsidRPr="00000000">
        <w:rPr>
          <w:rtl w:val="0"/>
        </w:rPr>
      </w:r>
    </w:p>
    <w:p w:rsidR="00000000" w:rsidDel="00000000" w:rsidP="00000000" w:rsidRDefault="00000000" w:rsidRPr="00000000" w14:paraId="00000148">
      <w:pPr>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49">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el Registro Federal de Contribuyentes se vincula al nombre de su titular, permitiendo identificar la edad de la persona, fecha de 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4A">
      <w:pPr>
        <w:ind w:right="-93"/>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4B">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igual manera la </w:t>
      </w:r>
      <w:r w:rsidDel="00000000" w:rsidR="00000000" w:rsidRPr="00000000">
        <w:rPr>
          <w:rFonts w:ascii="Palatino Linotype" w:cs="Palatino Linotype" w:eastAsia="Palatino Linotype" w:hAnsi="Palatino Linotype"/>
          <w:b w:val="1"/>
          <w:rtl w:val="0"/>
        </w:rPr>
        <w:t xml:space="preserve">Clave Única de Registro de Población, </w:t>
      </w:r>
      <w:r w:rsidDel="00000000" w:rsidR="00000000" w:rsidRPr="00000000">
        <w:rPr>
          <w:rFonts w:ascii="Palatino Linotype" w:cs="Palatino Linotype" w:eastAsia="Palatino Linotype" w:hAnsi="Palatino Linotype"/>
          <w:rtl w:val="0"/>
        </w:rPr>
        <w:t xml:space="preserve">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000000" w:rsidDel="00000000" w:rsidP="00000000" w:rsidRDefault="00000000" w:rsidRPr="00000000" w14:paraId="0000014C">
      <w:pPr>
        <w:spacing w:line="360" w:lineRule="auto"/>
        <w:ind w:right="-93"/>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4D">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Lo anterior, tiene sustento en los artículos 86 y 91, de la Ley General de Población, la cual señala lo siguiente:</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rPr>
          <w:sz w:val="4"/>
          <w:szCs w:val="4"/>
        </w:rPr>
      </w:pPr>
      <w:r w:rsidDel="00000000" w:rsidR="00000000" w:rsidRPr="00000000">
        <w:rPr>
          <w:rtl w:val="0"/>
        </w:rPr>
      </w:r>
    </w:p>
    <w:p w:rsidR="00000000" w:rsidDel="00000000" w:rsidP="00000000" w:rsidRDefault="00000000" w:rsidRPr="00000000" w14:paraId="00000150">
      <w:pPr>
        <w:spacing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86. </w:t>
      </w:r>
      <w:r w:rsidDel="00000000" w:rsidR="00000000" w:rsidRPr="00000000">
        <w:rPr>
          <w:rFonts w:ascii="Palatino Linotype" w:cs="Palatino Linotype" w:eastAsia="Palatino Linotype" w:hAnsi="Palatino Linotype"/>
          <w:i w:val="1"/>
          <w:rtl w:val="0"/>
        </w:rPr>
        <w:t xml:space="preserve">El </w:t>
      </w:r>
      <w:r w:rsidDel="00000000" w:rsidR="00000000" w:rsidRPr="00000000">
        <w:rPr>
          <w:rFonts w:ascii="Palatino Linotype" w:cs="Palatino Linotype" w:eastAsia="Palatino Linotype" w:hAnsi="Palatino Linotype"/>
          <w:i w:val="1"/>
          <w:color w:val="000000"/>
          <w:rtl w:val="0"/>
        </w:rPr>
        <w:t xml:space="preserve">Registro</w:t>
      </w:r>
      <w:r w:rsidDel="00000000" w:rsidR="00000000" w:rsidRPr="00000000">
        <w:rPr>
          <w:rFonts w:ascii="Palatino Linotype" w:cs="Palatino Linotype" w:eastAsia="Palatino Linotype" w:hAnsi="Palatino Linotype"/>
          <w:i w:val="1"/>
          <w:rtl w:val="0"/>
        </w:rPr>
        <w:t xml:space="preserve"> Nacional de Población tiene como finalidad registrar a cada una de las personas que integran la población del país, con los datos que permitan certificar y acreditar fehacientemente su identidad.</w:t>
      </w:r>
    </w:p>
    <w:p w:rsidR="00000000" w:rsidDel="00000000" w:rsidP="00000000" w:rsidRDefault="00000000" w:rsidRPr="00000000" w14:paraId="00000151">
      <w:pPr>
        <w:spacing w:line="276" w:lineRule="auto"/>
        <w:ind w:left="851" w:right="900" w:firstLine="0"/>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152">
      <w:pPr>
        <w:spacing w:line="276"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Artículo 91. </w:t>
      </w:r>
      <w:r w:rsidDel="00000000" w:rsidR="00000000" w:rsidRPr="00000000">
        <w:rPr>
          <w:rFonts w:ascii="Palatino Linotype" w:cs="Palatino Linotype" w:eastAsia="Palatino Linotype" w:hAnsi="Palatino Linotype"/>
          <w:i w:val="1"/>
          <w:rtl w:val="0"/>
        </w:rPr>
        <w:t xml:space="preserve">Al incorporar a una persona en el Registro Nacional de Población, se le asignará una clave que se denominará </w:t>
      </w:r>
      <w:r w:rsidDel="00000000" w:rsidR="00000000" w:rsidRPr="00000000">
        <w:rPr>
          <w:rFonts w:ascii="Palatino Linotype" w:cs="Palatino Linotype" w:eastAsia="Palatino Linotype" w:hAnsi="Palatino Linotype"/>
          <w:i w:val="1"/>
          <w:color w:val="000000"/>
          <w:rtl w:val="0"/>
        </w:rPr>
        <w:t xml:space="preserve">Clave</w:t>
      </w:r>
      <w:r w:rsidDel="00000000" w:rsidR="00000000" w:rsidRPr="00000000">
        <w:rPr>
          <w:rFonts w:ascii="Palatino Linotype" w:cs="Palatino Linotype" w:eastAsia="Palatino Linotype" w:hAnsi="Palatino Linotype"/>
          <w:i w:val="1"/>
          <w:rtl w:val="0"/>
        </w:rPr>
        <w:t xml:space="preserve"> Única de Registro de Población. Esta servirá para registrarla e identificarla en forma individual.”</w:t>
      </w:r>
    </w:p>
    <w:p w:rsidR="00000000" w:rsidDel="00000000" w:rsidP="00000000" w:rsidRDefault="00000000" w:rsidRPr="00000000" w14:paraId="00000153">
      <w:pPr>
        <w:spacing w:line="276"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4">
      <w:pPr>
        <w:shd w:fill="ffffff" w:val="clea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Ahora bien, por cuanto a  la Clave Única de Registro de Población CURP, está integrada por  18 elementos representados por letras y números, que se generan a partir de los datos contenidos en un documento probatorio de identidad (acta de nacimiento, carta de naturalización o documento migratorio), la cual se integra con la primera letra del apellido paterno; seguida de la primera letra vocal del primer apellido; seguida de la primera letra del segundo apellido y por último la primera letra del nombre; fecha de nacimiento año/mes/día; sexo; entidad federativa o lugar de nacimiento; finalmente una homoclave o digito verificador, compuesto de dos elementos, con el que se evitan duplicaciones en la Clave, identifican el cambio de siglo y garantizan la correcta integración. </w:t>
      </w:r>
    </w:p>
    <w:p w:rsidR="00000000" w:rsidDel="00000000" w:rsidP="00000000" w:rsidRDefault="00000000" w:rsidRPr="00000000" w14:paraId="00000155">
      <w:pPr>
        <w:spacing w:line="360" w:lineRule="auto"/>
        <w:ind w:right="-91"/>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56">
      <w:pPr>
        <w:spacing w:line="360" w:lineRule="auto"/>
        <w:ind w:right="-91"/>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Al respecto, el INAI a través del Criterio 18/17, señala literalmente lo siguiente:</w:t>
      </w:r>
    </w:p>
    <w:p w:rsidR="00000000" w:rsidDel="00000000" w:rsidP="00000000" w:rsidRDefault="00000000" w:rsidRPr="00000000" w14:paraId="00000157">
      <w:pPr>
        <w:spacing w:after="120" w:before="120" w:lineRule="auto"/>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b w:val="1"/>
          <w:i w:val="1"/>
          <w:rtl w:val="0"/>
        </w:rPr>
        <w:t xml:space="preserve">“Clave Única de Registro de Población (CURP)</w:t>
      </w:r>
      <w:r w:rsidDel="00000000" w:rsidR="00000000" w:rsidRPr="00000000">
        <w:rPr>
          <w:rFonts w:ascii="Palatino Linotype" w:cs="Palatino Linotype" w:eastAsia="Palatino Linotype" w:hAnsi="Palatino Linotype"/>
          <w:i w:val="1"/>
          <w:rtl w:val="0"/>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000000" w:rsidDel="00000000" w:rsidP="00000000" w:rsidRDefault="00000000" w:rsidRPr="00000000" w14:paraId="00000158">
      <w:pPr>
        <w:spacing w:after="120" w:before="120" w:lineRule="auto"/>
        <w:ind w:left="851" w:right="900" w:firstLine="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59">
      <w:pPr>
        <w:ind w:left="851" w:right="900" w:firstLine="0"/>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tl w:val="0"/>
        </w:rPr>
        <w:t xml:space="preserve">Resoluciones:</w:t>
      </w:r>
    </w:p>
    <w:p w:rsidR="00000000" w:rsidDel="00000000" w:rsidP="00000000" w:rsidRDefault="00000000" w:rsidRPr="00000000" w14:paraId="0000015A">
      <w:pPr>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r>
      <w:r w:rsidDel="00000000" w:rsidR="00000000" w:rsidRPr="00000000">
        <w:rPr>
          <w:rFonts w:ascii="Palatino Linotype" w:cs="Palatino Linotype" w:eastAsia="Palatino Linotype" w:hAnsi="Palatino Linotype"/>
          <w:b w:val="1"/>
          <w:i w:val="1"/>
          <w:rtl w:val="0"/>
        </w:rPr>
        <w:t xml:space="preserve">RRA 3995/16</w:t>
      </w:r>
      <w:r w:rsidDel="00000000" w:rsidR="00000000" w:rsidRPr="00000000">
        <w:rPr>
          <w:rFonts w:ascii="Palatino Linotype" w:cs="Palatino Linotype" w:eastAsia="Palatino Linotype" w:hAnsi="Palatino Linotype"/>
          <w:i w:val="1"/>
          <w:rtl w:val="0"/>
        </w:rPr>
        <w:t xml:space="preserve">. Secretaría de la Defensa Nacional. 1 de febrero de 2017. Por unanimidad. Comisionado Ponente Rosendoevgueni Monterrey Chepov.</w:t>
      </w:r>
    </w:p>
    <w:p w:rsidR="00000000" w:rsidDel="00000000" w:rsidP="00000000" w:rsidRDefault="00000000" w:rsidRPr="00000000" w14:paraId="0000015B">
      <w:pPr>
        <w:ind w:left="851"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w:t>
        <w:tab/>
      </w:r>
      <w:r w:rsidDel="00000000" w:rsidR="00000000" w:rsidRPr="00000000">
        <w:rPr>
          <w:rFonts w:ascii="Palatino Linotype" w:cs="Palatino Linotype" w:eastAsia="Palatino Linotype" w:hAnsi="Palatino Linotype"/>
          <w:b w:val="1"/>
          <w:i w:val="1"/>
          <w:rtl w:val="0"/>
        </w:rPr>
        <w:t xml:space="preserve">RRA 0937/17</w:t>
      </w:r>
      <w:r w:rsidDel="00000000" w:rsidR="00000000" w:rsidRPr="00000000">
        <w:rPr>
          <w:rFonts w:ascii="Palatino Linotype" w:cs="Palatino Linotype" w:eastAsia="Palatino Linotype" w:hAnsi="Palatino Linotype"/>
          <w:i w:val="1"/>
          <w:rtl w:val="0"/>
        </w:rPr>
        <w:t xml:space="preserve">. Senado de la República. 15 de marzo de 2017. Por unanimidad. Comisionada Ponente Ximena Puente de la Mora. </w:t>
      </w:r>
    </w:p>
    <w:p w:rsidR="00000000" w:rsidDel="00000000" w:rsidP="00000000" w:rsidRDefault="00000000" w:rsidRPr="00000000" w14:paraId="0000015C">
      <w:pPr>
        <w:ind w:left="851" w:right="900" w:firstLine="0"/>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i w:val="1"/>
          <w:rtl w:val="0"/>
        </w:rPr>
        <w:t xml:space="preserve">•</w:t>
        <w:tab/>
      </w:r>
      <w:r w:rsidDel="00000000" w:rsidR="00000000" w:rsidRPr="00000000">
        <w:rPr>
          <w:rFonts w:ascii="Palatino Linotype" w:cs="Palatino Linotype" w:eastAsia="Palatino Linotype" w:hAnsi="Palatino Linotype"/>
          <w:b w:val="1"/>
          <w:i w:val="1"/>
          <w:rtl w:val="0"/>
        </w:rPr>
        <w:t xml:space="preserve">RRA 0478/17</w:t>
      </w:r>
      <w:r w:rsidDel="00000000" w:rsidR="00000000" w:rsidRPr="00000000">
        <w:rPr>
          <w:rFonts w:ascii="Palatino Linotype" w:cs="Palatino Linotype" w:eastAsia="Palatino Linotype" w:hAnsi="Palatino Linotype"/>
          <w:i w:val="1"/>
          <w:rtl w:val="0"/>
        </w:rPr>
        <w:t xml:space="preserve">. Secretaría de Relaciones Exteriores. 26 de abril de 2017. Por unanimidad. Comisionada Ponente Areli Cano Guadiana.”</w:t>
      </w:r>
      <w:r w:rsidDel="00000000" w:rsidR="00000000" w:rsidRPr="00000000">
        <w:rPr>
          <w:rtl w:val="0"/>
        </w:rPr>
      </w:r>
    </w:p>
    <w:p w:rsidR="00000000" w:rsidDel="00000000" w:rsidP="00000000" w:rsidRDefault="00000000" w:rsidRPr="00000000" w14:paraId="0000015D">
      <w:pPr>
        <w:spacing w:line="360" w:lineRule="auto"/>
        <w:ind w:left="851" w:right="900" w:firstLine="0"/>
        <w:jc w:val="both"/>
        <w:rPr>
          <w:rFonts w:ascii="Palatino Linotype" w:cs="Palatino Linotype" w:eastAsia="Palatino Linotype" w:hAnsi="Palatino Linotype"/>
          <w:sz w:val="16"/>
          <w:szCs w:val="16"/>
        </w:rPr>
      </w:pPr>
      <w:r w:rsidDel="00000000" w:rsidR="00000000" w:rsidRPr="00000000">
        <w:rPr>
          <w:rtl w:val="0"/>
        </w:rPr>
      </w:r>
    </w:p>
    <w:p w:rsidR="00000000" w:rsidDel="00000000" w:rsidP="00000000" w:rsidRDefault="00000000" w:rsidRPr="00000000" w14:paraId="0000015E">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De lo anterior, se desprende que la Clave Única de Registro de Población, se encuentra vinculado al nombre de la persona, permitiendo identificar la edad, fecha de nacimiento, sexo, lugar de nacimiento, así como su homoclave; datos que únicamente le 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5F">
      <w:pPr>
        <w:rPr/>
      </w:pPr>
      <w:r w:rsidDel="00000000" w:rsidR="00000000" w:rsidRPr="00000000">
        <w:rPr>
          <w:rtl w:val="0"/>
        </w:rPr>
      </w:r>
    </w:p>
    <w:p w:rsidR="00000000" w:rsidDel="00000000" w:rsidP="00000000" w:rsidRDefault="00000000" w:rsidRPr="00000000" w14:paraId="00000160">
      <w:pPr>
        <w:spacing w:line="360" w:lineRule="auto"/>
        <w:ind w:right="-93"/>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Por cuanto hace a la </w:t>
      </w:r>
      <w:r w:rsidDel="00000000" w:rsidR="00000000" w:rsidRPr="00000000">
        <w:rPr>
          <w:rFonts w:ascii="Palatino Linotype" w:cs="Palatino Linotype" w:eastAsia="Palatino Linotype" w:hAnsi="Palatino Linotype"/>
          <w:b w:val="1"/>
          <w:rtl w:val="0"/>
        </w:rPr>
        <w:t xml:space="preserve">Clave de cualquier tipo de seguridad social</w:t>
      </w:r>
      <w:r w:rsidDel="00000000" w:rsidR="00000000" w:rsidRPr="00000000">
        <w:rPr>
          <w:rFonts w:ascii="Palatino Linotype" w:cs="Palatino Linotype" w:eastAsia="Palatino Linotype" w:hAnsi="Palatino Linotype"/>
          <w:rtl w:val="0"/>
        </w:rPr>
        <w:t xml:space="preserve"> (ISSEMYM, u otros), está integrada por una secuencia de números con los que se identifica a los trabajadores que cubren las cuotas respectivas, asimismo, lo identifica con la fuente de trabajo; por lo que al ser una clave de identificación de los trabajadores, constituye información confidencial, 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000000" w:rsidDel="00000000" w:rsidP="00000000" w:rsidRDefault="00000000" w:rsidRPr="00000000" w14:paraId="00000161">
      <w:pPr>
        <w:spacing w:after="240" w:before="240" w:line="360" w:lineRule="auto"/>
        <w:jc w:val="both"/>
        <w:rPr>
          <w:rFonts w:ascii="Palatino Linotype" w:cs="Palatino Linotype" w:eastAsia="Palatino Linotype" w:hAnsi="Palatino Linotype"/>
        </w:rPr>
      </w:pPr>
      <w:bookmarkStart w:colFirst="0" w:colLast="0" w:name="_heading=h.30j0zll" w:id="1"/>
      <w:bookmarkEnd w:id="1"/>
      <w:r w:rsidDel="00000000" w:rsidR="00000000" w:rsidRPr="00000000">
        <w:rPr>
          <w:rFonts w:ascii="Palatino Linotype" w:cs="Palatino Linotype" w:eastAsia="Palatino Linotype" w:hAnsi="Palatino Linotype"/>
          <w:rtl w:val="0"/>
        </w:rPr>
        <w:t xml:space="preserve">Así, con fundamento en lo prescrito en los artículos 5 párrafos trigésimo, trigésimo primero y trigésimo segundo</w:t>
      </w:r>
      <w:r w:rsidDel="00000000" w:rsidR="00000000" w:rsidRPr="00000000">
        <w:rPr>
          <w:rFonts w:ascii="Palatino Linotype" w:cs="Palatino Linotype" w:eastAsia="Palatino Linotype" w:hAnsi="Palatino Linotype"/>
          <w:highlight w:val="white"/>
          <w:rtl w:val="0"/>
        </w:rPr>
        <w:t xml:space="preserve"> fracciones IV y V de la </w:t>
      </w:r>
      <w:r w:rsidDel="00000000" w:rsidR="00000000" w:rsidRPr="00000000">
        <w:rPr>
          <w:rFonts w:ascii="Palatino Linotype" w:cs="Palatino Linotype" w:eastAsia="Palatino Linotype" w:hAnsi="Palatino Linotype"/>
          <w:rtl w:val="0"/>
        </w:rPr>
        <w:t xml:space="preserve">Constitución Política del Estado Libre y Soberano de México; 2, fracción II; 29, 36 fracciones I y II; 176, 178, 181, 185, fracción I, 186 y 188 de la Ley de Transparencia y Acceso a la Información Pública del Estado de México y Municipios, este Pleno:</w:t>
      </w:r>
    </w:p>
    <w:p w:rsidR="00000000" w:rsidDel="00000000" w:rsidP="00000000" w:rsidRDefault="00000000" w:rsidRPr="00000000" w14:paraId="00000162">
      <w:pPr>
        <w:spacing w:after="240" w:before="240" w:line="360" w:lineRule="auto"/>
        <w:ind w:right="51"/>
        <w:jc w:val="both"/>
        <w:rPr>
          <w:rFonts w:ascii="Palatino Linotype" w:cs="Palatino Linotype" w:eastAsia="Palatino Linotype" w:hAnsi="Palatino Linotype"/>
          <w:b w:val="1"/>
        </w:rPr>
      </w:pPr>
      <w:r w:rsidDel="00000000" w:rsidR="00000000" w:rsidRPr="00000000">
        <w:rPr>
          <w:rtl w:val="0"/>
        </w:rPr>
      </w:r>
    </w:p>
    <w:p w:rsidR="00000000" w:rsidDel="00000000" w:rsidP="00000000" w:rsidRDefault="00000000" w:rsidRPr="00000000" w14:paraId="00000163">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240" w:before="240" w:line="360" w:lineRule="auto"/>
        <w:ind w:left="426" w:right="0" w:hanging="720"/>
        <w:jc w:val="center"/>
        <w:rPr>
          <w:rFonts w:ascii="Palatino Linotype" w:cs="Palatino Linotype" w:eastAsia="Palatino Linotype" w:hAnsi="Palatino Linotype"/>
          <w:b w:val="1"/>
          <w:i w:val="0"/>
          <w:smallCaps w:val="0"/>
          <w:strike w:val="0"/>
          <w:color w:val="000000"/>
          <w:sz w:val="24"/>
          <w:szCs w:val="24"/>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4"/>
          <w:szCs w:val="24"/>
          <w:u w:val="none"/>
          <w:shd w:fill="auto" w:val="clear"/>
          <w:vertAlign w:val="baseline"/>
          <w:rtl w:val="0"/>
        </w:rPr>
        <w:t xml:space="preserve">R E S U E L V E</w:t>
      </w:r>
    </w:p>
    <w:p w:rsidR="00000000" w:rsidDel="00000000" w:rsidP="00000000" w:rsidRDefault="00000000" w:rsidRPr="00000000" w14:paraId="00000164">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Primero</w:t>
      </w:r>
      <w:r w:rsidDel="00000000" w:rsidR="00000000" w:rsidRPr="00000000">
        <w:rPr>
          <w:rFonts w:ascii="Palatino Linotype" w:cs="Palatino Linotype" w:eastAsia="Palatino Linotype" w:hAnsi="Palatino Linotype"/>
          <w:rtl w:val="0"/>
        </w:rPr>
        <w:t xml:space="preserve">. Resulta parcialmente </w:t>
      </w:r>
      <w:r w:rsidDel="00000000" w:rsidR="00000000" w:rsidRPr="00000000">
        <w:rPr>
          <w:rFonts w:ascii="Palatino Linotype" w:cs="Palatino Linotype" w:eastAsia="Palatino Linotype" w:hAnsi="Palatino Linotype"/>
          <w:b w:val="1"/>
          <w:rtl w:val="0"/>
        </w:rPr>
        <w:t xml:space="preserve">fundado</w:t>
      </w:r>
      <w:r w:rsidDel="00000000" w:rsidR="00000000" w:rsidRPr="00000000">
        <w:rPr>
          <w:rFonts w:ascii="Palatino Linotype" w:cs="Palatino Linotype" w:eastAsia="Palatino Linotype" w:hAnsi="Palatino Linotype"/>
          <w:rtl w:val="0"/>
        </w:rPr>
        <w:t xml:space="preserve"> el motivo de inconformidad planteado por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b w:val="1"/>
          <w:i w:val="1"/>
          <w:rtl w:val="0"/>
        </w:rPr>
        <w:t xml:space="preserve"> </w:t>
      </w:r>
      <w:r w:rsidDel="00000000" w:rsidR="00000000" w:rsidRPr="00000000">
        <w:rPr>
          <w:rFonts w:ascii="Palatino Linotype" w:cs="Palatino Linotype" w:eastAsia="Palatino Linotype" w:hAnsi="Palatino Linotype"/>
          <w:rtl w:val="0"/>
        </w:rPr>
        <w:t xml:space="preserve">en el recurso de revisión </w:t>
      </w:r>
      <w:r w:rsidDel="00000000" w:rsidR="00000000" w:rsidRPr="00000000">
        <w:rPr>
          <w:rFonts w:ascii="Palatino Linotype" w:cs="Palatino Linotype" w:eastAsia="Palatino Linotype" w:hAnsi="Palatino Linotype"/>
          <w:b w:val="1"/>
          <w:sz w:val="22"/>
          <w:szCs w:val="22"/>
          <w:rtl w:val="0"/>
        </w:rPr>
        <w:t xml:space="preserve">04154/INFOEM/IP/RR/2022</w:t>
      </w:r>
      <w:r w:rsidDel="00000000" w:rsidR="00000000" w:rsidRPr="00000000">
        <w:rPr>
          <w:rFonts w:ascii="Palatino Linotype" w:cs="Palatino Linotype" w:eastAsia="Palatino Linotype" w:hAnsi="Palatino Linotype"/>
          <w:rtl w:val="0"/>
        </w:rPr>
        <w:t xml:space="preserve">, por lo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la presente resolución, se </w:t>
      </w:r>
      <w:r w:rsidDel="00000000" w:rsidR="00000000" w:rsidRPr="00000000">
        <w:rPr>
          <w:rFonts w:ascii="Palatino Linotype" w:cs="Palatino Linotype" w:eastAsia="Palatino Linotype" w:hAnsi="Palatino Linotype"/>
          <w:b w:val="1"/>
          <w:rtl w:val="0"/>
        </w:rPr>
        <w:t xml:space="preserve">MODIFICA</w:t>
      </w:r>
      <w:r w:rsidDel="00000000" w:rsidR="00000000" w:rsidRPr="00000000">
        <w:rPr>
          <w:rFonts w:ascii="Palatino Linotype" w:cs="Palatino Linotype" w:eastAsia="Palatino Linotype" w:hAnsi="Palatino Linotype"/>
          <w:rtl w:val="0"/>
        </w:rPr>
        <w:t xml:space="preserve"> la respuesta emitida por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tl w:val="0"/>
        </w:rPr>
      </w:r>
    </w:p>
    <w:p w:rsidR="00000000" w:rsidDel="00000000" w:rsidP="00000000" w:rsidRDefault="00000000" w:rsidRPr="00000000" w14:paraId="00000165">
      <w:pPr>
        <w:spacing w:after="240" w:before="240"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Segundo.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Se</w:t>
      </w:r>
      <w:r w:rsidDel="00000000" w:rsidR="00000000" w:rsidRPr="00000000">
        <w:rPr>
          <w:rFonts w:ascii="Palatino Linotype" w:cs="Palatino Linotype" w:eastAsia="Palatino Linotype" w:hAnsi="Palatino Linotype"/>
          <w:b w:val="1"/>
          <w:rtl w:val="0"/>
        </w:rPr>
        <w:t xml:space="preserve"> ORDENA </w:t>
      </w:r>
      <w:r w:rsidDel="00000000" w:rsidR="00000000" w:rsidRPr="00000000">
        <w:rPr>
          <w:rFonts w:ascii="Palatino Linotype" w:cs="Palatino Linotype" w:eastAsia="Palatino Linotype" w:hAnsi="Palatino Linotype"/>
          <w:rtl w:val="0"/>
        </w:rPr>
        <w:t xml:space="preserve">al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que en términos del </w:t>
      </w:r>
      <w:r w:rsidDel="00000000" w:rsidR="00000000" w:rsidRPr="00000000">
        <w:rPr>
          <w:rFonts w:ascii="Palatino Linotype" w:cs="Palatino Linotype" w:eastAsia="Palatino Linotype" w:hAnsi="Palatino Linotype"/>
          <w:b w:val="1"/>
          <w:rtl w:val="0"/>
        </w:rPr>
        <w:t xml:space="preserve">Considerando Cuarto</w:t>
      </w:r>
      <w:r w:rsidDel="00000000" w:rsidR="00000000" w:rsidRPr="00000000">
        <w:rPr>
          <w:rFonts w:ascii="Palatino Linotype" w:cs="Palatino Linotype" w:eastAsia="Palatino Linotype" w:hAnsi="Palatino Linotype"/>
          <w:rtl w:val="0"/>
        </w:rPr>
        <w:t xml:space="preserve"> de esta resolución haga entrega 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a través del </w:t>
      </w:r>
      <w:r w:rsidDel="00000000" w:rsidR="00000000" w:rsidRPr="00000000">
        <w:rPr>
          <w:rFonts w:ascii="Palatino Linotype" w:cs="Palatino Linotype" w:eastAsia="Palatino Linotype" w:hAnsi="Palatino Linotype"/>
          <w:b w:val="1"/>
          <w:rtl w:val="0"/>
        </w:rPr>
        <w:t xml:space="preserve">SAIMEX</w:t>
      </w:r>
      <w:r w:rsidDel="00000000" w:rsidR="00000000" w:rsidRPr="00000000">
        <w:rPr>
          <w:rFonts w:ascii="Palatino Linotype" w:cs="Palatino Linotype" w:eastAsia="Palatino Linotype" w:hAnsi="Palatino Linotype"/>
          <w:rtl w:val="0"/>
        </w:rPr>
        <w:t xml:space="preserve">, lo siguiente: </w:t>
      </w:r>
    </w:p>
    <w:p w:rsidR="00000000" w:rsidDel="00000000" w:rsidP="00000000" w:rsidRDefault="00000000" w:rsidRPr="00000000" w14:paraId="00000166">
      <w:pPr>
        <w:spacing w:after="240" w:before="240"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rtl w:val="0"/>
        </w:rPr>
        <w:t xml:space="preserve">i). Acuerdo emitido por el Comité de Transparencia a través del cual se clasifiquen como información reservada las denuncias en trámite </w:t>
      </w:r>
      <w:r w:rsidDel="00000000" w:rsidR="00000000" w:rsidRPr="00000000">
        <w:rPr>
          <w:rFonts w:ascii="Palatino Linotype" w:cs="Palatino Linotype" w:eastAsia="Palatino Linotype" w:hAnsi="Palatino Linotype"/>
          <w:i w:val="1"/>
          <w:sz w:val="22"/>
          <w:szCs w:val="22"/>
          <w:rtl w:val="0"/>
        </w:rPr>
        <w:t xml:space="preserve">que se llevan en la Dirección Jurídica y Consultiva del 01 de enero de 2019 al 31 de diciembre de 2021. </w:t>
      </w:r>
    </w:p>
    <w:p w:rsidR="00000000" w:rsidDel="00000000" w:rsidP="00000000" w:rsidRDefault="00000000" w:rsidRPr="00000000" w14:paraId="00000167">
      <w:pPr>
        <w:tabs>
          <w:tab w:val="left" w:pos="2990"/>
        </w:tabs>
        <w:ind w:left="567" w:right="900" w:firstLine="0"/>
        <w:jc w:val="both"/>
        <w:rPr>
          <w:rFonts w:ascii="Palatino Linotype" w:cs="Palatino Linotype" w:eastAsia="Palatino Linotype" w:hAnsi="Palatino Linotype"/>
          <w:i w:val="1"/>
        </w:rPr>
      </w:pPr>
      <w:r w:rsidDel="00000000" w:rsidR="00000000" w:rsidRPr="00000000">
        <w:rPr>
          <w:rFonts w:ascii="Palatino Linotype" w:cs="Palatino Linotype" w:eastAsia="Palatino Linotype" w:hAnsi="Palatino Linotype"/>
          <w:i w:val="1"/>
          <w:rtl w:val="0"/>
        </w:rPr>
        <w:t xml:space="preserve">Para el caso de que las denuncias  que se ordenan reservar en el </w:t>
      </w:r>
      <w:r w:rsidDel="00000000" w:rsidR="00000000" w:rsidRPr="00000000">
        <w:rPr>
          <w:rFonts w:ascii="Palatino Linotype" w:cs="Palatino Linotype" w:eastAsia="Palatino Linotype" w:hAnsi="Palatino Linotype"/>
          <w:b w:val="1"/>
          <w:i w:val="1"/>
          <w:rtl w:val="0"/>
        </w:rPr>
        <w:t xml:space="preserve">Inciso i)</w:t>
      </w:r>
      <w:r w:rsidDel="00000000" w:rsidR="00000000" w:rsidRPr="00000000">
        <w:rPr>
          <w:rFonts w:ascii="Palatino Linotype" w:cs="Palatino Linotype" w:eastAsia="Palatino Linotype" w:hAnsi="Palatino Linotype"/>
          <w:i w:val="1"/>
          <w:rtl w:val="0"/>
        </w:rPr>
        <w:t xml:space="preserve">, estén vinculadas a una investigación relacionada con actos de corrupción o de violaciones graves a derechos humanos, no procede su clasificación como reservadas, por lo que deberá ser entregado en </w:t>
      </w:r>
      <w:r w:rsidDel="00000000" w:rsidR="00000000" w:rsidRPr="00000000">
        <w:rPr>
          <w:rFonts w:ascii="Palatino Linotype" w:cs="Palatino Linotype" w:eastAsia="Palatino Linotype" w:hAnsi="Palatino Linotype"/>
          <w:b w:val="1"/>
          <w:i w:val="1"/>
          <w:rtl w:val="0"/>
        </w:rPr>
        <w:t xml:space="preserve">versión pública</w:t>
      </w:r>
      <w:r w:rsidDel="00000000" w:rsidR="00000000" w:rsidRPr="00000000">
        <w:rPr>
          <w:rFonts w:ascii="Palatino Linotype" w:cs="Palatino Linotype" w:eastAsia="Palatino Linotype" w:hAnsi="Palatino Linotype"/>
          <w:i w:val="1"/>
          <w:rtl w:val="0"/>
        </w:rPr>
        <w:t xml:space="preserve">, debiendo para tal caso también proporcionar el Acuerdo de Clasificación donde el Comité de Transparencia, que confirme la eliminación de los datos confidenciales, de acuerdo con los artículos 49, fracciones II y VIII, 143, fracción I y 149 de la Ley de Transparencia y Acceso a la Información Pública del Estado de México y Municipios.</w:t>
      </w:r>
    </w:p>
    <w:p w:rsidR="00000000" w:rsidDel="00000000" w:rsidP="00000000" w:rsidRDefault="00000000" w:rsidRPr="00000000" w14:paraId="00000168">
      <w:pPr>
        <w:ind w:right="900"/>
        <w:jc w:val="both"/>
        <w:rPr>
          <w:rFonts w:ascii="Palatino Linotype" w:cs="Palatino Linotype" w:eastAsia="Palatino Linotype" w:hAnsi="Palatino Linotype"/>
          <w:i w:val="1"/>
        </w:rPr>
      </w:pPr>
      <w:r w:rsidDel="00000000" w:rsidR="00000000" w:rsidRPr="00000000">
        <w:rPr>
          <w:rtl w:val="0"/>
        </w:rPr>
      </w:r>
    </w:p>
    <w:p w:rsidR="00000000" w:rsidDel="00000000" w:rsidP="00000000" w:rsidRDefault="00000000" w:rsidRPr="00000000" w14:paraId="0000016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Tercero.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b w:val="1"/>
          <w:rtl w:val="0"/>
        </w:rPr>
        <w:t xml:space="preserve">Notifíquese,</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al Responsable de la Unidad de Transparencia del</w:t>
      </w:r>
      <w:r w:rsidDel="00000000" w:rsidR="00000000" w:rsidRPr="00000000">
        <w:rPr>
          <w:rFonts w:ascii="Palatino Linotype" w:cs="Palatino Linotype" w:eastAsia="Palatino Linotype" w:hAnsi="Palatino Linotype"/>
          <w:b w:val="1"/>
          <w:rtl w:val="0"/>
        </w:rPr>
        <w:t xml:space="preserve"> SUJETO OBLIGADO</w:t>
      </w:r>
      <w:r w:rsidDel="00000000" w:rsidR="00000000" w:rsidRPr="00000000">
        <w:rPr>
          <w:rFonts w:ascii="Palatino Linotype" w:cs="Palatino Linotype" w:eastAsia="Palatino Linotype" w:hAnsi="Palatino Linotype"/>
          <w:rtl w:val="0"/>
        </w:rPr>
        <w:t xml:space="preserve"> vía SAIMEX,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000000" w:rsidDel="00000000" w:rsidP="00000000" w:rsidRDefault="00000000" w:rsidRPr="00000000" w14:paraId="0000016A">
      <w:pPr>
        <w:spacing w:after="240" w:before="240" w:line="360" w:lineRule="auto"/>
        <w:jc w:val="both"/>
        <w:rPr>
          <w:rFonts w:ascii="Palatino Linotype" w:cs="Palatino Linotype" w:eastAsia="Palatino Linotype" w:hAnsi="Palatino Linotype"/>
          <w:sz w:val="6"/>
          <w:szCs w:val="6"/>
        </w:rPr>
      </w:pPr>
      <w:r w:rsidDel="00000000" w:rsidR="00000000" w:rsidRPr="00000000">
        <w:rPr>
          <w:rtl w:val="0"/>
        </w:rPr>
      </w:r>
    </w:p>
    <w:p w:rsidR="00000000" w:rsidDel="00000000" w:rsidP="00000000" w:rsidRDefault="00000000" w:rsidRPr="00000000" w14:paraId="0000016B">
      <w:pPr>
        <w:spacing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Cuarto.</w:t>
      </w:r>
      <w:r w:rsidDel="00000000" w:rsidR="00000000" w:rsidRPr="00000000">
        <w:rPr>
          <w:rFonts w:ascii="Palatino Linotype" w:cs="Palatino Linotype" w:eastAsia="Palatino Linotype" w:hAnsi="Palatino Linotype"/>
          <w:b w:val="1"/>
          <w:sz w:val="28"/>
          <w:szCs w:val="28"/>
          <w:rtl w:val="0"/>
        </w:rPr>
        <w:t xml:space="preserve"> </w:t>
      </w:r>
      <w:r w:rsidDel="00000000" w:rsidR="00000000" w:rsidRPr="00000000">
        <w:rPr>
          <w:rFonts w:ascii="Palatino Linotype" w:cs="Palatino Linotype" w:eastAsia="Palatino Linotype" w:hAnsi="Palatino Linotype"/>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rtl w:val="0"/>
        </w:rPr>
        <w:t xml:space="preserve">SUJETO OBLIGADO</w:t>
      </w:r>
      <w:r w:rsidDel="00000000" w:rsidR="00000000" w:rsidRPr="00000000">
        <w:rPr>
          <w:rFonts w:ascii="Palatino Linotype" w:cs="Palatino Linotype" w:eastAsia="Palatino Linotype" w:hAnsi="Palatino Linotype"/>
          <w:rtl w:val="0"/>
        </w:rPr>
        <w:t xml:space="preserve"> de manera fundada y motivada, podrá solicitar una ampliación de plazo para el cumplimiento de la presente resolución.</w:t>
      </w:r>
    </w:p>
    <w:p w:rsidR="00000000" w:rsidDel="00000000" w:rsidP="00000000" w:rsidRDefault="00000000" w:rsidRPr="00000000" w14:paraId="0000016C">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b w:val="1"/>
          <w:rtl w:val="0"/>
        </w:rPr>
        <w:t xml:space="preserve">Quinto. Notifíquese, </w:t>
      </w:r>
      <w:r w:rsidDel="00000000" w:rsidR="00000000" w:rsidRPr="00000000">
        <w:rPr>
          <w:rFonts w:ascii="Palatino Linotype" w:cs="Palatino Linotype" w:eastAsia="Palatino Linotype" w:hAnsi="Palatino Linotype"/>
          <w:rtl w:val="0"/>
        </w:rPr>
        <w:t xml:space="preserve">a la parte </w:t>
      </w:r>
      <w:r w:rsidDel="00000000" w:rsidR="00000000" w:rsidRPr="00000000">
        <w:rPr>
          <w:rFonts w:ascii="Palatino Linotype" w:cs="Palatino Linotype" w:eastAsia="Palatino Linotype" w:hAnsi="Palatino Linotype"/>
          <w:b w:val="1"/>
          <w:rtl w:val="0"/>
        </w:rPr>
        <w:t xml:space="preserve">recurrente</w:t>
      </w:r>
      <w:r w:rsidDel="00000000" w:rsidR="00000000" w:rsidRPr="00000000">
        <w:rPr>
          <w:rFonts w:ascii="Palatino Linotype" w:cs="Palatino Linotype" w:eastAsia="Palatino Linotype" w:hAnsi="Palatino Linotype"/>
          <w:rtl w:val="0"/>
        </w:rPr>
        <w:t xml:space="preserve"> la presente resolución vía SAIMEX, así como, que de conformidad con lo establecido en el artículo 159 de la Ley General de Transparencia y Acceso a la Información Pública y en el artículo 196 de la Ley de Transparencia y Acceso a la Información Pública del Estado de México y Municipios, podrá impugnarla vía recurso de inconformidad ante el Instituto Nacional de Transparencia, Acceso a la Información y Protección de Datos Personales, o bien, vía Juicio de Amparo en términos de las leyes aplicables.</w:t>
      </w:r>
    </w:p>
    <w:p w:rsidR="00000000" w:rsidDel="00000000" w:rsidP="00000000" w:rsidRDefault="00000000" w:rsidRPr="00000000" w14:paraId="0000016D">
      <w:pPr>
        <w:spacing w:line="360" w:lineRule="auto"/>
        <w:ind w:right="49"/>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tl w:val="0"/>
        </w:rPr>
        <w:t xml:space="preserve">ASÍ LO RESUELVE, POR XXXXXX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OCTAVA SESIÓN ORDINARIA CELEBRADA EL DIEZ DE AGOSTO DE DOS MIL VEINTIDÓS, ANTE EL SECRETARIO TÉCNICO DEL PLENO ALEXIS TAPIA RAMÍREZ.</w:t>
      </w:r>
    </w:p>
    <w:p w:rsidR="00000000" w:rsidDel="00000000" w:rsidP="00000000" w:rsidRDefault="00000000" w:rsidRPr="00000000" w14:paraId="0000016E">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6F">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0">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1">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2">
      <w:pPr>
        <w:spacing w:line="360" w:lineRule="auto"/>
        <w:ind w:right="49"/>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73">
      <w:pPr>
        <w:spacing w:after="240" w:before="240" w:line="360" w:lineRule="auto"/>
        <w:jc w:val="both"/>
        <w:rPr>
          <w:rFonts w:ascii="Palatino Linotype" w:cs="Palatino Linotype" w:eastAsia="Palatino Linotype" w:hAnsi="Palatino Linotype"/>
        </w:rPr>
      </w:pPr>
      <w:r w:rsidDel="00000000" w:rsidR="00000000" w:rsidRPr="00000000">
        <w:rPr>
          <w:rtl w:val="0"/>
        </w:rPr>
      </w:r>
    </w:p>
    <w:sectPr>
      <w:headerReference r:id="rId15" w:type="default"/>
      <w:headerReference r:id="rId16" w:type="first"/>
      <w:footerReference r:id="rId17" w:type="default"/>
      <w:footerReference r:id="rId18" w:type="first"/>
      <w:pgSz w:h="15840" w:w="12240" w:orient="portrait"/>
      <w:pgMar w:bottom="1417" w:top="1417"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Verdana"/>
  <w:font w:name="Times New Roman"/>
  <w:font w:name="Arial"/>
  <w:font w:name="Cambria"/>
  <w:font w:name="Courier New"/>
  <w:font w:name="Palatino Linotyp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righ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Página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de </w:t>
    </w:r>
    <w:r w:rsidDel="00000000" w:rsidR="00000000" w:rsidRPr="00000000">
      <w:rPr>
        <w:rFonts w:ascii="Arial" w:cs="Arial" w:eastAsia="Arial" w:hAnsi="Arial"/>
        <w:b w:val="1"/>
        <w:i w:val="0"/>
        <w:smallCaps w:val="0"/>
        <w:strike w:val="0"/>
        <w:color w:val="000000"/>
        <w:sz w:val="20"/>
        <w:szCs w:val="20"/>
        <w:u w:val="none"/>
        <w:shd w:fill="auto" w:val="clear"/>
        <w:vertAlign w:val="baseline"/>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8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708"/>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-916304</wp:posOffset>
          </wp:positionH>
          <wp:positionV relativeFrom="paragraph">
            <wp:posOffset>-354865</wp:posOffset>
          </wp:positionV>
          <wp:extent cx="7635600" cy="9943200"/>
          <wp:effectExtent b="0" l="0" r="0" t="0"/>
          <wp:wrapNone/>
          <wp:docPr id="12"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7635600" cy="9943200"/>
                  </a:xfrm>
                  <a:prstGeom prst="rect"/>
                  <a:ln/>
                </pic:spPr>
              </pic:pic>
            </a:graphicData>
          </a:graphic>
        </wp:anchor>
      </w:drawing>
    </w:r>
  </w:p>
  <w:tbl>
    <w:tblPr>
      <w:tblStyle w:val="Table2"/>
      <w:tblW w:w="6240.0" w:type="dxa"/>
      <w:jc w:val="left"/>
      <w:tblInd w:w="3685.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7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7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04154/INFOEM/IP/RR/2022</w:t>
          </w:r>
        </w:p>
      </w:tc>
    </w:tr>
    <w:tr>
      <w:trPr>
        <w:cantSplit w:val="0"/>
        <w:tblHeader w:val="0"/>
      </w:trPr>
      <w:tc>
        <w:tcPr>
          <w:vAlign w:val="center"/>
        </w:tcPr>
        <w:p w:rsidR="00000000" w:rsidDel="00000000" w:rsidP="00000000" w:rsidRDefault="00000000" w:rsidRPr="00000000" w14:paraId="00000177">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78">
          <w:pPr>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7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7A">
          <w:pPr>
            <w:ind w:right="596"/>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7B">
          <w:pPr>
            <w:ind w:right="596"/>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17C">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7D">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tbl>
    <w:tblPr>
      <w:tblStyle w:val="Table3"/>
      <w:tblW w:w="6240.0" w:type="dxa"/>
      <w:jc w:val="left"/>
      <w:tblInd w:w="3746.0" w:type="dxa"/>
      <w:tblLayout w:type="fixed"/>
      <w:tblLook w:val="0400"/>
    </w:tblPr>
    <w:tblGrid>
      <w:gridCol w:w="2553"/>
      <w:gridCol w:w="3687"/>
      <w:tblGridChange w:id="0">
        <w:tblGrid>
          <w:gridCol w:w="2553"/>
          <w:gridCol w:w="3687"/>
        </w:tblGrid>
      </w:tblGridChange>
    </w:tblGrid>
    <w:tr>
      <w:trPr>
        <w:cantSplit w:val="0"/>
        <w:tblHeader w:val="0"/>
      </w:trPr>
      <w:tc>
        <w:tcPr>
          <w:vAlign w:val="center"/>
        </w:tcPr>
        <w:p w:rsidR="00000000" w:rsidDel="00000000" w:rsidP="00000000" w:rsidRDefault="00000000" w:rsidRPr="00000000" w14:paraId="0000018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81">
          <w:pPr>
            <w:ind w:right="666"/>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04154/INFOEM/IP/RR/2022</w:t>
          </w:r>
        </w:p>
      </w:tc>
    </w:tr>
    <w:tr>
      <w:trPr>
        <w:cantSplit w:val="0"/>
        <w:trHeight w:val="228" w:hRule="atLeast"/>
        <w:tblHeader w:val="0"/>
      </w:trPr>
      <w:tc>
        <w:tcPr>
          <w:vAlign w:val="center"/>
        </w:tcPr>
        <w:p w:rsidR="00000000" w:rsidDel="00000000" w:rsidP="00000000" w:rsidRDefault="00000000" w:rsidRPr="00000000" w14:paraId="0000018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83">
          <w:pPr>
            <w:ind w:right="954"/>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184">
          <w:pPr>
            <w:ind w:right="954"/>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Teoloyucan</w:t>
          </w:r>
        </w:p>
      </w:tc>
    </w:tr>
    <w:tr>
      <w:trPr>
        <w:cantSplit w:val="0"/>
        <w:tblHeader w:val="0"/>
      </w:trPr>
      <w:tc>
        <w:tcPr>
          <w:vAlign w:val="center"/>
        </w:tcPr>
        <w:p w:rsidR="00000000" w:rsidDel="00000000" w:rsidP="00000000" w:rsidRDefault="00000000" w:rsidRPr="00000000" w14:paraId="0000018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86">
          <w:pPr>
            <w:ind w:right="-533"/>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 w:val="left" w:pos="2326"/>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r>
    <w:r w:rsidDel="00000000" w:rsidR="00000000" w:rsidRPr="00000000">
      <w:drawing>
        <wp:anchor allowOverlap="1" behindDoc="1" distB="0" distT="0" distL="0" distR="0" hidden="0" layoutInCell="1" locked="0" relativeHeight="0" simplePos="0">
          <wp:simplePos x="0" y="0"/>
          <wp:positionH relativeFrom="column">
            <wp:posOffset>-982344</wp:posOffset>
          </wp:positionH>
          <wp:positionV relativeFrom="paragraph">
            <wp:posOffset>-1108074</wp:posOffset>
          </wp:positionV>
          <wp:extent cx="7635600" cy="9943200"/>
          <wp:effectExtent b="0" l="0" r="0" t="0"/>
          <wp:wrapNone/>
          <wp:docPr id="13"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7635600" cy="99432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2651" w:hanging="360"/>
      </w:pPr>
      <w:rPr/>
    </w:lvl>
    <w:lvl w:ilvl="1">
      <w:start w:val="1"/>
      <w:numFmt w:val="lowerLetter"/>
      <w:lvlText w:val="%2."/>
      <w:lvlJc w:val="left"/>
      <w:pPr>
        <w:ind w:left="3371" w:hanging="360"/>
      </w:pPr>
      <w:rPr/>
    </w:lvl>
    <w:lvl w:ilvl="2">
      <w:start w:val="1"/>
      <w:numFmt w:val="lowerRoman"/>
      <w:lvlText w:val="%3."/>
      <w:lvlJc w:val="right"/>
      <w:pPr>
        <w:ind w:left="4091" w:hanging="180"/>
      </w:pPr>
      <w:rPr/>
    </w:lvl>
    <w:lvl w:ilvl="3">
      <w:start w:val="1"/>
      <w:numFmt w:val="decimal"/>
      <w:lvlText w:val="%4."/>
      <w:lvlJc w:val="left"/>
      <w:pPr>
        <w:ind w:left="4811" w:hanging="360"/>
      </w:pPr>
      <w:rPr/>
    </w:lvl>
    <w:lvl w:ilvl="4">
      <w:start w:val="1"/>
      <w:numFmt w:val="lowerLetter"/>
      <w:lvlText w:val="%5."/>
      <w:lvlJc w:val="left"/>
      <w:pPr>
        <w:ind w:left="5531" w:hanging="360"/>
      </w:pPr>
      <w:rPr/>
    </w:lvl>
    <w:lvl w:ilvl="5">
      <w:start w:val="1"/>
      <w:numFmt w:val="lowerRoman"/>
      <w:lvlText w:val="%6."/>
      <w:lvlJc w:val="right"/>
      <w:pPr>
        <w:ind w:left="6251" w:hanging="180"/>
      </w:pPr>
      <w:rPr/>
    </w:lvl>
    <w:lvl w:ilvl="6">
      <w:start w:val="1"/>
      <w:numFmt w:val="decimal"/>
      <w:lvlText w:val="%7."/>
      <w:lvlJc w:val="left"/>
      <w:pPr>
        <w:ind w:left="6971" w:hanging="360"/>
      </w:pPr>
      <w:rPr/>
    </w:lvl>
    <w:lvl w:ilvl="7">
      <w:start w:val="1"/>
      <w:numFmt w:val="lowerLetter"/>
      <w:lvlText w:val="%8."/>
      <w:lvlJc w:val="left"/>
      <w:pPr>
        <w:ind w:left="7691" w:hanging="360"/>
      </w:pPr>
      <w:rPr/>
    </w:lvl>
    <w:lvl w:ilvl="8">
      <w:start w:val="1"/>
      <w:numFmt w:val="lowerRoman"/>
      <w:lvlText w:val="%9."/>
      <w:lvlJc w:val="right"/>
      <w:pPr>
        <w:ind w:left="8411"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lowerLetter"/>
      <w:lvlText w:val="%1)"/>
      <w:lvlJc w:val="left"/>
      <w:pPr>
        <w:ind w:left="2651" w:hanging="360"/>
      </w:pPr>
      <w:rPr>
        <w:b w:val="0"/>
      </w:rPr>
    </w:lvl>
    <w:lvl w:ilvl="1">
      <w:start w:val="1"/>
      <w:numFmt w:val="lowerLetter"/>
      <w:lvlText w:val="%2."/>
      <w:lvlJc w:val="left"/>
      <w:pPr>
        <w:ind w:left="3371" w:hanging="360"/>
      </w:pPr>
      <w:rPr/>
    </w:lvl>
    <w:lvl w:ilvl="2">
      <w:start w:val="1"/>
      <w:numFmt w:val="lowerRoman"/>
      <w:lvlText w:val="%3."/>
      <w:lvlJc w:val="right"/>
      <w:pPr>
        <w:ind w:left="4091" w:hanging="180"/>
      </w:pPr>
      <w:rPr/>
    </w:lvl>
    <w:lvl w:ilvl="3">
      <w:start w:val="1"/>
      <w:numFmt w:val="decimal"/>
      <w:lvlText w:val="%4."/>
      <w:lvlJc w:val="left"/>
      <w:pPr>
        <w:ind w:left="4811" w:hanging="360"/>
      </w:pPr>
      <w:rPr/>
    </w:lvl>
    <w:lvl w:ilvl="4">
      <w:start w:val="1"/>
      <w:numFmt w:val="lowerLetter"/>
      <w:lvlText w:val="%5."/>
      <w:lvlJc w:val="left"/>
      <w:pPr>
        <w:ind w:left="5531" w:hanging="360"/>
      </w:pPr>
      <w:rPr/>
    </w:lvl>
    <w:lvl w:ilvl="5">
      <w:start w:val="1"/>
      <w:numFmt w:val="lowerRoman"/>
      <w:lvlText w:val="%6."/>
      <w:lvlJc w:val="right"/>
      <w:pPr>
        <w:ind w:left="6251" w:hanging="180"/>
      </w:pPr>
      <w:rPr/>
    </w:lvl>
    <w:lvl w:ilvl="6">
      <w:start w:val="1"/>
      <w:numFmt w:val="decimal"/>
      <w:lvlText w:val="%7."/>
      <w:lvlJc w:val="left"/>
      <w:pPr>
        <w:ind w:left="6971" w:hanging="360"/>
      </w:pPr>
      <w:rPr/>
    </w:lvl>
    <w:lvl w:ilvl="7">
      <w:start w:val="1"/>
      <w:numFmt w:val="lowerLetter"/>
      <w:lvlText w:val="%8."/>
      <w:lvlJc w:val="left"/>
      <w:pPr>
        <w:ind w:left="7691" w:hanging="360"/>
      </w:pPr>
      <w:rPr/>
    </w:lvl>
    <w:lvl w:ilvl="8">
      <w:start w:val="1"/>
      <w:numFmt w:val="lowerRoman"/>
      <w:lvlText w:val="%9."/>
      <w:lvlJc w:val="right"/>
      <w:pPr>
        <w:ind w:left="8411"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lowerLetter"/>
      <w:lvlText w:val="%1)"/>
      <w:lvlJc w:val="left"/>
      <w:pPr>
        <w:ind w:left="927" w:hanging="360"/>
      </w:pPr>
      <w:rPr/>
    </w:lvl>
    <w:lvl w:ilvl="1">
      <w:start w:val="1"/>
      <w:numFmt w:val="lowerLetter"/>
      <w:lvlText w:val="%2."/>
      <w:lvlJc w:val="left"/>
      <w:pPr>
        <w:ind w:left="1647" w:hanging="360"/>
      </w:pPr>
      <w:rPr/>
    </w:lvl>
    <w:lvl w:ilvl="2">
      <w:start w:val="1"/>
      <w:numFmt w:val="lowerRoman"/>
      <w:lvlText w:val="%3."/>
      <w:lvlJc w:val="right"/>
      <w:pPr>
        <w:ind w:left="2367" w:hanging="180"/>
      </w:pPr>
      <w:rPr/>
    </w:lvl>
    <w:lvl w:ilvl="3">
      <w:start w:val="1"/>
      <w:numFmt w:val="decimal"/>
      <w:lvlText w:val="%4."/>
      <w:lvlJc w:val="left"/>
      <w:pPr>
        <w:ind w:left="3087" w:hanging="360"/>
      </w:pPr>
      <w:rPr/>
    </w:lvl>
    <w:lvl w:ilvl="4">
      <w:start w:val="1"/>
      <w:numFmt w:val="lowerLetter"/>
      <w:lvlText w:val="%5."/>
      <w:lvlJc w:val="left"/>
      <w:pPr>
        <w:ind w:left="3807" w:hanging="360"/>
      </w:pPr>
      <w:rPr/>
    </w:lvl>
    <w:lvl w:ilvl="5">
      <w:start w:val="1"/>
      <w:numFmt w:val="lowerRoman"/>
      <w:lvlText w:val="%6."/>
      <w:lvlJc w:val="right"/>
      <w:pPr>
        <w:ind w:left="4527" w:hanging="180"/>
      </w:pPr>
      <w:rPr/>
    </w:lvl>
    <w:lvl w:ilvl="6">
      <w:start w:val="1"/>
      <w:numFmt w:val="decimal"/>
      <w:lvlText w:val="%7."/>
      <w:lvlJc w:val="left"/>
      <w:pPr>
        <w:ind w:left="5247" w:hanging="360"/>
      </w:pPr>
      <w:rPr/>
    </w:lvl>
    <w:lvl w:ilvl="7">
      <w:start w:val="1"/>
      <w:numFmt w:val="lowerLetter"/>
      <w:lvlText w:val="%8."/>
      <w:lvlJc w:val="left"/>
      <w:pPr>
        <w:ind w:left="5967" w:hanging="360"/>
      </w:pPr>
      <w:rPr/>
    </w:lvl>
    <w:lvl w:ilvl="8">
      <w:start w:val="1"/>
      <w:numFmt w:val="lowerRoman"/>
      <w:lvlText w:val="%9."/>
      <w:lvlJc w:val="right"/>
      <w:pPr>
        <w:ind w:left="6687" w:hanging="180"/>
      </w:pPr>
      <w:rPr/>
    </w:lvl>
  </w:abstractNum>
  <w:abstractNum w:abstractNumId="8">
    <w:lvl w:ilvl="0">
      <w:start w:val="3"/>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bullet"/>
      <w:lvlText w:val="●"/>
      <w:lvlJc w:val="left"/>
      <w:pPr>
        <w:ind w:left="1571" w:hanging="360"/>
      </w:pPr>
      <w:rPr>
        <w:rFonts w:ascii="Noto Sans Symbols" w:cs="Noto Sans Symbols" w:eastAsia="Noto Sans Symbols" w:hAnsi="Noto Sans Symbols"/>
      </w:rPr>
    </w:lvl>
    <w:lvl w:ilvl="1">
      <w:start w:val="1"/>
      <w:numFmt w:val="bullet"/>
      <w:lvlText w:val="o"/>
      <w:lvlJc w:val="left"/>
      <w:pPr>
        <w:ind w:left="2291" w:hanging="360"/>
      </w:pPr>
      <w:rPr>
        <w:rFonts w:ascii="Courier New" w:cs="Courier New" w:eastAsia="Courier New" w:hAnsi="Courier New"/>
      </w:rPr>
    </w:lvl>
    <w:lvl w:ilvl="2">
      <w:start w:val="1"/>
      <w:numFmt w:val="bullet"/>
      <w:lvlText w:val="▪"/>
      <w:lvlJc w:val="left"/>
      <w:pPr>
        <w:ind w:left="3011" w:hanging="360"/>
      </w:pPr>
      <w:rPr>
        <w:rFonts w:ascii="Noto Sans Symbols" w:cs="Noto Sans Symbols" w:eastAsia="Noto Sans Symbols" w:hAnsi="Noto Sans Symbols"/>
      </w:rPr>
    </w:lvl>
    <w:lvl w:ilvl="3">
      <w:start w:val="1"/>
      <w:numFmt w:val="bullet"/>
      <w:lvlText w:val="●"/>
      <w:lvlJc w:val="left"/>
      <w:pPr>
        <w:ind w:left="3731" w:hanging="360"/>
      </w:pPr>
      <w:rPr>
        <w:rFonts w:ascii="Noto Sans Symbols" w:cs="Noto Sans Symbols" w:eastAsia="Noto Sans Symbols" w:hAnsi="Noto Sans Symbols"/>
      </w:rPr>
    </w:lvl>
    <w:lvl w:ilvl="4">
      <w:start w:val="1"/>
      <w:numFmt w:val="bullet"/>
      <w:lvlText w:val="o"/>
      <w:lvlJc w:val="left"/>
      <w:pPr>
        <w:ind w:left="4451" w:hanging="360"/>
      </w:pPr>
      <w:rPr>
        <w:rFonts w:ascii="Courier New" w:cs="Courier New" w:eastAsia="Courier New" w:hAnsi="Courier New"/>
      </w:rPr>
    </w:lvl>
    <w:lvl w:ilvl="5">
      <w:start w:val="1"/>
      <w:numFmt w:val="bullet"/>
      <w:lvlText w:val="▪"/>
      <w:lvlJc w:val="left"/>
      <w:pPr>
        <w:ind w:left="5171" w:hanging="360"/>
      </w:pPr>
      <w:rPr>
        <w:rFonts w:ascii="Noto Sans Symbols" w:cs="Noto Sans Symbols" w:eastAsia="Noto Sans Symbols" w:hAnsi="Noto Sans Symbols"/>
      </w:rPr>
    </w:lvl>
    <w:lvl w:ilvl="6">
      <w:start w:val="1"/>
      <w:numFmt w:val="bullet"/>
      <w:lvlText w:val="●"/>
      <w:lvlJc w:val="left"/>
      <w:pPr>
        <w:ind w:left="5891" w:hanging="360"/>
      </w:pPr>
      <w:rPr>
        <w:rFonts w:ascii="Noto Sans Symbols" w:cs="Noto Sans Symbols" w:eastAsia="Noto Sans Symbols" w:hAnsi="Noto Sans Symbols"/>
      </w:rPr>
    </w:lvl>
    <w:lvl w:ilvl="7">
      <w:start w:val="1"/>
      <w:numFmt w:val="bullet"/>
      <w:lvlText w:val="o"/>
      <w:lvlJc w:val="left"/>
      <w:pPr>
        <w:ind w:left="6611" w:hanging="360"/>
      </w:pPr>
      <w:rPr>
        <w:rFonts w:ascii="Courier New" w:cs="Courier New" w:eastAsia="Courier New" w:hAnsi="Courier New"/>
      </w:rPr>
    </w:lvl>
    <w:lvl w:ilvl="8">
      <w:start w:val="1"/>
      <w:numFmt w:val="bullet"/>
      <w:lvlText w:val="▪"/>
      <w:lvlJc w:val="left"/>
      <w:pPr>
        <w:ind w:left="7331"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Palatino Linotype" w:cs="Palatino Linotype" w:eastAsia="Palatino Linotype" w:hAnsi="Palatino Linotype"/>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243f61"/>
    </w:rPr>
  </w:style>
  <w:style w:type="paragraph" w:styleId="Heading4">
    <w:name w:val="heading 4"/>
    <w:basedOn w:val="Normal"/>
    <w:next w:val="Normal"/>
    <w:pPr>
      <w:keepNext w:val="1"/>
      <w:keepLines w:val="1"/>
      <w:spacing w:before="40" w:lineRule="auto"/>
    </w:pPr>
    <w:rPr>
      <w:rFonts w:ascii="Calibri" w:cs="Calibri" w:eastAsia="Calibri" w:hAnsi="Calibri"/>
      <w:i w:val="1"/>
      <w:color w:val="36609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C80F8C"/>
    <w:rPr>
      <w:rFonts w:ascii="Times New Roman" w:cs="Times New Roman" w:eastAsia="Times New Roman" w:hAnsi="Times New Roman"/>
      <w:lang w:val="es-ES"/>
    </w:rPr>
  </w:style>
  <w:style w:type="paragraph" w:styleId="Ttulo1">
    <w:name w:val="heading 1"/>
    <w:basedOn w:val="Normal"/>
    <w:next w:val="Normal"/>
    <w:link w:val="Ttulo1Car"/>
    <w:uiPriority w:val="9"/>
    <w:qFormat w:val="1"/>
    <w:rsid w:val="007F61DA"/>
    <w:pPr>
      <w:keepNext w:val="1"/>
      <w:keepLines w:val="1"/>
      <w:spacing w:before="240"/>
      <w:outlineLvl w:val="0"/>
    </w:pPr>
    <w:rPr>
      <w:rFonts w:asciiTheme="majorHAnsi" w:cstheme="majorBidi" w:eastAsiaTheme="majorEastAsia" w:hAnsiTheme="majorHAnsi"/>
      <w:color w:val="365f91" w:themeColor="accent1" w:themeShade="0000BF"/>
      <w:sz w:val="32"/>
      <w:szCs w:val="32"/>
    </w:rPr>
  </w:style>
  <w:style w:type="paragraph" w:styleId="Ttulo2">
    <w:name w:val="heading 2"/>
    <w:basedOn w:val="Normal"/>
    <w:next w:val="Normal"/>
    <w:link w:val="Ttulo2Car"/>
    <w:uiPriority w:val="9"/>
    <w:unhideWhenUsed w:val="1"/>
    <w:qFormat w:val="1"/>
    <w:rsid w:val="004A6EFE"/>
    <w:pPr>
      <w:keepNext w:val="1"/>
      <w:keepLines w:val="1"/>
      <w:spacing w:before="40"/>
      <w:outlineLvl w:val="1"/>
    </w:pPr>
    <w:rPr>
      <w:rFonts w:asciiTheme="majorHAnsi" w:cstheme="majorBidi" w:eastAsiaTheme="majorEastAsia" w:hAnsiTheme="majorHAnsi"/>
      <w:color w:val="365f91" w:themeColor="accent1" w:themeShade="0000BF"/>
      <w:sz w:val="26"/>
      <w:szCs w:val="26"/>
    </w:rPr>
  </w:style>
  <w:style w:type="paragraph" w:styleId="Ttulo3">
    <w:name w:val="heading 3"/>
    <w:basedOn w:val="Normal"/>
    <w:next w:val="Normal"/>
    <w:link w:val="Ttulo3Car"/>
    <w:uiPriority w:val="9"/>
    <w:semiHidden w:val="1"/>
    <w:unhideWhenUsed w:val="1"/>
    <w:qFormat w:val="1"/>
    <w:rsid w:val="00D006F2"/>
    <w:pPr>
      <w:keepNext w:val="1"/>
      <w:keepLines w:val="1"/>
      <w:spacing w:before="40"/>
      <w:outlineLvl w:val="2"/>
    </w:pPr>
    <w:rPr>
      <w:rFonts w:asciiTheme="majorHAnsi" w:cstheme="majorBidi" w:eastAsiaTheme="majorEastAsia" w:hAnsiTheme="majorHAnsi"/>
      <w:color w:val="243f60" w:themeColor="accent1" w:themeShade="00007F"/>
    </w:rPr>
  </w:style>
  <w:style w:type="paragraph" w:styleId="Ttulo4">
    <w:name w:val="heading 4"/>
    <w:basedOn w:val="Normal"/>
    <w:next w:val="Normal"/>
    <w:link w:val="Ttulo4Car"/>
    <w:uiPriority w:val="9"/>
    <w:semiHidden w:val="1"/>
    <w:unhideWhenUsed w:val="1"/>
    <w:qFormat w:val="1"/>
    <w:rsid w:val="00D006F2"/>
    <w:pPr>
      <w:keepNext w:val="1"/>
      <w:keepLines w:val="1"/>
      <w:spacing w:before="40"/>
      <w:outlineLvl w:val="3"/>
    </w:pPr>
    <w:rPr>
      <w:rFonts w:asciiTheme="majorHAnsi" w:cstheme="majorBidi" w:eastAsiaTheme="majorEastAsia" w:hAnsiTheme="majorHAnsi"/>
      <w:i w:val="1"/>
      <w:iCs w:val="1"/>
      <w:color w:val="365f91"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C80F8C"/>
  </w:style>
  <w:style w:type="paragraph" w:styleId="Piedepgina">
    <w:name w:val="footer"/>
    <w:basedOn w:val="Normal"/>
    <w:link w:val="PiedepginaCar"/>
    <w:uiPriority w:val="99"/>
    <w:unhideWhenUsed w:val="1"/>
    <w:rsid w:val="00C80F8C"/>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C80F8C"/>
  </w:style>
  <w:style w:type="paragraph" w:styleId="Textodeglobo">
    <w:name w:val="Balloon Text"/>
    <w:basedOn w:val="Normal"/>
    <w:link w:val="TextodegloboCar"/>
    <w:uiPriority w:val="99"/>
    <w:semiHidden w:val="1"/>
    <w:unhideWhenUsed w:val="1"/>
    <w:rsid w:val="00C80F8C"/>
    <w:rPr>
      <w:rFonts w:ascii="Lucida Grande" w:cs="Lucida Grande" w:hAnsi="Lucida Grande" w:eastAsiaTheme="minorEastAsia"/>
      <w:sz w:val="18"/>
      <w:szCs w:val="18"/>
      <w:lang w:val="es-ES_tradnl"/>
    </w:rPr>
  </w:style>
  <w:style w:type="character" w:styleId="TextodegloboCar" w:customStyle="1">
    <w:name w:val="Texto de globo Car"/>
    <w:basedOn w:val="Fuentedeprrafopredeter"/>
    <w:link w:val="Textodeglobo"/>
    <w:uiPriority w:val="99"/>
    <w:semiHidden w:val="1"/>
    <w:rsid w:val="00C80F8C"/>
    <w:rPr>
      <w:rFonts w:ascii="Lucida Grande" w:cs="Lucida Grande" w:hAnsi="Lucida Grande"/>
      <w:sz w:val="18"/>
      <w:szCs w:val="18"/>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9D485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9D4854"/>
    <w:pPr>
      <w:ind w:left="708"/>
    </w:pPr>
  </w:style>
  <w:style w:type="table" w:styleId="Tablaconcuadrcula">
    <w:name w:val="Table Grid"/>
    <w:basedOn w:val="Tablanormal"/>
    <w:uiPriority w:val="59"/>
    <w:rsid w:val="00AB3F5E"/>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B3F5E"/>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AB3F5E"/>
    <w:rPr>
      <w:rFonts w:eastAsiaTheme="minorHAnsi"/>
      <w:sz w:val="20"/>
      <w:szCs w:val="20"/>
      <w:lang w:eastAsia="en-US" w:val="es-MX"/>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val="1"/>
    <w:qFormat w:val="1"/>
    <w:rsid w:val="00AB3F5E"/>
    <w:rPr>
      <w:vertAlign w:val="superscript"/>
    </w:rPr>
  </w:style>
  <w:style w:type="character" w:styleId="Ttulo2Car" w:customStyle="1">
    <w:name w:val="Título 2 Car"/>
    <w:basedOn w:val="Fuentedeprrafopredeter"/>
    <w:link w:val="Ttulo2"/>
    <w:uiPriority w:val="9"/>
    <w:rsid w:val="004A6EFE"/>
    <w:rPr>
      <w:rFonts w:asciiTheme="majorHAnsi" w:cstheme="majorBidi" w:eastAsiaTheme="majorEastAsia" w:hAnsiTheme="majorHAnsi"/>
      <w:color w:val="365f91" w:themeColor="accent1" w:themeShade="0000BF"/>
      <w:sz w:val="26"/>
      <w:szCs w:val="26"/>
      <w:lang w:val="es-ES"/>
    </w:rPr>
  </w:style>
  <w:style w:type="character" w:styleId="apple-converted-space" w:customStyle="1">
    <w:name w:val="apple-converted-space"/>
    <w:basedOn w:val="Fuentedeprrafopredeter"/>
    <w:rsid w:val="00A5404F"/>
  </w:style>
  <w:style w:type="character" w:styleId="normaltextrun" w:customStyle="1">
    <w:name w:val="normaltextrun"/>
    <w:basedOn w:val="Fuentedeprrafopredeter"/>
    <w:rsid w:val="00355B75"/>
  </w:style>
  <w:style w:type="paragraph" w:styleId="paragraph" w:customStyle="1">
    <w:name w:val="paragraph"/>
    <w:basedOn w:val="Normal"/>
    <w:rsid w:val="00355B75"/>
    <w:pPr>
      <w:spacing w:after="100" w:afterAutospacing="1" w:before="100" w:beforeAutospacing="1"/>
    </w:pPr>
    <w:rPr>
      <w:lang w:eastAsia="es-MX" w:val="es-MX"/>
    </w:rPr>
  </w:style>
  <w:style w:type="character" w:styleId="eop" w:customStyle="1">
    <w:name w:val="eop"/>
    <w:basedOn w:val="Fuentedeprrafopredeter"/>
    <w:rsid w:val="00355B75"/>
  </w:style>
  <w:style w:type="character" w:styleId="Hipervnculo">
    <w:name w:val="Hyperlink"/>
    <w:basedOn w:val="Fuentedeprrafopredeter"/>
    <w:uiPriority w:val="99"/>
    <w:unhideWhenUsed w:val="1"/>
    <w:rsid w:val="00623EA3"/>
    <w:rPr>
      <w:color w:val="0000ff" w:themeColor="hyperlink"/>
      <w:u w:val="single"/>
    </w:rPr>
  </w:style>
  <w:style w:type="character" w:styleId="nacep" w:customStyle="1">
    <w:name w:val="n_acep"/>
    <w:basedOn w:val="Fuentedeprrafopredeter"/>
    <w:rsid w:val="00585C24"/>
  </w:style>
  <w:style w:type="paragraph" w:styleId="Texto" w:customStyle="1">
    <w:name w:val="Texto"/>
    <w:basedOn w:val="Normal"/>
    <w:link w:val="TextoCar"/>
    <w:qFormat w:val="1"/>
    <w:rsid w:val="009573BD"/>
    <w:pPr>
      <w:spacing w:after="101" w:line="216" w:lineRule="exact"/>
      <w:ind w:firstLine="288"/>
      <w:jc w:val="both"/>
    </w:pPr>
    <w:rPr>
      <w:rFonts w:ascii="Arial" w:cs="Arial" w:hAnsi="Arial"/>
      <w:sz w:val="18"/>
      <w:szCs w:val="20"/>
    </w:rPr>
  </w:style>
  <w:style w:type="character" w:styleId="TextoCar" w:customStyle="1">
    <w:name w:val="Texto Car"/>
    <w:link w:val="Texto"/>
    <w:locked w:val="1"/>
    <w:rsid w:val="009573BD"/>
    <w:rPr>
      <w:rFonts w:ascii="Arial" w:cs="Arial" w:eastAsia="Times New Roman" w:hAnsi="Arial"/>
      <w:sz w:val="18"/>
      <w:szCs w:val="20"/>
      <w:lang w:val="es-ES"/>
    </w:rPr>
  </w:style>
  <w:style w:type="character" w:styleId="Ttulo1Car" w:customStyle="1">
    <w:name w:val="Título 1 Car"/>
    <w:basedOn w:val="Fuentedeprrafopredeter"/>
    <w:link w:val="Ttulo1"/>
    <w:uiPriority w:val="9"/>
    <w:rsid w:val="007F61DA"/>
    <w:rPr>
      <w:rFonts w:asciiTheme="majorHAnsi" w:cstheme="majorBidi" w:eastAsiaTheme="majorEastAsia" w:hAnsiTheme="majorHAnsi"/>
      <w:color w:val="365f91" w:themeColor="accent1" w:themeShade="0000BF"/>
      <w:sz w:val="32"/>
      <w:szCs w:val="32"/>
      <w:lang w:val="es-ES"/>
    </w:rPr>
  </w:style>
  <w:style w:type="paragraph" w:styleId="Default" w:customStyle="1">
    <w:name w:val="Default"/>
    <w:rsid w:val="00DF0D44"/>
    <w:pPr>
      <w:autoSpaceDE w:val="0"/>
      <w:autoSpaceDN w:val="0"/>
      <w:adjustRightInd w:val="0"/>
    </w:pPr>
    <w:rPr>
      <w:rFonts w:ascii="Arial" w:cs="Arial" w:hAnsi="Arial"/>
      <w:color w:val="000000"/>
      <w:lang w:val="es-MX"/>
    </w:rPr>
  </w:style>
  <w:style w:type="paragraph" w:styleId="Sinespaciado">
    <w:name w:val="No Spacing"/>
    <w:aliases w:val="Francesa,INAI"/>
    <w:link w:val="SinespaciadoCar"/>
    <w:uiPriority w:val="1"/>
    <w:qFormat w:val="1"/>
    <w:rsid w:val="00932CFF"/>
    <w:rPr>
      <w:rFonts w:ascii="Times New Roman" w:cs="Times New Roman" w:eastAsia="Times New Roman" w:hAnsi="Times New Roman"/>
      <w:lang w:val="es-MX"/>
    </w:rPr>
  </w:style>
  <w:style w:type="character" w:styleId="Textoennegrita">
    <w:name w:val="Strong"/>
    <w:uiPriority w:val="22"/>
    <w:qFormat w:val="1"/>
    <w:rsid w:val="00932CFF"/>
    <w:rPr>
      <w:b w:val="1"/>
      <w:bCs w:val="1"/>
    </w:rPr>
  </w:style>
  <w:style w:type="character" w:styleId="SinespaciadoCar" w:customStyle="1">
    <w:name w:val="Sin espaciado Car"/>
    <w:aliases w:val="Francesa Car,INAI Car"/>
    <w:link w:val="Sinespaciado"/>
    <w:uiPriority w:val="1"/>
    <w:locked w:val="1"/>
    <w:rsid w:val="00932CFF"/>
    <w:rPr>
      <w:rFonts w:ascii="Times New Roman" w:cs="Times New Roman" w:eastAsia="Times New Roman" w:hAnsi="Times New Roman"/>
      <w:lang w:val="es-MX"/>
    </w:rPr>
  </w:style>
  <w:style w:type="paragraph" w:styleId="NormalWeb">
    <w:name w:val="Normal (Web)"/>
    <w:basedOn w:val="Normal"/>
    <w:uiPriority w:val="99"/>
    <w:unhideWhenUsed w:val="1"/>
    <w:rsid w:val="00444919"/>
    <w:pPr>
      <w:spacing w:after="100" w:afterAutospacing="1" w:before="100" w:beforeAutospacing="1"/>
    </w:pPr>
    <w:rPr>
      <w:lang w:eastAsia="es-MX" w:val="es-MX"/>
    </w:rPr>
  </w:style>
  <w:style w:type="paragraph" w:styleId="Textoindependiente">
    <w:name w:val="Body Text"/>
    <w:basedOn w:val="Normal"/>
    <w:link w:val="TextoindependienteCar"/>
    <w:uiPriority w:val="1"/>
    <w:qFormat w:val="1"/>
    <w:rsid w:val="00446C36"/>
    <w:pPr>
      <w:widowControl w:val="0"/>
      <w:autoSpaceDE w:val="0"/>
      <w:autoSpaceDN w:val="0"/>
      <w:adjustRightInd w:val="0"/>
      <w:ind w:left="112"/>
    </w:pPr>
    <w:rPr>
      <w:rFonts w:eastAsiaTheme="minorEastAsia"/>
      <w:sz w:val="25"/>
      <w:szCs w:val="25"/>
      <w:lang w:eastAsia="es-MX" w:val="es-MX"/>
    </w:rPr>
  </w:style>
  <w:style w:type="character" w:styleId="TextoindependienteCar" w:customStyle="1">
    <w:name w:val="Texto independiente Car"/>
    <w:basedOn w:val="Fuentedeprrafopredeter"/>
    <w:link w:val="Textoindependiente"/>
    <w:uiPriority w:val="1"/>
    <w:rsid w:val="00446C36"/>
    <w:rPr>
      <w:rFonts w:ascii="Times New Roman" w:cs="Times New Roman" w:hAnsi="Times New Roman"/>
      <w:sz w:val="25"/>
      <w:szCs w:val="25"/>
      <w:lang w:eastAsia="es-MX" w:val="es-MX"/>
    </w:rPr>
  </w:style>
  <w:style w:type="paragraph" w:styleId="Textosinformato">
    <w:name w:val="Plain Text"/>
    <w:basedOn w:val="Normal"/>
    <w:link w:val="TextosinformatoCar"/>
    <w:unhideWhenUsed w:val="1"/>
    <w:rsid w:val="006F1806"/>
    <w:rPr>
      <w:rFonts w:ascii="Courier New" w:hAnsi="Courier New"/>
      <w:sz w:val="20"/>
      <w:szCs w:val="20"/>
    </w:rPr>
  </w:style>
  <w:style w:type="character" w:styleId="TextosinformatoCar" w:customStyle="1">
    <w:name w:val="Texto sin formato Car"/>
    <w:basedOn w:val="Fuentedeprrafopredeter"/>
    <w:link w:val="Textosinformato"/>
    <w:rsid w:val="006F1806"/>
    <w:rPr>
      <w:rFonts w:ascii="Courier New" w:cs="Times New Roman" w:eastAsia="Times New Roman" w:hAnsi="Courier New"/>
      <w:sz w:val="20"/>
      <w:szCs w:val="20"/>
      <w:lang w:val="es-ES"/>
    </w:rPr>
  </w:style>
  <w:style w:type="table" w:styleId="Tabladelista1clara-nfasis1">
    <w:name w:val="List Table 1 Light Accent 1"/>
    <w:basedOn w:val="Tablanormal"/>
    <w:uiPriority w:val="46"/>
    <w:rsid w:val="007B70B3"/>
    <w:tblPr>
      <w:tblStyleRowBandSize w:val="1"/>
      <w:tblStyleColBandSize w:val="1"/>
    </w:tblPr>
    <w:tblStylePr w:type="firstRow">
      <w:rPr>
        <w:b w:val="1"/>
        <w:bCs w:val="1"/>
      </w:rPr>
      <w:tblPr/>
      <w:tcPr>
        <w:tcBorders>
          <w:bottom w:color="95b3d7" w:space="0" w:sz="4" w:themeColor="accent1" w:themeTint="000099" w:val="single"/>
        </w:tcBorders>
      </w:tcPr>
    </w:tblStylePr>
    <w:tblStylePr w:type="lastRow">
      <w:rPr>
        <w:b w:val="1"/>
        <w:bCs w:val="1"/>
      </w:rPr>
      <w:tblPr/>
      <w:tcPr>
        <w:tcBorders>
          <w:top w:color="95b3d7"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be5f1" w:themeFill="accent1" w:themeFillTint="000033" w:val="clear"/>
      </w:tcPr>
    </w:tblStylePr>
    <w:tblStylePr w:type="band1Horz">
      <w:tblPr/>
      <w:tcPr>
        <w:shd w:color="auto" w:fill="dbe5f1" w:themeFill="accent1" w:themeFillTint="000033" w:val="clear"/>
      </w:tcPr>
    </w:tblStylePr>
  </w:style>
  <w:style w:type="character" w:styleId="Mencinsinresolver1" w:customStyle="1">
    <w:name w:val="Mención sin resolver1"/>
    <w:basedOn w:val="Fuentedeprrafopredeter"/>
    <w:uiPriority w:val="99"/>
    <w:semiHidden w:val="1"/>
    <w:unhideWhenUsed w:val="1"/>
    <w:rsid w:val="00CA08C0"/>
    <w:rPr>
      <w:color w:val="605e5c"/>
      <w:shd w:color="auto" w:fill="e1dfdd" w:val="clear"/>
    </w:rPr>
  </w:style>
  <w:style w:type="table" w:styleId="Tabladecuadrcula4-nfasis5">
    <w:name w:val="Grid Table 4 Accent 5"/>
    <w:basedOn w:val="Tablanormal"/>
    <w:uiPriority w:val="49"/>
    <w:rsid w:val="006E38D5"/>
    <w:tblPr>
      <w:tblStyleRowBandSize w:val="1"/>
      <w:tblStyleColBandSize w:val="1"/>
      <w:tblBorders>
        <w:top w:color="92cddc" w:space="0" w:sz="4" w:themeColor="accent5" w:themeTint="000099" w:val="single"/>
        <w:left w:color="92cddc" w:space="0" w:sz="4" w:themeColor="accent5" w:themeTint="000099" w:val="single"/>
        <w:bottom w:color="92cddc" w:space="0" w:sz="4" w:themeColor="accent5" w:themeTint="000099" w:val="single"/>
        <w:right w:color="92cddc" w:space="0" w:sz="4" w:themeColor="accent5" w:themeTint="000099" w:val="single"/>
        <w:insideH w:color="92cddc" w:space="0" w:sz="4" w:themeColor="accent5" w:themeTint="000099" w:val="single"/>
        <w:insideV w:color="92cddc" w:space="0" w:sz="4" w:themeColor="accent5" w:themeTint="000099" w:val="single"/>
      </w:tblBorders>
    </w:tblPr>
    <w:tblStylePr w:type="firstRow">
      <w:rPr>
        <w:b w:val="1"/>
        <w:bCs w:val="1"/>
        <w:color w:val="ffffff" w:themeColor="background1"/>
      </w:rPr>
      <w:tblPr/>
      <w:tcPr>
        <w:tcBorders>
          <w:top w:color="4bacc6" w:space="0" w:sz="4" w:themeColor="accent5" w:val="single"/>
          <w:left w:color="4bacc6" w:space="0" w:sz="4" w:themeColor="accent5" w:val="single"/>
          <w:bottom w:color="4bacc6" w:space="0" w:sz="4" w:themeColor="accent5" w:val="single"/>
          <w:right w:color="4bacc6" w:space="0" w:sz="4" w:themeColor="accent5" w:val="single"/>
          <w:insideH w:space="0" w:sz="0" w:val="nil"/>
          <w:insideV w:space="0" w:sz="0" w:val="nil"/>
        </w:tcBorders>
        <w:shd w:color="auto" w:fill="4bacc6" w:themeFill="accent5" w:val="clear"/>
      </w:tcPr>
    </w:tblStylePr>
    <w:tblStylePr w:type="lastRow">
      <w:rPr>
        <w:b w:val="1"/>
        <w:bCs w:val="1"/>
      </w:rPr>
      <w:tblPr/>
      <w:tcPr>
        <w:tcBorders>
          <w:top w:color="4bacc6" w:space="0" w:sz="4" w:themeColor="accent5" w:val="double"/>
        </w:tcBorders>
      </w:tcPr>
    </w:tblStylePr>
    <w:tblStylePr w:type="firstCol">
      <w:rPr>
        <w:b w:val="1"/>
        <w:bCs w:val="1"/>
      </w:rPr>
    </w:tblStylePr>
    <w:tblStylePr w:type="lastCol">
      <w:rPr>
        <w:b w:val="1"/>
        <w:bCs w:val="1"/>
      </w:rPr>
    </w:tblStylePr>
    <w:tblStylePr w:type="band1Vert">
      <w:tblPr/>
      <w:tcPr>
        <w:shd w:color="auto" w:fill="daeef3" w:themeFill="accent5" w:themeFillTint="000033" w:val="clear"/>
      </w:tcPr>
    </w:tblStylePr>
    <w:tblStylePr w:type="band1Horz">
      <w:tblPr/>
      <w:tcPr>
        <w:shd w:color="auto" w:fill="daeef3" w:themeFill="accent5" w:themeFillTint="000033" w:val="clear"/>
      </w:tcPr>
    </w:tblStylePr>
  </w:style>
  <w:style w:type="character" w:styleId="Ttulo3Car" w:customStyle="1">
    <w:name w:val="Título 3 Car"/>
    <w:basedOn w:val="Fuentedeprrafopredeter"/>
    <w:link w:val="Ttulo3"/>
    <w:uiPriority w:val="9"/>
    <w:semiHidden w:val="1"/>
    <w:rsid w:val="00D006F2"/>
    <w:rPr>
      <w:rFonts w:asciiTheme="majorHAnsi" w:cstheme="majorBidi" w:eastAsiaTheme="majorEastAsia" w:hAnsiTheme="majorHAnsi"/>
      <w:color w:val="243f60" w:themeColor="accent1" w:themeShade="00007F"/>
      <w:lang w:val="es-ES"/>
    </w:rPr>
  </w:style>
  <w:style w:type="character" w:styleId="Ttulo4Car" w:customStyle="1">
    <w:name w:val="Título 4 Car"/>
    <w:basedOn w:val="Fuentedeprrafopredeter"/>
    <w:link w:val="Ttulo4"/>
    <w:uiPriority w:val="9"/>
    <w:semiHidden w:val="1"/>
    <w:rsid w:val="00D006F2"/>
    <w:rPr>
      <w:rFonts w:asciiTheme="majorHAnsi" w:cstheme="majorBidi" w:eastAsiaTheme="majorEastAsia" w:hAnsiTheme="majorHAnsi"/>
      <w:i w:val="1"/>
      <w:iCs w:val="1"/>
      <w:color w:val="365f91" w:themeColor="accent1" w:themeShade="0000BF"/>
      <w:lang w:val="es-ES"/>
    </w:rPr>
  </w:style>
  <w:style w:type="paragraph" w:styleId="m-698976158124685028gmail-default" w:customStyle="1">
    <w:name w:val="m_-698976158124685028gmail-default"/>
    <w:basedOn w:val="Normal"/>
    <w:rsid w:val="006B1B2B"/>
    <w:pPr>
      <w:spacing w:after="100" w:afterAutospacing="1" w:before="100" w:beforeAutospacing="1"/>
    </w:pPr>
    <w:rPr>
      <w:lang w:eastAsia="es-MX" w:val="es-MX"/>
    </w:rPr>
  </w:style>
  <w:style w:type="paragraph" w:styleId="m-698976158124685028gmail-msolistparagraph" w:customStyle="1">
    <w:name w:val="m_-698976158124685028gmail-msolistparagraph"/>
    <w:basedOn w:val="Normal"/>
    <w:rsid w:val="006B1B2B"/>
    <w:pPr>
      <w:spacing w:after="100" w:afterAutospacing="1" w:before="100" w:beforeAutospacing="1"/>
    </w:pPr>
    <w:rPr>
      <w:lang w:eastAsia="es-MX" w:val="es-MX"/>
    </w:rPr>
  </w:style>
  <w:style w:type="paragraph" w:styleId="m-698976158124685028gmail-m483811427706604298gmail-msolistparagraph" w:customStyle="1">
    <w:name w:val="m_-698976158124685028gmail-m483811427706604298gmail-msolistparagraph"/>
    <w:basedOn w:val="Normal"/>
    <w:rsid w:val="00D41810"/>
    <w:pPr>
      <w:spacing w:after="100" w:afterAutospacing="1" w:before="100" w:beforeAutospacing="1"/>
    </w:pPr>
    <w:rPr>
      <w:lang w:eastAsia="es-MX" w:val="es-MX"/>
    </w:rPr>
  </w:style>
  <w:style w:type="paragraph" w:styleId="m-698976158124685028gmail-msonormal" w:customStyle="1">
    <w:name w:val="m_-698976158124685028gmail-msonormal"/>
    <w:basedOn w:val="Normal"/>
    <w:rsid w:val="00D41810"/>
    <w:pPr>
      <w:spacing w:after="100" w:afterAutospacing="1" w:before="100" w:beforeAutospacing="1"/>
    </w:pPr>
    <w:rPr>
      <w:lang w:eastAsia="es-MX" w:val="es-MX"/>
    </w:rPr>
  </w:style>
  <w:style w:type="character" w:styleId="m-698976158124685028gmail-apple-converted-space" w:customStyle="1">
    <w:name w:val="m_-698976158124685028gmail-apple-converted-space"/>
    <w:basedOn w:val="Fuentedeprrafopredeter"/>
    <w:rsid w:val="00D41810"/>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0" Type="http://schemas.openxmlformats.org/officeDocument/2006/relationships/settings" Target="settings.xml"/><Relationship Id="rId13" Type="http://schemas.openxmlformats.org/officeDocument/2006/relationships/styles" Target="styles.xml"/><Relationship Id="rId12" Type="http://schemas.openxmlformats.org/officeDocument/2006/relationships/numbering" Target="numbering.xml"/><Relationship Id="rId1" Type="http://schemas.openxmlformats.org/officeDocument/2006/relationships/image" Target="media/image1.png"/><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oleObject" Target="embeddings/oleObject3.bin"/><Relationship Id="rId9" Type="http://schemas.openxmlformats.org/officeDocument/2006/relationships/theme" Target="theme/theme1.xml"/><Relationship Id="rId15" Type="http://schemas.openxmlformats.org/officeDocument/2006/relationships/header" Target="header2.xml"/><Relationship Id="rId14" Type="http://schemas.openxmlformats.org/officeDocument/2006/relationships/customXml" Target="../customXML/item1.xml"/><Relationship Id="rId17" Type="http://schemas.openxmlformats.org/officeDocument/2006/relationships/footer" Target="footer2.xml"/><Relationship Id="rId16" Type="http://schemas.openxmlformats.org/officeDocument/2006/relationships/header" Target="header1.xml"/><Relationship Id="rId5" Type="http://schemas.openxmlformats.org/officeDocument/2006/relationships/image" Target="media/image2.png"/><Relationship Id="rId6" Type="http://schemas.openxmlformats.org/officeDocument/2006/relationships/oleObject" Target="embeddings/oleObject2.bin"/><Relationship Id="rId18" Type="http://schemas.openxmlformats.org/officeDocument/2006/relationships/footer" Target="footer1.xml"/><Relationship Id="rId7" Type="http://schemas.openxmlformats.org/officeDocument/2006/relationships/image" Target="media/image4.png"/><Relationship Id="rId8" Type="http://schemas.openxmlformats.org/officeDocument/2006/relationships/oleObject" Target="embeddings/oleObject4.bin"/></Relationships>
</file>

<file path=word/_rels/fontTable.xml.rels><?xml version="1.0" encoding="UTF-8" standalone="yes"?><Relationships xmlns="http://schemas.openxmlformats.org/package/2006/relationships"><Relationship Id="rId11" Type="http://schemas.openxmlformats.org/officeDocument/2006/relationships/font" Target="fonts/PalatinoLinotype-italic.ttf"/><Relationship Id="rId10" Type="http://schemas.openxmlformats.org/officeDocument/2006/relationships/font" Target="fonts/PalatinoLinotype-bold.ttf"/><Relationship Id="rId12" Type="http://schemas.openxmlformats.org/officeDocument/2006/relationships/font" Target="fonts/PalatinoLinotype-boldItalic.ttf"/><Relationship Id="rId9" Type="http://schemas.openxmlformats.org/officeDocument/2006/relationships/font" Target="fonts/PalatinoLinotype-regular.ttf"/></Relationships>
</file>

<file path=word/_rels/header1.xml.rels><?xml version="1.0" encoding="UTF-8" standalone="yes"?><Relationships xmlns="http://schemas.openxmlformats.org/package/2006/relationships"><Relationship Id="rId9" Type="http://schemas.openxmlformats.org/officeDocument/2006/relationships/image" Target="media/image5.jpg"/></Relationships>
</file>

<file path=word/_rels/header2.xml.rels><?xml version="1.0" encoding="UTF-8" standalone="yes"?><Relationships xmlns="http://schemas.openxmlformats.org/package/2006/relationships"><Relationship Id="rId9"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9"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W2duf1nRY0IwW+4cWZvvdYrKdw==">AMUW2mVeg+JlDczZLvCHK/0/IMHsNWskBQQfJOpbl6teQMwE8Bk9Be77NoaSP3zH/e5ve6nbY2FBuoD9Mwu8IHakMXVZYKGgfqtHRZTx0PNxblIF4HuPYE1Hb91XRDY4Tf2lq/a1R6Lk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2022-08-04T17:13:00Z</dcterms:created>
  <dc:creator>iMac</dc:creator>
</cp:coreProperties>
</file>