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6D43F0">
        <w:rPr>
          <w:rFonts w:ascii="Palatino Linotype" w:eastAsia="Palatino Linotype" w:hAnsi="Palatino Linotype" w:cs="Palatino Linotype"/>
        </w:rPr>
        <w:t>de México, de fecha ocho</w:t>
      </w:r>
      <w:r w:rsidR="00527C8C">
        <w:rPr>
          <w:rFonts w:ascii="Palatino Linotype" w:eastAsia="Palatino Linotype" w:hAnsi="Palatino Linotype" w:cs="Palatino Linotype"/>
        </w:rPr>
        <w:t xml:space="preserve"> de junio</w:t>
      </w:r>
      <w:r>
        <w:rPr>
          <w:rFonts w:ascii="Palatino Linotype" w:eastAsia="Palatino Linotype" w:hAnsi="Palatino Linotype" w:cs="Palatino Linotype"/>
        </w:rPr>
        <w:t xml:space="preserve"> del dos mil veintidós.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6D43F0">
        <w:rPr>
          <w:rFonts w:ascii="Palatino Linotype" w:eastAsia="Palatino Linotype" w:hAnsi="Palatino Linotype" w:cs="Palatino Linotype"/>
          <w:b/>
        </w:rPr>
        <w:t>07599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527C8C">
        <w:rPr>
          <w:rFonts w:ascii="Palatino Linotype" w:eastAsia="Palatino Linotype" w:hAnsi="Palatino Linotype" w:cs="Palatino Linotype"/>
        </w:rPr>
        <w:t xml:space="preserve">interpuesto por </w:t>
      </w:r>
      <w:r w:rsidR="00E74EC6">
        <w:rPr>
          <w:rFonts w:ascii="Palatino Linotype" w:eastAsia="Palatino Linotype" w:hAnsi="Palatino Linotype" w:cs="Palatino Linotype"/>
          <w:b/>
        </w:rPr>
        <w:t>XXXXX XXXXX XXXXX</w:t>
      </w:r>
      <w:r w:rsidR="00527C8C">
        <w:rPr>
          <w:rFonts w:ascii="Palatino Linotype" w:eastAsia="Palatino Linotype" w:hAnsi="Palatino Linotype" w:cs="Palatino Linotype"/>
        </w:rPr>
        <w:t xml:space="preserve">, en lo sucesivo el </w:t>
      </w:r>
      <w:r w:rsidR="00527C8C">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en contra de la falta de respuesta a la solicitud de</w:t>
      </w:r>
      <w:r w:rsidR="00277021">
        <w:rPr>
          <w:rFonts w:ascii="Palatino Linotype" w:eastAsia="Palatino Linotype" w:hAnsi="Palatino Linotype" w:cs="Palatino Linotype"/>
        </w:rPr>
        <w:t xml:space="preserve"> acceso a la</w:t>
      </w:r>
      <w:r>
        <w:rPr>
          <w:rFonts w:ascii="Palatino Linotype" w:eastAsia="Palatino Linotype" w:hAnsi="Palatino Linotype" w:cs="Palatino Linotype"/>
        </w:rPr>
        <w:t xml:space="preserve"> información con número de </w:t>
      </w:r>
      <w:r w:rsidR="006D43F0">
        <w:rPr>
          <w:rFonts w:ascii="Palatino Linotype" w:eastAsia="Palatino Linotype" w:hAnsi="Palatino Linotype" w:cs="Palatino Linotype"/>
        </w:rPr>
        <w:t xml:space="preserve">folio </w:t>
      </w:r>
      <w:r w:rsidR="006D43F0" w:rsidRPr="006D43F0">
        <w:rPr>
          <w:rFonts w:ascii="Palatino Linotype" w:eastAsia="Palatino Linotype" w:hAnsi="Palatino Linotype" w:cs="Palatino Linotype"/>
          <w:b/>
        </w:rPr>
        <w:t>00150/CHICOLOA/IP/2022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sidR="006D43F0">
        <w:rPr>
          <w:rFonts w:ascii="Palatino Linotype" w:eastAsia="Palatino Linotype" w:hAnsi="Palatino Linotype" w:cs="Palatino Linotype"/>
          <w:b/>
        </w:rPr>
        <w:t>Ayuntamiento de Chicoloapan</w:t>
      </w:r>
      <w:r w:rsidRPr="00836E48">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sidRPr="00A77487">
        <w:rPr>
          <w:rFonts w:ascii="Palatino Linotype" w:eastAsia="Palatino Linotype" w:hAnsi="Palatino Linotype" w:cs="Palatino Linotype"/>
          <w:b/>
        </w:rPr>
        <w:t>SUJETO OBLIGA</w:t>
      </w:r>
      <w:bookmarkStart w:id="1" w:name="_GoBack"/>
      <w:bookmarkEnd w:id="1"/>
      <w:r w:rsidRPr="00A77487">
        <w:rPr>
          <w:rFonts w:ascii="Palatino Linotype" w:eastAsia="Palatino Linotype" w:hAnsi="Palatino Linotype" w:cs="Palatino Linotype"/>
          <w:b/>
        </w:rPr>
        <w:t>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527C8C">
        <w:rPr>
          <w:rFonts w:ascii="Palatino Linotype" w:eastAsia="Palatino Linotype" w:hAnsi="Palatino Linotype" w:cs="Palatino Linotype"/>
        </w:rPr>
        <w:t>Co</w:t>
      </w:r>
      <w:r w:rsidR="006D43F0">
        <w:rPr>
          <w:rFonts w:ascii="Palatino Linotype" w:eastAsia="Palatino Linotype" w:hAnsi="Palatino Linotype" w:cs="Palatino Linotype"/>
        </w:rPr>
        <w:t>n fecha veintiocho</w:t>
      </w:r>
      <w:r w:rsidR="00FE1E07">
        <w:rPr>
          <w:rFonts w:ascii="Palatino Linotype" w:eastAsia="Palatino Linotype" w:hAnsi="Palatino Linotype" w:cs="Palatino Linotype"/>
        </w:rPr>
        <w:t xml:space="preserve"> de marzo</w:t>
      </w:r>
      <w:r>
        <w:rPr>
          <w:rFonts w:ascii="Palatino Linotype" w:eastAsia="Palatino Linotype" w:hAnsi="Palatino Linotype" w:cs="Palatino Linotype"/>
        </w:rPr>
        <w:t xml:space="preserve"> del dos mil ve</w:t>
      </w:r>
      <w:r w:rsidR="00B00AC9">
        <w:rPr>
          <w:rFonts w:ascii="Palatino Linotype" w:eastAsia="Palatino Linotype" w:hAnsi="Palatino Linotype" w:cs="Palatino Linotype"/>
        </w:rPr>
        <w:t>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12BA1" w:rsidRDefault="00171401">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6D43F0" w:rsidRPr="006D43F0">
        <w:rPr>
          <w:rFonts w:ascii="Palatino Linotype" w:eastAsia="Palatino Linotype" w:hAnsi="Palatino Linotype" w:cs="Palatino Linotype"/>
          <w:i/>
          <w:color w:val="000000"/>
          <w:sz w:val="22"/>
          <w:szCs w:val="22"/>
        </w:rPr>
        <w:t>¿CUAL ES EL INGRESO TOTAL, SUELDO Y GRATIFICACIONES, QUE HAN PERCIBIDO LOS DIRECTORES O RESPONSABLES DE LAS AREAS DE PROTECCION CIVIL, SEGURIDAD PUBLICA, EDUCACION Y DESARROLLO ECONOMICO DEL MUNICIPIO DE CHICOLOAPAN DURANTE EL PERIODO DEL PRIMERO DE ENERO AL 15 DE MARZO DEL AÑO 2022?</w:t>
      </w:r>
      <w:r>
        <w:rPr>
          <w:rFonts w:ascii="Palatino Linotype" w:eastAsia="Palatino Linotype" w:hAnsi="Palatino Linotype" w:cs="Palatino Linotype"/>
          <w:i/>
          <w:color w:val="000000"/>
          <w:sz w:val="22"/>
          <w:szCs w:val="22"/>
        </w:rPr>
        <w:t>”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112BA1" w:rsidRDefault="001714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w:t>
      </w:r>
      <w:r w:rsidR="00171401">
        <w:rPr>
          <w:rFonts w:ascii="Palatino Linotype" w:eastAsia="Palatino Linotype" w:hAnsi="Palatino Linotype" w:cs="Palatino Linotype"/>
          <w:b/>
        </w:rPr>
        <w:t xml:space="preserve">. Interposición del recurso de revisión. </w:t>
      </w:r>
      <w:r w:rsidR="00171401">
        <w:rPr>
          <w:rFonts w:ascii="Palatino Linotype" w:eastAsia="Palatino Linotype" w:hAnsi="Palatino Linotype" w:cs="Palatino Linotype"/>
        </w:rPr>
        <w:t xml:space="preserve">Inconforme el solicitante con la falta de respuesta del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interpuso recurso de revisión a través del SAIMEX en fecha</w:t>
      </w:r>
      <w:r w:rsidR="006D43F0">
        <w:rPr>
          <w:rFonts w:ascii="Palatino Linotype" w:eastAsia="Palatino Linotype" w:hAnsi="Palatino Linotype" w:cs="Palatino Linotype"/>
        </w:rPr>
        <w:t xml:space="preserve"> diez</w:t>
      </w:r>
      <w:r w:rsidR="00527C8C">
        <w:rPr>
          <w:rFonts w:ascii="Palatino Linotype" w:eastAsia="Palatino Linotype" w:hAnsi="Palatino Linotype" w:cs="Palatino Linotype"/>
        </w:rPr>
        <w:t xml:space="preserve"> de mayo</w:t>
      </w:r>
      <w:r w:rsidR="00171401">
        <w:rPr>
          <w:rFonts w:ascii="Palatino Linotype" w:eastAsia="Palatino Linotype" w:hAnsi="Palatino Linotype" w:cs="Palatino Linotype"/>
        </w:rPr>
        <w:t xml:space="preserve"> del año dos mil veintidós, expresando lo siguiente:</w:t>
      </w:r>
    </w:p>
    <w:p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12BA1" w:rsidRDefault="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6D43F0" w:rsidRPr="006D43F0">
        <w:rPr>
          <w:rFonts w:ascii="Palatino Linotype" w:eastAsia="Palatino Linotype" w:hAnsi="Palatino Linotype" w:cs="Palatino Linotype"/>
          <w:i/>
          <w:color w:val="000000"/>
          <w:sz w:val="22"/>
          <w:szCs w:val="22"/>
        </w:rPr>
        <w:t>la autoridad municipal se niega dar respuesta a lo solicitado. ha vencido el plazo donde debe dar respuesta y niega dar informacion publica</w:t>
      </w:r>
      <w:r w:rsidR="00171401">
        <w:rPr>
          <w:rFonts w:ascii="Palatino Linotype" w:eastAsia="Palatino Linotype" w:hAnsi="Palatino Linotype" w:cs="Palatino Linotype"/>
          <w:i/>
          <w:color w:val="000000"/>
          <w:sz w:val="22"/>
          <w:szCs w:val="22"/>
        </w:rPr>
        <w:t>” (Sic)</w:t>
      </w:r>
    </w:p>
    <w:p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527C8C" w:rsidRDefault="00171401" w:rsidP="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527C8C">
        <w:rPr>
          <w:rFonts w:ascii="Palatino Linotype" w:eastAsia="Palatino Linotype" w:hAnsi="Palatino Linotype" w:cs="Palatino Linotype"/>
          <w:i/>
          <w:color w:val="000000"/>
          <w:sz w:val="22"/>
          <w:szCs w:val="22"/>
        </w:rPr>
        <w:t>“</w:t>
      </w:r>
      <w:r w:rsidR="006D43F0" w:rsidRPr="006D43F0">
        <w:rPr>
          <w:rFonts w:ascii="Palatino Linotype" w:eastAsia="Palatino Linotype" w:hAnsi="Palatino Linotype" w:cs="Palatino Linotype"/>
          <w:i/>
          <w:color w:val="000000"/>
          <w:sz w:val="22"/>
          <w:szCs w:val="22"/>
        </w:rPr>
        <w:t>la autoridad municipal se niega dar respuesta a lo solicitado. ha vencido el plazo donde debe dar respuesta y niega dar informacion publica, por lo que solicito a la autoridad responsable tome cartas en el asunto ante la negativa que presenta el gobierno de chicoloapan de informar</w:t>
      </w:r>
      <w:r w:rsidR="00527C8C">
        <w:rPr>
          <w:rFonts w:ascii="Palatino Linotype" w:eastAsia="Palatino Linotype" w:hAnsi="Palatino Linotype" w:cs="Palatino Linotype"/>
          <w:i/>
          <w:color w:val="000000"/>
          <w:sz w:val="22"/>
          <w:szCs w:val="22"/>
        </w:rPr>
        <w:t>” (Sic)</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171401">
        <w:rPr>
          <w:rFonts w:ascii="Palatino Linotype" w:eastAsia="Palatino Linotype" w:hAnsi="Palatino Linotype" w:cs="Palatino Linotype"/>
          <w:b/>
        </w:rPr>
        <w:t xml:space="preserve">. Turno. </w:t>
      </w:r>
      <w:r w:rsidR="00171401">
        <w:rPr>
          <w:rFonts w:ascii="Palatino Linotype" w:eastAsia="Palatino Linotype" w:hAnsi="Palatino Linotype" w:cs="Palatino Linotype"/>
        </w:rPr>
        <w:t xml:space="preserve">De conformidad con el artículo 185 Fracción I </w:t>
      </w:r>
      <w:r w:rsidR="00171401">
        <w:rPr>
          <w:rFonts w:ascii="Palatino Linotype" w:eastAsia="Palatino Linotype" w:hAnsi="Palatino Linotype" w:cs="Palatino Linotype"/>
          <w:highlight w:val="white"/>
        </w:rPr>
        <w:t>de la Ley Transparencia y Acceso a la Información Pública</w:t>
      </w:r>
      <w:r w:rsidR="00171401">
        <w:rPr>
          <w:rFonts w:ascii="Palatino Linotype" w:eastAsia="Palatino Linotype" w:hAnsi="Palatino Linotype" w:cs="Palatino Linotype"/>
        </w:rPr>
        <w:t>, el recurso de revisión número</w:t>
      </w:r>
      <w:r w:rsidR="00171401">
        <w:rPr>
          <w:rFonts w:ascii="Palatino Linotype" w:eastAsia="Palatino Linotype" w:hAnsi="Palatino Linotype" w:cs="Palatino Linotype"/>
          <w:b/>
        </w:rPr>
        <w:t xml:space="preserve"> </w:t>
      </w:r>
      <w:r w:rsidR="006D43F0">
        <w:rPr>
          <w:rFonts w:ascii="Palatino Linotype" w:eastAsia="Palatino Linotype" w:hAnsi="Palatino Linotype" w:cs="Palatino Linotype"/>
          <w:b/>
          <w:sz w:val="23"/>
          <w:szCs w:val="23"/>
        </w:rPr>
        <w:t>07599</w:t>
      </w:r>
      <w:r w:rsidR="00171401">
        <w:rPr>
          <w:rFonts w:ascii="Palatino Linotype" w:eastAsia="Palatino Linotype" w:hAnsi="Palatino Linotype" w:cs="Palatino Linotype"/>
          <w:b/>
          <w:sz w:val="23"/>
          <w:szCs w:val="23"/>
        </w:rPr>
        <w:t xml:space="preserve">/INFOEM/IP/RR/2022 </w:t>
      </w:r>
      <w:r w:rsidR="00171401">
        <w:rPr>
          <w:rFonts w:ascii="Palatino Linotype" w:eastAsia="Palatino Linotype" w:hAnsi="Palatino Linotype" w:cs="Palatino Linotype"/>
        </w:rPr>
        <w:t xml:space="preserve">fue turnado a la Comisionada Ponente </w:t>
      </w:r>
      <w:r w:rsidR="00171401">
        <w:rPr>
          <w:rFonts w:ascii="Palatino Linotype" w:eastAsia="Palatino Linotype" w:hAnsi="Palatino Linotype" w:cs="Palatino Linotype"/>
          <w:b/>
        </w:rPr>
        <w:t>Guadalupe Ramírez Peña</w:t>
      </w:r>
      <w:r w:rsidR="004F79DA">
        <w:rPr>
          <w:rFonts w:ascii="Palatino Linotype" w:eastAsia="Palatino Linotype" w:hAnsi="Palatino Linotype" w:cs="Palatino Linotype"/>
        </w:rPr>
        <w:t>,</w:t>
      </w:r>
      <w:r w:rsidR="00171401">
        <w:rPr>
          <w:rFonts w:ascii="Palatino Linotype" w:eastAsia="Palatino Linotype" w:hAnsi="Palatino Linotype" w:cs="Palatino Linotype"/>
        </w:rPr>
        <w:t xml:space="preserve"> a efecto de presentar al Pleno el proyecto de resolución correspondiente.</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171401">
        <w:rPr>
          <w:rFonts w:ascii="Palatino Linotype" w:eastAsia="Palatino Linotype" w:hAnsi="Palatino Linotype" w:cs="Palatino Linotype"/>
          <w:b/>
        </w:rPr>
        <w:t xml:space="preserve">. Admisión. </w:t>
      </w:r>
      <w:r w:rsidR="00527C8C">
        <w:rPr>
          <w:rFonts w:ascii="Palatino Linotype" w:eastAsia="Palatino Linotype" w:hAnsi="Palatino Linotype" w:cs="Palatino Linotype"/>
        </w:rPr>
        <w:t xml:space="preserve">En </w:t>
      </w:r>
      <w:r w:rsidR="006D43F0">
        <w:rPr>
          <w:rFonts w:ascii="Palatino Linotype" w:eastAsia="Palatino Linotype" w:hAnsi="Palatino Linotype" w:cs="Palatino Linotype"/>
        </w:rPr>
        <w:t>fecha trece</w:t>
      </w:r>
      <w:r w:rsidR="00527C8C">
        <w:rPr>
          <w:rFonts w:ascii="Palatino Linotype" w:eastAsia="Palatino Linotype" w:hAnsi="Palatino Linotype" w:cs="Palatino Linotype"/>
        </w:rPr>
        <w:t xml:space="preserve"> de mayo</w:t>
      </w:r>
      <w:r w:rsidR="00171401">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6</w:t>
      </w:r>
      <w:r w:rsidR="00171401">
        <w:rPr>
          <w:rFonts w:ascii="Palatino Linotype" w:eastAsia="Palatino Linotype" w:hAnsi="Palatino Linotype" w:cs="Palatino Linotype"/>
          <w:b/>
        </w:rPr>
        <w:t xml:space="preserve">. Manifestaciones. </w:t>
      </w:r>
      <w:r w:rsidR="00171401">
        <w:rPr>
          <w:rFonts w:ascii="Palatino Linotype" w:eastAsia="Palatino Linotype" w:hAnsi="Palatino Linotype" w:cs="Palatino Linotype"/>
        </w:rPr>
        <w:t xml:space="preserve">De las constancias que obran en el expediente electrónico del SAIMEX se desprende que 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xml:space="preserve"> no rindió su informe justificado, del mismo </w:t>
      </w:r>
      <w:r w:rsidR="00171401" w:rsidRPr="00E21BD2">
        <w:rPr>
          <w:rFonts w:ascii="Palatino Linotype" w:eastAsia="Palatino Linotype" w:hAnsi="Palatino Linotype" w:cs="Palatino Linotype"/>
        </w:rPr>
        <w:t xml:space="preserve">modo </w:t>
      </w:r>
      <w:r w:rsidR="00E21BD2" w:rsidRPr="00E21BD2">
        <w:rPr>
          <w:rFonts w:ascii="Palatino Linotype" w:eastAsia="Palatino Linotype" w:hAnsi="Palatino Linotype" w:cs="Palatino Linotype"/>
          <w:b/>
        </w:rPr>
        <w:t>el</w:t>
      </w:r>
      <w:r w:rsidR="00171401" w:rsidRPr="00E21BD2">
        <w:rPr>
          <w:rFonts w:ascii="Palatino Linotype" w:eastAsia="Palatino Linotype" w:hAnsi="Palatino Linotype" w:cs="Palatino Linotype"/>
          <w:b/>
        </w:rPr>
        <w:t xml:space="preserve"> </w:t>
      </w:r>
      <w:r w:rsidR="00171401">
        <w:rPr>
          <w:rFonts w:ascii="Palatino Linotype" w:eastAsia="Palatino Linotype" w:hAnsi="Palatino Linotype" w:cs="Palatino Linotype"/>
          <w:b/>
        </w:rPr>
        <w:t>RECURRENTE</w:t>
      </w:r>
      <w:r w:rsidR="00171401">
        <w:rPr>
          <w:rFonts w:ascii="Palatino Linotype" w:eastAsia="Palatino Linotype" w:hAnsi="Palatino Linotype" w:cs="Palatino Linotype"/>
        </w:rPr>
        <w:t xml:space="preserve"> omitió realizar manifestaciones.</w:t>
      </w:r>
    </w:p>
    <w:p w:rsidR="00112BA1" w:rsidRDefault="006D43F0">
      <w:pPr>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14:anchorId="71FC70AF" wp14:editId="36CA4724">
            <wp:extent cx="5540375" cy="141254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256" t="41956" r="13664" b="25590"/>
                    <a:stretch/>
                  </pic:blipFill>
                  <pic:spPr bwMode="auto">
                    <a:xfrm>
                      <a:off x="0" y="0"/>
                      <a:ext cx="5556883" cy="1416752"/>
                    </a:xfrm>
                    <a:prstGeom prst="rect">
                      <a:avLst/>
                    </a:prstGeom>
                    <a:ln>
                      <a:noFill/>
                    </a:ln>
                    <a:extLst>
                      <a:ext uri="{53640926-AAD7-44D8-BBD7-CCE9431645EC}">
                        <a14:shadowObscured xmlns:a14="http://schemas.microsoft.com/office/drawing/2010/main"/>
                      </a:ext>
                    </a:extLst>
                  </pic:spPr>
                </pic:pic>
              </a:graphicData>
            </a:graphic>
          </wp:inline>
        </w:drawing>
      </w:r>
    </w:p>
    <w:p w:rsidR="00112BA1" w:rsidRDefault="009125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171401">
        <w:rPr>
          <w:rFonts w:ascii="Palatino Linotype" w:eastAsia="Palatino Linotype" w:hAnsi="Palatino Linotype" w:cs="Palatino Linotype"/>
          <w:b/>
        </w:rPr>
        <w:t xml:space="preserve">. Cierre de Instrucción. </w:t>
      </w:r>
      <w:r w:rsidR="00245CEF">
        <w:rPr>
          <w:rFonts w:ascii="Palatino Linotype" w:eastAsia="Palatino Linotype" w:hAnsi="Palatino Linotype" w:cs="Palatino Linotype"/>
        </w:rPr>
        <w:t>En fech</w:t>
      </w:r>
      <w:r w:rsidR="006D43F0">
        <w:rPr>
          <w:rFonts w:ascii="Palatino Linotype" w:eastAsia="Palatino Linotype" w:hAnsi="Palatino Linotype" w:cs="Palatino Linotype"/>
        </w:rPr>
        <w:t>a primero de junio</w:t>
      </w:r>
      <w:r w:rsidR="00171401">
        <w:rPr>
          <w:rFonts w:ascii="Palatino Linotype" w:eastAsia="Palatino Linotype" w:hAnsi="Palatino Linotype" w:cs="Palatino Linotype"/>
        </w:rPr>
        <w:t xml:space="preserve">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Pr>
          <w:rFonts w:ascii="Palatino Linotype" w:eastAsia="Palatino Linotype" w:hAnsi="Palatino Linotype" w:cs="Palatino Linotype"/>
          <w:highlight w:val="white"/>
        </w:rPr>
        <w:lastRenderedPageBreak/>
        <w:t xml:space="preserve">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12BA1" w:rsidRDefault="00112BA1">
      <w:pPr>
        <w:ind w:left="851" w:right="851"/>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w:t>
      </w:r>
      <w:r w:rsidR="009A16B1">
        <w:rPr>
          <w:rFonts w:ascii="Palatino Linotype" w:eastAsia="Palatino Linotype" w:hAnsi="Palatino Linotype" w:cs="Palatino Linotype"/>
        </w:rPr>
        <w:t>se considera negada; por lo que, el</w:t>
      </w:r>
      <w:r>
        <w:rPr>
          <w:rFonts w:ascii="Palatino Linotype" w:eastAsia="Palatino Linotype" w:hAnsi="Palatino Linotype" w:cs="Palatino Linotype"/>
        </w:rPr>
        <w:t xml:space="preserve"> solicitante le asiste el derecho para presentar el recurso de revisión.</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245CEF">
        <w:rPr>
          <w:rFonts w:ascii="Palatino Linotype" w:eastAsia="Palatino Linotype" w:hAnsi="Palatino Linotype" w:cs="Palatino Linotype"/>
          <w:b/>
        </w:rPr>
        <w:t>SUJETO OBLIGADO</w:t>
      </w:r>
      <w:r w:rsidR="00245CEF">
        <w:rPr>
          <w:rFonts w:ascii="Palatino Linotype" w:eastAsia="Palatino Linotype" w:hAnsi="Palatino Linotype" w:cs="Palatino Linotype"/>
        </w:rPr>
        <w:t xml:space="preserve"> </w:t>
      </w:r>
      <w:r>
        <w:rPr>
          <w:rFonts w:ascii="Palatino Linotype" w:eastAsia="Palatino Linotype" w:hAnsi="Palatino Linotype" w:cs="Palatino Linotype"/>
        </w:rPr>
        <w:t>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112BA1"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112BA1" w:rsidRDefault="0017140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w:t>
      </w:r>
      <w:r w:rsidR="00E21BD2">
        <w:rPr>
          <w:rFonts w:ascii="Palatino Linotype" w:eastAsia="Palatino Linotype" w:hAnsi="Palatino Linotype" w:cs="Palatino Linotype"/>
        </w:rPr>
        <w:t>evisión, según lo aducido por el</w:t>
      </w:r>
      <w:r>
        <w:rPr>
          <w:rFonts w:ascii="Palatino Linotype" w:eastAsia="Palatino Linotype" w:hAnsi="Palatino Linotype" w:cs="Palatino Linotype"/>
        </w:rPr>
        <w:t xml:space="preserve"> </w:t>
      </w:r>
      <w:r w:rsidRPr="00E21BD2">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483539" w:rsidRDefault="00483539" w:rsidP="00483539">
      <w:pPr>
        <w:spacing w:before="280" w:after="280" w:line="360" w:lineRule="auto"/>
        <w:contextualSpacing/>
        <w:jc w:val="both"/>
        <w:rPr>
          <w:rFonts w:ascii="Palatino Linotype" w:eastAsia="Palatino Linotype" w:hAnsi="Palatino Linotype" w:cs="Palatino Linotype"/>
          <w:b/>
        </w:rPr>
      </w:pPr>
    </w:p>
    <w:p w:rsidR="00483539" w:rsidRDefault="00483539" w:rsidP="00483539">
      <w:pPr>
        <w:spacing w:before="280" w:after="280" w:line="360" w:lineRule="auto"/>
        <w:contextualSpacing/>
        <w:jc w:val="both"/>
        <w:rPr>
          <w:rFonts w:ascii="Palatino Linotype" w:hAnsi="Palatino Linotype" w:cs="Arial"/>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w:t>
      </w:r>
      <w:r>
        <w:rPr>
          <w:rFonts w:ascii="Palatino Linotype" w:hAnsi="Palatino Linotype" w:cs="Arial"/>
        </w:rPr>
        <w:t xml:space="preserve">los agravios hechos valer por el </w:t>
      </w:r>
      <w:r w:rsidRPr="00892CFF">
        <w:rPr>
          <w:rFonts w:ascii="Palatino Linotype" w:hAnsi="Palatino Linotype" w:cs="Arial"/>
          <w:b/>
        </w:rPr>
        <w:t>RECURRENTE</w:t>
      </w:r>
      <w:r>
        <w:rPr>
          <w:rFonts w:ascii="Palatino Linotype" w:hAnsi="Palatino Linotype" w:cs="Arial"/>
        </w:rPr>
        <w:t xml:space="preserve">, a fin de determinar si se violenta en perjuicio de esté, el derecho de acceso a la información </w:t>
      </w:r>
      <w:r>
        <w:rPr>
          <w:rFonts w:ascii="Palatino Linotype" w:hAnsi="Palatino Linotype" w:cs="Arial"/>
        </w:rPr>
        <w:lastRenderedPageBreak/>
        <w:t>previsto en la Constitución Política de los Estados Unidos Mexicanos y en la Constitución Política del Estado Libre y Soberano de México.</w:t>
      </w:r>
    </w:p>
    <w:p w:rsidR="00527C8C" w:rsidRDefault="00527C8C" w:rsidP="00483539">
      <w:pPr>
        <w:spacing w:before="280" w:after="280" w:line="360" w:lineRule="auto"/>
        <w:contextualSpacing/>
        <w:jc w:val="both"/>
        <w:rPr>
          <w:rFonts w:ascii="Palatino Linotype" w:hAnsi="Palatino Linotype" w:cs="Arial"/>
        </w:rPr>
      </w:pPr>
    </w:p>
    <w:p w:rsidR="004B5BEF" w:rsidRDefault="00171401" w:rsidP="009125B4">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versará el presente recurso, y previa revisión del expediente del recurso de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revisión materia de la presente resolución, se advierte que el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dio respuesta a la solicitud de información planteada por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RECURRENTE</w:t>
      </w:r>
      <w:r w:rsidR="004B5BEF" w:rsidRPr="004B5BEF">
        <w:rPr>
          <w:rFonts w:ascii="Palatino Linotype" w:eastAsia="Palatino Linotype" w:hAnsi="Palatino Linotype" w:cs="Palatino Linotype"/>
        </w:rPr>
        <w:t>, lo que se traduce como la configuración de la Negativa Ficta,</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situación que demuestra la existencia del acto impugnado y procedencia del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motivo de inconformidad, que en términos generales consistente en que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emitió respuesta a la solicitud, dentro del plazo legal previsto para ello.</w:t>
      </w:r>
    </w:p>
    <w:p w:rsidR="00836E48" w:rsidRDefault="00836E48" w:rsidP="009125B4">
      <w:pPr>
        <w:spacing w:before="240" w:line="360" w:lineRule="auto"/>
        <w:contextualSpacing/>
        <w:jc w:val="both"/>
        <w:rPr>
          <w:rFonts w:ascii="Palatino Linotype" w:eastAsia="Palatino Linotype" w:hAnsi="Palatino Linotype" w:cs="Palatino Linotype"/>
        </w:rPr>
      </w:pPr>
    </w:p>
    <w:p w:rsidR="00112BA1" w:rsidRDefault="004B5BEF" w:rsidP="004B5BEF">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 s</w:t>
      </w:r>
      <w:r>
        <w:rPr>
          <w:rFonts w:ascii="Palatino Linotype" w:eastAsia="Palatino Linotype" w:hAnsi="Palatino Linotype" w:cs="Palatino Linotype"/>
        </w:rPr>
        <w:t xml:space="preserve">olicitud formulada por la parte </w:t>
      </w:r>
      <w:r w:rsidRPr="00245CEF">
        <w:rPr>
          <w:rFonts w:ascii="Palatino Linotype" w:eastAsia="Palatino Linotype" w:hAnsi="Palatino Linotype" w:cs="Palatino Linotype"/>
          <w:b/>
        </w:rPr>
        <w:t>RECURRENTE</w:t>
      </w:r>
      <w:r w:rsidRPr="004B5BEF">
        <w:rPr>
          <w:rFonts w:ascii="Palatino Linotype" w:eastAsia="Palatino Linotype" w:hAnsi="Palatino Linotype" w:cs="Palatino Linotype"/>
        </w:rPr>
        <w:t xml:space="preserv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w:t>
      </w:r>
      <w:r w:rsidRPr="004B5BEF">
        <w:rPr>
          <w:rFonts w:ascii="Palatino Linotype" w:eastAsia="Palatino Linotype" w:hAnsi="Palatino Linotype" w:cs="Palatino Linotype"/>
        </w:rPr>
        <w:t>lo siguiente:</w:t>
      </w:r>
    </w:p>
    <w:p w:rsidR="00527C8C" w:rsidRPr="00B556E6" w:rsidRDefault="00B556E6" w:rsidP="00B556E6">
      <w:pPr>
        <w:pStyle w:val="Prrafodelista"/>
        <w:numPr>
          <w:ilvl w:val="0"/>
          <w:numId w:val="12"/>
        </w:numPr>
        <w:spacing w:after="240" w:line="360" w:lineRule="auto"/>
        <w:jc w:val="both"/>
        <w:rPr>
          <w:rFonts w:ascii="Palatino Linotype" w:eastAsia="Palatino Linotype" w:hAnsi="Palatino Linotype" w:cs="Palatino Linotype"/>
        </w:rPr>
      </w:pPr>
      <w:r w:rsidRPr="00B556E6">
        <w:rPr>
          <w:rFonts w:ascii="Palatino Linotype" w:eastAsia="Palatino Linotype" w:hAnsi="Palatino Linotype" w:cs="Palatino Linotype"/>
        </w:rPr>
        <w:t>EL INGRESO TOTAL, SUELDO Y GRATIFICACIONES, QUE HAN PERCIBIDO LOS DIRECTORES O RESPONSABLES DE LAS AREAS DE PROTECCION CIVIL, SEGURIDAD PUBLICA, EDUCACION Y DESARROLLO ECONOMICO DEL MUNICIPIO DE CHICOLOAPAN DURANTE EL PERIODO DEL PRIMERO DE ENERO AL 15 DE MARZO DEL AÑO 2022</w:t>
      </w:r>
      <w:r>
        <w:rPr>
          <w:rFonts w:ascii="Palatino Linotype" w:eastAsia="Palatino Linotype" w:hAnsi="Palatino Linotype" w:cs="Palatino Linotype"/>
        </w:rPr>
        <w:t>.</w:t>
      </w:r>
    </w:p>
    <w:p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w:t>
      </w:r>
      <w:r w:rsidR="00171401">
        <w:rPr>
          <w:rFonts w:ascii="Palatino Linotype" w:eastAsia="Palatino Linotype" w:hAnsi="Palatino Linotype" w:cs="Palatino Linotype"/>
        </w:rPr>
        <w:t xml:space="preserve">, se procede al análisis del presente recurso, así como al contenido íntegro de las actuaciones que obran en el expediente electrónico, para así </w:t>
      </w:r>
      <w:r w:rsidR="00171401">
        <w:rPr>
          <w:rFonts w:ascii="Palatino Linotype" w:eastAsia="Palatino Linotype" w:hAnsi="Palatino Linotype" w:cs="Palatino Linotype"/>
        </w:rPr>
        <w:lastRenderedPageBreak/>
        <w:t>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Default="001714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Default="00112BA1">
      <w:pPr>
        <w:tabs>
          <w:tab w:val="left" w:pos="709"/>
        </w:tabs>
        <w:ind w:left="851" w:right="850"/>
        <w:jc w:val="both"/>
        <w:rPr>
          <w:rFonts w:ascii="Palatino Linotype" w:eastAsia="Palatino Linotype" w:hAnsi="Palatino Linotype" w:cs="Palatino Linotype"/>
        </w:rPr>
      </w:pP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6o.</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Default="00112BA1">
      <w:pPr>
        <w:ind w:left="851" w:right="851"/>
        <w:jc w:val="both"/>
        <w:rPr>
          <w:rFonts w:ascii="Palatino Linotype" w:eastAsia="Palatino Linotype" w:hAnsi="Palatino Linotype" w:cs="Palatino Linotype"/>
          <w:i/>
          <w:sz w:val="22"/>
          <w:szCs w:val="22"/>
        </w:rPr>
      </w:pP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12BA1" w:rsidRDefault="00112BA1">
      <w:pPr>
        <w:ind w:left="851" w:right="902"/>
        <w:jc w:val="both"/>
        <w:rPr>
          <w:rFonts w:ascii="Palatino Linotype" w:eastAsia="Palatino Linotype" w:hAnsi="Palatino Linotype" w:cs="Palatino Linotype"/>
          <w:sz w:val="22"/>
          <w:szCs w:val="22"/>
        </w:rPr>
      </w:pP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w:t>
      </w:r>
      <w:r>
        <w:rPr>
          <w:rFonts w:ascii="Palatino Linotype" w:eastAsia="Palatino Linotype" w:hAnsi="Palatino Linotype" w:cs="Palatino Linotype"/>
        </w:rPr>
        <w:lastRenderedPageBreak/>
        <w:t>Transparencia y Acceso a la Información del Estado de México y Municipios.</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Pr>
          <w:rFonts w:ascii="Palatino Linotype" w:eastAsia="Palatino Linotype" w:hAnsi="Palatino Linotype" w:cs="Palatino Linotype"/>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Pr>
          <w:rFonts w:ascii="Palatino Linotype" w:eastAsia="Palatino Linotype" w:hAnsi="Palatino Linotype" w:cs="Palatino Linotype"/>
        </w:rPr>
        <w:lastRenderedPageBreak/>
        <w:t xml:space="preserve">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impugnación, este Órgano Garante 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interés 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como confidencial o 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rsidR="004B5BEF" w:rsidRDefault="004B5BEF" w:rsidP="00277021">
      <w:pPr>
        <w:spacing w:before="280" w:after="280" w:line="276" w:lineRule="auto"/>
        <w:ind w:left="567" w:right="758"/>
        <w:jc w:val="both"/>
        <w:rPr>
          <w:rFonts w:ascii="Palatino Linotype" w:eastAsia="Palatino Linotype" w:hAnsi="Palatino Linotype" w:cs="Palatino Linotype"/>
          <w:i/>
        </w:rPr>
      </w:pPr>
      <w:r w:rsidRPr="004B5BEF">
        <w:rPr>
          <w:rFonts w:ascii="Palatino Linotype" w:eastAsia="Palatino Linotype" w:hAnsi="Palatino Linotype" w:cs="Palatino Linotype"/>
          <w:i/>
        </w:rPr>
        <w:t xml:space="preserve">“Artículo 91. El acceso a la </w:t>
      </w:r>
      <w:r w:rsidRPr="00277021">
        <w:rPr>
          <w:rFonts w:ascii="Palatino Linotype" w:eastAsia="Palatino Linotype" w:hAnsi="Palatino Linotype" w:cs="Palatino Linotype"/>
          <w:i/>
          <w:sz w:val="22"/>
          <w:szCs w:val="22"/>
        </w:rPr>
        <w:t>información</w:t>
      </w:r>
      <w:r w:rsidRPr="004B5BEF">
        <w:rPr>
          <w:rFonts w:ascii="Palatino Linotype" w:eastAsia="Palatino Linotype" w:hAnsi="Palatino Linotype" w:cs="Palatino Linotype"/>
          <w:i/>
        </w:rPr>
        <w:t xml:space="preserve"> pública será restringido excepcionalmente, cuando ésta sea clasificada como reservada o confidencial.”</w:t>
      </w:r>
      <w:r w:rsidR="009A16B1">
        <w:rPr>
          <w:rFonts w:ascii="Palatino Linotype" w:eastAsia="Palatino Linotype" w:hAnsi="Palatino Linotype" w:cs="Palatino Linotype"/>
          <w:i/>
        </w:rPr>
        <w:t>(Sic)</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 xml:space="preserve">Los secretos bancario, fiduciario, industrial, comercial, fiscal, bursátil y postal, cuya titularidad corresponda a particulares, sujetos de derecho </w:t>
      </w:r>
      <w:r>
        <w:rPr>
          <w:rFonts w:ascii="Palatino Linotype" w:eastAsia="Palatino Linotype" w:hAnsi="Palatino Linotype" w:cs="Palatino Linotype"/>
          <w:i/>
          <w:sz w:val="22"/>
          <w:szCs w:val="22"/>
        </w:rPr>
        <w:lastRenderedPageBreak/>
        <w:t>internacional o a sujetos obligados cuando no involucren el ejercicio de recursos públicos;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5BEF" w:rsidRDefault="004B5BEF" w:rsidP="009A16B1">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w:t>
      </w:r>
      <w:r>
        <w:rPr>
          <w:rFonts w:ascii="Palatino Linotype" w:eastAsia="Palatino Linotype" w:hAnsi="Palatino Linotype" w:cs="Palatino Linotype"/>
        </w:rPr>
        <w:lastRenderedPageBreak/>
        <w:t>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w:t>
      </w:r>
      <w:r>
        <w:rPr>
          <w:rFonts w:ascii="Palatino Linotype" w:eastAsia="Palatino Linotype" w:hAnsi="Palatino Linotype" w:cs="Palatino Linotype"/>
        </w:rPr>
        <w:lastRenderedPageBreak/>
        <w:t>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Pr>
          <w:rFonts w:ascii="Palatino Linotype" w:eastAsia="Palatino Linotype" w:hAnsi="Palatino Linotype" w:cs="Palatino Linotype"/>
        </w:rPr>
        <w:lastRenderedPageBreak/>
        <w:t>de Circuito, Libro 5, de fecha abril de 2014, pág. 1523, Registro, 2,006,299. I.1o.A.E.3 K (10a.), que literalmente señala:</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r w:rsidR="00AD2523">
        <w:rPr>
          <w:rFonts w:ascii="Palatino Linotype" w:eastAsia="Palatino Linotype" w:hAnsi="Palatino Linotype" w:cs="Palatino Linotype"/>
          <w:i/>
          <w:sz w:val="22"/>
          <w:szCs w:val="22"/>
        </w:rPr>
        <w:t>(Sic)</w:t>
      </w:r>
    </w:p>
    <w:p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sidR="00FE1E07">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R E S U E L V E:</w:t>
      </w:r>
    </w:p>
    <w:p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de</w:t>
      </w:r>
      <w:r w:rsidR="00E21BD2" w:rsidRPr="00E21BD2">
        <w:rPr>
          <w:rFonts w:ascii="Palatino Linotype" w:eastAsia="Palatino Linotype" w:hAnsi="Palatino Linotype" w:cs="Palatino Linotype"/>
        </w:rPr>
        <w:t>l</w:t>
      </w:r>
      <w:r w:rsidRPr="00E21BD2">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Pr="00277021">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sidR="00B556E6">
        <w:rPr>
          <w:rFonts w:ascii="Palatino Linotype" w:eastAsia="Palatino Linotype" w:hAnsi="Palatino Linotype" w:cs="Palatino Linotype"/>
          <w:b/>
          <w:color w:val="222222"/>
        </w:rPr>
        <w:t>07599</w:t>
      </w:r>
      <w:r>
        <w:rPr>
          <w:rFonts w:ascii="Palatino Linotype" w:eastAsia="Palatino Linotype" w:hAnsi="Palatino Linotype" w:cs="Palatino Linotype"/>
          <w:b/>
          <w:color w:val="222222"/>
        </w:rPr>
        <w:t>/INFOEM/IP/RR/2022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sidR="00E21BD2">
        <w:rPr>
          <w:rFonts w:ascii="Palatino Linotype" w:eastAsia="Palatino Linotype" w:hAnsi="Palatino Linotype" w:cs="Palatino Linotype"/>
          <w:b/>
        </w:rPr>
        <w:t>uarto. Notifíquese vía SAIMEX al</w:t>
      </w:r>
      <w:r w:rsidRPr="00277021">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lastRenderedPageBreak/>
        <w:t xml:space="preserve">Quinto. </w:t>
      </w:r>
      <w:r w:rsidR="00E21BD2">
        <w:rPr>
          <w:rFonts w:ascii="Palatino Linotype" w:eastAsia="Palatino Linotype" w:hAnsi="Palatino Linotype" w:cs="Palatino Linotype"/>
          <w:b/>
          <w:color w:val="222222"/>
        </w:rPr>
        <w:t>Notifíquese vía SAIMEX al</w:t>
      </w:r>
      <w:r>
        <w:rPr>
          <w:rFonts w:ascii="Palatino Linotype" w:eastAsia="Palatino Linotype" w:hAnsi="Palatino Linotype" w:cs="Palatino Linotype"/>
          <w:b/>
          <w:color w:val="222222"/>
        </w:rPr>
        <w:t xml:space="preserve">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rsidR="00112BA1" w:rsidRDefault="00171401">
      <w:pPr>
        <w:spacing w:line="360" w:lineRule="auto"/>
        <w:ind w:right="49"/>
        <w:jc w:val="both"/>
        <w:rPr>
          <w:rFonts w:ascii="Palatino Linotype" w:eastAsia="Palatino Linotype" w:hAnsi="Palatino Linotype" w:cs="Palatino Linotype"/>
        </w:rPr>
        <w:sectPr w:rsidR="00112BA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Pr>
          <w:rFonts w:ascii="Palatino Linotype" w:eastAsia="Palatino Linotype" w:hAnsi="Palatino Linotype" w:cs="Palatino Linotype"/>
        </w:rPr>
        <w:lastRenderedPageBreak/>
        <w:t>RA</w:t>
      </w:r>
      <w:r w:rsidR="00527C8C">
        <w:rPr>
          <w:rFonts w:ascii="Palatino Linotype" w:eastAsia="Palatino Linotype" w:hAnsi="Palatino Linotype" w:cs="Palatino Linotype"/>
        </w:rPr>
        <w:t xml:space="preserve">MÍREZ PEÑA; EN LA VIGÉSIMA </w:t>
      </w:r>
      <w:r w:rsidR="00B556E6">
        <w:rPr>
          <w:rFonts w:ascii="Palatino Linotype" w:eastAsia="Palatino Linotype" w:hAnsi="Palatino Linotype" w:cs="Palatino Linotype"/>
        </w:rPr>
        <w:t xml:space="preserve">PRIMERA </w:t>
      </w:r>
      <w:r>
        <w:rPr>
          <w:rFonts w:ascii="Palatino Linotype" w:eastAsia="Palatino Linotype" w:hAnsi="Palatino Linotype" w:cs="Palatino Linotype"/>
        </w:rPr>
        <w:t>SESIÓN ORD</w:t>
      </w:r>
      <w:r w:rsidR="00B556E6">
        <w:rPr>
          <w:rFonts w:ascii="Palatino Linotype" w:eastAsia="Palatino Linotype" w:hAnsi="Palatino Linotype" w:cs="Palatino Linotype"/>
        </w:rPr>
        <w:t>INARIA CELEBRADA EL OCHO</w:t>
      </w:r>
      <w:r w:rsidR="00527C8C">
        <w:rPr>
          <w:rFonts w:ascii="Palatino Linotype" w:eastAsia="Palatino Linotype" w:hAnsi="Palatino Linotype" w:cs="Palatino Linotype"/>
        </w:rPr>
        <w:t xml:space="preserve"> DE JUNIO</w:t>
      </w:r>
      <w:r>
        <w:rPr>
          <w:rFonts w:ascii="Palatino Linotype" w:eastAsia="Palatino Linotype" w:hAnsi="Palatino Linotype" w:cs="Palatino Linotype"/>
        </w:rPr>
        <w:t xml:space="preserve"> DE DOS MIL VEINTIDÓS, ANTE EL </w:t>
      </w:r>
      <w:r w:rsidR="00755A2A">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1106804</wp:posOffset>
                </wp:positionV>
                <wp:extent cx="5534025" cy="62198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34025" cy="6219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413943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7.15pt" to="435.45pt,5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" strokecolor="black [3200]" strokeweight=".5pt">
                <v:stroke joinstyle="miter"/>
              </v:line>
            </w:pict>
          </mc:Fallback>
        </mc:AlternateContent>
      </w:r>
      <w:r>
        <w:rPr>
          <w:rFonts w:ascii="Palatino Linotype" w:eastAsia="Palatino Linotype" w:hAnsi="Palatino Linotype" w:cs="Palatino Linotype"/>
        </w:rPr>
        <w:t>SECRETARIO TÉCNICO DEL PLENO ALEXIS TAPIA RAMÍREZ.</w:t>
      </w:r>
    </w:p>
    <w:p w:rsidR="00112BA1" w:rsidRDefault="00112BA1">
      <w:pPr>
        <w:spacing w:line="360" w:lineRule="auto"/>
        <w:ind w:right="49"/>
        <w:jc w:val="both"/>
        <w:rPr>
          <w:rFonts w:ascii="Palatino Linotype" w:eastAsia="Palatino Linotype" w:hAnsi="Palatino Linotype" w:cs="Palatino Linotype"/>
        </w:rPr>
      </w:pP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112BA1" w:rsidRDefault="00112BA1"/>
    <w:p w:rsidR="00112BA1" w:rsidRDefault="00112BA1"/>
    <w:sectPr w:rsidR="00112BA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8D4" w:rsidRDefault="001118D4">
      <w:r>
        <w:separator/>
      </w:r>
    </w:p>
  </w:endnote>
  <w:endnote w:type="continuationSeparator" w:id="0">
    <w:p w:rsidR="001118D4" w:rsidRDefault="0011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4EC6">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4EC6">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4EC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4EC6">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8D4" w:rsidRDefault="001118D4">
      <w:r>
        <w:separator/>
      </w:r>
    </w:p>
  </w:footnote>
  <w:footnote w:type="continuationSeparator" w:id="0">
    <w:p w:rsidR="001118D4" w:rsidRDefault="001118D4">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6D43F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07599</w:t>
          </w:r>
          <w:r w:rsidR="00171401">
            <w:rPr>
              <w:rFonts w:ascii="Palatino Linotype" w:eastAsia="Palatino Linotype" w:hAnsi="Palatino Linotype" w:cs="Palatino Linotype"/>
              <w:b/>
              <w:sz w:val="21"/>
              <w:szCs w:val="21"/>
            </w:rPr>
            <w:t xml:space="preserve">/INFOEM/IP/RR/2022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6D43F0" w:rsidP="00FE1E0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Chicoloapan</w:t>
          </w:r>
          <w:r w:rsidR="00FE1E07">
            <w:rPr>
              <w:rFonts w:ascii="Palatino Linotype" w:eastAsia="Palatino Linotype" w:hAnsi="Palatino Linotype" w:cs="Palatino Linotype"/>
              <w:b/>
              <w:sz w:val="21"/>
              <w:szCs w:val="21"/>
            </w:rPr>
            <w:t>.</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6D43F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07599</w:t>
          </w:r>
          <w:r w:rsidR="00171401">
            <w:rPr>
              <w:rFonts w:ascii="Palatino Linotype" w:eastAsia="Palatino Linotype" w:hAnsi="Palatino Linotype" w:cs="Palatino Linotype"/>
              <w:b/>
              <w:sz w:val="21"/>
              <w:szCs w:val="21"/>
            </w:rPr>
            <w:t>/INFOEM/IP/RR/2022</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E74EC6" w:rsidP="00FE1E07">
          <w:pPr>
            <w:ind w:right="73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 XXXXX</w:t>
          </w:r>
          <w:r w:rsidR="006D43F0">
            <w:rPr>
              <w:rFonts w:ascii="Palatino Linotype" w:eastAsia="Palatino Linotype" w:hAnsi="Palatino Linotype" w:cs="Palatino Linotype"/>
              <w:b/>
              <w:sz w:val="21"/>
              <w:szCs w:val="21"/>
            </w:rPr>
            <w:t>.</w:t>
          </w: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6D43F0" w:rsidP="00FE1E0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Pr="006D43F0">
            <w:rPr>
              <w:rFonts w:ascii="Palatino Linotype" w:eastAsia="Palatino Linotype" w:hAnsi="Palatino Linotype" w:cs="Palatino Linotype"/>
              <w:b/>
              <w:sz w:val="21"/>
              <w:szCs w:val="21"/>
            </w:rPr>
            <w:t>Chicoloapan</w:t>
          </w:r>
          <w:r w:rsidR="00527C8C">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342B7D"/>
    <w:multiLevelType w:val="hybridMultilevel"/>
    <w:tmpl w:val="19D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41735"/>
    <w:multiLevelType w:val="hybridMultilevel"/>
    <w:tmpl w:val="AAC03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
  </w:num>
  <w:num w:numId="3">
    <w:abstractNumId w:val="3"/>
  </w:num>
  <w:num w:numId="4">
    <w:abstractNumId w:val="8"/>
  </w:num>
  <w:num w:numId="5">
    <w:abstractNumId w:val="0"/>
  </w:num>
  <w:num w:numId="6">
    <w:abstractNumId w:val="7"/>
  </w:num>
  <w:num w:numId="7">
    <w:abstractNumId w:val="1"/>
  </w:num>
  <w:num w:numId="8">
    <w:abstractNumId w:val="9"/>
  </w:num>
  <w:num w:numId="9">
    <w:abstractNumId w:val="6"/>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0A2581"/>
    <w:rsid w:val="000F72BF"/>
    <w:rsid w:val="001118D4"/>
    <w:rsid w:val="00112BA1"/>
    <w:rsid w:val="00143DB1"/>
    <w:rsid w:val="00171401"/>
    <w:rsid w:val="00245CEF"/>
    <w:rsid w:val="00277021"/>
    <w:rsid w:val="003E480B"/>
    <w:rsid w:val="00483539"/>
    <w:rsid w:val="004B5BEF"/>
    <w:rsid w:val="004F79DA"/>
    <w:rsid w:val="00527C8C"/>
    <w:rsid w:val="006D43F0"/>
    <w:rsid w:val="006D514E"/>
    <w:rsid w:val="00704F9B"/>
    <w:rsid w:val="00755A2A"/>
    <w:rsid w:val="00836E48"/>
    <w:rsid w:val="00850F04"/>
    <w:rsid w:val="008E25D8"/>
    <w:rsid w:val="009125B4"/>
    <w:rsid w:val="009A16B1"/>
    <w:rsid w:val="00A042C5"/>
    <w:rsid w:val="00A77487"/>
    <w:rsid w:val="00AB66C3"/>
    <w:rsid w:val="00AD2523"/>
    <w:rsid w:val="00AD2DBA"/>
    <w:rsid w:val="00B00AC9"/>
    <w:rsid w:val="00B556E6"/>
    <w:rsid w:val="00C22464"/>
    <w:rsid w:val="00C2289C"/>
    <w:rsid w:val="00D42D83"/>
    <w:rsid w:val="00E21BD2"/>
    <w:rsid w:val="00E74EC6"/>
    <w:rsid w:val="00FE1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1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7200</Words>
  <Characters>39603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Jhancarlo</cp:lastModifiedBy>
  <cp:revision>5</cp:revision>
  <dcterms:created xsi:type="dcterms:W3CDTF">2022-06-02T13:18:00Z</dcterms:created>
  <dcterms:modified xsi:type="dcterms:W3CDTF">2022-07-07T16:26:00Z</dcterms:modified>
</cp:coreProperties>
</file>