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7F7775">
        <w:rPr>
          <w:rFonts w:ascii="Palatino Linotype" w:eastAsia="Palatino Linotype" w:hAnsi="Palatino Linotype" w:cs="Palatino Linotype"/>
        </w:rPr>
        <w:t>stado de México, de fecha primero de junio</w:t>
      </w:r>
      <w:r>
        <w:rPr>
          <w:rFonts w:ascii="Palatino Linotype" w:eastAsia="Palatino Linotype" w:hAnsi="Palatino Linotype" w:cs="Palatino Linotype"/>
        </w:rPr>
        <w:t xml:space="preserve"> del dos mil veintidós. </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7F7775">
        <w:rPr>
          <w:rFonts w:ascii="Palatino Linotype" w:eastAsia="Palatino Linotype" w:hAnsi="Palatino Linotype" w:cs="Palatino Linotype"/>
          <w:b/>
        </w:rPr>
        <w:t>02764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31437E">
        <w:rPr>
          <w:rFonts w:ascii="Palatino Linotype" w:eastAsia="Palatino Linotype" w:hAnsi="Palatino Linotype" w:cs="Palatino Linotype"/>
          <w:b/>
        </w:rPr>
        <w:t xml:space="preserve">XXXXX </w:t>
      </w:r>
      <w:proofErr w:type="spellStart"/>
      <w:r w:rsidR="0031437E">
        <w:rPr>
          <w:rFonts w:ascii="Palatino Linotype" w:eastAsia="Palatino Linotype" w:hAnsi="Palatino Linotype" w:cs="Palatino Linotype"/>
          <w:b/>
        </w:rPr>
        <w:t>XXXXX</w:t>
      </w:r>
      <w:proofErr w:type="spellEnd"/>
      <w:r w:rsidR="0031437E">
        <w:rPr>
          <w:rFonts w:ascii="Palatino Linotype" w:eastAsia="Palatino Linotype" w:hAnsi="Palatino Linotype" w:cs="Palatino Linotype"/>
          <w:b/>
        </w:rPr>
        <w:t xml:space="preserve"> </w:t>
      </w:r>
      <w:proofErr w:type="spellStart"/>
      <w:r w:rsidR="0031437E">
        <w:rPr>
          <w:rFonts w:ascii="Palatino Linotype" w:eastAsia="Palatino Linotype" w:hAnsi="Palatino Linotype" w:cs="Palatino Linotype"/>
          <w:b/>
        </w:rPr>
        <w:t>XXXXX</w:t>
      </w:r>
      <w:proofErr w:type="spellEnd"/>
      <w:r>
        <w:rPr>
          <w:rFonts w:ascii="Palatino Linotype" w:eastAsia="Palatino Linotype" w:hAnsi="Palatino Linotype" w:cs="Palatino Linotype"/>
        </w:rPr>
        <w:t xml:space="preserve">, en lo sucesivo </w:t>
      </w:r>
      <w:r w:rsidR="007F7775">
        <w:rPr>
          <w:rFonts w:ascii="Palatino Linotype" w:eastAsia="Palatino Linotype" w:hAnsi="Palatino Linotype" w:cs="Palatino Linotype"/>
        </w:rPr>
        <w:t xml:space="preserve">el </w:t>
      </w:r>
      <w:r w:rsidR="007F7775" w:rsidRPr="007F7775">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sidR="007F7775" w:rsidRPr="007F7775">
        <w:rPr>
          <w:rFonts w:ascii="Palatino Linotype" w:eastAsia="Palatino Linotype" w:hAnsi="Palatino Linotype" w:cs="Palatino Linotype"/>
          <w:b/>
        </w:rPr>
        <w:t>00531/TOLUCA/IP/2022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0B6B9B" w:rsidRDefault="00ED40D4">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0B6B9B" w:rsidRDefault="00ED40D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7F7775">
        <w:rPr>
          <w:rFonts w:ascii="Palatino Linotype" w:eastAsia="Palatino Linotype" w:hAnsi="Palatino Linotype" w:cs="Palatino Linotype"/>
        </w:rPr>
        <w:t>Con fecha veintidós de febrero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0B6B9B" w:rsidRDefault="00ED40D4">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7F7775" w:rsidRPr="007F7775">
        <w:rPr>
          <w:rFonts w:ascii="Palatino Linotype" w:eastAsia="Palatino Linotype" w:hAnsi="Palatino Linotype" w:cs="Palatino Linotype"/>
          <w:i/>
          <w:color w:val="000000"/>
          <w:sz w:val="22"/>
          <w:szCs w:val="22"/>
        </w:rPr>
        <w:t xml:space="preserve">Solicito la siguiente información de </w:t>
      </w:r>
      <w:proofErr w:type="spellStart"/>
      <w:r w:rsidR="007F7775" w:rsidRPr="007F7775">
        <w:rPr>
          <w:rFonts w:ascii="Palatino Linotype" w:eastAsia="Palatino Linotype" w:hAnsi="Palatino Linotype" w:cs="Palatino Linotype"/>
          <w:i/>
          <w:color w:val="000000"/>
          <w:sz w:val="22"/>
          <w:szCs w:val="22"/>
        </w:rPr>
        <w:t>Planeacion</w:t>
      </w:r>
      <w:proofErr w:type="spellEnd"/>
      <w:r w:rsidR="007F7775" w:rsidRPr="007F7775">
        <w:rPr>
          <w:rFonts w:ascii="Palatino Linotype" w:eastAsia="Palatino Linotype" w:hAnsi="Palatino Linotype" w:cs="Palatino Linotype"/>
          <w:i/>
          <w:color w:val="000000"/>
          <w:sz w:val="22"/>
          <w:szCs w:val="22"/>
        </w:rPr>
        <w:t xml:space="preserve">: - El plan de Desarrollo Municipal de la presente administración. - Los planes regionales o sectoriales en los que el municipio tiene participación. - Según la Estructura Programática, solicito los Programas Operativos Anuales correspondientes a los ejercicios 2019, 2020, 2021 y 2022, completos conforme a lo establecido por el Manual para la Planeación, Programación y presupuesto municipal de los ejercicios fiscales correspondientes. - Los reportes trimestrales de evaluación de todas las áreas de la administración municipal, correspondientes a la estructura programática. - Los formatos de reconducción de metas de los ejercicios 2019, 2020, 2021.y 2022 - Las actas de las sesiones del COPLADEMUN. - Los informes de avance del Plan de Desarrollo Municipal que se anexan a la cuenta pública de los años 2019, 2019, 2020. - Los informes de gobierno municipal. - Los reportes de seguimiento </w:t>
      </w:r>
      <w:r w:rsidR="007F7775" w:rsidRPr="007F7775">
        <w:rPr>
          <w:rFonts w:ascii="Palatino Linotype" w:eastAsia="Palatino Linotype" w:hAnsi="Palatino Linotype" w:cs="Palatino Linotype"/>
          <w:i/>
          <w:color w:val="000000"/>
          <w:sz w:val="22"/>
          <w:szCs w:val="22"/>
        </w:rPr>
        <w:lastRenderedPageBreak/>
        <w:t>de indicadores estratégicos y de gestión de los años 2019, 2020 y 2021. - Los resultados del Índice de Gestión Municipal de los años 2019, 2020 y 2021, programa del INAFED. - La certificación de Competencia Laboral de la titular de la UIPPE, emitida por el Instituto Hacendario del Estado de México. Solicito la siguiente información a la Unidad de Transparencia: Con fundamento en lo dispuesto por la Ley de Transparencia y Acceso a la Información Pública del Estado de México y Municipios, solicito por este medio se me entregue la siguiente información: - Las actas de todas las sesiones ordinarias y extraordinarias del Comité de Transparencia, correspondientes a los años 2019, 2020, 2021 a la fecha de ingreso de esta solicitud. - La relación de enlaces de transparencia del Sujeto Obligado, su nombramiento, y fecha en que les fue entregados usuarios y contraseñas.</w:t>
      </w:r>
      <w:r>
        <w:rPr>
          <w:rFonts w:ascii="Palatino Linotype" w:eastAsia="Palatino Linotype" w:hAnsi="Palatino Linotype" w:cs="Palatino Linotype"/>
          <w:i/>
          <w:color w:val="000000"/>
          <w:sz w:val="22"/>
          <w:szCs w:val="22"/>
        </w:rPr>
        <w:t>” (Sic)</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sidR="007F7775">
        <w:rPr>
          <w:rFonts w:ascii="Palatino Linotype" w:eastAsia="Palatino Linotype" w:hAnsi="Palatino Linotype" w:cs="Palatino Linotype"/>
        </w:rPr>
        <w:t>Con fecha primero de marzo</w:t>
      </w:r>
      <w:r>
        <w:rPr>
          <w:rFonts w:ascii="Palatino Linotype" w:eastAsia="Palatino Linotype" w:hAnsi="Palatino Linotype" w:cs="Palatino Linotype"/>
        </w:rPr>
        <w:t xml:space="preserve">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0B6B9B" w:rsidRDefault="00ED40D4">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B6B9B" w:rsidRDefault="007F7775" w:rsidP="007F7775">
      <w:pPr>
        <w:ind w:left="851" w:right="902"/>
        <w:jc w:val="both"/>
        <w:rPr>
          <w:rFonts w:ascii="Palatino Linotype" w:eastAsia="Palatino Linotype" w:hAnsi="Palatino Linotype" w:cs="Palatino Linotype"/>
          <w:i/>
          <w:color w:val="000000"/>
          <w:sz w:val="22"/>
          <w:szCs w:val="22"/>
        </w:rPr>
      </w:pPr>
      <w:r w:rsidRPr="007F7775">
        <w:rPr>
          <w:rFonts w:ascii="Palatino Linotype" w:eastAsia="Palatino Linotype" w:hAnsi="Palatino Linotype" w:cs="Palatino Linotype"/>
          <w:i/>
          <w:color w:val="000000"/>
          <w:sz w:val="22"/>
          <w:szCs w:val="22"/>
        </w:rPr>
        <w:t>En atención a la solicitud de información número 00531/TOLUCA/IP/2022, me permito adjuntar al presente la respuesta correspondiente. Sin más por el momento, le envío un cordial saludo.</w:t>
      </w:r>
    </w:p>
    <w:p w:rsidR="000B6B9B" w:rsidRDefault="00ED40D4">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0B6B9B" w:rsidRDefault="007F7775">
      <w:pPr>
        <w:ind w:left="851" w:right="902"/>
        <w:jc w:val="both"/>
        <w:rPr>
          <w:rFonts w:ascii="Palatino Linotype" w:eastAsia="Palatino Linotype" w:hAnsi="Palatino Linotype" w:cs="Palatino Linotype"/>
          <w:i/>
          <w:color w:val="000000"/>
          <w:sz w:val="22"/>
          <w:szCs w:val="22"/>
        </w:rPr>
      </w:pPr>
      <w:r w:rsidRPr="007F7775">
        <w:rPr>
          <w:rFonts w:ascii="Palatino Linotype" w:eastAsia="Palatino Linotype" w:hAnsi="Palatino Linotype" w:cs="Palatino Linotype"/>
          <w:i/>
          <w:color w:val="000000"/>
          <w:sz w:val="22"/>
          <w:szCs w:val="22"/>
        </w:rPr>
        <w:t>Lic. Norma Sofía Pérez Martínez</w:t>
      </w:r>
      <w:r w:rsidR="00ED40D4">
        <w:rPr>
          <w:rFonts w:ascii="Palatino Linotype" w:eastAsia="Palatino Linotype" w:hAnsi="Palatino Linotype" w:cs="Palatino Linotype"/>
          <w:i/>
          <w:color w:val="000000"/>
          <w:sz w:val="22"/>
          <w:szCs w:val="22"/>
        </w:rPr>
        <w:t>” (Sic)</w:t>
      </w:r>
    </w:p>
    <w:p w:rsidR="000B6B9B" w:rsidRDefault="000B6B9B">
      <w:pPr>
        <w:ind w:left="851" w:right="902"/>
        <w:jc w:val="both"/>
        <w:rPr>
          <w:rFonts w:ascii="Palatino Linotype" w:eastAsia="Palatino Linotype" w:hAnsi="Palatino Linotype" w:cs="Palatino Linotype"/>
          <w:i/>
          <w:sz w:val="22"/>
          <w:szCs w:val="22"/>
        </w:rPr>
      </w:pPr>
    </w:p>
    <w:p w:rsidR="000B6B9B" w:rsidRDefault="00ED40D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archivos electrónicos siguientes: </w:t>
      </w:r>
    </w:p>
    <w:p w:rsidR="009678CB" w:rsidRDefault="00ED40D4" w:rsidP="009678CB">
      <w:pPr>
        <w:spacing w:before="240" w:line="360" w:lineRule="auto"/>
        <w:ind w:right="49"/>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b/>
          <w:i/>
          <w:color w:val="000000"/>
        </w:rPr>
        <w:t>“</w:t>
      </w:r>
      <w:hyperlink r:id="rId8">
        <w:hyperlink r:id="rId9" w:tgtFrame="_blank" w:history="1">
          <w:r w:rsidR="007F7775" w:rsidRPr="009678CB">
            <w:rPr>
              <w:rFonts w:ascii="Palatino Linotype" w:eastAsia="Palatino Linotype" w:hAnsi="Palatino Linotype" w:cs="Palatino Linotype"/>
              <w:b/>
              <w:i/>
              <w:color w:val="000000"/>
            </w:rPr>
            <w:t>Saimex 00531.pdf</w:t>
          </w:r>
        </w:hyperlink>
      </w:hyperlink>
      <w:r w:rsidRPr="009678CB">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el cual contiene </w:t>
      </w:r>
      <w:r w:rsidR="007F7775">
        <w:rPr>
          <w:rFonts w:ascii="Palatino Linotype" w:eastAsia="Palatino Linotype" w:hAnsi="Palatino Linotype" w:cs="Palatino Linotype"/>
          <w:color w:val="000000"/>
        </w:rPr>
        <w:t xml:space="preserve">la respuesta otorgada al solicitante en donde el Titular de la Unidad de Información, Planeación, Programación y Evaluación, informó a la Titular de la Unidad de Transparencia, ambos del </w:t>
      </w:r>
      <w:r w:rsidR="007F7775" w:rsidRPr="007F7775">
        <w:rPr>
          <w:rFonts w:ascii="Palatino Linotype" w:eastAsia="Palatino Linotype" w:hAnsi="Palatino Linotype" w:cs="Palatino Linotype"/>
          <w:b/>
          <w:color w:val="000000"/>
        </w:rPr>
        <w:t>SUJETO OBLIGADO</w:t>
      </w:r>
      <w:r w:rsidR="009678CB">
        <w:rPr>
          <w:rFonts w:ascii="Palatino Linotype" w:eastAsia="Palatino Linotype" w:hAnsi="Palatino Linotype" w:cs="Palatino Linotype"/>
          <w:color w:val="000000"/>
        </w:rPr>
        <w:t xml:space="preserve">, lo siguiente: </w:t>
      </w:r>
    </w:p>
    <w:p w:rsidR="009678CB" w:rsidRDefault="0031437E" w:rsidP="009678CB">
      <w:pPr>
        <w:spacing w:before="240" w:line="360" w:lineRule="auto"/>
        <w:ind w:right="49"/>
        <w:jc w:val="both"/>
        <w:rPr>
          <w:rFonts w:ascii="Palatino Linotype" w:eastAsia="Palatino Linotype" w:hAnsi="Palatino Linotype" w:cs="Palatino Linotype"/>
          <w:color w:val="000000"/>
        </w:rPr>
      </w:pPr>
      <w:bookmarkStart w:id="0" w:name="_GoBack"/>
      <w:r>
        <w:rPr>
          <w:noProof/>
          <w:lang w:val="es-MX" w:eastAsia="es-MX"/>
        </w:rPr>
        <w:lastRenderedPageBreak/>
        <w:drawing>
          <wp:inline distT="0" distB="0" distL="0" distR="0" wp14:anchorId="46BB0215" wp14:editId="7CCEF5B5">
            <wp:extent cx="5353050" cy="7132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1" t="19930" r="71306" b="11445"/>
                    <a:stretch/>
                  </pic:blipFill>
                  <pic:spPr bwMode="auto">
                    <a:xfrm>
                      <a:off x="0" y="0"/>
                      <a:ext cx="5383629" cy="717306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678CB" w:rsidRDefault="009678CB" w:rsidP="009678CB">
      <w:pPr>
        <w:spacing w:before="240" w:line="360" w:lineRule="auto"/>
        <w:ind w:right="49"/>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noProof/>
          <w:color w:val="000000"/>
          <w:lang w:val="es-MX" w:eastAsia="es-MX"/>
        </w:rPr>
        <w:lastRenderedPageBreak/>
        <w:drawing>
          <wp:inline distT="0" distB="0" distL="0" distR="0" wp14:anchorId="7957157E" wp14:editId="6CD0F9C5">
            <wp:extent cx="4969566" cy="714436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526" cy="7168748"/>
                    </a:xfrm>
                    <a:prstGeom prst="rect">
                      <a:avLst/>
                    </a:prstGeom>
                  </pic:spPr>
                </pic:pic>
              </a:graphicData>
            </a:graphic>
          </wp:inline>
        </w:drawing>
      </w:r>
    </w:p>
    <w:p w:rsidR="009678CB" w:rsidRDefault="009678CB" w:rsidP="009678CB">
      <w:pPr>
        <w:spacing w:before="240" w:line="360" w:lineRule="auto"/>
        <w:ind w:right="49"/>
        <w:jc w:val="both"/>
        <w:rPr>
          <w:rFonts w:ascii="Palatino Linotype" w:eastAsia="Palatino Linotype" w:hAnsi="Palatino Linotype" w:cs="Palatino Linotype"/>
          <w:color w:val="000000"/>
        </w:rPr>
      </w:pPr>
    </w:p>
    <w:p w:rsidR="009678CB" w:rsidRDefault="009678CB" w:rsidP="009678CB">
      <w:pPr>
        <w:spacing w:before="240" w:line="360" w:lineRule="auto"/>
        <w:ind w:right="49"/>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noProof/>
          <w:color w:val="000000"/>
          <w:lang w:val="es-MX" w:eastAsia="es-MX"/>
        </w:rPr>
        <w:drawing>
          <wp:inline distT="0" distB="0" distL="0" distR="0" wp14:anchorId="17A83F3E" wp14:editId="00466F95">
            <wp:extent cx="4881880" cy="66949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4104" cy="6711762"/>
                    </a:xfrm>
                    <a:prstGeom prst="rect">
                      <a:avLst/>
                    </a:prstGeom>
                  </pic:spPr>
                </pic:pic>
              </a:graphicData>
            </a:graphic>
          </wp:inline>
        </w:drawing>
      </w:r>
    </w:p>
    <w:p w:rsidR="009678CB" w:rsidRPr="00F50D2A" w:rsidRDefault="009678CB" w:rsidP="009678CB">
      <w:pPr>
        <w:spacing w:before="240" w:line="360" w:lineRule="auto"/>
        <w:ind w:right="49"/>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noProof/>
          <w:color w:val="000000"/>
          <w:lang w:val="es-MX" w:eastAsia="es-MX"/>
        </w:rPr>
        <w:lastRenderedPageBreak/>
        <w:drawing>
          <wp:inline distT="0" distB="0" distL="0" distR="0" wp14:anchorId="003A54D5" wp14:editId="04E8EEC0">
            <wp:extent cx="5034856" cy="66949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6785" cy="6710860"/>
                    </a:xfrm>
                    <a:prstGeom prst="rect">
                      <a:avLst/>
                    </a:prstGeom>
                  </pic:spPr>
                </pic:pic>
              </a:graphicData>
            </a:graphic>
          </wp:inline>
        </w:drawing>
      </w:r>
    </w:p>
    <w:p w:rsidR="009678CB" w:rsidRDefault="009678CB" w:rsidP="007D0729">
      <w:pPr>
        <w:spacing w:line="360" w:lineRule="auto"/>
        <w:ind w:right="51"/>
        <w:jc w:val="both"/>
        <w:rPr>
          <w:rFonts w:ascii="Palatino Linotype" w:eastAsia="Palatino Linotype" w:hAnsi="Palatino Linotype" w:cs="Palatino Linotype"/>
          <w:i/>
          <w:color w:val="000000"/>
        </w:rPr>
      </w:pPr>
    </w:p>
    <w:p w:rsidR="009678CB" w:rsidRDefault="009678CB" w:rsidP="007D0729">
      <w:pPr>
        <w:spacing w:line="360" w:lineRule="auto"/>
        <w:ind w:right="51"/>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i/>
          <w:noProof/>
          <w:color w:val="000000"/>
          <w:lang w:val="es-MX" w:eastAsia="es-MX"/>
        </w:rPr>
        <w:lastRenderedPageBreak/>
        <w:drawing>
          <wp:inline distT="0" distB="0" distL="0" distR="0" wp14:anchorId="12197A35" wp14:editId="0D3B73CC">
            <wp:extent cx="5530746" cy="711641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2279" cy="7131258"/>
                    </a:xfrm>
                    <a:prstGeom prst="rect">
                      <a:avLst/>
                    </a:prstGeom>
                  </pic:spPr>
                </pic:pic>
              </a:graphicData>
            </a:graphic>
          </wp:inline>
        </w:drawing>
      </w:r>
    </w:p>
    <w:p w:rsidR="009678CB" w:rsidRDefault="009678CB" w:rsidP="007D0729">
      <w:pPr>
        <w:spacing w:line="360" w:lineRule="auto"/>
        <w:ind w:right="51"/>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i/>
          <w:noProof/>
          <w:color w:val="000000"/>
          <w:lang w:val="es-MX" w:eastAsia="es-MX"/>
        </w:rPr>
        <w:lastRenderedPageBreak/>
        <w:drawing>
          <wp:inline distT="0" distB="0" distL="0" distR="0" wp14:anchorId="59C05CE4" wp14:editId="160EFE90">
            <wp:extent cx="5414080" cy="7195931"/>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743" cy="7216749"/>
                    </a:xfrm>
                    <a:prstGeom prst="rect">
                      <a:avLst/>
                    </a:prstGeom>
                  </pic:spPr>
                </pic:pic>
              </a:graphicData>
            </a:graphic>
          </wp:inline>
        </w:drawing>
      </w:r>
    </w:p>
    <w:p w:rsidR="000B6B9B" w:rsidRPr="007D0729" w:rsidRDefault="009678CB" w:rsidP="007D0729">
      <w:pPr>
        <w:spacing w:line="360" w:lineRule="auto"/>
        <w:ind w:right="51"/>
        <w:jc w:val="both"/>
        <w:rPr>
          <w:rFonts w:ascii="Palatino Linotype" w:eastAsia="Palatino Linotype" w:hAnsi="Palatino Linotype" w:cs="Palatino Linotype"/>
          <w:color w:val="000000"/>
        </w:rPr>
      </w:pPr>
      <w:r w:rsidRPr="009678CB">
        <w:rPr>
          <w:rFonts w:ascii="Palatino Linotype" w:eastAsia="Palatino Linotype" w:hAnsi="Palatino Linotype" w:cs="Palatino Linotype"/>
          <w:i/>
          <w:noProof/>
          <w:color w:val="000000"/>
          <w:lang w:val="es-MX" w:eastAsia="es-MX"/>
        </w:rPr>
        <w:lastRenderedPageBreak/>
        <w:drawing>
          <wp:inline distT="0" distB="0" distL="0" distR="0" wp14:anchorId="13105FFA" wp14:editId="5FDE1382">
            <wp:extent cx="5418066" cy="59316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7685" cy="5953152"/>
                    </a:xfrm>
                    <a:prstGeom prst="rect">
                      <a:avLst/>
                    </a:prstGeom>
                  </pic:spPr>
                </pic:pic>
              </a:graphicData>
            </a:graphic>
          </wp:inline>
        </w:drawing>
      </w:r>
      <w:r w:rsidR="00ED40D4">
        <w:rPr>
          <w:rFonts w:ascii="Palatino Linotype" w:eastAsia="Palatino Linotype" w:hAnsi="Palatino Linotype" w:cs="Palatino Linotype"/>
          <w:i/>
          <w:color w:val="000000"/>
        </w:rPr>
        <w:br/>
      </w:r>
      <w:r w:rsidR="00ED40D4" w:rsidRPr="009678CB">
        <w:rPr>
          <w:rFonts w:ascii="Palatino Linotype" w:eastAsia="Palatino Linotype" w:hAnsi="Palatino Linotype" w:cs="Palatino Linotype"/>
          <w:b/>
          <w:i/>
          <w:color w:val="000000"/>
        </w:rPr>
        <w:t>“</w:t>
      </w:r>
      <w:hyperlink r:id="rId17" w:tgtFrame="_blank" w:history="1">
        <w:r w:rsidR="007D0729" w:rsidRPr="009678CB">
          <w:rPr>
            <w:rFonts w:ascii="Palatino Linotype" w:eastAsia="Palatino Linotype" w:hAnsi="Palatino Linotype" w:cs="Palatino Linotype"/>
            <w:b/>
            <w:i/>
            <w:color w:val="000000"/>
          </w:rPr>
          <w:t>Orden de pago solicitud 00531.pdf</w:t>
        </w:r>
      </w:hyperlink>
      <w:r w:rsidR="00ED40D4" w:rsidRPr="009678CB">
        <w:rPr>
          <w:rFonts w:ascii="Palatino Linotype" w:eastAsia="Palatino Linotype" w:hAnsi="Palatino Linotype" w:cs="Palatino Linotype"/>
          <w:b/>
          <w:i/>
          <w:color w:val="000000"/>
        </w:rPr>
        <w:t>”,</w:t>
      </w:r>
      <w:r w:rsidR="00ED40D4">
        <w:rPr>
          <w:rFonts w:ascii="Palatino Linotype" w:eastAsia="Palatino Linotype" w:hAnsi="Palatino Linotype" w:cs="Palatino Linotype"/>
          <w:i/>
          <w:color w:val="000000"/>
        </w:rPr>
        <w:t xml:space="preserve"> </w:t>
      </w:r>
      <w:r w:rsidR="007D0729">
        <w:rPr>
          <w:rFonts w:ascii="Palatino Linotype" w:eastAsia="Palatino Linotype" w:hAnsi="Palatino Linotype" w:cs="Palatino Linotype"/>
          <w:color w:val="000000"/>
        </w:rPr>
        <w:t xml:space="preserve">el cual contiene una orden de pago por un importe de </w:t>
      </w:r>
      <w:r w:rsidR="007D0729" w:rsidRPr="007D0729">
        <w:rPr>
          <w:rFonts w:ascii="Palatino Linotype" w:eastAsia="Palatino Linotype" w:hAnsi="Palatino Linotype" w:cs="Palatino Linotype"/>
          <w:color w:val="000000"/>
        </w:rPr>
        <w:t>$579.04 (Quinientos setenta y nueve pesos 04/100 M.N.)</w:t>
      </w:r>
      <w:r w:rsidR="007D0729">
        <w:rPr>
          <w:rFonts w:ascii="Palatino Linotype" w:eastAsia="Palatino Linotype" w:hAnsi="Palatino Linotype" w:cs="Palatino Linotype"/>
          <w:color w:val="000000"/>
        </w:rPr>
        <w:t>, para el escaneo y digitalización de documentos.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del </w:t>
      </w:r>
      <w:r w:rsidR="009678CB">
        <w:rPr>
          <w:rFonts w:ascii="Palatino Linotype" w:eastAsia="Palatino Linotype" w:hAnsi="Palatino Linotype" w:cs="Palatino Linotype"/>
          <w:b/>
        </w:rPr>
        <w:t>SUJETO OBLIGADO el</w:t>
      </w:r>
      <w:r>
        <w:rPr>
          <w:rFonts w:ascii="Palatino Linotype" w:eastAsia="Palatino Linotype" w:hAnsi="Palatino Linotype" w:cs="Palatino Linotype"/>
          <w:b/>
        </w:rPr>
        <w:t xml:space="preserve"> ahora </w:t>
      </w:r>
      <w:r w:rsidR="007D0729">
        <w:rPr>
          <w:rFonts w:ascii="Palatino Linotype" w:eastAsia="Palatino Linotype" w:hAnsi="Palatino Linotype" w:cs="Palatino Linotype"/>
          <w:b/>
        </w:rPr>
        <w:t xml:space="preserve">RECURRENTE </w:t>
      </w:r>
      <w:r w:rsidR="007D0729">
        <w:rPr>
          <w:rFonts w:ascii="Palatino Linotype" w:eastAsia="Palatino Linotype" w:hAnsi="Palatino Linotype" w:cs="Palatino Linotype"/>
        </w:rPr>
        <w:t>interpuso</w:t>
      </w:r>
      <w:r>
        <w:rPr>
          <w:rFonts w:ascii="Palatino Linotype" w:eastAsia="Palatino Linotype" w:hAnsi="Palatino Linotype" w:cs="Palatino Linotype"/>
        </w:rPr>
        <w:t xml:space="preserve"> recurso de revisión a</w:t>
      </w:r>
      <w:r w:rsidR="007D0729">
        <w:rPr>
          <w:rFonts w:ascii="Palatino Linotype" w:eastAsia="Palatino Linotype" w:hAnsi="Palatino Linotype" w:cs="Palatino Linotype"/>
        </w:rPr>
        <w:t xml:space="preserve"> través del SAIMEX en fecha primero de marzo</w:t>
      </w:r>
      <w:r>
        <w:rPr>
          <w:rFonts w:ascii="Palatino Linotype" w:eastAsia="Palatino Linotype" w:hAnsi="Palatino Linotype" w:cs="Palatino Linotype"/>
        </w:rPr>
        <w:t xml:space="preserve"> de dos mil veintidós, a través del cual expresó lo siguiente:</w:t>
      </w:r>
    </w:p>
    <w:p w:rsidR="000B6B9B" w:rsidRDefault="00ED40D4">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0B6B9B" w:rsidRDefault="00ED40D4">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D69C9" w:rsidRPr="002D69C9">
        <w:rPr>
          <w:rFonts w:ascii="Palatino Linotype" w:eastAsia="Palatino Linotype" w:hAnsi="Palatino Linotype" w:cs="Palatino Linotype"/>
          <w:i/>
          <w:color w:val="000000"/>
          <w:sz w:val="22"/>
          <w:szCs w:val="22"/>
        </w:rPr>
        <w:t>La respuesta proporcionada</w:t>
      </w:r>
      <w:r>
        <w:rPr>
          <w:rFonts w:ascii="Palatino Linotype" w:eastAsia="Palatino Linotype" w:hAnsi="Palatino Linotype" w:cs="Palatino Linotype"/>
          <w:i/>
          <w:color w:val="000000"/>
          <w:sz w:val="22"/>
          <w:szCs w:val="22"/>
        </w:rPr>
        <w:t>” (Sic)</w:t>
      </w:r>
    </w:p>
    <w:p w:rsidR="000B6B9B" w:rsidRDefault="00ED40D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0B6B9B" w:rsidRDefault="00ED40D4">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D69C9" w:rsidRPr="002D69C9">
        <w:rPr>
          <w:rFonts w:ascii="Palatino Linotype" w:eastAsia="Palatino Linotype" w:hAnsi="Palatino Linotype" w:cs="Palatino Linotype"/>
          <w:i/>
          <w:color w:val="000000"/>
          <w:sz w:val="22"/>
          <w:szCs w:val="22"/>
        </w:rPr>
        <w:t xml:space="preserve">Pretenden que pague una información que es publica, y para ilustrarla y enseñarle de la ley de </w:t>
      </w:r>
      <w:proofErr w:type="spellStart"/>
      <w:r w:rsidR="002D69C9" w:rsidRPr="002D69C9">
        <w:rPr>
          <w:rFonts w:ascii="Palatino Linotype" w:eastAsia="Palatino Linotype" w:hAnsi="Palatino Linotype" w:cs="Palatino Linotype"/>
          <w:i/>
          <w:color w:val="000000"/>
          <w:sz w:val="22"/>
          <w:szCs w:val="22"/>
        </w:rPr>
        <w:t>Tranparencia</w:t>
      </w:r>
      <w:proofErr w:type="spellEnd"/>
      <w:r w:rsidR="002D69C9" w:rsidRPr="002D69C9">
        <w:rPr>
          <w:rFonts w:ascii="Palatino Linotype" w:eastAsia="Palatino Linotype" w:hAnsi="Palatino Linotype" w:cs="Palatino Linotype"/>
          <w:i/>
          <w:color w:val="000000"/>
          <w:sz w:val="22"/>
          <w:szCs w:val="22"/>
        </w:rPr>
        <w:t xml:space="preserve">, le hago de su conocimiento que las actas del </w:t>
      </w:r>
      <w:proofErr w:type="spellStart"/>
      <w:r w:rsidR="002D69C9" w:rsidRPr="002D69C9">
        <w:rPr>
          <w:rFonts w:ascii="Palatino Linotype" w:eastAsia="Palatino Linotype" w:hAnsi="Palatino Linotype" w:cs="Palatino Linotype"/>
          <w:i/>
          <w:color w:val="000000"/>
          <w:sz w:val="22"/>
          <w:szCs w:val="22"/>
        </w:rPr>
        <w:t>Comite</w:t>
      </w:r>
      <w:proofErr w:type="spellEnd"/>
      <w:r w:rsidR="002D69C9" w:rsidRPr="002D69C9">
        <w:rPr>
          <w:rFonts w:ascii="Palatino Linotype" w:eastAsia="Palatino Linotype" w:hAnsi="Palatino Linotype" w:cs="Palatino Linotype"/>
          <w:i/>
          <w:color w:val="000000"/>
          <w:sz w:val="22"/>
          <w:szCs w:val="22"/>
        </w:rPr>
        <w:t xml:space="preserve"> de Transparencia y se deben de subir a la plataforma IPOMEX, la invitó a que estudie la Ley mencionada. No me entregaron los oficios de respuesta de las áreas a las que fue turnada la solicitud.</w:t>
      </w:r>
      <w:r>
        <w:rPr>
          <w:rFonts w:ascii="Palatino Linotype" w:eastAsia="Palatino Linotype" w:hAnsi="Palatino Linotype" w:cs="Palatino Linotype"/>
          <w:i/>
          <w:color w:val="000000"/>
          <w:sz w:val="22"/>
          <w:szCs w:val="22"/>
        </w:rPr>
        <w:t>” (Sic)</w:t>
      </w:r>
    </w:p>
    <w:p w:rsidR="000B6B9B" w:rsidRDefault="00ED40D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2D69C9">
        <w:rPr>
          <w:rFonts w:ascii="Palatino Linotype" w:eastAsia="Palatino Linotype" w:hAnsi="Palatino Linotype" w:cs="Palatino Linotype"/>
          <w:b/>
        </w:rPr>
        <w:t>02764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0B6B9B" w:rsidRDefault="000B6B9B">
      <w:pPr>
        <w:spacing w:line="360" w:lineRule="auto"/>
        <w:jc w:val="both"/>
        <w:rPr>
          <w:rFonts w:ascii="Palatino Linotype" w:eastAsia="Palatino Linotype" w:hAnsi="Palatino Linotype" w:cs="Palatino Linotype"/>
        </w:rPr>
      </w:pPr>
    </w:p>
    <w:p w:rsidR="000B6B9B" w:rsidRDefault="00ED40D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sidR="002D69C9">
        <w:rPr>
          <w:rFonts w:ascii="Palatino Linotype" w:eastAsia="Palatino Linotype" w:hAnsi="Palatino Linotype" w:cs="Palatino Linotype"/>
        </w:rPr>
        <w:t>En fecha siete de marzo</w:t>
      </w:r>
      <w:r>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0B6B9B" w:rsidRDefault="00ED40D4">
      <w:pPr>
        <w:spacing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color w:val="000000"/>
        </w:rPr>
        <w:lastRenderedPageBreak/>
        <w:t>6.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fecha </w:t>
      </w:r>
      <w:r w:rsidR="002D69C9">
        <w:rPr>
          <w:rFonts w:ascii="Palatino Linotype" w:eastAsia="Palatino Linotype" w:hAnsi="Palatino Linotype" w:cs="Palatino Linotype"/>
          <w:b/>
        </w:rPr>
        <w:t>dieciséis de marzo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el cual ratifica en lo sustancial la respuesta proporcionada en primera instancia, asimismo, respecto del segundo motivo de inconformidad aducido por el particular, indicó que la Unidad de Transparencia tuvo a bien garantizar que la solicitud se turnara a todas las áreas competentes que cuenten con la información o deban tenerla de acuerdo a sus facultades, competencias y funciones, con el objeto de que realizaran una búsqueda exhaustiva y razonable de la información solicitada, acreditándolo con la captura de pantalla del apartado de requerimientos del SAIMEX.</w:t>
      </w:r>
    </w:p>
    <w:p w:rsidR="000B6B9B" w:rsidRDefault="00ED40D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rsidR="002D69C9" w:rsidRDefault="002D69C9" w:rsidP="002D69C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dieciséis de mayo del año dos mil veintidós, con fundamento en el artículo 181, párrafo tercero de la Ley de Transparencia y Acceso a la Información Pública del Estado de México y Municipios, se acordó la ampliación del plazo para su resolución.</w:t>
      </w:r>
    </w:p>
    <w:p w:rsidR="000B6B9B" w:rsidRDefault="002D69C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8</w:t>
      </w:r>
      <w:r w:rsidR="00ED40D4">
        <w:rPr>
          <w:rFonts w:ascii="Palatino Linotype" w:eastAsia="Palatino Linotype" w:hAnsi="Palatino Linotype" w:cs="Palatino Linotype"/>
          <w:b/>
        </w:rPr>
        <w:t>.-</w:t>
      </w:r>
      <w:r w:rsidR="00ED40D4">
        <w:rPr>
          <w:rFonts w:ascii="Palatino Linotype" w:eastAsia="Palatino Linotype" w:hAnsi="Palatino Linotype" w:cs="Palatino Linotype"/>
        </w:rPr>
        <w:t xml:space="preserve"> </w:t>
      </w:r>
      <w:r w:rsidR="00ED40D4">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veinte de may</w:t>
      </w:r>
      <w:r w:rsidR="00ED40D4">
        <w:rPr>
          <w:rFonts w:ascii="Palatino Linotype" w:eastAsia="Palatino Linotype" w:hAnsi="Palatino Linotype" w:cs="Palatino Linotype"/>
        </w:rPr>
        <w:t>o de dos mil veintidós la Comisionada ponente determinó el cierre de instrucción en términos de la fracción VI del artículo 185 de la Ley de Transparencia y Acceso a la Información Pública del Estado de México y Municipios.</w:t>
      </w:r>
    </w:p>
    <w:p w:rsidR="00FF206F" w:rsidRDefault="00FF206F" w:rsidP="00FF206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0B6B9B" w:rsidRDefault="00ED40D4">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0B6B9B" w:rsidRDefault="00ED40D4">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941F89" w:rsidRDefault="00ED40D4" w:rsidP="00941F8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Pr>
          <w:rFonts w:ascii="Palatino Linotype" w:eastAsia="Palatino Linotype" w:hAnsi="Palatino Linotype" w:cs="Palatino Linotype"/>
        </w:rPr>
        <w:lastRenderedPageBreak/>
        <w:t xml:space="preserve">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w:t>
      </w:r>
      <w:r w:rsidR="002D69C9">
        <w:rPr>
          <w:rFonts w:ascii="Palatino Linotype" w:eastAsia="Palatino Linotype" w:hAnsi="Palatino Linotype" w:cs="Palatino Linotype"/>
        </w:rPr>
        <w:t>solicitud de información el primero de marzo</w:t>
      </w:r>
      <w:r>
        <w:rPr>
          <w:rFonts w:ascii="Palatino Linotype" w:eastAsia="Palatino Linotype" w:hAnsi="Palatino Linotype" w:cs="Palatino Linotype"/>
        </w:rPr>
        <w:t xml:space="preserve"> del dos mil veintidós, y </w:t>
      </w:r>
      <w:r w:rsidR="007F7775">
        <w:rPr>
          <w:rFonts w:ascii="Palatino Linotype" w:eastAsia="Palatino Linotype" w:hAnsi="Palatino Linotype" w:cs="Palatino Linotype"/>
        </w:rPr>
        <w:t xml:space="preserve">el </w:t>
      </w:r>
      <w:r w:rsidR="007F7775" w:rsidRPr="002D69C9">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w:t>
      </w:r>
      <w:r w:rsidR="00941F89">
        <w:rPr>
          <w:rFonts w:ascii="Palatino Linotype" w:eastAsia="Palatino Linotype" w:hAnsi="Palatino Linotype" w:cs="Palatino Linotype"/>
        </w:rPr>
        <w:t>el mismo día hábil en que tuvo conocimiento de la respuesta impugnada.</w:t>
      </w:r>
    </w:p>
    <w:p w:rsidR="00941F89" w:rsidRDefault="00941F89" w:rsidP="00941F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941F89" w:rsidRDefault="00941F89" w:rsidP="00941F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941F89" w:rsidRDefault="00941F89" w:rsidP="00941F8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rsidR="00941F89" w:rsidRDefault="00941F89" w:rsidP="00941F8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w:t>
      </w:r>
      <w:r>
        <w:rPr>
          <w:rFonts w:ascii="Palatino Linotype" w:eastAsia="Palatino Linotype" w:hAnsi="Palatino Linotype" w:cs="Palatino Linotype"/>
          <w:i/>
          <w:sz w:val="22"/>
          <w:szCs w:val="22"/>
        </w:rPr>
        <w:lastRenderedPageBreak/>
        <w:t>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0B6B9B" w:rsidRDefault="00ED40D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w:t>
      </w:r>
      <w:r w:rsidR="00941F89">
        <w:rPr>
          <w:rFonts w:ascii="Palatino Linotype" w:eastAsia="Palatino Linotype" w:hAnsi="Palatino Linotype" w:cs="Palatino Linotype"/>
        </w:rPr>
        <w:t xml:space="preserve"> el artículo 179, fracción VIII</w:t>
      </w:r>
      <w:r>
        <w:rPr>
          <w:rFonts w:ascii="Palatino Linotype" w:eastAsia="Palatino Linotype" w:hAnsi="Palatino Linotype" w:cs="Palatino Linotype"/>
        </w:rPr>
        <w:t xml:space="preserve"> de la ley de la materia, que a la letra dice:</w:t>
      </w:r>
    </w:p>
    <w:p w:rsidR="000B6B9B" w:rsidRDefault="00ED40D4">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941F89" w:rsidRDefault="00941F8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941F89">
      <w:pPr>
        <w:ind w:left="1276" w:right="1752"/>
        <w:jc w:val="both"/>
        <w:rPr>
          <w:rFonts w:ascii="Palatino Linotype" w:eastAsia="Palatino Linotype" w:hAnsi="Palatino Linotype" w:cs="Palatino Linotype"/>
          <w:i/>
          <w:sz w:val="22"/>
          <w:szCs w:val="22"/>
        </w:rPr>
      </w:pPr>
      <w:r w:rsidRPr="00941F89">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r w:rsidR="00ED40D4">
        <w:rPr>
          <w:rFonts w:ascii="Palatino Linotype" w:eastAsia="Palatino Linotype" w:hAnsi="Palatino Linotype" w:cs="Palatino Linotype"/>
          <w:i/>
          <w:sz w:val="22"/>
          <w:szCs w:val="22"/>
        </w:rPr>
        <w:t>…”</w:t>
      </w:r>
      <w:r w:rsidR="00ED40D4">
        <w:rPr>
          <w:rFonts w:ascii="Palatino Linotype" w:eastAsia="Palatino Linotype" w:hAnsi="Palatino Linotype" w:cs="Palatino Linotype"/>
          <w:i/>
        </w:rPr>
        <w:t xml:space="preserve"> (Sic)</w:t>
      </w:r>
    </w:p>
    <w:p w:rsidR="000B6B9B" w:rsidRDefault="000B6B9B">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0B6B9B" w:rsidRDefault="00ED40D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941F89">
        <w:rPr>
          <w:rFonts w:ascii="Palatino Linotype" w:eastAsia="Palatino Linotype" w:hAnsi="Palatino Linotype" w:cs="Palatino Linotype"/>
        </w:rPr>
        <w:t>d</w:t>
      </w:r>
      <w:r w:rsidR="007F7775">
        <w:rPr>
          <w:rFonts w:ascii="Palatino Linotype" w:eastAsia="Palatino Linotype" w:hAnsi="Palatino Linotype" w:cs="Palatino Linotype"/>
        </w:rPr>
        <w:t xml:space="preserve">el </w:t>
      </w:r>
      <w:r w:rsidR="007F7775" w:rsidRPr="00941F89">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w:t>
      </w:r>
      <w:r w:rsidR="00941F89">
        <w:rPr>
          <w:rFonts w:ascii="Palatino Linotype" w:eastAsia="Palatino Linotype" w:hAnsi="Palatino Linotype" w:cs="Palatino Linotype"/>
        </w:rPr>
        <w:t xml:space="preserve">de la información de planeación </w:t>
      </w:r>
      <w:r>
        <w:rPr>
          <w:rFonts w:ascii="Palatino Linotype" w:eastAsia="Palatino Linotype" w:hAnsi="Palatino Linotype" w:cs="Palatino Linotype"/>
        </w:rPr>
        <w:t>lo siguiente:</w:t>
      </w:r>
    </w:p>
    <w:p w:rsidR="00941F89"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El plan de Desarrollo Municipal de la presente a</w:t>
      </w:r>
      <w:r>
        <w:rPr>
          <w:rFonts w:ascii="Palatino Linotype" w:eastAsia="Palatino Linotype" w:hAnsi="Palatino Linotype" w:cs="Palatino Linotype"/>
          <w:sz w:val="24"/>
          <w:szCs w:val="24"/>
        </w:rPr>
        <w:t xml:space="preserve">dministración. </w:t>
      </w:r>
    </w:p>
    <w:p w:rsidR="00941F89"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planes regionales o sectoriales en los que el m</w:t>
      </w:r>
      <w:r>
        <w:rPr>
          <w:rFonts w:ascii="Palatino Linotype" w:eastAsia="Palatino Linotype" w:hAnsi="Palatino Linotype" w:cs="Palatino Linotype"/>
          <w:sz w:val="24"/>
          <w:szCs w:val="24"/>
        </w:rPr>
        <w:t>unicipio tiene participación.</w:t>
      </w:r>
    </w:p>
    <w:p w:rsidR="00941F89"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w:t>
      </w:r>
      <w:r w:rsidRPr="00941F89">
        <w:rPr>
          <w:rFonts w:ascii="Palatino Linotype" w:eastAsia="Palatino Linotype" w:hAnsi="Palatino Linotype" w:cs="Palatino Linotype"/>
          <w:sz w:val="24"/>
          <w:szCs w:val="24"/>
        </w:rPr>
        <w:t>os Programas Operativos Anuales correspondientes a los ejercicios 2019, 2020, 2021 y 2022, completos conforme a lo establecido por el Manual para la Planeación, Programación y presupuesto municipal de los ejercici</w:t>
      </w:r>
      <w:r>
        <w:rPr>
          <w:rFonts w:ascii="Palatino Linotype" w:eastAsia="Palatino Linotype" w:hAnsi="Palatino Linotype" w:cs="Palatino Linotype"/>
          <w:sz w:val="24"/>
          <w:szCs w:val="24"/>
        </w:rPr>
        <w:t xml:space="preserve">os fiscales correspondientes.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 xml:space="preserve">Los reportes trimestrales de evaluación de todas las áreas de la administración municipal, correspondientes a la estructura programática.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formatos de reconducción de metas de los ejerc</w:t>
      </w:r>
      <w:r w:rsidR="00D03E65">
        <w:rPr>
          <w:rFonts w:ascii="Palatino Linotype" w:eastAsia="Palatino Linotype" w:hAnsi="Palatino Linotype" w:cs="Palatino Linotype"/>
          <w:sz w:val="24"/>
          <w:szCs w:val="24"/>
        </w:rPr>
        <w:t>icios 2019, 2020, 2021.y 2022.</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Las actas de</w:t>
      </w:r>
      <w:r w:rsidR="00D03E65">
        <w:rPr>
          <w:rFonts w:ascii="Palatino Linotype" w:eastAsia="Palatino Linotype" w:hAnsi="Palatino Linotype" w:cs="Palatino Linotype"/>
          <w:sz w:val="24"/>
          <w:szCs w:val="24"/>
        </w:rPr>
        <w:t xml:space="preserve"> las sesiones del COPLADEMUN.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informes de avance del Plan de Desarrollo Municipal que se anexan a la cuenta pública de los años 2019, 2019,</w:t>
      </w:r>
      <w:r w:rsidR="00D03E65">
        <w:rPr>
          <w:rFonts w:ascii="Palatino Linotype" w:eastAsia="Palatino Linotype" w:hAnsi="Palatino Linotype" w:cs="Palatino Linotype"/>
          <w:sz w:val="24"/>
          <w:szCs w:val="24"/>
        </w:rPr>
        <w:t xml:space="preserve"> 2020.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in</w:t>
      </w:r>
      <w:r w:rsidR="00D03E65">
        <w:rPr>
          <w:rFonts w:ascii="Palatino Linotype" w:eastAsia="Palatino Linotype" w:hAnsi="Palatino Linotype" w:cs="Palatino Linotype"/>
          <w:sz w:val="24"/>
          <w:szCs w:val="24"/>
        </w:rPr>
        <w:t xml:space="preserve">formes de gobierno municipal.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reportes de seguimiento de indicadores estratégicos y de gestión d</w:t>
      </w:r>
      <w:r w:rsidR="00D03E65">
        <w:rPr>
          <w:rFonts w:ascii="Palatino Linotype" w:eastAsia="Palatino Linotype" w:hAnsi="Palatino Linotype" w:cs="Palatino Linotype"/>
          <w:sz w:val="24"/>
          <w:szCs w:val="24"/>
        </w:rPr>
        <w:t xml:space="preserve">e los años 2019, 2020 y 2021.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lastRenderedPageBreak/>
        <w:t>Los resultados del Índice de Gestión Municipal de los años 2019, 2020</w:t>
      </w:r>
      <w:r w:rsidR="00D03E65">
        <w:rPr>
          <w:rFonts w:ascii="Palatino Linotype" w:eastAsia="Palatino Linotype" w:hAnsi="Palatino Linotype" w:cs="Palatino Linotype"/>
          <w:sz w:val="24"/>
          <w:szCs w:val="24"/>
        </w:rPr>
        <w:t xml:space="preserve"> y 2021, programa del INAFED. –</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 xml:space="preserve">La certificación de Competencia Laboral de la titular de la UIPPE, emitida por el Instituto Hacendario del Estado de México. </w:t>
      </w:r>
    </w:p>
    <w:p w:rsidR="00D03E65" w:rsidRDefault="00D03E65" w:rsidP="00D03E65">
      <w:pPr>
        <w:pStyle w:val="Prrafodelista"/>
        <w:spacing w:before="240" w:after="240" w:line="360" w:lineRule="auto"/>
        <w:ind w:left="72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Unidad de Transparencia:</w:t>
      </w:r>
    </w:p>
    <w:p w:rsidR="00D03E65"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 xml:space="preserve">Las actas de todas las sesiones ordinarias y extraordinarias del Comité de Transparencia, correspondientes a los años 2019, 2020, 2021 a la fecha </w:t>
      </w:r>
      <w:r w:rsidR="00D03E65">
        <w:rPr>
          <w:rFonts w:ascii="Palatino Linotype" w:eastAsia="Palatino Linotype" w:hAnsi="Palatino Linotype" w:cs="Palatino Linotype"/>
          <w:sz w:val="24"/>
          <w:szCs w:val="24"/>
        </w:rPr>
        <w:t xml:space="preserve">de ingreso de esta solicitud. </w:t>
      </w:r>
    </w:p>
    <w:p w:rsidR="00941F89" w:rsidRPr="00941F89" w:rsidRDefault="00941F89" w:rsidP="00941F89">
      <w:pPr>
        <w:pStyle w:val="Prrafodelista"/>
        <w:numPr>
          <w:ilvl w:val="0"/>
          <w:numId w:val="9"/>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La relación de enlaces de transparencia del Sujeto Obligado, su nombramiento, y fecha en que les fue entregados usuarios y contraseñas.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D03E65" w:rsidRDefault="00D03E65" w:rsidP="00D03E65">
      <w:pPr>
        <w:spacing w:before="240" w:line="360" w:lineRule="auto"/>
        <w:ind w:right="49"/>
        <w:jc w:val="both"/>
        <w:rPr>
          <w:rFonts w:ascii="Palatino Linotype" w:eastAsia="Palatino Linotype" w:hAnsi="Palatino Linotype" w:cs="Palatino Linotype"/>
          <w:color w:val="000000"/>
        </w:rPr>
      </w:pPr>
      <w:r w:rsidRPr="007F7775">
        <w:rPr>
          <w:rFonts w:ascii="Palatino Linotype" w:eastAsia="Palatino Linotype" w:hAnsi="Palatino Linotype" w:cs="Palatino Linotype"/>
          <w:color w:val="000000"/>
        </w:rPr>
        <w:t>“</w:t>
      </w:r>
      <w:hyperlink r:id="rId18">
        <w:hyperlink r:id="rId19" w:tgtFrame="_blank" w:history="1">
          <w:r w:rsidRPr="007F7775">
            <w:rPr>
              <w:rFonts w:ascii="Palatino Linotype" w:eastAsia="Palatino Linotype" w:hAnsi="Palatino Linotype" w:cs="Palatino Linotype"/>
              <w:color w:val="000000"/>
            </w:rPr>
            <w:t>Saimex 00531.pdf</w:t>
          </w:r>
        </w:hyperlink>
      </w:hyperlink>
      <w:r w:rsidRPr="007F7775">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el cual contiene la respuesta otorgada al solicitante en donde el Titular de la Unidad de Información, Planeación, Programación y Evaluación, informó a la Titular de la Unidad de Transparencia, ambos del </w:t>
      </w:r>
      <w:r w:rsidRPr="007F7775">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que respecto de la solicitud de información pública, después de hacer una búsqueda exhaustiva y para dar a tención a la solicitud; que dicha información es pública y podrá encontrarla en el siguiente link:</w:t>
      </w:r>
    </w:p>
    <w:p w:rsidR="00D03E65" w:rsidRDefault="00D03E65" w:rsidP="00D03E65">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roofErr w:type="spellStart"/>
      <w:r>
        <w:rPr>
          <w:rFonts w:ascii="Palatino Linotype" w:eastAsia="Palatino Linotype" w:hAnsi="Palatino Linotype" w:cs="Palatino Linotype"/>
          <w:color w:val="000000"/>
        </w:rPr>
        <w:t>Planeación_y_Desarrollo_Institucional-Ayuntamiento_Toluca</w:t>
      </w:r>
      <w:proofErr w:type="spellEnd"/>
      <w:r>
        <w:rPr>
          <w:rFonts w:ascii="Palatino Linotype" w:eastAsia="Palatino Linotype" w:hAnsi="Palatino Linotype" w:cs="Palatino Linotype"/>
          <w:color w:val="000000"/>
        </w:rPr>
        <w:t>”</w:t>
      </w:r>
    </w:p>
    <w:p w:rsidR="00D03E65" w:rsidRDefault="00D03E65" w:rsidP="00D03E65">
      <w:pPr>
        <w:spacing w:line="360" w:lineRule="auto"/>
        <w:ind w:right="51"/>
        <w:jc w:val="both"/>
        <w:rPr>
          <w:rFonts w:ascii="Palatino Linotype" w:eastAsia="Palatino Linotype" w:hAnsi="Palatino Linotype" w:cs="Palatino Linotype"/>
          <w:i/>
          <w:color w:val="000000"/>
        </w:rPr>
      </w:pP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Conforme a los años 2019, 2020 y 2021.</w:t>
      </w:r>
    </w:p>
    <w:p w:rsidR="00D03E65" w:rsidRDefault="00D03E65" w:rsidP="00D03E65">
      <w:pPr>
        <w:spacing w:line="360" w:lineRule="auto"/>
        <w:ind w:right="51"/>
        <w:jc w:val="both"/>
        <w:rPr>
          <w:rFonts w:ascii="Palatino Linotype" w:eastAsia="Palatino Linotype" w:hAnsi="Palatino Linotype" w:cs="Palatino Linotype"/>
          <w:color w:val="000000"/>
        </w:rPr>
      </w:pP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También señaló respecto de la información del año 2022 está en proceso, por lo cual a no estar concluida se encuentra imposibilitado para entregarla. </w:t>
      </w:r>
    </w:p>
    <w:p w:rsidR="00D03E65" w:rsidRDefault="00D03E65" w:rsidP="00D03E65">
      <w:pPr>
        <w:spacing w:line="360" w:lineRule="auto"/>
        <w:ind w:right="51"/>
        <w:jc w:val="both"/>
        <w:rPr>
          <w:rFonts w:ascii="Palatino Linotype" w:eastAsia="Palatino Linotype" w:hAnsi="Palatino Linotype" w:cs="Palatino Linotype"/>
          <w:color w:val="000000"/>
        </w:rPr>
      </w:pP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Dentro del mismo archivo se encuentra la respuesta de la Directora General de Administración del Ayuntamiento de Toluca, en donde informó que después de una búsqueda exhaustiva en los archivos que obran en la Subdirección de Recursos Humanos no se localizó la certificación de competencia referida de acuerdo al fundamento legal que señaló. </w:t>
      </w:r>
    </w:p>
    <w:p w:rsidR="00D03E65" w:rsidRDefault="00D03E65" w:rsidP="00D03E65">
      <w:pPr>
        <w:spacing w:line="360" w:lineRule="auto"/>
        <w:ind w:right="51"/>
        <w:jc w:val="both"/>
        <w:rPr>
          <w:rFonts w:ascii="Palatino Linotype" w:eastAsia="Palatino Linotype" w:hAnsi="Palatino Linotype" w:cs="Palatino Linotype"/>
          <w:color w:val="000000"/>
        </w:rPr>
      </w:pP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señaló que referente a la información que le competen a la Unidad de Transparencia, respecto a l</w:t>
      </w:r>
      <w:r w:rsidRPr="00031A12">
        <w:rPr>
          <w:rFonts w:ascii="Palatino Linotype" w:eastAsia="Palatino Linotype" w:hAnsi="Palatino Linotype" w:cs="Palatino Linotype"/>
          <w:color w:val="000000"/>
        </w:rPr>
        <w:t>as actas de todas las sesiones ordinarias y extraordinarias del Comité de Transparencia, correspondientes a los años 2019, 2020, 2021 a la fecha de ingr</w:t>
      </w:r>
      <w:r>
        <w:rPr>
          <w:rFonts w:ascii="Palatino Linotype" w:eastAsia="Palatino Linotype" w:hAnsi="Palatino Linotype" w:cs="Palatino Linotype"/>
          <w:color w:val="000000"/>
        </w:rPr>
        <w:t>eso de esta solicitud y l</w:t>
      </w:r>
      <w:r w:rsidRPr="00031A12">
        <w:rPr>
          <w:rFonts w:ascii="Palatino Linotype" w:eastAsia="Palatino Linotype" w:hAnsi="Palatino Linotype" w:cs="Palatino Linotype"/>
          <w:color w:val="000000"/>
        </w:rPr>
        <w:t xml:space="preserve">a relación de enlaces de transparencia del </w:t>
      </w:r>
      <w:r w:rsidRPr="00F50D2A">
        <w:rPr>
          <w:rFonts w:ascii="Palatino Linotype" w:eastAsia="Palatino Linotype" w:hAnsi="Palatino Linotype" w:cs="Palatino Linotype"/>
          <w:b/>
          <w:color w:val="000000"/>
        </w:rPr>
        <w:t>SUJETO OBLIGADO</w:t>
      </w:r>
      <w:r w:rsidRPr="00031A12">
        <w:rPr>
          <w:rFonts w:ascii="Palatino Linotype" w:eastAsia="Palatino Linotype" w:hAnsi="Palatino Linotype" w:cs="Palatino Linotype"/>
          <w:color w:val="000000"/>
        </w:rPr>
        <w:t>, su nombramiento, y fecha en que les fue entregados usuarios y contraseñas</w:t>
      </w:r>
      <w:r>
        <w:rPr>
          <w:rFonts w:ascii="Palatino Linotype" w:eastAsia="Palatino Linotype" w:hAnsi="Palatino Linotype" w:cs="Palatino Linotype"/>
          <w:color w:val="000000"/>
        </w:rPr>
        <w:t xml:space="preserve">, la Titular de la Unidad de Transparencia informó que las actas de las sesiones </w:t>
      </w:r>
      <w:r w:rsidRPr="00031A12">
        <w:rPr>
          <w:rFonts w:ascii="Palatino Linotype" w:eastAsia="Palatino Linotype" w:hAnsi="Palatino Linotype" w:cs="Palatino Linotype"/>
          <w:color w:val="000000"/>
        </w:rPr>
        <w:t>ordinarias y extraordinarias del Comité de Transparencia, correspondientes a los años 2019, 2020, 2021</w:t>
      </w:r>
      <w:r>
        <w:rPr>
          <w:rFonts w:ascii="Palatino Linotype" w:eastAsia="Palatino Linotype" w:hAnsi="Palatino Linotype" w:cs="Palatino Linotype"/>
          <w:color w:val="000000"/>
        </w:rPr>
        <w:t>, pueden ser consultadas en los siguientes links:</w:t>
      </w:r>
    </w:p>
    <w:p w:rsidR="00D03E65" w:rsidRDefault="00D03E65" w:rsidP="00D03E65">
      <w:pPr>
        <w:spacing w:line="360" w:lineRule="auto"/>
        <w:ind w:right="51"/>
        <w:jc w:val="both"/>
        <w:rPr>
          <w:rFonts w:ascii="Palatino Linotype" w:eastAsia="Palatino Linotype" w:hAnsi="Palatino Linotype" w:cs="Palatino Linotype"/>
          <w:color w:val="000000"/>
        </w:rPr>
      </w:pPr>
      <w:r>
        <w:rPr>
          <w:noProof/>
          <w:lang w:val="es-MX" w:eastAsia="es-MX"/>
        </w:rPr>
        <w:drawing>
          <wp:inline distT="0" distB="0" distL="0" distR="0" wp14:anchorId="21469218" wp14:editId="2B5F5CB7">
            <wp:extent cx="5465445" cy="93487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93" t="66826" r="17905" b="21702"/>
                    <a:stretch/>
                  </pic:blipFill>
                  <pic:spPr bwMode="auto">
                    <a:xfrm>
                      <a:off x="0" y="0"/>
                      <a:ext cx="5488097" cy="938747"/>
                    </a:xfrm>
                    <a:prstGeom prst="rect">
                      <a:avLst/>
                    </a:prstGeom>
                    <a:ln>
                      <a:noFill/>
                    </a:ln>
                    <a:extLst>
                      <a:ext uri="{53640926-AAD7-44D8-BBD7-CCE9431645EC}">
                        <a14:shadowObscured xmlns:a14="http://schemas.microsoft.com/office/drawing/2010/main"/>
                      </a:ext>
                    </a:extLst>
                  </pic:spPr>
                </pic:pic>
              </a:graphicData>
            </a:graphic>
          </wp:inline>
        </w:drawing>
      </w: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cuanto a las actas de las sesiones </w:t>
      </w:r>
      <w:r w:rsidRPr="00031A12">
        <w:rPr>
          <w:rFonts w:ascii="Palatino Linotype" w:eastAsia="Palatino Linotype" w:hAnsi="Palatino Linotype" w:cs="Palatino Linotype"/>
          <w:color w:val="000000"/>
        </w:rPr>
        <w:t>ordinarias y extraordinarias del Comité de</w:t>
      </w:r>
      <w:r>
        <w:rPr>
          <w:rFonts w:ascii="Palatino Linotype" w:eastAsia="Palatino Linotype" w:hAnsi="Palatino Linotype" w:cs="Palatino Linotype"/>
          <w:color w:val="000000"/>
        </w:rPr>
        <w:t xml:space="preserve"> Transparencia, correspondiente del primero de enero al veintidós de febrero del año dos mil veintidós, señaló lo siguiente:</w:t>
      </w:r>
    </w:p>
    <w:p w:rsidR="00D03E65" w:rsidRPr="00D03E65" w:rsidRDefault="00D03E65" w:rsidP="00D03E65">
      <w:pPr>
        <w:spacing w:line="360" w:lineRule="auto"/>
        <w:ind w:right="51"/>
        <w:jc w:val="both"/>
        <w:rPr>
          <w:noProof/>
          <w:lang w:val="es-MX" w:eastAsia="en-US"/>
        </w:rPr>
      </w:pPr>
    </w:p>
    <w:p w:rsidR="00D03E65" w:rsidRDefault="00D03E65" w:rsidP="00D03E65">
      <w:pPr>
        <w:spacing w:line="360" w:lineRule="auto"/>
        <w:ind w:right="51"/>
        <w:jc w:val="both"/>
        <w:rPr>
          <w:rFonts w:ascii="Palatino Linotype" w:eastAsia="Palatino Linotype" w:hAnsi="Palatino Linotype" w:cs="Palatino Linotype"/>
          <w:color w:val="000000"/>
        </w:rPr>
      </w:pPr>
      <w:r>
        <w:rPr>
          <w:noProof/>
          <w:lang w:val="es-MX" w:eastAsia="es-MX"/>
        </w:rPr>
        <w:drawing>
          <wp:inline distT="0" distB="0" distL="0" distR="0" wp14:anchorId="0474A297" wp14:editId="098E209F">
            <wp:extent cx="5540375" cy="3998794"/>
            <wp:effectExtent l="0" t="0" r="317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02" t="17518" r="16455" b="3732"/>
                    <a:stretch/>
                  </pic:blipFill>
                  <pic:spPr bwMode="auto">
                    <a:xfrm>
                      <a:off x="0" y="0"/>
                      <a:ext cx="5549969" cy="4005718"/>
                    </a:xfrm>
                    <a:prstGeom prst="rect">
                      <a:avLst/>
                    </a:prstGeom>
                    <a:ln>
                      <a:noFill/>
                    </a:ln>
                    <a:extLst>
                      <a:ext uri="{53640926-AAD7-44D8-BBD7-CCE9431645EC}">
                        <a14:shadowObscured xmlns:a14="http://schemas.microsoft.com/office/drawing/2010/main"/>
                      </a:ext>
                    </a:extLst>
                  </pic:spPr>
                </pic:pic>
              </a:graphicData>
            </a:graphic>
          </wp:inline>
        </w:drawing>
      </w:r>
    </w:p>
    <w:p w:rsidR="00D03E65" w:rsidRDefault="00D03E65" w:rsidP="00D03E65">
      <w:pPr>
        <w:spacing w:line="360" w:lineRule="auto"/>
        <w:ind w:right="51"/>
        <w:jc w:val="both"/>
        <w:rPr>
          <w:rFonts w:ascii="Palatino Linotype" w:eastAsia="Palatino Linotype" w:hAnsi="Palatino Linotype" w:cs="Palatino Linotype"/>
          <w:i/>
          <w:color w:val="000000"/>
        </w:rPr>
      </w:pPr>
    </w:p>
    <w:p w:rsidR="00D03E65"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Indicándole al solicitante el procedimiento para el pago y una vez realizado el mismo poder hacerle la entrega de la información.  </w:t>
      </w:r>
    </w:p>
    <w:p w:rsidR="00D03E65" w:rsidRDefault="00D03E65" w:rsidP="00D03E65">
      <w:pPr>
        <w:spacing w:line="360" w:lineRule="auto"/>
        <w:ind w:right="51"/>
        <w:jc w:val="both"/>
        <w:rPr>
          <w:rFonts w:ascii="Palatino Linotype" w:eastAsia="Palatino Linotype" w:hAnsi="Palatino Linotype" w:cs="Palatino Linotype"/>
          <w:color w:val="000000"/>
        </w:rPr>
      </w:pPr>
    </w:p>
    <w:p w:rsidR="00D03E65" w:rsidRPr="00F50D2A"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informó, respecto de l</w:t>
      </w:r>
      <w:r w:rsidRPr="00F50D2A">
        <w:rPr>
          <w:rFonts w:ascii="Palatino Linotype" w:eastAsia="Palatino Linotype" w:hAnsi="Palatino Linotype" w:cs="Palatino Linotype"/>
          <w:color w:val="000000"/>
        </w:rPr>
        <w:t xml:space="preserve">a relación de enlaces de transparencia del </w:t>
      </w:r>
      <w:r w:rsidRPr="00F50D2A">
        <w:rPr>
          <w:rFonts w:ascii="Palatino Linotype" w:eastAsia="Palatino Linotype" w:hAnsi="Palatino Linotype" w:cs="Palatino Linotype"/>
          <w:b/>
          <w:color w:val="000000"/>
        </w:rPr>
        <w:t>SUJETO OBLIGADO</w:t>
      </w:r>
      <w:r>
        <w:rPr>
          <w:rFonts w:ascii="Verdana" w:hAnsi="Verdana"/>
          <w:color w:val="000000"/>
          <w:sz w:val="14"/>
          <w:szCs w:val="14"/>
        </w:rPr>
        <w:t>,</w:t>
      </w:r>
      <w:r>
        <w:rPr>
          <w:rFonts w:ascii="Palatino Linotype" w:eastAsia="Palatino Linotype" w:hAnsi="Palatino Linotype" w:cs="Palatino Linotype"/>
          <w:color w:val="000000"/>
        </w:rPr>
        <w:t xml:space="preserve"> de su nombramiento </w:t>
      </w:r>
      <w:r w:rsidRPr="00031A12">
        <w:rPr>
          <w:rFonts w:ascii="Palatino Linotype" w:eastAsia="Palatino Linotype" w:hAnsi="Palatino Linotype" w:cs="Palatino Linotype"/>
          <w:color w:val="000000"/>
        </w:rPr>
        <w:t>y fecha en que les fue entregados usuarios y contraseñas</w:t>
      </w:r>
      <w:r>
        <w:rPr>
          <w:rFonts w:ascii="Palatino Linotype" w:eastAsia="Palatino Linotype" w:hAnsi="Palatino Linotype" w:cs="Palatino Linotype"/>
          <w:color w:val="000000"/>
        </w:rPr>
        <w:t xml:space="preserve">, que no existe la figura de enlaces de transparencia conforme </w:t>
      </w:r>
      <w:r>
        <w:rPr>
          <w:rFonts w:ascii="Palatino Linotype" w:eastAsia="Palatino Linotype" w:hAnsi="Palatino Linotype" w:cs="Palatino Linotype"/>
          <w:color w:val="000000"/>
        </w:rPr>
        <w:lastRenderedPageBreak/>
        <w:t xml:space="preserve">al fundamento legal que señaló; sin embargo, se realizó una búsqueda exhaustiva y razonable dentro de los archivos del </w:t>
      </w:r>
      <w:r w:rsidRPr="007D0729">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no se encontró documento alguno que colme la pretensión del particular, concluyendo de acuerdo a lo anterior que los enlaces, usuarios y contraseñas no existen.</w:t>
      </w:r>
    </w:p>
    <w:p w:rsidR="00D03E65" w:rsidRPr="007D0729" w:rsidRDefault="00D03E65" w:rsidP="00D03E6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br/>
      </w:r>
      <w:r w:rsidRPr="007D0729">
        <w:rPr>
          <w:rFonts w:ascii="Palatino Linotype" w:eastAsia="Palatino Linotype" w:hAnsi="Palatino Linotype" w:cs="Palatino Linotype"/>
          <w:color w:val="000000"/>
        </w:rPr>
        <w:t>“</w:t>
      </w:r>
      <w:hyperlink r:id="rId22" w:tgtFrame="_blank" w:history="1">
        <w:r w:rsidRPr="007D0729">
          <w:rPr>
            <w:rFonts w:ascii="Palatino Linotype" w:eastAsia="Palatino Linotype" w:hAnsi="Palatino Linotype" w:cs="Palatino Linotype"/>
            <w:color w:val="000000"/>
          </w:rPr>
          <w:t>Orden de pago solicitud 00531.pdf</w:t>
        </w:r>
      </w:hyperlink>
      <w:r w:rsidRPr="007D0729">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el cual contiene una orden de pago por un importe de </w:t>
      </w:r>
      <w:r w:rsidRPr="007D0729">
        <w:rPr>
          <w:rFonts w:ascii="Palatino Linotype" w:eastAsia="Palatino Linotype" w:hAnsi="Palatino Linotype" w:cs="Palatino Linotype"/>
          <w:color w:val="000000"/>
        </w:rPr>
        <w:t>$579.04 (Quinientos setenta y nueve pesos 04/100 M.N.)</w:t>
      </w:r>
      <w:r>
        <w:rPr>
          <w:rFonts w:ascii="Palatino Linotype" w:eastAsia="Palatino Linotype" w:hAnsi="Palatino Linotype" w:cs="Palatino Linotype"/>
          <w:color w:val="000000"/>
        </w:rPr>
        <w:t>, para el escaneo y digitalización de documentos.</w:t>
      </w:r>
    </w:p>
    <w:p w:rsidR="000B6B9B" w:rsidRDefault="009678CB">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el</w:t>
      </w:r>
      <w:r w:rsidR="00ED40D4">
        <w:rPr>
          <w:rFonts w:ascii="Palatino Linotype" w:eastAsia="Palatino Linotype" w:hAnsi="Palatino Linotype" w:cs="Palatino Linotype"/>
        </w:rPr>
        <w:t xml:space="preserve"> particular con la respuesta, interpone el recurso de revisión que se resuelve, </w:t>
      </w:r>
      <w:r w:rsidR="000D004A">
        <w:rPr>
          <w:rFonts w:ascii="Palatino Linotype" w:eastAsia="Palatino Linotype" w:hAnsi="Palatino Linotype" w:cs="Palatino Linotype"/>
        </w:rPr>
        <w:t>inconformándose</w:t>
      </w:r>
      <w:r w:rsidR="00D03E65" w:rsidRPr="000D004A">
        <w:rPr>
          <w:rFonts w:ascii="Palatino Linotype" w:eastAsia="Palatino Linotype" w:hAnsi="Palatino Linotype" w:cs="Palatino Linotype"/>
          <w:b/>
          <w:u w:val="single"/>
        </w:rPr>
        <w:t xml:space="preserve"> únicamente por el cobro de la información y </w:t>
      </w:r>
      <w:r w:rsidR="00ED40D4" w:rsidRPr="000D004A">
        <w:rPr>
          <w:rFonts w:ascii="Palatino Linotype" w:eastAsia="Palatino Linotype" w:hAnsi="Palatino Linotype" w:cs="Palatino Linotype"/>
          <w:b/>
          <w:u w:val="single"/>
        </w:rPr>
        <w:t>porque no le entregaron los oficios de respuesta de las áreas a la</w:t>
      </w:r>
      <w:r w:rsidR="00A75231" w:rsidRPr="000D004A">
        <w:rPr>
          <w:rFonts w:ascii="Palatino Linotype" w:eastAsia="Palatino Linotype" w:hAnsi="Palatino Linotype" w:cs="Palatino Linotype"/>
          <w:b/>
          <w:u w:val="single"/>
        </w:rPr>
        <w:t>s que fue turnada la solicitud</w:t>
      </w:r>
      <w:r w:rsidR="00A75231">
        <w:rPr>
          <w:rFonts w:ascii="Palatino Linotype" w:eastAsia="Palatino Linotype" w:hAnsi="Palatino Linotype" w:cs="Palatino Linotype"/>
        </w:rPr>
        <w:t>.</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cual confirmó su respuesta inicial. </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w:t>
      </w:r>
      <w:r>
        <w:rPr>
          <w:rFonts w:ascii="Palatino Linotype" w:eastAsia="Palatino Linotype" w:hAnsi="Palatino Linotype" w:cs="Palatino Linotype"/>
        </w:rPr>
        <w:lastRenderedPageBreak/>
        <w:t>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B6B9B" w:rsidRDefault="00ED40D4">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B6B9B" w:rsidRDefault="00ED40D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B6B9B" w:rsidRDefault="00ED40D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0B6B9B" w:rsidRDefault="000B6B9B">
      <w:pPr>
        <w:spacing w:line="360" w:lineRule="auto"/>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B6B9B" w:rsidRDefault="000B6B9B">
      <w:pPr>
        <w:spacing w:line="360" w:lineRule="auto"/>
        <w:jc w:val="both"/>
        <w:rPr>
          <w:rFonts w:ascii="Palatino Linotype" w:eastAsia="Palatino Linotype" w:hAnsi="Palatino Linotype" w:cs="Palatino Linotype"/>
        </w:rPr>
      </w:pPr>
    </w:p>
    <w:p w:rsidR="000B6B9B" w:rsidRDefault="00ED40D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0B6B9B" w:rsidRDefault="000B6B9B">
      <w:pPr>
        <w:ind w:left="567" w:right="758"/>
        <w:jc w:val="both"/>
        <w:rPr>
          <w:rFonts w:ascii="Palatino Linotype" w:eastAsia="Palatino Linotype" w:hAnsi="Palatino Linotype" w:cs="Palatino Linotype"/>
          <w:i/>
          <w:sz w:val="22"/>
          <w:szCs w:val="22"/>
        </w:rPr>
      </w:pPr>
    </w:p>
    <w:p w:rsidR="000B6B9B" w:rsidRDefault="00ED40D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0B6B9B" w:rsidRDefault="000B6B9B">
      <w:pPr>
        <w:spacing w:line="360" w:lineRule="auto"/>
        <w:ind w:right="-93"/>
        <w:jc w:val="both"/>
        <w:rPr>
          <w:rFonts w:ascii="Palatino Linotype" w:eastAsia="Palatino Linotype" w:hAnsi="Palatino Linotype" w:cs="Palatino Linotype"/>
          <w:color w:val="000000"/>
        </w:rPr>
      </w:pPr>
    </w:p>
    <w:p w:rsidR="000B6B9B" w:rsidRDefault="00ED40D4">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0B6B9B" w:rsidRDefault="000B6B9B">
      <w:pPr>
        <w:spacing w:line="360" w:lineRule="auto"/>
        <w:ind w:right="-93"/>
        <w:jc w:val="both"/>
        <w:rPr>
          <w:rFonts w:ascii="Palatino Linotype" w:eastAsia="Palatino Linotype" w:hAnsi="Palatino Linotype" w:cs="Palatino Linotype"/>
          <w:color w:val="000000"/>
        </w:rPr>
      </w:pPr>
    </w:p>
    <w:p w:rsidR="000B6B9B" w:rsidRDefault="00ED40D4">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0B6B9B" w:rsidRDefault="000B6B9B">
      <w:pPr>
        <w:ind w:left="851" w:right="850"/>
        <w:jc w:val="both"/>
        <w:rPr>
          <w:rFonts w:ascii="Palatino Linotype" w:eastAsia="Palatino Linotype" w:hAnsi="Palatino Linotype" w:cs="Palatino Linotype"/>
          <w:color w:val="000000"/>
        </w:rPr>
      </w:pPr>
    </w:p>
    <w:p w:rsidR="000B6B9B" w:rsidRDefault="00ED40D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rsidR="000B6B9B" w:rsidRDefault="00ED40D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0B6B9B" w:rsidRDefault="00ED40D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0B6B9B" w:rsidRDefault="00ED40D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0B6B9B" w:rsidRDefault="00ED40D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0B6B9B" w:rsidRDefault="000B6B9B">
      <w:pPr>
        <w:spacing w:line="360" w:lineRule="auto"/>
        <w:ind w:right="-93"/>
        <w:jc w:val="both"/>
        <w:rPr>
          <w:rFonts w:ascii="Palatino Linotype" w:eastAsia="Palatino Linotype" w:hAnsi="Palatino Linotype" w:cs="Palatino Linotype"/>
          <w:color w:val="000000"/>
        </w:rPr>
      </w:pPr>
    </w:p>
    <w:p w:rsidR="000B6B9B" w:rsidRDefault="00ED40D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B6B9B" w:rsidRDefault="000B6B9B">
      <w:pPr>
        <w:spacing w:line="360" w:lineRule="auto"/>
        <w:jc w:val="both"/>
        <w:rPr>
          <w:rFonts w:ascii="Palatino Linotype" w:eastAsia="Palatino Linotype" w:hAnsi="Palatino Linotype" w:cs="Palatino Linotype"/>
          <w:color w:val="000000"/>
        </w:rPr>
      </w:pPr>
    </w:p>
    <w:p w:rsidR="000B6B9B" w:rsidRDefault="00ED40D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B6B9B" w:rsidRDefault="000B6B9B">
      <w:pPr>
        <w:spacing w:line="360" w:lineRule="auto"/>
        <w:ind w:right="49"/>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B6B9B" w:rsidRDefault="000B6B9B">
      <w:pPr>
        <w:ind w:left="851" w:right="899"/>
        <w:jc w:val="both"/>
        <w:rPr>
          <w:rFonts w:ascii="Palatino Linotype" w:eastAsia="Palatino Linotype" w:hAnsi="Palatino Linotype" w:cs="Palatino Linotype"/>
          <w:i/>
          <w:sz w:val="22"/>
          <w:szCs w:val="22"/>
        </w:rPr>
      </w:pPr>
    </w:p>
    <w:p w:rsidR="000B6B9B" w:rsidRDefault="00ED40D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0B6B9B" w:rsidRDefault="00ED40D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B6B9B" w:rsidRDefault="000B6B9B">
      <w:pPr>
        <w:ind w:left="851" w:right="899"/>
        <w:jc w:val="both"/>
        <w:rPr>
          <w:rFonts w:ascii="Palatino Linotype" w:eastAsia="Palatino Linotype" w:hAnsi="Palatino Linotype" w:cs="Palatino Linotype"/>
          <w:sz w:val="22"/>
          <w:szCs w:val="22"/>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B6B9B" w:rsidRDefault="000B6B9B">
      <w:pPr>
        <w:ind w:left="851" w:right="899"/>
        <w:jc w:val="both"/>
        <w:rPr>
          <w:rFonts w:ascii="Palatino Linotype" w:eastAsia="Palatino Linotype" w:hAnsi="Palatino Linotype" w:cs="Palatino Linotype"/>
        </w:rPr>
      </w:pPr>
    </w:p>
    <w:p w:rsidR="000B6B9B" w:rsidRDefault="00ED40D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0B6B9B" w:rsidRDefault="00ED40D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0B6B9B" w:rsidRDefault="00ED40D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B6B9B" w:rsidRDefault="00ED40D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0B6B9B" w:rsidRDefault="00ED40D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0B6B9B" w:rsidRDefault="00ED40D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0B6B9B" w:rsidRDefault="000B6B9B">
      <w:pPr>
        <w:spacing w:line="360" w:lineRule="auto"/>
        <w:ind w:right="-93"/>
        <w:jc w:val="both"/>
        <w:rPr>
          <w:rFonts w:ascii="Palatino Linotype" w:eastAsia="Palatino Linotype" w:hAnsi="Palatino Linotype" w:cs="Palatino Linotype"/>
          <w:color w:val="000000"/>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proporcionada por el Sujeto Obligado en su respuesta, cumple parcialmente con lo establecido por los artículos 4, 12, 24 último párrafo y 161 de la Ley de Transparencia y Acceso a la Información Pública de</w:t>
      </w:r>
      <w:r w:rsidR="00A75231">
        <w:rPr>
          <w:rFonts w:ascii="Palatino Linotype" w:eastAsia="Palatino Linotype" w:hAnsi="Palatino Linotype" w:cs="Palatino Linotype"/>
        </w:rPr>
        <w:t>l Estado de México y Municipios, conforme a lo siguiente:</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del estudio de fondo, se debe precisar que del análisis a los motivos de inconformidad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está conforme con parte de la información proporcionada en respuesta, consistente en:</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El plan de Desarrollo Municipal de la presente a</w:t>
      </w:r>
      <w:r>
        <w:rPr>
          <w:rFonts w:ascii="Palatino Linotype" w:eastAsia="Palatino Linotype" w:hAnsi="Palatino Linotype" w:cs="Palatino Linotype"/>
          <w:sz w:val="24"/>
          <w:szCs w:val="24"/>
        </w:rPr>
        <w:t xml:space="preserve">dministración.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planes regionales o sectoriales en los que el m</w:t>
      </w:r>
      <w:r>
        <w:rPr>
          <w:rFonts w:ascii="Palatino Linotype" w:eastAsia="Palatino Linotype" w:hAnsi="Palatino Linotype" w:cs="Palatino Linotype"/>
          <w:sz w:val="24"/>
          <w:szCs w:val="24"/>
        </w:rPr>
        <w:t>unicipio tiene participación.</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w:t>
      </w:r>
      <w:r w:rsidRPr="00941F89">
        <w:rPr>
          <w:rFonts w:ascii="Palatino Linotype" w:eastAsia="Palatino Linotype" w:hAnsi="Palatino Linotype" w:cs="Palatino Linotype"/>
          <w:sz w:val="24"/>
          <w:szCs w:val="24"/>
        </w:rPr>
        <w:t>os Programas Operativos Anuales correspondientes a los ejercicios 2019, 2020, 2021 y 2022, completos conforme a lo establecido por el Manual para la Planeación, Programación y presupuesto municipal de los ejercici</w:t>
      </w:r>
      <w:r>
        <w:rPr>
          <w:rFonts w:ascii="Palatino Linotype" w:eastAsia="Palatino Linotype" w:hAnsi="Palatino Linotype" w:cs="Palatino Linotype"/>
          <w:sz w:val="24"/>
          <w:szCs w:val="24"/>
        </w:rPr>
        <w:t xml:space="preserve">os fiscales correspondientes.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lastRenderedPageBreak/>
        <w:t xml:space="preserve">Los reportes trimestrales de evaluación de todas las áreas de la administración municipal, correspondientes a la estructura programática.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formatos de reconducción de metas de los ejerc</w:t>
      </w:r>
      <w:r>
        <w:rPr>
          <w:rFonts w:ascii="Palatino Linotype" w:eastAsia="Palatino Linotype" w:hAnsi="Palatino Linotype" w:cs="Palatino Linotype"/>
          <w:sz w:val="24"/>
          <w:szCs w:val="24"/>
        </w:rPr>
        <w:t>icios 2019, 2020, 2021.y 2022.</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Las actas de</w:t>
      </w:r>
      <w:r>
        <w:rPr>
          <w:rFonts w:ascii="Palatino Linotype" w:eastAsia="Palatino Linotype" w:hAnsi="Palatino Linotype" w:cs="Palatino Linotype"/>
          <w:sz w:val="24"/>
          <w:szCs w:val="24"/>
        </w:rPr>
        <w:t xml:space="preserve"> las sesiones del COPLADEMUN.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informes de avance del Plan de Desarrollo Municipal que se anexan a la cuenta pública de los años 2019, 2019,</w:t>
      </w:r>
      <w:r>
        <w:rPr>
          <w:rFonts w:ascii="Palatino Linotype" w:eastAsia="Palatino Linotype" w:hAnsi="Palatino Linotype" w:cs="Palatino Linotype"/>
          <w:sz w:val="24"/>
          <w:szCs w:val="24"/>
        </w:rPr>
        <w:t xml:space="preserve"> 2020.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in</w:t>
      </w:r>
      <w:r>
        <w:rPr>
          <w:rFonts w:ascii="Palatino Linotype" w:eastAsia="Palatino Linotype" w:hAnsi="Palatino Linotype" w:cs="Palatino Linotype"/>
          <w:sz w:val="24"/>
          <w:szCs w:val="24"/>
        </w:rPr>
        <w:t xml:space="preserve">formes de gobierno municipal.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reportes de seguimiento de indicadores estratégicos y de gestión d</w:t>
      </w:r>
      <w:r>
        <w:rPr>
          <w:rFonts w:ascii="Palatino Linotype" w:eastAsia="Palatino Linotype" w:hAnsi="Palatino Linotype" w:cs="Palatino Linotype"/>
          <w:sz w:val="24"/>
          <w:szCs w:val="24"/>
        </w:rPr>
        <w:t xml:space="preserve">e los años 2019, 2020 y 2021.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Los resultados del Índice de Gestión Municipal de los años 2019, 2020</w:t>
      </w:r>
      <w:r>
        <w:rPr>
          <w:rFonts w:ascii="Palatino Linotype" w:eastAsia="Palatino Linotype" w:hAnsi="Palatino Linotype" w:cs="Palatino Linotype"/>
          <w:sz w:val="24"/>
          <w:szCs w:val="24"/>
        </w:rPr>
        <w:t xml:space="preserve"> y 2021, programa del INAFED. –</w:t>
      </w:r>
    </w:p>
    <w:p w:rsidR="00C803B1" w:rsidRDefault="00C803B1" w:rsidP="00C803B1">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 xml:space="preserve">La certificación de Competencia Laboral de la titular de la UIPPE, emitida por el Instituto Hacendario del Estado de México. </w:t>
      </w:r>
    </w:p>
    <w:p w:rsidR="00C803B1" w:rsidRDefault="00C803B1" w:rsidP="00C803B1">
      <w:pPr>
        <w:pStyle w:val="Prrafodelista"/>
        <w:spacing w:before="240" w:after="240" w:line="360" w:lineRule="auto"/>
        <w:ind w:left="72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Unidad de Transparencia:</w:t>
      </w:r>
    </w:p>
    <w:p w:rsidR="00C803B1" w:rsidRDefault="00C803B1" w:rsidP="00475022">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C803B1">
        <w:rPr>
          <w:rFonts w:ascii="Palatino Linotype" w:eastAsia="Palatino Linotype" w:hAnsi="Palatino Linotype" w:cs="Palatino Linotype"/>
          <w:sz w:val="24"/>
          <w:szCs w:val="24"/>
        </w:rPr>
        <w:t>Las actas de todas las sesiones ordinarias y extraordinarias del Comité de Transparencia, correspondientes a los años 2019, 2020 y 2021</w:t>
      </w:r>
      <w:r>
        <w:rPr>
          <w:rFonts w:ascii="Palatino Linotype" w:eastAsia="Palatino Linotype" w:hAnsi="Palatino Linotype" w:cs="Palatino Linotype"/>
          <w:sz w:val="24"/>
          <w:szCs w:val="24"/>
        </w:rPr>
        <w:t>.</w:t>
      </w:r>
    </w:p>
    <w:p w:rsidR="00C803B1" w:rsidRPr="00C803B1" w:rsidRDefault="00C803B1" w:rsidP="00475022">
      <w:pPr>
        <w:pStyle w:val="Prrafodelista"/>
        <w:numPr>
          <w:ilvl w:val="0"/>
          <w:numId w:val="12"/>
        </w:numPr>
        <w:spacing w:before="240" w:after="240" w:line="360" w:lineRule="auto"/>
        <w:jc w:val="both"/>
        <w:rPr>
          <w:rFonts w:ascii="Palatino Linotype" w:eastAsia="Palatino Linotype" w:hAnsi="Palatino Linotype" w:cs="Palatino Linotype"/>
          <w:sz w:val="24"/>
          <w:szCs w:val="24"/>
        </w:rPr>
      </w:pPr>
      <w:r w:rsidRPr="00C803B1">
        <w:rPr>
          <w:rFonts w:ascii="Palatino Linotype" w:eastAsia="Palatino Linotype" w:hAnsi="Palatino Linotype" w:cs="Palatino Linotype"/>
          <w:sz w:val="24"/>
          <w:szCs w:val="24"/>
        </w:rPr>
        <w:t>La relación de enlaces de transparencia del Sujeto Obligado, su nombramiento, y fecha en que les fue entregados usuarios y contraseñas.</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así de la siguiente información:</w:t>
      </w:r>
    </w:p>
    <w:p w:rsidR="00C803B1" w:rsidRDefault="00C803B1" w:rsidP="00C803B1">
      <w:pPr>
        <w:pStyle w:val="Prrafodelista"/>
        <w:numPr>
          <w:ilvl w:val="0"/>
          <w:numId w:val="13"/>
        </w:numPr>
        <w:spacing w:before="240" w:after="240" w:line="360" w:lineRule="auto"/>
        <w:jc w:val="both"/>
        <w:rPr>
          <w:rFonts w:ascii="Palatino Linotype" w:eastAsia="Palatino Linotype" w:hAnsi="Palatino Linotype" w:cs="Palatino Linotype"/>
          <w:sz w:val="24"/>
          <w:szCs w:val="24"/>
        </w:rPr>
      </w:pPr>
      <w:r w:rsidRPr="00941F89">
        <w:rPr>
          <w:rFonts w:ascii="Palatino Linotype" w:eastAsia="Palatino Linotype" w:hAnsi="Palatino Linotype" w:cs="Palatino Linotype"/>
          <w:sz w:val="24"/>
          <w:szCs w:val="24"/>
        </w:rPr>
        <w:t>Las actas de todas las sesiones ordinarias y extraordinarias del Comité de Transparencia, correspondientes a</w:t>
      </w:r>
      <w:r>
        <w:rPr>
          <w:rFonts w:ascii="Palatino Linotype" w:eastAsia="Palatino Linotype" w:hAnsi="Palatino Linotype" w:cs="Palatino Linotype"/>
          <w:sz w:val="24"/>
          <w:szCs w:val="24"/>
        </w:rPr>
        <w:t>l primero de enero al veintidós de febrero del año 2022</w:t>
      </w:r>
      <w:r w:rsidRPr="00941F8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w:t>
      </w:r>
      <w:r w:rsidRPr="00941F89">
        <w:rPr>
          <w:rFonts w:ascii="Palatino Linotype" w:eastAsia="Palatino Linotype" w:hAnsi="Palatino Linotype" w:cs="Palatino Linotype"/>
          <w:sz w:val="24"/>
          <w:szCs w:val="24"/>
        </w:rPr>
        <w:t xml:space="preserve">fecha </w:t>
      </w:r>
      <w:r>
        <w:rPr>
          <w:rFonts w:ascii="Palatino Linotype" w:eastAsia="Palatino Linotype" w:hAnsi="Palatino Linotype" w:cs="Palatino Linotype"/>
          <w:sz w:val="24"/>
          <w:szCs w:val="24"/>
        </w:rPr>
        <w:t xml:space="preserve">de ingreso de esta solicitud). </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w:t>
      </w:r>
      <w:r w:rsidR="00BF1252">
        <w:rPr>
          <w:rFonts w:ascii="Palatino Linotype" w:eastAsia="Palatino Linotype" w:hAnsi="Palatino Linotype" w:cs="Palatino Linotype"/>
        </w:rPr>
        <w:t>ya que,</w:t>
      </w:r>
      <w:r>
        <w:rPr>
          <w:rFonts w:ascii="Palatino Linotype" w:eastAsia="Palatino Linotype" w:hAnsi="Palatino Linotype" w:cs="Palatino Linotype"/>
        </w:rPr>
        <w:t xml:space="preserve"> de los motivos de inconformidad </w:t>
      </w:r>
      <w:r w:rsidR="00BF1252">
        <w:rPr>
          <w:rFonts w:ascii="Palatino Linotype" w:eastAsia="Palatino Linotype" w:hAnsi="Palatino Linotype" w:cs="Palatino Linotype"/>
        </w:rPr>
        <w:t>d</w:t>
      </w:r>
      <w:r>
        <w:rPr>
          <w:rFonts w:ascii="Palatino Linotype" w:eastAsia="Palatino Linotype" w:hAnsi="Palatino Linotype" w:cs="Palatino Linotype"/>
        </w:rPr>
        <w:t xml:space="preserve">el </w:t>
      </w:r>
      <w:r w:rsidRPr="00BF1252">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inconforma </w:t>
      </w:r>
      <w:r w:rsidR="00BF1252">
        <w:rPr>
          <w:rFonts w:ascii="Palatino Linotype" w:eastAsia="Palatino Linotype" w:hAnsi="Palatino Linotype" w:cs="Palatino Linotype"/>
        </w:rPr>
        <w:t xml:space="preserve">por el pago de una información </w:t>
      </w:r>
      <w:r w:rsidR="000D004A">
        <w:rPr>
          <w:rFonts w:ascii="Palatino Linotype" w:eastAsia="Palatino Linotype" w:hAnsi="Palatino Linotype" w:cs="Palatino Linotype"/>
        </w:rPr>
        <w:t>que requirió</w:t>
      </w:r>
      <w:r w:rsidR="00BF1252">
        <w:rPr>
          <w:rFonts w:ascii="Palatino Linotype" w:eastAsia="Palatino Linotype" w:hAnsi="Palatino Linotype" w:cs="Palatino Linotype"/>
        </w:rPr>
        <w:t xml:space="preserve"> el Titular de la Unidad de Transparencia por</w:t>
      </w:r>
      <w:r w:rsidR="000D004A">
        <w:rPr>
          <w:rFonts w:ascii="Palatino Linotype" w:eastAsia="Palatino Linotype" w:hAnsi="Palatino Linotype" w:cs="Palatino Linotype"/>
        </w:rPr>
        <w:t xml:space="preserve"> concepto de</w:t>
      </w:r>
      <w:r w:rsidR="00BF1252">
        <w:rPr>
          <w:rFonts w:ascii="Palatino Linotype" w:eastAsia="Palatino Linotype" w:hAnsi="Palatino Linotype" w:cs="Palatino Linotype"/>
        </w:rPr>
        <w:t xml:space="preserve"> escaneo y digitalización de la información. </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803B1" w:rsidRDefault="00C803B1" w:rsidP="00C803B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Recurrente, ya que no pueden producirse efectos jurídicos tendentes a revocar, confirmar o modificar la parte de la respuesta con </w:t>
      </w:r>
      <w:r>
        <w:rPr>
          <w:rFonts w:ascii="Palatino Linotype" w:eastAsia="Palatino Linotype" w:hAnsi="Palatino Linotype" w:cs="Palatino Linotype"/>
        </w:rPr>
        <w:lastRenderedPageBreak/>
        <w:t>relación a la parte de la solicitud que no fue motivo de inconformidad ya que se infiere un consentimiento de la recurrente ante la falta de impugnación eficaz.</w:t>
      </w:r>
    </w:p>
    <w:p w:rsidR="00C803B1" w:rsidRDefault="00C803B1" w:rsidP="00C803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C803B1" w:rsidRDefault="00C803B1" w:rsidP="00C803B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0B6B9B" w:rsidRDefault="000D004A" w:rsidP="00BF125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w:t>
      </w:r>
      <w:r w:rsidR="00ED40D4">
        <w:rPr>
          <w:rFonts w:ascii="Palatino Linotype" w:eastAsia="Palatino Linotype" w:hAnsi="Palatino Linotype" w:cs="Palatino Linotype"/>
        </w:rPr>
        <w:t xml:space="preserve">or ello, el presente estudio versará sobre el cobro y el cambio de modalidad para </w:t>
      </w:r>
      <w:r>
        <w:rPr>
          <w:rFonts w:ascii="Palatino Linotype" w:eastAsia="Palatino Linotype" w:hAnsi="Palatino Linotype" w:cs="Palatino Linotype"/>
        </w:rPr>
        <w:t xml:space="preserve">hacer entrega de la información </w:t>
      </w:r>
      <w:r>
        <w:rPr>
          <w:rFonts w:ascii="Palatino Linotype" w:eastAsia="Palatino Linotype" w:hAnsi="Palatino Linotype" w:cs="Palatino Linotype"/>
          <w:color w:val="000000"/>
        </w:rPr>
        <w:t>de l</w:t>
      </w:r>
      <w:r w:rsidRPr="00BF1252">
        <w:rPr>
          <w:rFonts w:ascii="Palatino Linotype" w:eastAsia="Palatino Linotype" w:hAnsi="Palatino Linotype" w:cs="Palatino Linotype"/>
        </w:rPr>
        <w:t xml:space="preserve">as actas de todas las sesiones ordinarias y extraordinarias del Comité de Transparencia, correspondientes al primero de enero al veintidós de febrero del año 2022 (fecha </w:t>
      </w:r>
      <w:r>
        <w:rPr>
          <w:rFonts w:ascii="Palatino Linotype" w:eastAsia="Palatino Linotype" w:hAnsi="Palatino Linotype" w:cs="Palatino Linotype"/>
        </w:rPr>
        <w:t xml:space="preserve">de ingreso de esta solicitud), de las cuales el Titular de la Unidad de Transparencia, requirió el cobro de </w:t>
      </w:r>
      <w:r w:rsidRPr="007D0729">
        <w:rPr>
          <w:rFonts w:ascii="Palatino Linotype" w:eastAsia="Palatino Linotype" w:hAnsi="Palatino Linotype" w:cs="Palatino Linotype"/>
          <w:color w:val="000000"/>
        </w:rPr>
        <w:t>$579.04 (Quinientos setenta y nueve pesos 04/100 M.N.)</w:t>
      </w:r>
      <w:r>
        <w:rPr>
          <w:rFonts w:ascii="Palatino Linotype" w:eastAsia="Palatino Linotype" w:hAnsi="Palatino Linotype" w:cs="Palatino Linotype"/>
          <w:color w:val="000000"/>
        </w:rPr>
        <w:t>, para el escaneo y digitalización.</w:t>
      </w:r>
    </w:p>
    <w:p w:rsidR="000B6B9B" w:rsidRDefault="000B6B9B">
      <w:pPr>
        <w:spacing w:line="360" w:lineRule="auto"/>
        <w:ind w:right="49"/>
        <w:jc w:val="both"/>
        <w:rPr>
          <w:rFonts w:ascii="Palatino Linotype" w:eastAsia="Palatino Linotype" w:hAnsi="Palatino Linotype" w:cs="Palatino Linotype"/>
        </w:rPr>
      </w:pPr>
    </w:p>
    <w:p w:rsidR="000B6B9B" w:rsidRDefault="00BF125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cobro para el escaneo y digitalización de la información</w:t>
      </w:r>
      <w:r w:rsidR="00ED40D4">
        <w:rPr>
          <w:rFonts w:ascii="Palatino Linotype" w:eastAsia="Palatino Linotype" w:hAnsi="Palatino Linotype" w:cs="Palatino Linotype"/>
        </w:rPr>
        <w:t xml:space="preserve">, hecho valer por el </w:t>
      </w:r>
      <w:r w:rsidR="00ED40D4">
        <w:rPr>
          <w:rFonts w:ascii="Palatino Linotype" w:eastAsia="Palatino Linotype" w:hAnsi="Palatino Linotype" w:cs="Palatino Linotype"/>
          <w:b/>
        </w:rPr>
        <w:t>SUJETO OBLIGADO</w:t>
      </w:r>
      <w:r w:rsidR="00ED40D4">
        <w:rPr>
          <w:rFonts w:ascii="Palatino Linotype" w:eastAsia="Palatino Linotype" w:hAnsi="Palatino Linotype" w:cs="Palatino Linotype"/>
        </w:rPr>
        <w:t xml:space="preserve">,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w:t>
      </w:r>
      <w:r w:rsidR="00ED40D4">
        <w:rPr>
          <w:rFonts w:ascii="Palatino Linotype" w:eastAsia="Palatino Linotype" w:hAnsi="Palatino Linotype" w:cs="Palatino Linotype"/>
        </w:rPr>
        <w:lastRenderedPageBreak/>
        <w:t xml:space="preserve">acceso universal, de máxima publicidad, </w:t>
      </w:r>
      <w:r w:rsidR="00ED40D4">
        <w:rPr>
          <w:rFonts w:ascii="Palatino Linotype" w:eastAsia="Palatino Linotype" w:hAnsi="Palatino Linotype" w:cs="Palatino Linotype"/>
          <w:i/>
        </w:rPr>
        <w:t>de gratuidad</w:t>
      </w:r>
      <w:r w:rsidR="00ED40D4">
        <w:rPr>
          <w:rFonts w:ascii="Palatino Linotype" w:eastAsia="Palatino Linotype" w:hAnsi="Palatino Linotype" w:cs="Palatino Linotype"/>
        </w:rPr>
        <w:t>, de certeza, de celeridad, de objetividad,  entre otros.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i/>
        </w:rPr>
        <w:t xml:space="preserve">reproducción </w:t>
      </w:r>
      <w:r>
        <w:rPr>
          <w:rFonts w:ascii="Palatino Linotype" w:eastAsia="Palatino Linotype" w:hAnsi="Palatino Linotype" w:cs="Palatino Linotype"/>
        </w:rPr>
        <w:t xml:space="preserve">de la información, y en su caso del costo de </w:t>
      </w:r>
      <w:r>
        <w:rPr>
          <w:rFonts w:ascii="Palatino Linotype" w:eastAsia="Palatino Linotype" w:hAnsi="Palatino Linotype" w:cs="Palatino Linotype"/>
          <w:i/>
        </w:rPr>
        <w:t>envío</w:t>
      </w:r>
      <w:r>
        <w:rPr>
          <w:rFonts w:ascii="Palatino Linotype" w:eastAsia="Palatino Linotype" w:hAnsi="Palatino Linotype" w:cs="Palatino Linotype"/>
        </w:rPr>
        <w:t>, finalmente, conlleva implícitamente un esfuerzo por parte de los Sujetos Obligados para reducir los costos de entrega de la información.</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i/>
        </w:rPr>
        <w:t>gratuitos</w:t>
      </w:r>
      <w:r>
        <w:rPr>
          <w:rFonts w:ascii="Palatino Linotype" w:eastAsia="Palatino Linotype" w:hAnsi="Palatino Linotype" w:cs="Palatino Linotype"/>
        </w:rPr>
        <w:t xml:space="preserve">,  refiere en los artículos 17 y 150, que la búsqueda y acceso a la información es gratuita y </w:t>
      </w:r>
      <w:r>
        <w:rPr>
          <w:rFonts w:ascii="Palatino Linotype" w:eastAsia="Palatino Linotype" w:hAnsi="Palatino Linotype" w:cs="Palatino Linotype"/>
          <w:i/>
        </w:rPr>
        <w:t>sólo se cubrirá en su caso, los gastos de reproducción</w:t>
      </w:r>
      <w:r>
        <w:rPr>
          <w:rFonts w:ascii="Palatino Linotype" w:eastAsia="Palatino Linotype" w:hAnsi="Palatino Linotype" w:cs="Palatino Linotype"/>
        </w:rPr>
        <w:t xml:space="preserve">, por la modalidad de entrega solicitada, </w:t>
      </w:r>
      <w:r>
        <w:rPr>
          <w:rFonts w:ascii="Palatino Linotype" w:eastAsia="Palatino Linotype" w:hAnsi="Palatino Linotype" w:cs="Palatino Linotype"/>
          <w:i/>
        </w:rPr>
        <w:t>o por él envió</w:t>
      </w:r>
      <w:r>
        <w:rPr>
          <w:rFonts w:ascii="Palatino Linotype" w:eastAsia="Palatino Linotype" w:hAnsi="Palatino Linotype" w:cs="Palatino Linotype"/>
        </w:rPr>
        <w:t xml:space="preserve"> 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rPr>
        <w:t>se rige por los principios de simplicidad, rapidez, gratuidad,</w:t>
      </w:r>
      <w:r>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Pr>
          <w:rFonts w:ascii="Palatino Linotype" w:eastAsia="Palatino Linotype" w:hAnsi="Palatino Linotype" w:cs="Palatino Linotype"/>
          <w:i/>
        </w:rPr>
        <w:t>en caso de que se tenga que generar un gasto por la reproducción, por el envío, o por la modalidad de entrega solicitada,</w:t>
      </w:r>
      <w:r>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 </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rsidR="000B6B9B" w:rsidRDefault="00ED40D4">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Gratuidad: </w:t>
      </w:r>
      <w:r>
        <w:rPr>
          <w:rFonts w:ascii="Palatino Linotype" w:eastAsia="Palatino Linotype" w:hAnsi="Palatino Linotype" w:cs="Palatino Linotype"/>
          <w:i/>
          <w:sz w:val="22"/>
          <w:szCs w:val="22"/>
        </w:rPr>
        <w:t xml:space="preserve">Consiste en que el acceso a la información pública no genera costo alguno para los solicitantes, </w:t>
      </w:r>
      <w:r>
        <w:rPr>
          <w:rFonts w:ascii="Palatino Linotype" w:eastAsia="Palatino Linotype" w:hAnsi="Palatino Linotype" w:cs="Palatino Linotype"/>
          <w:b/>
          <w:i/>
          <w:sz w:val="22"/>
          <w:szCs w:val="22"/>
        </w:rPr>
        <w:t xml:space="preserve">sólo podrá requerirse el cobro correspondiente a la modalidad de reproducción y entrega solicitada </w:t>
      </w:r>
      <w:r>
        <w:rPr>
          <w:rFonts w:ascii="Palatino Linotype" w:eastAsia="Palatino Linotype" w:hAnsi="Palatino Linotype" w:cs="Palatino Linotype"/>
          <w:i/>
          <w:sz w:val="22"/>
          <w:szCs w:val="22"/>
        </w:rPr>
        <w:t>conforme a lo establecido en la presente Ley y demás disposiciones jurídicas aplicables;</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 </w:t>
      </w:r>
      <w:r>
        <w:rPr>
          <w:rFonts w:ascii="Palatino Linotype" w:eastAsia="Palatino Linotype" w:hAnsi="Palatino Linotype" w:cs="Palatino Linotype"/>
          <w:i/>
          <w:sz w:val="22"/>
          <w:szCs w:val="22"/>
        </w:rPr>
        <w:t xml:space="preserve">La búsqueda y acceso a la información es gratuita y </w:t>
      </w:r>
      <w:r>
        <w:rPr>
          <w:rFonts w:ascii="Palatino Linotype" w:eastAsia="Palatino Linotype" w:hAnsi="Palatino Linotype" w:cs="Palatino Linotype"/>
          <w:b/>
          <w:i/>
          <w:sz w:val="22"/>
          <w:szCs w:val="22"/>
        </w:rPr>
        <w:t>solo se cubrirán los gastos de reproducción, o por la modalidad de entrega solicitada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 por el envío</w:t>
      </w:r>
      <w:r>
        <w:rPr>
          <w:rFonts w:ascii="Palatino Linotype" w:eastAsia="Palatino Linotype" w:hAnsi="Palatino Linotype" w:cs="Palatino Linotype"/>
          <w:i/>
          <w:sz w:val="22"/>
          <w:szCs w:val="22"/>
        </w:rPr>
        <w:t>, que en su caso se genere, de conformidad con los derechos, productos y aprovechamientos establecidos en la legislación aplicable, sin que exceda de los límites establecidos en la presente Ley.</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 …</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que se entregue en versión pública, </w:t>
      </w:r>
      <w:r>
        <w:rPr>
          <w:rFonts w:ascii="Palatino Linotype" w:eastAsia="Palatino Linotype" w:hAnsi="Palatino Linotype" w:cs="Palatino Linotype"/>
          <w:b/>
          <w:i/>
          <w:sz w:val="22"/>
          <w:szCs w:val="22"/>
        </w:rPr>
        <w:t xml:space="preserve">cuya modalidad de reproducción o envío tenga un costo, </w:t>
      </w:r>
      <w:r>
        <w:rPr>
          <w:rFonts w:ascii="Palatino Linotype" w:eastAsia="Palatino Linotype" w:hAnsi="Palatino Linotype" w:cs="Palatino Linotype"/>
          <w:i/>
          <w:sz w:val="22"/>
          <w:szCs w:val="22"/>
        </w:rPr>
        <w:t>procederá una vez que se acredite el pago respectivo. No puede entenderse como reproducción la elaboración de la misma.</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174. En caso de existir costos para obtener la información</w:t>
      </w:r>
      <w:r>
        <w:rPr>
          <w:rFonts w:ascii="Palatino Linotype" w:eastAsia="Palatino Linotype" w:hAnsi="Palatino Linotype" w:cs="Palatino Linotype"/>
          <w:i/>
          <w:sz w:val="22"/>
          <w:szCs w:val="22"/>
        </w:rPr>
        <w:t xml:space="preserve"> deberán cubrirse de manera previa a la entrega y </w:t>
      </w:r>
      <w:r>
        <w:rPr>
          <w:rFonts w:ascii="Palatino Linotype" w:eastAsia="Palatino Linotype" w:hAnsi="Palatino Linotype" w:cs="Palatino Linotype"/>
          <w:b/>
          <w:i/>
          <w:sz w:val="22"/>
          <w:szCs w:val="22"/>
        </w:rPr>
        <w:t>no podrán ser superiores a la suma de</w:t>
      </w:r>
      <w:r>
        <w:rPr>
          <w:rFonts w:ascii="Palatino Linotype" w:eastAsia="Palatino Linotype" w:hAnsi="Palatino Linotype" w:cs="Palatino Linotype"/>
          <w:i/>
          <w:sz w:val="22"/>
          <w:szCs w:val="22"/>
        </w:rPr>
        <w:t>:</w:t>
      </w:r>
    </w:p>
    <w:p w:rsidR="000B6B9B" w:rsidRDefault="000B6B9B">
      <w:pPr>
        <w:spacing w:before="120" w:after="120"/>
        <w:ind w:left="851" w:right="902"/>
        <w:jc w:val="both"/>
        <w:rPr>
          <w:rFonts w:ascii="Palatino Linotype" w:eastAsia="Palatino Linotype" w:hAnsi="Palatino Linotype" w:cs="Palatino Linotype"/>
          <w:i/>
          <w:sz w:val="22"/>
          <w:szCs w:val="22"/>
        </w:rPr>
      </w:pP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los materiales utilizados en la reproducción</w:t>
      </w:r>
      <w:r>
        <w:rPr>
          <w:rFonts w:ascii="Palatino Linotype" w:eastAsia="Palatino Linotype" w:hAnsi="Palatino Linotype" w:cs="Palatino Linotype"/>
          <w:i/>
          <w:sz w:val="22"/>
          <w:szCs w:val="22"/>
        </w:rPr>
        <w:t xml:space="preserve"> de la información;</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envío</w:t>
      </w:r>
      <w:r>
        <w:rPr>
          <w:rFonts w:ascii="Palatino Linotype" w:eastAsia="Palatino Linotype" w:hAnsi="Palatino Linotype" w:cs="Palatino Linotype"/>
          <w:i/>
          <w:sz w:val="22"/>
          <w:szCs w:val="22"/>
        </w:rPr>
        <w:t>, en su caso; y</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pago de la certificación de los documentos</w:t>
      </w:r>
      <w:r>
        <w:rPr>
          <w:rFonts w:ascii="Palatino Linotype" w:eastAsia="Palatino Linotype" w:hAnsi="Palatino Linotype" w:cs="Palatino Linotype"/>
          <w:i/>
          <w:sz w:val="22"/>
          <w:szCs w:val="22"/>
        </w:rPr>
        <w:t>, cuando proceda.</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cuotas de los derechos aplicables deberán establecerse, en su caso, en el </w:t>
      </w:r>
      <w:r>
        <w:rPr>
          <w:rFonts w:ascii="Palatino Linotype" w:eastAsia="Palatino Linotype" w:hAnsi="Palatino Linotype" w:cs="Palatino Linotype"/>
          <w:b/>
          <w:i/>
          <w:sz w:val="22"/>
          <w:szCs w:val="22"/>
        </w:rPr>
        <w:t>Código Financiero del Estado de México y Municipios</w:t>
      </w:r>
      <w:r>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rsidR="000B6B9B" w:rsidRDefault="00ED40D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r>
        <w:rPr>
          <w:rFonts w:ascii="Palatino Linotype" w:eastAsia="Palatino Linotype" w:hAnsi="Palatino Linotype" w:cs="Palatino Linotype"/>
          <w:i/>
          <w:sz w:val="22"/>
          <w:szCs w:val="22"/>
        </w:rPr>
        <w:t xml:space="preserve"> </w:t>
      </w:r>
    </w:p>
    <w:p w:rsidR="000B6B9B" w:rsidRDefault="00ED40D4">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En ningún caso, el pago de derechos deberá exceder el costo de reproducción de la información en el material solicitado</w:t>
      </w:r>
      <w:r>
        <w:rPr>
          <w:rFonts w:ascii="Palatino Linotype" w:eastAsia="Palatino Linotype" w:hAnsi="Palatino Linotype" w:cs="Palatino Linotype"/>
          <w:i/>
          <w:sz w:val="22"/>
          <w:szCs w:val="22"/>
        </w:rPr>
        <w:t>. Los ajustes razonables que se realicen para el acceso de la información de solicitantes con discapacidad serán sin costo para los mismos</w:t>
      </w:r>
      <w:r w:rsidR="00AE7857">
        <w:rPr>
          <w:rFonts w:ascii="Palatino Linotype" w:eastAsia="Palatino Linotype" w:hAnsi="Palatino Linotype" w:cs="Palatino Linotype"/>
          <w:i/>
          <w:sz w:val="22"/>
          <w:szCs w:val="22"/>
        </w:rPr>
        <w:t>.” (</w:t>
      </w:r>
      <w:r>
        <w:rPr>
          <w:rFonts w:ascii="Palatino Linotype" w:eastAsia="Palatino Linotype" w:hAnsi="Palatino Linotype" w:cs="Palatino Linotype"/>
          <w:i/>
          <w:sz w:val="22"/>
          <w:szCs w:val="22"/>
        </w:rPr>
        <w:t>Sic)</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palabras, con la finalidad de satisfacer la solicitud, no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reproducción física de la información que conserva en sus archivos, más bien implicaría entregar aquellos documentos que por su naturaleza posee en formato electrónico, y en su caso, la digitalización o escaneo de aquella que se encuentre </w:t>
      </w:r>
      <w:r w:rsidR="00AE7857">
        <w:rPr>
          <w:rFonts w:ascii="Palatino Linotype" w:eastAsia="Palatino Linotype" w:hAnsi="Palatino Linotype" w:cs="Palatino Linotype"/>
        </w:rPr>
        <w:t>en medio físico.</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contrario a lo sostenido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la información a través del SAIMEX, como así lo requirió la particular, no conlleva la </w:t>
      </w:r>
      <w:r>
        <w:rPr>
          <w:rFonts w:ascii="Palatino Linotype" w:eastAsia="Palatino Linotype" w:hAnsi="Palatino Linotype" w:cs="Palatino Linotype"/>
        </w:rPr>
        <w:lastRenderedPageBreak/>
        <w:t xml:space="preserve">utilización de materiales que le generen un costo, como podría serlo por ejemplo hojas de papel para la emisión de copias; así tampoco se genera un gasto por él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w:t>
      </w:r>
      <w:r w:rsidR="00AE7857">
        <w:rPr>
          <w:rFonts w:ascii="Palatino Linotype" w:eastAsia="Palatino Linotype" w:hAnsi="Palatino Linotype" w:cs="Palatino Linotype"/>
        </w:rPr>
        <w:t>escaneo y digitalización de la información</w:t>
      </w:r>
      <w:r>
        <w:rPr>
          <w:rFonts w:ascii="Palatino Linotype" w:eastAsia="Palatino Linotype" w:hAnsi="Palatino Linotype" w:cs="Palatino Linotype"/>
        </w:rPr>
        <w:t>.</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no existe presupuesto jurídico que autorice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óptica, el derecho del particular de acceder a los documentos que obran en posesión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w:t>
      </w:r>
      <w:r>
        <w:rPr>
          <w:rFonts w:ascii="Palatino Linotype" w:eastAsia="Palatino Linotype" w:hAnsi="Palatino Linotype" w:cs="Palatino Linotype"/>
        </w:rPr>
        <w:lastRenderedPageBreak/>
        <w:t>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262D3" w:rsidRDefault="009262D3" w:rsidP="009262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Máxime, </w:t>
      </w:r>
      <w:r w:rsidR="00ED78AE">
        <w:rPr>
          <w:rFonts w:ascii="Palatino Linotype" w:eastAsia="Palatino Linotype" w:hAnsi="Palatino Linotype" w:cs="Palatino Linotype"/>
        </w:rPr>
        <w:t>que,</w:t>
      </w:r>
      <w:r>
        <w:rPr>
          <w:rFonts w:ascii="Palatino Linotype" w:eastAsia="Palatino Linotype" w:hAnsi="Palatino Linotype" w:cs="Palatino Linotype"/>
        </w:rPr>
        <w:t xml:space="preserve"> respecto de las </w:t>
      </w:r>
      <w:r w:rsidRPr="00BF1252">
        <w:rPr>
          <w:rFonts w:ascii="Palatino Linotype" w:eastAsia="Palatino Linotype" w:hAnsi="Palatino Linotype" w:cs="Palatino Linotype"/>
        </w:rPr>
        <w:t>sesiones ordinarias y extraordinarias del Comité de Transparencia</w:t>
      </w:r>
      <w:r>
        <w:rPr>
          <w:rFonts w:ascii="Palatino Linotype" w:eastAsia="Palatino Linotype" w:hAnsi="Palatino Linotype" w:cs="Palatino Linotype"/>
        </w:rPr>
        <w:t>, es una obligación de transparencia común del Ayuntamiento de Toluca, en términos del artículo 92 fracción XLIII, que señala:</w:t>
      </w:r>
    </w:p>
    <w:p w:rsidR="009262D3" w:rsidRPr="00AE7857" w:rsidRDefault="009262D3" w:rsidP="009262D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E7857">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262D3" w:rsidRPr="00AE7857" w:rsidRDefault="009262D3" w:rsidP="009262D3">
      <w:pPr>
        <w:spacing w:before="120" w:after="120"/>
        <w:ind w:left="1134" w:right="902"/>
        <w:jc w:val="both"/>
        <w:rPr>
          <w:rFonts w:ascii="Palatino Linotype" w:eastAsia="Palatino Linotype" w:hAnsi="Palatino Linotype" w:cs="Palatino Linotype"/>
          <w:i/>
          <w:sz w:val="22"/>
          <w:szCs w:val="22"/>
        </w:rPr>
      </w:pPr>
      <w:r w:rsidRPr="00AE7857">
        <w:rPr>
          <w:rFonts w:ascii="Palatino Linotype" w:eastAsia="Palatino Linotype" w:hAnsi="Palatino Linotype" w:cs="Palatino Linotype"/>
          <w:i/>
          <w:sz w:val="22"/>
          <w:szCs w:val="22"/>
        </w:rPr>
        <w:t>…</w:t>
      </w:r>
    </w:p>
    <w:p w:rsidR="009262D3" w:rsidRPr="00AE7857" w:rsidRDefault="009262D3" w:rsidP="009262D3">
      <w:pPr>
        <w:spacing w:before="120" w:after="120"/>
        <w:ind w:left="1134" w:right="902"/>
        <w:jc w:val="both"/>
        <w:rPr>
          <w:rFonts w:ascii="Palatino Linotype" w:eastAsia="Palatino Linotype" w:hAnsi="Palatino Linotype" w:cs="Palatino Linotype"/>
          <w:i/>
          <w:sz w:val="22"/>
          <w:szCs w:val="22"/>
        </w:rPr>
      </w:pPr>
      <w:r w:rsidRPr="00AE7857">
        <w:rPr>
          <w:rFonts w:ascii="Palatino Linotype" w:eastAsia="Palatino Linotype" w:hAnsi="Palatino Linotype" w:cs="Palatino Linotype"/>
          <w:i/>
          <w:sz w:val="22"/>
          <w:szCs w:val="22"/>
        </w:rPr>
        <w:t>XLIII. Las actas y resoluciones del Comité de Transpa</w:t>
      </w:r>
      <w:r>
        <w:rPr>
          <w:rFonts w:ascii="Palatino Linotype" w:eastAsia="Palatino Linotype" w:hAnsi="Palatino Linotype" w:cs="Palatino Linotype"/>
          <w:i/>
          <w:sz w:val="22"/>
          <w:szCs w:val="22"/>
        </w:rPr>
        <w:t>rencia de los sujetos obligados…” (Sic)</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los cuales lo procedente es ordenar a través del SAIMEX, </w:t>
      </w:r>
      <w:r w:rsidR="00AE7857">
        <w:rPr>
          <w:rFonts w:ascii="Palatino Linotype" w:eastAsia="Palatino Linotype" w:hAnsi="Palatino Linotype" w:cs="Palatino Linotype"/>
          <w:color w:val="000000"/>
        </w:rPr>
        <w:t>l</w:t>
      </w:r>
      <w:r w:rsidR="00AE7857" w:rsidRPr="00BF1252">
        <w:rPr>
          <w:rFonts w:ascii="Palatino Linotype" w:eastAsia="Palatino Linotype" w:hAnsi="Palatino Linotype" w:cs="Palatino Linotype"/>
        </w:rPr>
        <w:t xml:space="preserve">as actas de todas las sesiones ordinarias y extraordinarias del Comité de Transparencia, correspondientes al primero de enero al veintidós de febrero del año 2022 (fecha </w:t>
      </w:r>
      <w:r w:rsidR="00AE7857">
        <w:rPr>
          <w:rFonts w:ascii="Palatino Linotype" w:eastAsia="Palatino Linotype" w:hAnsi="Palatino Linotype" w:cs="Palatino Linotype"/>
        </w:rPr>
        <w:t>de ingreso de esta solicitud)</w:t>
      </w:r>
      <w:r>
        <w:rPr>
          <w:rFonts w:ascii="Palatino Linotype" w:eastAsia="Palatino Linotype" w:hAnsi="Palatino Linotype" w:cs="Palatino Linotype"/>
        </w:rPr>
        <w:t xml:space="preserve"> y der ser procedente en versión pública conforme a lo señalado por el Considerando quinto del presente fallo.   </w:t>
      </w: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sobr</w:t>
      </w:r>
      <w:r w:rsidR="009262D3">
        <w:rPr>
          <w:rFonts w:ascii="Palatino Linotype" w:eastAsia="Palatino Linotype" w:hAnsi="Palatino Linotype" w:cs="Palatino Linotype"/>
        </w:rPr>
        <w:t>e el motivo de inconformidad d</w:t>
      </w:r>
      <w:r w:rsidR="007F7775">
        <w:rPr>
          <w:rFonts w:ascii="Palatino Linotype" w:eastAsia="Palatino Linotype" w:hAnsi="Palatino Linotype" w:cs="Palatino Linotype"/>
        </w:rPr>
        <w:t xml:space="preserve">el </w:t>
      </w:r>
      <w:r w:rsidR="007F7775" w:rsidRPr="009262D3">
        <w:rPr>
          <w:rFonts w:ascii="Palatino Linotype" w:eastAsia="Palatino Linotype" w:hAnsi="Palatino Linotype" w:cs="Palatino Linotype"/>
          <w:b/>
        </w:rPr>
        <w:t>RECURRENTE</w:t>
      </w:r>
      <w:r>
        <w:rPr>
          <w:rFonts w:ascii="Palatino Linotype" w:eastAsia="Palatino Linotype" w:hAnsi="Palatino Linotype" w:cs="Palatino Linotype"/>
        </w:rPr>
        <w:t xml:space="preserve">, en donde señala </w:t>
      </w:r>
      <w:r>
        <w:rPr>
          <w:rFonts w:ascii="Palatino Linotype" w:eastAsia="Palatino Linotype" w:hAnsi="Palatino Linotype" w:cs="Palatino Linotype"/>
          <w:i/>
        </w:rPr>
        <w:t>“…</w:t>
      </w:r>
      <w:r w:rsidR="009262D3" w:rsidRPr="009262D3">
        <w:rPr>
          <w:rFonts w:ascii="Palatino Linotype" w:eastAsia="Palatino Linotype" w:hAnsi="Palatino Linotype" w:cs="Palatino Linotype"/>
          <w:i/>
        </w:rPr>
        <w:t>No me entregaron los oficios de respuesta de las áreas a las que fue turnada la solicitud</w:t>
      </w:r>
      <w:r w:rsidR="009262D3">
        <w:rPr>
          <w:rFonts w:ascii="Palatino Linotype" w:eastAsia="Palatino Linotype" w:hAnsi="Palatino Linotype" w:cs="Palatino Linotype"/>
          <w:i/>
        </w:rPr>
        <w:t>.</w:t>
      </w:r>
      <w:r>
        <w:rPr>
          <w:rFonts w:ascii="Palatino Linotype" w:eastAsia="Palatino Linotype" w:hAnsi="Palatino Linotype" w:cs="Palatino Linotype"/>
          <w:i/>
        </w:rPr>
        <w:t>”</w:t>
      </w:r>
      <w:r>
        <w:rPr>
          <w:rFonts w:ascii="Palatino Linotype" w:eastAsia="Palatino Linotype" w:hAnsi="Palatino Linotype" w:cs="Palatino Linotype"/>
        </w:rPr>
        <w:t xml:space="preserve"> (Sic) de la solicitud de información se advierte que dichos documentos no fueron solicitados, como se desprende del antecedente marcado con el numeral 1 de la presente resolución, por lo que constituyen en su totalidad nuevos requerimientos </w:t>
      </w:r>
      <w:r>
        <w:rPr>
          <w:rFonts w:ascii="Palatino Linotype" w:eastAsia="Palatino Linotype" w:hAnsi="Palatino Linotype" w:cs="Palatino Linotype"/>
        </w:rPr>
        <w:lastRenderedPageBreak/>
        <w:t xml:space="preserve">de información, configurándose así lo que se conoce como </w:t>
      </w:r>
      <w:r>
        <w:rPr>
          <w:rFonts w:ascii="Palatino Linotype" w:eastAsia="Palatino Linotype" w:hAnsi="Palatino Linotype" w:cs="Palatino Linotype"/>
          <w:i/>
        </w:rPr>
        <w:t>plus petitio</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B6B9B" w:rsidRDefault="00ED40D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0B6B9B" w:rsidRDefault="00ED40D4">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y 161, fracción VII de la Ley Federal de Transparencia y </w:t>
      </w:r>
      <w:r>
        <w:rPr>
          <w:rFonts w:ascii="Palatino Linotype" w:eastAsia="Palatino Linotype" w:hAnsi="Palatino Linotype" w:cs="Palatino Linotype"/>
          <w:i/>
          <w:sz w:val="22"/>
          <w:szCs w:val="22"/>
        </w:rPr>
        <w:lastRenderedPageBreak/>
        <w:t>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0B6B9B" w:rsidRDefault="000B6B9B">
      <w:pPr>
        <w:spacing w:line="360" w:lineRule="auto"/>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w:t>
      </w:r>
      <w:r w:rsidR="006B410A">
        <w:rPr>
          <w:rFonts w:ascii="Palatino Linotype" w:eastAsia="Palatino Linotype" w:hAnsi="Palatino Linotype" w:cs="Palatino Linotype"/>
        </w:rPr>
        <w:t>eso a la información pública d</w:t>
      </w:r>
      <w:r w:rsidR="007F7775">
        <w:rPr>
          <w:rFonts w:ascii="Palatino Linotype" w:eastAsia="Palatino Linotype" w:hAnsi="Palatino Linotype" w:cs="Palatino Linotype"/>
        </w:rPr>
        <w:t xml:space="preserve">el </w:t>
      </w:r>
      <w:r w:rsidR="007F7775" w:rsidRPr="006B410A">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0B6B9B" w:rsidRDefault="000B6B9B">
      <w:pPr>
        <w:spacing w:line="360" w:lineRule="auto"/>
        <w:jc w:val="both"/>
        <w:rPr>
          <w:rFonts w:ascii="Palatino Linotype" w:eastAsia="Palatino Linotype" w:hAnsi="Palatino Linotype" w:cs="Palatino Linotype"/>
        </w:rPr>
      </w:pPr>
    </w:p>
    <w:p w:rsidR="000B6B9B" w:rsidRDefault="00ED40D4">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0B6B9B" w:rsidRDefault="00ED40D4">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0B6B9B" w:rsidRDefault="000B6B9B">
      <w:pPr>
        <w:ind w:left="993" w:right="1041"/>
        <w:jc w:val="both"/>
        <w:rPr>
          <w:rFonts w:ascii="Palatino Linotype" w:eastAsia="Palatino Linotype" w:hAnsi="Palatino Linotype" w:cs="Palatino Linotype"/>
          <w:i/>
          <w:sz w:val="22"/>
          <w:szCs w:val="22"/>
        </w:rPr>
      </w:pP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B6B9B" w:rsidRDefault="000B6B9B">
      <w:pPr>
        <w:ind w:left="993" w:right="1041"/>
        <w:jc w:val="both"/>
        <w:rPr>
          <w:rFonts w:ascii="Palatino Linotype" w:eastAsia="Palatino Linotype" w:hAnsi="Palatino Linotype" w:cs="Palatino Linotype"/>
          <w:i/>
          <w:sz w:val="22"/>
          <w:szCs w:val="22"/>
        </w:rPr>
      </w:pPr>
    </w:p>
    <w:p w:rsidR="000B6B9B" w:rsidRDefault="00ED40D4">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B6B9B" w:rsidRDefault="000B6B9B">
      <w:pPr>
        <w:ind w:left="993" w:right="1041"/>
        <w:jc w:val="both"/>
        <w:rPr>
          <w:rFonts w:ascii="Palatino Linotype" w:eastAsia="Palatino Linotype" w:hAnsi="Palatino Linotype" w:cs="Palatino Linotype"/>
          <w:b/>
          <w:i/>
          <w:sz w:val="22"/>
          <w:szCs w:val="22"/>
        </w:rPr>
      </w:pP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0B6B9B" w:rsidRDefault="00ED40D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0B6B9B" w:rsidRDefault="000B6B9B">
      <w:pPr>
        <w:ind w:left="993" w:right="1041"/>
        <w:jc w:val="both"/>
        <w:rPr>
          <w:rFonts w:ascii="Palatino Linotype" w:eastAsia="Palatino Linotype" w:hAnsi="Palatino Linotype" w:cs="Palatino Linotype"/>
          <w:i/>
          <w:sz w:val="22"/>
          <w:szCs w:val="22"/>
        </w:rPr>
      </w:pPr>
    </w:p>
    <w:p w:rsidR="000B6B9B" w:rsidRDefault="00ED40D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w:t>
      </w:r>
      <w:r>
        <w:rPr>
          <w:rFonts w:ascii="Palatino Linotype" w:eastAsia="Palatino Linotype" w:hAnsi="Palatino Linotype" w:cs="Palatino Linotype"/>
        </w:rPr>
        <w:lastRenderedPageBreak/>
        <w:t xml:space="preserve">contenidos en los documentos a entregar por parte del Sujeto Obligado para satisfacer el derecho de acceso a la información pública </w:t>
      </w:r>
      <w:proofErr w:type="spellStart"/>
      <w:r>
        <w:rPr>
          <w:rFonts w:ascii="Palatino Linotype" w:eastAsia="Palatino Linotype" w:hAnsi="Palatino Linotype" w:cs="Palatino Linotype"/>
        </w:rPr>
        <w:t xml:space="preserve">de </w:t>
      </w:r>
      <w:r w:rsidR="007F7775">
        <w:rPr>
          <w:rFonts w:ascii="Palatino Linotype" w:eastAsia="Palatino Linotype" w:hAnsi="Palatino Linotype" w:cs="Palatino Linotype"/>
        </w:rPr>
        <w:t>el</w:t>
      </w:r>
      <w:proofErr w:type="spellEnd"/>
      <w:r w:rsidR="007F7775">
        <w:rPr>
          <w:rFonts w:ascii="Palatino Linotype" w:eastAsia="Palatino Linotype" w:hAnsi="Palatino Linotype" w:cs="Palatino Linotype"/>
        </w:rPr>
        <w:t xml:space="preserve"> 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B6B9B" w:rsidRDefault="000B6B9B">
      <w:pPr>
        <w:spacing w:line="360" w:lineRule="auto"/>
        <w:ind w:right="51"/>
        <w:jc w:val="both"/>
        <w:rPr>
          <w:rFonts w:ascii="Palatino Linotype" w:eastAsia="Palatino Linotype" w:hAnsi="Palatino Linotype" w:cs="Palatino Linotype"/>
        </w:rPr>
      </w:pPr>
    </w:p>
    <w:p w:rsidR="000B6B9B" w:rsidRDefault="00ED40D4">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B6B9B" w:rsidRDefault="000B6B9B">
      <w:pPr>
        <w:spacing w:line="360" w:lineRule="auto"/>
        <w:ind w:right="51"/>
        <w:jc w:val="both"/>
        <w:rPr>
          <w:rFonts w:ascii="Palatino Linotype" w:eastAsia="Palatino Linotype" w:hAnsi="Palatino Linotype" w:cs="Palatino Linotype"/>
        </w:rPr>
      </w:pPr>
    </w:p>
    <w:p w:rsidR="000B6B9B" w:rsidRDefault="00ED40D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ende,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B6B9B" w:rsidRDefault="000B6B9B">
      <w:pPr>
        <w:spacing w:line="360" w:lineRule="auto"/>
        <w:ind w:right="51"/>
        <w:jc w:val="both"/>
        <w:rPr>
          <w:rFonts w:ascii="Palatino Linotype" w:eastAsia="Palatino Linotype" w:hAnsi="Palatino Linotype" w:cs="Palatino Linotype"/>
        </w:rPr>
      </w:pP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0B6B9B" w:rsidRDefault="00ED40D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0B6B9B" w:rsidRDefault="000B6B9B">
      <w:pPr>
        <w:ind w:left="992" w:right="1043"/>
        <w:jc w:val="both"/>
        <w:rPr>
          <w:rFonts w:ascii="Palatino Linotype" w:eastAsia="Palatino Linotype" w:hAnsi="Palatino Linotype" w:cs="Palatino Linotype"/>
          <w:i/>
          <w:sz w:val="22"/>
          <w:szCs w:val="22"/>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B6B9B" w:rsidRDefault="000B6B9B">
      <w:pPr>
        <w:spacing w:line="360" w:lineRule="auto"/>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0B6B9B" w:rsidRDefault="000B6B9B">
      <w:pPr>
        <w:spacing w:line="360" w:lineRule="auto"/>
        <w:jc w:val="both"/>
        <w:rPr>
          <w:rFonts w:ascii="Palatino Linotype" w:eastAsia="Palatino Linotype" w:hAnsi="Palatino Linotype" w:cs="Palatino Linotype"/>
        </w:rPr>
      </w:pPr>
    </w:p>
    <w:p w:rsidR="000B6B9B" w:rsidRDefault="00ED40D4">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0B6B9B" w:rsidRDefault="000B6B9B">
      <w:pPr>
        <w:spacing w:before="240" w:line="360" w:lineRule="auto"/>
        <w:ind w:right="51"/>
        <w:jc w:val="both"/>
        <w:rPr>
          <w:rFonts w:ascii="Palatino Linotype" w:eastAsia="Palatino Linotype" w:hAnsi="Palatino Linotype" w:cs="Palatino Linotype"/>
          <w:i/>
          <w:sz w:val="22"/>
          <w:szCs w:val="22"/>
        </w:rPr>
      </w:pPr>
    </w:p>
    <w:p w:rsidR="000B6B9B" w:rsidRDefault="00ED40D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B6B9B" w:rsidRDefault="000B6B9B">
      <w:pPr>
        <w:spacing w:line="360" w:lineRule="auto"/>
        <w:ind w:right="51"/>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0B6B9B" w:rsidRDefault="000B6B9B">
      <w:pPr>
        <w:ind w:left="709" w:right="709"/>
        <w:jc w:val="both"/>
        <w:rPr>
          <w:rFonts w:ascii="Palatino Linotype" w:eastAsia="Palatino Linotype" w:hAnsi="Palatino Linotype" w:cs="Palatino Linotype"/>
          <w:b/>
          <w:i/>
          <w:sz w:val="22"/>
          <w:szCs w:val="22"/>
        </w:rPr>
      </w:pPr>
    </w:p>
    <w:p w:rsidR="000B6B9B" w:rsidRDefault="00ED40D4">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0B6B9B" w:rsidRDefault="00ED40D4">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0B6B9B" w:rsidRDefault="00ED40D4">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B6B9B" w:rsidRDefault="00ED40D4">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9"/>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B6B9B">
        <w:trPr>
          <w:jc w:val="center"/>
        </w:trPr>
        <w:tc>
          <w:tcPr>
            <w:tcW w:w="1159" w:type="dxa"/>
            <w:tcBorders>
              <w:top w:val="nil"/>
              <w:left w:val="nil"/>
              <w:bottom w:val="single" w:sz="4" w:space="0" w:color="000000"/>
              <w:right w:val="single" w:sz="4" w:space="0" w:color="000000"/>
            </w:tcBorders>
          </w:tcPr>
          <w:p w:rsidR="000B6B9B" w:rsidRDefault="000B6B9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0B6B9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0B6B9B" w:rsidRDefault="00ED40D4">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0B6B9B" w:rsidRDefault="00ED40D4">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0B6B9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B6B9B" w:rsidRDefault="000B6B9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B6B9B" w:rsidRDefault="00ED40D4">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0B6B9B" w:rsidRDefault="00ED40D4">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0B6B9B" w:rsidRDefault="000B6B9B">
      <w:pPr>
        <w:spacing w:before="240" w:line="360" w:lineRule="auto"/>
        <w:ind w:right="51"/>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0B6B9B" w:rsidRDefault="000B6B9B">
      <w:pPr>
        <w:spacing w:line="360" w:lineRule="auto"/>
        <w:jc w:val="both"/>
        <w:rPr>
          <w:rFonts w:ascii="Palatino Linotype" w:eastAsia="Palatino Linotype" w:hAnsi="Palatino Linotype" w:cs="Palatino Linotype"/>
        </w:rPr>
      </w:pPr>
    </w:p>
    <w:p w:rsidR="000B6B9B" w:rsidRDefault="00ED40D4">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0B6B9B" w:rsidRDefault="000B6B9B">
      <w:pPr>
        <w:shd w:val="clear" w:color="auto" w:fill="FFFFFF"/>
        <w:spacing w:line="360" w:lineRule="auto"/>
        <w:ind w:right="51"/>
        <w:jc w:val="both"/>
        <w:rPr>
          <w:rFonts w:ascii="Palatino Linotype" w:eastAsia="Palatino Linotype" w:hAnsi="Palatino Linotype" w:cs="Palatino Linotype"/>
        </w:rPr>
      </w:pPr>
    </w:p>
    <w:p w:rsidR="000B6B9B" w:rsidRDefault="00ED40D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0B6B9B" w:rsidRDefault="000B6B9B">
      <w:pPr>
        <w:spacing w:line="360" w:lineRule="auto"/>
        <w:jc w:val="both"/>
        <w:rPr>
          <w:rFonts w:ascii="Palatino Linotype" w:eastAsia="Palatino Linotype" w:hAnsi="Palatino Linotype" w:cs="Palatino Linotype"/>
        </w:rPr>
      </w:pPr>
    </w:p>
    <w:p w:rsidR="000B6B9B" w:rsidRDefault="00ED40D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B6B9B" w:rsidRDefault="00ED40D4">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0B6B9B" w:rsidRDefault="00ED40D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w:t>
      </w:r>
      <w:r w:rsidR="007F7775">
        <w:rPr>
          <w:rFonts w:ascii="Palatino Linotype" w:eastAsia="Palatino Linotype" w:hAnsi="Palatino Linotype" w:cs="Palatino Linotype"/>
        </w:rPr>
        <w:t xml:space="preserve">el </w:t>
      </w:r>
      <w:r w:rsidR="007F7775" w:rsidRPr="00ED78AE">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ED78AE">
        <w:rPr>
          <w:rFonts w:ascii="Palatino Linotype" w:eastAsia="Palatino Linotype" w:hAnsi="Palatino Linotype" w:cs="Palatino Linotype"/>
          <w:b/>
        </w:rPr>
        <w:t>02764</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B6B9B" w:rsidRDefault="00ED40D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w:t>
      </w:r>
      <w:r w:rsidR="00ED78AE">
        <w:rPr>
          <w:rFonts w:ascii="Palatino Linotype" w:eastAsia="Palatino Linotype" w:hAnsi="Palatino Linotype" w:cs="Palatino Linotype"/>
        </w:rPr>
        <w:t>uinto, haga entrega vía SAIMEX</w:t>
      </w:r>
      <w:r>
        <w:rPr>
          <w:rFonts w:ascii="Palatino Linotype" w:eastAsia="Palatino Linotype" w:hAnsi="Palatino Linotype" w:cs="Palatino Linotype"/>
        </w:rPr>
        <w:t xml:space="preserve">, de ser procedente en versión pública, </w:t>
      </w:r>
      <w:r w:rsidR="00ED78AE">
        <w:rPr>
          <w:rFonts w:ascii="Palatino Linotype" w:eastAsia="Palatino Linotype" w:hAnsi="Palatino Linotype" w:cs="Palatino Linotype"/>
        </w:rPr>
        <w:t xml:space="preserve">de </w:t>
      </w:r>
      <w:r>
        <w:rPr>
          <w:rFonts w:ascii="Palatino Linotype" w:eastAsia="Palatino Linotype" w:hAnsi="Palatino Linotype" w:cs="Palatino Linotype"/>
        </w:rPr>
        <w:t>lo siguiente:</w:t>
      </w:r>
    </w:p>
    <w:p w:rsidR="000B6B9B" w:rsidRDefault="00ED78AE">
      <w:pPr>
        <w:numPr>
          <w:ilvl w:val="0"/>
          <w:numId w:val="8"/>
        </w:numPr>
        <w:pBdr>
          <w:top w:val="nil"/>
          <w:left w:val="nil"/>
          <w:bottom w:val="nil"/>
          <w:right w:val="nil"/>
          <w:between w:val="nil"/>
        </w:pBdr>
        <w:spacing w:after="240" w:line="360" w:lineRule="auto"/>
        <w:ind w:left="714" w:right="51"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 L</w:t>
      </w:r>
      <w:r w:rsidRPr="00BF1252">
        <w:rPr>
          <w:rFonts w:ascii="Palatino Linotype" w:eastAsia="Palatino Linotype" w:hAnsi="Palatino Linotype" w:cs="Palatino Linotype"/>
        </w:rPr>
        <w:t>as actas de todas las sesiones ordinarias y extraordinarias del Comité de Transparencia</w:t>
      </w:r>
      <w:r>
        <w:rPr>
          <w:rFonts w:ascii="Palatino Linotype" w:eastAsia="Palatino Linotype" w:hAnsi="Palatino Linotype" w:cs="Palatino Linotype"/>
        </w:rPr>
        <w:t xml:space="preserve"> del Ayuntamiento de Toluca</w:t>
      </w:r>
      <w:r w:rsidRPr="00BF1252">
        <w:rPr>
          <w:rFonts w:ascii="Palatino Linotype" w:eastAsia="Palatino Linotype" w:hAnsi="Palatino Linotype" w:cs="Palatino Linotype"/>
        </w:rPr>
        <w:t xml:space="preserve">, </w:t>
      </w:r>
      <w:r w:rsidR="000D004A">
        <w:rPr>
          <w:rFonts w:ascii="Palatino Linotype" w:eastAsia="Palatino Linotype" w:hAnsi="Palatino Linotype" w:cs="Palatino Linotype"/>
        </w:rPr>
        <w:t xml:space="preserve">del </w:t>
      </w:r>
      <w:r w:rsidRPr="00BF1252">
        <w:rPr>
          <w:rFonts w:ascii="Palatino Linotype" w:eastAsia="Palatino Linotype" w:hAnsi="Palatino Linotype" w:cs="Palatino Linotype"/>
        </w:rPr>
        <w:t>primero de enero al veintidós de febrero del año 2022</w:t>
      </w:r>
      <w:r>
        <w:rPr>
          <w:rFonts w:ascii="Palatino Linotype" w:eastAsia="Palatino Linotype" w:hAnsi="Palatino Linotype" w:cs="Palatino Linotype"/>
        </w:rPr>
        <w:t>, señaladas en respuesta.</w:t>
      </w:r>
    </w:p>
    <w:p w:rsidR="000B6B9B" w:rsidRDefault="00ED40D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w:t>
      </w:r>
      <w:r w:rsidR="00ED78AE">
        <w:rPr>
          <w:rFonts w:ascii="Palatino Linotype" w:eastAsia="Palatino Linotype" w:hAnsi="Palatino Linotype" w:cs="Palatino Linotype"/>
          <w:color w:val="000000"/>
        </w:rPr>
        <w:t>en y se pongan a disposición de</w:t>
      </w:r>
      <w:r w:rsidR="007F7775">
        <w:rPr>
          <w:rFonts w:ascii="Palatino Linotype" w:eastAsia="Palatino Linotype" w:hAnsi="Palatino Linotype" w:cs="Palatino Linotype"/>
          <w:color w:val="000000"/>
        </w:rPr>
        <w:t xml:space="preserve">l </w:t>
      </w:r>
      <w:r w:rsidR="007F7775" w:rsidRPr="00ED78AE">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mismo que igualmente hará de su conocimiento.</w:t>
      </w:r>
    </w:p>
    <w:p w:rsidR="000B6B9B" w:rsidRDefault="00ED40D4">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B6B9B" w:rsidRDefault="00ED40D4">
      <w:pPr>
        <w:spacing w:before="240" w:after="240" w:line="360" w:lineRule="auto"/>
        <w:jc w:val="both"/>
        <w:rPr>
          <w:rFonts w:ascii="Palatino Linotype" w:eastAsia="Palatino Linotype" w:hAnsi="Palatino Linotype" w:cs="Palatino Linotype"/>
          <w:sz w:val="25"/>
          <w:szCs w:val="25"/>
        </w:rPr>
      </w:pPr>
      <w:r>
        <w:rPr>
          <w:rFonts w:ascii="Palatino Linotype" w:eastAsia="Palatino Linotype" w:hAnsi="Palatino Linotype" w:cs="Palatino Linotype"/>
          <w:b/>
        </w:rPr>
        <w:t xml:space="preserve">Cuarto. </w:t>
      </w:r>
      <w:r w:rsidR="00ED78AE">
        <w:rPr>
          <w:rFonts w:ascii="Palatino Linotype" w:eastAsia="Palatino Linotype" w:hAnsi="Palatino Linotype" w:cs="Palatino Linotype"/>
          <w:b/>
        </w:rPr>
        <w:t xml:space="preserve">Notifíquese, </w:t>
      </w:r>
      <w:r w:rsidR="00ED78AE">
        <w:rPr>
          <w:rFonts w:ascii="Palatino Linotype" w:eastAsia="Palatino Linotype" w:hAnsi="Palatino Linotype" w:cs="Palatino Linotype"/>
        </w:rPr>
        <w:t xml:space="preserve">al </w:t>
      </w:r>
      <w:r w:rsidR="00ED78AE">
        <w:rPr>
          <w:rFonts w:ascii="Palatino Linotype" w:eastAsia="Palatino Linotype" w:hAnsi="Palatino Linotype" w:cs="Palatino Linotype"/>
          <w:b/>
        </w:rPr>
        <w:t>RECURRENTE</w:t>
      </w:r>
      <w:r w:rsidR="00ED78AE">
        <w:rPr>
          <w:rFonts w:ascii="Palatino Linotype" w:eastAsia="Palatino Linotype" w:hAnsi="Palatino Linotype" w:cs="Palatino Linotype"/>
        </w:rPr>
        <w:t xml:space="preserve"> </w:t>
      </w:r>
      <w:r w:rsidR="00ED78AE">
        <w:rPr>
          <w:rFonts w:ascii="Palatino Linotype" w:eastAsia="Palatino Linotype" w:hAnsi="Palatino Linotype" w:cs="Palatino Linotype"/>
          <w:b/>
        </w:rPr>
        <w:t>vía Sistema de Acceso a la Información Mexiquense (SAIMEX),</w:t>
      </w:r>
      <w:r w:rsidR="00ED78AE">
        <w:rPr>
          <w:rFonts w:ascii="Palatino Linotype" w:eastAsia="Palatino Linotype" w:hAnsi="Palatino Linotype" w:cs="Palatino Linotype"/>
        </w:rPr>
        <w:t xml:space="preserve"> </w:t>
      </w:r>
      <w:r w:rsidR="00ED78AE">
        <w:rPr>
          <w:rFonts w:ascii="Palatino Linotype" w:eastAsia="Palatino Linotype" w:hAnsi="Palatino Linotype" w:cs="Palatino Linotype"/>
          <w:highlight w:val="white"/>
        </w:rPr>
        <w:t xml:space="preserve">la presente resolución, </w:t>
      </w:r>
      <w:r w:rsidR="00ED78AE">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sidR="00ED78AE">
        <w:rPr>
          <w:rFonts w:ascii="Palatino Linotype" w:eastAsia="Palatino Linotype" w:hAnsi="Palatino Linotype" w:cs="Palatino Linotype"/>
          <w:b/>
        </w:rPr>
        <w:t>vía Juicio de Amparo</w:t>
      </w:r>
      <w:r w:rsidR="00ED78AE">
        <w:rPr>
          <w:rFonts w:ascii="Palatino Linotype" w:eastAsia="Palatino Linotype" w:hAnsi="Palatino Linotype" w:cs="Palatino Linotype"/>
        </w:rPr>
        <w:t xml:space="preserve"> en los términos de las leyes aplicables.</w:t>
      </w:r>
    </w:p>
    <w:p w:rsidR="000B6B9B" w:rsidRDefault="00ED40D4">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0B6B9B" w:rsidRDefault="00ED40D4">
      <w:pPr>
        <w:spacing w:before="240" w:after="240" w:line="360" w:lineRule="auto"/>
        <w:jc w:val="both"/>
        <w:rPr>
          <w:rFonts w:ascii="Palatino Linotype" w:eastAsia="Palatino Linotype" w:hAnsi="Palatino Linotype" w:cs="Palatino Linotype"/>
        </w:rPr>
        <w:sectPr w:rsidR="000B6B9B">
          <w:headerReference w:type="default" r:id="rId23"/>
          <w:footerReference w:type="default" r:id="rId24"/>
          <w:headerReference w:type="first" r:id="rId25"/>
          <w:footerReference w:type="first" r:id="rId26"/>
          <w:pgSz w:w="12240" w:h="15840"/>
          <w:pgMar w:top="2041" w:right="1701" w:bottom="1701" w:left="1701" w:header="709" w:footer="709" w:gutter="0"/>
          <w:pgNumType w:start="1"/>
          <w:cols w:space="720"/>
          <w:titlePg/>
        </w:sectPr>
      </w:pPr>
      <w:bookmarkStart w:id="2" w:name="_heading=h.1fob9te" w:colFirst="0" w:colLast="0"/>
      <w:bookmarkEnd w:id="2"/>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00A7B">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color w:val="222222"/>
          <w:highlight w:val="white"/>
        </w:rPr>
        <w:t>Y GUADALUPE R</w:t>
      </w:r>
      <w:r w:rsidR="00ED78AE">
        <w:rPr>
          <w:rFonts w:ascii="Palatino Linotype" w:eastAsia="Palatino Linotype" w:hAnsi="Palatino Linotype" w:cs="Palatino Linotype"/>
          <w:color w:val="222222"/>
          <w:highlight w:val="white"/>
        </w:rPr>
        <w:t>AMÍREZ PEÑA; EN LA VIGÉSIMA</w:t>
      </w:r>
      <w:r>
        <w:rPr>
          <w:rFonts w:ascii="Palatino Linotype" w:eastAsia="Palatino Linotype" w:hAnsi="Palatino Linotype" w:cs="Palatino Linotype"/>
          <w:color w:val="222222"/>
          <w:highlight w:val="white"/>
        </w:rPr>
        <w:t xml:space="preserve"> SESIÓN ORDINARIA CELEBRADA EL </w:t>
      </w:r>
      <w:r w:rsidR="00ED78AE">
        <w:rPr>
          <w:rFonts w:ascii="Palatino Linotype" w:eastAsia="Palatino Linotype" w:hAnsi="Palatino Linotype" w:cs="Palatino Linotype"/>
          <w:color w:val="222222"/>
        </w:rPr>
        <w:t>PRIMERO</w:t>
      </w:r>
      <w:r w:rsidR="00ED78AE">
        <w:rPr>
          <w:rFonts w:ascii="Palatino Linotype" w:eastAsia="Palatino Linotype" w:hAnsi="Palatino Linotype" w:cs="Palatino Linotype"/>
        </w:rPr>
        <w:t xml:space="preserve"> DE JUNIO</w:t>
      </w:r>
      <w:r>
        <w:rPr>
          <w:rFonts w:ascii="Palatino Linotype" w:eastAsia="Palatino Linotype" w:hAnsi="Palatino Linotype" w:cs="Palatino Linotype"/>
        </w:rPr>
        <w:t xml:space="preserve"> DEL DOS MIL VEINTIDÓS, ANTE EL SECRETARIO TÉCNICO DEL PLENO ALEXIS TAPIA RAMÍREZ.                             </w:t>
      </w:r>
    </w:p>
    <w:p w:rsidR="000B6B9B" w:rsidRDefault="000B6B9B">
      <w:pPr>
        <w:spacing w:before="240" w:after="240" w:line="360" w:lineRule="auto"/>
        <w:jc w:val="both"/>
        <w:rPr>
          <w:rFonts w:ascii="Palatino Linotype" w:eastAsia="Palatino Linotype" w:hAnsi="Palatino Linotype" w:cs="Palatino Linotype"/>
        </w:rPr>
      </w:pPr>
    </w:p>
    <w:sectPr w:rsidR="000B6B9B">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2B" w:rsidRDefault="00B50E2B">
      <w:r>
        <w:separator/>
      </w:r>
    </w:p>
  </w:endnote>
  <w:endnote w:type="continuationSeparator" w:id="0">
    <w:p w:rsidR="00B50E2B" w:rsidRDefault="00B5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75" w:rsidRDefault="007F77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437E">
      <w:rPr>
        <w:rFonts w:ascii="Arial" w:eastAsia="Arial" w:hAnsi="Arial" w:cs="Arial"/>
        <w:b/>
        <w:noProof/>
        <w:color w:val="000000"/>
        <w:sz w:val="20"/>
        <w:szCs w:val="20"/>
      </w:rPr>
      <w:t>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437E">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7F7775" w:rsidRDefault="007F7775">
    <w:pPr>
      <w:pBdr>
        <w:top w:val="nil"/>
        <w:left w:val="nil"/>
        <w:bottom w:val="nil"/>
        <w:right w:val="nil"/>
        <w:between w:val="nil"/>
      </w:pBdr>
      <w:tabs>
        <w:tab w:val="center" w:pos="4252"/>
        <w:tab w:val="right" w:pos="8504"/>
      </w:tabs>
      <w:rPr>
        <w:color w:val="000000"/>
      </w:rPr>
    </w:pPr>
  </w:p>
  <w:p w:rsidR="007F7775" w:rsidRDefault="007F777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75" w:rsidRDefault="007F777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437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437E">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7F7775" w:rsidRDefault="007F777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2B" w:rsidRDefault="00B50E2B">
      <w:r>
        <w:separator/>
      </w:r>
    </w:p>
  </w:footnote>
  <w:footnote w:type="continuationSeparator" w:id="0">
    <w:p w:rsidR="00B50E2B" w:rsidRDefault="00B50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75" w:rsidRDefault="007F7775">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5528" w:type="dxa"/>
      <w:tblInd w:w="3261" w:type="dxa"/>
      <w:tblLayout w:type="fixed"/>
      <w:tblLook w:val="0400" w:firstRow="0" w:lastRow="0" w:firstColumn="0" w:lastColumn="0" w:noHBand="0" w:noVBand="1"/>
    </w:tblPr>
    <w:tblGrid>
      <w:gridCol w:w="2551"/>
      <w:gridCol w:w="2977"/>
    </w:tblGrid>
    <w:tr w:rsidR="007F7775">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7F7775" w:rsidRDefault="007F777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02764/INFOEM/IP/RR/2022</w:t>
          </w:r>
        </w:p>
      </w:tc>
    </w:tr>
    <w:tr w:rsidR="007F7775">
      <w:trPr>
        <w:trHeight w:val="228"/>
      </w:trPr>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7F7775" w:rsidRDefault="007F777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F7775">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7F7775" w:rsidRDefault="007F777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F7775" w:rsidRDefault="007F777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-695769</wp:posOffset>
          </wp:positionH>
          <wp:positionV relativeFrom="paragraph">
            <wp:posOffset>-1200944</wp:posOffset>
          </wp:positionV>
          <wp:extent cx="7809876" cy="10165823"/>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75" w:rsidRDefault="007F777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-846159</wp:posOffset>
          </wp:positionH>
          <wp:positionV relativeFrom="paragraph">
            <wp:posOffset>-171230</wp:posOffset>
          </wp:positionV>
          <wp:extent cx="7809876" cy="10165823"/>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70" w:type="dxa"/>
      <w:tblInd w:w="3119" w:type="dxa"/>
      <w:tblLayout w:type="fixed"/>
      <w:tblLook w:val="0400" w:firstRow="0" w:lastRow="0" w:firstColumn="0" w:lastColumn="0" w:noHBand="0" w:noVBand="1"/>
    </w:tblPr>
    <w:tblGrid>
      <w:gridCol w:w="2551"/>
      <w:gridCol w:w="3119"/>
    </w:tblGrid>
    <w:tr w:rsidR="007F7775">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7F7775" w:rsidRDefault="007F777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02764/INFOEM/IP/RR/2022. </w:t>
          </w:r>
        </w:p>
      </w:tc>
    </w:tr>
    <w:tr w:rsidR="007F7775">
      <w:tc>
        <w:tcPr>
          <w:tcW w:w="2551" w:type="dxa"/>
          <w:vAlign w:val="center"/>
        </w:tcPr>
        <w:p w:rsidR="007F7775" w:rsidRDefault="007F777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7F7775" w:rsidRDefault="003143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7F7775">
            <w:rPr>
              <w:rFonts w:ascii="Palatino Linotype" w:eastAsia="Palatino Linotype" w:hAnsi="Palatino Linotype" w:cs="Palatino Linotype"/>
              <w:b/>
              <w:sz w:val="22"/>
              <w:szCs w:val="22"/>
            </w:rPr>
            <w:t>.</w:t>
          </w:r>
        </w:p>
      </w:tc>
    </w:tr>
    <w:tr w:rsidR="007F7775">
      <w:trPr>
        <w:trHeight w:val="228"/>
      </w:trPr>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7F7775" w:rsidRDefault="007F777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F7775">
      <w:tc>
        <w:tcPr>
          <w:tcW w:w="2551" w:type="dxa"/>
          <w:vAlign w:val="center"/>
        </w:tcPr>
        <w:p w:rsidR="007F7775" w:rsidRDefault="007F77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7F7775" w:rsidRDefault="007F777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F7775" w:rsidRDefault="007F777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75" w:rsidRDefault="007F7775">
    <w:pPr>
      <w:pBdr>
        <w:top w:val="nil"/>
        <w:left w:val="nil"/>
        <w:bottom w:val="nil"/>
        <w:right w:val="nil"/>
        <w:between w:val="nil"/>
      </w:pBdr>
      <w:tabs>
        <w:tab w:val="center" w:pos="4252"/>
        <w:tab w:val="right" w:pos="8504"/>
      </w:tabs>
      <w:jc w:val="both"/>
      <w:rPr>
        <w:rFonts w:ascii="Calibri" w:eastAsia="Calibri" w:hAnsi="Calibri" w:cs="Calibri"/>
        <w:color w:val="000000"/>
      </w:rPr>
    </w:pPr>
  </w:p>
  <w:p w:rsidR="007F7775" w:rsidRDefault="007F777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9FC"/>
    <w:multiLevelType w:val="multilevel"/>
    <w:tmpl w:val="749E2F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62B15"/>
    <w:multiLevelType w:val="multilevel"/>
    <w:tmpl w:val="ED08D2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E06F8"/>
    <w:multiLevelType w:val="multilevel"/>
    <w:tmpl w:val="2466AD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7622C"/>
    <w:multiLevelType w:val="multilevel"/>
    <w:tmpl w:val="FFC6D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941858"/>
    <w:multiLevelType w:val="multilevel"/>
    <w:tmpl w:val="20EAF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2243A1"/>
    <w:multiLevelType w:val="multilevel"/>
    <w:tmpl w:val="61D81EC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F551704"/>
    <w:multiLevelType w:val="multilevel"/>
    <w:tmpl w:val="FB6621F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F03937"/>
    <w:multiLevelType w:val="hybridMultilevel"/>
    <w:tmpl w:val="EE12E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61256"/>
    <w:multiLevelType w:val="multilevel"/>
    <w:tmpl w:val="5E3C83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8833FC"/>
    <w:multiLevelType w:val="hybridMultilevel"/>
    <w:tmpl w:val="EE12E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442A5B"/>
    <w:multiLevelType w:val="hybridMultilevel"/>
    <w:tmpl w:val="EE12E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140290"/>
    <w:multiLevelType w:val="hybridMultilevel"/>
    <w:tmpl w:val="EE12E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D327A6"/>
    <w:multiLevelType w:val="multilevel"/>
    <w:tmpl w:val="AF247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181862"/>
    <w:multiLevelType w:val="multilevel"/>
    <w:tmpl w:val="570014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2"/>
  </w:num>
  <w:num w:numId="3">
    <w:abstractNumId w:val="2"/>
  </w:num>
  <w:num w:numId="4">
    <w:abstractNumId w:val="1"/>
  </w:num>
  <w:num w:numId="5">
    <w:abstractNumId w:val="5"/>
  </w:num>
  <w:num w:numId="6">
    <w:abstractNumId w:val="13"/>
  </w:num>
  <w:num w:numId="7">
    <w:abstractNumId w:val="3"/>
  </w:num>
  <w:num w:numId="8">
    <w:abstractNumId w:val="6"/>
  </w:num>
  <w:num w:numId="9">
    <w:abstractNumId w:val="11"/>
  </w:num>
  <w:num w:numId="10">
    <w:abstractNumId w:val="8"/>
  </w:num>
  <w:num w:numId="11">
    <w:abstractNumId w:val="4"/>
  </w:num>
  <w:num w:numId="12">
    <w:abstractNumId w:val="7"/>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9B"/>
    <w:rsid w:val="00031A12"/>
    <w:rsid w:val="000B6B9B"/>
    <w:rsid w:val="000D004A"/>
    <w:rsid w:val="00152CEF"/>
    <w:rsid w:val="002D69C9"/>
    <w:rsid w:val="0031437E"/>
    <w:rsid w:val="006B410A"/>
    <w:rsid w:val="007D0729"/>
    <w:rsid w:val="007F7775"/>
    <w:rsid w:val="00800A7B"/>
    <w:rsid w:val="009262D3"/>
    <w:rsid w:val="00941F89"/>
    <w:rsid w:val="009678CB"/>
    <w:rsid w:val="00A75231"/>
    <w:rsid w:val="00A84DA9"/>
    <w:rsid w:val="00AA0687"/>
    <w:rsid w:val="00AE7857"/>
    <w:rsid w:val="00B50E2B"/>
    <w:rsid w:val="00BF1252"/>
    <w:rsid w:val="00C803B1"/>
    <w:rsid w:val="00D03E65"/>
    <w:rsid w:val="00ED40D4"/>
    <w:rsid w:val="00ED78AE"/>
    <w:rsid w:val="00F50D2A"/>
    <w:rsid w:val="00FF20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733AF-0E0C-4FB2-9AF7-E69263D1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0436.page" TargetMode="External"/><Relationship Id="rId13" Type="http://schemas.openxmlformats.org/officeDocument/2006/relationships/image" Target="media/image4.png"/><Relationship Id="rId18" Type="http://schemas.openxmlformats.org/officeDocument/2006/relationships/hyperlink" Target="https://www.saimex.org.mx/saimex/solicitud/downloadAttach/1310436.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aimex.org.mx/saimex/solicitud/downloadAttach/1351636.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aimex.org.mx/saimex/solicitud/downloadAttach/1351635.page" TargetMode="External"/><Relationship Id="rId4" Type="http://schemas.openxmlformats.org/officeDocument/2006/relationships/settings" Target="settings.xml"/><Relationship Id="rId9" Type="http://schemas.openxmlformats.org/officeDocument/2006/relationships/hyperlink" Target="https://saimex.org.mx/saimex/solicitud/downloadAttach/1351635.page" TargetMode="External"/><Relationship Id="rId14" Type="http://schemas.openxmlformats.org/officeDocument/2006/relationships/image" Target="media/image5.png"/><Relationship Id="rId22" Type="http://schemas.openxmlformats.org/officeDocument/2006/relationships/hyperlink" Target="https://saimex.org.mx/saimex/solicitud/downloadAttach/1351636.page"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y3zhqyalHzb1AGABWxSGF7PLeA==">AMUW2mWsN1zDlO8aKAdQiALAqONwrpozllEOZBIghc34QA7sFm7h3VhzIG2Ew+7LzRXl3qY07Tci5PM3F4oHiVfEKQfjjNClrPyOynQLFysSy354X7+V1k9WQu9W0aBrNdntqNe6fH8H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10388</Words>
  <Characters>57138</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Jhancarlo</cp:lastModifiedBy>
  <cp:revision>4</cp:revision>
  <dcterms:created xsi:type="dcterms:W3CDTF">2022-05-26T06:03:00Z</dcterms:created>
  <dcterms:modified xsi:type="dcterms:W3CDTF">2022-07-07T16:18:00Z</dcterms:modified>
</cp:coreProperties>
</file>