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66CECDC7"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9B1C40">
        <w:rPr>
          <w:rFonts w:ascii="Palatino Linotype" w:eastAsia="Palatino Linotype" w:hAnsi="Palatino Linotype" w:cs="Palatino Linotype"/>
        </w:rPr>
        <w:t>veinticuatro de agosto</w:t>
      </w:r>
      <w:r w:rsidR="00CD1FA6"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de dos mil </w:t>
      </w:r>
      <w:r w:rsidR="001C7434" w:rsidRPr="009A3D66">
        <w:rPr>
          <w:rFonts w:ascii="Palatino Linotype" w:eastAsia="Palatino Linotype" w:hAnsi="Palatino Linotype" w:cs="Palatino Linotype"/>
        </w:rPr>
        <w:t>veintidós</w:t>
      </w:r>
      <w:r w:rsidRPr="009A3D66">
        <w:rPr>
          <w:rFonts w:ascii="Palatino Linotype" w:eastAsia="Palatino Linotype" w:hAnsi="Palatino Linotype" w:cs="Palatino Linotype"/>
        </w:rPr>
        <w:t xml:space="preserve">. </w:t>
      </w:r>
      <w:r w:rsidR="00B4799B">
        <w:rPr>
          <w:rFonts w:ascii="Palatino Linotype" w:eastAsia="Palatino Linotype" w:hAnsi="Palatino Linotype" w:cs="Palatino Linotype"/>
        </w:rPr>
        <w:t xml:space="preserve"> </w:t>
      </w:r>
    </w:p>
    <w:p w14:paraId="3416E4B6" w14:textId="3C3FBDA4"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4333B1">
        <w:rPr>
          <w:rFonts w:ascii="Palatino Linotype" w:eastAsia="Palatino Linotype" w:hAnsi="Palatino Linotype" w:cs="Palatino Linotype"/>
          <w:b/>
        </w:rPr>
        <w:t>0</w:t>
      </w:r>
      <w:r w:rsidR="004333B1">
        <w:rPr>
          <w:rFonts w:ascii="Palatino Linotype" w:eastAsia="Palatino Linotype" w:hAnsi="Palatino Linotype" w:cs="Palatino Linotype"/>
          <w:b/>
        </w:rPr>
        <w:t>5654</w:t>
      </w:r>
      <w:r w:rsidRPr="004333B1">
        <w:rPr>
          <w:rFonts w:ascii="Palatino Linotype" w:eastAsia="Palatino Linotype" w:hAnsi="Palatino Linotype" w:cs="Palatino Linotype"/>
          <w:b/>
        </w:rPr>
        <w:t>/INFOEM/IP/RR/202</w:t>
      </w:r>
      <w:r w:rsidR="00517286" w:rsidRPr="004333B1">
        <w:rPr>
          <w:rFonts w:ascii="Palatino Linotype" w:eastAsia="Palatino Linotype" w:hAnsi="Palatino Linotype" w:cs="Palatino Linotype"/>
          <w:b/>
        </w:rPr>
        <w:t>2</w:t>
      </w:r>
      <w:r w:rsidRPr="004333B1">
        <w:rPr>
          <w:rFonts w:ascii="Palatino Linotype" w:eastAsia="Palatino Linotype" w:hAnsi="Palatino Linotype" w:cs="Palatino Linotype"/>
        </w:rPr>
        <w:t>,</w:t>
      </w:r>
      <w:r w:rsidRPr="009A3D66">
        <w:rPr>
          <w:rFonts w:ascii="Palatino Linotype" w:eastAsia="Palatino Linotype" w:hAnsi="Palatino Linotype" w:cs="Palatino Linotype"/>
        </w:rPr>
        <w:t xml:space="preserve"> interpuesto por</w:t>
      </w:r>
      <w:r w:rsidR="00C34C45">
        <w:rPr>
          <w:rFonts w:ascii="Palatino Linotype" w:hAnsi="Palatino Linotype"/>
        </w:rPr>
        <w:t xml:space="preserve"> </w:t>
      </w:r>
      <w:r w:rsidR="005A46B7">
        <w:rPr>
          <w:rFonts w:ascii="Palatino Linotype" w:hAnsi="Palatino Linotype"/>
          <w:b/>
        </w:rPr>
        <w:t>XXXXX XXXXX XXX</w:t>
      </w:r>
      <w:r w:rsidR="00CD1FA6" w:rsidRPr="009A3D66">
        <w:rPr>
          <w:rFonts w:ascii="Palatino Linotype" w:hAnsi="Palatino Linotype"/>
        </w:rPr>
        <w:t xml:space="preserve">, </w:t>
      </w:r>
      <w:r w:rsidRPr="009A3D66">
        <w:rPr>
          <w:rFonts w:ascii="Palatino Linotype" w:eastAsia="Palatino Linotype" w:hAnsi="Palatino Linotype" w:cs="Palatino Linotype"/>
        </w:rPr>
        <w:t>en</w:t>
      </w:r>
      <w:bookmarkStart w:id="0" w:name="_GoBack"/>
      <w:bookmarkEnd w:id="0"/>
      <w:r w:rsidRPr="009A3D66">
        <w:rPr>
          <w:rFonts w:ascii="Palatino Linotype" w:eastAsia="Palatino Linotype" w:hAnsi="Palatino Linotype" w:cs="Palatino Linotype"/>
        </w:rPr>
        <w:t xml:space="preserve"> lo sucesivo</w:t>
      </w:r>
      <w:r w:rsidRPr="009A3D66">
        <w:rPr>
          <w:rFonts w:ascii="Palatino Linotype" w:eastAsia="Palatino Linotype" w:hAnsi="Palatino Linotype" w:cs="Palatino Linotype"/>
          <w:b/>
        </w:rPr>
        <w:t xml:space="preserve"> </w:t>
      </w:r>
      <w:r w:rsidR="009B1C40">
        <w:rPr>
          <w:rFonts w:ascii="Palatino Linotype" w:eastAsia="Palatino Linotype" w:hAnsi="Palatino Linotype" w:cs="Palatino Linotype"/>
        </w:rPr>
        <w:t xml:space="preserve">la </w:t>
      </w:r>
      <w:r w:rsidR="009B1C40"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5D7369" w:rsidRPr="009A3D66">
        <w:rPr>
          <w:rFonts w:ascii="Palatino Linotype" w:eastAsia="Palatino Linotype" w:hAnsi="Palatino Linotype" w:cs="Palatino Linotype"/>
          <w:b/>
        </w:rPr>
        <w:t>Toluca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5A9D0803"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8A1645">
        <w:rPr>
          <w:rFonts w:ascii="Palatino Linotype" w:eastAsia="Palatino Linotype" w:hAnsi="Palatino Linotype" w:cs="Palatino Linotype"/>
          <w:b/>
        </w:rPr>
        <w:t>quince</w:t>
      </w:r>
      <w:r w:rsidR="001C7434" w:rsidRPr="009A3D66">
        <w:rPr>
          <w:rFonts w:ascii="Palatino Linotype" w:eastAsia="Palatino Linotype" w:hAnsi="Palatino Linotype" w:cs="Palatino Linotype"/>
          <w:b/>
        </w:rPr>
        <w:t xml:space="preserve"> de </w:t>
      </w:r>
      <w:r w:rsidR="008A1645">
        <w:rPr>
          <w:rFonts w:ascii="Palatino Linotype" w:eastAsia="Palatino Linotype" w:hAnsi="Palatino Linotype" w:cs="Palatino Linotype"/>
          <w:b/>
        </w:rPr>
        <w:t>marzo</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C34C45"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Pr="009A3D66">
        <w:rPr>
          <w:rFonts w:ascii="Palatino Linotype" w:eastAsia="Palatino Linotype" w:hAnsi="Palatino Linotype" w:cs="Palatino Linotype"/>
          <w:b/>
        </w:rPr>
        <w:t xml:space="preserve"> </w:t>
      </w:r>
      <w:r w:rsidR="008A1645" w:rsidRPr="008A1645">
        <w:rPr>
          <w:rFonts w:ascii="Palatino Linotype" w:eastAsia="Palatino Linotype" w:hAnsi="Palatino Linotype" w:cs="Palatino Linotype"/>
          <w:b/>
        </w:rPr>
        <w:t>00702/TOLUCA/IP/2022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4483F42" w14:textId="29628E9D" w:rsidR="009B616B" w:rsidRPr="00C34C45" w:rsidRDefault="005A212F" w:rsidP="00C34C45">
      <w:pPr>
        <w:spacing w:before="240" w:after="240"/>
        <w:ind w:left="851" w:right="902"/>
        <w:contextualSpacing/>
        <w:jc w:val="both"/>
        <w:rPr>
          <w:rFonts w:ascii="Palatino Linotype" w:eastAsia="Palatino Linotype" w:hAnsi="Palatino Linotype" w:cs="Palatino Linotype"/>
          <w:i/>
          <w:sz w:val="22"/>
          <w:szCs w:val="22"/>
        </w:rPr>
      </w:pPr>
      <w:bookmarkStart w:id="1" w:name="_heading=h.gjdgxs" w:colFirst="0" w:colLast="0"/>
      <w:bookmarkEnd w:id="1"/>
      <w:r w:rsidRPr="009A3D66">
        <w:rPr>
          <w:rFonts w:ascii="Palatino Linotype" w:eastAsia="Palatino Linotype" w:hAnsi="Palatino Linotype" w:cs="Palatino Linotype"/>
          <w:i/>
          <w:sz w:val="22"/>
          <w:szCs w:val="22"/>
        </w:rPr>
        <w:t>“</w:t>
      </w:r>
      <w:r w:rsidR="008A1645" w:rsidRPr="008A1645">
        <w:rPr>
          <w:rFonts w:ascii="Palatino Linotype" w:eastAsia="Palatino Linotype" w:hAnsi="Palatino Linotype" w:cs="Palatino Linotype"/>
          <w:i/>
          <w:sz w:val="22"/>
          <w:szCs w:val="22"/>
        </w:rPr>
        <w:t>¿En dónde puedo reportar las luminarias fundidas? ¿Cuál es el programa para el mantenimiento de los parques? ¿Por qué no hacen el mantenimiento de los arbustos que están las banquetas? ¿Dónde puedo reportar una coladera tapada? ¿Por qué casi no hay ciclovías? ¿Qué hace el municipio para que no haya perros en las calles?</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2294F1DD" w14:textId="77777777" w:rsidR="00C34C45" w:rsidRDefault="00C34C45" w:rsidP="00C34C45">
      <w:pPr>
        <w:spacing w:before="240" w:after="240" w:line="360" w:lineRule="auto"/>
        <w:contextualSpacing/>
        <w:jc w:val="both"/>
        <w:rPr>
          <w:rFonts w:ascii="Palatino Linotype" w:eastAsia="Palatino Linotype" w:hAnsi="Palatino Linotype" w:cs="Palatino Linotype"/>
        </w:rPr>
      </w:pPr>
    </w:p>
    <w:p w14:paraId="00B015F1" w14:textId="1912B7CC" w:rsidR="009B616B" w:rsidRDefault="005A212F" w:rsidP="00C34C45">
      <w:pPr>
        <w:spacing w:before="240" w:after="240" w:line="360" w:lineRule="auto"/>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Modalidad de Entrega:</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19CE4F00" w14:textId="77777777" w:rsidR="00C34C45" w:rsidRPr="009A3D66" w:rsidRDefault="00C34C45" w:rsidP="00C34C45">
      <w:pPr>
        <w:spacing w:before="240" w:after="240" w:line="360" w:lineRule="auto"/>
        <w:contextualSpacing/>
        <w:jc w:val="both"/>
        <w:rPr>
          <w:rFonts w:ascii="Palatino Linotype" w:eastAsia="Palatino Linotype" w:hAnsi="Palatino Linotype" w:cs="Palatino Linotype"/>
        </w:rPr>
      </w:pPr>
    </w:p>
    <w:p w14:paraId="7E467B04" w14:textId="2FB9C9E3" w:rsidR="009B616B" w:rsidRPr="009A3D66" w:rsidRDefault="005A212F" w:rsidP="00DD62BE">
      <w:pPr>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lastRenderedPageBreak/>
        <w:t xml:space="preserve">2. Respuesta. </w:t>
      </w:r>
      <w:r w:rsidR="001C7434" w:rsidRPr="009A3D66">
        <w:rPr>
          <w:rFonts w:ascii="Palatino Linotype" w:eastAsia="Palatino Linotype" w:hAnsi="Palatino Linotype" w:cs="Palatino Linotype"/>
        </w:rPr>
        <w:t xml:space="preserve">Con fecha </w:t>
      </w:r>
      <w:r w:rsidR="008A1645">
        <w:rPr>
          <w:rFonts w:ascii="Palatino Linotype" w:eastAsia="Palatino Linotype" w:hAnsi="Palatino Linotype" w:cs="Palatino Linotype"/>
          <w:b/>
        </w:rPr>
        <w:t>siete de abril</w:t>
      </w:r>
      <w:r w:rsidR="00D559FB" w:rsidRPr="009A3D66">
        <w:rPr>
          <w:rFonts w:ascii="Palatino Linotype" w:eastAsia="Palatino Linotype" w:hAnsi="Palatino Linotype" w:cs="Palatino Linotype"/>
          <w:b/>
        </w:rPr>
        <w:t xml:space="preserve"> </w:t>
      </w:r>
      <w:r w:rsidR="001C7434" w:rsidRPr="009A3D66">
        <w:rPr>
          <w:rFonts w:ascii="Palatino Linotype" w:eastAsia="Palatino Linotype" w:hAnsi="Palatino Linotype" w:cs="Palatino Linotype"/>
          <w:b/>
        </w:rPr>
        <w:t>de d</w:t>
      </w:r>
      <w:r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el </w:t>
      </w:r>
      <w:r w:rsidR="00C34C4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537FB174" w:rsidR="009B616B" w:rsidRPr="009A3D66" w:rsidRDefault="005A212F" w:rsidP="00DD62BE">
      <w:pPr>
        <w:spacing w:before="240" w:after="240"/>
        <w:ind w:left="851" w:right="902"/>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8A1645" w:rsidRPr="008A1645">
        <w:rPr>
          <w:rFonts w:ascii="Palatino Linotype" w:eastAsia="Palatino Linotype" w:hAnsi="Palatino Linotype" w:cs="Palatino Linotype"/>
          <w:i/>
          <w:sz w:val="22"/>
          <w:szCs w:val="22"/>
        </w:rPr>
        <w:t>En atención a la solicitud de información número 00702/TOLUCA/IP/2022, me permito adjuntar al presente la respuesta correspondiente. Sin más por el momento, le envío un cordial saludo</w:t>
      </w:r>
      <w:r w:rsidR="009C2C50" w:rsidRPr="009A3D66">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7520D3A" w14:textId="07CC4F08" w:rsidR="009C2C50"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El </w:t>
      </w:r>
      <w:r w:rsidR="00C34C45" w:rsidRPr="009A3D66">
        <w:rPr>
          <w:rFonts w:ascii="Palatino Linotype" w:eastAsia="Palatino Linotype" w:hAnsi="Palatino Linotype" w:cs="Palatino Linotype"/>
          <w:b/>
        </w:rPr>
        <w:t>SUJETO OBLIGADO</w:t>
      </w:r>
      <w:r w:rsidR="00C34C4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adjuntó </w:t>
      </w:r>
      <w:r w:rsidR="00C34C45">
        <w:rPr>
          <w:rFonts w:ascii="Palatino Linotype" w:eastAsia="Palatino Linotype" w:hAnsi="Palatino Linotype" w:cs="Palatino Linotype"/>
        </w:rPr>
        <w:t>el siguiente archivo</w:t>
      </w:r>
      <w:r w:rsidR="009C2C50" w:rsidRPr="009A3D66">
        <w:rPr>
          <w:rFonts w:ascii="Palatino Linotype" w:eastAsia="Palatino Linotype" w:hAnsi="Palatino Linotype" w:cs="Palatino Linotype"/>
        </w:rPr>
        <w:t>:</w:t>
      </w:r>
    </w:p>
    <w:p w14:paraId="0D2FA591" w14:textId="5C817454" w:rsidR="009C2C50" w:rsidRDefault="009C2C50"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w:t>
      </w:r>
      <w:hyperlink r:id="rId8" w:tgtFrame="_blank" w:history="1">
        <w:r w:rsidR="008A1645" w:rsidRPr="008A1645">
          <w:rPr>
            <w:rFonts w:ascii="Palatino Linotype" w:eastAsia="Palatino Linotype" w:hAnsi="Palatino Linotype" w:cs="Palatino Linotype"/>
          </w:rPr>
          <w:t>Saimex 00702.pdf</w:t>
        </w:r>
      </w:hyperlink>
      <w:r w:rsidRPr="00C34C45">
        <w:rPr>
          <w:rFonts w:ascii="Palatino Linotype" w:eastAsia="Palatino Linotype" w:hAnsi="Palatino Linotype" w:cs="Palatino Linotype"/>
        </w:rPr>
        <w:t xml:space="preserve">”, </w:t>
      </w:r>
      <w:r w:rsidR="00DA08A3" w:rsidRPr="00163562">
        <w:rPr>
          <w:rFonts w:ascii="Palatino Linotype" w:eastAsia="Palatino Linotype" w:hAnsi="Palatino Linotype" w:cs="Palatino Linotype"/>
        </w:rPr>
        <w:t xml:space="preserve">que consiste en la notificación </w:t>
      </w:r>
      <w:r w:rsidR="00C3742C" w:rsidRPr="00163562">
        <w:rPr>
          <w:rFonts w:ascii="Palatino Linotype" w:eastAsia="Palatino Linotype" w:hAnsi="Palatino Linotype" w:cs="Palatino Linotype"/>
        </w:rPr>
        <w:t>por parte</w:t>
      </w:r>
      <w:r w:rsidR="00055BAA" w:rsidRPr="00163562">
        <w:rPr>
          <w:rFonts w:ascii="Palatino Linotype" w:eastAsia="Palatino Linotype" w:hAnsi="Palatino Linotype" w:cs="Palatino Linotype"/>
        </w:rPr>
        <w:t xml:space="preserve"> de la Unidad de Transparencia, </w:t>
      </w:r>
      <w:r w:rsidR="00DA08A3" w:rsidRPr="00163562">
        <w:rPr>
          <w:rFonts w:ascii="Palatino Linotype" w:eastAsia="Palatino Linotype" w:hAnsi="Palatino Linotype" w:cs="Palatino Linotype"/>
        </w:rPr>
        <w:t>de la respuesta</w:t>
      </w:r>
      <w:r w:rsidR="00193D95" w:rsidRPr="00163562">
        <w:rPr>
          <w:rFonts w:ascii="Palatino Linotype" w:eastAsia="Palatino Linotype" w:hAnsi="Palatino Linotype" w:cs="Palatino Linotype"/>
        </w:rPr>
        <w:t xml:space="preserve"> a la solicitante</w:t>
      </w:r>
      <w:r w:rsidR="0024649A" w:rsidRPr="00163562">
        <w:rPr>
          <w:rFonts w:ascii="Palatino Linotype" w:eastAsia="Palatino Linotype" w:hAnsi="Palatino Linotype" w:cs="Palatino Linotype"/>
        </w:rPr>
        <w:t xml:space="preserve"> </w:t>
      </w:r>
      <w:r w:rsidR="00163562">
        <w:rPr>
          <w:rFonts w:ascii="Palatino Linotype" w:eastAsia="Palatino Linotype" w:hAnsi="Palatino Linotype" w:cs="Palatino Linotype"/>
        </w:rPr>
        <w:t xml:space="preserve">proporcionada por los servidores públicos habilitados de la Dirección </w:t>
      </w:r>
      <w:r w:rsidR="006A56C5">
        <w:rPr>
          <w:rFonts w:ascii="Palatino Linotype" w:eastAsia="Palatino Linotype" w:hAnsi="Palatino Linotype" w:cs="Palatino Linotype"/>
        </w:rPr>
        <w:t>General de Servicios Públicos</w:t>
      </w:r>
      <w:r w:rsidR="00163562">
        <w:rPr>
          <w:rFonts w:ascii="Palatino Linotype" w:eastAsia="Palatino Linotype" w:hAnsi="Palatino Linotype" w:cs="Palatino Linotype"/>
        </w:rPr>
        <w:t xml:space="preserve">, Dirección de Alumbrado Público, Titular del Centro de Control y Bienestar Animal de Toluca, Director General de Medio Ambiente y Director General de Seguridad y Protección, </w:t>
      </w:r>
      <w:r w:rsidR="00B51EB7">
        <w:rPr>
          <w:rFonts w:ascii="Palatino Linotype" w:eastAsia="Palatino Linotype" w:hAnsi="Palatino Linotype" w:cs="Palatino Linotype"/>
        </w:rPr>
        <w:t xml:space="preserve">a través de las cuales dieron contestación a cada uno de los requerimientos de la particular. </w:t>
      </w:r>
    </w:p>
    <w:p w14:paraId="33E8323B" w14:textId="5114769D" w:rsidR="009B616B"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3. Interposición del recurso de revisión. </w:t>
      </w:r>
      <w:r w:rsidRPr="009A3D66">
        <w:rPr>
          <w:rFonts w:ascii="Palatino Linotype" w:eastAsia="Palatino Linotype" w:hAnsi="Palatino Linotype" w:cs="Palatino Linotype"/>
        </w:rPr>
        <w:t xml:space="preserve">Inconforme con los términos de la respuesta emitida por parte del </w:t>
      </w:r>
      <w:r w:rsidR="005007A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xml:space="preserve">, el </w:t>
      </w:r>
      <w:r w:rsidR="00B51EB7">
        <w:rPr>
          <w:rFonts w:ascii="Palatino Linotype" w:eastAsia="Palatino Linotype" w:hAnsi="Palatino Linotype" w:cs="Palatino Linotype"/>
          <w:b/>
        </w:rPr>
        <w:t>siete de abril</w:t>
      </w:r>
      <w:r w:rsidR="00C716F7"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b/>
        </w:rPr>
        <w:t>de dos mil veinti</w:t>
      </w:r>
      <w:r w:rsidR="00C716F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recurrente interpuso el recurso de revisión a través de </w:t>
      </w:r>
      <w:r w:rsidRPr="009A3D66">
        <w:rPr>
          <w:rFonts w:ascii="Palatino Linotype" w:eastAsia="Palatino Linotype" w:hAnsi="Palatino Linotype" w:cs="Palatino Linotype"/>
          <w:b/>
        </w:rPr>
        <w:t xml:space="preserve">SAIMEX, </w:t>
      </w:r>
      <w:r w:rsidRPr="009A3D66">
        <w:rPr>
          <w:rFonts w:ascii="Palatino Linotype" w:eastAsia="Palatino Linotype" w:hAnsi="Palatino Linotype" w:cs="Palatino Linotype"/>
        </w:rPr>
        <w:t>en donde se manifestó de la siguiente manera:</w:t>
      </w: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Acto impugnado: </w:t>
      </w:r>
      <w:r w:rsidRPr="009A3D66">
        <w:rPr>
          <w:rFonts w:ascii="Palatino Linotype" w:eastAsia="Palatino Linotype" w:hAnsi="Palatino Linotype" w:cs="Palatino Linotype"/>
          <w:b/>
        </w:rPr>
        <w:tab/>
      </w:r>
    </w:p>
    <w:p w14:paraId="40C4CC91" w14:textId="368C5888" w:rsidR="009B616B" w:rsidRPr="009A3D66" w:rsidRDefault="005A212F" w:rsidP="005140EA">
      <w:pPr>
        <w:spacing w:line="360" w:lineRule="auto"/>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B51EB7">
        <w:rPr>
          <w:rFonts w:ascii="Palatino Linotype" w:eastAsia="Palatino Linotype" w:hAnsi="Palatino Linotype" w:cs="Palatino Linotype"/>
          <w:i/>
          <w:sz w:val="22"/>
          <w:szCs w:val="22"/>
        </w:rPr>
        <w:t>LA RESPUESTA</w:t>
      </w:r>
      <w:r w:rsidR="005007A5" w:rsidRPr="005007A5">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5007A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4E894CE9" w:rsidR="009B616B" w:rsidRPr="00B51EB7" w:rsidRDefault="005A212F" w:rsidP="00B51EB7">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9A3D66">
        <w:rPr>
          <w:rFonts w:ascii="Palatino Linotype" w:eastAsia="Palatino Linotype" w:hAnsi="Palatino Linotype" w:cs="Palatino Linotype"/>
          <w:i/>
          <w:sz w:val="22"/>
          <w:szCs w:val="22"/>
        </w:rPr>
        <w:t xml:space="preserve"> </w:t>
      </w:r>
      <w:r w:rsidRPr="00B51EB7">
        <w:rPr>
          <w:rFonts w:ascii="Palatino Linotype" w:eastAsia="Palatino Linotype" w:hAnsi="Palatino Linotype" w:cs="Palatino Linotype"/>
          <w:i/>
          <w:sz w:val="22"/>
          <w:szCs w:val="22"/>
        </w:rPr>
        <w:t>“</w:t>
      </w:r>
      <w:r w:rsidR="00B51EB7" w:rsidRPr="00B51EB7">
        <w:rPr>
          <w:rFonts w:ascii="Palatino Linotype" w:eastAsia="Palatino Linotype" w:hAnsi="Palatino Linotype" w:cs="Palatino Linotype"/>
          <w:i/>
          <w:sz w:val="22"/>
          <w:szCs w:val="22"/>
        </w:rPr>
        <w:t>LA RESPUESTA QUE FUE ENTREGADA POR LA TITULAR DE LA UNIDAD DE TRANSPARENCIA ESTA INCOMPLETA.</w:t>
      </w:r>
      <w:r w:rsidR="005007A5" w:rsidRPr="00B51EB7">
        <w:rPr>
          <w:rFonts w:ascii="Palatino Linotype" w:eastAsia="Palatino Linotype" w:hAnsi="Palatino Linotype" w:cs="Palatino Linotype"/>
          <w:i/>
          <w:sz w:val="22"/>
          <w:szCs w:val="22"/>
        </w:rPr>
        <w:t>” (S</w:t>
      </w:r>
      <w:r w:rsidRPr="00B51EB7">
        <w:rPr>
          <w:rFonts w:ascii="Palatino Linotype" w:eastAsia="Palatino Linotype" w:hAnsi="Palatino Linotype" w:cs="Palatino Linotype"/>
          <w:i/>
          <w:sz w:val="22"/>
          <w:szCs w:val="22"/>
        </w:rPr>
        <w:t>ic)</w:t>
      </w:r>
    </w:p>
    <w:p w14:paraId="3A570A67" w14:textId="77777777" w:rsidR="005007A5" w:rsidRPr="00B51EB7" w:rsidRDefault="005007A5" w:rsidP="00B51EB7">
      <w:pPr>
        <w:spacing w:line="360" w:lineRule="auto"/>
        <w:ind w:left="851" w:right="900"/>
        <w:jc w:val="both"/>
        <w:rPr>
          <w:rFonts w:ascii="Palatino Linotype" w:eastAsia="Palatino Linotype" w:hAnsi="Palatino Linotype" w:cs="Palatino Linotype"/>
          <w:i/>
          <w:sz w:val="22"/>
          <w:szCs w:val="22"/>
        </w:rPr>
      </w:pPr>
    </w:p>
    <w:p w14:paraId="51084E69" w14:textId="77777777" w:rsidR="009B616B" w:rsidRDefault="005A212F" w:rsidP="005007A5">
      <w:pPr>
        <w:spacing w:before="240" w:after="240" w:line="360" w:lineRule="auto"/>
        <w:ind w:right="51"/>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4. Turno. </w:t>
      </w:r>
      <w:r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a Comisionada</w:t>
      </w:r>
      <w:r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a efecto de que analizara sobre su admisión o su desechamiento.</w:t>
      </w:r>
    </w:p>
    <w:p w14:paraId="23D10F9E" w14:textId="77777777" w:rsidR="005007A5" w:rsidRPr="009A3D66"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6B2C7326"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5. Admisión del Recurso de revisión.</w:t>
      </w:r>
      <w:r w:rsidRPr="009A3D66">
        <w:rPr>
          <w:rFonts w:ascii="Palatino Linotype" w:eastAsia="Palatino Linotype" w:hAnsi="Palatino Linotype" w:cs="Palatino Linotype"/>
        </w:rPr>
        <w:t xml:space="preserve"> Con fecha</w:t>
      </w:r>
      <w:r w:rsidRPr="009A3D66">
        <w:rPr>
          <w:rFonts w:ascii="Palatino Linotype" w:eastAsia="Palatino Linotype" w:hAnsi="Palatino Linotype" w:cs="Palatino Linotype"/>
          <w:b/>
        </w:rPr>
        <w:t xml:space="preserve"> </w:t>
      </w:r>
      <w:r w:rsidR="00B51EB7">
        <w:rPr>
          <w:rFonts w:ascii="Palatino Linotype" w:eastAsia="Palatino Linotype" w:hAnsi="Palatino Linotype" w:cs="Palatino Linotype"/>
          <w:b/>
        </w:rPr>
        <w:t>diecinueve de abril</w:t>
      </w:r>
      <w:r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007A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presentara su informe justificado.</w:t>
      </w:r>
    </w:p>
    <w:p w14:paraId="26919DD6" w14:textId="2E2A4844" w:rsidR="00846413" w:rsidRPr="009A3D66" w:rsidRDefault="005A212F" w:rsidP="00062525">
      <w:pPr>
        <w:spacing w:after="240" w:line="360" w:lineRule="auto"/>
        <w:jc w:val="both"/>
        <w:rPr>
          <w:rFonts w:ascii="Palatino Linotype" w:hAnsi="Palatino Linotype"/>
        </w:rPr>
      </w:pPr>
      <w:r w:rsidRPr="009A3D66">
        <w:rPr>
          <w:rFonts w:ascii="Palatino Linotype" w:eastAsia="Palatino Linotype" w:hAnsi="Palatino Linotype" w:cs="Palatino Linotype"/>
          <w:b/>
        </w:rPr>
        <w:t>6. Manifestaciones</w:t>
      </w:r>
      <w:r w:rsidRPr="009A3D66">
        <w:rPr>
          <w:rFonts w:ascii="Palatino Linotype" w:eastAsia="Palatino Linotype" w:hAnsi="Palatino Linotype" w:cs="Palatino Linotype"/>
        </w:rPr>
        <w:t xml:space="preserve">. </w:t>
      </w:r>
      <w:bookmarkStart w:id="3" w:name="_Hlk96343091"/>
      <w:r w:rsidR="00062525" w:rsidRPr="009A3D66">
        <w:rPr>
          <w:rFonts w:ascii="Palatino Linotype" w:hAnsi="Palatino Linotype"/>
        </w:rPr>
        <w:t xml:space="preserve">En fecha </w:t>
      </w:r>
      <w:r w:rsidR="005007A5">
        <w:rPr>
          <w:rFonts w:ascii="Palatino Linotype" w:eastAsia="Palatino Linotype" w:hAnsi="Palatino Linotype" w:cs="Palatino Linotype"/>
          <w:b/>
          <w:bCs/>
        </w:rPr>
        <w:t>veintiocho</w:t>
      </w:r>
      <w:r w:rsidR="00B51EB7">
        <w:rPr>
          <w:rFonts w:ascii="Palatino Linotype" w:eastAsia="Palatino Linotype" w:hAnsi="Palatino Linotype" w:cs="Palatino Linotype"/>
          <w:b/>
          <w:bCs/>
        </w:rPr>
        <w:t xml:space="preserve"> de abril</w:t>
      </w:r>
      <w:r w:rsidR="00062525" w:rsidRPr="009A3D66">
        <w:rPr>
          <w:rFonts w:ascii="Palatino Linotype" w:eastAsia="Palatino Linotype" w:hAnsi="Palatino Linotype" w:cs="Palatino Linotype"/>
          <w:b/>
          <w:bCs/>
        </w:rPr>
        <w:t xml:space="preserve">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5007A5" w:rsidRPr="009A3D66">
        <w:rPr>
          <w:rFonts w:ascii="Palatino Linotype" w:hAnsi="Palatino Linotype" w:cs="Arial"/>
          <w:b/>
        </w:rPr>
        <w:t>SUJETO OBLIGADO</w:t>
      </w:r>
      <w:r w:rsidR="00062525" w:rsidRPr="009A3D66">
        <w:rPr>
          <w:rFonts w:ascii="Palatino Linotype" w:hAnsi="Palatino Linotype" w:cs="Arial"/>
          <w:b/>
        </w:rPr>
        <w:t xml:space="preserve">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r w:rsidR="00FB2214" w:rsidRPr="009A3D66">
        <w:rPr>
          <w:rFonts w:ascii="Palatino Linotype" w:hAnsi="Palatino Linotype"/>
        </w:rPr>
        <w:t>su informe justificado</w:t>
      </w:r>
      <w:bookmarkEnd w:id="3"/>
      <w:r w:rsidR="00FB2214" w:rsidRPr="009A3D66">
        <w:rPr>
          <w:rFonts w:ascii="Palatino Linotype" w:hAnsi="Palatino Linotype"/>
        </w:rPr>
        <w:t>, mediante el cual ratifica en lo sustancial la respuesta proporcionada en primera instancia, asimismo, respecto del motivo de i</w:t>
      </w:r>
      <w:r w:rsidR="00D30AAC" w:rsidRPr="009A3D66">
        <w:rPr>
          <w:rFonts w:ascii="Palatino Linotype" w:hAnsi="Palatino Linotype"/>
        </w:rPr>
        <w:t xml:space="preserve">nconformidad aducido </w:t>
      </w:r>
      <w:r w:rsidR="00A704E9" w:rsidRPr="009A3D66">
        <w:rPr>
          <w:rFonts w:ascii="Palatino Linotype" w:hAnsi="Palatino Linotype"/>
        </w:rPr>
        <w:t xml:space="preserve">por el particular, indicó que </w:t>
      </w:r>
      <w:r w:rsidR="00DD7F26" w:rsidRPr="009A3D66">
        <w:rPr>
          <w:rFonts w:ascii="Palatino Linotype" w:hAnsi="Palatino Linotype"/>
        </w:rPr>
        <w:t xml:space="preserve">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w:t>
      </w:r>
      <w:r w:rsidR="00FE5490" w:rsidRPr="009A3D66">
        <w:rPr>
          <w:rFonts w:ascii="Palatino Linotype" w:hAnsi="Palatino Linotype"/>
        </w:rPr>
        <w:t>acreditándolo con la captura de pantalla del apartado de requerimientos del SAIMEX</w:t>
      </w:r>
      <w:r w:rsidR="005007A5">
        <w:rPr>
          <w:rFonts w:ascii="Palatino Linotype" w:hAnsi="Palatino Linotype"/>
        </w:rPr>
        <w:t>.</w:t>
      </w:r>
    </w:p>
    <w:p w14:paraId="6B872D95" w14:textId="22D6E3ED" w:rsidR="00062525" w:rsidRPr="009A3D66" w:rsidRDefault="00846413" w:rsidP="00062525">
      <w:pPr>
        <w:spacing w:after="240" w:line="360" w:lineRule="auto"/>
        <w:jc w:val="both"/>
        <w:rPr>
          <w:rFonts w:ascii="Palatino Linotype" w:hAnsi="Palatino Linotype"/>
        </w:rPr>
      </w:pPr>
      <w:r w:rsidRPr="009A3D66">
        <w:rPr>
          <w:rFonts w:ascii="Palatino Linotype" w:hAnsi="Palatino Linotype"/>
        </w:rPr>
        <w:lastRenderedPageBreak/>
        <w:t>D</w:t>
      </w:r>
      <w:r w:rsidR="009C448E">
        <w:rPr>
          <w:rFonts w:ascii="Palatino Linotype" w:hAnsi="Palatino Linotype"/>
        </w:rPr>
        <w:t>ocumento</w:t>
      </w:r>
      <w:r w:rsidR="00062525" w:rsidRPr="009A3D66">
        <w:rPr>
          <w:rFonts w:ascii="Palatino Linotype" w:hAnsi="Palatino Linotype"/>
        </w:rPr>
        <w:t xml:space="preserve"> que, una vez analizados, se hicieron del conocimiento de la parte </w:t>
      </w:r>
      <w:r w:rsidR="005007A5" w:rsidRPr="009A3D66">
        <w:rPr>
          <w:rFonts w:ascii="Palatino Linotype" w:hAnsi="Palatino Linotype"/>
          <w:b/>
          <w:bCs/>
        </w:rPr>
        <w:t>RECURRENTE</w:t>
      </w:r>
      <w:r w:rsidR="00062525" w:rsidRPr="009A3D66">
        <w:rPr>
          <w:rFonts w:ascii="Palatino Linotype" w:hAnsi="Palatino Linotype"/>
        </w:rPr>
        <w:t xml:space="preserve"> a efecto de que manifestara lo que a su derecho estimara conveniente, sin e</w:t>
      </w:r>
      <w:r w:rsidR="00576D4A">
        <w:rPr>
          <w:rFonts w:ascii="Palatino Linotype" w:hAnsi="Palatino Linotype"/>
        </w:rPr>
        <w:t>0</w:t>
      </w:r>
      <w:r w:rsidR="00062525" w:rsidRPr="009A3D66">
        <w:rPr>
          <w:rFonts w:ascii="Palatino Linotype" w:hAnsi="Palatino Linotype"/>
        </w:rPr>
        <w:t>mbargo, fue omiso en ejercer dicha prerrogativa en el plazo establecido para tal efecto.</w:t>
      </w:r>
    </w:p>
    <w:p w14:paraId="3F6205E6" w14:textId="3C908753" w:rsidR="009C448E" w:rsidRDefault="005A212F" w:rsidP="009C448E">
      <w:pPr>
        <w:widowControl w:val="0"/>
        <w:spacing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7. </w:t>
      </w:r>
      <w:r w:rsidR="009C448E">
        <w:rPr>
          <w:rFonts w:ascii="Palatino Linotype" w:eastAsia="Palatino Linotype" w:hAnsi="Palatino Linotype" w:cs="Palatino Linotype"/>
          <w:b/>
        </w:rPr>
        <w:t>Ampliación del plazo.</w:t>
      </w:r>
      <w:r w:rsidR="009C448E">
        <w:rPr>
          <w:rFonts w:ascii="Palatino Linotype" w:eastAsia="Palatino Linotype" w:hAnsi="Palatino Linotype" w:cs="Palatino Linotype"/>
        </w:rPr>
        <w:t xml:space="preserve"> En fecha tres de agosto del año dos mil veintidós, con fundamento en el artículo 181, párrafo tercero de la Ley de Transparencia y Acceso a la Información Pública del Estado de México y Municipios, se acordó la ampliación del plazo para su resolución.</w:t>
      </w:r>
    </w:p>
    <w:p w14:paraId="2E890C71"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AAF1441" w14:textId="77777777" w:rsidR="009C448E" w:rsidRDefault="009C448E" w:rsidP="009C448E">
      <w:pPr>
        <w:spacing w:line="360" w:lineRule="auto"/>
        <w:jc w:val="both"/>
        <w:rPr>
          <w:rFonts w:ascii="Palatino Linotype" w:eastAsia="Palatino Linotype" w:hAnsi="Palatino Linotype" w:cs="Palatino Linotype"/>
        </w:rPr>
      </w:pPr>
    </w:p>
    <w:p w14:paraId="09A8ED37"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A1042A" w14:textId="77777777" w:rsidR="009C448E" w:rsidRDefault="009C448E" w:rsidP="009C448E">
      <w:pPr>
        <w:spacing w:line="360" w:lineRule="auto"/>
        <w:jc w:val="both"/>
        <w:rPr>
          <w:rFonts w:ascii="Palatino Linotype" w:eastAsia="Palatino Linotype" w:hAnsi="Palatino Linotype" w:cs="Palatino Linotype"/>
        </w:rPr>
      </w:pPr>
    </w:p>
    <w:p w14:paraId="2C29870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02E64EC" w14:textId="77777777" w:rsidR="009C448E" w:rsidRDefault="009C448E" w:rsidP="009C448E">
      <w:pPr>
        <w:spacing w:line="360" w:lineRule="auto"/>
        <w:jc w:val="both"/>
        <w:rPr>
          <w:rFonts w:ascii="Palatino Linotype" w:eastAsia="Palatino Linotype" w:hAnsi="Palatino Linotype" w:cs="Palatino Linotype"/>
        </w:rPr>
      </w:pPr>
    </w:p>
    <w:p w14:paraId="1EE286D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35C4038" w14:textId="77777777" w:rsidR="009C448E" w:rsidRDefault="009C448E" w:rsidP="009C448E">
      <w:pPr>
        <w:spacing w:line="360" w:lineRule="auto"/>
        <w:jc w:val="both"/>
        <w:rPr>
          <w:rFonts w:ascii="Palatino Linotype" w:eastAsia="Palatino Linotype" w:hAnsi="Palatino Linotype" w:cs="Palatino Linotype"/>
        </w:rPr>
      </w:pPr>
    </w:p>
    <w:p w14:paraId="35189B2E" w14:textId="77777777" w:rsidR="009C448E" w:rsidRDefault="009C448E" w:rsidP="009C448E">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C0610DA" w14:textId="77777777" w:rsidR="009C448E" w:rsidRDefault="009C448E" w:rsidP="009C448E">
      <w:pPr>
        <w:spacing w:line="360" w:lineRule="auto"/>
        <w:jc w:val="both"/>
        <w:rPr>
          <w:rFonts w:ascii="Palatino Linotype" w:eastAsia="Palatino Linotype" w:hAnsi="Palatino Linotype" w:cs="Palatino Linotype"/>
        </w:rPr>
      </w:pPr>
    </w:p>
    <w:p w14:paraId="5FC12634"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FE37CC6" w14:textId="77777777" w:rsidR="009C448E" w:rsidRDefault="009C448E" w:rsidP="009C448E">
      <w:pPr>
        <w:spacing w:line="360" w:lineRule="auto"/>
        <w:ind w:left="927"/>
        <w:jc w:val="both"/>
        <w:rPr>
          <w:rFonts w:ascii="Palatino Linotype" w:eastAsia="Palatino Linotype" w:hAnsi="Palatino Linotype" w:cs="Palatino Linotype"/>
        </w:rPr>
      </w:pPr>
    </w:p>
    <w:p w14:paraId="25367047"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347E1E0C" w14:textId="77777777" w:rsidR="009C448E" w:rsidRDefault="009C448E" w:rsidP="009C448E">
      <w:pPr>
        <w:spacing w:line="360" w:lineRule="auto"/>
        <w:jc w:val="both"/>
        <w:rPr>
          <w:rFonts w:ascii="Palatino Linotype" w:eastAsia="Palatino Linotype" w:hAnsi="Palatino Linotype" w:cs="Palatino Linotype"/>
        </w:rPr>
      </w:pPr>
    </w:p>
    <w:p w14:paraId="65538C6C" w14:textId="77777777" w:rsidR="009C448E" w:rsidRDefault="009C448E" w:rsidP="009C448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513EF1CF" w14:textId="77777777" w:rsidR="009C448E" w:rsidRDefault="009C448E" w:rsidP="009C448E">
      <w:pPr>
        <w:spacing w:line="360" w:lineRule="auto"/>
        <w:ind w:left="708"/>
        <w:rPr>
          <w:rFonts w:ascii="Palatino Linotype" w:eastAsia="Palatino Linotype" w:hAnsi="Palatino Linotype" w:cs="Palatino Linotype"/>
        </w:rPr>
      </w:pPr>
    </w:p>
    <w:p w14:paraId="76CF8596" w14:textId="77777777" w:rsidR="009C448E" w:rsidRDefault="009C448E" w:rsidP="009C448E">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1244C135" w14:textId="77777777" w:rsidR="009C448E" w:rsidRDefault="009C448E" w:rsidP="009C448E">
      <w:pPr>
        <w:spacing w:line="360" w:lineRule="auto"/>
        <w:jc w:val="both"/>
        <w:rPr>
          <w:rFonts w:ascii="Palatino Linotype" w:eastAsia="Palatino Linotype" w:hAnsi="Palatino Linotype" w:cs="Palatino Linotype"/>
        </w:rPr>
      </w:pPr>
    </w:p>
    <w:p w14:paraId="72B4CF84"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D89DCD0" w14:textId="77777777" w:rsidR="009C448E" w:rsidRDefault="009C448E" w:rsidP="009C448E">
      <w:pPr>
        <w:spacing w:line="360" w:lineRule="auto"/>
        <w:jc w:val="both"/>
        <w:rPr>
          <w:rFonts w:ascii="Palatino Linotype" w:eastAsia="Palatino Linotype" w:hAnsi="Palatino Linotype" w:cs="Palatino Linotype"/>
        </w:rPr>
      </w:pPr>
    </w:p>
    <w:p w14:paraId="4CE8D3BB" w14:textId="77777777" w:rsidR="009C448E" w:rsidRDefault="009C448E" w:rsidP="009C448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1B0F814E" w14:textId="77777777" w:rsidR="009C448E" w:rsidRDefault="009C448E" w:rsidP="009C448E">
      <w:pPr>
        <w:spacing w:line="360" w:lineRule="auto"/>
        <w:jc w:val="both"/>
        <w:rPr>
          <w:rFonts w:ascii="Palatino Linotype" w:eastAsia="Palatino Linotype" w:hAnsi="Palatino Linotype" w:cs="Palatino Linotype"/>
        </w:rPr>
      </w:pPr>
    </w:p>
    <w:p w14:paraId="3CE0550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052B5A52" w14:textId="77777777" w:rsidR="009C448E" w:rsidRDefault="009C448E" w:rsidP="009C448E">
      <w:pPr>
        <w:spacing w:line="360" w:lineRule="auto"/>
        <w:jc w:val="both"/>
        <w:rPr>
          <w:rFonts w:ascii="Palatino Linotype" w:eastAsia="Palatino Linotype" w:hAnsi="Palatino Linotype" w:cs="Palatino Linotype"/>
        </w:rPr>
      </w:pPr>
    </w:p>
    <w:p w14:paraId="6B34AEA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1D9668" w14:textId="77777777" w:rsidR="009C448E" w:rsidRDefault="009C448E" w:rsidP="009C448E">
      <w:pPr>
        <w:spacing w:line="360" w:lineRule="auto"/>
        <w:jc w:val="both"/>
        <w:rPr>
          <w:rFonts w:ascii="Palatino Linotype" w:eastAsia="Palatino Linotype" w:hAnsi="Palatino Linotype" w:cs="Palatino Linotype"/>
        </w:rPr>
      </w:pPr>
    </w:p>
    <w:p w14:paraId="0D200E4B"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1D1060D" w14:textId="77777777" w:rsidR="009C448E" w:rsidRDefault="009C448E" w:rsidP="009C448E">
      <w:pPr>
        <w:spacing w:line="360" w:lineRule="auto"/>
        <w:jc w:val="both"/>
        <w:rPr>
          <w:rFonts w:ascii="Palatino Linotype" w:eastAsia="Palatino Linotype" w:hAnsi="Palatino Linotype" w:cs="Palatino Linotype"/>
          <w:b/>
        </w:rPr>
      </w:pPr>
    </w:p>
    <w:p w14:paraId="6AE1DA0A"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576B01C" w14:textId="77777777" w:rsidR="009C448E" w:rsidRDefault="009C448E" w:rsidP="009C448E">
      <w:pPr>
        <w:spacing w:line="360" w:lineRule="auto"/>
        <w:jc w:val="both"/>
        <w:rPr>
          <w:rFonts w:ascii="Palatino Linotype" w:eastAsia="Palatino Linotype" w:hAnsi="Palatino Linotype" w:cs="Palatino Linotype"/>
        </w:rPr>
      </w:pPr>
    </w:p>
    <w:p w14:paraId="654F1363" w14:textId="77777777" w:rsidR="009C448E" w:rsidRDefault="009C448E" w:rsidP="009C448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35B3FFB" w14:textId="77777777" w:rsidR="009C448E" w:rsidRDefault="009C448E" w:rsidP="00062525">
      <w:pPr>
        <w:spacing w:before="240" w:after="240" w:line="360" w:lineRule="auto"/>
        <w:jc w:val="both"/>
        <w:rPr>
          <w:rFonts w:ascii="Palatino Linotype" w:eastAsia="Palatino Linotype" w:hAnsi="Palatino Linotype" w:cs="Palatino Linotype"/>
          <w:b/>
        </w:rPr>
      </w:pPr>
    </w:p>
    <w:p w14:paraId="4DC040D4" w14:textId="77777777" w:rsidR="009C448E" w:rsidRDefault="009C448E" w:rsidP="00062525">
      <w:pPr>
        <w:spacing w:before="240" w:after="240" w:line="360" w:lineRule="auto"/>
        <w:jc w:val="both"/>
        <w:rPr>
          <w:rFonts w:ascii="Palatino Linotype" w:eastAsia="Palatino Linotype" w:hAnsi="Palatino Linotype" w:cs="Palatino Linotype"/>
          <w:b/>
        </w:rPr>
      </w:pPr>
    </w:p>
    <w:p w14:paraId="4D6662E0" w14:textId="0719F5A1" w:rsidR="002F1BD1" w:rsidRPr="009A3D66" w:rsidRDefault="00576D4A" w:rsidP="000625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w:t>
      </w:r>
      <w:r w:rsidR="002F1BD1" w:rsidRPr="009A3D66">
        <w:rPr>
          <w:rFonts w:ascii="Palatino Linotype" w:eastAsia="Palatino Linotype" w:hAnsi="Palatino Linotype" w:cs="Palatino Linotype"/>
          <w:b/>
        </w:rPr>
        <w:t xml:space="preserve">Cierre de instrucción. </w:t>
      </w:r>
      <w:r w:rsidR="002F1BD1"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002F1BD1" w:rsidRPr="00C44687">
        <w:rPr>
          <w:rFonts w:ascii="Palatino Linotype" w:eastAsia="Palatino Linotype" w:hAnsi="Palatino Linotype" w:cs="Palatino Linotype"/>
        </w:rPr>
        <w:t xml:space="preserve">fecha </w:t>
      </w:r>
      <w:r>
        <w:rPr>
          <w:rFonts w:ascii="Palatino Linotype" w:eastAsia="Palatino Linotype" w:hAnsi="Palatino Linotype" w:cs="Palatino Linotype"/>
          <w:b/>
        </w:rPr>
        <w:t>quince de agosto</w:t>
      </w:r>
      <w:r w:rsidR="002F1BD1" w:rsidRPr="00C44687">
        <w:rPr>
          <w:rFonts w:ascii="Palatino Linotype" w:eastAsia="Palatino Linotype" w:hAnsi="Palatino Linotype" w:cs="Palatino Linotype"/>
          <w:b/>
        </w:rPr>
        <w:t xml:space="preserve"> de</w:t>
      </w:r>
      <w:r w:rsidR="002F1BD1" w:rsidRPr="009A3D66">
        <w:rPr>
          <w:rFonts w:ascii="Palatino Linotype" w:eastAsia="Palatino Linotype" w:hAnsi="Palatino Linotype" w:cs="Palatino Linotype"/>
          <w:b/>
        </w:rPr>
        <w:t xml:space="preserve"> dos mil veinti</w:t>
      </w:r>
      <w:r w:rsidR="00FE567D" w:rsidRPr="009A3D66">
        <w:rPr>
          <w:rFonts w:ascii="Palatino Linotype" w:eastAsia="Palatino Linotype" w:hAnsi="Palatino Linotype" w:cs="Palatino Linotype"/>
          <w:b/>
        </w:rPr>
        <w:t>dós</w:t>
      </w:r>
      <w:r w:rsidR="002F1BD1" w:rsidRPr="009A3D6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2B794565" w:rsidR="0021743B" w:rsidRPr="009A3D66" w:rsidRDefault="000C6E90" w:rsidP="0021743B">
      <w:pPr>
        <w:spacing w:before="240" w:after="240" w:line="360" w:lineRule="auto"/>
        <w:jc w:val="both"/>
        <w:rPr>
          <w:rFonts w:ascii="Palatino Linotype" w:hAnsi="Palatino Linotype" w:cs="Arial"/>
          <w:szCs w:val="22"/>
        </w:rPr>
      </w:pPr>
      <w:bookmarkStart w:id="4" w:name="_heading=h.1fob9te" w:colFirst="0" w:colLast="0"/>
      <w:bookmarkStart w:id="5" w:name="_heading=h.tyjcwt" w:colFirst="0" w:colLast="0"/>
      <w:bookmarkEnd w:id="4"/>
      <w:bookmarkEnd w:id="5"/>
      <w:r w:rsidRPr="009A3D66">
        <w:rPr>
          <w:rFonts w:ascii="Palatino Linotype" w:hAnsi="Palatino Linotype" w:cs="Arial"/>
          <w:b/>
        </w:rPr>
        <w:lastRenderedPageBreak/>
        <w:t xml:space="preserve">Segundo. </w:t>
      </w:r>
      <w:r w:rsidR="0021743B" w:rsidRPr="009A3D66">
        <w:rPr>
          <w:rFonts w:ascii="Palatino Linotype" w:hAnsi="Palatino Linotype" w:cs="Arial"/>
          <w:b/>
          <w:szCs w:val="22"/>
        </w:rPr>
        <w:t xml:space="preserve">Oportunidad y </w:t>
      </w:r>
      <w:r w:rsidR="005007A5" w:rsidRPr="009A3D66">
        <w:rPr>
          <w:rFonts w:ascii="Palatino Linotype" w:hAnsi="Palatino Linotype" w:cs="Arial"/>
          <w:b/>
          <w:szCs w:val="22"/>
        </w:rPr>
        <w:t>Procedibilidad</w:t>
      </w:r>
      <w:r w:rsidR="0021743B" w:rsidRPr="009A3D66">
        <w:rPr>
          <w:rFonts w:ascii="Palatino Linotype" w:hAnsi="Palatino Linotype" w:cs="Arial"/>
          <w:b/>
          <w:szCs w:val="22"/>
        </w:rPr>
        <w:t xml:space="preserve"> del Recurso de Revisión. </w:t>
      </w:r>
      <w:r w:rsidR="0021743B" w:rsidRPr="009A3D66">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F1586D" w14:textId="29ED498F" w:rsidR="0021743B" w:rsidRPr="009A3D66" w:rsidRDefault="0021743B" w:rsidP="0021743B">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5007A5" w:rsidRPr="009A3D66">
        <w:rPr>
          <w:rFonts w:ascii="Palatino Linotype" w:hAnsi="Palatino Linotype" w:cs="Arial"/>
          <w:b/>
          <w:bCs/>
        </w:rPr>
        <w:t>SUJETO OBLIGADO</w:t>
      </w:r>
      <w:r w:rsidR="005007A5" w:rsidRPr="009A3D66">
        <w:rPr>
          <w:rFonts w:ascii="Palatino Linotype" w:hAnsi="Palatino Linotype" w:cs="Arial"/>
        </w:rPr>
        <w:t xml:space="preserve"> </w:t>
      </w:r>
      <w:r w:rsidRPr="009A3D66">
        <w:rPr>
          <w:rFonts w:ascii="Palatino Linotype" w:hAnsi="Palatino Linotype" w:cs="Arial"/>
        </w:rPr>
        <w:t xml:space="preserve">remitió la respuesta a la solicitud de información el día </w:t>
      </w:r>
      <w:r w:rsidR="00576D4A">
        <w:rPr>
          <w:rFonts w:ascii="Palatino Linotype" w:hAnsi="Palatino Linotype" w:cs="Arial"/>
          <w:b/>
        </w:rPr>
        <w:t>siete de abril</w:t>
      </w:r>
      <w:r w:rsidRPr="009A3D66">
        <w:rPr>
          <w:rFonts w:ascii="Palatino Linotype" w:hAnsi="Palatino Linotype" w:cs="Arial"/>
          <w:b/>
        </w:rPr>
        <w:t xml:space="preserve"> de dos mil veintidós, </w:t>
      </w:r>
      <w:r w:rsidRPr="009A3D66">
        <w:rPr>
          <w:rFonts w:ascii="Palatino Linotype" w:hAnsi="Palatino Linotype" w:cs="Arial"/>
        </w:rPr>
        <w:t xml:space="preserve">mientras que el recurso de revisión interpuesto por la parte </w:t>
      </w:r>
      <w:r w:rsidR="00576D4A" w:rsidRPr="00576D4A">
        <w:rPr>
          <w:rFonts w:ascii="Palatino Linotype" w:hAnsi="Palatino Linotype" w:cs="Arial"/>
          <w:b/>
        </w:rPr>
        <w:t>RECURRENTE</w:t>
      </w:r>
      <w:r w:rsidRPr="009A3D66">
        <w:rPr>
          <w:rFonts w:ascii="Palatino Linotype" w:hAnsi="Palatino Linotype" w:cs="Arial"/>
        </w:rPr>
        <w:t xml:space="preserve">, se tuvo por presentado </w:t>
      </w:r>
      <w:r w:rsidRPr="009A3D66">
        <w:rPr>
          <w:rFonts w:ascii="Palatino Linotype" w:hAnsi="Palatino Linotype"/>
        </w:rPr>
        <w:t xml:space="preserve">el mismo </w:t>
      </w:r>
      <w:r w:rsidRPr="009A3D66">
        <w:rPr>
          <w:rFonts w:ascii="Palatino Linotype" w:hAnsi="Palatino Linotype" w:cs="Arial"/>
        </w:rPr>
        <w:t>día hábil en que tuvo conocimiento de la respuesta impugnada.</w:t>
      </w:r>
    </w:p>
    <w:p w14:paraId="42DA0C76" w14:textId="7991A358" w:rsidR="0021743B" w:rsidRPr="009A3D66" w:rsidRDefault="0021743B" w:rsidP="0021743B">
      <w:pPr>
        <w:spacing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 xml:space="preserve">al considerar la fecha en que se formuló la solicitud y la fecha en que respondió a ésta el </w:t>
      </w:r>
      <w:r w:rsidR="005007A5" w:rsidRPr="009A3D66">
        <w:rPr>
          <w:rFonts w:ascii="Palatino Linotype" w:hAnsi="Palatino Linotype"/>
          <w:b/>
          <w:bCs/>
        </w:rPr>
        <w:t>SUJETO OBLIGADO</w:t>
      </w:r>
      <w:r w:rsidRPr="009A3D66">
        <w:rPr>
          <w:rFonts w:ascii="Palatino Linotype" w:hAnsi="Palatino Linotype"/>
        </w:rPr>
        <w:t xml:space="preserve">; así como la fecha en que se interpuso el </w:t>
      </w:r>
      <w:r w:rsidRPr="009A3D66">
        <w:rPr>
          <w:rFonts w:ascii="Palatino Linotype" w:hAnsi="Palatino Linotype"/>
        </w:rPr>
        <w:lastRenderedPageBreak/>
        <w:t>recurso de revisión, se concluye que el presente recurso de revisión se encuentra dentro de los márgenes temporales previstos las disposiciones legales referidas.</w:t>
      </w:r>
    </w:p>
    <w:p w14:paraId="421CF3EB" w14:textId="77777777" w:rsidR="0021743B" w:rsidRPr="009A3D66" w:rsidRDefault="0021743B" w:rsidP="0021743B">
      <w:pPr>
        <w:spacing w:before="240" w:after="240" w:line="360" w:lineRule="auto"/>
        <w:jc w:val="both"/>
        <w:rPr>
          <w:rFonts w:ascii="Palatino Linotype" w:hAnsi="Palatino Linotype"/>
          <w:lang w:val="es-MX"/>
        </w:rPr>
      </w:pPr>
      <w:r w:rsidRPr="009A3D66">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BC64B2C" w14:textId="77777777"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b/>
          <w:i/>
          <w:sz w:val="22"/>
          <w:lang w:val="es-MX"/>
        </w:rPr>
        <w:t>“RECURSO DE RECLAMACIÓN. SU INTERPOSICIÓN NO ES EXTEMPORÁNEA SI SE REALIZA ANTES DE QUE INICIE EL PLAZO PARA HACERLO</w:t>
      </w:r>
      <w:r w:rsidRPr="009A3D66">
        <w:rPr>
          <w:rFonts w:ascii="Palatino Linotype" w:hAnsi="Palatino Linotype"/>
          <w:i/>
          <w:sz w:val="22"/>
          <w:lang w:val="es-MX"/>
        </w:rPr>
        <w:t>.</w:t>
      </w:r>
    </w:p>
    <w:p w14:paraId="313EB7CB" w14:textId="689E57B3"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i/>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w:t>
      </w:r>
      <w:r w:rsidR="005007A5">
        <w:rPr>
          <w:rFonts w:ascii="Palatino Linotype" w:hAnsi="Palatino Linotype"/>
          <w:i/>
          <w:sz w:val="22"/>
          <w:lang w:val="es-MX"/>
        </w:rPr>
        <w:t>resentación no es extemporánea.”(Sic)</w:t>
      </w:r>
    </w:p>
    <w:p w14:paraId="4E1DB44C" w14:textId="73DDE765" w:rsidR="0021743B"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9A3D66">
        <w:rPr>
          <w:rFonts w:ascii="Palatino Linotype" w:hAnsi="Palatino Linotype" w:cs="Arial"/>
        </w:rPr>
        <w:lastRenderedPageBreak/>
        <w:t>Municipios, en atención a que fue presentado mediante el formato visible en el SAIMEX.</w:t>
      </w:r>
    </w:p>
    <w:p w14:paraId="77A22CD8" w14:textId="77777777" w:rsidR="00C2641E" w:rsidRDefault="00C2641E" w:rsidP="00C2641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según lo aducido por la recurrente en sus razones o motivos de inconformidad, de acuerdo al artículo 179, fracción V de la Ley de Transparencia y Acceso a la Información Pública del Estado de México y Municipios; que a la letra dice:</w:t>
      </w:r>
    </w:p>
    <w:p w14:paraId="239F6563" w14:textId="77777777" w:rsidR="00C2641E" w:rsidRDefault="00C2641E" w:rsidP="00C2641E">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350157D0" w14:textId="77777777" w:rsidR="00C2641E" w:rsidRDefault="00C2641E" w:rsidP="00C2641E">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p>
    <w:p w14:paraId="0F92A008" w14:textId="77777777" w:rsidR="00C2641E" w:rsidRDefault="00C2641E" w:rsidP="00C2641E">
      <w:pPr>
        <w:pBdr>
          <w:top w:val="nil"/>
          <w:left w:val="nil"/>
          <w:bottom w:val="nil"/>
          <w:right w:val="nil"/>
          <w:between w:val="nil"/>
        </w:pBdr>
        <w:spacing w:before="240" w:after="240"/>
        <w:ind w:left="992" w:right="1043"/>
        <w:contextualSpacing/>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La entrega de información incompleta…” (Sic)</w:t>
      </w:r>
    </w:p>
    <w:p w14:paraId="071201BE" w14:textId="77777777" w:rsidR="00C2641E" w:rsidRDefault="00C2641E" w:rsidP="00C2641E">
      <w:pPr>
        <w:spacing w:before="280" w:after="280" w:line="360" w:lineRule="auto"/>
        <w:contextualSpacing/>
        <w:jc w:val="both"/>
        <w:rPr>
          <w:rFonts w:ascii="Palatino Linotype" w:eastAsia="Palatino Linotype" w:hAnsi="Palatino Linotype" w:cs="Palatino Linotype"/>
          <w:b/>
          <w:color w:val="000000"/>
        </w:rPr>
      </w:pPr>
    </w:p>
    <w:p w14:paraId="7E8DE685" w14:textId="77777777" w:rsidR="00C44687" w:rsidRDefault="00C44687" w:rsidP="00C4468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1A536D9B" w14:textId="182D8E6E" w:rsidR="00C2641E" w:rsidRDefault="00C44687" w:rsidP="00C2641E">
      <w:pPr>
        <w:spacing w:before="240" w:after="240" w:line="360" w:lineRule="auto"/>
        <w:jc w:val="both"/>
        <w:rPr>
          <w:rFonts w:ascii="Palatino Linotype" w:eastAsia="Palatino Linotype" w:hAnsi="Palatino Linotype" w:cs="Palatino Linotype"/>
        </w:rPr>
      </w:pPr>
      <w:r w:rsidRPr="00C1010F">
        <w:rPr>
          <w:rFonts w:ascii="Palatino Linotype" w:hAnsi="Palatino Linotype" w:cs="Arial"/>
          <w:b/>
        </w:rPr>
        <w:t xml:space="preserve">Cuarto. Estudio de fondo del asunto. </w:t>
      </w:r>
      <w:r w:rsidR="00C2641E" w:rsidRPr="00C2641E">
        <w:rPr>
          <w:rFonts w:ascii="Palatino Linotype" w:hAnsi="Palatino Linotype" w:cs="Arial"/>
        </w:rPr>
        <w:t>E</w:t>
      </w:r>
      <w:r w:rsidR="00C2641E" w:rsidRPr="00C2641E">
        <w:rPr>
          <w:rFonts w:ascii="Palatino Linotype" w:eastAsia="Palatino Linotype" w:hAnsi="Palatino Linotype" w:cs="Palatino Linotype"/>
        </w:rPr>
        <w:t>s</w:t>
      </w:r>
      <w:r w:rsidR="00C2641E">
        <w:rPr>
          <w:rFonts w:ascii="Palatino Linotype" w:eastAsia="Palatino Linotype" w:hAnsi="Palatino Linotype" w:cs="Palatino Linotype"/>
        </w:rPr>
        <w:t xml:space="preserve"> conveniente analizar si la respuesta del </w:t>
      </w:r>
      <w:r w:rsidR="00C2641E" w:rsidRPr="00C44687">
        <w:rPr>
          <w:rFonts w:ascii="Palatino Linotype" w:eastAsia="Palatino Linotype" w:hAnsi="Palatino Linotype" w:cs="Palatino Linotype"/>
          <w:b/>
        </w:rPr>
        <w:t>SUJETO OBLIGADO</w:t>
      </w:r>
      <w:r w:rsidR="00C2641E">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00C2641E">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w:t>
      </w:r>
      <w:r w:rsidR="00C2641E">
        <w:rPr>
          <w:rFonts w:ascii="Palatino Linotype" w:eastAsia="Palatino Linotype" w:hAnsi="Palatino Linotype" w:cs="Palatino Linotype"/>
          <w:color w:val="000000"/>
        </w:rPr>
        <w:lastRenderedPageBreak/>
        <w:t>como así lo establece dicha determinación, que a continuación se trascribe para un mejor entendimiento:</w:t>
      </w:r>
    </w:p>
    <w:p w14:paraId="0DA09792" w14:textId="77777777" w:rsidR="00C2641E" w:rsidRDefault="00C2641E" w:rsidP="00C2641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E381B8" w14:textId="77777777" w:rsidR="00C2641E" w:rsidRDefault="00C2641E" w:rsidP="00C2641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6F46D34" w14:textId="77777777" w:rsidR="00C2641E" w:rsidRDefault="00C2641E" w:rsidP="00C2641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6A0E12F1" w14:textId="77777777" w:rsidR="00C2641E" w:rsidRDefault="00C2641E" w:rsidP="00C2641E">
      <w:pPr>
        <w:ind w:left="709" w:right="760"/>
        <w:jc w:val="both"/>
        <w:rPr>
          <w:rFonts w:ascii="Palatino Linotype" w:eastAsia="Palatino Linotype" w:hAnsi="Palatino Linotype" w:cs="Palatino Linotype"/>
          <w:i/>
        </w:rPr>
      </w:pPr>
    </w:p>
    <w:p w14:paraId="38F9AA74" w14:textId="77777777" w:rsidR="00C2641E" w:rsidRDefault="00C2641E" w:rsidP="00C264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D0CE421" w14:textId="77777777" w:rsidR="00C2641E" w:rsidRDefault="00C2641E" w:rsidP="00C264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298A479" w14:textId="77777777" w:rsidR="00C2641E" w:rsidRDefault="00C2641E" w:rsidP="00C2641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w:t>
      </w:r>
      <w:r>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14:paraId="44EA91AB" w14:textId="77777777" w:rsidR="00C2641E" w:rsidRDefault="00C2641E" w:rsidP="00C2641E">
      <w:pPr>
        <w:spacing w:line="360" w:lineRule="auto"/>
        <w:ind w:right="-93"/>
        <w:jc w:val="both"/>
        <w:rPr>
          <w:rFonts w:ascii="Palatino Linotype" w:eastAsia="Palatino Linotype" w:hAnsi="Palatino Linotype" w:cs="Palatino Linotype"/>
          <w:color w:val="000000"/>
        </w:rPr>
      </w:pPr>
    </w:p>
    <w:p w14:paraId="75E3338C" w14:textId="77777777" w:rsidR="00C2641E" w:rsidRDefault="00C2641E" w:rsidP="00C2641E">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sidRPr="00C44687">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83D6750" w14:textId="77777777" w:rsidR="00C2641E" w:rsidRDefault="00C2641E" w:rsidP="00C2641E">
      <w:pPr>
        <w:spacing w:line="360" w:lineRule="auto"/>
        <w:ind w:right="-93"/>
        <w:jc w:val="both"/>
        <w:rPr>
          <w:rFonts w:ascii="Palatino Linotype" w:eastAsia="Palatino Linotype" w:hAnsi="Palatino Linotype" w:cs="Palatino Linotype"/>
          <w:color w:val="000000"/>
        </w:rPr>
      </w:pPr>
    </w:p>
    <w:p w14:paraId="56B13FCD" w14:textId="77777777" w:rsidR="00C2641E" w:rsidRDefault="00C2641E" w:rsidP="00C2641E">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68E99035" w14:textId="77777777" w:rsidR="00C2641E" w:rsidRDefault="00C2641E" w:rsidP="00C2641E">
      <w:pPr>
        <w:ind w:left="851" w:right="850"/>
        <w:jc w:val="both"/>
        <w:rPr>
          <w:rFonts w:ascii="Palatino Linotype" w:hAnsi="Palatino Linotype" w:cs="Arial"/>
          <w:color w:val="000000"/>
        </w:rPr>
      </w:pPr>
    </w:p>
    <w:p w14:paraId="634E414E" w14:textId="77777777" w:rsidR="00C2641E" w:rsidRDefault="00C2641E" w:rsidP="00C2641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C2C376F" w14:textId="77777777" w:rsidR="00C2641E" w:rsidRDefault="00C2641E" w:rsidP="00C2641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7577EF4" w14:textId="77777777" w:rsidR="00C2641E" w:rsidRDefault="00C2641E" w:rsidP="00C2641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52AE4A7B" w14:textId="77777777" w:rsidR="00C2641E" w:rsidRDefault="00C2641E" w:rsidP="00C2641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036C237C" w14:textId="77777777" w:rsidR="00C2641E" w:rsidRDefault="00C2641E" w:rsidP="00C2641E">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14:paraId="6699F482" w14:textId="77777777" w:rsidR="00C2641E" w:rsidRDefault="00C2641E" w:rsidP="00C2641E">
      <w:pPr>
        <w:spacing w:line="360" w:lineRule="auto"/>
        <w:jc w:val="both"/>
        <w:rPr>
          <w:rFonts w:ascii="Palatino Linotype" w:hAnsi="Palatino Linotype" w:cs="Arial"/>
        </w:rPr>
      </w:pPr>
    </w:p>
    <w:p w14:paraId="3B45FC5D" w14:textId="77777777" w:rsidR="00C2641E" w:rsidRDefault="00C2641E" w:rsidP="00C2641E">
      <w:pPr>
        <w:spacing w:line="360" w:lineRule="auto"/>
        <w:jc w:val="both"/>
        <w:rPr>
          <w:rFonts w:ascii="Palatino Linotype" w:hAnsi="Palatino Linotype" w:cs="Arial"/>
          <w:color w:val="000000" w:themeColor="text1"/>
        </w:rPr>
      </w:pPr>
      <w:r>
        <w:rPr>
          <w:rFonts w:ascii="Palatino Linotype" w:hAnsi="Palatino Linotype" w:cs="Arial"/>
        </w:rPr>
        <w:t xml:space="preserve">En esa tesitura,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6EF4D29" w14:textId="77777777" w:rsidR="00C2641E" w:rsidRDefault="00C2641E" w:rsidP="00C2641E">
      <w:pPr>
        <w:spacing w:line="360" w:lineRule="auto"/>
        <w:jc w:val="both"/>
        <w:rPr>
          <w:rFonts w:ascii="Palatino Linotype" w:hAnsi="Palatino Linotype" w:cs="Arial"/>
          <w:color w:val="000000" w:themeColor="text1"/>
        </w:rPr>
      </w:pPr>
    </w:p>
    <w:p w14:paraId="256FDB6A" w14:textId="77777777" w:rsidR="00C2641E" w:rsidRDefault="00C2641E" w:rsidP="00C2641E">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F4129DA" w14:textId="77777777" w:rsidR="00C2641E" w:rsidRDefault="00C2641E" w:rsidP="00C2641E">
      <w:pPr>
        <w:spacing w:before="240" w:after="240" w:line="360" w:lineRule="auto"/>
        <w:ind w:right="49"/>
        <w:contextualSpacing/>
        <w:jc w:val="both"/>
        <w:rPr>
          <w:rFonts w:ascii="Palatino Linotype" w:hAnsi="Palatino Linotype" w:cs="Arial"/>
        </w:rPr>
      </w:pPr>
    </w:p>
    <w:p w14:paraId="11EF80D1" w14:textId="77777777" w:rsidR="00C2641E" w:rsidRDefault="00C2641E" w:rsidP="00C2641E">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hAnsi="Palatino Linotype" w:cs="Arial"/>
        </w:rPr>
        <w:lastRenderedPageBreak/>
        <w:t xml:space="preserve">informático u holográfico de conformidad con el artículo 3, fracción XI de la Ley de la materia, el cual señala lo siguiente: </w:t>
      </w:r>
    </w:p>
    <w:p w14:paraId="2C2D85A1" w14:textId="77777777" w:rsidR="00C2641E" w:rsidRDefault="00C2641E" w:rsidP="00C2641E">
      <w:pPr>
        <w:ind w:left="851" w:right="899"/>
        <w:jc w:val="both"/>
        <w:rPr>
          <w:rFonts w:ascii="Palatino Linotype" w:hAnsi="Palatino Linotype" w:cs="Arial"/>
          <w:i/>
          <w:sz w:val="22"/>
          <w:szCs w:val="22"/>
        </w:rPr>
      </w:pPr>
    </w:p>
    <w:p w14:paraId="696C31B3" w14:textId="77777777" w:rsidR="00C2641E" w:rsidRDefault="00C2641E" w:rsidP="00C2641E">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76BB936A" w14:textId="77777777" w:rsidR="00C2641E" w:rsidRDefault="00C2641E" w:rsidP="00C2641E">
      <w:pPr>
        <w:ind w:left="851" w:right="899"/>
        <w:jc w:val="both"/>
        <w:rPr>
          <w:rFonts w:ascii="Palatino Linotype" w:hAnsi="Palatino Linotype" w:cs="Arial"/>
          <w:i/>
          <w:sz w:val="22"/>
          <w:szCs w:val="22"/>
        </w:rPr>
      </w:pPr>
      <w:r>
        <w:rPr>
          <w:rFonts w:ascii="Palatino Linotype" w:hAnsi="Palatino Linotype" w:cs="Arial"/>
          <w:i/>
          <w:sz w:val="22"/>
          <w:szCs w:val="22"/>
        </w:rPr>
        <w:t>…</w:t>
      </w:r>
    </w:p>
    <w:p w14:paraId="15133F39" w14:textId="77777777" w:rsidR="00C2641E" w:rsidRDefault="00C2641E" w:rsidP="00C2641E">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E6D2EF9" w14:textId="77777777" w:rsidR="00C2641E" w:rsidRDefault="00C2641E" w:rsidP="00C2641E">
      <w:pPr>
        <w:ind w:left="851" w:right="899"/>
        <w:jc w:val="both"/>
        <w:rPr>
          <w:rFonts w:ascii="Palatino Linotype" w:hAnsi="Palatino Linotype" w:cs="Arial"/>
          <w:sz w:val="22"/>
          <w:szCs w:val="22"/>
        </w:rPr>
      </w:pPr>
    </w:p>
    <w:p w14:paraId="5DAFC1F3" w14:textId="77777777" w:rsidR="00C2641E" w:rsidRDefault="00C2641E" w:rsidP="00C2641E">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3AB069A9" w14:textId="77777777" w:rsidR="00C2641E" w:rsidRDefault="00C2641E" w:rsidP="00C2641E">
      <w:pPr>
        <w:ind w:left="851" w:right="899"/>
        <w:jc w:val="both"/>
        <w:rPr>
          <w:rFonts w:ascii="Palatino Linotype" w:hAnsi="Palatino Linotype" w:cs="Arial"/>
        </w:rPr>
      </w:pPr>
    </w:p>
    <w:p w14:paraId="1CD23ED4" w14:textId="77777777" w:rsidR="00C2641E" w:rsidRDefault="00C2641E" w:rsidP="00C2641E">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48C11AF7" w14:textId="77777777" w:rsidR="00C2641E" w:rsidRDefault="00C2641E" w:rsidP="00C2641E">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34484D" w14:textId="77777777" w:rsidR="00C2641E" w:rsidRDefault="00C2641E" w:rsidP="00C2641E">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77C69241" w14:textId="77777777" w:rsidR="00C2641E" w:rsidRDefault="00C2641E" w:rsidP="00C2641E">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17E5B11D" w14:textId="77777777" w:rsidR="00C2641E" w:rsidRDefault="00C2641E" w:rsidP="00C2641E">
      <w:pPr>
        <w:ind w:left="851" w:right="899"/>
        <w:jc w:val="both"/>
        <w:rPr>
          <w:rFonts w:ascii="Palatino Linotype" w:hAnsi="Palatino Linotype" w:cs="Arial"/>
          <w:b/>
          <w:i/>
          <w:sz w:val="22"/>
          <w:szCs w:val="22"/>
        </w:rPr>
      </w:pPr>
      <w:r>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61C875C8" w14:textId="77777777" w:rsidR="00C2641E" w:rsidRDefault="00C2641E" w:rsidP="00C2641E">
      <w:pPr>
        <w:ind w:left="851" w:right="899"/>
        <w:jc w:val="both"/>
        <w:rPr>
          <w:rFonts w:ascii="Palatino Linotype" w:hAnsi="Palatino Linotype" w:cs="Arial"/>
          <w:b/>
          <w:i/>
          <w:sz w:val="22"/>
          <w:szCs w:val="22"/>
        </w:rPr>
      </w:pPr>
      <w:r>
        <w:rPr>
          <w:rFonts w:ascii="Palatino Linotype" w:hAnsi="Palatino Linotype" w:cs="Arial"/>
          <w:b/>
          <w:i/>
          <w:sz w:val="22"/>
          <w:szCs w:val="22"/>
        </w:rPr>
        <w:lastRenderedPageBreak/>
        <w:t xml:space="preserve">3) Que se trate de información registrada en cualquier soporte documental, que en ejercicio de las atribuciones conferidas, se encuentre en posesión de los Sujetos Obligados.” </w:t>
      </w:r>
    </w:p>
    <w:p w14:paraId="625B6819" w14:textId="77777777" w:rsidR="00C2641E" w:rsidRDefault="00C2641E" w:rsidP="00C2641E">
      <w:pPr>
        <w:spacing w:line="360" w:lineRule="auto"/>
        <w:ind w:right="-93"/>
        <w:jc w:val="both"/>
        <w:rPr>
          <w:rFonts w:ascii="Palatino Linotype" w:eastAsia="Palatino Linotype" w:hAnsi="Palatino Linotype" w:cs="Palatino Linotype"/>
          <w:color w:val="000000"/>
        </w:rPr>
      </w:pPr>
    </w:p>
    <w:p w14:paraId="03B70F88" w14:textId="39891783" w:rsidR="00250ACE" w:rsidRPr="00673C52" w:rsidRDefault="00250ACE" w:rsidP="00250ACE">
      <w:pPr>
        <w:spacing w:before="240" w:after="240" w:line="360" w:lineRule="auto"/>
        <w:jc w:val="both"/>
        <w:rPr>
          <w:rFonts w:ascii="Palatino Linotype" w:hAnsi="Palatino Linotype"/>
        </w:rPr>
      </w:pPr>
      <w:r>
        <w:rPr>
          <w:rFonts w:ascii="Palatino Linotype" w:hAnsi="Palatino Linotype"/>
        </w:rPr>
        <w:t xml:space="preserve">Ahora </w:t>
      </w:r>
      <w:r w:rsidR="009E68F9">
        <w:rPr>
          <w:rFonts w:ascii="Palatino Linotype" w:hAnsi="Palatino Linotype"/>
        </w:rPr>
        <w:t>bi</w:t>
      </w:r>
      <w:r w:rsidRPr="00673C52">
        <w:rPr>
          <w:rFonts w:ascii="Palatino Linotype" w:hAnsi="Palatino Linotype"/>
        </w:rPr>
        <w:t>en, del análisis de la solicitud de información pública que motivó el recurso de revisión que ahora se resuelve, se advierte que el particular requirió al Ayuntamiento de Toluca, le proporcionara lo siguiente:</w:t>
      </w:r>
    </w:p>
    <w:p w14:paraId="7497B318" w14:textId="77777777" w:rsid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 xml:space="preserve">¿En dónde puedo reportar las luminarias fundidas? </w:t>
      </w:r>
    </w:p>
    <w:p w14:paraId="2E6E59D9" w14:textId="77777777" w:rsid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 xml:space="preserve">¿Cuál es el programa para el mantenimiento de los parques? </w:t>
      </w:r>
    </w:p>
    <w:p w14:paraId="6237CD0E" w14:textId="77777777" w:rsid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¿Por qué no hacen el mantenimiento de los ar</w:t>
      </w:r>
      <w:r>
        <w:rPr>
          <w:rFonts w:ascii="Palatino Linotype" w:hAnsi="Palatino Linotype"/>
        </w:rPr>
        <w:t>bustos que están las banquetas?</w:t>
      </w:r>
    </w:p>
    <w:p w14:paraId="31A2CBD9" w14:textId="77777777" w:rsid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 xml:space="preserve">¿Dónde puedo reportar una coladera tapada? </w:t>
      </w:r>
    </w:p>
    <w:p w14:paraId="556C8627" w14:textId="77777777" w:rsid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 xml:space="preserve">¿Por qué casi no hay ciclovías? </w:t>
      </w:r>
    </w:p>
    <w:p w14:paraId="51B21A0C" w14:textId="0CAFF591" w:rsidR="00673C52" w:rsidRPr="00673C52" w:rsidRDefault="00673C52" w:rsidP="00673C52">
      <w:pPr>
        <w:pStyle w:val="Prrafodelista"/>
        <w:numPr>
          <w:ilvl w:val="0"/>
          <w:numId w:val="11"/>
        </w:numPr>
        <w:spacing w:before="240" w:after="240" w:line="360" w:lineRule="auto"/>
        <w:jc w:val="both"/>
        <w:rPr>
          <w:rFonts w:ascii="Palatino Linotype" w:hAnsi="Palatino Linotype"/>
        </w:rPr>
      </w:pPr>
      <w:r w:rsidRPr="00673C52">
        <w:rPr>
          <w:rFonts w:ascii="Palatino Linotype" w:hAnsi="Palatino Linotype"/>
        </w:rPr>
        <w:t>¿Qué hace el municipio para que no haya perros en las calles?</w:t>
      </w:r>
    </w:p>
    <w:p w14:paraId="28EFC40C" w14:textId="37DA6DC6" w:rsidR="00250ACE" w:rsidRPr="009A3D66" w:rsidRDefault="00250ACE" w:rsidP="00250ACE">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En respuesta, el </w:t>
      </w:r>
      <w:r w:rsidRPr="009A3D66">
        <w:rPr>
          <w:rFonts w:ascii="Palatino Linotype" w:hAnsi="Palatino Linotype" w:cs="Arial"/>
          <w:b/>
        </w:rPr>
        <w:t xml:space="preserve">SUJETO OBLIGADO, </w:t>
      </w:r>
      <w:r w:rsidRPr="009A3D66">
        <w:rPr>
          <w:rFonts w:ascii="Palatino Linotype" w:hAnsi="Palatino Linotype" w:cs="Arial"/>
        </w:rPr>
        <w:t xml:space="preserve">remitió en formato pdf lo siguiente: </w:t>
      </w:r>
    </w:p>
    <w:p w14:paraId="0157892D" w14:textId="6EA310D3" w:rsidR="00673C52" w:rsidRDefault="00673C52" w:rsidP="00250ACE">
      <w:pPr>
        <w:spacing w:before="240" w:after="240" w:line="360" w:lineRule="auto"/>
        <w:ind w:right="51"/>
        <w:jc w:val="both"/>
        <w:rPr>
          <w:rFonts w:ascii="Palatino Linotype" w:hAnsi="Palatino Linotype" w:cs="Arial"/>
        </w:rPr>
      </w:pPr>
      <w:r>
        <w:rPr>
          <w:noProof/>
          <w:lang w:val="es-MX"/>
        </w:rPr>
        <w:drawing>
          <wp:inline distT="0" distB="0" distL="0" distR="0" wp14:anchorId="1198AC21" wp14:editId="2536B2FC">
            <wp:extent cx="5436465" cy="283191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09" t="28980" r="23275" b="37917"/>
                    <a:stretch/>
                  </pic:blipFill>
                  <pic:spPr bwMode="auto">
                    <a:xfrm>
                      <a:off x="0" y="0"/>
                      <a:ext cx="5475852" cy="2852427"/>
                    </a:xfrm>
                    <a:prstGeom prst="rect">
                      <a:avLst/>
                    </a:prstGeom>
                    <a:ln>
                      <a:noFill/>
                    </a:ln>
                    <a:extLst>
                      <a:ext uri="{53640926-AAD7-44D8-BBD7-CCE9431645EC}">
                        <a14:shadowObscured xmlns:a14="http://schemas.microsoft.com/office/drawing/2010/main"/>
                      </a:ext>
                    </a:extLst>
                  </pic:spPr>
                </pic:pic>
              </a:graphicData>
            </a:graphic>
          </wp:inline>
        </w:drawing>
      </w:r>
    </w:p>
    <w:p w14:paraId="3502AC61" w14:textId="6C7EADE0" w:rsidR="00673C52" w:rsidRDefault="00673C52" w:rsidP="00250ACE">
      <w:pPr>
        <w:spacing w:before="240" w:after="240" w:line="360" w:lineRule="auto"/>
        <w:ind w:right="51"/>
        <w:jc w:val="both"/>
        <w:rPr>
          <w:rFonts w:ascii="Palatino Linotype" w:hAnsi="Palatino Linotype" w:cs="Arial"/>
        </w:rPr>
      </w:pPr>
      <w:r>
        <w:rPr>
          <w:noProof/>
          <w:lang w:val="es-MX"/>
        </w:rPr>
        <w:lastRenderedPageBreak/>
        <w:drawing>
          <wp:inline distT="0" distB="0" distL="0" distR="0" wp14:anchorId="6BE039DC" wp14:editId="1092EF2A">
            <wp:extent cx="5518785" cy="4490113"/>
            <wp:effectExtent l="0" t="0" r="571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267" t="24871" r="23272" b="2657"/>
                    <a:stretch/>
                  </pic:blipFill>
                  <pic:spPr bwMode="auto">
                    <a:xfrm>
                      <a:off x="0" y="0"/>
                      <a:ext cx="5559445" cy="4523194"/>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rPr>
        <w:drawing>
          <wp:inline distT="0" distB="0" distL="0" distR="0" wp14:anchorId="2F2FF53B" wp14:editId="131B1801">
            <wp:extent cx="5370195" cy="491319"/>
            <wp:effectExtent l="0" t="0" r="190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548" t="40009" r="23616" b="54580"/>
                    <a:stretch/>
                  </pic:blipFill>
                  <pic:spPr bwMode="auto">
                    <a:xfrm>
                      <a:off x="0" y="0"/>
                      <a:ext cx="5440302" cy="497733"/>
                    </a:xfrm>
                    <a:prstGeom prst="rect">
                      <a:avLst/>
                    </a:prstGeom>
                    <a:ln>
                      <a:noFill/>
                    </a:ln>
                    <a:extLst>
                      <a:ext uri="{53640926-AAD7-44D8-BBD7-CCE9431645EC}">
                        <a14:shadowObscured xmlns:a14="http://schemas.microsoft.com/office/drawing/2010/main"/>
                      </a:ext>
                    </a:extLst>
                  </pic:spPr>
                </pic:pic>
              </a:graphicData>
            </a:graphic>
          </wp:inline>
        </w:drawing>
      </w:r>
    </w:p>
    <w:p w14:paraId="56995FDA" w14:textId="5742354C" w:rsidR="00250ACE" w:rsidRDefault="00250ACE" w:rsidP="00250ACE">
      <w:pPr>
        <w:spacing w:before="240" w:after="240" w:line="360" w:lineRule="auto"/>
        <w:ind w:right="51"/>
        <w:jc w:val="both"/>
        <w:rPr>
          <w:rFonts w:ascii="Palatino Linotype" w:hAnsi="Palatino Linotype" w:cs="Arial"/>
        </w:rPr>
      </w:pPr>
      <w:r w:rsidRPr="009A3D66">
        <w:rPr>
          <w:rFonts w:ascii="Palatino Linotype" w:hAnsi="Palatino Linotype" w:cs="Arial"/>
        </w:rPr>
        <w:t xml:space="preserve">No obstante, la parte </w:t>
      </w:r>
      <w:r w:rsidRPr="009A3D66">
        <w:rPr>
          <w:rFonts w:ascii="Palatino Linotype" w:hAnsi="Palatino Linotype" w:cs="Arial"/>
          <w:b/>
          <w:bCs/>
        </w:rPr>
        <w:t>RECURRENTE</w:t>
      </w:r>
      <w:r w:rsidRPr="009A3D66">
        <w:rPr>
          <w:rFonts w:ascii="Palatino Linotype" w:hAnsi="Palatino Linotype" w:cs="Arial"/>
        </w:rPr>
        <w:t xml:space="preserve">, al presentar el recurso de revisión que nos ocupa, señaló como motivo de inconformidad </w:t>
      </w:r>
      <w:r w:rsidR="00673C52">
        <w:rPr>
          <w:rFonts w:ascii="Palatino Linotype" w:hAnsi="Palatino Linotype" w:cs="Arial"/>
        </w:rPr>
        <w:t xml:space="preserve">que la información entregada es incompleta. </w:t>
      </w:r>
    </w:p>
    <w:p w14:paraId="54FF1153" w14:textId="77777777" w:rsidR="00250ACE" w:rsidRPr="009A3D66" w:rsidRDefault="00250ACE" w:rsidP="00250ACE">
      <w:pPr>
        <w:spacing w:after="240" w:line="360" w:lineRule="auto"/>
        <w:jc w:val="both"/>
        <w:rPr>
          <w:rFonts w:ascii="Palatino Linotype" w:hAnsi="Palatino Linotype"/>
        </w:rPr>
      </w:pPr>
      <w:r>
        <w:rPr>
          <w:rFonts w:ascii="Palatino Linotype" w:hAnsi="Palatino Linotype" w:cs="Arial"/>
        </w:rPr>
        <w:t xml:space="preserve">Ante la interposición del recurso de revisión el </w:t>
      </w:r>
      <w:r w:rsidRPr="00C44687">
        <w:rPr>
          <w:rFonts w:ascii="Palatino Linotype" w:hAnsi="Palatino Linotype" w:cs="Arial"/>
          <w:b/>
        </w:rPr>
        <w:t>SUJETO OBLIGADO</w:t>
      </w:r>
      <w:r>
        <w:rPr>
          <w:rFonts w:ascii="Palatino Linotype" w:hAnsi="Palatino Linotype" w:cs="Arial"/>
        </w:rPr>
        <w:t xml:space="preserve">, rindió </w:t>
      </w:r>
      <w:r w:rsidRPr="009A3D66">
        <w:rPr>
          <w:rFonts w:ascii="Palatino Linotype" w:hAnsi="Palatino Linotype"/>
        </w:rPr>
        <w:t xml:space="preserve">su informe justificado, mediante el cual ratifica en lo sustancial la respuesta proporcionada en primera instancia, asimismo, respecto del motivo de inconformidad aducido por el particular, indicó que la Unidad de Transparencia </w:t>
      </w:r>
      <w:r w:rsidRPr="009A3D66">
        <w:rPr>
          <w:rFonts w:ascii="Palatino Linotype" w:hAnsi="Palatino Linotype"/>
        </w:rPr>
        <w:lastRenderedPageBreak/>
        <w:t>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w:t>
      </w:r>
      <w:r>
        <w:rPr>
          <w:rFonts w:ascii="Palatino Linotype" w:hAnsi="Palatino Linotype"/>
        </w:rPr>
        <w:t>.</w:t>
      </w:r>
    </w:p>
    <w:p w14:paraId="382721E6" w14:textId="77777777" w:rsidR="00250ACE" w:rsidRDefault="00250ACE" w:rsidP="00C2641E">
      <w:pPr>
        <w:spacing w:line="360" w:lineRule="auto"/>
        <w:ind w:right="-93"/>
        <w:jc w:val="both"/>
        <w:rPr>
          <w:rFonts w:ascii="Palatino Linotype" w:eastAsia="Palatino Linotype" w:hAnsi="Palatino Linotype" w:cs="Palatino Linotype"/>
          <w:color w:val="000000"/>
        </w:rPr>
      </w:pPr>
    </w:p>
    <w:p w14:paraId="66AC75F3" w14:textId="6BCBCDD7" w:rsidR="00C44687" w:rsidRDefault="00C2641E" w:rsidP="00673C52">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w:t>
      </w:r>
      <w:r w:rsidR="009E68F9">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con lo establecido por los artículos 4, 12 y 24 último párrafo de la Ley de </w:t>
      </w:r>
      <w:r>
        <w:rPr>
          <w:rFonts w:ascii="Palatino Linotype" w:hAnsi="Palatino Linotype" w:cs="Arial"/>
        </w:rPr>
        <w:t>Transparencia y Acceso a la Información Pública de</w:t>
      </w:r>
      <w:r w:rsidR="00673C52">
        <w:rPr>
          <w:rFonts w:ascii="Palatino Linotype" w:hAnsi="Palatino Linotype" w:cs="Arial"/>
        </w:rPr>
        <w:t>l Estado de México y Municipios;</w:t>
      </w:r>
      <w:r>
        <w:rPr>
          <w:rFonts w:ascii="Palatino Linotype" w:hAnsi="Palatino Linotype" w:cs="Arial"/>
        </w:rPr>
        <w:t xml:space="preserve"> </w:t>
      </w:r>
      <w:r w:rsidR="00673C52">
        <w:rPr>
          <w:rFonts w:ascii="Palatino Linotype" w:hAnsi="Palatino Linotype" w:cs="Arial"/>
        </w:rPr>
        <w:t>ante ello</w:t>
      </w:r>
      <w:r w:rsidR="00C44687">
        <w:rPr>
          <w:rFonts w:ascii="Palatino Linotype" w:hAnsi="Palatino Linotype"/>
        </w:rPr>
        <w:t xml:space="preserve">, los motivos de inconformidad </w:t>
      </w:r>
      <w:r w:rsidR="00673C52">
        <w:rPr>
          <w:rFonts w:ascii="Palatino Linotype" w:hAnsi="Palatino Linotype"/>
        </w:rPr>
        <w:t xml:space="preserve">de la </w:t>
      </w:r>
      <w:r w:rsidR="00673C52" w:rsidRPr="00673C52">
        <w:rPr>
          <w:rFonts w:ascii="Palatino Linotype" w:hAnsi="Palatino Linotype"/>
          <w:b/>
        </w:rPr>
        <w:t>RECURRENTE</w:t>
      </w:r>
      <w:r w:rsidR="00673C52">
        <w:rPr>
          <w:rFonts w:ascii="Palatino Linotype" w:hAnsi="Palatino Linotype"/>
        </w:rPr>
        <w:t xml:space="preserve"> </w:t>
      </w:r>
      <w:r w:rsidR="00DB6D55">
        <w:rPr>
          <w:rFonts w:ascii="Palatino Linotype" w:hAnsi="Palatino Linotype"/>
        </w:rPr>
        <w:t xml:space="preserve">acontecen </w:t>
      </w:r>
      <w:r w:rsidR="00C44687">
        <w:rPr>
          <w:rFonts w:ascii="Palatino Linotype" w:hAnsi="Palatino Linotype"/>
        </w:rPr>
        <w:t xml:space="preserve">fundados para modificar la respuesta del </w:t>
      </w:r>
      <w:r w:rsidR="009E68F9" w:rsidRPr="009E68F9">
        <w:rPr>
          <w:rFonts w:ascii="Palatino Linotype" w:hAnsi="Palatino Linotype"/>
          <w:b/>
        </w:rPr>
        <w:t>SUJETO OBLIGADO</w:t>
      </w:r>
      <w:r w:rsidR="00C44687">
        <w:rPr>
          <w:rFonts w:ascii="Palatino Linotype" w:hAnsi="Palatino Linotype"/>
        </w:rPr>
        <w:t xml:space="preserve">, </w:t>
      </w:r>
      <w:r w:rsidR="00C44687">
        <w:rPr>
          <w:rFonts w:ascii="Palatino Linotype" w:eastAsia="Palatino Linotype" w:hAnsi="Palatino Linotype" w:cs="Palatino Linotype"/>
        </w:rPr>
        <w:t>en razón de las consideraciones de derecho que a continuación se exponen:</w:t>
      </w:r>
    </w:p>
    <w:p w14:paraId="7FD85CB4" w14:textId="6EE53D8E" w:rsidR="00CA341B" w:rsidRDefault="00CA341B" w:rsidP="00CA341B">
      <w:pPr>
        <w:spacing w:before="240" w:after="240" w:line="360" w:lineRule="auto"/>
        <w:jc w:val="both"/>
        <w:rPr>
          <w:rFonts w:ascii="Palatino Linotype" w:hAnsi="Palatino Linotype"/>
          <w:bCs/>
        </w:rPr>
      </w:pPr>
      <w:r>
        <w:rPr>
          <w:rFonts w:ascii="Palatino Linotype" w:eastAsia="Palatino Linotype" w:hAnsi="Palatino Linotype" w:cs="Palatino Linotype"/>
        </w:rPr>
        <w:t>D</w:t>
      </w:r>
      <w:r w:rsidRPr="00047FDE">
        <w:rPr>
          <w:rFonts w:ascii="Palatino Linotype" w:eastAsia="Palatino Linotype" w:hAnsi="Palatino Linotype" w:cs="Palatino Linotype"/>
        </w:rPr>
        <w:t xml:space="preserve">ebe aclararse por </w:t>
      </w:r>
      <w:r>
        <w:rPr>
          <w:rFonts w:ascii="Palatino Linotype" w:hAnsi="Palatino Linotype"/>
          <w:bCs/>
        </w:rPr>
        <w:t>este Organismo</w:t>
      </w:r>
      <w:r w:rsidRPr="00047FDE">
        <w:rPr>
          <w:rFonts w:ascii="Palatino Linotype" w:hAnsi="Palatino Linotype"/>
          <w:bCs/>
        </w:rPr>
        <w:t xml:space="preserve"> Garante que la solicitud estriba primordialmente </w:t>
      </w:r>
      <w:r w:rsidRPr="004333B1">
        <w:rPr>
          <w:rFonts w:ascii="Palatino Linotype" w:hAnsi="Palatino Linotype"/>
          <w:bCs/>
        </w:rPr>
        <w:t xml:space="preserve">en que el </w:t>
      </w:r>
      <w:r w:rsidR="00334071" w:rsidRPr="004333B1">
        <w:rPr>
          <w:rFonts w:ascii="Palatino Linotype" w:hAnsi="Palatino Linotype"/>
          <w:b/>
          <w:bCs/>
        </w:rPr>
        <w:t xml:space="preserve">SUJETO OBLIGADO </w:t>
      </w:r>
      <w:r w:rsidR="004333B1" w:rsidRPr="004333B1">
        <w:rPr>
          <w:rFonts w:ascii="Palatino Linotype" w:hAnsi="Palatino Linotype"/>
          <w:bCs/>
        </w:rPr>
        <w:t>emita</w:t>
      </w:r>
      <w:r w:rsidRPr="004333B1">
        <w:rPr>
          <w:rFonts w:ascii="Palatino Linotype" w:hAnsi="Palatino Linotype"/>
          <w:bCs/>
        </w:rPr>
        <w:t xml:space="preserve"> pronunciamiento</w:t>
      </w:r>
      <w:r w:rsidR="004333B1" w:rsidRPr="004333B1">
        <w:rPr>
          <w:rFonts w:ascii="Palatino Linotype" w:hAnsi="Palatino Linotype"/>
          <w:bCs/>
        </w:rPr>
        <w:t>s</w:t>
      </w:r>
      <w:r w:rsidRPr="004333B1">
        <w:rPr>
          <w:rFonts w:ascii="Palatino Linotype" w:hAnsi="Palatino Linotype"/>
          <w:bCs/>
        </w:rPr>
        <w:t xml:space="preserve"> en </w:t>
      </w:r>
      <w:r w:rsidR="004333B1" w:rsidRPr="004333B1">
        <w:rPr>
          <w:rFonts w:ascii="Palatino Linotype" w:hAnsi="Palatino Linotype"/>
          <w:bCs/>
        </w:rPr>
        <w:t>relación a</w:t>
      </w:r>
      <w:r w:rsidRPr="004333B1">
        <w:rPr>
          <w:rFonts w:ascii="Palatino Linotype" w:hAnsi="Palatino Linotype"/>
          <w:bCs/>
        </w:rPr>
        <w:t xml:space="preserve"> cuestionamiento</w:t>
      </w:r>
      <w:r w:rsidR="004333B1" w:rsidRPr="004333B1">
        <w:rPr>
          <w:rFonts w:ascii="Palatino Linotype" w:hAnsi="Palatino Linotype"/>
          <w:bCs/>
        </w:rPr>
        <w:t>s</w:t>
      </w:r>
      <w:r w:rsidRPr="004333B1">
        <w:rPr>
          <w:rFonts w:ascii="Palatino Linotype" w:hAnsi="Palatino Linotype"/>
          <w:bCs/>
        </w:rPr>
        <w:t xml:space="preserve"> que le fue</w:t>
      </w:r>
      <w:r w:rsidR="004333B1" w:rsidRPr="004333B1">
        <w:rPr>
          <w:rFonts w:ascii="Palatino Linotype" w:hAnsi="Palatino Linotype"/>
          <w:bCs/>
        </w:rPr>
        <w:t>ron</w:t>
      </w:r>
      <w:r w:rsidRPr="004333B1">
        <w:rPr>
          <w:rFonts w:ascii="Palatino Linotype" w:hAnsi="Palatino Linotype"/>
          <w:bCs/>
        </w:rPr>
        <w:t xml:space="preserve"> planteado</w:t>
      </w:r>
      <w:r w:rsidR="004333B1" w:rsidRPr="004333B1">
        <w:rPr>
          <w:rFonts w:ascii="Palatino Linotype" w:hAnsi="Palatino Linotype"/>
          <w:bCs/>
        </w:rPr>
        <w:t>s por la</w:t>
      </w:r>
      <w:r w:rsidRPr="004333B1">
        <w:rPr>
          <w:rFonts w:ascii="Palatino Linotype" w:hAnsi="Palatino Linotype"/>
          <w:bCs/>
        </w:rPr>
        <w:t xml:space="preserve"> solicitante </w:t>
      </w:r>
      <w:r w:rsidR="006E0206" w:rsidRPr="004333B1">
        <w:rPr>
          <w:rFonts w:ascii="Palatino Linotype" w:hAnsi="Palatino Linotype"/>
          <w:bCs/>
        </w:rPr>
        <w:t xml:space="preserve"> </w:t>
      </w:r>
      <w:r w:rsidRPr="004333B1">
        <w:rPr>
          <w:rFonts w:ascii="Palatino Linotype" w:hAnsi="Palatino Linotype" w:cs="Arial"/>
          <w:szCs w:val="20"/>
        </w:rPr>
        <w:t>ya que se trata de</w:t>
      </w:r>
      <w:r w:rsidRPr="004333B1">
        <w:rPr>
          <w:rFonts w:ascii="Palatino Linotype" w:hAnsi="Palatino Linotype" w:cs="Arial"/>
        </w:rPr>
        <w:t xml:space="preserve">  interrogante</w:t>
      </w:r>
      <w:r w:rsidR="004333B1" w:rsidRPr="004333B1">
        <w:rPr>
          <w:rFonts w:ascii="Palatino Linotype" w:hAnsi="Palatino Linotype" w:cs="Arial"/>
        </w:rPr>
        <w:t>s</w:t>
      </w:r>
      <w:r w:rsidRPr="004333B1">
        <w:rPr>
          <w:rFonts w:ascii="Palatino Linotype" w:hAnsi="Palatino Linotype" w:cs="Arial"/>
        </w:rPr>
        <w:t>,</w:t>
      </w:r>
      <w:r w:rsidR="006E0206" w:rsidRPr="004333B1">
        <w:rPr>
          <w:rFonts w:ascii="Palatino Linotype" w:hAnsi="Palatino Linotype" w:cs="Arial"/>
        </w:rPr>
        <w:t xml:space="preserve"> </w:t>
      </w:r>
      <w:r w:rsidRPr="004333B1">
        <w:rPr>
          <w:rFonts w:ascii="Palatino Linotype" w:hAnsi="Palatino Linotype" w:cs="Arial"/>
        </w:rPr>
        <w:t>que</w:t>
      </w:r>
      <w:r w:rsidRPr="005220D9">
        <w:rPr>
          <w:rFonts w:ascii="Palatino Linotype" w:hAnsi="Palatino Linotype" w:cs="Arial"/>
        </w:rPr>
        <w:t xml:space="preserve"> no se colman co</w:t>
      </w:r>
      <w:r>
        <w:rPr>
          <w:rFonts w:ascii="Palatino Linotype" w:hAnsi="Palatino Linotype" w:cs="Arial"/>
        </w:rPr>
        <w:t>n la entrega de documentos</w:t>
      </w:r>
      <w:r>
        <w:rPr>
          <w:rFonts w:ascii="Palatino Linotype" w:hAnsi="Palatino Linotype"/>
          <w:bCs/>
        </w:rPr>
        <w:t>; lo que no</w:t>
      </w:r>
      <w:r w:rsidRPr="004F364E">
        <w:rPr>
          <w:rFonts w:ascii="Palatino Linotype" w:hAnsi="Palatino Linotype"/>
          <w:bCs/>
        </w:rPr>
        <w:t xml:space="preserve"> constituye un derecho de acceso a la información; sino por el contrario se trata de un derecho de petición consagrado en el numeral 8 de nuestra Carta Magna</w:t>
      </w:r>
      <w:r w:rsidRPr="004F364E">
        <w:rPr>
          <w:rStyle w:val="Refdenotaalpie"/>
          <w:rFonts w:ascii="Palatino Linotype" w:hAnsi="Palatino Linotype"/>
          <w:bCs/>
        </w:rPr>
        <w:footnoteReference w:id="1"/>
      </w:r>
      <w:r w:rsidRPr="004F364E">
        <w:rPr>
          <w:rFonts w:ascii="Palatino Linotype" w:hAnsi="Palatino Linotype"/>
          <w:bCs/>
        </w:rPr>
        <w:t>.</w:t>
      </w:r>
    </w:p>
    <w:p w14:paraId="2A695B54" w14:textId="77777777" w:rsidR="00CA341B" w:rsidRDefault="00CA341B" w:rsidP="00CA341B">
      <w:pPr>
        <w:spacing w:before="240" w:after="240" w:line="360" w:lineRule="auto"/>
        <w:jc w:val="both"/>
        <w:rPr>
          <w:rFonts w:ascii="Palatino Linotype" w:hAnsi="Palatino Linotype" w:cs="Arial"/>
        </w:rPr>
      </w:pPr>
      <w:r>
        <w:rPr>
          <w:rFonts w:ascii="Palatino Linotype" w:hAnsi="Palatino Linotype"/>
          <w:bCs/>
        </w:rPr>
        <w:lastRenderedPageBreak/>
        <w:t xml:space="preserve">En tal contexto se procede hacer la diferencia </w:t>
      </w:r>
      <w:r>
        <w:rPr>
          <w:rFonts w:ascii="Palatino Linotype" w:hAnsi="Palatino Linotype" w:cs="Arial"/>
        </w:rPr>
        <w:t xml:space="preserve">entre lo que se </w:t>
      </w:r>
      <w:r w:rsidRPr="00472FBE">
        <w:rPr>
          <w:rFonts w:ascii="Palatino Linotype" w:hAnsi="Palatino Linotype" w:cs="Arial"/>
        </w:rPr>
        <w:t>entiende por derecho de petición y por derecho de acceso a la información pública.</w:t>
      </w:r>
    </w:p>
    <w:p w14:paraId="26E17BC3" w14:textId="77777777" w:rsidR="00CA341B" w:rsidRDefault="00CA341B" w:rsidP="00CA341B">
      <w:pPr>
        <w:spacing w:before="240" w:after="240" w:line="360" w:lineRule="auto"/>
        <w:ind w:right="-91"/>
        <w:jc w:val="both"/>
        <w:rPr>
          <w:rFonts w:ascii="Palatino Linotype" w:hAnsi="Palatino Linotype" w:cs="Arial"/>
        </w:rPr>
      </w:pPr>
      <w:r>
        <w:rPr>
          <w:rFonts w:ascii="Palatino Linotype" w:hAnsi="Palatino Linotype" w:cs="Arial"/>
        </w:rPr>
        <w:t>Derecho de Petición:</w:t>
      </w:r>
    </w:p>
    <w:p w14:paraId="33559DF0" w14:textId="77777777" w:rsidR="00CA341B" w:rsidRPr="00CE35F4" w:rsidRDefault="00CA341B" w:rsidP="00CA341B">
      <w:pPr>
        <w:spacing w:before="240" w:after="240" w:line="360" w:lineRule="auto"/>
        <w:jc w:val="both"/>
        <w:rPr>
          <w:rFonts w:ascii="Palatino Linotype" w:hAnsi="Palatino Linotype" w:cs="Arial"/>
        </w:rPr>
      </w:pPr>
      <w:r>
        <w:rPr>
          <w:rFonts w:ascii="Palatino Linotype" w:hAnsi="Palatino Linotype" w:cs="Arial"/>
        </w:rPr>
        <w:t>E</w:t>
      </w:r>
      <w:r w:rsidRPr="00CE35F4">
        <w:rPr>
          <w:rFonts w:ascii="Palatino Linotype" w:hAnsi="Palatino Linotype" w:cs="Arial"/>
        </w:rPr>
        <w:t>l Maestro Ignacio Burgo Orihuela refiere</w:t>
      </w:r>
      <w:r>
        <w:rPr>
          <w:rFonts w:ascii="Palatino Linotype" w:hAnsi="Palatino Linotype" w:cs="Arial"/>
        </w:rPr>
        <w:t xml:space="preserve"> que derecho de petición</w:t>
      </w:r>
      <w:r w:rsidRPr="00CE35F4">
        <w:rPr>
          <w:rFonts w:ascii="Palatino Linotype" w:hAnsi="Palatino Linotype" w:cs="Arial"/>
        </w:rPr>
        <w:t xml:space="preserve">: </w:t>
      </w:r>
      <w:r>
        <w:rPr>
          <w:rFonts w:ascii="Palatino Linotype" w:hAnsi="Palatino Linotype" w:cs="Arial"/>
        </w:rPr>
        <w:t>".</w:t>
      </w:r>
      <w:r w:rsidRPr="00CE35F4">
        <w:rPr>
          <w:rFonts w:ascii="Palatino Linotype" w:hAnsi="Palatino Linotype" w:cs="Arial"/>
        </w:rPr>
        <w:t>..</w:t>
      </w:r>
      <w:r w:rsidRPr="00CE35F4">
        <w:rPr>
          <w:rFonts w:ascii="Palatino Linotype" w:hAnsi="Palatino Linotype" w:cs="Arial"/>
          <w:i/>
        </w:rPr>
        <w:t>es un Derecho Público subjetivo individual de la Garantía Respectiva Consagrada en al Artículo 8 de la Ley Fundamental. En tal virtud, la persona tiene la facultad de acudir a cualquier autoridad, formulando una solicitud o instancia escrito de cualquier índole, la cual adopta, especialmente, el carácter de simple petición administrativa, acción o recurso, etc.</w:t>
      </w:r>
      <w:r>
        <w:rPr>
          <w:rFonts w:ascii="Palatino Linotype" w:hAnsi="Palatino Linotype" w:cs="Arial"/>
        </w:rPr>
        <w:t>"</w:t>
      </w:r>
      <w:r>
        <w:rPr>
          <w:rStyle w:val="Refdenotaalpie"/>
          <w:rFonts w:ascii="Palatino Linotype" w:hAnsi="Palatino Linotype" w:cs="Arial"/>
        </w:rPr>
        <w:footnoteReference w:id="2"/>
      </w:r>
      <w:r>
        <w:rPr>
          <w:rFonts w:ascii="Palatino Linotype" w:hAnsi="Palatino Linotype" w:cs="Arial"/>
        </w:rPr>
        <w:t>(Sic)</w:t>
      </w:r>
    </w:p>
    <w:p w14:paraId="7698DF91" w14:textId="77777777" w:rsidR="00CA341B" w:rsidRPr="00022E04" w:rsidRDefault="00CA341B" w:rsidP="00CA341B">
      <w:pPr>
        <w:pStyle w:val="Prrafodelista"/>
        <w:autoSpaceDE w:val="0"/>
        <w:autoSpaceDN w:val="0"/>
        <w:adjustRightInd w:val="0"/>
        <w:spacing w:before="240" w:after="360" w:line="360" w:lineRule="auto"/>
        <w:ind w:left="0"/>
        <w:jc w:val="both"/>
        <w:rPr>
          <w:rFonts w:ascii="Palatino Linotype" w:hAnsi="Palatino Linotype" w:cs="Arial"/>
          <w:i/>
        </w:rPr>
      </w:pPr>
      <w:r w:rsidRPr="00022E04">
        <w:rPr>
          <w:rFonts w:ascii="Palatino Linotype" w:hAnsi="Palatino Linotype" w:cs="Arial"/>
        </w:rPr>
        <w:t xml:space="preserve">Por su parte, David Cienfuegos Salgado, concibe al derecho de petición como </w:t>
      </w:r>
      <w:r w:rsidRPr="00022E04">
        <w:rPr>
          <w:rFonts w:ascii="Palatino Linotype" w:hAnsi="Palatino Linotype" w:cs="Arial"/>
          <w:i/>
        </w:rPr>
        <w:t>“el derecho de toda persona a ser escuchado por quienes ejercen el poder público.</w:t>
      </w:r>
      <w:r w:rsidRPr="00022E04">
        <w:rPr>
          <w:rStyle w:val="Refdenotaalpie"/>
          <w:rFonts w:ascii="Palatino Linotype" w:hAnsi="Palatino Linotype"/>
          <w:i/>
        </w:rPr>
        <w:t xml:space="preserve"> </w:t>
      </w:r>
      <w:r w:rsidRPr="00022E04">
        <w:rPr>
          <w:rStyle w:val="Refdenotaalpie"/>
          <w:rFonts w:ascii="Palatino Linotype" w:hAnsi="Palatino Linotype"/>
          <w:i/>
        </w:rPr>
        <w:footnoteReference w:id="3"/>
      </w:r>
      <w:r w:rsidRPr="00022E04">
        <w:rPr>
          <w:rFonts w:ascii="Palatino Linotype" w:hAnsi="Palatino Linotype" w:cs="Arial"/>
          <w:i/>
        </w:rPr>
        <w:t xml:space="preserve">” (Sic) </w:t>
      </w:r>
    </w:p>
    <w:p w14:paraId="61C5C6A5" w14:textId="77777777" w:rsidR="00CA341B" w:rsidRPr="001725ED" w:rsidRDefault="00CA341B" w:rsidP="00CA341B">
      <w:pPr>
        <w:spacing w:before="240" w:after="240" w:line="360" w:lineRule="auto"/>
        <w:jc w:val="both"/>
        <w:rPr>
          <w:rFonts w:ascii="Palatino Linotype" w:hAnsi="Palatino Linotype" w:cs="Arial"/>
        </w:rPr>
      </w:pPr>
      <w:r w:rsidRPr="001725ED">
        <w:rPr>
          <w:rFonts w:ascii="Palatino Linotype" w:hAnsi="Palatino Linotype" w:cs="Arial"/>
        </w:rPr>
        <w:t xml:space="preserve">De la misma manera, Migue Carbonell en su libro Los derechos fundamentales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w:t>
      </w:r>
      <w:r>
        <w:rPr>
          <w:rFonts w:ascii="Palatino Linotype" w:hAnsi="Palatino Linotype" w:cs="Arial"/>
        </w:rPr>
        <w:t>una forma específica de la liber</w:t>
      </w:r>
      <w:r w:rsidRPr="001725ED">
        <w:rPr>
          <w:rFonts w:ascii="Palatino Linotype" w:hAnsi="Palatino Linotype" w:cs="Arial"/>
        </w:rPr>
        <w:t>tad de expresión,</w:t>
      </w:r>
      <w:r>
        <w:rPr>
          <w:rFonts w:ascii="Palatino Linotype" w:hAnsi="Palatino Linotype" w:cs="Arial"/>
        </w:rPr>
        <w:t xml:space="preserve"> </w:t>
      </w:r>
      <w:r w:rsidRPr="001725ED">
        <w:rPr>
          <w:rFonts w:ascii="Palatino Linotype" w:hAnsi="Palatino Linotype" w:cs="Arial"/>
        </w:rPr>
        <w:t>en tanto que permite expresarse fr</w:t>
      </w:r>
      <w:r>
        <w:rPr>
          <w:rFonts w:ascii="Palatino Linotype" w:hAnsi="Palatino Linotype" w:cs="Arial"/>
        </w:rPr>
        <w:t>ente a las autoridades. De igual</w:t>
      </w:r>
      <w:r w:rsidRPr="001725ED">
        <w:rPr>
          <w:rFonts w:ascii="Palatino Linotype" w:hAnsi="Palatino Linotype" w:cs="Arial"/>
        </w:rPr>
        <w:t xml:space="preserve"> manera que el derecho de petición se traduce en la obligación </w:t>
      </w:r>
      <w:r>
        <w:rPr>
          <w:rFonts w:ascii="Palatino Linotype" w:hAnsi="Palatino Linotype" w:cs="Arial"/>
        </w:rPr>
        <w:t>de todos</w:t>
      </w:r>
      <w:r w:rsidRPr="001725ED">
        <w:rPr>
          <w:rFonts w:ascii="Palatino Linotype" w:hAnsi="Palatino Linotype" w:cs="Arial"/>
        </w:rPr>
        <w:t xml:space="preserve"> los funcionarios y</w:t>
      </w:r>
      <w:r>
        <w:rPr>
          <w:rFonts w:ascii="Palatino Linotype" w:hAnsi="Palatino Linotype" w:cs="Arial"/>
        </w:rPr>
        <w:t xml:space="preserve"> autoridades de permitir a los ciudadanos de dirigirse </w:t>
      </w:r>
      <w:r w:rsidRPr="001725ED">
        <w:rPr>
          <w:rFonts w:ascii="Palatino Linotype" w:hAnsi="Palatino Linotype" w:cs="Arial"/>
        </w:rPr>
        <w:t>a</w:t>
      </w:r>
      <w:r>
        <w:rPr>
          <w:rFonts w:ascii="Palatino Linotype" w:hAnsi="Palatino Linotype" w:cs="Arial"/>
        </w:rPr>
        <w:t xml:space="preserve"> ellos</w:t>
      </w:r>
      <w:r w:rsidRPr="001725ED">
        <w:rPr>
          <w:rFonts w:ascii="Palatino Linotype" w:hAnsi="Palatino Linotype" w:cs="Arial"/>
        </w:rPr>
        <w:t xml:space="preserve"> en</w:t>
      </w:r>
      <w:r>
        <w:rPr>
          <w:rFonts w:ascii="Palatino Linotype" w:hAnsi="Palatino Linotype" w:cs="Arial"/>
        </w:rPr>
        <w:t xml:space="preserve"> </w:t>
      </w:r>
      <w:r w:rsidRPr="001725ED">
        <w:rPr>
          <w:rFonts w:ascii="Palatino Linotype" w:hAnsi="Palatino Linotype" w:cs="Arial"/>
        </w:rPr>
        <w:lastRenderedPageBreak/>
        <w:t>demanda de lo que deseen expresar o solicitar y responder de dicha demanda por escrito, de forma congruente y en un plazo breve</w:t>
      </w:r>
      <w:r>
        <w:rPr>
          <w:rFonts w:ascii="Palatino Linotype" w:hAnsi="Palatino Linotype" w:cs="Arial"/>
        </w:rPr>
        <w:t>.</w:t>
      </w:r>
      <w:r>
        <w:rPr>
          <w:rStyle w:val="Refdenotaalpie"/>
          <w:rFonts w:ascii="Palatino Linotype" w:hAnsi="Palatino Linotype" w:cs="Arial"/>
        </w:rPr>
        <w:footnoteReference w:id="4"/>
      </w:r>
    </w:p>
    <w:p w14:paraId="7B628347" w14:textId="77777777" w:rsidR="00CA341B" w:rsidRDefault="00CA341B" w:rsidP="00CA341B">
      <w:pPr>
        <w:spacing w:before="240" w:after="240" w:line="360" w:lineRule="auto"/>
        <w:ind w:right="-91"/>
        <w:jc w:val="both"/>
        <w:rPr>
          <w:rFonts w:ascii="Palatino Linotype" w:hAnsi="Palatino Linotype" w:cs="Arial"/>
        </w:rPr>
      </w:pPr>
      <w:r>
        <w:rPr>
          <w:rFonts w:ascii="Palatino Linotype" w:hAnsi="Palatino Linotype" w:cs="Arial"/>
        </w:rPr>
        <w:t>Derecho de Acceso a la Información Pública:</w:t>
      </w:r>
    </w:p>
    <w:p w14:paraId="0D5324BF" w14:textId="77777777" w:rsidR="00CA341B" w:rsidRPr="0085366E" w:rsidRDefault="00CA341B" w:rsidP="00CA341B">
      <w:pPr>
        <w:pStyle w:val="Textoindependiente"/>
        <w:kinsoku w:val="0"/>
        <w:overflowPunct w:val="0"/>
        <w:spacing w:line="405" w:lineRule="auto"/>
        <w:ind w:right="99"/>
        <w:jc w:val="both"/>
        <w:rPr>
          <w:rFonts w:ascii="Palatino Linotype" w:hAnsi="Palatino Linotype" w:cs="Arial"/>
        </w:rPr>
      </w:pPr>
      <w:r w:rsidRPr="0085366E">
        <w:rPr>
          <w:rFonts w:ascii="Palatino Linotype" w:hAnsi="Palatino Linotype" w:cs="Arial"/>
        </w:rPr>
        <w:t>Asimismo,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2ACC5996" w14:textId="77777777" w:rsidR="009E68F9" w:rsidRDefault="009E68F9" w:rsidP="009E68F9">
      <w:pPr>
        <w:pStyle w:val="Textoindependiente"/>
        <w:kinsoku w:val="0"/>
        <w:overflowPunct w:val="0"/>
        <w:spacing w:line="360" w:lineRule="auto"/>
        <w:ind w:right="96"/>
        <w:contextualSpacing/>
        <w:jc w:val="both"/>
        <w:rPr>
          <w:w w:val="105"/>
        </w:rPr>
      </w:pPr>
    </w:p>
    <w:p w14:paraId="4E52084D" w14:textId="7726E92D" w:rsidR="00CA341B" w:rsidRPr="003E7E06" w:rsidRDefault="00CA341B" w:rsidP="009E68F9">
      <w:pPr>
        <w:pStyle w:val="Textoindependiente"/>
        <w:kinsoku w:val="0"/>
        <w:overflowPunct w:val="0"/>
        <w:spacing w:line="360" w:lineRule="auto"/>
        <w:ind w:right="96"/>
        <w:contextualSpacing/>
        <w:jc w:val="both"/>
        <w:rPr>
          <w:rFonts w:ascii="Palatino Linotype" w:hAnsi="Palatino Linotype" w:cs="Arial"/>
        </w:rPr>
      </w:pPr>
      <w:r w:rsidRPr="003E7E06">
        <w:rPr>
          <w:rFonts w:ascii="Palatino Linotype" w:hAnsi="Palatino Linotype" w:cs="Arial"/>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Pr>
          <w:rFonts w:ascii="Palatino Linotype" w:hAnsi="Palatino Linotype" w:cs="Arial"/>
        </w:rPr>
        <w:t>.</w:t>
      </w:r>
      <w:r>
        <w:rPr>
          <w:rStyle w:val="Refdenotaalpie"/>
          <w:rFonts w:ascii="Palatino Linotype" w:hAnsi="Palatino Linotype" w:cs="Arial"/>
        </w:rPr>
        <w:footnoteReference w:id="5"/>
      </w:r>
    </w:p>
    <w:p w14:paraId="3C156224" w14:textId="77777777" w:rsidR="00CA341B" w:rsidRDefault="00CA341B" w:rsidP="00CA341B">
      <w:pPr>
        <w:pStyle w:val="Textoindependiente"/>
        <w:kinsoku w:val="0"/>
        <w:overflowPunct w:val="0"/>
        <w:spacing w:line="360" w:lineRule="auto"/>
        <w:ind w:right="96"/>
        <w:contextualSpacing/>
        <w:jc w:val="both"/>
        <w:rPr>
          <w:rFonts w:ascii="Palatino Linotype" w:hAnsi="Palatino Linotype" w:cs="Arial"/>
        </w:rPr>
      </w:pPr>
    </w:p>
    <w:p w14:paraId="1B62D5B3" w14:textId="77777777" w:rsidR="00CA341B" w:rsidRPr="003E7E06" w:rsidRDefault="00CA341B" w:rsidP="00CA341B">
      <w:pPr>
        <w:pStyle w:val="Textoindependiente"/>
        <w:kinsoku w:val="0"/>
        <w:overflowPunct w:val="0"/>
        <w:spacing w:line="360" w:lineRule="auto"/>
        <w:ind w:right="96"/>
        <w:contextualSpacing/>
        <w:jc w:val="both"/>
        <w:rPr>
          <w:rFonts w:ascii="Palatino Linotype" w:hAnsi="Palatino Linotype" w:cs="Arial"/>
        </w:rPr>
      </w:pPr>
      <w:r>
        <w:rPr>
          <w:rFonts w:ascii="Palatino Linotype" w:hAnsi="Palatino Linotype" w:cs="Arial"/>
        </w:rPr>
        <w:t xml:space="preserve">Bajo esa óptica, </w:t>
      </w:r>
      <w:r w:rsidRPr="003E7E06">
        <w:rPr>
          <w:rFonts w:ascii="Palatino Linotype" w:hAnsi="Palatino Linotype" w:cs="Arial"/>
        </w:rPr>
        <w:t>para diferenciar el derecho de petición del derecho de acceso a la</w:t>
      </w:r>
    </w:p>
    <w:p w14:paraId="39ACE69B" w14:textId="77777777" w:rsidR="00CA341B" w:rsidRDefault="00CA341B" w:rsidP="00CA341B">
      <w:pPr>
        <w:pStyle w:val="Textoindependiente"/>
        <w:kinsoku w:val="0"/>
        <w:overflowPunct w:val="0"/>
        <w:spacing w:line="405" w:lineRule="auto"/>
        <w:ind w:right="99"/>
        <w:jc w:val="both"/>
        <w:rPr>
          <w:rFonts w:ascii="Palatino Linotype" w:hAnsi="Palatino Linotype" w:cs="Arial"/>
        </w:rPr>
      </w:pPr>
      <w:r w:rsidRPr="003E7E06">
        <w:rPr>
          <w:rFonts w:ascii="Palatino Linotype" w:hAnsi="Palatino Linotype" w:cs="Arial"/>
        </w:rPr>
        <w:t xml:space="preserve">información pública, resulta conveniente citar a José Guadalupe Robles, quien conceptualiza el derecho a la información </w:t>
      </w:r>
      <w:r>
        <w:rPr>
          <w:rFonts w:ascii="Palatino Linotype" w:hAnsi="Palatino Linotype" w:cs="Arial"/>
        </w:rPr>
        <w:t>com</w:t>
      </w:r>
      <w:r w:rsidRPr="003E7E06">
        <w:rPr>
          <w:rFonts w:ascii="Palatino Linotype" w:hAnsi="Palatino Linotype" w:cs="Arial"/>
        </w:rPr>
        <w:t xml:space="preserve">o "un derecho fundamental tanto de carácter individual corno colectivo, cuyas limitaciones deben estar establecidas en </w:t>
      </w:r>
      <w:r w:rsidRPr="003E7E06">
        <w:rPr>
          <w:rFonts w:ascii="Palatino Linotype" w:hAnsi="Palatino Linotype" w:cs="Arial"/>
        </w:rPr>
        <w:lastRenderedPageBreak/>
        <w:t>la ley, así corno una garantía de que la información sea tramitada con claridad y objetividad, por cuanto a que es un b</w:t>
      </w:r>
      <w:r>
        <w:rPr>
          <w:rFonts w:ascii="Palatino Linotype" w:hAnsi="Palatino Linotype" w:cs="Arial"/>
        </w:rPr>
        <w:t>i</w:t>
      </w:r>
      <w:r w:rsidRPr="003E7E06">
        <w:rPr>
          <w:rFonts w:ascii="Palatino Linotype" w:hAnsi="Palatino Linotype" w:cs="Arial"/>
        </w:rPr>
        <w:t>en jurídico que coadyuva</w:t>
      </w:r>
      <w:r>
        <w:rPr>
          <w:rFonts w:ascii="Palatino Linotype" w:hAnsi="Palatino Linotype" w:cs="Arial"/>
        </w:rPr>
        <w:t xml:space="preserve"> al </w:t>
      </w:r>
      <w:r w:rsidRPr="003E7E06">
        <w:rPr>
          <w:rFonts w:ascii="Palatino Linotype" w:hAnsi="Palatino Linotype" w:cs="Arial"/>
        </w:rPr>
        <w:t xml:space="preserve">desarrollo de las personas y a la formación de opinión pública de calidad para poder participar y luego influir en la vida </w:t>
      </w:r>
      <w:r>
        <w:rPr>
          <w:rFonts w:ascii="Palatino Linotype" w:hAnsi="Palatino Linotype" w:cs="Arial"/>
        </w:rPr>
        <w:t>pública.”</w:t>
      </w:r>
      <w:r>
        <w:rPr>
          <w:rStyle w:val="Refdenotaalpie"/>
          <w:rFonts w:ascii="Palatino Linotype" w:hAnsi="Palatino Linotype" w:cs="Arial"/>
        </w:rPr>
        <w:footnoteReference w:id="6"/>
      </w:r>
    </w:p>
    <w:p w14:paraId="39179316" w14:textId="77777777" w:rsidR="00CA341B" w:rsidRDefault="00CA341B" w:rsidP="00CA341B">
      <w:pPr>
        <w:pStyle w:val="Textoindependiente"/>
        <w:kinsoku w:val="0"/>
        <w:overflowPunct w:val="0"/>
        <w:spacing w:line="360" w:lineRule="auto"/>
        <w:ind w:right="96"/>
        <w:contextualSpacing/>
        <w:jc w:val="both"/>
        <w:rPr>
          <w:rFonts w:ascii="Palatino Linotype" w:hAnsi="Palatino Linotype" w:cs="Arial"/>
        </w:rPr>
      </w:pPr>
    </w:p>
    <w:p w14:paraId="58729778" w14:textId="77777777" w:rsidR="00CA341B" w:rsidRPr="00805668" w:rsidRDefault="00CA341B" w:rsidP="00CA341B">
      <w:pPr>
        <w:pStyle w:val="Textoindependiente"/>
        <w:kinsoku w:val="0"/>
        <w:overflowPunct w:val="0"/>
        <w:spacing w:line="360" w:lineRule="auto"/>
        <w:ind w:right="96"/>
        <w:contextualSpacing/>
        <w:jc w:val="both"/>
        <w:rPr>
          <w:rFonts w:ascii="Palatino Linotype" w:hAnsi="Palatino Linotype" w:cs="Arial"/>
        </w:rPr>
      </w:pPr>
      <w:r>
        <w:rPr>
          <w:rFonts w:ascii="Palatino Linotype" w:hAnsi="Palatino Linotype" w:cs="Arial"/>
        </w:rPr>
        <w:t>De ahí que,</w:t>
      </w:r>
      <w:r w:rsidRPr="00805668">
        <w:rPr>
          <w:rFonts w:ascii="Palatino Linotype" w:hAnsi="Palatino Linotype" w:cs="Arial"/>
        </w:rPr>
        <w:t xml:space="preserve">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F29C6B0" w14:textId="77777777" w:rsidR="00CA341B" w:rsidRPr="00F30C67" w:rsidRDefault="00CA341B" w:rsidP="00CA341B">
      <w:pPr>
        <w:pStyle w:val="Prrafodelista"/>
        <w:autoSpaceDE w:val="0"/>
        <w:autoSpaceDN w:val="0"/>
        <w:adjustRightInd w:val="0"/>
        <w:spacing w:line="360" w:lineRule="auto"/>
        <w:ind w:left="0"/>
        <w:jc w:val="both"/>
        <w:rPr>
          <w:rFonts w:ascii="Palatino Linotype" w:hAnsi="Palatino Linotype" w:cs="Arial"/>
          <w:lang w:val="es-MX"/>
        </w:rPr>
      </w:pPr>
    </w:p>
    <w:p w14:paraId="40B81D96" w14:textId="77777777" w:rsidR="00CA341B" w:rsidRPr="00F30C67" w:rsidRDefault="00CA341B" w:rsidP="00CA341B">
      <w:pPr>
        <w:autoSpaceDE w:val="0"/>
        <w:autoSpaceDN w:val="0"/>
        <w:adjustRightInd w:val="0"/>
        <w:ind w:left="567" w:right="567"/>
        <w:contextualSpacing/>
        <w:jc w:val="both"/>
        <w:rPr>
          <w:rFonts w:ascii="Palatino Linotype" w:hAnsi="Palatino Linotype" w:cs="Arial"/>
          <w:b/>
          <w:i/>
          <w:sz w:val="22"/>
          <w:szCs w:val="22"/>
          <w:lang w:val="es-MX"/>
        </w:rPr>
      </w:pPr>
      <w:r w:rsidRPr="00F30C67">
        <w:rPr>
          <w:rFonts w:ascii="Palatino Linotype" w:hAnsi="Palatino Linotype" w:cs="Arial"/>
          <w:b/>
          <w:i/>
          <w:sz w:val="22"/>
          <w:szCs w:val="22"/>
          <w:lang w:val="es-MX"/>
        </w:rPr>
        <w:t>“CRITERIO 0002-11</w:t>
      </w:r>
    </w:p>
    <w:p w14:paraId="7253E08D" w14:textId="77777777" w:rsidR="00CA341B" w:rsidRPr="00F30C67" w:rsidRDefault="00CA341B" w:rsidP="00CA341B">
      <w:pPr>
        <w:autoSpaceDE w:val="0"/>
        <w:autoSpaceDN w:val="0"/>
        <w:adjustRightInd w:val="0"/>
        <w:ind w:left="567" w:right="567"/>
        <w:contextualSpacing/>
        <w:jc w:val="both"/>
        <w:rPr>
          <w:rFonts w:ascii="Palatino Linotype" w:hAnsi="Palatino Linotype" w:cs="Arial"/>
          <w:i/>
          <w:sz w:val="22"/>
          <w:szCs w:val="22"/>
          <w:lang w:val="es-MX"/>
        </w:rPr>
      </w:pPr>
      <w:r w:rsidRPr="00F30C67">
        <w:rPr>
          <w:rFonts w:ascii="Palatino Linotype" w:hAnsi="Palatino Linotype" w:cs="Arial"/>
          <w:b/>
          <w:i/>
          <w:sz w:val="22"/>
          <w:szCs w:val="22"/>
          <w:lang w:val="es-MX"/>
        </w:rPr>
        <w:t xml:space="preserve">INFORMACIÓN PÚBLICA, CONCEPTO DE, EN MATERIA DE TRANSPARENCIA. INTERPRETACIÓN TEMÁTICA DE LOS ARTÍCULOS 2, FRACCIÓN </w:t>
      </w:r>
      <w:r w:rsidRPr="00F30C67">
        <w:rPr>
          <w:rFonts w:ascii="Palatino Linotype" w:hAnsi="Palatino Linotype" w:cs="Arial"/>
          <w:b/>
          <w:bCs/>
          <w:i/>
          <w:sz w:val="22"/>
          <w:szCs w:val="22"/>
          <w:lang w:val="es-MX"/>
        </w:rPr>
        <w:t xml:space="preserve">V, XV, Y XVI, </w:t>
      </w:r>
      <w:r w:rsidRPr="00F30C67">
        <w:rPr>
          <w:rFonts w:ascii="Palatino Linotype" w:hAnsi="Palatino Linotype" w:cs="Arial"/>
          <w:b/>
          <w:i/>
          <w:sz w:val="22"/>
          <w:szCs w:val="22"/>
          <w:lang w:val="es-MX"/>
        </w:rPr>
        <w:t>32, 4,11 Y 41.</w:t>
      </w:r>
      <w:r w:rsidRPr="00F30C67">
        <w:rPr>
          <w:rFonts w:ascii="Palatino Linotype" w:hAnsi="Palatino Linotype" w:cs="Arial"/>
          <w:i/>
          <w:sz w:val="22"/>
          <w:szCs w:val="22"/>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DA71FE" w14:textId="77777777" w:rsidR="00CA341B" w:rsidRPr="00F30C67" w:rsidRDefault="00CA341B" w:rsidP="00CA341B">
      <w:pPr>
        <w:autoSpaceDE w:val="0"/>
        <w:autoSpaceDN w:val="0"/>
        <w:adjustRightInd w:val="0"/>
        <w:ind w:left="567" w:right="567"/>
        <w:contextualSpacing/>
        <w:jc w:val="both"/>
        <w:rPr>
          <w:rFonts w:ascii="Palatino Linotype" w:hAnsi="Palatino Linotype" w:cs="Arial"/>
          <w:i/>
          <w:sz w:val="22"/>
          <w:szCs w:val="22"/>
          <w:lang w:val="es-MX"/>
        </w:rPr>
      </w:pPr>
      <w:r w:rsidRPr="00F30C67">
        <w:rPr>
          <w:rFonts w:ascii="Palatino Linotype" w:hAnsi="Palatino Linotype" w:cs="Arial"/>
          <w:i/>
          <w:sz w:val="22"/>
          <w:szCs w:val="22"/>
          <w:lang w:val="es-MX"/>
        </w:rPr>
        <w:t>En consecuencia, el acceso a la información se refiere a que se cumplan cualquiera de los siguientes tres supuestos:</w:t>
      </w:r>
    </w:p>
    <w:p w14:paraId="5553DEFC" w14:textId="77777777" w:rsidR="00CA341B" w:rsidRPr="00F30C67" w:rsidRDefault="00CA341B" w:rsidP="00CA341B">
      <w:pPr>
        <w:autoSpaceDE w:val="0"/>
        <w:autoSpaceDN w:val="0"/>
        <w:adjustRightInd w:val="0"/>
        <w:ind w:left="567" w:right="567"/>
        <w:contextualSpacing/>
        <w:jc w:val="both"/>
        <w:rPr>
          <w:rFonts w:ascii="Palatino Linotype" w:hAnsi="Palatino Linotype" w:cs="Arial"/>
          <w:i/>
          <w:sz w:val="22"/>
          <w:szCs w:val="22"/>
          <w:lang w:val="es-MX"/>
        </w:rPr>
      </w:pPr>
      <w:r w:rsidRPr="00F30C67">
        <w:rPr>
          <w:rFonts w:ascii="Palatino Linotype" w:hAnsi="Palatino Linotype" w:cs="Arial"/>
          <w:i/>
          <w:sz w:val="22"/>
          <w:szCs w:val="22"/>
          <w:lang w:val="es-MX"/>
        </w:rPr>
        <w:t>Que se trate de información registrada en cualquier soporte documental, que en ejercicio de las atribuciones conferidas, sea generada por los Sujetos Obligados;</w:t>
      </w:r>
    </w:p>
    <w:p w14:paraId="0D9E4EDA" w14:textId="77777777" w:rsidR="00CA341B" w:rsidRPr="00F30C67" w:rsidRDefault="00CA341B" w:rsidP="00CA341B">
      <w:pPr>
        <w:autoSpaceDE w:val="0"/>
        <w:autoSpaceDN w:val="0"/>
        <w:adjustRightInd w:val="0"/>
        <w:ind w:left="567" w:right="567"/>
        <w:contextualSpacing/>
        <w:jc w:val="both"/>
        <w:rPr>
          <w:rFonts w:ascii="Palatino Linotype" w:hAnsi="Palatino Linotype" w:cs="Arial"/>
          <w:i/>
          <w:sz w:val="22"/>
          <w:szCs w:val="22"/>
          <w:lang w:val="es-MX"/>
        </w:rPr>
      </w:pPr>
      <w:r w:rsidRPr="00F30C67">
        <w:rPr>
          <w:rFonts w:ascii="Palatino Linotype" w:hAnsi="Palatino Linotype" w:cs="Arial"/>
          <w:i/>
          <w:sz w:val="22"/>
          <w:szCs w:val="22"/>
          <w:lang w:val="es-MX"/>
        </w:rPr>
        <w:t>Que se trate de información registrada en cualquier soporte documental, que en ejercicio de las atribuciones conferidas, sea administrada por los Sujetos Obligados, y</w:t>
      </w:r>
    </w:p>
    <w:p w14:paraId="0D43CADA" w14:textId="77777777" w:rsidR="00CA341B" w:rsidRPr="00F30C67" w:rsidRDefault="00CA341B" w:rsidP="00CA341B">
      <w:pPr>
        <w:ind w:left="567" w:right="567"/>
        <w:contextualSpacing/>
        <w:jc w:val="both"/>
        <w:rPr>
          <w:rFonts w:ascii="Palatino Linotype" w:hAnsi="Palatino Linotype" w:cs="Arial"/>
          <w:i/>
          <w:color w:val="000000" w:themeColor="text1"/>
          <w:sz w:val="22"/>
          <w:szCs w:val="22"/>
        </w:rPr>
      </w:pPr>
      <w:r w:rsidRPr="00F30C67">
        <w:rPr>
          <w:rFonts w:ascii="Palatino Linotype" w:hAnsi="Palatino Linotype" w:cs="Arial"/>
          <w:i/>
          <w:sz w:val="22"/>
          <w:szCs w:val="22"/>
          <w:lang w:val="es-MX"/>
        </w:rPr>
        <w:lastRenderedPageBreak/>
        <w:t>Que se trate de información registrada en cualquier soporte documental, que en ejercicio de las atribuciones conferidas, se encuentre en posesión de los Sujetos Obligados.”</w:t>
      </w:r>
      <w:r>
        <w:rPr>
          <w:rFonts w:ascii="Palatino Linotype" w:hAnsi="Palatino Linotype" w:cs="Arial"/>
          <w:i/>
          <w:sz w:val="22"/>
          <w:szCs w:val="22"/>
          <w:lang w:val="es-MX"/>
        </w:rPr>
        <w:t>(Sic)</w:t>
      </w:r>
    </w:p>
    <w:p w14:paraId="7CC9D5DF" w14:textId="77777777" w:rsidR="00CA341B" w:rsidRPr="00805668" w:rsidRDefault="00CA341B" w:rsidP="00CA341B">
      <w:pPr>
        <w:pStyle w:val="Textoindependiente"/>
        <w:kinsoku w:val="0"/>
        <w:overflowPunct w:val="0"/>
        <w:spacing w:line="405" w:lineRule="auto"/>
        <w:ind w:right="99"/>
        <w:jc w:val="both"/>
        <w:rPr>
          <w:rFonts w:ascii="Palatino Linotype" w:hAnsi="Palatino Linotype" w:cs="Arial"/>
        </w:rPr>
      </w:pPr>
    </w:p>
    <w:p w14:paraId="661ED38E" w14:textId="77777777" w:rsidR="00CA341B" w:rsidRPr="006D67A4" w:rsidRDefault="00CA341B" w:rsidP="00CA341B">
      <w:pPr>
        <w:pStyle w:val="Textoindependiente"/>
        <w:kinsoku w:val="0"/>
        <w:overflowPunct w:val="0"/>
        <w:spacing w:line="405" w:lineRule="auto"/>
        <w:ind w:right="99"/>
        <w:jc w:val="both"/>
        <w:rPr>
          <w:rFonts w:ascii="Palatino Linotype" w:hAnsi="Palatino Linotype" w:cs="Arial"/>
        </w:rPr>
      </w:pPr>
      <w:r w:rsidRPr="006D67A4">
        <w:rPr>
          <w:rFonts w:ascii="Palatino Linotype" w:hAnsi="Palatino Linotype" w:cs="Arial"/>
        </w:rPr>
        <w:t>De lo anterior se puede concluir que la distinción entre el derecho de petición y el</w:t>
      </w:r>
      <w:r>
        <w:rPr>
          <w:rFonts w:ascii="Palatino Linotype" w:hAnsi="Palatino Linotype" w:cs="Arial"/>
        </w:rPr>
        <w:t xml:space="preserve"> </w:t>
      </w:r>
      <w:r w:rsidRPr="006D67A4">
        <w:rPr>
          <w:rFonts w:ascii="Palatino Linotype" w:hAnsi="Palatino Linotype" w:cs="Arial"/>
        </w:rPr>
        <w:t xml:space="preserve">derecho de acceso a la información </w:t>
      </w:r>
      <w:r>
        <w:rPr>
          <w:rFonts w:ascii="Palatino Linotype" w:hAnsi="Palatino Linotype" w:cs="Arial"/>
        </w:rPr>
        <w:t>descansa</w:t>
      </w:r>
      <w:r w:rsidRPr="006D67A4">
        <w:rPr>
          <w:rFonts w:ascii="Palatino Linotype" w:hAnsi="Palatino Linotype" w:cs="Arial"/>
        </w:rPr>
        <w:t xml:space="preserve">, principalmente, en que la pretensión del peticionario consiste generalmente en obligar a la autoridad responsable a que actúe en el sentido de contestar lo solicitado, mientras que en el derecho de acceso a la información pública la pretensión radica en que se permita el acceso a datos y todo tipo de </w:t>
      </w:r>
      <w:r>
        <w:rPr>
          <w:rFonts w:ascii="Palatino Linotype" w:hAnsi="Palatino Linotype" w:cs="Arial"/>
        </w:rPr>
        <w:t>documentación</w:t>
      </w:r>
      <w:r w:rsidRPr="006D67A4">
        <w:rPr>
          <w:rFonts w:ascii="Palatino Linotype" w:hAnsi="Palatino Linotype" w:cs="Arial"/>
        </w:rPr>
        <w:t xml:space="preserve"> que tenga el carácter de información pública, que sea generada, administrada o se encuentre en posesión de los considerados </w:t>
      </w:r>
      <w:r>
        <w:rPr>
          <w:rFonts w:ascii="Palatino Linotype" w:hAnsi="Palatino Linotype" w:cs="Arial"/>
        </w:rPr>
        <w:t>S</w:t>
      </w:r>
      <w:r w:rsidRPr="006D67A4">
        <w:rPr>
          <w:rFonts w:ascii="Palatino Linotype" w:hAnsi="Palatino Linotype" w:cs="Arial"/>
        </w:rPr>
        <w:t>ujetos</w:t>
      </w:r>
      <w:r>
        <w:rPr>
          <w:rFonts w:ascii="Palatino Linotype" w:hAnsi="Palatino Linotype" w:cs="Arial"/>
        </w:rPr>
        <w:t xml:space="preserve"> Obligados por la Ley de la Materia.</w:t>
      </w:r>
    </w:p>
    <w:p w14:paraId="47A6DF0E" w14:textId="77777777" w:rsidR="00CA341B" w:rsidRDefault="00CA341B" w:rsidP="00CA341B">
      <w:pPr>
        <w:pStyle w:val="Textoindependiente"/>
        <w:kinsoku w:val="0"/>
        <w:overflowPunct w:val="0"/>
        <w:spacing w:line="360" w:lineRule="auto"/>
        <w:ind w:right="96"/>
        <w:contextualSpacing/>
        <w:jc w:val="both"/>
        <w:rPr>
          <w:rFonts w:ascii="Palatino Linotype" w:hAnsi="Palatino Linotype" w:cs="Arial"/>
        </w:rPr>
      </w:pPr>
    </w:p>
    <w:p w14:paraId="67C7E836" w14:textId="43DFD3B1" w:rsidR="00CA341B" w:rsidRDefault="00CA341B" w:rsidP="00CA341B">
      <w:pPr>
        <w:pStyle w:val="Textoindependiente"/>
        <w:kinsoku w:val="0"/>
        <w:overflowPunct w:val="0"/>
        <w:spacing w:line="405" w:lineRule="auto"/>
        <w:ind w:right="99"/>
        <w:jc w:val="both"/>
        <w:rPr>
          <w:rFonts w:ascii="Palatino Linotype" w:hAnsi="Palatino Linotype" w:cs="Arial"/>
        </w:rPr>
      </w:pPr>
      <w:r>
        <w:rPr>
          <w:rFonts w:ascii="Palatino Linotype" w:hAnsi="Palatino Linotype" w:cs="Arial"/>
        </w:rPr>
        <w:t>En base a lo anterior, tenemos que el</w:t>
      </w:r>
      <w:r w:rsidRPr="00805668">
        <w:rPr>
          <w:rFonts w:ascii="Palatino Linotype" w:hAnsi="Palatino Linotype" w:cs="Arial"/>
        </w:rPr>
        <w:t xml:space="preserve"> recurrente en su solicitud de información</w:t>
      </w:r>
      <w:r>
        <w:rPr>
          <w:rFonts w:ascii="Palatino Linotype" w:hAnsi="Palatino Linotype" w:cs="Arial"/>
        </w:rPr>
        <w:t xml:space="preserve"> </w:t>
      </w:r>
      <w:r w:rsidRPr="00805668">
        <w:rPr>
          <w:rFonts w:ascii="Palatino Linotype" w:hAnsi="Palatino Linotype" w:cs="Arial"/>
        </w:rPr>
        <w:t xml:space="preserve">requiere de una explicación o bien una razón por parte del Sujeto Obligado mediante la </w:t>
      </w:r>
      <w:r>
        <w:rPr>
          <w:rFonts w:ascii="Palatino Linotype" w:hAnsi="Palatino Linotype" w:cs="Arial"/>
        </w:rPr>
        <w:t>realización de un cuestionamiento</w:t>
      </w:r>
      <w:r w:rsidRPr="00805668">
        <w:rPr>
          <w:rFonts w:ascii="Palatino Linotype" w:hAnsi="Palatino Linotype" w:cs="Arial"/>
        </w:rPr>
        <w:t>, ya</w:t>
      </w:r>
      <w:r>
        <w:rPr>
          <w:rFonts w:ascii="Palatino Linotype" w:hAnsi="Palatino Linotype" w:cs="Arial"/>
        </w:rPr>
        <w:t xml:space="preserve"> que refiere a la expresión “Cuál”, "Cuánto”, utilizando signo de interrogación.</w:t>
      </w:r>
    </w:p>
    <w:p w14:paraId="7CC917EC" w14:textId="77777777" w:rsidR="00334071" w:rsidRPr="00612719" w:rsidRDefault="00334071" w:rsidP="009E68F9">
      <w:pPr>
        <w:pStyle w:val="Textoindependiente"/>
        <w:kinsoku w:val="0"/>
        <w:overflowPunct w:val="0"/>
        <w:spacing w:line="360" w:lineRule="auto"/>
        <w:ind w:right="96"/>
        <w:contextualSpacing/>
        <w:jc w:val="both"/>
        <w:rPr>
          <w:rFonts w:ascii="Palatino Linotype" w:hAnsi="Palatino Linotype" w:cs="Arial"/>
          <w:i/>
          <w:sz w:val="22"/>
          <w:szCs w:val="22"/>
        </w:rPr>
      </w:pPr>
    </w:p>
    <w:p w14:paraId="3AE1EAF7" w14:textId="39D0826B" w:rsidR="00CA341B" w:rsidRPr="0067162A" w:rsidRDefault="00CA341B" w:rsidP="009E68F9">
      <w:pPr>
        <w:pStyle w:val="Textoindependiente"/>
        <w:kinsoku w:val="0"/>
        <w:overflowPunct w:val="0"/>
        <w:spacing w:line="360" w:lineRule="auto"/>
        <w:ind w:right="96"/>
        <w:contextualSpacing/>
        <w:jc w:val="both"/>
        <w:rPr>
          <w:rFonts w:ascii="Palatino Linotype" w:hAnsi="Palatino Linotype" w:cs="Arial"/>
        </w:rPr>
      </w:pPr>
      <w:r>
        <w:rPr>
          <w:rFonts w:ascii="Palatino Linotype" w:hAnsi="Palatino Linotype" w:cs="Arial"/>
        </w:rPr>
        <w:t xml:space="preserve">Por consiguiente, </w:t>
      </w:r>
      <w:r w:rsidRPr="0067162A">
        <w:rPr>
          <w:rFonts w:ascii="Palatino Linotype" w:hAnsi="Palatino Linotype" w:cs="Arial"/>
        </w:rPr>
        <w:t xml:space="preserve">la entrega de una razón o la respuesta a cuestionamientos que no encuentren soporte documental alguno, por parte de los Sujetos Obligados no es algo que la </w:t>
      </w:r>
      <w:r>
        <w:rPr>
          <w:rFonts w:ascii="Palatino Linotype" w:hAnsi="Palatino Linotype" w:cs="Arial"/>
        </w:rPr>
        <w:t>L</w:t>
      </w:r>
      <w:r w:rsidRPr="0067162A">
        <w:rPr>
          <w:rFonts w:ascii="Palatino Linotype" w:hAnsi="Palatino Linotype" w:cs="Arial"/>
        </w:rPr>
        <w:t>ey</w:t>
      </w:r>
      <w:r>
        <w:rPr>
          <w:rFonts w:ascii="Palatino Linotype" w:hAnsi="Palatino Linotype" w:cs="Arial"/>
        </w:rPr>
        <w:t xml:space="preserve"> de la Materia</w:t>
      </w:r>
      <w:r w:rsidRPr="0067162A">
        <w:rPr>
          <w:rFonts w:ascii="Palatino Linotype" w:hAnsi="Palatino Linotype" w:cs="Arial"/>
        </w:rPr>
        <w:t xml:space="preserve"> establezca como atribución,  derecho o facultad; pues ello implicaría emitir un juicio de valor referente</w:t>
      </w:r>
      <w:r>
        <w:rPr>
          <w:rFonts w:ascii="Palatino Linotype" w:hAnsi="Palatino Linotype" w:cs="Arial"/>
        </w:rPr>
        <w:t xml:space="preserve"> </w:t>
      </w:r>
      <w:r w:rsidRPr="0067162A">
        <w:rPr>
          <w:rFonts w:ascii="Palatino Linotype" w:hAnsi="Palatino Linotype" w:cs="Arial"/>
        </w:rPr>
        <w:t>a cuestionamientos</w:t>
      </w:r>
      <w:r>
        <w:rPr>
          <w:rFonts w:ascii="Palatino Linotype" w:hAnsi="Palatino Linotype" w:cs="Arial"/>
        </w:rPr>
        <w:t xml:space="preserve"> </w:t>
      </w:r>
      <w:r w:rsidRPr="0067162A">
        <w:rPr>
          <w:rFonts w:ascii="Palatino Linotype" w:hAnsi="Palatino Linotype" w:cs="Arial"/>
        </w:rPr>
        <w:t>realizados,</w:t>
      </w:r>
      <w:r>
        <w:rPr>
          <w:rFonts w:ascii="Palatino Linotype" w:hAnsi="Palatino Linotype" w:cs="Arial"/>
        </w:rPr>
        <w:t xml:space="preserve"> </w:t>
      </w:r>
      <w:r w:rsidRPr="0067162A">
        <w:rPr>
          <w:rFonts w:ascii="Palatino Linotype" w:hAnsi="Palatino Linotype" w:cs="Arial"/>
        </w:rPr>
        <w:t xml:space="preserve">los cuales como ha quedado explicado, al </w:t>
      </w:r>
      <w:r>
        <w:rPr>
          <w:rFonts w:ascii="Palatino Linotype" w:hAnsi="Palatino Linotype" w:cs="Arial"/>
        </w:rPr>
        <w:t xml:space="preserve">constituir </w:t>
      </w:r>
      <w:r w:rsidRPr="0067162A">
        <w:rPr>
          <w:rFonts w:ascii="Palatino Linotype" w:hAnsi="Palatino Linotype" w:cs="Arial"/>
        </w:rPr>
        <w:t xml:space="preserve">interrogantes, </w:t>
      </w:r>
      <w:r>
        <w:rPr>
          <w:rFonts w:ascii="Palatino Linotype" w:hAnsi="Palatino Linotype" w:cs="Arial"/>
        </w:rPr>
        <w:t>inquietudes</w:t>
      </w:r>
      <w:r w:rsidRPr="0067162A">
        <w:rPr>
          <w:rFonts w:ascii="Palatino Linotype" w:hAnsi="Palatino Linotype" w:cs="Arial"/>
        </w:rPr>
        <w:t xml:space="preserve">, quejas </w:t>
      </w:r>
      <w:r w:rsidRPr="0067162A">
        <w:rPr>
          <w:rFonts w:ascii="Palatino Linotype" w:hAnsi="Palatino Linotype" w:cs="Arial"/>
        </w:rPr>
        <w:lastRenderedPageBreak/>
        <w:t xml:space="preserve">y manifestaciones resultan </w:t>
      </w:r>
      <w:r>
        <w:rPr>
          <w:rFonts w:ascii="Palatino Linotype" w:hAnsi="Palatino Linotype" w:cs="Arial"/>
        </w:rPr>
        <w:t>estar encaminadas</w:t>
      </w:r>
      <w:r w:rsidRPr="0067162A">
        <w:rPr>
          <w:rFonts w:ascii="Palatino Linotype" w:hAnsi="Palatino Linotype" w:cs="Arial"/>
        </w:rPr>
        <w:t xml:space="preserve"> a ser satisfechas </w:t>
      </w:r>
      <w:r>
        <w:rPr>
          <w:rFonts w:ascii="Palatino Linotype" w:hAnsi="Palatino Linotype" w:cs="Arial"/>
        </w:rPr>
        <w:t>en ejercicio del derecho de petición.</w:t>
      </w:r>
    </w:p>
    <w:p w14:paraId="60FFB9FE" w14:textId="2AF62222" w:rsidR="00F370D6" w:rsidRDefault="00334071" w:rsidP="00C44687">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el </w:t>
      </w:r>
      <w:r w:rsidRPr="00334071">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aras de garantizar el derecho de acceso a la información pública del </w:t>
      </w:r>
      <w:r w:rsidRPr="00334071">
        <w:rPr>
          <w:rFonts w:ascii="Palatino Linotype" w:eastAsia="Palatino Linotype" w:hAnsi="Palatino Linotype" w:cs="Palatino Linotype"/>
          <w:b/>
        </w:rPr>
        <w:t>RECURRENTE</w:t>
      </w:r>
      <w:r>
        <w:rPr>
          <w:rFonts w:ascii="Palatino Linotype" w:eastAsia="Palatino Linotype" w:hAnsi="Palatino Linotype" w:cs="Palatino Linotype"/>
        </w:rPr>
        <w:t xml:space="preserve">, dio contestación </w:t>
      </w:r>
      <w:r w:rsidR="004333B1">
        <w:rPr>
          <w:rFonts w:ascii="Palatino Linotype" w:eastAsia="Palatino Linotype" w:hAnsi="Palatino Linotype" w:cs="Palatino Linotype"/>
        </w:rPr>
        <w:t>a través</w:t>
      </w:r>
      <w:r w:rsidR="00511B65">
        <w:rPr>
          <w:rFonts w:ascii="Palatino Linotype" w:eastAsia="Palatino Linotype" w:hAnsi="Palatino Linotype" w:cs="Palatino Linotype"/>
        </w:rPr>
        <w:t xml:space="preserve"> de un documento ad h</w:t>
      </w:r>
      <w:r w:rsidR="004333B1">
        <w:rPr>
          <w:rFonts w:ascii="Palatino Linotype" w:eastAsia="Palatino Linotype" w:hAnsi="Palatino Linotype" w:cs="Palatino Linotype"/>
        </w:rPr>
        <w:t xml:space="preserve">oc </w:t>
      </w:r>
      <w:r>
        <w:rPr>
          <w:rFonts w:ascii="Palatino Linotype" w:eastAsia="Palatino Linotype" w:hAnsi="Palatino Linotype" w:cs="Palatino Linotype"/>
        </w:rPr>
        <w:t xml:space="preserve">a </w:t>
      </w:r>
      <w:r w:rsidR="00F370D6">
        <w:rPr>
          <w:rFonts w:ascii="Palatino Linotype" w:eastAsia="Palatino Linotype" w:hAnsi="Palatino Linotype" w:cs="Palatino Linotype"/>
        </w:rPr>
        <w:t>los cuestionamientos 1, 2, 3, 5 y 6, correspondiente a:</w:t>
      </w:r>
    </w:p>
    <w:p w14:paraId="4CF3FE39" w14:textId="77777777" w:rsidR="00686839"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 xml:space="preserve">¿En dónde puedo reportar las luminarias fundidas? </w:t>
      </w:r>
    </w:p>
    <w:p w14:paraId="476C9FE8" w14:textId="77777777" w:rsidR="00686839"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 xml:space="preserve">¿Cuál es el programa para el mantenimiento de los parques? </w:t>
      </w:r>
    </w:p>
    <w:p w14:paraId="2D3F60E6" w14:textId="77777777" w:rsidR="00686839"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¿Por qué no hacen el mantenimiento de los ar</w:t>
      </w:r>
      <w:r>
        <w:rPr>
          <w:rFonts w:ascii="Palatino Linotype" w:hAnsi="Palatino Linotype"/>
        </w:rPr>
        <w:t>bustos que están las banquetas?</w:t>
      </w:r>
    </w:p>
    <w:p w14:paraId="73751452" w14:textId="77777777" w:rsidR="00686839"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 xml:space="preserve">¿Dónde puedo reportar una coladera tapada? </w:t>
      </w:r>
    </w:p>
    <w:p w14:paraId="6D99738A" w14:textId="35DAB3EF" w:rsidR="00686839"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 xml:space="preserve">¿Por qué casi no hay ciclovías? </w:t>
      </w:r>
    </w:p>
    <w:p w14:paraId="32F268C0" w14:textId="77777777" w:rsidR="00686839" w:rsidRPr="00673C52" w:rsidRDefault="00686839" w:rsidP="00686839">
      <w:pPr>
        <w:pStyle w:val="Prrafodelista"/>
        <w:numPr>
          <w:ilvl w:val="0"/>
          <w:numId w:val="12"/>
        </w:numPr>
        <w:spacing w:before="240" w:after="240" w:line="360" w:lineRule="auto"/>
        <w:jc w:val="both"/>
        <w:rPr>
          <w:rFonts w:ascii="Palatino Linotype" w:hAnsi="Palatino Linotype"/>
        </w:rPr>
      </w:pPr>
      <w:r w:rsidRPr="00673C52">
        <w:rPr>
          <w:rFonts w:ascii="Palatino Linotype" w:hAnsi="Palatino Linotype"/>
        </w:rPr>
        <w:t>¿Qué hace el municipio para que no haya perros en las calles?</w:t>
      </w:r>
    </w:p>
    <w:p w14:paraId="03D22642" w14:textId="107FEF29" w:rsidR="00586737" w:rsidRDefault="00F370D6" w:rsidP="00C44687">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t>P</w:t>
      </w:r>
      <w:r w:rsidR="00334071">
        <w:rPr>
          <w:rFonts w:ascii="Palatino Linotype" w:eastAsia="Palatino Linotype" w:hAnsi="Palatino Linotype" w:cs="Palatino Linotype"/>
        </w:rPr>
        <w:t>or ello, e</w:t>
      </w:r>
      <w:r w:rsidR="00586737">
        <w:rPr>
          <w:rFonts w:ascii="Palatino Linotype" w:eastAsia="Palatino Linotype" w:hAnsi="Palatino Linotype" w:cs="Palatino Linotype"/>
        </w:rPr>
        <w:t>n ese sentido, es pertinente señalar que las</w:t>
      </w:r>
      <w:r w:rsidR="00C44687">
        <w:rPr>
          <w:rFonts w:ascii="Palatino Linotype" w:eastAsia="Palatino Linotype" w:hAnsi="Palatino Linotype" w:cs="Palatino Linotype"/>
        </w:rPr>
        <w:t xml:space="preserve"> área</w:t>
      </w:r>
      <w:r w:rsidR="00586737">
        <w:rPr>
          <w:rFonts w:ascii="Palatino Linotype" w:eastAsia="Palatino Linotype" w:hAnsi="Palatino Linotype" w:cs="Palatino Linotype"/>
        </w:rPr>
        <w:t>s</w:t>
      </w:r>
      <w:r w:rsidR="00C44687">
        <w:rPr>
          <w:rFonts w:ascii="Palatino Linotype" w:eastAsia="Palatino Linotype" w:hAnsi="Palatino Linotype" w:cs="Palatino Linotype"/>
        </w:rPr>
        <w:t xml:space="preserve"> del </w:t>
      </w:r>
      <w:r w:rsidR="00C44687" w:rsidRPr="00A069E6">
        <w:rPr>
          <w:rFonts w:ascii="Palatino Linotype" w:eastAsia="Palatino Linotype" w:hAnsi="Palatino Linotype" w:cs="Palatino Linotype"/>
          <w:b/>
        </w:rPr>
        <w:t>SUJETO OBLIGADO</w:t>
      </w:r>
      <w:r w:rsidR="00586737">
        <w:rPr>
          <w:rFonts w:ascii="Palatino Linotype" w:eastAsia="Palatino Linotype" w:hAnsi="Palatino Linotype" w:cs="Palatino Linotype"/>
        </w:rPr>
        <w:t xml:space="preserve"> que se pronunciaron</w:t>
      </w:r>
      <w:r w:rsidR="00C44687">
        <w:rPr>
          <w:rFonts w:ascii="Palatino Linotype" w:eastAsia="Palatino Linotype" w:hAnsi="Palatino Linotype" w:cs="Palatino Linotype"/>
        </w:rPr>
        <w:t xml:space="preserve"> fue </w:t>
      </w:r>
      <w:r w:rsidR="006450BB">
        <w:rPr>
          <w:rFonts w:ascii="Palatino Linotype" w:eastAsia="Palatino Linotype" w:hAnsi="Palatino Linotype" w:cs="Palatino Linotype"/>
        </w:rPr>
        <w:t xml:space="preserve">la Dirección </w:t>
      </w:r>
      <w:r w:rsidR="006A56C5">
        <w:rPr>
          <w:rFonts w:ascii="Palatino Linotype" w:eastAsia="Palatino Linotype" w:hAnsi="Palatino Linotype" w:cs="Palatino Linotype"/>
        </w:rPr>
        <w:t>General de Servicios Públicos</w:t>
      </w:r>
      <w:r w:rsidR="006450BB">
        <w:rPr>
          <w:rFonts w:ascii="Palatino Linotype" w:eastAsia="Palatino Linotype" w:hAnsi="Palatino Linotype" w:cs="Palatino Linotype"/>
        </w:rPr>
        <w:t>, Dirección de Alumbrado Público, Titular del Centro de Control y Bienestar Animal de Toluca, Director General de Medio Ambiente y Director General de Seguridad y Protección</w:t>
      </w:r>
      <w:r w:rsidR="00C44687">
        <w:rPr>
          <w:rFonts w:ascii="Palatino Linotype" w:hAnsi="Palatino Linotype" w:cs="Arial"/>
        </w:rPr>
        <w:t xml:space="preserve">, </w:t>
      </w:r>
      <w:r w:rsidR="00586737">
        <w:rPr>
          <w:rFonts w:ascii="Palatino Linotype" w:hAnsi="Palatino Linotype" w:cs="Arial"/>
        </w:rPr>
        <w:t>en razón de que el Titular de la Unidad de Transparencia, como así lo manifestó, turno la solicitud a el área de</w:t>
      </w:r>
      <w:r w:rsidR="006450BB">
        <w:rPr>
          <w:rFonts w:ascii="Palatino Linotype" w:hAnsi="Palatino Linotype" w:cs="Arial"/>
        </w:rPr>
        <w:t xml:space="preserve"> </w:t>
      </w:r>
      <w:r w:rsidR="006A56C5">
        <w:rPr>
          <w:rFonts w:ascii="Palatino Linotype" w:eastAsia="Palatino Linotype" w:hAnsi="Palatino Linotype" w:cs="Palatino Linotype"/>
        </w:rPr>
        <w:t>Dirección General de Servicios Públicos</w:t>
      </w:r>
      <w:r w:rsidR="006450BB">
        <w:rPr>
          <w:rFonts w:ascii="Palatino Linotype" w:eastAsia="Palatino Linotype" w:hAnsi="Palatino Linotype" w:cs="Palatino Linotype"/>
        </w:rPr>
        <w:t>, Dirección de Alumbrado Público, Titular del Centro de Control y Bienestar Animal de Toluca, Director General de Medio Ambiente y Director General de Seguridad y Protección</w:t>
      </w:r>
      <w:r w:rsidR="00586737">
        <w:rPr>
          <w:rFonts w:ascii="Palatino Linotype" w:hAnsi="Palatino Linotype" w:cs="Arial"/>
        </w:rPr>
        <w:t>, como se advierte en la siguiente captura de imagen del apartado de requerimientos del SAIMEX:</w:t>
      </w:r>
    </w:p>
    <w:p w14:paraId="569D730B" w14:textId="77777777" w:rsidR="00586737" w:rsidRDefault="00586737" w:rsidP="00C44687">
      <w:pPr>
        <w:spacing w:before="240" w:after="240" w:line="360" w:lineRule="auto"/>
        <w:contextualSpacing/>
        <w:jc w:val="both"/>
        <w:rPr>
          <w:noProof/>
          <w:lang w:val="es-MX"/>
        </w:rPr>
      </w:pPr>
    </w:p>
    <w:p w14:paraId="54217F1E" w14:textId="7DFEA66A" w:rsidR="00586737" w:rsidRDefault="0020551D" w:rsidP="00C44687">
      <w:pPr>
        <w:spacing w:before="240" w:after="240" w:line="360" w:lineRule="auto"/>
        <w:contextualSpacing/>
        <w:jc w:val="both"/>
        <w:rPr>
          <w:rFonts w:ascii="Palatino Linotype" w:hAnsi="Palatino Linotype" w:cs="Arial"/>
        </w:rPr>
      </w:pPr>
      <w:r>
        <w:rPr>
          <w:noProof/>
          <w:lang w:val="es-MX"/>
        </w:rPr>
        <w:lastRenderedPageBreak/>
        <w:drawing>
          <wp:inline distT="0" distB="0" distL="0" distR="0" wp14:anchorId="6C951CBA" wp14:editId="0DD0CA9E">
            <wp:extent cx="5533496" cy="23064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622" t="42605" r="4396" b="20388"/>
                    <a:stretch/>
                  </pic:blipFill>
                  <pic:spPr bwMode="auto">
                    <a:xfrm>
                      <a:off x="0" y="0"/>
                      <a:ext cx="5555785" cy="2315762"/>
                    </a:xfrm>
                    <a:prstGeom prst="rect">
                      <a:avLst/>
                    </a:prstGeom>
                    <a:ln>
                      <a:noFill/>
                    </a:ln>
                    <a:extLst>
                      <a:ext uri="{53640926-AAD7-44D8-BBD7-CCE9431645EC}">
                        <a14:shadowObscured xmlns:a14="http://schemas.microsoft.com/office/drawing/2010/main"/>
                      </a:ext>
                    </a:extLst>
                  </pic:spPr>
                </pic:pic>
              </a:graphicData>
            </a:graphic>
          </wp:inline>
        </w:drawing>
      </w:r>
    </w:p>
    <w:p w14:paraId="6C7EBEA3" w14:textId="77DF48C6" w:rsidR="00C44687" w:rsidRDefault="00586737" w:rsidP="0020551D">
      <w:pPr>
        <w:spacing w:before="240" w:after="240" w:line="360" w:lineRule="auto"/>
        <w:ind w:right="51"/>
        <w:contextualSpacing/>
        <w:jc w:val="both"/>
        <w:rPr>
          <w:rFonts w:ascii="Palatino Linotype" w:hAnsi="Palatino Linotype" w:cs="Arial"/>
        </w:rPr>
      </w:pPr>
      <w:r>
        <w:rPr>
          <w:rFonts w:ascii="Palatino Linotype" w:hAnsi="Palatino Linotype" w:cs="Arial"/>
        </w:rPr>
        <w:t xml:space="preserve">Siendo estos </w:t>
      </w:r>
      <w:r w:rsidR="00CF2F5E">
        <w:rPr>
          <w:rFonts w:ascii="Palatino Linotype" w:hAnsi="Palatino Linotype" w:cs="Arial"/>
        </w:rPr>
        <w:t xml:space="preserve">los competentes para generar, poseer o administrar la información solicitada, ya </w:t>
      </w:r>
      <w:r>
        <w:rPr>
          <w:rFonts w:ascii="Palatino Linotype" w:hAnsi="Palatino Linotype" w:cs="Arial"/>
        </w:rPr>
        <w:t xml:space="preserve">que tiene las siguientes atribuciones conforme a lo </w:t>
      </w:r>
      <w:r w:rsidR="0014542F">
        <w:rPr>
          <w:rFonts w:ascii="Palatino Linotype" w:hAnsi="Palatino Linotype" w:cs="Arial"/>
        </w:rPr>
        <w:t>señalado por los artículos 3.52</w:t>
      </w:r>
      <w:r w:rsidR="00CF2F5E">
        <w:rPr>
          <w:rFonts w:ascii="Palatino Linotype" w:hAnsi="Palatino Linotype" w:cs="Arial"/>
        </w:rPr>
        <w:t xml:space="preserve"> fracciones VI</w:t>
      </w:r>
      <w:r w:rsidR="0014542F">
        <w:rPr>
          <w:rFonts w:ascii="Palatino Linotype" w:hAnsi="Palatino Linotype" w:cs="Arial"/>
        </w:rPr>
        <w:t xml:space="preserve"> y VIII, XXIII, XXIV </w:t>
      </w:r>
      <w:r w:rsidR="00CF2F5E">
        <w:rPr>
          <w:rFonts w:ascii="Palatino Linotype" w:hAnsi="Palatino Linotype" w:cs="Arial"/>
        </w:rPr>
        <w:t xml:space="preserve">y </w:t>
      </w:r>
      <w:r w:rsidR="00C91457">
        <w:rPr>
          <w:rFonts w:ascii="Palatino Linotype" w:hAnsi="Palatino Linotype" w:cs="Arial"/>
        </w:rPr>
        <w:t>último párrafo</w:t>
      </w:r>
      <w:r w:rsidR="0014542F">
        <w:rPr>
          <w:rFonts w:ascii="Palatino Linotype" w:hAnsi="Palatino Linotype" w:cs="Arial"/>
        </w:rPr>
        <w:t>, 3.</w:t>
      </w:r>
      <w:r w:rsidR="00CA341B">
        <w:rPr>
          <w:rFonts w:ascii="Palatino Linotype" w:hAnsi="Palatino Linotype" w:cs="Arial"/>
        </w:rPr>
        <w:t>51 fracción</w:t>
      </w:r>
      <w:r w:rsidR="0014542F">
        <w:rPr>
          <w:rFonts w:ascii="Palatino Linotype" w:hAnsi="Palatino Linotype" w:cs="Arial"/>
        </w:rPr>
        <w:t xml:space="preserve"> VI, </w:t>
      </w:r>
      <w:r w:rsidR="00C91457">
        <w:rPr>
          <w:rFonts w:ascii="Palatino Linotype" w:hAnsi="Palatino Linotype" w:cs="Arial"/>
        </w:rPr>
        <w:t xml:space="preserve"> </w:t>
      </w:r>
      <w:r w:rsidR="00CA341B">
        <w:rPr>
          <w:rFonts w:ascii="Palatino Linotype" w:hAnsi="Palatino Linotype" w:cs="Arial"/>
        </w:rPr>
        <w:t>3.</w:t>
      </w:r>
      <w:r w:rsidR="000808EA">
        <w:rPr>
          <w:rFonts w:ascii="Palatino Linotype" w:hAnsi="Palatino Linotype" w:cs="Arial"/>
        </w:rPr>
        <w:t>46 último párrafo, 3.49 fracción XVII</w:t>
      </w:r>
      <w:r w:rsidR="00CA341B">
        <w:rPr>
          <w:rFonts w:ascii="Palatino Linotype" w:hAnsi="Palatino Linotype" w:cs="Arial"/>
        </w:rPr>
        <w:t xml:space="preserve"> </w:t>
      </w:r>
      <w:r w:rsidR="00F370D6">
        <w:rPr>
          <w:rFonts w:ascii="Palatino Linotype" w:hAnsi="Palatino Linotype" w:cs="Arial"/>
        </w:rPr>
        <w:t>y 3.31</w:t>
      </w:r>
      <w:r w:rsidR="00C91457">
        <w:rPr>
          <w:rFonts w:ascii="Palatino Linotype" w:hAnsi="Palatino Linotype" w:cs="Arial"/>
        </w:rPr>
        <w:t xml:space="preserve"> fracción I del Código Reglamentario Municipal de Toluca, que señalan:</w:t>
      </w:r>
    </w:p>
    <w:p w14:paraId="7571A604" w14:textId="322C23AE" w:rsidR="006A56C5" w:rsidRDefault="006A56C5" w:rsidP="0020551D">
      <w:pPr>
        <w:spacing w:before="240" w:after="240" w:line="360" w:lineRule="auto"/>
        <w:ind w:right="51"/>
        <w:contextualSpacing/>
        <w:jc w:val="both"/>
        <w:rPr>
          <w:rFonts w:ascii="Palatino Linotype" w:hAnsi="Palatino Linotype" w:cs="Arial"/>
        </w:rPr>
      </w:pPr>
    </w:p>
    <w:p w14:paraId="25EB8720" w14:textId="33849178" w:rsidR="006A56C5" w:rsidRDefault="006A56C5" w:rsidP="0020551D">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Dirección General de Servicios Públicos y Dirección de Alumbrado Público:</w:t>
      </w:r>
    </w:p>
    <w:p w14:paraId="6748CBBA" w14:textId="77777777" w:rsidR="0014542F" w:rsidRDefault="0014542F" w:rsidP="0014542F">
      <w:pPr>
        <w:ind w:left="851" w:right="899"/>
        <w:jc w:val="both"/>
        <w:rPr>
          <w:rFonts w:ascii="Palatino Linotype" w:hAnsi="Palatino Linotype" w:cs="Arial"/>
          <w:i/>
          <w:sz w:val="22"/>
          <w:szCs w:val="22"/>
        </w:rPr>
      </w:pPr>
    </w:p>
    <w:p w14:paraId="6B5DE60A" w14:textId="38856446" w:rsidR="0014542F" w:rsidRPr="0014542F" w:rsidRDefault="0014542F" w:rsidP="0014542F">
      <w:pPr>
        <w:ind w:left="851" w:right="899"/>
        <w:jc w:val="both"/>
        <w:rPr>
          <w:rFonts w:ascii="Palatino Linotype" w:hAnsi="Palatino Linotype" w:cs="Arial"/>
          <w:i/>
          <w:sz w:val="22"/>
          <w:szCs w:val="22"/>
        </w:rPr>
      </w:pPr>
      <w:r>
        <w:rPr>
          <w:rFonts w:ascii="Palatino Linotype" w:hAnsi="Palatino Linotype" w:cs="Arial"/>
          <w:i/>
          <w:sz w:val="22"/>
          <w:szCs w:val="22"/>
        </w:rPr>
        <w:t>“</w:t>
      </w:r>
      <w:r w:rsidRPr="0014542F">
        <w:rPr>
          <w:rFonts w:ascii="Palatino Linotype" w:hAnsi="Palatino Linotype" w:cs="Arial"/>
          <w:i/>
          <w:sz w:val="22"/>
          <w:szCs w:val="22"/>
        </w:rPr>
        <w:t>Artículo 3.52. La o el titular de la Dirección General de Servicios Públicos tendrá las siguientes atribuciones:</w:t>
      </w:r>
    </w:p>
    <w:p w14:paraId="77E1F47B" w14:textId="32914A8C" w:rsidR="0014542F" w:rsidRP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i/>
          <w:sz w:val="22"/>
          <w:szCs w:val="22"/>
        </w:rPr>
        <w:t>…</w:t>
      </w:r>
    </w:p>
    <w:p w14:paraId="0AE5B49B" w14:textId="78D5D81D" w:rsidR="0014542F" w:rsidRPr="0014542F" w:rsidRDefault="0014542F" w:rsidP="0014542F">
      <w:pPr>
        <w:ind w:left="851" w:right="899"/>
        <w:jc w:val="both"/>
        <w:rPr>
          <w:rFonts w:ascii="Palatino Linotype" w:hAnsi="Palatino Linotype" w:cs="Arial"/>
          <w:i/>
          <w:sz w:val="22"/>
          <w:szCs w:val="22"/>
          <w:u w:val="single"/>
        </w:rPr>
      </w:pPr>
      <w:r w:rsidRPr="0014542F">
        <w:rPr>
          <w:rFonts w:ascii="Palatino Linotype" w:hAnsi="Palatino Linotype" w:cs="Arial"/>
          <w:b/>
          <w:i/>
          <w:sz w:val="22"/>
          <w:szCs w:val="22"/>
        </w:rPr>
        <w:t>VI. Promover la organización y participación ciudadana en los trabajos y acciones colectivas que contribuyan a mejorar el alumbrado público</w:t>
      </w:r>
      <w:r w:rsidRPr="0014542F">
        <w:rPr>
          <w:rFonts w:ascii="Palatino Linotype" w:hAnsi="Palatino Linotype" w:cs="Arial"/>
          <w:i/>
          <w:sz w:val="22"/>
          <w:szCs w:val="22"/>
        </w:rPr>
        <w:t xml:space="preserve">, </w:t>
      </w:r>
      <w:r w:rsidRPr="0014542F">
        <w:rPr>
          <w:rFonts w:ascii="Palatino Linotype" w:hAnsi="Palatino Linotype" w:cs="Arial"/>
          <w:i/>
          <w:sz w:val="22"/>
          <w:szCs w:val="22"/>
          <w:u w:val="single"/>
        </w:rPr>
        <w:t>los parques, jardines y panteones;</w:t>
      </w:r>
    </w:p>
    <w:p w14:paraId="3ED0BB29" w14:textId="3DDCCCD1" w:rsidR="0014542F" w:rsidRP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i/>
          <w:sz w:val="22"/>
          <w:szCs w:val="22"/>
        </w:rPr>
        <w:t>…</w:t>
      </w:r>
    </w:p>
    <w:p w14:paraId="35113DB1" w14:textId="77777777" w:rsid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b/>
          <w:i/>
          <w:sz w:val="22"/>
          <w:szCs w:val="22"/>
        </w:rPr>
        <w:t>VIII. Evaluar y supervisar los proyectos e instalaciones de alumbrado público</w:t>
      </w:r>
      <w:r w:rsidRPr="0014542F">
        <w:rPr>
          <w:rFonts w:ascii="Palatino Linotype" w:hAnsi="Palatino Linotype" w:cs="Arial"/>
          <w:i/>
          <w:sz w:val="22"/>
          <w:szCs w:val="22"/>
        </w:rPr>
        <w:t xml:space="preserve"> que realicen los titulares de fraccionamientos o conjuntos urbanos, y emitir en su caso, el visto bueno cuando hagan entreg</w:t>
      </w:r>
      <w:r>
        <w:rPr>
          <w:rFonts w:ascii="Palatino Linotype" w:hAnsi="Palatino Linotype" w:cs="Arial"/>
          <w:i/>
          <w:sz w:val="22"/>
          <w:szCs w:val="22"/>
        </w:rPr>
        <w:t>a de los mismos al Ayuntamiento</w:t>
      </w:r>
    </w:p>
    <w:p w14:paraId="3309003D" w14:textId="4E961872" w:rsidR="0014542F" w:rsidRDefault="0014542F" w:rsidP="0014542F">
      <w:pPr>
        <w:ind w:left="851" w:right="899"/>
        <w:jc w:val="both"/>
        <w:rPr>
          <w:rFonts w:ascii="Palatino Linotype" w:hAnsi="Palatino Linotype" w:cs="Arial"/>
          <w:i/>
          <w:sz w:val="22"/>
          <w:szCs w:val="22"/>
        </w:rPr>
      </w:pPr>
      <w:r>
        <w:rPr>
          <w:rFonts w:ascii="Palatino Linotype" w:hAnsi="Palatino Linotype" w:cs="Arial"/>
          <w:i/>
          <w:sz w:val="22"/>
          <w:szCs w:val="22"/>
        </w:rPr>
        <w:t>…</w:t>
      </w:r>
    </w:p>
    <w:p w14:paraId="6F34B33D" w14:textId="4CDF68EB" w:rsidR="0014542F" w:rsidRPr="0014542F" w:rsidRDefault="0014542F" w:rsidP="0014542F">
      <w:pPr>
        <w:ind w:left="851" w:right="899"/>
        <w:jc w:val="both"/>
        <w:rPr>
          <w:rFonts w:ascii="Palatino Linotype" w:hAnsi="Palatino Linotype" w:cs="Arial"/>
          <w:b/>
          <w:i/>
          <w:sz w:val="22"/>
          <w:szCs w:val="22"/>
        </w:rPr>
      </w:pPr>
      <w:r w:rsidRPr="0014542F">
        <w:rPr>
          <w:rFonts w:ascii="Palatino Linotype" w:hAnsi="Palatino Linotype" w:cs="Arial"/>
          <w:b/>
          <w:i/>
          <w:sz w:val="22"/>
          <w:szCs w:val="22"/>
        </w:rPr>
        <w:t>XXIII. Coordinar la poda, derribo, extracción o remoción de árboles de la vegetación urbana del municipio;</w:t>
      </w:r>
    </w:p>
    <w:p w14:paraId="4ADA924D" w14:textId="72A735A4" w:rsidR="0014542F" w:rsidRPr="0014542F" w:rsidRDefault="0014542F" w:rsidP="0014542F">
      <w:pPr>
        <w:ind w:left="851" w:right="899"/>
        <w:jc w:val="both"/>
        <w:rPr>
          <w:rFonts w:ascii="Palatino Linotype" w:hAnsi="Palatino Linotype" w:cs="Arial"/>
          <w:b/>
          <w:i/>
          <w:sz w:val="22"/>
          <w:szCs w:val="22"/>
        </w:rPr>
      </w:pPr>
      <w:r w:rsidRPr="0014542F">
        <w:rPr>
          <w:rFonts w:ascii="Palatino Linotype" w:hAnsi="Palatino Linotype" w:cs="Arial"/>
          <w:b/>
          <w:i/>
          <w:sz w:val="22"/>
          <w:szCs w:val="22"/>
        </w:rPr>
        <w:lastRenderedPageBreak/>
        <w:t>XXIV. Imponer medidas preventivas o provisionales de seguridad para la poda y retiro de árboles en bienes de dominio público;</w:t>
      </w:r>
    </w:p>
    <w:p w14:paraId="0481369B" w14:textId="1245CB47" w:rsidR="0014542F" w:rsidRP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i/>
          <w:sz w:val="22"/>
          <w:szCs w:val="22"/>
        </w:rPr>
        <w:t>…</w:t>
      </w:r>
    </w:p>
    <w:p w14:paraId="5AAA3CAD" w14:textId="7415D45F" w:rsidR="0014542F" w:rsidRP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b/>
          <w:i/>
          <w:sz w:val="22"/>
          <w:szCs w:val="22"/>
        </w:rPr>
        <w:t>La Dirección General de Servicios Públicos para el cumplimiento de sus atribuciones se auxiliará de la Dirección de Alumbrado Público</w:t>
      </w:r>
      <w:r w:rsidRPr="0014542F">
        <w:rPr>
          <w:rFonts w:ascii="Palatino Linotype" w:hAnsi="Palatino Linotype" w:cs="Arial"/>
          <w:i/>
          <w:sz w:val="22"/>
          <w:szCs w:val="22"/>
        </w:rPr>
        <w:t>, de la Dirección de Residuos Sólidos, de la Dirección de Mantenimiento Urbano y de la Dirección de Mantenimiento de Áreas Verdes y Panteones</w:t>
      </w:r>
      <w:r>
        <w:rPr>
          <w:rFonts w:ascii="Palatino Linotype" w:hAnsi="Palatino Linotype" w:cs="Arial"/>
          <w:i/>
          <w:sz w:val="22"/>
          <w:szCs w:val="22"/>
        </w:rPr>
        <w:t>” (Sic)</w:t>
      </w:r>
    </w:p>
    <w:p w14:paraId="3FCA7744" w14:textId="77777777" w:rsidR="006A56C5" w:rsidRDefault="006A56C5" w:rsidP="0020551D">
      <w:pPr>
        <w:spacing w:before="240" w:after="240" w:line="360" w:lineRule="auto"/>
        <w:ind w:right="51"/>
        <w:contextualSpacing/>
        <w:jc w:val="both"/>
        <w:rPr>
          <w:rFonts w:ascii="Palatino Linotype" w:eastAsia="Palatino Linotype" w:hAnsi="Palatino Linotype" w:cs="Palatino Linotype"/>
        </w:rPr>
      </w:pPr>
    </w:p>
    <w:p w14:paraId="21D1471C" w14:textId="2CF98B46" w:rsidR="006A56C5" w:rsidRDefault="006A56C5" w:rsidP="0020551D">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Titular del Centro de Control y Bienestar Animal de Toluca:</w:t>
      </w:r>
    </w:p>
    <w:p w14:paraId="7C60CD46" w14:textId="77777777" w:rsidR="000808EA" w:rsidRDefault="000808EA" w:rsidP="0020551D">
      <w:pPr>
        <w:spacing w:before="240" w:after="240" w:line="360" w:lineRule="auto"/>
        <w:ind w:right="51"/>
        <w:contextualSpacing/>
        <w:jc w:val="both"/>
        <w:rPr>
          <w:rFonts w:ascii="Palatino Linotype" w:eastAsia="Palatino Linotype" w:hAnsi="Palatino Linotype" w:cs="Palatino Linotype"/>
        </w:rPr>
      </w:pPr>
    </w:p>
    <w:p w14:paraId="775B21A6" w14:textId="4C9A312D" w:rsidR="006A56C5" w:rsidRDefault="0014542F" w:rsidP="0014542F">
      <w:pPr>
        <w:ind w:left="851" w:right="899"/>
        <w:jc w:val="both"/>
        <w:rPr>
          <w:rFonts w:ascii="Palatino Linotype" w:hAnsi="Palatino Linotype" w:cs="Arial"/>
          <w:i/>
          <w:sz w:val="22"/>
          <w:szCs w:val="22"/>
        </w:rPr>
      </w:pPr>
      <w:r>
        <w:rPr>
          <w:rFonts w:ascii="Palatino Linotype" w:hAnsi="Palatino Linotype" w:cs="Arial"/>
          <w:i/>
          <w:sz w:val="22"/>
          <w:szCs w:val="22"/>
        </w:rPr>
        <w:t>“</w:t>
      </w:r>
      <w:r w:rsidRPr="0014542F">
        <w:rPr>
          <w:rFonts w:ascii="Palatino Linotype" w:hAnsi="Palatino Linotype" w:cs="Arial"/>
          <w:i/>
          <w:sz w:val="22"/>
          <w:szCs w:val="22"/>
        </w:rPr>
        <w:t xml:space="preserve">Artículo 3.51. </w:t>
      </w:r>
      <w:r w:rsidRPr="0014542F">
        <w:rPr>
          <w:rFonts w:ascii="Palatino Linotype" w:hAnsi="Palatino Linotype" w:cs="Arial"/>
          <w:b/>
          <w:i/>
          <w:sz w:val="22"/>
          <w:szCs w:val="22"/>
        </w:rPr>
        <w:t>La o el titular del Centro de Control y Bienestar Animal</w:t>
      </w:r>
      <w:r w:rsidRPr="0014542F">
        <w:rPr>
          <w:rFonts w:ascii="Palatino Linotype" w:hAnsi="Palatino Linotype" w:cs="Arial"/>
          <w:i/>
          <w:sz w:val="22"/>
          <w:szCs w:val="22"/>
        </w:rPr>
        <w:t xml:space="preserve"> tendrá las siguientes atribuciones:</w:t>
      </w:r>
    </w:p>
    <w:p w14:paraId="525D6603" w14:textId="2430D1B1" w:rsidR="0014542F" w:rsidRDefault="0014542F" w:rsidP="0014542F">
      <w:pPr>
        <w:ind w:left="851" w:right="899"/>
        <w:jc w:val="both"/>
        <w:rPr>
          <w:rFonts w:ascii="Palatino Linotype" w:hAnsi="Palatino Linotype" w:cs="Arial"/>
          <w:i/>
          <w:sz w:val="22"/>
          <w:szCs w:val="22"/>
        </w:rPr>
      </w:pPr>
      <w:r>
        <w:rPr>
          <w:rFonts w:ascii="Palatino Linotype" w:hAnsi="Palatino Linotype" w:cs="Arial"/>
          <w:i/>
          <w:sz w:val="22"/>
          <w:szCs w:val="22"/>
        </w:rPr>
        <w:t>…</w:t>
      </w:r>
    </w:p>
    <w:p w14:paraId="7FE932C3" w14:textId="5C0437E9" w:rsidR="0014542F" w:rsidRPr="0014542F" w:rsidRDefault="0014542F" w:rsidP="0014542F">
      <w:pPr>
        <w:ind w:left="851" w:right="899"/>
        <w:jc w:val="both"/>
        <w:rPr>
          <w:rFonts w:ascii="Palatino Linotype" w:hAnsi="Palatino Linotype" w:cs="Arial"/>
          <w:i/>
          <w:sz w:val="22"/>
          <w:szCs w:val="22"/>
        </w:rPr>
      </w:pPr>
      <w:r w:rsidRPr="0014542F">
        <w:rPr>
          <w:rFonts w:ascii="Palatino Linotype" w:hAnsi="Palatino Linotype" w:cs="Arial"/>
          <w:b/>
          <w:i/>
          <w:sz w:val="22"/>
          <w:szCs w:val="22"/>
        </w:rPr>
        <w:t>VI. Trasladar a los Centros de control animal a los perros y gatos que deambulen en la vía pública y disponer de ellos, de acuerdo a los criterios contenidos en el manual de procedimientos del Centro</w:t>
      </w:r>
      <w:r w:rsidRPr="0014542F">
        <w:rPr>
          <w:rFonts w:ascii="Palatino Linotype" w:hAnsi="Palatino Linotype" w:cs="Arial"/>
          <w:i/>
          <w:sz w:val="22"/>
          <w:szCs w:val="22"/>
        </w:rPr>
        <w:t>…” (Sic)</w:t>
      </w:r>
    </w:p>
    <w:p w14:paraId="28E1C34E" w14:textId="77777777" w:rsidR="0014542F" w:rsidRPr="0014542F" w:rsidRDefault="0014542F" w:rsidP="0014542F">
      <w:pPr>
        <w:ind w:left="851" w:right="899"/>
        <w:jc w:val="both"/>
        <w:rPr>
          <w:rFonts w:ascii="Palatino Linotype" w:hAnsi="Palatino Linotype" w:cs="Arial"/>
          <w:i/>
          <w:sz w:val="22"/>
          <w:szCs w:val="22"/>
        </w:rPr>
      </w:pPr>
    </w:p>
    <w:p w14:paraId="702D8250" w14:textId="01C8EE0C" w:rsidR="006A56C5" w:rsidRDefault="006A56C5" w:rsidP="0020551D">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Director General de Medio Ambiente:</w:t>
      </w:r>
    </w:p>
    <w:p w14:paraId="1460FE3B" w14:textId="05AA7ABE" w:rsidR="0014542F" w:rsidRDefault="0014542F" w:rsidP="0020551D">
      <w:pPr>
        <w:spacing w:before="240" w:after="240" w:line="360" w:lineRule="auto"/>
        <w:ind w:right="51"/>
        <w:contextualSpacing/>
        <w:jc w:val="both"/>
        <w:rPr>
          <w:rFonts w:ascii="Palatino Linotype" w:eastAsia="Palatino Linotype" w:hAnsi="Palatino Linotype" w:cs="Palatino Linotype"/>
        </w:rPr>
      </w:pPr>
    </w:p>
    <w:p w14:paraId="7833701C" w14:textId="6A9D9F26" w:rsidR="0014542F" w:rsidRPr="000808EA" w:rsidRDefault="0014542F" w:rsidP="000808EA">
      <w:pPr>
        <w:ind w:left="851" w:right="899"/>
        <w:jc w:val="both"/>
        <w:rPr>
          <w:rFonts w:ascii="Palatino Linotype" w:hAnsi="Palatino Linotype" w:cs="Arial"/>
          <w:i/>
          <w:sz w:val="22"/>
          <w:szCs w:val="22"/>
        </w:rPr>
      </w:pPr>
      <w:r w:rsidRPr="000808EA">
        <w:rPr>
          <w:rFonts w:ascii="Palatino Linotype" w:hAnsi="Palatino Linotype" w:cs="Arial"/>
          <w:i/>
          <w:sz w:val="22"/>
          <w:szCs w:val="22"/>
        </w:rPr>
        <w:t>Artículo 3.46. La o el titular de la Dirección General de Medio Ambiente tendrá las siguientes atribuciones:</w:t>
      </w:r>
    </w:p>
    <w:p w14:paraId="3BEF748F" w14:textId="52579C03" w:rsidR="000808EA" w:rsidRPr="000808EA" w:rsidRDefault="000808EA" w:rsidP="000808EA">
      <w:pPr>
        <w:ind w:left="851" w:right="899"/>
        <w:jc w:val="both"/>
        <w:rPr>
          <w:rFonts w:ascii="Palatino Linotype" w:hAnsi="Palatino Linotype" w:cs="Arial"/>
          <w:i/>
          <w:sz w:val="22"/>
          <w:szCs w:val="22"/>
        </w:rPr>
      </w:pPr>
      <w:r w:rsidRPr="000808EA">
        <w:rPr>
          <w:rFonts w:ascii="Palatino Linotype" w:hAnsi="Palatino Linotype" w:cs="Arial"/>
          <w:i/>
          <w:sz w:val="22"/>
          <w:szCs w:val="22"/>
        </w:rPr>
        <w:t>…</w:t>
      </w:r>
    </w:p>
    <w:p w14:paraId="06090CF0" w14:textId="0D5912DC" w:rsidR="000808EA" w:rsidRPr="000808EA" w:rsidRDefault="000808EA" w:rsidP="000808EA">
      <w:pPr>
        <w:ind w:left="851" w:right="899"/>
        <w:jc w:val="both"/>
        <w:rPr>
          <w:rFonts w:ascii="Palatino Linotype" w:hAnsi="Palatino Linotype" w:cs="Arial"/>
          <w:i/>
          <w:sz w:val="22"/>
          <w:szCs w:val="22"/>
        </w:rPr>
      </w:pPr>
      <w:r w:rsidRPr="000808EA">
        <w:rPr>
          <w:rFonts w:ascii="Palatino Linotype" w:hAnsi="Palatino Linotype" w:cs="Arial"/>
          <w:b/>
          <w:i/>
          <w:sz w:val="22"/>
          <w:szCs w:val="22"/>
        </w:rPr>
        <w:t>La Dirección General de Medio Ambiente para el cumplimiento de sus atribuciones, se auxiliará de la</w:t>
      </w:r>
      <w:r w:rsidRPr="000808EA">
        <w:rPr>
          <w:rFonts w:ascii="Palatino Linotype" w:hAnsi="Palatino Linotype" w:cs="Arial"/>
          <w:i/>
          <w:sz w:val="22"/>
          <w:szCs w:val="22"/>
        </w:rPr>
        <w:t xml:space="preserve"> Dirección de Gestión Ambiental, de la Dirección Jurídica e Inspección Ambiental, de la </w:t>
      </w:r>
      <w:r w:rsidRPr="000808EA">
        <w:rPr>
          <w:rFonts w:ascii="Palatino Linotype" w:hAnsi="Palatino Linotype" w:cs="Arial"/>
          <w:b/>
          <w:i/>
          <w:sz w:val="22"/>
          <w:szCs w:val="22"/>
        </w:rPr>
        <w:t>Dirección de Prevención, Educación y Control Ambienta</w:t>
      </w:r>
      <w:r w:rsidRPr="000808EA">
        <w:rPr>
          <w:rFonts w:ascii="Palatino Linotype" w:hAnsi="Palatino Linotype" w:cs="Arial"/>
          <w:i/>
          <w:sz w:val="22"/>
          <w:szCs w:val="22"/>
        </w:rPr>
        <w:t>l y del Centro de Control y Bienestar Animal.</w:t>
      </w:r>
    </w:p>
    <w:p w14:paraId="4E20A23A" w14:textId="04A06FC1" w:rsidR="00334071" w:rsidRPr="000808EA" w:rsidRDefault="00334071" w:rsidP="000808EA">
      <w:pPr>
        <w:ind w:left="851" w:right="899"/>
        <w:jc w:val="both"/>
        <w:rPr>
          <w:rFonts w:ascii="Palatino Linotype" w:hAnsi="Palatino Linotype" w:cs="Arial"/>
          <w:i/>
          <w:sz w:val="22"/>
          <w:szCs w:val="22"/>
        </w:rPr>
      </w:pPr>
      <w:r w:rsidRPr="000808EA">
        <w:rPr>
          <w:rFonts w:ascii="Palatino Linotype" w:hAnsi="Palatino Linotype" w:cs="Arial"/>
          <w:i/>
          <w:sz w:val="22"/>
          <w:szCs w:val="22"/>
        </w:rPr>
        <w:t>…</w:t>
      </w:r>
    </w:p>
    <w:p w14:paraId="19EC033A" w14:textId="605703EC" w:rsidR="00334071" w:rsidRPr="000808EA" w:rsidRDefault="00334071" w:rsidP="000808EA">
      <w:pPr>
        <w:ind w:left="851" w:right="899"/>
        <w:jc w:val="both"/>
        <w:rPr>
          <w:rFonts w:ascii="Palatino Linotype" w:hAnsi="Palatino Linotype" w:cs="Arial"/>
          <w:i/>
          <w:sz w:val="22"/>
          <w:szCs w:val="22"/>
        </w:rPr>
      </w:pPr>
      <w:r w:rsidRPr="000808EA">
        <w:rPr>
          <w:rFonts w:ascii="Palatino Linotype" w:hAnsi="Palatino Linotype" w:cs="Arial"/>
          <w:i/>
          <w:sz w:val="22"/>
          <w:szCs w:val="22"/>
        </w:rPr>
        <w:t xml:space="preserve">Artículo 3.49. La o el titular de la </w:t>
      </w:r>
      <w:r w:rsidRPr="00F370D6">
        <w:rPr>
          <w:rFonts w:ascii="Palatino Linotype" w:hAnsi="Palatino Linotype" w:cs="Arial"/>
          <w:b/>
          <w:i/>
          <w:sz w:val="22"/>
          <w:szCs w:val="22"/>
        </w:rPr>
        <w:t>Dirección de Prevención, Educación y Control Ambiental</w:t>
      </w:r>
      <w:r w:rsidRPr="000808EA">
        <w:rPr>
          <w:rFonts w:ascii="Palatino Linotype" w:hAnsi="Palatino Linotype" w:cs="Arial"/>
          <w:i/>
          <w:sz w:val="22"/>
          <w:szCs w:val="22"/>
        </w:rPr>
        <w:t xml:space="preserve"> tendrá las siguientes atribuciones:</w:t>
      </w:r>
    </w:p>
    <w:p w14:paraId="053E4CC7" w14:textId="2724568B" w:rsidR="00334071" w:rsidRPr="000808EA" w:rsidRDefault="00334071" w:rsidP="000808EA">
      <w:pPr>
        <w:ind w:left="851" w:right="899"/>
        <w:jc w:val="both"/>
        <w:rPr>
          <w:rFonts w:ascii="Palatino Linotype" w:hAnsi="Palatino Linotype" w:cs="Arial"/>
          <w:i/>
          <w:sz w:val="22"/>
          <w:szCs w:val="22"/>
        </w:rPr>
      </w:pPr>
      <w:r w:rsidRPr="000808EA">
        <w:rPr>
          <w:rFonts w:ascii="Palatino Linotype" w:hAnsi="Palatino Linotype" w:cs="Arial"/>
          <w:i/>
          <w:sz w:val="22"/>
          <w:szCs w:val="22"/>
        </w:rPr>
        <w:t>...</w:t>
      </w:r>
    </w:p>
    <w:p w14:paraId="69AFD4E6" w14:textId="734AEA9C" w:rsidR="00334071" w:rsidRPr="000808EA" w:rsidRDefault="00334071" w:rsidP="000808EA">
      <w:pPr>
        <w:ind w:left="851" w:right="899"/>
        <w:jc w:val="both"/>
        <w:rPr>
          <w:rFonts w:ascii="Palatino Linotype" w:hAnsi="Palatino Linotype" w:cs="Arial"/>
          <w:b/>
          <w:i/>
          <w:sz w:val="22"/>
          <w:szCs w:val="22"/>
        </w:rPr>
      </w:pPr>
      <w:r w:rsidRPr="000808EA">
        <w:rPr>
          <w:rFonts w:ascii="Palatino Linotype" w:hAnsi="Palatino Linotype" w:cs="Arial"/>
          <w:b/>
          <w:i/>
          <w:sz w:val="22"/>
          <w:szCs w:val="22"/>
        </w:rPr>
        <w:t>XVII. Formular y ejecutar el Plan de Movilidad Alternativa Municipal en coordinación con las áreas de la administración pública municipal, mediante el impulso de la movilidad sustentable, tanto pública como privada; y</w:t>
      </w:r>
    </w:p>
    <w:p w14:paraId="188065B9" w14:textId="77777777" w:rsidR="006A56C5" w:rsidRPr="000808EA" w:rsidRDefault="006A56C5" w:rsidP="000808EA">
      <w:pPr>
        <w:ind w:left="851" w:right="899"/>
        <w:jc w:val="both"/>
        <w:rPr>
          <w:rFonts w:ascii="Palatino Linotype" w:hAnsi="Palatino Linotype" w:cs="Arial"/>
          <w:i/>
          <w:sz w:val="22"/>
          <w:szCs w:val="22"/>
        </w:rPr>
      </w:pPr>
    </w:p>
    <w:p w14:paraId="06FF7707" w14:textId="77777777" w:rsidR="006E0206" w:rsidRDefault="006A56C5" w:rsidP="0020551D">
      <w:pPr>
        <w:spacing w:before="240" w:after="240" w:line="360" w:lineRule="auto"/>
        <w:ind w:right="51"/>
        <w:contextualSpacing/>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6261858D" w14:textId="1185F8A0" w:rsidR="006A56C5" w:rsidRDefault="006A56C5" w:rsidP="0020551D">
      <w:pPr>
        <w:spacing w:before="240" w:after="240" w:line="360" w:lineRule="auto"/>
        <w:ind w:right="51"/>
        <w:contextualSpacing/>
        <w:jc w:val="both"/>
        <w:rPr>
          <w:rFonts w:ascii="Palatino Linotype" w:hAnsi="Palatino Linotype" w:cs="Arial"/>
        </w:rPr>
      </w:pPr>
      <w:r>
        <w:rPr>
          <w:rFonts w:ascii="Palatino Linotype" w:eastAsia="Palatino Linotype" w:hAnsi="Palatino Linotype" w:cs="Palatino Linotype"/>
        </w:rPr>
        <w:lastRenderedPageBreak/>
        <w:t>Director General de Seguridad y Protección:</w:t>
      </w:r>
    </w:p>
    <w:p w14:paraId="1CDDFAD7" w14:textId="77777777" w:rsidR="0020551D" w:rsidRDefault="0020551D" w:rsidP="0020551D">
      <w:pPr>
        <w:spacing w:before="240" w:after="240" w:line="360" w:lineRule="auto"/>
        <w:ind w:right="51"/>
        <w:contextualSpacing/>
        <w:jc w:val="both"/>
        <w:rPr>
          <w:rFonts w:ascii="Palatino Linotype" w:hAnsi="Palatino Linotype" w:cs="Arial"/>
        </w:rPr>
      </w:pPr>
    </w:p>
    <w:p w14:paraId="7B0BDE70" w14:textId="77777777" w:rsidR="00F370D6" w:rsidRPr="00F370D6" w:rsidRDefault="00F370D6" w:rsidP="00CF2F5E">
      <w:pPr>
        <w:ind w:left="851" w:right="899"/>
        <w:jc w:val="both"/>
        <w:rPr>
          <w:rFonts w:ascii="Palatino Linotype" w:hAnsi="Palatino Linotype" w:cs="Arial"/>
          <w:i/>
          <w:sz w:val="22"/>
          <w:szCs w:val="22"/>
        </w:rPr>
      </w:pPr>
      <w:r w:rsidRPr="00F370D6">
        <w:rPr>
          <w:rFonts w:ascii="Palatino Linotype" w:hAnsi="Palatino Linotype" w:cs="Arial"/>
          <w:i/>
          <w:sz w:val="22"/>
          <w:szCs w:val="22"/>
        </w:rPr>
        <w:t>Artículo 3.31. La o el titular de la Dirección General de Seguridad y Protección tiene las siguientes atribuciones:</w:t>
      </w:r>
    </w:p>
    <w:p w14:paraId="11F4196D" w14:textId="4DEF93F4" w:rsidR="00C91457" w:rsidRDefault="00C91457" w:rsidP="00CF2F5E">
      <w:pPr>
        <w:ind w:left="851" w:right="899"/>
        <w:jc w:val="both"/>
        <w:rPr>
          <w:rFonts w:ascii="Palatino Linotype" w:hAnsi="Palatino Linotype" w:cs="Arial"/>
          <w:i/>
          <w:sz w:val="22"/>
          <w:szCs w:val="22"/>
        </w:rPr>
      </w:pPr>
      <w:r>
        <w:rPr>
          <w:rFonts w:ascii="Palatino Linotype" w:hAnsi="Palatino Linotype" w:cs="Arial"/>
          <w:i/>
          <w:sz w:val="22"/>
          <w:szCs w:val="22"/>
        </w:rPr>
        <w:t>…</w:t>
      </w:r>
    </w:p>
    <w:p w14:paraId="5C802291" w14:textId="03C44BF1" w:rsidR="00C91457" w:rsidRPr="00CF2F5E" w:rsidRDefault="00F370D6" w:rsidP="00CF2F5E">
      <w:pPr>
        <w:ind w:left="851" w:right="899"/>
        <w:jc w:val="both"/>
        <w:rPr>
          <w:rFonts w:ascii="Palatino Linotype" w:hAnsi="Palatino Linotype" w:cs="Arial"/>
          <w:i/>
          <w:sz w:val="22"/>
          <w:szCs w:val="22"/>
        </w:rPr>
      </w:pPr>
      <w:r w:rsidRPr="00F370D6">
        <w:rPr>
          <w:rFonts w:ascii="Palatino Linotype" w:hAnsi="Palatino Linotype" w:cs="Arial"/>
          <w:i/>
          <w:sz w:val="22"/>
          <w:szCs w:val="22"/>
        </w:rPr>
        <w:t xml:space="preserve">XV. Implementar las medidas conducentes para la administración, vigilancia y control del tránsito en las vías públicas y </w:t>
      </w:r>
      <w:r w:rsidRPr="00F370D6">
        <w:rPr>
          <w:rFonts w:ascii="Palatino Linotype" w:hAnsi="Palatino Linotype" w:cs="Arial"/>
          <w:b/>
          <w:i/>
          <w:sz w:val="22"/>
          <w:szCs w:val="22"/>
        </w:rPr>
        <w:t>en la infraestructura ciclista de jurisdicción municipal</w:t>
      </w:r>
      <w:r w:rsidR="00511B65" w:rsidRPr="00F370D6">
        <w:rPr>
          <w:rFonts w:ascii="Palatino Linotype" w:hAnsi="Palatino Linotype" w:cs="Arial"/>
          <w:i/>
          <w:sz w:val="22"/>
          <w:szCs w:val="22"/>
        </w:rPr>
        <w:t>…</w:t>
      </w:r>
      <w:r w:rsidR="00511B65">
        <w:rPr>
          <w:rFonts w:ascii="Palatino Linotype" w:hAnsi="Palatino Linotype" w:cs="Arial"/>
          <w:i/>
          <w:sz w:val="22"/>
          <w:szCs w:val="22"/>
        </w:rPr>
        <w:t>” (</w:t>
      </w:r>
      <w:r w:rsidR="00C91457">
        <w:rPr>
          <w:rFonts w:ascii="Palatino Linotype" w:hAnsi="Palatino Linotype" w:cs="Arial"/>
          <w:i/>
          <w:sz w:val="22"/>
          <w:szCs w:val="22"/>
        </w:rPr>
        <w:t>Sic)</w:t>
      </w:r>
    </w:p>
    <w:p w14:paraId="45315B1F" w14:textId="77777777" w:rsidR="000C2067" w:rsidRDefault="000C2067" w:rsidP="000C2067">
      <w:pPr>
        <w:autoSpaceDE w:val="0"/>
        <w:autoSpaceDN w:val="0"/>
        <w:adjustRightInd w:val="0"/>
        <w:spacing w:line="360" w:lineRule="auto"/>
        <w:jc w:val="both"/>
        <w:rPr>
          <w:rFonts w:ascii="Palatino Linotype" w:hAnsi="Palatino Linotype" w:cs="Arial"/>
        </w:rPr>
      </w:pPr>
    </w:p>
    <w:p w14:paraId="33763C68" w14:textId="162A33D2" w:rsidR="000C2067" w:rsidRDefault="00F370D6" w:rsidP="00686839">
      <w:pPr>
        <w:autoSpaceDE w:val="0"/>
        <w:autoSpaceDN w:val="0"/>
        <w:adjustRightInd w:val="0"/>
        <w:spacing w:line="360" w:lineRule="auto"/>
        <w:jc w:val="both"/>
        <w:rPr>
          <w:rFonts w:ascii="Palatino Linotype" w:hAnsi="Palatino Linotype"/>
        </w:rPr>
      </w:pPr>
      <w:r>
        <w:rPr>
          <w:rFonts w:ascii="Palatino Linotype" w:hAnsi="Palatino Linotype" w:cs="Arial"/>
        </w:rPr>
        <w:t xml:space="preserve">Por consiguiente, </w:t>
      </w:r>
      <w:r w:rsidR="00686839">
        <w:rPr>
          <w:rFonts w:ascii="Palatino Linotype" w:hAnsi="Palatino Linotype" w:cs="Arial"/>
        </w:rPr>
        <w:t>de las manifestaciones</w:t>
      </w:r>
      <w:r>
        <w:rPr>
          <w:rFonts w:ascii="Palatino Linotype" w:hAnsi="Palatino Linotype" w:cs="Arial"/>
        </w:rPr>
        <w:t xml:space="preserve"> </w:t>
      </w:r>
      <w:r w:rsidR="00686839">
        <w:rPr>
          <w:rFonts w:ascii="Palatino Linotype" w:hAnsi="Palatino Linotype" w:cs="Arial"/>
        </w:rPr>
        <w:t xml:space="preserve">del </w:t>
      </w:r>
      <w:r w:rsidR="00686839" w:rsidRPr="00686839">
        <w:rPr>
          <w:rFonts w:ascii="Palatino Linotype" w:hAnsi="Palatino Linotype" w:cs="Arial"/>
          <w:b/>
        </w:rPr>
        <w:t>SUJETO OBLIGADO</w:t>
      </w:r>
      <w:r w:rsidR="000C2067">
        <w:rPr>
          <w:rFonts w:ascii="Palatino Linotype" w:eastAsia="Palatino Linotype" w:hAnsi="Palatino Linotype" w:cs="Palatino Linotype"/>
        </w:rPr>
        <w:t xml:space="preserve">, debe decirse que esté </w:t>
      </w:r>
      <w:r w:rsidR="00686839">
        <w:rPr>
          <w:rFonts w:ascii="Palatino Linotype" w:hAnsi="Palatino Linotype"/>
        </w:rPr>
        <w:t>Organismo</w:t>
      </w:r>
      <w:r w:rsidR="000C2067">
        <w:rPr>
          <w:rFonts w:ascii="Palatino Linotype" w:hAnsi="Palatino Linotype"/>
        </w:rPr>
        <w:t xml:space="preserve">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59F82810" w14:textId="77777777" w:rsidR="000C2067" w:rsidRDefault="000C2067" w:rsidP="000C2067">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025D631" w14:textId="77777777" w:rsidR="000C2067" w:rsidRDefault="000C2067" w:rsidP="000C2067">
      <w:pPr>
        <w:pStyle w:val="Prrafodelista"/>
        <w:autoSpaceDE w:val="0"/>
        <w:autoSpaceDN w:val="0"/>
        <w:adjustRightInd w:val="0"/>
        <w:spacing w:line="360" w:lineRule="auto"/>
        <w:ind w:left="0"/>
        <w:jc w:val="both"/>
        <w:rPr>
          <w:rFonts w:ascii="Palatino Linotype" w:hAnsi="Palatino Linotype" w:cs="Arial"/>
        </w:rPr>
      </w:pPr>
    </w:p>
    <w:p w14:paraId="6696CA40" w14:textId="1F536C8E" w:rsidR="000C2067" w:rsidRDefault="000C2067" w:rsidP="000C206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E783723" w14:textId="56C9F322" w:rsidR="00511B65" w:rsidRDefault="00511B65" w:rsidP="000C2067">
      <w:pPr>
        <w:pStyle w:val="Prrafodelista"/>
        <w:autoSpaceDE w:val="0"/>
        <w:autoSpaceDN w:val="0"/>
        <w:adjustRightInd w:val="0"/>
        <w:spacing w:line="360" w:lineRule="auto"/>
        <w:ind w:left="0"/>
        <w:jc w:val="both"/>
        <w:rPr>
          <w:rFonts w:ascii="Palatino Linotype" w:hAnsi="Palatino Linotype" w:cs="Arial"/>
        </w:rPr>
      </w:pPr>
    </w:p>
    <w:p w14:paraId="7BA7CE81" w14:textId="34907169" w:rsidR="00511B65" w:rsidRPr="006F2AAE" w:rsidRDefault="00511B65" w:rsidP="00511B65">
      <w:pPr>
        <w:pStyle w:val="Prrafodelista"/>
        <w:autoSpaceDE w:val="0"/>
        <w:autoSpaceDN w:val="0"/>
        <w:adjustRightInd w:val="0"/>
        <w:spacing w:line="360" w:lineRule="auto"/>
        <w:ind w:left="0"/>
        <w:jc w:val="both"/>
        <w:rPr>
          <w:rFonts w:ascii="Palatino Linotype" w:hAnsi="Palatino Linotype"/>
          <w:b/>
          <w:bCs/>
        </w:rPr>
      </w:pPr>
      <w:r>
        <w:rPr>
          <w:rFonts w:ascii="Palatino Linotype" w:hAnsi="Palatino Linotype" w:cs="Arial"/>
        </w:rPr>
        <w:t xml:space="preserve">Es pertinente aclarar, que si bien es cierto que el </w:t>
      </w:r>
      <w:r w:rsidRPr="006F2AAE">
        <w:rPr>
          <w:rFonts w:ascii="Palatino Linotype" w:eastAsia="Calibri" w:hAnsi="Palatino Linotype" w:cs="Tahoma"/>
          <w:bCs/>
          <w:lang w:eastAsia="en-US"/>
        </w:rPr>
        <w:t xml:space="preserve">derecho de acceso a la información pública se satisface en aquellos casos en que se entregue el soporte documental en que conste la información pública, sin la necesidad de elaborar documentos </w:t>
      </w:r>
      <w:r w:rsidRPr="006F2AAE">
        <w:rPr>
          <w:rFonts w:ascii="Palatino Linotype" w:eastAsia="Calibri" w:hAnsi="Palatino Linotype" w:cs="Tahoma"/>
          <w:bCs/>
          <w:i/>
          <w:lang w:eastAsia="en-US"/>
        </w:rPr>
        <w:t>ad hoc</w:t>
      </w:r>
      <w:r w:rsidRPr="006F2AAE">
        <w:rPr>
          <w:rFonts w:ascii="Palatino Linotype" w:eastAsia="Calibri" w:hAnsi="Palatino Linotype" w:cs="Tahoma"/>
          <w:bCs/>
          <w:lang w:eastAsia="en-US"/>
        </w:rPr>
        <w:t>; lo cual, toma sustento en el artículo 160 de la Ley de Transparencia y Acceso a la Información Pública del Estado de México y Municipios, el cual refiere que los sujetos obligados deberán entregar la información que obre en sus archivos; s</w:t>
      </w:r>
      <w:r w:rsidRPr="006F2AAE">
        <w:rPr>
          <w:rFonts w:ascii="Palatino Linotype" w:hAnsi="Palatino Linotype"/>
        </w:rPr>
        <w:t xml:space="preserve">in embargo, se aprecia que el </w:t>
      </w:r>
      <w:r w:rsidRPr="00511B65">
        <w:rPr>
          <w:rFonts w:ascii="Palatino Linotype" w:hAnsi="Palatino Linotype"/>
          <w:b/>
        </w:rPr>
        <w:t>SUJETO OBLIGADO</w:t>
      </w:r>
      <w:r w:rsidRPr="006F2AAE">
        <w:rPr>
          <w:rFonts w:ascii="Palatino Linotype" w:hAnsi="Palatino Linotype"/>
        </w:rPr>
        <w:t xml:space="preserve">, elaboró un documento ad hoc para dar cabal cumplimiento al derecho de acceso a la información del particular aún y </w:t>
      </w:r>
      <w:r w:rsidRPr="006F2AAE">
        <w:rPr>
          <w:rFonts w:ascii="Palatino Linotype" w:hAnsi="Palatino Linotype"/>
          <w:b/>
        </w:rPr>
        <w:t>cuando no es una obligación de las autoridades</w:t>
      </w:r>
      <w:r w:rsidRPr="006F2AAE">
        <w:rPr>
          <w:rFonts w:ascii="Palatino Linotype" w:hAnsi="Palatino Linotype"/>
        </w:rPr>
        <w:t xml:space="preserve"> tal y como lo señala </w:t>
      </w:r>
      <w:r w:rsidRPr="006F2AAE">
        <w:rPr>
          <w:rFonts w:ascii="Palatino Linotype" w:hAnsi="Palatino Linotype" w:cs="Arial"/>
        </w:rPr>
        <w:t xml:space="preserve">el Criterio 09-10, emitido por </w:t>
      </w:r>
      <w:r w:rsidRPr="006F2AAE">
        <w:rPr>
          <w:rFonts w:ascii="Palatino Linotype" w:eastAsia="Arial Unicode MS" w:hAnsi="Palatino Linotype" w:cs="Arial"/>
        </w:rPr>
        <w:t xml:space="preserve">el Pleno del entonces </w:t>
      </w:r>
      <w:r w:rsidRPr="006F2AAE">
        <w:rPr>
          <w:rFonts w:ascii="Palatino Linotype" w:eastAsia="Arial Unicode MS" w:hAnsi="Palatino Linotype" w:cs="Arial"/>
          <w:bCs/>
        </w:rPr>
        <w:t xml:space="preserve">Instituto Federal de Acceso a la Información y Protección de Datos, </w:t>
      </w:r>
      <w:r w:rsidRPr="006F2AAE">
        <w:rPr>
          <w:rFonts w:ascii="Palatino Linotype" w:eastAsia="Arial Unicode MS" w:hAnsi="Palatino Linotype" w:cs="Arial"/>
        </w:rPr>
        <w:t>ahora Instituto Nacional de Transparencia, Acceso a la Información y Protección de Datos Personales,</w:t>
      </w:r>
      <w:r w:rsidRPr="006F2AAE">
        <w:rPr>
          <w:rFonts w:ascii="Palatino Linotype" w:hAnsi="Palatino Linotype"/>
          <w:bCs/>
        </w:rPr>
        <w:t xml:space="preserve"> que dice:</w:t>
      </w:r>
      <w:r w:rsidRPr="006F2AAE">
        <w:rPr>
          <w:rFonts w:ascii="Palatino Linotype" w:hAnsi="Palatino Linotype"/>
          <w:b/>
          <w:bCs/>
        </w:rPr>
        <w:t xml:space="preserve"> </w:t>
      </w:r>
    </w:p>
    <w:p w14:paraId="6FAA2179" w14:textId="77777777" w:rsidR="00511B65" w:rsidRPr="006F2AAE" w:rsidRDefault="00511B65" w:rsidP="00511B65">
      <w:pPr>
        <w:spacing w:line="360" w:lineRule="auto"/>
        <w:ind w:right="-93"/>
        <w:jc w:val="both"/>
        <w:rPr>
          <w:rFonts w:ascii="Palatino Linotype" w:eastAsia="Calibri" w:hAnsi="Palatino Linotype" w:cs="Tahoma"/>
          <w:bCs/>
          <w:lang w:eastAsia="en-US"/>
        </w:rPr>
      </w:pPr>
    </w:p>
    <w:p w14:paraId="6CD30D79"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w:t>
      </w:r>
      <w:r w:rsidRPr="00511B65">
        <w:rPr>
          <w:rFonts w:ascii="Palatino Linotype" w:hAnsi="Palatino Linotype" w:cs="Arial"/>
          <w:i/>
          <w:sz w:val="22"/>
          <w:szCs w:val="22"/>
        </w:rPr>
        <w:lastRenderedPageBreak/>
        <w:t>elaborar documentos ad hoc para atender las solicitudes de información, sino que deben garantizar el acceso a la información con la que cuentan en el formato que la misma así lo permita o se encuentre, en aras de dar satisfacción a la solicitud presentada.</w:t>
      </w:r>
    </w:p>
    <w:p w14:paraId="77B8D829"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Expedientes:</w:t>
      </w:r>
    </w:p>
    <w:p w14:paraId="09498AD1"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0438/08 Pemex Exploración y Producción – Alonso Lujambio Irazábal</w:t>
      </w:r>
    </w:p>
    <w:p w14:paraId="655F3962"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1751/09 Laboratorios de Biológicos y Reactivos de México S.A. de C.V. –</w:t>
      </w:r>
    </w:p>
    <w:p w14:paraId="11294D0E"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María Marván Laborde</w:t>
      </w:r>
    </w:p>
    <w:p w14:paraId="787DCD80"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2868/09 Consejo Nacional de Ciencia y Tecnología – Jacqueline Peschard</w:t>
      </w:r>
    </w:p>
    <w:p w14:paraId="0D41A947"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Mariscal</w:t>
      </w:r>
    </w:p>
    <w:p w14:paraId="2B07D359"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5160/09 Secretaría de Hacienda y Crédito Público – Ángel Trinidad Zaldívar</w:t>
      </w:r>
    </w:p>
    <w:p w14:paraId="6643CCE7" w14:textId="77777777" w:rsidR="00511B65" w:rsidRPr="00511B65" w:rsidRDefault="00511B65" w:rsidP="00511B65">
      <w:pPr>
        <w:spacing w:line="360" w:lineRule="auto"/>
        <w:ind w:left="851" w:right="851"/>
        <w:jc w:val="both"/>
        <w:rPr>
          <w:rFonts w:ascii="Palatino Linotype" w:hAnsi="Palatino Linotype" w:cs="Arial"/>
          <w:i/>
          <w:sz w:val="22"/>
          <w:szCs w:val="22"/>
        </w:rPr>
      </w:pPr>
      <w:r w:rsidRPr="00511B65">
        <w:rPr>
          <w:rFonts w:ascii="Palatino Linotype" w:hAnsi="Palatino Linotype" w:cs="Arial"/>
          <w:i/>
          <w:sz w:val="22"/>
          <w:szCs w:val="22"/>
        </w:rPr>
        <w:t>0304/10 Instituto Nacional de Cancerología – Jacqueline Peschard Mariscal</w:t>
      </w:r>
    </w:p>
    <w:p w14:paraId="5218B660" w14:textId="77777777" w:rsidR="00511B65" w:rsidRPr="006F2AAE" w:rsidRDefault="00511B65" w:rsidP="00511B65">
      <w:pPr>
        <w:spacing w:line="360" w:lineRule="auto"/>
        <w:ind w:right="-93"/>
        <w:jc w:val="both"/>
        <w:rPr>
          <w:rFonts w:ascii="Palatino Linotype" w:hAnsi="Palatino Linotype"/>
        </w:rPr>
      </w:pPr>
    </w:p>
    <w:p w14:paraId="19194F67" w14:textId="77777777" w:rsidR="00511B65" w:rsidRPr="006F2AAE" w:rsidRDefault="00511B65" w:rsidP="00511B65">
      <w:pPr>
        <w:spacing w:line="360" w:lineRule="auto"/>
        <w:ind w:right="-93"/>
        <w:jc w:val="both"/>
        <w:rPr>
          <w:rFonts w:ascii="Palatino Linotype" w:eastAsia="Calibri" w:hAnsi="Palatino Linotype" w:cs="Tahoma"/>
          <w:bCs/>
          <w:lang w:eastAsia="en-US"/>
        </w:rPr>
      </w:pPr>
      <w:r w:rsidRPr="006F2AAE">
        <w:rPr>
          <w:rFonts w:ascii="Palatino Linotype" w:hAnsi="Palatino Linotype"/>
        </w:rPr>
        <w:t xml:space="preserve">Entonces, dado a que el criterio en mención establece que las autoridades </w:t>
      </w:r>
      <w:r w:rsidRPr="006F2AAE">
        <w:rPr>
          <w:rFonts w:ascii="Palatino Linotype" w:hAnsi="Palatino Linotype"/>
          <w:b/>
        </w:rPr>
        <w:t xml:space="preserve">no están obligadas a generar documentos “ad hoc” </w:t>
      </w:r>
      <w:r w:rsidRPr="006F2AAE">
        <w:rPr>
          <w:rFonts w:ascii="Palatino Linotype" w:hAnsi="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2916245A" w14:textId="0283CE30" w:rsidR="00686839" w:rsidRDefault="00511B65" w:rsidP="00732DC3">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En otro orden de ideas, </w:t>
      </w:r>
      <w:r>
        <w:rPr>
          <w:rFonts w:ascii="Palatino Linotype" w:eastAsia="Palatino Linotype" w:hAnsi="Palatino Linotype" w:cs="Palatino Linotype"/>
        </w:rPr>
        <w:t xml:space="preserve">en lo que concierne al punto 4 el </w:t>
      </w:r>
      <w:r w:rsidRPr="00686839">
        <w:rPr>
          <w:rFonts w:ascii="Palatino Linotype" w:eastAsia="Palatino Linotype" w:hAnsi="Palatino Linotype" w:cs="Palatino Linotype"/>
          <w:b/>
        </w:rPr>
        <w:t>SUJETO OBLIGADO</w:t>
      </w:r>
      <w:r w:rsidR="00686839">
        <w:rPr>
          <w:rFonts w:ascii="Palatino Linotype" w:eastAsia="Palatino Linotype" w:hAnsi="Palatino Linotype" w:cs="Palatino Linotype"/>
        </w:rPr>
        <w:t xml:space="preserve"> omitió p</w:t>
      </w:r>
      <w:r w:rsidR="009A61CB">
        <w:rPr>
          <w:rFonts w:ascii="Palatino Linotype" w:eastAsia="Palatino Linotype" w:hAnsi="Palatino Linotype" w:cs="Palatino Linotype"/>
        </w:rPr>
        <w:t>ronunciarse</w:t>
      </w:r>
      <w:r>
        <w:rPr>
          <w:rFonts w:ascii="Palatino Linotype" w:eastAsia="Palatino Linotype" w:hAnsi="Palatino Linotype" w:cs="Palatino Linotype"/>
        </w:rPr>
        <w:t xml:space="preserve"> respecto, concerniente a</w:t>
      </w:r>
      <w:r w:rsidR="00686839">
        <w:rPr>
          <w:rFonts w:ascii="Palatino Linotype" w:eastAsia="Palatino Linotype" w:hAnsi="Palatino Linotype" w:cs="Palatino Linotype"/>
        </w:rPr>
        <w:t>:</w:t>
      </w:r>
    </w:p>
    <w:p w14:paraId="432A6AB7" w14:textId="06CC2EC8" w:rsidR="00686839" w:rsidRDefault="009A61CB" w:rsidP="00732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4. ¿</w:t>
      </w:r>
      <w:r w:rsidR="00686839" w:rsidRPr="00686839">
        <w:rPr>
          <w:rFonts w:ascii="Palatino Linotype" w:eastAsia="Palatino Linotype" w:hAnsi="Palatino Linotype" w:cs="Palatino Linotype"/>
        </w:rPr>
        <w:t>Dónde puedo reportar una coladera tapada?</w:t>
      </w:r>
    </w:p>
    <w:p w14:paraId="03F67216" w14:textId="0AC88C80" w:rsidR="00511B65" w:rsidRDefault="00511B65" w:rsidP="00511B6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Pero de un análisis a dicho requerimiento, se advierte que corresponde a la competencia del Organismo de Agua y Saneamiento de Toluca, en términos de lo </w:t>
      </w:r>
      <w:r>
        <w:rPr>
          <w:rFonts w:ascii="Palatino Linotype" w:eastAsia="Palatino Linotype" w:hAnsi="Palatino Linotype" w:cs="Palatino Linotype"/>
        </w:rPr>
        <w:lastRenderedPageBreak/>
        <w:t xml:space="preserve">señalado por el artículo 80 fracción II, </w:t>
      </w:r>
      <w:r w:rsidR="004A55A1">
        <w:rPr>
          <w:rFonts w:ascii="Palatino Linotype" w:eastAsia="Palatino Linotype" w:hAnsi="Palatino Linotype" w:cs="Palatino Linotype"/>
        </w:rPr>
        <w:t>83 y 84 fracción V del Reglamento Interior del Organismo de Agua y Saneamiento de Toluca, que señala:</w:t>
      </w:r>
    </w:p>
    <w:p w14:paraId="459CC99B" w14:textId="77777777" w:rsidR="00511B65" w:rsidRDefault="00511B65" w:rsidP="00511B65">
      <w:pPr>
        <w:ind w:left="851" w:right="851"/>
        <w:contextualSpacing/>
        <w:jc w:val="both"/>
        <w:rPr>
          <w:rFonts w:ascii="Palatino Linotype" w:hAnsi="Palatino Linotype" w:cs="Arial"/>
          <w:i/>
          <w:sz w:val="22"/>
          <w:szCs w:val="22"/>
        </w:rPr>
      </w:pPr>
      <w:r>
        <w:rPr>
          <w:rFonts w:ascii="Palatino Linotype" w:hAnsi="Palatino Linotype" w:cs="Arial"/>
          <w:i/>
          <w:sz w:val="22"/>
          <w:szCs w:val="22"/>
        </w:rPr>
        <w:t>“</w:t>
      </w:r>
      <w:r w:rsidRPr="00511B65">
        <w:rPr>
          <w:rFonts w:ascii="Palatino Linotype" w:hAnsi="Palatino Linotype" w:cs="Arial"/>
          <w:i/>
          <w:sz w:val="22"/>
          <w:szCs w:val="22"/>
        </w:rPr>
        <w:t xml:space="preserve">Artículo 80. Corresponde a la Subdirección de Mantenimiento el ejercicio de las atribuciones siguientes: </w:t>
      </w:r>
    </w:p>
    <w:p w14:paraId="43DA2710" w14:textId="6FA6BE84" w:rsidR="00511B65" w:rsidRDefault="00511B65" w:rsidP="00511B65">
      <w:pPr>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14:paraId="63F9277D" w14:textId="4AB3E278" w:rsidR="00511B65" w:rsidRPr="004A55A1" w:rsidRDefault="00511B65" w:rsidP="00511B65">
      <w:pPr>
        <w:ind w:left="851" w:right="851"/>
        <w:contextualSpacing/>
        <w:jc w:val="both"/>
        <w:rPr>
          <w:rFonts w:ascii="Palatino Linotype" w:hAnsi="Palatino Linotype" w:cs="Arial"/>
          <w:b/>
          <w:i/>
          <w:sz w:val="22"/>
          <w:szCs w:val="22"/>
        </w:rPr>
      </w:pPr>
      <w:r w:rsidRPr="004A55A1">
        <w:rPr>
          <w:rFonts w:ascii="Palatino Linotype" w:hAnsi="Palatino Linotype" w:cs="Arial"/>
          <w:b/>
          <w:i/>
          <w:sz w:val="22"/>
          <w:szCs w:val="22"/>
        </w:rPr>
        <w:t>II. Supervisar las actividades de limpieza y desazolve de las tuberías de alcantarillado y canales a cielo abierto, para evitar inundaciones y encharcamientos;</w:t>
      </w:r>
    </w:p>
    <w:p w14:paraId="7203F3C7" w14:textId="2B59F013" w:rsidR="00511B65" w:rsidRDefault="00511B65" w:rsidP="00511B65">
      <w:pPr>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14:paraId="345BC0A6" w14:textId="67E65003" w:rsidR="00511B65" w:rsidRDefault="004A55A1" w:rsidP="00511B65">
      <w:pPr>
        <w:ind w:left="851" w:right="851"/>
        <w:contextualSpacing/>
        <w:jc w:val="both"/>
        <w:rPr>
          <w:rFonts w:ascii="Palatino Linotype" w:hAnsi="Palatino Linotype" w:cs="Arial"/>
          <w:b/>
          <w:i/>
          <w:sz w:val="22"/>
          <w:szCs w:val="22"/>
        </w:rPr>
      </w:pPr>
      <w:r w:rsidRPr="004A55A1">
        <w:rPr>
          <w:rFonts w:ascii="Palatino Linotype" w:hAnsi="Palatino Linotype" w:cs="Arial"/>
          <w:b/>
          <w:i/>
          <w:sz w:val="22"/>
          <w:szCs w:val="22"/>
        </w:rPr>
        <w:t>Artículo 83. La Unidad de Mantenimiento de Drenaje y Alcantarillado está adscrita a la Subdirección de Mantenimiento y es la responsable de programar, ejecutar y supervisar los procesos de mantenimiento, limpieza y desazolve requeridos para garantizar la operación de las redes de drenaje.</w:t>
      </w:r>
    </w:p>
    <w:p w14:paraId="09987D14" w14:textId="703DB5BD" w:rsidR="004A55A1" w:rsidRPr="004A55A1" w:rsidRDefault="004A55A1" w:rsidP="00511B65">
      <w:pPr>
        <w:ind w:left="851" w:right="851"/>
        <w:contextualSpacing/>
        <w:jc w:val="both"/>
        <w:rPr>
          <w:rFonts w:ascii="Palatino Linotype" w:hAnsi="Palatino Linotype" w:cs="Arial"/>
          <w:i/>
          <w:sz w:val="22"/>
          <w:szCs w:val="22"/>
        </w:rPr>
      </w:pPr>
      <w:r w:rsidRPr="004A55A1">
        <w:rPr>
          <w:rFonts w:ascii="Palatino Linotype" w:hAnsi="Palatino Linotype" w:cs="Arial"/>
          <w:i/>
          <w:sz w:val="22"/>
          <w:szCs w:val="22"/>
        </w:rPr>
        <w:t>…</w:t>
      </w:r>
    </w:p>
    <w:p w14:paraId="0A71FFDC" w14:textId="01391281" w:rsidR="004A55A1" w:rsidRPr="004A55A1" w:rsidRDefault="004A55A1" w:rsidP="00511B65">
      <w:pPr>
        <w:ind w:left="851" w:right="851"/>
        <w:contextualSpacing/>
        <w:jc w:val="both"/>
        <w:rPr>
          <w:rFonts w:ascii="Palatino Linotype" w:hAnsi="Palatino Linotype" w:cs="Arial"/>
          <w:i/>
          <w:sz w:val="22"/>
          <w:szCs w:val="22"/>
        </w:rPr>
      </w:pPr>
      <w:r w:rsidRPr="004A55A1">
        <w:rPr>
          <w:rFonts w:ascii="Palatino Linotype" w:hAnsi="Palatino Linotype" w:cs="Arial"/>
          <w:i/>
          <w:sz w:val="22"/>
          <w:szCs w:val="22"/>
        </w:rPr>
        <w:t>Artículo 84. Corresponde a la Unidad de Mantenimiento de Drenaje y Alcantarillado el ejercicio de las atribuciones siguientes:</w:t>
      </w:r>
    </w:p>
    <w:p w14:paraId="05878442" w14:textId="56CC7C64" w:rsidR="004A55A1" w:rsidRPr="004A55A1" w:rsidRDefault="004A55A1" w:rsidP="00511B65">
      <w:pPr>
        <w:ind w:left="851" w:right="851"/>
        <w:contextualSpacing/>
        <w:jc w:val="both"/>
        <w:rPr>
          <w:rFonts w:ascii="Palatino Linotype" w:hAnsi="Palatino Linotype" w:cs="Arial"/>
          <w:i/>
          <w:sz w:val="22"/>
          <w:szCs w:val="22"/>
        </w:rPr>
      </w:pPr>
      <w:r w:rsidRPr="004A55A1">
        <w:rPr>
          <w:rFonts w:ascii="Palatino Linotype" w:hAnsi="Palatino Linotype" w:cs="Arial"/>
          <w:i/>
          <w:sz w:val="22"/>
          <w:szCs w:val="22"/>
        </w:rPr>
        <w:t>…</w:t>
      </w:r>
    </w:p>
    <w:p w14:paraId="7DCCFDBD" w14:textId="6FEAF46B" w:rsidR="004A55A1" w:rsidRPr="004A55A1" w:rsidRDefault="004A55A1" w:rsidP="00511B65">
      <w:pPr>
        <w:ind w:left="851" w:right="851"/>
        <w:contextualSpacing/>
        <w:jc w:val="both"/>
        <w:rPr>
          <w:rFonts w:ascii="Palatino Linotype" w:hAnsi="Palatino Linotype" w:cs="Arial"/>
          <w:i/>
          <w:sz w:val="22"/>
          <w:szCs w:val="22"/>
        </w:rPr>
      </w:pPr>
      <w:r w:rsidRPr="004A55A1">
        <w:rPr>
          <w:rFonts w:ascii="Palatino Linotype" w:hAnsi="Palatino Linotype" w:cs="Arial"/>
          <w:b/>
          <w:i/>
          <w:sz w:val="22"/>
          <w:szCs w:val="22"/>
        </w:rPr>
        <w:t>V. Programar, coordinar, supervisar y realizar la limpieza periódica en la red de drenaje</w:t>
      </w:r>
      <w:r>
        <w:rPr>
          <w:rFonts w:ascii="Palatino Linotype" w:hAnsi="Palatino Linotype" w:cs="Arial"/>
          <w:i/>
          <w:sz w:val="22"/>
          <w:szCs w:val="22"/>
        </w:rPr>
        <w:t>…”(Sic)</w:t>
      </w:r>
    </w:p>
    <w:p w14:paraId="21DD53E5" w14:textId="77777777" w:rsidR="00511B65" w:rsidRPr="004A55A1" w:rsidRDefault="00511B65" w:rsidP="004A55A1">
      <w:pPr>
        <w:ind w:left="851" w:right="851"/>
        <w:contextualSpacing/>
        <w:jc w:val="both"/>
        <w:rPr>
          <w:rFonts w:ascii="Palatino Linotype" w:hAnsi="Palatino Linotype" w:cs="Arial"/>
          <w:i/>
          <w:sz w:val="22"/>
          <w:szCs w:val="22"/>
        </w:rPr>
      </w:pPr>
    </w:p>
    <w:p w14:paraId="2E895FA2" w14:textId="02D369EE" w:rsidR="009E68F9" w:rsidRDefault="004A55A1" w:rsidP="00732DC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que se robustece, con lo señalado por el artículo 29 del mismo ordenamiento legal señalado en el párrafo anterior, que señala:</w:t>
      </w:r>
    </w:p>
    <w:p w14:paraId="175F56E7" w14:textId="0CB82EC8" w:rsidR="004A55A1" w:rsidRDefault="004A55A1" w:rsidP="004A55A1">
      <w:pPr>
        <w:ind w:left="851" w:right="851"/>
        <w:contextualSpacing/>
        <w:jc w:val="both"/>
        <w:rPr>
          <w:rFonts w:ascii="Palatino Linotype" w:hAnsi="Palatino Linotype" w:cs="Arial"/>
          <w:b/>
          <w:i/>
          <w:sz w:val="22"/>
          <w:szCs w:val="22"/>
        </w:rPr>
      </w:pPr>
      <w:r>
        <w:rPr>
          <w:rFonts w:ascii="Palatino Linotype" w:hAnsi="Palatino Linotype" w:cs="Arial"/>
          <w:i/>
          <w:sz w:val="22"/>
          <w:szCs w:val="22"/>
        </w:rPr>
        <w:t>“</w:t>
      </w:r>
      <w:r w:rsidRPr="004A55A1">
        <w:rPr>
          <w:rFonts w:ascii="Palatino Linotype" w:hAnsi="Palatino Linotype" w:cs="Arial"/>
          <w:i/>
          <w:sz w:val="22"/>
          <w:szCs w:val="22"/>
        </w:rPr>
        <w:t xml:space="preserve">Artículo 29. </w:t>
      </w:r>
      <w:r w:rsidRPr="004A55A1">
        <w:rPr>
          <w:rFonts w:ascii="Palatino Linotype" w:hAnsi="Palatino Linotype" w:cs="Arial"/>
          <w:b/>
          <w:i/>
          <w:sz w:val="22"/>
          <w:szCs w:val="22"/>
        </w:rPr>
        <w:t>La Unidad de Control de Gestión y Oficialía de Partes está adscrita a la Secretaría Técnica</w:t>
      </w:r>
      <w:r w:rsidRPr="004A55A1">
        <w:rPr>
          <w:rFonts w:ascii="Palatino Linotype" w:hAnsi="Palatino Linotype" w:cs="Arial"/>
          <w:i/>
          <w:sz w:val="22"/>
          <w:szCs w:val="22"/>
        </w:rPr>
        <w:t xml:space="preserve"> </w:t>
      </w:r>
      <w:r w:rsidRPr="004A55A1">
        <w:rPr>
          <w:rFonts w:ascii="Palatino Linotype" w:hAnsi="Palatino Linotype" w:cs="Arial"/>
          <w:b/>
          <w:i/>
          <w:sz w:val="22"/>
          <w:szCs w:val="22"/>
          <w:u w:val="single"/>
        </w:rPr>
        <w:t>y es la encargada</w:t>
      </w:r>
      <w:r w:rsidRPr="004A55A1">
        <w:rPr>
          <w:rFonts w:ascii="Palatino Linotype" w:hAnsi="Palatino Linotype" w:cs="Arial"/>
          <w:i/>
          <w:sz w:val="22"/>
          <w:szCs w:val="22"/>
        </w:rPr>
        <w:t xml:space="preserve"> de establecer, operar y administrar el Sistema de Control de Gestión para la recepción de peticiones que ingresan al Organismo mediante escritos, vía telefónica, el Sistema de Gestión Municipal, portal web, redes sociales y el correo electrónico institucional; </w:t>
      </w:r>
      <w:r w:rsidRPr="004A55A1">
        <w:rPr>
          <w:rFonts w:ascii="Palatino Linotype" w:hAnsi="Palatino Linotype" w:cs="Arial"/>
          <w:b/>
          <w:i/>
          <w:sz w:val="22"/>
          <w:szCs w:val="22"/>
        </w:rPr>
        <w:t>para el registro, distribución y seguimiento de</w:t>
      </w:r>
      <w:r w:rsidRPr="004A55A1">
        <w:rPr>
          <w:rFonts w:ascii="Palatino Linotype" w:hAnsi="Palatino Linotype" w:cs="Arial"/>
          <w:i/>
          <w:sz w:val="22"/>
          <w:szCs w:val="22"/>
        </w:rPr>
        <w:t xml:space="preserve"> la correspondencia y </w:t>
      </w:r>
      <w:r w:rsidRPr="004A55A1">
        <w:rPr>
          <w:rFonts w:ascii="Palatino Linotype" w:hAnsi="Palatino Linotype" w:cs="Arial"/>
          <w:b/>
          <w:i/>
          <w:sz w:val="22"/>
          <w:szCs w:val="22"/>
        </w:rPr>
        <w:t>reportes</w:t>
      </w:r>
      <w:r w:rsidRPr="004A55A1">
        <w:rPr>
          <w:rFonts w:ascii="Palatino Linotype" w:hAnsi="Palatino Linotype" w:cs="Arial"/>
          <w:i/>
          <w:sz w:val="22"/>
          <w:szCs w:val="22"/>
        </w:rPr>
        <w:t xml:space="preserve">, </w:t>
      </w:r>
      <w:r w:rsidRPr="004A55A1">
        <w:rPr>
          <w:rFonts w:ascii="Palatino Linotype" w:hAnsi="Palatino Linotype" w:cs="Arial"/>
          <w:b/>
          <w:i/>
          <w:sz w:val="22"/>
          <w:szCs w:val="22"/>
        </w:rPr>
        <w:t xml:space="preserve">con la finalidad de que las Unidades Administrativas </w:t>
      </w:r>
      <w:r w:rsidRPr="004A55A1">
        <w:rPr>
          <w:rFonts w:ascii="Palatino Linotype" w:hAnsi="Palatino Linotype" w:cs="Arial"/>
          <w:b/>
          <w:i/>
          <w:sz w:val="22"/>
          <w:szCs w:val="22"/>
          <w:u w:val="single"/>
        </w:rPr>
        <w:t xml:space="preserve">brinden respuesta oportuna a la ciudadanía </w:t>
      </w:r>
      <w:r w:rsidRPr="004A55A1">
        <w:rPr>
          <w:rFonts w:ascii="Palatino Linotype" w:hAnsi="Palatino Linotype" w:cs="Arial"/>
          <w:b/>
          <w:i/>
          <w:sz w:val="22"/>
          <w:szCs w:val="22"/>
        </w:rPr>
        <w:t>y a otras instancias del sector público.</w:t>
      </w:r>
      <w:r>
        <w:rPr>
          <w:rFonts w:ascii="Palatino Linotype" w:hAnsi="Palatino Linotype" w:cs="Arial"/>
          <w:b/>
          <w:i/>
          <w:sz w:val="22"/>
          <w:szCs w:val="22"/>
        </w:rPr>
        <w:t>” (Sic)</w:t>
      </w:r>
    </w:p>
    <w:p w14:paraId="7D1B5375" w14:textId="1FF6E7BE" w:rsidR="004A55A1" w:rsidRDefault="004A55A1" w:rsidP="0078585A">
      <w:pPr>
        <w:spacing w:before="240" w:after="240" w:line="360" w:lineRule="auto"/>
        <w:jc w:val="both"/>
        <w:rPr>
          <w:rFonts w:ascii="Palatino Linotype" w:eastAsia="Palatino Linotype" w:hAnsi="Palatino Linotype" w:cs="Palatino Linotype"/>
        </w:rPr>
      </w:pPr>
      <w:r w:rsidRPr="004A55A1">
        <w:rPr>
          <w:rFonts w:ascii="Palatino Linotype" w:eastAsia="Palatino Linotype" w:hAnsi="Palatino Linotype" w:cs="Palatino Linotype"/>
        </w:rPr>
        <w:t xml:space="preserve">Información que puede estar relacionada </w:t>
      </w:r>
      <w:r>
        <w:rPr>
          <w:rFonts w:ascii="Palatino Linotype" w:eastAsia="Palatino Linotype" w:hAnsi="Palatino Linotype" w:cs="Palatino Linotype"/>
        </w:rPr>
        <w:t xml:space="preserve">con la obligación de transparencia </w:t>
      </w:r>
      <w:r w:rsidR="00DB6D55">
        <w:rPr>
          <w:rFonts w:ascii="Palatino Linotype" w:eastAsia="Palatino Linotype" w:hAnsi="Palatino Linotype" w:cs="Palatino Linotype"/>
        </w:rPr>
        <w:t>marcada en la fracción XXIV del artículo 92 de la Ley de la Materia, que señala:</w:t>
      </w:r>
    </w:p>
    <w:p w14:paraId="02C7CC43" w14:textId="0612CC7C" w:rsidR="00DB6D55" w:rsidRDefault="00DB6D55" w:rsidP="00DB6D55">
      <w:pPr>
        <w:ind w:left="851" w:right="851"/>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DB6D55">
        <w:rPr>
          <w:rFonts w:ascii="Palatino Linotype" w:hAnsi="Palatino Linotype" w:cs="Arial"/>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3B5C6F" w14:textId="43341D70" w:rsidR="00DB6D55" w:rsidRPr="00DB6D55" w:rsidRDefault="00DB6D55" w:rsidP="00DB6D55">
      <w:pPr>
        <w:ind w:left="851" w:right="851"/>
        <w:contextualSpacing/>
        <w:jc w:val="both"/>
        <w:rPr>
          <w:rFonts w:ascii="Palatino Linotype" w:hAnsi="Palatino Linotype" w:cs="Arial"/>
          <w:i/>
          <w:sz w:val="22"/>
          <w:szCs w:val="22"/>
        </w:rPr>
      </w:pPr>
      <w:r>
        <w:rPr>
          <w:rFonts w:ascii="Palatino Linotype" w:hAnsi="Palatino Linotype" w:cs="Arial"/>
          <w:i/>
          <w:sz w:val="22"/>
          <w:szCs w:val="22"/>
        </w:rPr>
        <w:t>…</w:t>
      </w:r>
    </w:p>
    <w:p w14:paraId="61C1FFEA" w14:textId="6FAFA96C" w:rsidR="00DB6D55" w:rsidRDefault="00DB6D55" w:rsidP="00DB6D55">
      <w:pPr>
        <w:ind w:left="851" w:right="851"/>
        <w:contextualSpacing/>
        <w:jc w:val="both"/>
        <w:rPr>
          <w:rFonts w:ascii="Palatino Linotype" w:hAnsi="Palatino Linotype" w:cs="Arial"/>
          <w:i/>
          <w:sz w:val="22"/>
          <w:szCs w:val="22"/>
        </w:rPr>
      </w:pPr>
      <w:r w:rsidRPr="00DB6D55">
        <w:rPr>
          <w:rFonts w:ascii="Palatino Linotype" w:hAnsi="Palatino Linotype" w:cs="Arial"/>
          <w:i/>
          <w:sz w:val="22"/>
          <w:szCs w:val="22"/>
        </w:rPr>
        <w:t>XXIV. Los trámites, requisitos y formatos que ofrecen, así como los tiempos de respues</w:t>
      </w:r>
      <w:r>
        <w:rPr>
          <w:rFonts w:ascii="Palatino Linotype" w:hAnsi="Palatino Linotype" w:cs="Arial"/>
          <w:i/>
          <w:sz w:val="22"/>
          <w:szCs w:val="22"/>
        </w:rPr>
        <w:t>ta…”(Sic)</w:t>
      </w:r>
    </w:p>
    <w:p w14:paraId="41037CC2" w14:textId="77777777" w:rsidR="00DB6D55" w:rsidRPr="00DB6D55" w:rsidRDefault="00DB6D55" w:rsidP="00DB6D55">
      <w:pPr>
        <w:ind w:left="851" w:right="851"/>
        <w:contextualSpacing/>
        <w:jc w:val="both"/>
        <w:rPr>
          <w:rFonts w:ascii="Palatino Linotype" w:hAnsi="Palatino Linotype" w:cs="Arial"/>
          <w:i/>
          <w:sz w:val="22"/>
          <w:szCs w:val="22"/>
        </w:rPr>
      </w:pPr>
    </w:p>
    <w:p w14:paraId="49627EA6" w14:textId="6DFBF0ED" w:rsidR="00792B78" w:rsidRPr="00DB6D55" w:rsidRDefault="00DB6D55" w:rsidP="0078585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w:t>
      </w:r>
      <w:r w:rsidRPr="00DB6D55">
        <w:rPr>
          <w:rFonts w:ascii="Palatino Linotype" w:eastAsia="Palatino Linotype" w:hAnsi="Palatino Linotype" w:cs="Palatino Linotype"/>
        </w:rPr>
        <w:t>o que es atendible mediante derecho de acceso a la información</w:t>
      </w:r>
      <w:r>
        <w:rPr>
          <w:rFonts w:ascii="Palatino Linotype" w:eastAsia="Palatino Linotype" w:hAnsi="Palatino Linotype" w:cs="Palatino Linotype"/>
        </w:rPr>
        <w:t xml:space="preserve"> y no a través de un derecho de petición.</w:t>
      </w:r>
    </w:p>
    <w:p w14:paraId="4898F732" w14:textId="6C3EB91F" w:rsidR="009E68F9" w:rsidRDefault="00DB6D55" w:rsidP="0078585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w:t>
      </w:r>
      <w:r w:rsidR="00893227">
        <w:rPr>
          <w:rFonts w:ascii="Palatino Linotype" w:eastAsia="Palatino Linotype" w:hAnsi="Palatino Linotype" w:cs="Palatino Linotype"/>
        </w:rPr>
        <w:t xml:space="preserve"> el Organismo de Agua y Saneamiento de Toluca tiene el servicio de desazolve, el cual corresponde a la limpia de las líneas de drenaje, servicio que puede ser solicitado por cualquier gobernado, con lo cual se acredita que el </w:t>
      </w:r>
      <w:r w:rsidR="00893227" w:rsidRPr="0078585A">
        <w:rPr>
          <w:rFonts w:ascii="Palatino Linotype" w:eastAsia="Palatino Linotype" w:hAnsi="Palatino Linotype" w:cs="Palatino Linotype"/>
          <w:b/>
        </w:rPr>
        <w:t>SUJETO OBLIGADO</w:t>
      </w:r>
      <w:r w:rsidR="00893227">
        <w:rPr>
          <w:rFonts w:ascii="Palatino Linotype" w:eastAsia="Palatino Linotype" w:hAnsi="Palatino Linotype" w:cs="Palatino Linotype"/>
        </w:rPr>
        <w:t xml:space="preserve">, debe tener un documento en donde conste lo requerido por la particular; </w:t>
      </w:r>
      <w:r w:rsidR="0078585A">
        <w:rPr>
          <w:rFonts w:ascii="Palatino Linotype" w:eastAsia="Palatino Linotype" w:hAnsi="Palatino Linotype" w:cs="Palatino Linotype"/>
        </w:rPr>
        <w:t xml:space="preserve">en cambio, </w:t>
      </w:r>
      <w:r w:rsidR="009E68F9">
        <w:rPr>
          <w:rFonts w:ascii="Palatino Linotype" w:eastAsia="Palatino Linotype" w:hAnsi="Palatino Linotype" w:cs="Palatino Linotype"/>
        </w:rPr>
        <w:t xml:space="preserve">en términos de lo señalado en el Acuerdo mediante el cual se aprueba el padrón de Sujetos Obligados en materia de Transparencia y Acceso a la Información Pública del Estado de México y Municipios, emitido por el Instituto de Transparencia, Acceso a la Información Pública y Protección de Datos Personales del Estado de México y Municipios, se establece que el Organismo Agua y Saneamiento de Toluca, </w:t>
      </w:r>
      <w:r w:rsidR="0078585A">
        <w:rPr>
          <w:rFonts w:ascii="Palatino Linotype" w:eastAsia="Palatino Linotype" w:hAnsi="Palatino Linotype" w:cs="Palatino Linotype"/>
        </w:rPr>
        <w:t>es</w:t>
      </w:r>
      <w:r w:rsidR="009E68F9">
        <w:rPr>
          <w:rFonts w:ascii="Palatino Linotype" w:eastAsia="Palatino Linotype" w:hAnsi="Palatino Linotype" w:cs="Palatino Linotype"/>
        </w:rPr>
        <w:t xml:space="preserve"> </w:t>
      </w:r>
      <w:r w:rsidR="0078585A">
        <w:rPr>
          <w:rFonts w:ascii="Palatino Linotype" w:eastAsia="Palatino Linotype" w:hAnsi="Palatino Linotype" w:cs="Palatino Linotype"/>
        </w:rPr>
        <w:t>Sujeto Obligado</w:t>
      </w:r>
      <w:r w:rsidR="009E68F9">
        <w:rPr>
          <w:rFonts w:ascii="Palatino Linotype" w:eastAsia="Palatino Linotype" w:hAnsi="Palatino Linotype" w:cs="Palatino Linotype"/>
        </w:rPr>
        <w:t xml:space="preserve"> diversos al Ayuntamiento de Toluca.</w:t>
      </w:r>
    </w:p>
    <w:p w14:paraId="2F5023DD" w14:textId="34ED02F3" w:rsidR="009E68F9" w:rsidRDefault="009E68F9" w:rsidP="009E68F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lo procedente es ordenar el acuerdo de incompetencia respecto de la información que le compete al Organismo Agua y Saneamiento de Toluca.</w:t>
      </w:r>
    </w:p>
    <w:p w14:paraId="307CA1F0" w14:textId="77777777" w:rsidR="009E68F9" w:rsidRDefault="009E68F9" w:rsidP="009E68F9">
      <w:pPr>
        <w:pStyle w:val="Prrafodelista"/>
        <w:spacing w:before="240" w:after="240" w:line="360" w:lineRule="auto"/>
        <w:ind w:left="0"/>
        <w:jc w:val="both"/>
        <w:rPr>
          <w:rFonts w:ascii="Palatino Linotype" w:hAnsi="Palatino Linotype"/>
        </w:rPr>
      </w:pPr>
      <w:r>
        <w:rPr>
          <w:rFonts w:ascii="Palatino Linotype" w:hAnsi="Palatino Linotype"/>
        </w:rPr>
        <w:t>Sobre</w:t>
      </w:r>
      <w:r w:rsidRPr="003B2953">
        <w:rPr>
          <w:rFonts w:ascii="Palatino Linotype" w:hAnsi="Palatino Linotype"/>
        </w:rPr>
        <w:t xml:space="preserve"> la incompetencia, conviene citar lo señalado por el artículo 167 de la Ley de la Materia, que indica:</w:t>
      </w:r>
    </w:p>
    <w:p w14:paraId="385D470F" w14:textId="77777777" w:rsidR="009E68F9" w:rsidRDefault="009E68F9" w:rsidP="009E68F9">
      <w:pPr>
        <w:spacing w:before="240" w:after="240"/>
        <w:ind w:left="567" w:right="567"/>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sidRPr="00FC1D61">
        <w:rPr>
          <w:rFonts w:ascii="Palatino Linotype" w:hAnsi="Palatino Linotype" w:cs="Arial"/>
          <w:i/>
          <w:sz w:val="22"/>
          <w:szCs w:val="22"/>
        </w:rPr>
        <w:t xml:space="preserve">Artículo 167. Cuando las unidades de transparencia determinen la notoria incompetencia por parte de los sujetos obligados, dentro del ámbito de aplicación, para atender la solicitud de acceso a la información, </w:t>
      </w:r>
      <w:r w:rsidRPr="00FC1D61">
        <w:rPr>
          <w:rFonts w:ascii="Palatino Linotype" w:hAnsi="Palatino Linotype" w:cs="Arial"/>
          <w:b/>
          <w:i/>
          <w:sz w:val="22"/>
          <w:szCs w:val="22"/>
        </w:rPr>
        <w:t>deberán comunicarlo al solicitante, dentro de los tres días hábiles posteriores a la recepción de la solicitud y, en su caso orientar al solicitante, el o los sujetos obligados competentes.</w:t>
      </w:r>
      <w:r w:rsidRPr="00FC1D61">
        <w:rPr>
          <w:rFonts w:ascii="Palatino Linotype" w:hAnsi="Palatino Linotype" w:cs="Arial"/>
          <w:i/>
          <w:sz w:val="22"/>
          <w:szCs w:val="22"/>
        </w:rPr>
        <w:t xml:space="preserve"> </w:t>
      </w:r>
    </w:p>
    <w:p w14:paraId="6D7BE03D" w14:textId="77777777" w:rsidR="009E68F9" w:rsidRDefault="009E68F9" w:rsidP="009E68F9">
      <w:pPr>
        <w:spacing w:before="240" w:after="240"/>
        <w:ind w:left="567" w:right="567"/>
        <w:contextualSpacing/>
        <w:jc w:val="both"/>
        <w:rPr>
          <w:rFonts w:ascii="Palatino Linotype" w:hAnsi="Palatino Linotype" w:cs="Arial"/>
          <w:i/>
          <w:sz w:val="22"/>
          <w:szCs w:val="22"/>
        </w:rPr>
      </w:pPr>
      <w:r w:rsidRPr="00FC1D61">
        <w:rPr>
          <w:rFonts w:ascii="Palatino Linotype" w:hAnsi="Palatino Linotype" w:cs="Arial"/>
          <w:i/>
          <w:sz w:val="22"/>
          <w:szCs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4456838A" w14:textId="77777777" w:rsidR="009E68F9" w:rsidRPr="00FC1D61" w:rsidRDefault="009E68F9" w:rsidP="009E68F9">
      <w:pPr>
        <w:spacing w:before="240" w:after="240"/>
        <w:ind w:left="567" w:right="567"/>
        <w:contextualSpacing/>
        <w:jc w:val="both"/>
        <w:rPr>
          <w:rFonts w:ascii="Palatino Linotype" w:hAnsi="Palatino Linotype" w:cs="Arial"/>
          <w:i/>
          <w:sz w:val="22"/>
          <w:szCs w:val="22"/>
        </w:rPr>
      </w:pPr>
      <w:r w:rsidRPr="00FC1D61">
        <w:rPr>
          <w:rFonts w:ascii="Palatino Linotype" w:hAnsi="Palatino Linotype" w:cs="Arial"/>
          <w:i/>
          <w:sz w:val="22"/>
          <w:szCs w:val="22"/>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cs="Arial"/>
          <w:i/>
          <w:sz w:val="22"/>
          <w:szCs w:val="22"/>
        </w:rPr>
        <w:t>” (Sic)</w:t>
      </w:r>
    </w:p>
    <w:p w14:paraId="460116E1" w14:textId="77777777" w:rsidR="009E68F9" w:rsidRDefault="009E68F9" w:rsidP="009E68F9">
      <w:pPr>
        <w:spacing w:line="360" w:lineRule="auto"/>
        <w:ind w:right="49"/>
        <w:jc w:val="both"/>
        <w:rPr>
          <w:rFonts w:ascii="Palatino Linotype" w:hAnsi="Palatino Linotype"/>
        </w:rPr>
      </w:pPr>
    </w:p>
    <w:p w14:paraId="32D79619" w14:textId="77777777" w:rsidR="009E68F9" w:rsidRDefault="009E68F9" w:rsidP="009E68F9">
      <w:pPr>
        <w:spacing w:line="360" w:lineRule="auto"/>
        <w:jc w:val="both"/>
        <w:rPr>
          <w:rFonts w:ascii="Palatino Linotype" w:eastAsia="Calibri" w:hAnsi="Palatino Linotype" w:cs="Arial"/>
          <w:lang w:val="es-MX" w:eastAsia="en-US"/>
        </w:rPr>
      </w:pPr>
      <w:r>
        <w:rPr>
          <w:rFonts w:ascii="Palatino Linotype" w:hAnsi="Palatino Linotype" w:cs="Arial"/>
          <w:color w:val="000000" w:themeColor="text1"/>
        </w:rPr>
        <w:t xml:space="preserve">Precepto legal, que no fue observado por el </w:t>
      </w:r>
      <w:r w:rsidRPr="0085597B">
        <w:rPr>
          <w:rFonts w:ascii="Palatino Linotype" w:hAnsi="Palatino Linotype" w:cs="Arial"/>
          <w:b/>
          <w:bCs/>
          <w:color w:val="000000" w:themeColor="text1"/>
        </w:rPr>
        <w:t>SUJETO OBLIGADO</w:t>
      </w:r>
      <w:r>
        <w:rPr>
          <w:rFonts w:ascii="Palatino Linotype" w:hAnsi="Palatino Linotype" w:cs="Arial"/>
          <w:color w:val="000000" w:themeColor="text1"/>
        </w:rPr>
        <w:t xml:space="preserve"> atendiendo a como ha quedado acreditado en el apartado de antecedentes, el </w:t>
      </w:r>
      <w:r w:rsidRPr="0085597B">
        <w:rPr>
          <w:rFonts w:ascii="Palatino Linotype" w:hAnsi="Palatino Linotype" w:cs="Arial"/>
          <w:b/>
          <w:bCs/>
          <w:color w:val="000000" w:themeColor="text1"/>
        </w:rPr>
        <w:t>SUJETO OBLIGADO</w:t>
      </w:r>
      <w:r>
        <w:rPr>
          <w:rFonts w:ascii="Palatino Linotype" w:hAnsi="Palatino Linotype" w:cs="Arial"/>
          <w:color w:val="000000" w:themeColor="text1"/>
        </w:rPr>
        <w:t xml:space="preserve"> no se pronunció sobre estos Organismos Descentralizados, por lo que dejó de observar lo establecido en el artículo en cita, por lo tanto, </w:t>
      </w:r>
      <w:r>
        <w:rPr>
          <w:rFonts w:ascii="Palatino Linotype" w:eastAsia="Calibri" w:hAnsi="Palatino Linotype" w:cs="Arial"/>
        </w:rPr>
        <w:t>deberá atender el contenido del artículo 49 de la citada ley, que se cita a continuación para mayor referencia:</w:t>
      </w:r>
    </w:p>
    <w:p w14:paraId="13A60730" w14:textId="77777777" w:rsidR="009E68F9" w:rsidRDefault="009E68F9" w:rsidP="009E68F9">
      <w:pPr>
        <w:autoSpaceDE w:val="0"/>
        <w:autoSpaceDN w:val="0"/>
        <w:adjustRightInd w:val="0"/>
        <w:ind w:left="567" w:right="567"/>
        <w:jc w:val="both"/>
        <w:rPr>
          <w:rFonts w:ascii="Palatino Linotype" w:hAnsi="Palatino Linotype" w:cs="Arial"/>
          <w:b/>
          <w:bCs/>
          <w:i/>
          <w:sz w:val="22"/>
          <w:szCs w:val="22"/>
        </w:rPr>
      </w:pPr>
    </w:p>
    <w:p w14:paraId="636E8890" w14:textId="77777777" w:rsidR="009E68F9" w:rsidRPr="00D70753" w:rsidRDefault="009E68F9" w:rsidP="009E68F9">
      <w:pPr>
        <w:autoSpaceDE w:val="0"/>
        <w:autoSpaceDN w:val="0"/>
        <w:adjustRightInd w:val="0"/>
        <w:ind w:left="567" w:right="567"/>
        <w:jc w:val="both"/>
        <w:rPr>
          <w:rFonts w:ascii="Palatino Linotype" w:eastAsiaTheme="minorHAnsi" w:hAnsi="Palatino Linotype" w:cs="Arial"/>
          <w:i/>
          <w:sz w:val="22"/>
          <w:szCs w:val="22"/>
        </w:rPr>
      </w:pPr>
      <w:r w:rsidRPr="00D70753">
        <w:rPr>
          <w:rFonts w:ascii="Palatino Linotype" w:hAnsi="Palatino Linotype" w:cs="Arial"/>
          <w:b/>
          <w:bCs/>
          <w:i/>
          <w:sz w:val="22"/>
          <w:szCs w:val="22"/>
        </w:rPr>
        <w:t>“Artículo 49</w:t>
      </w:r>
      <w:r w:rsidRPr="009F3AF0">
        <w:rPr>
          <w:rFonts w:ascii="Palatino Linotype" w:hAnsi="Palatino Linotype" w:cs="Arial"/>
          <w:b/>
          <w:bCs/>
          <w:i/>
          <w:sz w:val="22"/>
          <w:szCs w:val="22"/>
        </w:rPr>
        <w:t xml:space="preserve">. </w:t>
      </w:r>
      <w:r w:rsidRPr="009F3AF0">
        <w:rPr>
          <w:rFonts w:ascii="Palatino Linotype" w:hAnsi="Palatino Linotype" w:cs="Arial"/>
          <w:b/>
          <w:i/>
          <w:sz w:val="22"/>
          <w:szCs w:val="22"/>
        </w:rPr>
        <w:t>Los Comités de Transparencia tendrán las siguientes atribuciones</w:t>
      </w:r>
      <w:r w:rsidRPr="00D70753">
        <w:rPr>
          <w:rFonts w:ascii="Palatino Linotype" w:hAnsi="Palatino Linotype" w:cs="Arial"/>
          <w:i/>
          <w:sz w:val="22"/>
          <w:szCs w:val="22"/>
        </w:rPr>
        <w:t>:</w:t>
      </w:r>
    </w:p>
    <w:p w14:paraId="2279EB22" w14:textId="77777777" w:rsidR="009E68F9" w:rsidRPr="00D70753" w:rsidRDefault="009E68F9" w:rsidP="009E68F9">
      <w:pPr>
        <w:autoSpaceDE w:val="0"/>
        <w:autoSpaceDN w:val="0"/>
        <w:adjustRightInd w:val="0"/>
        <w:ind w:left="567" w:right="567"/>
        <w:jc w:val="both"/>
        <w:rPr>
          <w:rFonts w:ascii="Palatino Linotype" w:hAnsi="Palatino Linotype" w:cs="Arial"/>
          <w:i/>
          <w:sz w:val="22"/>
          <w:szCs w:val="22"/>
        </w:rPr>
      </w:pPr>
      <w:r w:rsidRPr="00D70753">
        <w:rPr>
          <w:rFonts w:ascii="Palatino Linotype" w:hAnsi="Palatino Linotype" w:cs="Arial"/>
          <w:b/>
          <w:bCs/>
          <w:i/>
          <w:sz w:val="22"/>
          <w:szCs w:val="22"/>
        </w:rPr>
        <w:t xml:space="preserve">I. </w:t>
      </w:r>
      <w:r w:rsidRPr="00D70753">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3A3E43A1" w14:textId="77777777" w:rsidR="009E68F9" w:rsidRPr="00D70753" w:rsidRDefault="009E68F9" w:rsidP="009E68F9">
      <w:pPr>
        <w:autoSpaceDE w:val="0"/>
        <w:autoSpaceDN w:val="0"/>
        <w:adjustRightInd w:val="0"/>
        <w:ind w:left="567" w:right="567"/>
        <w:jc w:val="both"/>
        <w:rPr>
          <w:rFonts w:ascii="Palatino Linotype" w:hAnsi="Palatino Linotype" w:cs="Arial"/>
          <w:sz w:val="22"/>
          <w:szCs w:val="22"/>
        </w:rPr>
      </w:pPr>
      <w:r w:rsidRPr="009F3AF0">
        <w:rPr>
          <w:rFonts w:ascii="Palatino Linotype" w:hAnsi="Palatino Linotype" w:cs="Arial"/>
          <w:bCs/>
          <w:i/>
          <w:sz w:val="22"/>
          <w:szCs w:val="22"/>
        </w:rPr>
        <w:t xml:space="preserve">II. </w:t>
      </w:r>
      <w:r w:rsidRPr="009F3AF0">
        <w:rPr>
          <w:rFonts w:ascii="Palatino Linotype" w:hAnsi="Palatino Linotype" w:cs="Arial"/>
          <w:i/>
          <w:sz w:val="22"/>
          <w:szCs w:val="22"/>
        </w:rPr>
        <w:t>Confirmar, modificar o revocar las determinaciones</w:t>
      </w:r>
      <w:r w:rsidRPr="00D70753">
        <w:rPr>
          <w:rFonts w:ascii="Palatino Linotype" w:hAnsi="Palatino Linotype" w:cs="Arial"/>
          <w:i/>
          <w:sz w:val="22"/>
          <w:szCs w:val="22"/>
        </w:rPr>
        <w:t xml:space="preserve"> que, en materia de ampliación del plazo de respuesta, clasificación de la información y declaración de inexistencia </w:t>
      </w:r>
      <w:r w:rsidRPr="009F3AF0">
        <w:rPr>
          <w:rFonts w:ascii="Palatino Linotype" w:hAnsi="Palatino Linotype" w:cs="Arial"/>
          <w:i/>
          <w:sz w:val="22"/>
          <w:szCs w:val="22"/>
        </w:rPr>
        <w:t>o</w:t>
      </w:r>
      <w:r w:rsidRPr="00D70753">
        <w:rPr>
          <w:rFonts w:ascii="Palatino Linotype" w:hAnsi="Palatino Linotype" w:cs="Arial"/>
          <w:b/>
          <w:i/>
          <w:sz w:val="22"/>
          <w:szCs w:val="22"/>
        </w:rPr>
        <w:t xml:space="preserve"> </w:t>
      </w:r>
      <w:r w:rsidRPr="00D70753">
        <w:rPr>
          <w:rFonts w:ascii="Palatino Linotype" w:hAnsi="Palatino Linotype" w:cs="Arial"/>
          <w:b/>
          <w:i/>
          <w:sz w:val="22"/>
          <w:szCs w:val="22"/>
          <w:u w:val="single"/>
        </w:rPr>
        <w:t xml:space="preserve">de incompetencia realicen los titulares de las áreas de los sujetos obligados…” </w:t>
      </w:r>
      <w:r w:rsidRPr="00D70753">
        <w:rPr>
          <w:rFonts w:ascii="Palatino Linotype" w:hAnsi="Palatino Linotype" w:cs="Arial"/>
          <w:b/>
          <w:i/>
          <w:sz w:val="22"/>
          <w:szCs w:val="22"/>
        </w:rPr>
        <w:t>(Sic)</w:t>
      </w:r>
    </w:p>
    <w:p w14:paraId="01B54DE2" w14:textId="77777777" w:rsidR="009E68F9" w:rsidRDefault="009E68F9" w:rsidP="009E68F9">
      <w:pPr>
        <w:spacing w:line="360" w:lineRule="auto"/>
        <w:jc w:val="both"/>
        <w:rPr>
          <w:rFonts w:ascii="Palatino Linotype" w:eastAsia="Palatino Linotype" w:hAnsi="Palatino Linotype" w:cs="Palatino Linotype"/>
        </w:rPr>
      </w:pPr>
    </w:p>
    <w:p w14:paraId="3CAC739A" w14:textId="3FC1FAC3" w:rsidR="005140EA" w:rsidRPr="009A3D66" w:rsidRDefault="005140EA" w:rsidP="00FE567D">
      <w:pPr>
        <w:pStyle w:val="NormalWeb"/>
        <w:spacing w:before="240" w:beforeAutospacing="0" w:after="240" w:afterAutospacing="0" w:line="360" w:lineRule="auto"/>
        <w:jc w:val="both"/>
        <w:rPr>
          <w:rFonts w:ascii="Palatino Linotype" w:hAnsi="Palatino Linotype"/>
        </w:rPr>
      </w:pPr>
      <w:r w:rsidRPr="009A3D66">
        <w:rPr>
          <w:rFonts w:ascii="Palatino Linotype" w:hAnsi="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9A3D66">
        <w:rPr>
          <w:rFonts w:ascii="Palatino Linotype" w:hAnsi="Palatino Linotype"/>
        </w:rPr>
        <w:lastRenderedPageBreak/>
        <w:t>la Ley de Transparencia y Acceso a la Información Pública del Estado de México y Municipios, este Pleno:</w:t>
      </w:r>
    </w:p>
    <w:p w14:paraId="25BB5955" w14:textId="3A90D187" w:rsidR="009B616B" w:rsidRPr="009A3D66" w:rsidRDefault="006A6E89" w:rsidP="006A6E8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III. </w:t>
      </w:r>
      <w:r w:rsidR="005A212F" w:rsidRPr="009A3D66">
        <w:rPr>
          <w:rFonts w:ascii="Palatino Linotype" w:eastAsia="Palatino Linotype" w:hAnsi="Palatino Linotype" w:cs="Palatino Linotype"/>
          <w:b/>
        </w:rPr>
        <w:t>R E S U E L V E:</w:t>
      </w:r>
    </w:p>
    <w:p w14:paraId="1368A3C7" w14:textId="18EAD05C" w:rsidR="0078585A" w:rsidRDefault="0078585A" w:rsidP="0078585A">
      <w:pPr>
        <w:spacing w:before="240" w:after="240" w:line="360" w:lineRule="auto"/>
        <w:jc w:val="both"/>
        <w:rPr>
          <w:rFonts w:ascii="Palatino Linotype" w:eastAsia="Palatino Linotype" w:hAnsi="Palatino Linotype" w:cs="Palatino Linotype"/>
        </w:rPr>
      </w:pPr>
      <w:bookmarkStart w:id="6" w:name="_heading=h.3dy6vkm" w:colFirst="0" w:colLast="0"/>
      <w:bookmarkEnd w:id="6"/>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05654/INFOEM/IP/RR/2022,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14:paraId="305FC0BE" w14:textId="24306021" w:rsidR="0078585A" w:rsidRDefault="0078585A" w:rsidP="0078585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Considerando Cuarto, haga entrega vía SAIMEX, de lo siguiente:</w:t>
      </w:r>
    </w:p>
    <w:p w14:paraId="5DC6C38B" w14:textId="77777777" w:rsidR="0078585A" w:rsidRDefault="0078585A" w:rsidP="0078585A">
      <w:pPr>
        <w:pBdr>
          <w:top w:val="nil"/>
          <w:left w:val="nil"/>
          <w:bottom w:val="nil"/>
          <w:right w:val="nil"/>
          <w:between w:val="nil"/>
        </w:pBdr>
        <w:ind w:left="720" w:right="51"/>
        <w:jc w:val="both"/>
        <w:rPr>
          <w:rFonts w:ascii="Palatino Linotype" w:eastAsia="Palatino Linotype" w:hAnsi="Palatino Linotype" w:cs="Palatino Linotype"/>
          <w:i/>
          <w:color w:val="000000"/>
          <w:sz w:val="22"/>
          <w:szCs w:val="22"/>
        </w:rPr>
      </w:pPr>
    </w:p>
    <w:p w14:paraId="2C89C251" w14:textId="362131C4" w:rsidR="0078585A" w:rsidRPr="00DB6D55" w:rsidRDefault="0011741E" w:rsidP="00DB6D55">
      <w:pPr>
        <w:pStyle w:val="Prrafodelista"/>
        <w:numPr>
          <w:ilvl w:val="0"/>
          <w:numId w:val="14"/>
        </w:numPr>
        <w:pBdr>
          <w:top w:val="nil"/>
          <w:left w:val="nil"/>
          <w:bottom w:val="nil"/>
          <w:right w:val="nil"/>
          <w:between w:val="nil"/>
        </w:pBdr>
        <w:spacing w:line="360" w:lineRule="auto"/>
        <w:ind w:left="851" w:right="51"/>
        <w:jc w:val="both"/>
        <w:rPr>
          <w:rFonts w:ascii="Palatino Linotype" w:eastAsia="Palatino Linotype" w:hAnsi="Palatino Linotype" w:cs="Palatino Linotype"/>
          <w:i/>
          <w:color w:val="000000"/>
          <w:sz w:val="22"/>
          <w:szCs w:val="22"/>
        </w:rPr>
      </w:pPr>
      <w:r w:rsidRPr="00DB6D55">
        <w:rPr>
          <w:rFonts w:ascii="Palatino Linotype" w:eastAsia="Palatino Linotype" w:hAnsi="Palatino Linotype" w:cs="Palatino Linotype"/>
        </w:rPr>
        <w:t xml:space="preserve">El Acuerdo que emita el Comité de Transparencia en el que confirme la declaración de incompetencia del </w:t>
      </w:r>
      <w:r w:rsidRPr="00DB6D55">
        <w:rPr>
          <w:rFonts w:ascii="Palatino Linotype" w:eastAsia="Palatino Linotype" w:hAnsi="Palatino Linotype" w:cs="Palatino Linotype"/>
          <w:b/>
        </w:rPr>
        <w:t>SUJETO OBLIGADO</w:t>
      </w:r>
      <w:r w:rsidR="00DB6D55" w:rsidRPr="00DB6D55">
        <w:rPr>
          <w:rFonts w:ascii="Palatino Linotype" w:eastAsia="Palatino Linotype" w:hAnsi="Palatino Linotype" w:cs="Palatino Linotype"/>
        </w:rPr>
        <w:t xml:space="preserve"> respecto de la información relacionada con los reportes de coladeras tapadas. </w:t>
      </w:r>
    </w:p>
    <w:p w14:paraId="3BF05C37" w14:textId="77777777" w:rsidR="0078585A" w:rsidRDefault="0078585A" w:rsidP="0078585A">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F0E8C11" w14:textId="77777777" w:rsidR="0078585A" w:rsidRDefault="0078585A" w:rsidP="0078585A">
      <w:pPr>
        <w:spacing w:line="360" w:lineRule="auto"/>
        <w:jc w:val="both"/>
        <w:rPr>
          <w:rFonts w:ascii="Palatino Linotype" w:eastAsia="Palatino Linotype" w:hAnsi="Palatino Linotype" w:cs="Palatino Linotype"/>
          <w:b/>
        </w:rPr>
      </w:pPr>
    </w:p>
    <w:p w14:paraId="3C2012BC" w14:textId="77777777" w:rsidR="0078585A" w:rsidRDefault="0078585A" w:rsidP="0078585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recurrente la presente resolución, así como, que de conformidad con lo establecido en el artículo 196 de la Ley de </w:t>
      </w:r>
      <w:r>
        <w:rPr>
          <w:rFonts w:ascii="Palatino Linotype" w:eastAsia="Palatino Linotype" w:hAnsi="Palatino Linotype" w:cs="Palatino Linotype"/>
        </w:rPr>
        <w:lastRenderedPageBreak/>
        <w:t>Transparencia y Acceso a la Información Pública del Estado de México y Municipios, podrá impugnar la presente resolución vía Juicio de Amparo en los términos de las leyes aplicables.</w:t>
      </w:r>
    </w:p>
    <w:p w14:paraId="357B96BB" w14:textId="77777777" w:rsidR="0078585A" w:rsidRDefault="0078585A" w:rsidP="0078585A">
      <w:pPr>
        <w:spacing w:line="360" w:lineRule="auto"/>
        <w:ind w:right="49"/>
        <w:jc w:val="both"/>
        <w:rPr>
          <w:rFonts w:ascii="Palatino Linotype" w:eastAsia="Palatino Linotype" w:hAnsi="Palatino Linotype" w:cs="Palatino Linotype"/>
        </w:rPr>
      </w:pPr>
    </w:p>
    <w:p w14:paraId="61525501" w14:textId="77777777" w:rsidR="0078585A" w:rsidRDefault="0078585A" w:rsidP="0078585A">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6CE6274F" w14:textId="1E7CD3B9" w:rsidR="00A11C92" w:rsidRDefault="00A11C92" w:rsidP="00732DC3">
      <w:pPr>
        <w:spacing w:before="240" w:after="240" w:line="360" w:lineRule="auto"/>
        <w:jc w:val="both"/>
        <w:rPr>
          <w:rFonts w:ascii="Palatino Linotype" w:eastAsia="Palatino Linotype" w:hAnsi="Palatino Linotype" w:cs="Palatino Linotype"/>
        </w:rPr>
        <w:sectPr w:rsidR="00A11C92">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35D33028" wp14:editId="31CBFC2F">
                <wp:simplePos x="0" y="0"/>
                <wp:positionH relativeFrom="column">
                  <wp:posOffset>-194311</wp:posOffset>
                </wp:positionH>
                <wp:positionV relativeFrom="paragraph">
                  <wp:posOffset>2931795</wp:posOffset>
                </wp:positionV>
                <wp:extent cx="5686425" cy="207645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686425" cy="2076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401F567"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230.85pt" to="432.45pt,3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" strokecolor="black [3200]" strokeweight="2pt">
                <v:shadow on="t" color="black" opacity="24903f" origin=",.5" offset="0,.55556mm"/>
              </v:line>
            </w:pict>
          </mc:Fallback>
        </mc:AlternateContent>
      </w:r>
      <w:r w:rsidR="00681DF5" w:rsidRPr="009A3D6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C109B9">
        <w:rPr>
          <w:rFonts w:ascii="Palatino Linotype" w:eastAsia="Palatino Linotype" w:hAnsi="Palatino Linotype" w:cs="Palatino Linotype"/>
        </w:rPr>
        <w:t xml:space="preserve">HARON CRISTINA MORALES MARTÍNEZ, </w:t>
      </w:r>
      <w:r w:rsidR="00681DF5" w:rsidRPr="009A3D66">
        <w:rPr>
          <w:rFonts w:ascii="Palatino Linotype" w:eastAsia="Palatino Linotype" w:hAnsi="Palatino Linotype" w:cs="Palatino Linotype"/>
        </w:rPr>
        <w:t xml:space="preserve">LUIS GUSTAVO PARRA NORIEGA Y GUADALUPE RAMÍREZ PEÑA; EN LA </w:t>
      </w:r>
      <w:r w:rsidR="0078585A">
        <w:rPr>
          <w:rFonts w:ascii="Palatino Linotype" w:eastAsia="Palatino Linotype" w:hAnsi="Palatino Linotype" w:cs="Palatino Linotype"/>
        </w:rPr>
        <w:t>TRIGÉSIMA</w:t>
      </w:r>
      <w:r w:rsidR="00C109B9" w:rsidRPr="009A3D66">
        <w:rPr>
          <w:rFonts w:ascii="Palatino Linotype" w:eastAsia="Palatino Linotype" w:hAnsi="Palatino Linotype" w:cs="Palatino Linotype"/>
        </w:rPr>
        <w:t xml:space="preserve"> </w:t>
      </w:r>
      <w:r w:rsidR="00681DF5" w:rsidRPr="009A3D66">
        <w:rPr>
          <w:rFonts w:ascii="Palatino Linotype" w:eastAsia="Palatino Linotype" w:hAnsi="Palatino Linotype" w:cs="Palatino Linotype"/>
        </w:rPr>
        <w:t xml:space="preserve">SESIÓN ORDINARIA CELEBRADA </w:t>
      </w:r>
      <w:r w:rsidR="0078585A">
        <w:rPr>
          <w:rFonts w:ascii="Palatino Linotype" w:eastAsia="Palatino Linotype" w:hAnsi="Palatino Linotype" w:cs="Palatino Linotype"/>
        </w:rPr>
        <w:t>EL VEINTICUATRO DE AGOSTO</w:t>
      </w:r>
      <w:r w:rsidR="00C109B9" w:rsidRPr="009A3D66">
        <w:rPr>
          <w:rFonts w:ascii="Palatino Linotype" w:eastAsia="Palatino Linotype" w:hAnsi="Palatino Linotype" w:cs="Palatino Linotype"/>
        </w:rPr>
        <w:t xml:space="preserve"> DE DOS </w:t>
      </w:r>
      <w:r w:rsidR="00681DF5" w:rsidRPr="009A3D66">
        <w:rPr>
          <w:rFonts w:ascii="Palatino Linotype" w:eastAsia="Palatino Linotype" w:hAnsi="Palatino Linotype" w:cs="Palatino Linotype"/>
        </w:rPr>
        <w:t>MIL VEINTIDÓS, ANTE EL SECRETARIO TÉCNICO DEL PLENO ALEXIS TAPIA RAMÍREZ.</w:t>
      </w:r>
    </w:p>
    <w:p w14:paraId="74EAFB58" w14:textId="52FDC7C8" w:rsidR="00681DF5" w:rsidRDefault="00681DF5" w:rsidP="00732DC3">
      <w:pPr>
        <w:spacing w:before="240" w:after="240" w:line="360" w:lineRule="auto"/>
        <w:jc w:val="both"/>
        <w:rPr>
          <w:rFonts w:ascii="Palatino Linotype" w:eastAsia="Palatino Linotype" w:hAnsi="Palatino Linotype" w:cs="Palatino Linotype"/>
        </w:rPr>
      </w:pPr>
    </w:p>
    <w:p w14:paraId="29274D3E" w14:textId="5191853F" w:rsidR="00A11C92" w:rsidRDefault="00A11C92" w:rsidP="00732DC3">
      <w:pPr>
        <w:spacing w:before="240" w:after="240" w:line="360" w:lineRule="auto"/>
        <w:jc w:val="both"/>
        <w:rPr>
          <w:rFonts w:ascii="Palatino Linotype" w:eastAsia="Palatino Linotype" w:hAnsi="Palatino Linotype" w:cs="Palatino Linotype"/>
        </w:rPr>
      </w:pPr>
    </w:p>
    <w:p w14:paraId="56B1A2EB" w14:textId="4B4D3C4A" w:rsidR="00A11C92" w:rsidRDefault="00A11C92" w:rsidP="00732DC3">
      <w:pPr>
        <w:spacing w:before="240" w:after="240" w:line="360" w:lineRule="auto"/>
        <w:jc w:val="both"/>
        <w:rPr>
          <w:rFonts w:ascii="Palatino Linotype" w:eastAsia="Palatino Linotype" w:hAnsi="Palatino Linotype" w:cs="Palatino Linotype"/>
        </w:rPr>
      </w:pPr>
    </w:p>
    <w:p w14:paraId="6D0EC5A3" w14:textId="7C4D1800" w:rsidR="00A11C92" w:rsidRDefault="00A11C92" w:rsidP="00732DC3">
      <w:pPr>
        <w:spacing w:before="240" w:after="240" w:line="360" w:lineRule="auto"/>
        <w:jc w:val="both"/>
        <w:rPr>
          <w:rFonts w:ascii="Palatino Linotype" w:eastAsia="Palatino Linotype" w:hAnsi="Palatino Linotype" w:cs="Palatino Linotype"/>
        </w:rPr>
      </w:pPr>
    </w:p>
    <w:p w14:paraId="2BD130A3" w14:textId="5620D8E6" w:rsidR="00A11C92" w:rsidRPr="009A3D66" w:rsidRDefault="00A11C92" w:rsidP="00732DC3">
      <w:pPr>
        <w:spacing w:before="240" w:after="240" w:line="360" w:lineRule="auto"/>
        <w:jc w:val="both"/>
        <w:rPr>
          <w:rFonts w:ascii="Palatino Linotype" w:eastAsia="Palatino Linotype" w:hAnsi="Palatino Linotype" w:cs="Palatino Linotype"/>
        </w:rPr>
      </w:pPr>
    </w:p>
    <w:sectPr w:rsidR="00A11C92" w:rsidRPr="009A3D66">
      <w:head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1ECF0" w14:textId="77777777" w:rsidR="00027D77" w:rsidRDefault="00027D77">
      <w:r>
        <w:separator/>
      </w:r>
    </w:p>
  </w:endnote>
  <w:endnote w:type="continuationSeparator" w:id="0">
    <w:p w14:paraId="23C526BC" w14:textId="77777777" w:rsidR="00027D77" w:rsidRDefault="0002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436156B4"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A46B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6B7">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501A527C"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A11C92">
      <w:rPr>
        <w:rFonts w:ascii="Palatino Linotype" w:eastAsia="Palatino Linotype" w:hAnsi="Palatino Linotype" w:cs="Palatino Linotype"/>
        <w:b/>
        <w:color w:val="000000"/>
        <w:sz w:val="20"/>
        <w:szCs w:val="20"/>
      </w:rPr>
      <w:t>34</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A46B7">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4827C" w14:textId="77777777" w:rsidR="00027D77" w:rsidRDefault="00027D77">
      <w:r>
        <w:separator/>
      </w:r>
    </w:p>
  </w:footnote>
  <w:footnote w:type="continuationSeparator" w:id="0">
    <w:p w14:paraId="0FCD7EBB" w14:textId="77777777" w:rsidR="00027D77" w:rsidRDefault="00027D77">
      <w:r>
        <w:continuationSeparator/>
      </w:r>
    </w:p>
  </w:footnote>
  <w:footnote w:id="1">
    <w:p w14:paraId="7DB23B66" w14:textId="77777777" w:rsidR="00CA341B" w:rsidRPr="00733DD3" w:rsidRDefault="00CA341B" w:rsidP="00CA341B">
      <w:pPr>
        <w:autoSpaceDE w:val="0"/>
        <w:autoSpaceDN w:val="0"/>
        <w:adjustRightInd w:val="0"/>
        <w:jc w:val="both"/>
        <w:rPr>
          <w:rFonts w:ascii="Palatino Linotype" w:hAnsi="Palatino Linotype" w:cs="Arial"/>
          <w:sz w:val="16"/>
          <w:szCs w:val="16"/>
        </w:rPr>
      </w:pPr>
      <w:r>
        <w:rPr>
          <w:rStyle w:val="Refdenotaalpie"/>
        </w:rPr>
        <w:footnoteRef/>
      </w:r>
      <w:r>
        <w:t xml:space="preserve"> </w:t>
      </w:r>
      <w:r w:rsidRPr="00733DD3">
        <w:rPr>
          <w:rFonts w:ascii="Palatino Linotype" w:hAnsi="Palatino Linotype" w:cs="Arial"/>
          <w:sz w:val="16"/>
          <w:szCs w:val="16"/>
        </w:rPr>
        <w:t xml:space="preserve">Derecho de Petición, el Maestro Ignacio Burgoa Orihuela refiere: </w:t>
      </w:r>
    </w:p>
    <w:p w14:paraId="399DAD51" w14:textId="77777777" w:rsidR="00CA341B" w:rsidRPr="00733DD3" w:rsidRDefault="00CA341B" w:rsidP="00CA341B">
      <w:pPr>
        <w:autoSpaceDE w:val="0"/>
        <w:autoSpaceDN w:val="0"/>
        <w:adjustRightInd w:val="0"/>
        <w:ind w:left="851" w:right="901"/>
        <w:jc w:val="both"/>
        <w:rPr>
          <w:rFonts w:ascii="Palatino Linotype" w:hAnsi="Palatino Linotype" w:cs="Arial"/>
          <w:i/>
          <w:sz w:val="16"/>
          <w:szCs w:val="16"/>
        </w:rPr>
      </w:pPr>
      <w:r w:rsidRPr="00733DD3">
        <w:rPr>
          <w:rFonts w:ascii="Palatino Linotype" w:hAnsi="Palatino Linotype" w:cs="Arial"/>
          <w:b/>
          <w:sz w:val="16"/>
          <w:szCs w:val="16"/>
        </w:rPr>
        <w:t>“</w:t>
      </w:r>
      <w:r w:rsidRPr="00733DD3">
        <w:rPr>
          <w:rFonts w:ascii="Palatino Linotype" w:hAnsi="Palatino Linotype" w:cs="Arial"/>
          <w:sz w:val="16"/>
          <w:szCs w:val="16"/>
        </w:rPr>
        <w:t>…</w:t>
      </w:r>
      <w:r w:rsidRPr="00733DD3">
        <w:rPr>
          <w:rFonts w:ascii="Palatino Linotype" w:hAnsi="Palatino Linotype" w:cs="Arial"/>
          <w:i/>
          <w:sz w:val="16"/>
          <w:szCs w:val="16"/>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3DD3">
        <w:rPr>
          <w:rFonts w:ascii="Palatino Linotype" w:hAnsi="Palatino Linotype"/>
          <w:b/>
          <w:i/>
          <w:sz w:val="16"/>
          <w:szCs w:val="16"/>
        </w:rPr>
        <w:t>“</w:t>
      </w:r>
      <w:r w:rsidRPr="00733DD3">
        <w:rPr>
          <w:rFonts w:ascii="Palatino Linotype" w:hAnsi="Palatino Linotype" w:cs="Arial"/>
          <w:i/>
          <w:sz w:val="16"/>
          <w:szCs w:val="16"/>
        </w:rPr>
        <w:t xml:space="preserve"> (sic)</w:t>
      </w:r>
    </w:p>
    <w:p w14:paraId="710EE09A" w14:textId="77777777" w:rsidR="00CA341B" w:rsidRDefault="00CA341B" w:rsidP="00CA341B">
      <w:pPr>
        <w:pStyle w:val="Textonotapie"/>
      </w:pPr>
    </w:p>
  </w:footnote>
  <w:footnote w:id="2">
    <w:p w14:paraId="62CB6E87" w14:textId="77777777" w:rsidR="00CA341B" w:rsidRPr="0085366E" w:rsidRDefault="00CA341B" w:rsidP="00CA341B">
      <w:pPr>
        <w:autoSpaceDE w:val="0"/>
        <w:autoSpaceDN w:val="0"/>
        <w:adjustRightInd w:val="0"/>
        <w:jc w:val="both"/>
        <w:rPr>
          <w:rFonts w:ascii="Palatino Linotype" w:eastAsiaTheme="minorEastAsia" w:hAnsi="Palatino Linotype" w:cs="Arial"/>
          <w:sz w:val="16"/>
          <w:szCs w:val="16"/>
          <w:lang w:val="es-MX"/>
        </w:rPr>
      </w:pPr>
      <w:r w:rsidRPr="0085366E">
        <w:rPr>
          <w:rStyle w:val="Refdenotaalpie"/>
          <w:rFonts w:ascii="Palatino Linotype" w:hAnsi="Palatino Linotype"/>
          <w:sz w:val="16"/>
          <w:szCs w:val="16"/>
        </w:rPr>
        <w:footnoteRef/>
      </w:r>
      <w:r w:rsidRPr="0085366E">
        <w:rPr>
          <w:rFonts w:ascii="Palatino Linotype" w:hAnsi="Palatino Linotype"/>
          <w:sz w:val="16"/>
          <w:szCs w:val="16"/>
        </w:rPr>
        <w:t xml:space="preserve"> </w:t>
      </w:r>
      <w:r w:rsidRPr="0085366E">
        <w:rPr>
          <w:rFonts w:ascii="Palatino Linotype" w:eastAsiaTheme="minorEastAsia" w:hAnsi="Palatino Linotype" w:cs="Arial"/>
          <w:sz w:val="16"/>
          <w:szCs w:val="16"/>
          <w:lang w:val="es-MX"/>
        </w:rPr>
        <w:t>BURGOA ORIHUELA Ignacio. Diccionario De Derecho Constitucional, Garantías y Amparo. Ed. Porrúa, S.A., México. 1992, p.115.</w:t>
      </w:r>
    </w:p>
  </w:footnote>
  <w:footnote w:id="3">
    <w:p w14:paraId="315C112D" w14:textId="77777777" w:rsidR="00CA341B" w:rsidRPr="0085366E" w:rsidRDefault="00CA341B" w:rsidP="00CA341B">
      <w:pPr>
        <w:autoSpaceDE w:val="0"/>
        <w:autoSpaceDN w:val="0"/>
        <w:adjustRightInd w:val="0"/>
        <w:jc w:val="both"/>
        <w:rPr>
          <w:rFonts w:ascii="Palatino Linotype" w:eastAsiaTheme="minorEastAsia" w:hAnsi="Palatino Linotype" w:cs="Arial"/>
          <w:sz w:val="16"/>
          <w:szCs w:val="16"/>
          <w:lang w:val="es-MX"/>
        </w:rPr>
      </w:pPr>
      <w:r w:rsidRPr="0085366E">
        <w:rPr>
          <w:rFonts w:ascii="Palatino Linotype" w:eastAsiaTheme="minorEastAsia" w:hAnsi="Palatino Linotype"/>
          <w:sz w:val="16"/>
          <w:szCs w:val="16"/>
          <w:lang w:val="es-MX"/>
        </w:rPr>
        <w:footnoteRef/>
      </w:r>
      <w:r w:rsidRPr="0085366E">
        <w:rPr>
          <w:rFonts w:ascii="Palatino Linotype" w:eastAsiaTheme="minorEastAsia" w:hAnsi="Palatino Linotype" w:cs="Arial"/>
          <w:sz w:val="16"/>
          <w:szCs w:val="16"/>
          <w:lang w:val="es-MX"/>
        </w:rPr>
        <w:t xml:space="preserve"> CIENFUEGOS SALGADO David. El Derecho de Petición en México. Ed. Instituto de Investigaciones Jurídica UNAM. México 2004. p. 31</w:t>
      </w:r>
    </w:p>
  </w:footnote>
  <w:footnote w:id="4">
    <w:p w14:paraId="340BC6E9" w14:textId="77777777" w:rsidR="00CA341B" w:rsidRPr="0085366E" w:rsidRDefault="00CA341B" w:rsidP="00CA341B">
      <w:pPr>
        <w:spacing w:before="240" w:after="240"/>
        <w:contextualSpacing/>
        <w:jc w:val="both"/>
        <w:rPr>
          <w:rFonts w:ascii="Palatino Linotype" w:hAnsi="Palatino Linotype" w:cs="Arial"/>
          <w:sz w:val="16"/>
          <w:szCs w:val="16"/>
        </w:rPr>
      </w:pPr>
      <w:r w:rsidRPr="0085366E">
        <w:rPr>
          <w:rStyle w:val="Refdenotaalpie"/>
          <w:rFonts w:ascii="Palatino Linotype" w:hAnsi="Palatino Linotype"/>
          <w:sz w:val="16"/>
          <w:szCs w:val="16"/>
        </w:rPr>
        <w:footnoteRef/>
      </w:r>
      <w:r w:rsidRPr="0085366E">
        <w:rPr>
          <w:rFonts w:ascii="Palatino Linotype" w:hAnsi="Palatino Linotype"/>
          <w:sz w:val="16"/>
          <w:szCs w:val="16"/>
        </w:rPr>
        <w:t xml:space="preserve"> </w:t>
      </w:r>
      <w:r w:rsidRPr="0085366E">
        <w:rPr>
          <w:rFonts w:ascii="Palatino Linotype" w:hAnsi="Palatino Linotype" w:cs="Arial"/>
          <w:sz w:val="16"/>
          <w:szCs w:val="16"/>
        </w:rPr>
        <w:t>Carbonell, M. (2004). Los Derechos Fundamentales (Primera Edición ed.), México: Instituto de investigaciones Jurídicas.</w:t>
      </w:r>
    </w:p>
  </w:footnote>
  <w:footnote w:id="5">
    <w:p w14:paraId="42DAB123" w14:textId="77777777" w:rsidR="00CA341B" w:rsidRPr="003E7E06" w:rsidRDefault="00CA341B" w:rsidP="00CA341B">
      <w:pPr>
        <w:pStyle w:val="Textoindependiente"/>
        <w:kinsoku w:val="0"/>
        <w:overflowPunct w:val="0"/>
        <w:spacing w:line="198" w:lineRule="exact"/>
        <w:rPr>
          <w:rFonts w:ascii="Palatino Linotype" w:hAnsi="Palatino Linotype"/>
          <w:sz w:val="16"/>
          <w:szCs w:val="16"/>
        </w:rPr>
      </w:pPr>
      <w:r>
        <w:rPr>
          <w:rStyle w:val="Refdenotaalpie"/>
        </w:rPr>
        <w:footnoteRef/>
      </w:r>
      <w:r>
        <w:t xml:space="preserve"> </w:t>
      </w:r>
      <w:r w:rsidRPr="003E7E06">
        <w:rPr>
          <w:rFonts w:ascii="Palatino Linotype" w:hAnsi="Palatino Linotype"/>
          <w:sz w:val="16"/>
          <w:szCs w:val="16"/>
        </w:rPr>
        <w:t>VILLANUEVA VILLANUEVA Ernesto, Derecho de la Información, Ed, Porrúa S.A., México.</w:t>
      </w:r>
      <w:r w:rsidRPr="003E7E06">
        <w:rPr>
          <w:rFonts w:ascii="Palatino Linotype" w:hAnsi="Palatino Linotype"/>
          <w:spacing w:val="6"/>
          <w:sz w:val="16"/>
          <w:szCs w:val="16"/>
        </w:rPr>
        <w:t xml:space="preserve"> </w:t>
      </w:r>
      <w:r w:rsidRPr="003E7E06">
        <w:rPr>
          <w:rFonts w:ascii="Palatino Linotype" w:hAnsi="Palatino Linotype"/>
          <w:sz w:val="16"/>
          <w:szCs w:val="16"/>
        </w:rPr>
        <w:t xml:space="preserve">2006, </w:t>
      </w:r>
      <w:r>
        <w:rPr>
          <w:rFonts w:ascii="Palatino Linotype" w:hAnsi="Palatino Linotype"/>
          <w:sz w:val="16"/>
          <w:szCs w:val="16"/>
        </w:rPr>
        <w:t>pág.270.</w:t>
      </w:r>
    </w:p>
  </w:footnote>
  <w:footnote w:id="6">
    <w:p w14:paraId="5ACA530C" w14:textId="77777777" w:rsidR="00CA341B" w:rsidRPr="003E7E06" w:rsidRDefault="00CA341B" w:rsidP="00CA341B">
      <w:pPr>
        <w:pStyle w:val="Textoindependiente"/>
        <w:kinsoku w:val="0"/>
        <w:overflowPunct w:val="0"/>
        <w:ind w:right="96"/>
        <w:contextualSpacing/>
        <w:jc w:val="both"/>
        <w:rPr>
          <w:rFonts w:ascii="Palatino Linotype" w:hAnsi="Palatino Linotype" w:cs="Arial"/>
          <w:sz w:val="16"/>
          <w:szCs w:val="16"/>
        </w:rPr>
      </w:pPr>
      <w:r>
        <w:rPr>
          <w:rStyle w:val="Refdenotaalpie"/>
        </w:rPr>
        <w:footnoteRef/>
      </w:r>
      <w:r>
        <w:t xml:space="preserve"> </w:t>
      </w:r>
      <w:r w:rsidRPr="003E7E06">
        <w:rPr>
          <w:rFonts w:ascii="Palatino Linotype" w:hAnsi="Palatino Linotype" w:cs="Arial"/>
          <w:sz w:val="16"/>
          <w:szCs w:val="16"/>
        </w:rPr>
        <w:t>ROBLES HERNÁNDEZ José Guadalupe. Derecho de la Información y Comunicación Pública. Ed.Universidad de Occidente de México, 2004, pág.72.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0808EA" w:rsidRDefault="000808E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159D00B9" w:rsidR="009B616B" w:rsidRDefault="001C74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8A1645">
            <w:rPr>
              <w:rFonts w:ascii="Palatino Linotype" w:eastAsia="Palatino Linotype" w:hAnsi="Palatino Linotype" w:cs="Palatino Linotype"/>
              <w:b/>
              <w:sz w:val="22"/>
              <w:szCs w:val="22"/>
            </w:rPr>
            <w:t>5654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D7F78">
            <w:rPr>
              <w:rFonts w:ascii="Palatino Linotype" w:eastAsia="Palatino Linotype" w:hAnsi="Palatino Linotype" w:cs="Palatino Linotype"/>
              <w:b/>
              <w:sz w:val="22"/>
              <w:szCs w:val="22"/>
            </w:rPr>
            <w:t>Toluca</w:t>
          </w:r>
        </w:p>
      </w:tc>
    </w:tr>
    <w:tr w:rsidR="009B616B" w14:paraId="6C6A5F74" w14:textId="77777777">
      <w:tc>
        <w:tcPr>
          <w:tcW w:w="2489" w:type="dxa"/>
          <w:shd w:val="clear" w:color="auto" w:fill="auto"/>
          <w:vAlign w:val="center"/>
        </w:tcPr>
        <w:p w14:paraId="49BEBCB7" w14:textId="77777777" w:rsidR="009B616B" w:rsidRDefault="005A21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0808EA" w:rsidRDefault="000808E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195C7AD6" w:rsidR="009B616B" w:rsidRDefault="001C74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9B1C40">
            <w:rPr>
              <w:rFonts w:ascii="Palatino Linotype" w:eastAsia="Palatino Linotype" w:hAnsi="Palatino Linotype" w:cs="Palatino Linotype"/>
              <w:b/>
              <w:sz w:val="22"/>
              <w:szCs w:val="22"/>
            </w:rPr>
            <w:t>5654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60FD9B0C" w:rsidR="009B616B" w:rsidRDefault="005A46B7">
          <w:pPr>
            <w:ind w:left="-45"/>
            <w:jc w:val="both"/>
            <w:rPr>
              <w:rFonts w:ascii="Palatino Linotype" w:eastAsia="Palatino Linotype" w:hAnsi="Palatino Linotype" w:cs="Palatino Linotype"/>
              <w:b/>
              <w:sz w:val="22"/>
              <w:szCs w:val="22"/>
            </w:rPr>
          </w:pPr>
          <w:r>
            <w:rPr>
              <w:rFonts w:ascii="Palatino Linotype" w:hAnsi="Palatino Linotype"/>
              <w:b/>
              <w:sz w:val="22"/>
              <w:szCs w:val="22"/>
              <w:lang w:val="es-ES_tradnl"/>
            </w:rPr>
            <w:t>XXXXX XXXXX XXXXX</w:t>
          </w:r>
          <w:r w:rsidR="009B1C40">
            <w:rPr>
              <w:rFonts w:ascii="Palatino Linotype" w:hAnsi="Palatino Linotype"/>
              <w:b/>
              <w:sz w:val="22"/>
              <w:szCs w:val="22"/>
              <w:lang w:val="es-ES_tradnl"/>
            </w:rPr>
            <w:t>.</w:t>
          </w:r>
        </w:p>
      </w:tc>
    </w:tr>
    <w:tr w:rsidR="009B616B" w14:paraId="607970EC" w14:textId="77777777">
      <w:trPr>
        <w:trHeight w:val="228"/>
      </w:trPr>
      <w:tc>
        <w:tcPr>
          <w:tcW w:w="2551" w:type="dxa"/>
          <w:shd w:val="clear" w:color="auto" w:fill="auto"/>
          <w:vAlign w:val="center"/>
        </w:tcPr>
        <w:p w14:paraId="2E0CBB9B"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B0A6CC6"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104CB7">
            <w:rPr>
              <w:rFonts w:ascii="Palatino Linotype" w:eastAsia="Palatino Linotype" w:hAnsi="Palatino Linotype" w:cs="Palatino Linotype"/>
              <w:b/>
              <w:sz w:val="22"/>
              <w:szCs w:val="22"/>
            </w:rPr>
            <w:t xml:space="preserve">de </w:t>
          </w:r>
          <w:r w:rsidR="001D7F78">
            <w:rPr>
              <w:rFonts w:ascii="Palatino Linotype" w:eastAsia="Palatino Linotype" w:hAnsi="Palatino Linotype" w:cs="Palatino Linotype"/>
              <w:b/>
              <w:sz w:val="22"/>
              <w:szCs w:val="22"/>
            </w:rPr>
            <w:t>Toluca</w:t>
          </w:r>
        </w:p>
      </w:tc>
    </w:tr>
    <w:tr w:rsidR="009B616B" w14:paraId="233EFC60" w14:textId="77777777">
      <w:tc>
        <w:tcPr>
          <w:tcW w:w="2551" w:type="dxa"/>
          <w:shd w:val="clear" w:color="auto" w:fill="auto"/>
          <w:vAlign w:val="center"/>
        </w:tcPr>
        <w:p w14:paraId="2DEDEF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1067" w14:textId="77777777" w:rsidR="00A11C92" w:rsidRDefault="00A11C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280F4B16" w14:textId="58359975" w:rsidR="00A11C92" w:rsidRDefault="00A11C9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15A2F"/>
    <w:multiLevelType w:val="multilevel"/>
    <w:tmpl w:val="1ED406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7E4C34"/>
    <w:multiLevelType w:val="hybridMultilevel"/>
    <w:tmpl w:val="E2766EE8"/>
    <w:lvl w:ilvl="0" w:tplc="D5909184">
      <w:start w:val="1"/>
      <w:numFmt w:val="lowerLetter"/>
      <w:lvlText w:val="%1)"/>
      <w:lvlJc w:val="left"/>
      <w:pPr>
        <w:ind w:left="1440" w:hanging="720"/>
      </w:pPr>
      <w:rPr>
        <w:rFonts w:hint="default"/>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2A754FA"/>
    <w:multiLevelType w:val="hybridMultilevel"/>
    <w:tmpl w:val="823A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EA11B3"/>
    <w:multiLevelType w:val="hybridMultilevel"/>
    <w:tmpl w:val="823A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0" w15:restartNumberingAfterBreak="0">
    <w:nsid w:val="56676AEE"/>
    <w:multiLevelType w:val="hybridMultilevel"/>
    <w:tmpl w:val="D4AAF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4"/>
  </w:num>
  <w:num w:numId="3">
    <w:abstractNumId w:val="7"/>
  </w:num>
  <w:num w:numId="4">
    <w:abstractNumId w:val="11"/>
  </w:num>
  <w:num w:numId="5">
    <w:abstractNumId w:val="13"/>
  </w:num>
  <w:num w:numId="6">
    <w:abstractNumId w:val="2"/>
  </w:num>
  <w:num w:numId="7">
    <w:abstractNumId w:val="5"/>
  </w:num>
  <w:num w:numId="8">
    <w:abstractNumId w:val="6"/>
  </w:num>
  <w:num w:numId="9">
    <w:abstractNumId w:val="9"/>
  </w:num>
  <w:num w:numId="10">
    <w:abstractNumId w:val="1"/>
  </w:num>
  <w:num w:numId="11">
    <w:abstractNumId w:val="8"/>
  </w:num>
  <w:num w:numId="12">
    <w:abstractNumId w:val="4"/>
  </w:num>
  <w:num w:numId="13">
    <w:abstractNumId w:val="0"/>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27D77"/>
    <w:rsid w:val="00033229"/>
    <w:rsid w:val="00044FB7"/>
    <w:rsid w:val="000458A4"/>
    <w:rsid w:val="00055BAA"/>
    <w:rsid w:val="00062525"/>
    <w:rsid w:val="00073B9C"/>
    <w:rsid w:val="000808EA"/>
    <w:rsid w:val="00087A76"/>
    <w:rsid w:val="000C2067"/>
    <w:rsid w:val="000C4C2E"/>
    <w:rsid w:val="000C6E90"/>
    <w:rsid w:val="000F649E"/>
    <w:rsid w:val="00104CB7"/>
    <w:rsid w:val="0011037D"/>
    <w:rsid w:val="00111705"/>
    <w:rsid w:val="0011741E"/>
    <w:rsid w:val="0014542F"/>
    <w:rsid w:val="0015101B"/>
    <w:rsid w:val="00163562"/>
    <w:rsid w:val="0018704F"/>
    <w:rsid w:val="00187086"/>
    <w:rsid w:val="001938CA"/>
    <w:rsid w:val="00193D95"/>
    <w:rsid w:val="001968CE"/>
    <w:rsid w:val="001A4E3B"/>
    <w:rsid w:val="001C5C51"/>
    <w:rsid w:val="001C7434"/>
    <w:rsid w:val="001D60B9"/>
    <w:rsid w:val="001D6148"/>
    <w:rsid w:val="001D7F78"/>
    <w:rsid w:val="001E2C2B"/>
    <w:rsid w:val="00201490"/>
    <w:rsid w:val="0020551D"/>
    <w:rsid w:val="00206B74"/>
    <w:rsid w:val="0021743B"/>
    <w:rsid w:val="00233A5C"/>
    <w:rsid w:val="00237D5D"/>
    <w:rsid w:val="0024649A"/>
    <w:rsid w:val="00250ACE"/>
    <w:rsid w:val="002559DC"/>
    <w:rsid w:val="00261F75"/>
    <w:rsid w:val="00286BA7"/>
    <w:rsid w:val="002B4065"/>
    <w:rsid w:val="002F1BD1"/>
    <w:rsid w:val="00334071"/>
    <w:rsid w:val="00344471"/>
    <w:rsid w:val="00366CEB"/>
    <w:rsid w:val="003B714B"/>
    <w:rsid w:val="003E01A2"/>
    <w:rsid w:val="003E0C8B"/>
    <w:rsid w:val="003F06AB"/>
    <w:rsid w:val="003F0FC8"/>
    <w:rsid w:val="003F2474"/>
    <w:rsid w:val="00421476"/>
    <w:rsid w:val="004333B1"/>
    <w:rsid w:val="00445F13"/>
    <w:rsid w:val="0044766F"/>
    <w:rsid w:val="004A1D52"/>
    <w:rsid w:val="004A55A1"/>
    <w:rsid w:val="004C20A2"/>
    <w:rsid w:val="004E5924"/>
    <w:rsid w:val="005007A5"/>
    <w:rsid w:val="00503CC3"/>
    <w:rsid w:val="00511B65"/>
    <w:rsid w:val="005140EA"/>
    <w:rsid w:val="00517286"/>
    <w:rsid w:val="005415EB"/>
    <w:rsid w:val="00563362"/>
    <w:rsid w:val="005740FB"/>
    <w:rsid w:val="00576D4A"/>
    <w:rsid w:val="00583450"/>
    <w:rsid w:val="00586737"/>
    <w:rsid w:val="005A212F"/>
    <w:rsid w:val="005A46B7"/>
    <w:rsid w:val="005B09AA"/>
    <w:rsid w:val="005D4BCC"/>
    <w:rsid w:val="005D7369"/>
    <w:rsid w:val="006450BB"/>
    <w:rsid w:val="00673C52"/>
    <w:rsid w:val="00674141"/>
    <w:rsid w:val="00681DF5"/>
    <w:rsid w:val="00686839"/>
    <w:rsid w:val="00697525"/>
    <w:rsid w:val="006A56C5"/>
    <w:rsid w:val="006A6E89"/>
    <w:rsid w:val="006D3C5C"/>
    <w:rsid w:val="006D6B2F"/>
    <w:rsid w:val="006E0206"/>
    <w:rsid w:val="00707499"/>
    <w:rsid w:val="00720EE2"/>
    <w:rsid w:val="00732DC3"/>
    <w:rsid w:val="007357C7"/>
    <w:rsid w:val="00752DDC"/>
    <w:rsid w:val="0075703E"/>
    <w:rsid w:val="007617AE"/>
    <w:rsid w:val="00774E4B"/>
    <w:rsid w:val="0078585A"/>
    <w:rsid w:val="00792B78"/>
    <w:rsid w:val="00796A2F"/>
    <w:rsid w:val="007B73ED"/>
    <w:rsid w:val="007C3B81"/>
    <w:rsid w:val="007C6EDF"/>
    <w:rsid w:val="007F589E"/>
    <w:rsid w:val="008033D3"/>
    <w:rsid w:val="00846413"/>
    <w:rsid w:val="00893227"/>
    <w:rsid w:val="008943EA"/>
    <w:rsid w:val="008A1645"/>
    <w:rsid w:val="008E10E4"/>
    <w:rsid w:val="008F729C"/>
    <w:rsid w:val="00903F04"/>
    <w:rsid w:val="009318AE"/>
    <w:rsid w:val="00940970"/>
    <w:rsid w:val="009637E5"/>
    <w:rsid w:val="009772A8"/>
    <w:rsid w:val="009A14D5"/>
    <w:rsid w:val="009A3D66"/>
    <w:rsid w:val="009A61CB"/>
    <w:rsid w:val="009A6583"/>
    <w:rsid w:val="009A6B53"/>
    <w:rsid w:val="009B1C40"/>
    <w:rsid w:val="009B26B8"/>
    <w:rsid w:val="009B616B"/>
    <w:rsid w:val="009C2C50"/>
    <w:rsid w:val="009C448E"/>
    <w:rsid w:val="009C619A"/>
    <w:rsid w:val="009D72D5"/>
    <w:rsid w:val="009E68F9"/>
    <w:rsid w:val="009F3B3A"/>
    <w:rsid w:val="00A02B16"/>
    <w:rsid w:val="00A11C92"/>
    <w:rsid w:val="00A35B94"/>
    <w:rsid w:val="00A531E9"/>
    <w:rsid w:val="00A704E9"/>
    <w:rsid w:val="00B00A62"/>
    <w:rsid w:val="00B01FAD"/>
    <w:rsid w:val="00B4799B"/>
    <w:rsid w:val="00B51EB7"/>
    <w:rsid w:val="00B612F1"/>
    <w:rsid w:val="00BC5773"/>
    <w:rsid w:val="00BF3255"/>
    <w:rsid w:val="00C109B9"/>
    <w:rsid w:val="00C2641E"/>
    <w:rsid w:val="00C34C45"/>
    <w:rsid w:val="00C3742C"/>
    <w:rsid w:val="00C40C9F"/>
    <w:rsid w:val="00C44687"/>
    <w:rsid w:val="00C45646"/>
    <w:rsid w:val="00C716F7"/>
    <w:rsid w:val="00C850FF"/>
    <w:rsid w:val="00C91457"/>
    <w:rsid w:val="00CA341B"/>
    <w:rsid w:val="00CC4D7D"/>
    <w:rsid w:val="00CD1FA6"/>
    <w:rsid w:val="00CD28EB"/>
    <w:rsid w:val="00CF1817"/>
    <w:rsid w:val="00CF2F5E"/>
    <w:rsid w:val="00D00C93"/>
    <w:rsid w:val="00D30AAC"/>
    <w:rsid w:val="00D559FB"/>
    <w:rsid w:val="00D67C8C"/>
    <w:rsid w:val="00D73130"/>
    <w:rsid w:val="00D878CA"/>
    <w:rsid w:val="00DA08A3"/>
    <w:rsid w:val="00DA728F"/>
    <w:rsid w:val="00DB6D55"/>
    <w:rsid w:val="00DC68F5"/>
    <w:rsid w:val="00DC6952"/>
    <w:rsid w:val="00DD3487"/>
    <w:rsid w:val="00DD62BE"/>
    <w:rsid w:val="00DD7F26"/>
    <w:rsid w:val="00DE1C3F"/>
    <w:rsid w:val="00DF3EEC"/>
    <w:rsid w:val="00E07877"/>
    <w:rsid w:val="00E1127C"/>
    <w:rsid w:val="00E411D4"/>
    <w:rsid w:val="00E508F7"/>
    <w:rsid w:val="00E67317"/>
    <w:rsid w:val="00E871C1"/>
    <w:rsid w:val="00ED1981"/>
    <w:rsid w:val="00EE475E"/>
    <w:rsid w:val="00F370D6"/>
    <w:rsid w:val="00F740E7"/>
    <w:rsid w:val="00F93873"/>
    <w:rsid w:val="00F93A4E"/>
    <w:rsid w:val="00FA5B03"/>
    <w:rsid w:val="00FB2214"/>
    <w:rsid w:val="00FC396F"/>
    <w:rsid w:val="00FE0026"/>
    <w:rsid w:val="00FE5490"/>
    <w:rsid w:val="00FE567D"/>
    <w:rsid w:val="00FF1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DC573C62-0BC4-42E6-8C08-90AEEB4A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99188.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34</Pages>
  <Words>7783</Words>
  <Characters>42808</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Jhancarlo</cp:lastModifiedBy>
  <cp:revision>9</cp:revision>
  <dcterms:created xsi:type="dcterms:W3CDTF">2022-08-17T22:14:00Z</dcterms:created>
  <dcterms:modified xsi:type="dcterms:W3CDTF">2022-09-06T21:30:00Z</dcterms:modified>
</cp:coreProperties>
</file>