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793F5F" w14:textId="77777777" w:rsidR="00140F5B" w:rsidRDefault="00774F15">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seis de julio de dos mil veintidós.</w:t>
      </w:r>
    </w:p>
    <w:p w14:paraId="2F811F91" w14:textId="3EDA3C79" w:rsidR="00140F5B" w:rsidRDefault="00774F15">
      <w:pPr>
        <w:spacing w:after="80" w:line="360" w:lineRule="auto"/>
        <w:jc w:val="both"/>
        <w:rPr>
          <w:rFonts w:ascii="Palatino Linotype" w:eastAsia="Palatino Linotype" w:hAnsi="Palatino Linotype" w:cs="Palatino Linotype"/>
          <w:sz w:val="24"/>
          <w:szCs w:val="24"/>
        </w:rPr>
      </w:pPr>
      <w:bookmarkStart w:id="0" w:name="_heading=h.gjdgxs" w:colFirst="0" w:colLast="0"/>
      <w:bookmarkEnd w:id="0"/>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04004/INFOEM/IP/RR/2022</w:t>
      </w:r>
      <w:r>
        <w:rPr>
          <w:rFonts w:ascii="Palatino Linotype" w:eastAsia="Palatino Linotype" w:hAnsi="Palatino Linotype" w:cs="Palatino Linotype"/>
          <w:sz w:val="24"/>
          <w:szCs w:val="24"/>
        </w:rPr>
        <w:t xml:space="preserve"> interpuestos por </w:t>
      </w:r>
      <w:proofErr w:type="spellStart"/>
      <w:r w:rsidR="00FF6C4F" w:rsidRPr="00FF6C4F">
        <w:rPr>
          <w:rFonts w:ascii="Palatino Linotype" w:eastAsia="Palatino Linotype" w:hAnsi="Palatino Linotype" w:cs="Palatino Linotype"/>
          <w:b/>
          <w:sz w:val="24"/>
          <w:szCs w:val="24"/>
        </w:rPr>
        <w:t>xxxxxx</w:t>
      </w:r>
      <w:proofErr w:type="spellEnd"/>
      <w:r w:rsidR="00FF6C4F" w:rsidRPr="00FF6C4F">
        <w:rPr>
          <w:rFonts w:ascii="Palatino Linotype" w:eastAsia="Palatino Linotype" w:hAnsi="Palatino Linotype" w:cs="Palatino Linotype"/>
          <w:b/>
          <w:sz w:val="24"/>
          <w:szCs w:val="24"/>
        </w:rPr>
        <w:t xml:space="preserve"> </w:t>
      </w:r>
      <w:proofErr w:type="spellStart"/>
      <w:r w:rsidR="00FF6C4F" w:rsidRPr="00FF6C4F">
        <w:rPr>
          <w:rFonts w:ascii="Palatino Linotype" w:eastAsia="Palatino Linotype" w:hAnsi="Palatino Linotype" w:cs="Palatino Linotype"/>
          <w:b/>
          <w:sz w:val="24"/>
          <w:szCs w:val="24"/>
        </w:rPr>
        <w:t>xxxxx</w:t>
      </w:r>
      <w:proofErr w:type="spellEnd"/>
      <w:r w:rsidR="00FF6C4F" w:rsidRPr="00FF6C4F">
        <w:rPr>
          <w:rFonts w:ascii="Palatino Linotype" w:eastAsia="Palatino Linotype" w:hAnsi="Palatino Linotype" w:cs="Palatino Linotype"/>
          <w:b/>
          <w:sz w:val="24"/>
          <w:szCs w:val="24"/>
        </w:rPr>
        <w:t xml:space="preserve"> </w:t>
      </w:r>
      <w:proofErr w:type="spellStart"/>
      <w:r w:rsidR="00FF6C4F" w:rsidRPr="00FF6C4F">
        <w:rPr>
          <w:rFonts w:ascii="Palatino Linotype" w:eastAsia="Palatino Linotype" w:hAnsi="Palatino Linotype" w:cs="Palatino Linotype"/>
          <w:b/>
          <w:sz w:val="24"/>
          <w:szCs w:val="24"/>
        </w:rPr>
        <w:t>xxxx</w:t>
      </w:r>
      <w:proofErr w:type="spellEnd"/>
      <w:r>
        <w:rPr>
          <w:rFonts w:ascii="Palatino Linotype" w:eastAsia="Palatino Linotype" w:hAnsi="Palatino Linotype" w:cs="Palatino Linotype"/>
          <w:sz w:val="24"/>
          <w:szCs w:val="24"/>
        </w:rPr>
        <w:t xml:space="preserve">, el cual en lo sucesivo se le denominara </w:t>
      </w:r>
      <w:r>
        <w:rPr>
          <w:rFonts w:ascii="Palatino Linotype" w:eastAsia="Palatino Linotype" w:hAnsi="Palatino Linotype" w:cs="Palatino Linotype"/>
          <w:b/>
          <w:sz w:val="24"/>
          <w:szCs w:val="24"/>
        </w:rPr>
        <w:t>LA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color w:val="000000"/>
          <w:sz w:val="24"/>
          <w:szCs w:val="24"/>
        </w:rPr>
        <w:t>00039/OASNAUCAL/IP/2022</w:t>
      </w:r>
      <w:r>
        <w:rPr>
          <w:rFonts w:ascii="Palatino Linotype" w:eastAsia="Palatino Linotype" w:hAnsi="Palatino Linotype" w:cs="Palatino Linotype"/>
          <w:sz w:val="24"/>
          <w:szCs w:val="24"/>
        </w:rPr>
        <w:t xml:space="preserve">, por parte del Organismo Público Descentralizado para la Prestación de Los Servicios de Agua Potable Alcantarillado y Saneamiento del Municipio de Naucalpan de Juárez,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14:paraId="07A4C17D" w14:textId="77777777" w:rsidR="00140F5B" w:rsidRDefault="00774F15">
      <w:pPr>
        <w:spacing w:before="80" w:after="24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 N T E C E D E N T E S</w:t>
      </w:r>
    </w:p>
    <w:p w14:paraId="569F9AA5" w14:textId="77777777" w:rsidR="00140F5B" w:rsidRDefault="00774F15">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1. SOLICITUD. </w:t>
      </w:r>
      <w:r>
        <w:rPr>
          <w:rFonts w:ascii="Palatino Linotype" w:eastAsia="Palatino Linotype" w:hAnsi="Palatino Linotype" w:cs="Palatino Linotype"/>
          <w:sz w:val="24"/>
          <w:szCs w:val="24"/>
        </w:rPr>
        <w:t xml:space="preserve">Con fecha veintidós de febrero de dos mil veintidós, </w:t>
      </w:r>
      <w:r>
        <w:rPr>
          <w:rFonts w:ascii="Palatino Linotype" w:eastAsia="Palatino Linotype" w:hAnsi="Palatino Linotype" w:cs="Palatino Linotype"/>
          <w:b/>
          <w:sz w:val="24"/>
          <w:szCs w:val="24"/>
        </w:rPr>
        <w:t>LA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color w:val="000000"/>
          <w:sz w:val="24"/>
          <w:szCs w:val="24"/>
        </w:rPr>
        <w:t>00039/OASNAUCAL/IP/2022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el cual solicitó información en el siguiente tenor:</w:t>
      </w:r>
    </w:p>
    <w:p w14:paraId="43FC9BA9" w14:textId="77777777" w:rsidR="00140F5B" w:rsidRDefault="00774F15">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“Deseo conocer cantidad de dinero recaudada por </w:t>
      </w:r>
      <w:proofErr w:type="spellStart"/>
      <w:r>
        <w:rPr>
          <w:rFonts w:ascii="Palatino Linotype" w:eastAsia="Palatino Linotype" w:hAnsi="Palatino Linotype" w:cs="Palatino Linotype"/>
          <w:i/>
          <w:color w:val="000000"/>
        </w:rPr>
        <w:t>Oapas</w:t>
      </w:r>
      <w:proofErr w:type="spellEnd"/>
      <w:r>
        <w:rPr>
          <w:rFonts w:ascii="Palatino Linotype" w:eastAsia="Palatino Linotype" w:hAnsi="Palatino Linotype" w:cs="Palatino Linotype"/>
          <w:i/>
          <w:color w:val="000000"/>
        </w:rPr>
        <w:t xml:space="preserve"> de enero 2022 a la Fecha y especificando cómo se ha ido gastando“(Sic)</w:t>
      </w:r>
    </w:p>
    <w:p w14:paraId="4CEC7591" w14:textId="77777777" w:rsidR="00140F5B" w:rsidRDefault="00774F15">
      <w:pPr>
        <w:spacing w:before="120" w:after="12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2. RESPUESTA. </w:t>
      </w:r>
      <w:r>
        <w:rPr>
          <w:rFonts w:ascii="Palatino Linotype" w:eastAsia="Palatino Linotype" w:hAnsi="Palatino Linotype" w:cs="Palatino Linotype"/>
          <w:sz w:val="24"/>
          <w:szCs w:val="24"/>
        </w:rPr>
        <w:t xml:space="preserve">Con fecha dieciséis de marzo del dos mil veintidós,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p>
    <w:p w14:paraId="266706FB" w14:textId="77777777" w:rsidR="00140F5B" w:rsidRDefault="00774F15">
      <w:pPr>
        <w:spacing w:before="120" w:after="120" w:line="360" w:lineRule="auto"/>
        <w:ind w:left="851" w:right="1041"/>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98393B7" w14:textId="77777777" w:rsidR="00140F5B" w:rsidRDefault="00774F15">
      <w:pPr>
        <w:spacing w:before="120" w:after="120" w:line="360" w:lineRule="auto"/>
        <w:ind w:left="851" w:right="1041"/>
        <w:jc w:val="both"/>
        <w:rPr>
          <w:rFonts w:ascii="Palatino Linotype" w:eastAsia="Palatino Linotype" w:hAnsi="Palatino Linotype" w:cs="Palatino Linotype"/>
          <w:i/>
        </w:rPr>
      </w:pPr>
      <w:r>
        <w:rPr>
          <w:rFonts w:ascii="Palatino Linotype" w:eastAsia="Palatino Linotype" w:hAnsi="Palatino Linotype" w:cs="Palatino Linotype"/>
          <w:i/>
        </w:rPr>
        <w:t xml:space="preserve">. Distinguida Ciudadana: En respuesta a su solicitud de Información, con Número de Folio 00039/OASNAUCAL/IP/2022, mediante la cual requirió lo siguiente: “Deseo conocer cantidad de dinero recaudada por </w:t>
      </w:r>
      <w:proofErr w:type="spellStart"/>
      <w:r>
        <w:rPr>
          <w:rFonts w:ascii="Palatino Linotype" w:eastAsia="Palatino Linotype" w:hAnsi="Palatino Linotype" w:cs="Palatino Linotype"/>
          <w:i/>
        </w:rPr>
        <w:t>Oapas</w:t>
      </w:r>
      <w:proofErr w:type="spellEnd"/>
      <w:r>
        <w:rPr>
          <w:rFonts w:ascii="Palatino Linotype" w:eastAsia="Palatino Linotype" w:hAnsi="Palatino Linotype" w:cs="Palatino Linotype"/>
          <w:i/>
        </w:rPr>
        <w:t xml:space="preserve"> de enero 2022 a la Fecha y especificando cómo se ha ido gastando” (sic). Dicha solicitud fue turnada a la Dirección de Administración y Finanzas, por ser el área competente para su atención. La respuesta entregada por el área responsable es la siguiente: “DISTINGUIDO CIUDADANO, LE COMENTO QUE LA INFORMACION SOLICITADA SERA CARGADA AL PORTAL IPOMEX UNA VEZ ENTREGADA ANTE EL ORGANO SUPERIOR DE FISCALIZACIÓN DEL ESTADO DE MEXICO, YA QUE LA MISMA SE REPORTA DE MANERA TRIMESTRAL Y PODRA CONSULTARLA DESPUES DEL 15 DE ABRIL DEL PRESENTE EJERCICIO FISCAL” (SIC). La liga para que usted pueda acceder a dicha consulta es la siguiente: https://www.ipomex.org.mx/ipo3/lgt/indice/OASNAUCALPAN/art_92_xlvii_a.web Lo anterior se hace de su conocimiento de conformidad con lo dispuesto </w:t>
      </w:r>
      <w:r>
        <w:rPr>
          <w:rFonts w:ascii="Palatino Linotype" w:eastAsia="Palatino Linotype" w:hAnsi="Palatino Linotype" w:cs="Palatino Linotype"/>
          <w:i/>
        </w:rPr>
        <w:lastRenderedPageBreak/>
        <w:t xml:space="preserve">en los artículos 50, 51, 52, 53 fracciones II, III IV, V VI XIV, 162, 163 y demás aplicables de la Ley de Transparencia y Acceso a la Información Pública del estado de México y Municipios. Sin otro particular le reitero mi más atenta y distinguida consideración, quedando a sus órdenes para cualquier duda o aclaración en las oficinas centrales de este Organismo ubicadas en Avenida San Luis </w:t>
      </w:r>
      <w:proofErr w:type="spellStart"/>
      <w:r>
        <w:rPr>
          <w:rFonts w:ascii="Palatino Linotype" w:eastAsia="Palatino Linotype" w:hAnsi="Palatino Linotype" w:cs="Palatino Linotype"/>
          <w:i/>
        </w:rPr>
        <w:t>Tlatilco</w:t>
      </w:r>
      <w:proofErr w:type="spellEnd"/>
      <w:r>
        <w:rPr>
          <w:rFonts w:ascii="Palatino Linotype" w:eastAsia="Palatino Linotype" w:hAnsi="Palatino Linotype" w:cs="Palatino Linotype"/>
          <w:i/>
        </w:rPr>
        <w:t xml:space="preserve"> número 19, Fraccionamiento Parque Industrial Naucalpan, Naucalpan de Juárez, Estado de México, C.P. 53489. Tel: 53711900 ext. 3015.</w:t>
      </w:r>
    </w:p>
    <w:p w14:paraId="27C6A6BA" w14:textId="77777777" w:rsidR="00140F5B" w:rsidRDefault="00774F15">
      <w:pPr>
        <w:spacing w:before="120" w:after="120" w:line="360" w:lineRule="auto"/>
        <w:ind w:left="851" w:right="1041"/>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0AF6FFD8" w14:textId="77777777" w:rsidR="00140F5B" w:rsidRDefault="00774F15">
      <w:pPr>
        <w:spacing w:before="120" w:after="120" w:line="360" w:lineRule="auto"/>
        <w:ind w:left="851" w:right="1041"/>
        <w:jc w:val="both"/>
        <w:rPr>
          <w:rFonts w:ascii="Palatino Linotype" w:eastAsia="Palatino Linotype" w:hAnsi="Palatino Linotype" w:cs="Palatino Linotype"/>
          <w:i/>
        </w:rPr>
      </w:pPr>
      <w:r>
        <w:rPr>
          <w:rFonts w:ascii="Palatino Linotype" w:eastAsia="Palatino Linotype" w:hAnsi="Palatino Linotype" w:cs="Palatino Linotype"/>
          <w:i/>
        </w:rPr>
        <w:t>LIC. EN DERECHO LIDIA SHIMASAKI MARTINEZ” (Sic).</w:t>
      </w:r>
    </w:p>
    <w:p w14:paraId="40C1C5E1" w14:textId="77777777" w:rsidR="00140F5B" w:rsidRDefault="00774F15">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3.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dieciséis de marzo de dos mil veintidós,</w:t>
      </w:r>
      <w:r>
        <w:rPr>
          <w:rFonts w:ascii="Palatino Linotype" w:eastAsia="Palatino Linotype" w:hAnsi="Palatino Linotype" w:cs="Palatino Linotype"/>
          <w:b/>
          <w:sz w:val="24"/>
          <w:szCs w:val="24"/>
        </w:rPr>
        <w:t xml:space="preserve"> LA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04004/INFOEM/IP/RR/2022</w:t>
      </w:r>
      <w:r>
        <w:rPr>
          <w:rFonts w:ascii="Palatino Linotype" w:eastAsia="Palatino Linotype" w:hAnsi="Palatino Linotype" w:cs="Palatino Linotype"/>
          <w:sz w:val="24"/>
          <w:szCs w:val="24"/>
        </w:rPr>
        <w:t>, en el cual manifiesta, lo siguiente:</w:t>
      </w:r>
    </w:p>
    <w:p w14:paraId="64D11C5B" w14:textId="77777777" w:rsidR="00140F5B" w:rsidRDefault="00774F15">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4539C42C" w14:textId="77777777" w:rsidR="00140F5B" w:rsidRDefault="00774F15">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no contestaron mi solicitud evadiendo la respuesta</w:t>
      </w:r>
      <w:r>
        <w:rPr>
          <w:rFonts w:ascii="Palatino Linotype" w:eastAsia="Palatino Linotype" w:hAnsi="Palatino Linotype" w:cs="Palatino Linotype"/>
          <w:i/>
        </w:rPr>
        <w:t>” [sic]</w:t>
      </w:r>
    </w:p>
    <w:p w14:paraId="5427A227" w14:textId="77777777" w:rsidR="00140F5B" w:rsidRDefault="00774F15">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0F8487AA" w14:textId="77777777" w:rsidR="00140F5B" w:rsidRDefault="00774F15">
      <w:pPr>
        <w:spacing w:line="360" w:lineRule="auto"/>
        <w:ind w:left="851"/>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 xml:space="preserve">no me entregaron la información requerida manifestando que la poder consultar hasta el 15 de abril en una liga” </w:t>
      </w:r>
      <w:r>
        <w:rPr>
          <w:rFonts w:ascii="Palatino Linotype" w:eastAsia="Palatino Linotype" w:hAnsi="Palatino Linotype" w:cs="Palatino Linotype"/>
          <w:i/>
        </w:rPr>
        <w:t>[sic]</w:t>
      </w:r>
    </w:p>
    <w:p w14:paraId="6A5541E6"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Pr>
          <w:rFonts w:ascii="Palatino Linotype" w:eastAsia="Palatino Linotype" w:hAnsi="Palatino Linotype" w:cs="Palatino Linotype"/>
          <w:b/>
          <w:sz w:val="24"/>
          <w:szCs w:val="24"/>
        </w:rPr>
        <w:lastRenderedPageBreak/>
        <w:t>04004/INFOEM/IP/RR/2022</w:t>
      </w:r>
      <w:r>
        <w:rPr>
          <w:rFonts w:ascii="Palatino Linotype" w:eastAsia="Palatino Linotype" w:hAnsi="Palatino Linotype" w:cs="Palatino Linotype"/>
          <w:sz w:val="24"/>
          <w:szCs w:val="24"/>
        </w:rPr>
        <w:t xml:space="preserve"> fue turnado a la Comisionada </w:t>
      </w:r>
      <w:r>
        <w:rPr>
          <w:rFonts w:ascii="Palatino Linotype" w:eastAsia="Palatino Linotype" w:hAnsi="Palatino Linotype" w:cs="Palatino Linotype"/>
          <w:b/>
          <w:sz w:val="24"/>
          <w:szCs w:val="24"/>
        </w:rPr>
        <w:t>Guadalupe Ramírez Peña</w:t>
      </w:r>
      <w:r>
        <w:rPr>
          <w:rFonts w:ascii="Palatino Linotype" w:eastAsia="Palatino Linotype" w:hAnsi="Palatino Linotype" w:cs="Palatino Linotype"/>
          <w:sz w:val="24"/>
          <w:szCs w:val="24"/>
        </w:rPr>
        <w:t>; a efecto de presentar al Pleno el proyecto de resolución correspondiente.</w:t>
      </w:r>
    </w:p>
    <w:p w14:paraId="63CDF6C9" w14:textId="77777777" w:rsidR="00140F5B" w:rsidRDefault="00140F5B">
      <w:pPr>
        <w:spacing w:after="0" w:line="360" w:lineRule="auto"/>
        <w:jc w:val="both"/>
        <w:rPr>
          <w:rFonts w:ascii="Palatino Linotype" w:eastAsia="Palatino Linotype" w:hAnsi="Palatino Linotype" w:cs="Palatino Linotype"/>
          <w:b/>
          <w:sz w:val="24"/>
          <w:szCs w:val="24"/>
        </w:rPr>
      </w:pPr>
    </w:p>
    <w:p w14:paraId="6F815BE0" w14:textId="77777777" w:rsidR="00140F5B" w:rsidRDefault="00774F15">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5. ADMISIÓN. </w:t>
      </w:r>
      <w:r>
        <w:rPr>
          <w:rFonts w:ascii="Palatino Linotype" w:eastAsia="Palatino Linotype" w:hAnsi="Palatino Linotype" w:cs="Palatino Linotype"/>
          <w:sz w:val="24"/>
          <w:szCs w:val="24"/>
        </w:rPr>
        <w:t xml:space="preserve">En fecha </w:t>
      </w:r>
      <w:r>
        <w:rPr>
          <w:rFonts w:ascii="Palatino Linotype" w:eastAsia="Palatino Linotype" w:hAnsi="Palatino Linotype" w:cs="Palatino Linotype"/>
          <w:b/>
          <w:sz w:val="24"/>
          <w:szCs w:val="24"/>
        </w:rPr>
        <w:t>veintidós de marzo de dos mil veintidós</w:t>
      </w:r>
      <w:r>
        <w:rPr>
          <w:rFonts w:ascii="Palatino Linotype" w:eastAsia="Palatino Linotype" w:hAnsi="Palatino Linotype" w:cs="Palatino Linotype"/>
          <w:sz w:val="24"/>
          <w:szCs w:val="24"/>
        </w:rPr>
        <w:t>, en términos de lo dispuesto en el artículo 185 fracciones I, II y IV de la Ley de Transparencia y Acceso a la Información Pública del Estado de México y Municipios, se admitió a trámite el recurso de revisión al rubro indicado</w:t>
      </w:r>
      <w:r>
        <w:rPr>
          <w:rFonts w:ascii="Palatino Linotype" w:eastAsia="Palatino Linotype" w:hAnsi="Palatino Linotype" w:cs="Palatino Linotype"/>
          <w:b/>
          <w:sz w:val="24"/>
          <w:szCs w:val="24"/>
        </w:rPr>
        <w:t>.</w:t>
      </w:r>
    </w:p>
    <w:p w14:paraId="50AE9EEE" w14:textId="77777777" w:rsidR="00140F5B" w:rsidRDefault="00774F15">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202124"/>
          <w:sz w:val="24"/>
          <w:szCs w:val="24"/>
        </w:rPr>
        <w:t xml:space="preserve">6. </w:t>
      </w:r>
      <w:r>
        <w:rPr>
          <w:rFonts w:ascii="Palatino Linotype" w:eastAsia="Palatino Linotype" w:hAnsi="Palatino Linotype" w:cs="Palatino Linotype"/>
          <w:b/>
          <w:sz w:val="24"/>
          <w:szCs w:val="24"/>
        </w:rPr>
        <w:t xml:space="preserve">INFORME JUSTIFICADO O MANIFESTACIONES. </w:t>
      </w:r>
      <w:r>
        <w:rPr>
          <w:rFonts w:ascii="Palatino Linotype" w:eastAsia="Palatino Linotype" w:hAnsi="Palatino Linotype" w:cs="Palatino Linotype"/>
          <w:sz w:val="24"/>
          <w:szCs w:val="24"/>
        </w:rPr>
        <w:t xml:space="preserve">El treinta y uno de marzo de dos mil veintidós,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del siguiente archivo electrónico: </w:t>
      </w:r>
    </w:p>
    <w:p w14:paraId="5613E25B" w14:textId="77777777" w:rsidR="00140F5B" w:rsidRDefault="00774F15">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u w:val="single"/>
        </w:rPr>
        <w:t xml:space="preserve">1 RECURSO DE REVISION 04004.pdf: </w:t>
      </w:r>
      <w:r>
        <w:rPr>
          <w:rFonts w:ascii="Palatino Linotype" w:eastAsia="Palatino Linotype" w:hAnsi="Palatino Linotype" w:cs="Palatino Linotype"/>
          <w:color w:val="000000"/>
          <w:sz w:val="24"/>
          <w:szCs w:val="24"/>
        </w:rPr>
        <w:t xml:space="preserve">Oficio de fecha treinta y uno de marzo de dos mil veintidós signado por la Lic. Lidia </w:t>
      </w:r>
      <w:proofErr w:type="spellStart"/>
      <w:r>
        <w:rPr>
          <w:rFonts w:ascii="Palatino Linotype" w:eastAsia="Palatino Linotype" w:hAnsi="Palatino Linotype" w:cs="Palatino Linotype"/>
          <w:color w:val="000000"/>
          <w:sz w:val="24"/>
          <w:szCs w:val="24"/>
        </w:rPr>
        <w:t>Shimasaki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Martinez</w:t>
      </w:r>
      <w:proofErr w:type="spellEnd"/>
      <w:r>
        <w:rPr>
          <w:rFonts w:ascii="Palatino Linotype" w:eastAsia="Palatino Linotype" w:hAnsi="Palatino Linotype" w:cs="Palatino Linotype"/>
          <w:color w:val="000000"/>
          <w:sz w:val="24"/>
          <w:szCs w:val="24"/>
        </w:rPr>
        <w:t>, Subgerente de Transparencia, mediante el cual describe el expediente electrónico que forma parte del SAIMEX,  así como los argumentos que considero pertinentes para solicitar el sobreseimiento del presente recurso de revisión, por lo que se anexa el primer oficio a manera de ejemplo:</w:t>
      </w:r>
    </w:p>
    <w:p w14:paraId="53DFAB5A" w14:textId="48E0DF77" w:rsidR="00140F5B" w:rsidRDefault="00FF6C4F">
      <w:pPr>
        <w:spacing w:line="360" w:lineRule="auto"/>
        <w:jc w:val="both"/>
        <w:rPr>
          <w:rFonts w:ascii="Palatino Linotype" w:eastAsia="Palatino Linotype" w:hAnsi="Palatino Linotype" w:cs="Palatino Linotype"/>
          <w:color w:val="000000"/>
          <w:sz w:val="24"/>
          <w:szCs w:val="24"/>
        </w:rPr>
      </w:pPr>
      <w:r>
        <w:rPr>
          <w:noProof/>
        </w:rPr>
        <w:lastRenderedPageBreak/>
        <mc:AlternateContent>
          <mc:Choice Requires="wps">
            <w:drawing>
              <wp:anchor distT="0" distB="0" distL="114300" distR="114300" simplePos="0" relativeHeight="251661312" behindDoc="0" locked="0" layoutInCell="1" allowOverlap="1" wp14:anchorId="75E9AC26" wp14:editId="4C0CA552">
                <wp:simplePos x="0" y="0"/>
                <wp:positionH relativeFrom="column">
                  <wp:posOffset>3625215</wp:posOffset>
                </wp:positionH>
                <wp:positionV relativeFrom="paragraph">
                  <wp:posOffset>1478915</wp:posOffset>
                </wp:positionV>
                <wp:extent cx="1133475" cy="238125"/>
                <wp:effectExtent l="0" t="0" r="9525" b="9525"/>
                <wp:wrapNone/>
                <wp:docPr id="1" name="Cuadro de texto 1"/>
                <wp:cNvGraphicFramePr/>
                <a:graphic xmlns:a="http://schemas.openxmlformats.org/drawingml/2006/main">
                  <a:graphicData uri="http://schemas.microsoft.com/office/word/2010/wordprocessingShape">
                    <wps:wsp>
                      <wps:cNvSpPr txBox="1"/>
                      <wps:spPr>
                        <a:xfrm>
                          <a:off x="0" y="0"/>
                          <a:ext cx="1133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7E5CE" w14:textId="6DD3C544" w:rsidR="00FF6C4F" w:rsidRPr="00FF6C4F" w:rsidRDefault="00FF6C4F">
                            <w:pPr>
                              <w:rPr>
                                <w:sz w:val="16"/>
                              </w:rPr>
                            </w:pPr>
                            <w:proofErr w:type="spellStart"/>
                            <w:proofErr w:type="gramStart"/>
                            <w:r w:rsidRPr="00FF6C4F">
                              <w:rPr>
                                <w:rFonts w:ascii="Palatino Linotype" w:eastAsia="Palatino Linotype" w:hAnsi="Palatino Linotype" w:cs="Palatino Linotype"/>
                                <w:sz w:val="18"/>
                                <w:szCs w:val="24"/>
                              </w:rPr>
                              <w:t>xxxxxx</w:t>
                            </w:r>
                            <w:proofErr w:type="spellEnd"/>
                            <w:proofErr w:type="gramEnd"/>
                            <w:r w:rsidRPr="00FF6C4F">
                              <w:rPr>
                                <w:rFonts w:ascii="Palatino Linotype" w:eastAsia="Palatino Linotype" w:hAnsi="Palatino Linotype" w:cs="Palatino Linotype"/>
                                <w:sz w:val="18"/>
                                <w:szCs w:val="24"/>
                              </w:rPr>
                              <w:t xml:space="preserve"> </w:t>
                            </w:r>
                            <w:proofErr w:type="spellStart"/>
                            <w:r w:rsidRPr="00FF6C4F">
                              <w:rPr>
                                <w:rFonts w:ascii="Palatino Linotype" w:eastAsia="Palatino Linotype" w:hAnsi="Palatino Linotype" w:cs="Palatino Linotype"/>
                                <w:sz w:val="18"/>
                                <w:szCs w:val="24"/>
                              </w:rPr>
                              <w:t>xxxxx</w:t>
                            </w:r>
                            <w:proofErr w:type="spellEnd"/>
                            <w:r w:rsidRPr="00FF6C4F">
                              <w:rPr>
                                <w:rFonts w:ascii="Palatino Linotype" w:eastAsia="Palatino Linotype" w:hAnsi="Palatino Linotype" w:cs="Palatino Linotype"/>
                                <w:sz w:val="18"/>
                                <w:szCs w:val="24"/>
                              </w:rPr>
                              <w:t xml:space="preserve"> </w:t>
                            </w:r>
                            <w:proofErr w:type="spellStart"/>
                            <w:r w:rsidRPr="00FF6C4F">
                              <w:rPr>
                                <w:rFonts w:ascii="Palatino Linotype" w:eastAsia="Palatino Linotype" w:hAnsi="Palatino Linotype" w:cs="Palatino Linotype"/>
                                <w:sz w:val="18"/>
                                <w:szCs w:val="24"/>
                              </w:rPr>
                              <w:t>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E9AC26" id="_x0000_t202" coordsize="21600,21600" o:spt="202" path="m,l,21600r21600,l21600,xe">
                <v:stroke joinstyle="miter"/>
                <v:path gradientshapeok="t" o:connecttype="rect"/>
              </v:shapetype>
              <v:shape id="Cuadro de texto 1" o:spid="_x0000_s1026" type="#_x0000_t202" style="position:absolute;left:0;text-align:left;margin-left:285.45pt;margin-top:116.45pt;width:89.25pt;height:1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" fillcolor="white [3201]" stroked="f" strokeweight=".5pt">
                <v:textbox>
                  <w:txbxContent>
                    <w:p w14:paraId="4F27E5CE" w14:textId="6DD3C544" w:rsidR="00FF6C4F" w:rsidRPr="00FF6C4F" w:rsidRDefault="00FF6C4F">
                      <w:pPr>
                        <w:rPr>
                          <w:sz w:val="16"/>
                        </w:rPr>
                      </w:pPr>
                      <w:proofErr w:type="spellStart"/>
                      <w:proofErr w:type="gramStart"/>
                      <w:r w:rsidRPr="00FF6C4F">
                        <w:rPr>
                          <w:rFonts w:ascii="Palatino Linotype" w:eastAsia="Palatino Linotype" w:hAnsi="Palatino Linotype" w:cs="Palatino Linotype"/>
                          <w:sz w:val="18"/>
                          <w:szCs w:val="24"/>
                        </w:rPr>
                        <w:t>xxxxxx</w:t>
                      </w:r>
                      <w:proofErr w:type="spellEnd"/>
                      <w:proofErr w:type="gramEnd"/>
                      <w:r w:rsidRPr="00FF6C4F">
                        <w:rPr>
                          <w:rFonts w:ascii="Palatino Linotype" w:eastAsia="Palatino Linotype" w:hAnsi="Palatino Linotype" w:cs="Palatino Linotype"/>
                          <w:sz w:val="18"/>
                          <w:szCs w:val="24"/>
                        </w:rPr>
                        <w:t xml:space="preserve"> </w:t>
                      </w:r>
                      <w:proofErr w:type="spellStart"/>
                      <w:r w:rsidRPr="00FF6C4F">
                        <w:rPr>
                          <w:rFonts w:ascii="Palatino Linotype" w:eastAsia="Palatino Linotype" w:hAnsi="Palatino Linotype" w:cs="Palatino Linotype"/>
                          <w:sz w:val="18"/>
                          <w:szCs w:val="24"/>
                        </w:rPr>
                        <w:t>xxxxx</w:t>
                      </w:r>
                      <w:proofErr w:type="spellEnd"/>
                      <w:r w:rsidRPr="00FF6C4F">
                        <w:rPr>
                          <w:rFonts w:ascii="Palatino Linotype" w:eastAsia="Palatino Linotype" w:hAnsi="Palatino Linotype" w:cs="Palatino Linotype"/>
                          <w:sz w:val="18"/>
                          <w:szCs w:val="24"/>
                        </w:rPr>
                        <w:t xml:space="preserve"> </w:t>
                      </w:r>
                      <w:proofErr w:type="spellStart"/>
                      <w:r w:rsidRPr="00FF6C4F">
                        <w:rPr>
                          <w:rFonts w:ascii="Palatino Linotype" w:eastAsia="Palatino Linotype" w:hAnsi="Palatino Linotype" w:cs="Palatino Linotype"/>
                          <w:sz w:val="18"/>
                          <w:szCs w:val="24"/>
                        </w:rPr>
                        <w:t>xxxx</w:t>
                      </w:r>
                      <w:proofErr w:type="spellEnd"/>
                    </w:p>
                  </w:txbxContent>
                </v:textbox>
              </v:shape>
            </w:pict>
          </mc:Fallback>
        </mc:AlternateContent>
      </w:r>
      <w:r w:rsidR="00774F15">
        <w:rPr>
          <w:noProof/>
        </w:rPr>
        <w:drawing>
          <wp:inline distT="0" distB="0" distL="0" distR="0" wp14:anchorId="77154184" wp14:editId="057F4AEF">
            <wp:extent cx="5212907" cy="6679037"/>
            <wp:effectExtent l="0" t="0" r="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l="32756" t="17802" r="34657" b="7966"/>
                    <a:stretch>
                      <a:fillRect/>
                    </a:stretch>
                  </pic:blipFill>
                  <pic:spPr>
                    <a:xfrm>
                      <a:off x="0" y="0"/>
                      <a:ext cx="5212907" cy="6679037"/>
                    </a:xfrm>
                    <a:prstGeom prst="rect">
                      <a:avLst/>
                    </a:prstGeom>
                    <a:ln/>
                  </pic:spPr>
                </pic:pic>
              </a:graphicData>
            </a:graphic>
          </wp:inline>
        </w:drawing>
      </w:r>
      <w:bookmarkStart w:id="1" w:name="_GoBack"/>
      <w:bookmarkEnd w:id="1"/>
    </w:p>
    <w:p w14:paraId="46BD83EC" w14:textId="77777777" w:rsidR="00140F5B" w:rsidRDefault="00774F15">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u w:val="single"/>
        </w:rPr>
        <w:lastRenderedPageBreak/>
        <w:t xml:space="preserve">3 STOP.M.UT080.2022.pdf: </w:t>
      </w:r>
      <w:r>
        <w:rPr>
          <w:rFonts w:ascii="Palatino Linotype" w:eastAsia="Palatino Linotype" w:hAnsi="Palatino Linotype" w:cs="Palatino Linotype"/>
          <w:color w:val="000000"/>
          <w:sz w:val="24"/>
          <w:szCs w:val="24"/>
        </w:rPr>
        <w:t xml:space="preserve">Oficio de fecha veintitrés de febrero de dos mil veintidós signado por la Lic. Lidia </w:t>
      </w:r>
      <w:proofErr w:type="spellStart"/>
      <w:r>
        <w:rPr>
          <w:rFonts w:ascii="Palatino Linotype" w:eastAsia="Palatino Linotype" w:hAnsi="Palatino Linotype" w:cs="Palatino Linotype"/>
          <w:color w:val="000000"/>
          <w:sz w:val="24"/>
          <w:szCs w:val="24"/>
        </w:rPr>
        <w:t>Shimasaki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Martinez</w:t>
      </w:r>
      <w:proofErr w:type="spellEnd"/>
      <w:r>
        <w:rPr>
          <w:rFonts w:ascii="Palatino Linotype" w:eastAsia="Palatino Linotype" w:hAnsi="Palatino Linotype" w:cs="Palatino Linotype"/>
          <w:color w:val="000000"/>
          <w:sz w:val="24"/>
          <w:szCs w:val="24"/>
        </w:rPr>
        <w:t>, Subgerente de Transparencia, mediante el cual, solicita a la Directora de Administración y Finanzas, otorgue respuesta a la solicitud de acceso a la información con número de folio 00039/OASNAUCAL/IP/2022, como se observa a continuación:</w:t>
      </w:r>
    </w:p>
    <w:p w14:paraId="6F7AC19C" w14:textId="77777777" w:rsidR="00140F5B" w:rsidRDefault="00774F15">
      <w:pPr>
        <w:spacing w:line="360" w:lineRule="auto"/>
        <w:jc w:val="center"/>
        <w:rPr>
          <w:rFonts w:ascii="Palatino Linotype" w:eastAsia="Palatino Linotype" w:hAnsi="Palatino Linotype" w:cs="Palatino Linotype"/>
          <w:color w:val="000000"/>
          <w:sz w:val="24"/>
          <w:szCs w:val="24"/>
        </w:rPr>
      </w:pPr>
      <w:r>
        <w:rPr>
          <w:noProof/>
        </w:rPr>
        <w:lastRenderedPageBreak/>
        <w:drawing>
          <wp:inline distT="0" distB="0" distL="0" distR="0" wp14:anchorId="7F6A6E8A" wp14:editId="311F9B6B">
            <wp:extent cx="4026505" cy="5118437"/>
            <wp:effectExtent l="0" t="0" r="0" b="0"/>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l="34284" t="20218" r="35675" b="11887"/>
                    <a:stretch>
                      <a:fillRect/>
                    </a:stretch>
                  </pic:blipFill>
                  <pic:spPr>
                    <a:xfrm>
                      <a:off x="0" y="0"/>
                      <a:ext cx="4026505" cy="5118437"/>
                    </a:xfrm>
                    <a:prstGeom prst="rect">
                      <a:avLst/>
                    </a:prstGeom>
                    <a:ln/>
                  </pic:spPr>
                </pic:pic>
              </a:graphicData>
            </a:graphic>
          </wp:inline>
        </w:drawing>
      </w:r>
    </w:p>
    <w:p w14:paraId="53626572" w14:textId="77777777" w:rsidR="00140F5B" w:rsidRDefault="00774F15">
      <w:pPr>
        <w:rPr>
          <w:rFonts w:ascii="Palatino Linotype" w:eastAsia="Palatino Linotype" w:hAnsi="Palatino Linotype" w:cs="Palatino Linotype"/>
          <w:b/>
          <w:i/>
          <w:color w:val="000000"/>
          <w:sz w:val="24"/>
          <w:szCs w:val="24"/>
          <w:u w:val="single"/>
        </w:rPr>
      </w:pPr>
      <w:r>
        <w:rPr>
          <w:noProof/>
        </w:rPr>
        <w:lastRenderedPageBreak/>
        <w:drawing>
          <wp:inline distT="0" distB="0" distL="0" distR="0" wp14:anchorId="249A384E" wp14:editId="4B6ED968">
            <wp:extent cx="5088232" cy="6901280"/>
            <wp:effectExtent l="0" t="0" r="0" b="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34115" t="24140" r="36354" b="4647"/>
                    <a:stretch>
                      <a:fillRect/>
                    </a:stretch>
                  </pic:blipFill>
                  <pic:spPr>
                    <a:xfrm>
                      <a:off x="0" y="0"/>
                      <a:ext cx="5088232" cy="6901280"/>
                    </a:xfrm>
                    <a:prstGeom prst="rect">
                      <a:avLst/>
                    </a:prstGeom>
                    <a:ln/>
                  </pic:spPr>
                </pic:pic>
              </a:graphicData>
            </a:graphic>
          </wp:inline>
        </w:drawing>
      </w:r>
    </w:p>
    <w:p w14:paraId="00DAB649" w14:textId="77777777" w:rsidR="00140F5B" w:rsidRDefault="00774F15">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u w:val="single"/>
        </w:rPr>
        <w:lastRenderedPageBreak/>
        <w:t xml:space="preserve">4 STOP.M.UT.123.2022.pdf: </w:t>
      </w:r>
      <w:r>
        <w:rPr>
          <w:rFonts w:ascii="Palatino Linotype" w:eastAsia="Palatino Linotype" w:hAnsi="Palatino Linotype" w:cs="Palatino Linotype"/>
          <w:color w:val="000000"/>
          <w:sz w:val="24"/>
          <w:szCs w:val="24"/>
        </w:rPr>
        <w:t xml:space="preserve">Oficio de fecha veintitrés de febrero de dos mil veintidós signado por la Lic. Lidia </w:t>
      </w:r>
      <w:proofErr w:type="spellStart"/>
      <w:r>
        <w:rPr>
          <w:rFonts w:ascii="Palatino Linotype" w:eastAsia="Palatino Linotype" w:hAnsi="Palatino Linotype" w:cs="Palatino Linotype"/>
          <w:color w:val="000000"/>
          <w:sz w:val="24"/>
          <w:szCs w:val="24"/>
        </w:rPr>
        <w:t>Shimasaki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Martinez</w:t>
      </w:r>
      <w:proofErr w:type="spellEnd"/>
      <w:r>
        <w:rPr>
          <w:rFonts w:ascii="Palatino Linotype" w:eastAsia="Palatino Linotype" w:hAnsi="Palatino Linotype" w:cs="Palatino Linotype"/>
          <w:color w:val="000000"/>
          <w:sz w:val="24"/>
          <w:szCs w:val="24"/>
        </w:rPr>
        <w:t>, Subgerente de Transparencia, mediante el cual, solicita a la Directora de Administración y Finanzas, realice las manifestaciones que considere pertinentes para atender el presente recurso de revisión a efecto de confirmar o modificar su respuesta, por lo cual se procede a adjuntar el oficio en mención:</w:t>
      </w:r>
    </w:p>
    <w:p w14:paraId="618FC943" w14:textId="77777777" w:rsidR="00140F5B" w:rsidRDefault="00774F15">
      <w:pPr>
        <w:spacing w:line="360" w:lineRule="auto"/>
        <w:jc w:val="both"/>
        <w:rPr>
          <w:rFonts w:ascii="Palatino Linotype" w:eastAsia="Palatino Linotype" w:hAnsi="Palatino Linotype" w:cs="Palatino Linotype"/>
          <w:b/>
          <w:i/>
          <w:color w:val="000000"/>
          <w:sz w:val="24"/>
          <w:szCs w:val="24"/>
          <w:u w:val="single"/>
        </w:rPr>
      </w:pPr>
      <w:r>
        <w:rPr>
          <w:noProof/>
        </w:rPr>
        <w:lastRenderedPageBreak/>
        <w:drawing>
          <wp:inline distT="0" distB="0" distL="0" distR="0" wp14:anchorId="76975926" wp14:editId="2743F600">
            <wp:extent cx="4981663" cy="6594224"/>
            <wp:effectExtent l="0" t="0" r="0" b="0"/>
            <wp:docPr id="3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l="34792" t="19916" r="35845" b="10982"/>
                    <a:stretch>
                      <a:fillRect/>
                    </a:stretch>
                  </pic:blipFill>
                  <pic:spPr>
                    <a:xfrm>
                      <a:off x="0" y="0"/>
                      <a:ext cx="4981663" cy="6594224"/>
                    </a:xfrm>
                    <a:prstGeom prst="rect">
                      <a:avLst/>
                    </a:prstGeom>
                    <a:ln/>
                  </pic:spPr>
                </pic:pic>
              </a:graphicData>
            </a:graphic>
          </wp:inline>
        </w:drawing>
      </w:r>
    </w:p>
    <w:p w14:paraId="6428F8C3" w14:textId="77777777" w:rsidR="00140F5B" w:rsidRDefault="00774F15">
      <w:pPr>
        <w:spacing w:line="360" w:lineRule="auto"/>
        <w:jc w:val="both"/>
        <w:rPr>
          <w:rFonts w:ascii="Palatino Linotype" w:eastAsia="Palatino Linotype" w:hAnsi="Palatino Linotype" w:cs="Palatino Linotype"/>
          <w:b/>
          <w:i/>
          <w:color w:val="000000"/>
          <w:sz w:val="24"/>
          <w:szCs w:val="24"/>
          <w:u w:val="single"/>
        </w:rPr>
      </w:pPr>
      <w:r>
        <w:rPr>
          <w:noProof/>
        </w:rPr>
        <w:lastRenderedPageBreak/>
        <w:drawing>
          <wp:inline distT="0" distB="0" distL="0" distR="0" wp14:anchorId="754126C1" wp14:editId="5F78A243">
            <wp:extent cx="5585701" cy="6870114"/>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33774" t="26855" r="34487" b="3742"/>
                    <a:stretch>
                      <a:fillRect/>
                    </a:stretch>
                  </pic:blipFill>
                  <pic:spPr>
                    <a:xfrm>
                      <a:off x="0" y="0"/>
                      <a:ext cx="5585701" cy="6870114"/>
                    </a:xfrm>
                    <a:prstGeom prst="rect">
                      <a:avLst/>
                    </a:prstGeom>
                    <a:ln/>
                  </pic:spPr>
                </pic:pic>
              </a:graphicData>
            </a:graphic>
          </wp:inline>
        </w:drawing>
      </w:r>
    </w:p>
    <w:p w14:paraId="12DC4BF3" w14:textId="77777777" w:rsidR="00140F5B" w:rsidRDefault="00774F15">
      <w:pPr>
        <w:spacing w:after="0"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u w:val="single"/>
        </w:rPr>
        <w:lastRenderedPageBreak/>
        <w:t xml:space="preserve">2 NOMBRAMIENTO LIDIA SHIMASAKI MARTINEZ.pdf: </w:t>
      </w:r>
      <w:r>
        <w:rPr>
          <w:rFonts w:ascii="Palatino Linotype" w:eastAsia="Palatino Linotype" w:hAnsi="Palatino Linotype" w:cs="Palatino Linotype"/>
          <w:color w:val="000000"/>
          <w:sz w:val="24"/>
          <w:szCs w:val="24"/>
        </w:rPr>
        <w:t xml:space="preserve">Nombramiento de Lidia </w:t>
      </w:r>
      <w:proofErr w:type="spellStart"/>
      <w:r>
        <w:rPr>
          <w:rFonts w:ascii="Palatino Linotype" w:eastAsia="Palatino Linotype" w:hAnsi="Palatino Linotype" w:cs="Palatino Linotype"/>
          <w:color w:val="000000"/>
          <w:sz w:val="24"/>
          <w:szCs w:val="24"/>
        </w:rPr>
        <w:t>Shimasaki</w:t>
      </w:r>
      <w:proofErr w:type="spellEnd"/>
      <w:r>
        <w:rPr>
          <w:rFonts w:ascii="Palatino Linotype" w:eastAsia="Palatino Linotype" w:hAnsi="Palatino Linotype" w:cs="Palatino Linotype"/>
          <w:color w:val="000000"/>
          <w:sz w:val="24"/>
          <w:szCs w:val="24"/>
        </w:rPr>
        <w:t xml:space="preserve"> Martínez, Subgerente de Transparencia:</w:t>
      </w:r>
    </w:p>
    <w:p w14:paraId="285A6D77" w14:textId="77777777" w:rsidR="00140F5B" w:rsidRDefault="00774F15">
      <w:pPr>
        <w:spacing w:after="0" w:line="360" w:lineRule="auto"/>
        <w:jc w:val="center"/>
      </w:pPr>
      <w:r>
        <w:rPr>
          <w:noProof/>
        </w:rPr>
        <w:drawing>
          <wp:inline distT="0" distB="0" distL="0" distR="0" wp14:anchorId="31F5D0C3" wp14:editId="3E569C4F">
            <wp:extent cx="3714635" cy="5924607"/>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36660" t="16898" r="36524" b="7061"/>
                    <a:stretch>
                      <a:fillRect/>
                    </a:stretch>
                  </pic:blipFill>
                  <pic:spPr>
                    <a:xfrm>
                      <a:off x="0" y="0"/>
                      <a:ext cx="3714635" cy="5924607"/>
                    </a:xfrm>
                    <a:prstGeom prst="rect">
                      <a:avLst/>
                    </a:prstGeom>
                    <a:ln/>
                  </pic:spPr>
                </pic:pic>
              </a:graphicData>
            </a:graphic>
          </wp:inline>
        </w:drawing>
      </w:r>
    </w:p>
    <w:p w14:paraId="30262CF2" w14:textId="77777777" w:rsidR="00140F5B" w:rsidRDefault="00774F15">
      <w:pPr>
        <w:spacing w:after="0" w:line="360" w:lineRule="auto"/>
        <w:jc w:val="both"/>
      </w:pPr>
      <w:r>
        <w:rPr>
          <w:rFonts w:ascii="Palatino Linotype" w:eastAsia="Palatino Linotype" w:hAnsi="Palatino Linotype" w:cs="Palatino Linotype"/>
          <w:b/>
          <w:i/>
          <w:color w:val="000000"/>
          <w:sz w:val="24"/>
          <w:szCs w:val="24"/>
          <w:u w:val="single"/>
        </w:rPr>
        <w:lastRenderedPageBreak/>
        <w:t xml:space="preserve">5 DAF-340-2022.pdf: </w:t>
      </w:r>
      <w:r>
        <w:rPr>
          <w:rFonts w:ascii="Palatino Linotype" w:eastAsia="Palatino Linotype" w:hAnsi="Palatino Linotype" w:cs="Palatino Linotype"/>
          <w:color w:val="000000"/>
          <w:sz w:val="24"/>
          <w:szCs w:val="24"/>
        </w:rPr>
        <w:t xml:space="preserve">Oficio de fecha veintinueve de marzo de dos mil veintidós signado por María Antonieta Becerril Ayala, Directora de Administración y Finanzas, mediante el cual menciona que otorga a la respuesta recurrida por la particular, en donde expresa que entregara la información cuando esté debidamente verificada por el Órgano Superior de Fiscalización, ya que la información es generada de manera trimestral, por lo que adjunta la liga electrónica que dirige al IPOMEX,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misma que podrá visualizar una vez sea cargada en el periodo correspondiente.</w:t>
      </w:r>
    </w:p>
    <w:p w14:paraId="43971B07" w14:textId="77777777" w:rsidR="00140F5B" w:rsidRDefault="00774F15">
      <w:pPr>
        <w:jc w:val="center"/>
      </w:pPr>
      <w:r>
        <w:rPr>
          <w:noProof/>
        </w:rPr>
        <w:lastRenderedPageBreak/>
        <w:drawing>
          <wp:inline distT="0" distB="0" distL="0" distR="0" wp14:anchorId="1BB769E1" wp14:editId="666594C8">
            <wp:extent cx="3278801" cy="4230272"/>
            <wp:effectExtent l="0" t="0" r="0" b="0"/>
            <wp:docPr id="3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l="33775" t="15993" r="35573" b="13698"/>
                    <a:stretch>
                      <a:fillRect/>
                    </a:stretch>
                  </pic:blipFill>
                  <pic:spPr>
                    <a:xfrm>
                      <a:off x="0" y="0"/>
                      <a:ext cx="3278801" cy="4230272"/>
                    </a:xfrm>
                    <a:prstGeom prst="rect">
                      <a:avLst/>
                    </a:prstGeom>
                    <a:ln/>
                  </pic:spPr>
                </pic:pic>
              </a:graphicData>
            </a:graphic>
          </wp:inline>
        </w:drawing>
      </w:r>
    </w:p>
    <w:p w14:paraId="16F4B097" w14:textId="77777777" w:rsidR="00140F5B" w:rsidRDefault="00774F15">
      <w:r>
        <w:rPr>
          <w:noProof/>
        </w:rPr>
        <w:lastRenderedPageBreak/>
        <w:drawing>
          <wp:inline distT="0" distB="0" distL="0" distR="0" wp14:anchorId="6209B7C3" wp14:editId="29DB9E64">
            <wp:extent cx="5604084" cy="5314188"/>
            <wp:effectExtent l="0" t="0" r="0" b="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l="33949" t="44020" r="35118" b="3827"/>
                    <a:stretch>
                      <a:fillRect/>
                    </a:stretch>
                  </pic:blipFill>
                  <pic:spPr>
                    <a:xfrm rot="10800000">
                      <a:off x="0" y="0"/>
                      <a:ext cx="5604084" cy="5314188"/>
                    </a:xfrm>
                    <a:prstGeom prst="rect">
                      <a:avLst/>
                    </a:prstGeom>
                    <a:ln/>
                  </pic:spPr>
                </pic:pic>
              </a:graphicData>
            </a:graphic>
          </wp:inline>
        </w:drawing>
      </w:r>
    </w:p>
    <w:p w14:paraId="44274A8D"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7. AMPLIACIÓN DEL PLAZO PARA EMITIR RESOLUCIÓN</w:t>
      </w:r>
      <w:r>
        <w:rPr>
          <w:rFonts w:ascii="Palatino Linotype" w:eastAsia="Palatino Linotype" w:hAnsi="Palatino Linotype" w:cs="Palatino Linotype"/>
          <w:sz w:val="24"/>
          <w:szCs w:val="24"/>
        </w:rPr>
        <w:t>. En fecha veintiocho de junio de dos mil veintidós, se amplió el término para resolver el recurso de revisión en términos del artículo 181 párrafo tercero de la Ley de Transparencia y Acceso a la Información Pública del Estado de México y Municipios.</w:t>
      </w:r>
    </w:p>
    <w:p w14:paraId="3263D7D1"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Este organismo garante no pasa por alto justificar, que el plazo pare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B5B498A" w14:textId="77777777" w:rsidR="00140F5B" w:rsidRDefault="00140F5B">
      <w:pPr>
        <w:spacing w:after="0" w:line="360" w:lineRule="auto"/>
        <w:jc w:val="both"/>
        <w:rPr>
          <w:rFonts w:ascii="Palatino Linotype" w:eastAsia="Palatino Linotype" w:hAnsi="Palatino Linotype" w:cs="Palatino Linotype"/>
          <w:sz w:val="24"/>
          <w:szCs w:val="24"/>
        </w:rPr>
      </w:pPr>
    </w:p>
    <w:p w14:paraId="3820FA17"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4271EB8" w14:textId="77777777" w:rsidR="00140F5B" w:rsidRDefault="00140F5B">
      <w:pPr>
        <w:spacing w:after="0" w:line="360" w:lineRule="auto"/>
        <w:jc w:val="both"/>
        <w:rPr>
          <w:rFonts w:ascii="Palatino Linotype" w:eastAsia="Palatino Linotype" w:hAnsi="Palatino Linotype" w:cs="Palatino Linotype"/>
          <w:sz w:val="24"/>
          <w:szCs w:val="24"/>
        </w:rPr>
      </w:pPr>
    </w:p>
    <w:p w14:paraId="4BD254EE"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11115D" w14:textId="77777777" w:rsidR="00140F5B" w:rsidRDefault="00140F5B">
      <w:pPr>
        <w:spacing w:after="0" w:line="360" w:lineRule="auto"/>
        <w:jc w:val="both"/>
        <w:rPr>
          <w:rFonts w:ascii="Palatino Linotype" w:eastAsia="Palatino Linotype" w:hAnsi="Palatino Linotype" w:cs="Palatino Linotype"/>
          <w:sz w:val="24"/>
          <w:szCs w:val="24"/>
        </w:rPr>
      </w:pPr>
    </w:p>
    <w:p w14:paraId="2CD413FF"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F0FF719" w14:textId="77777777" w:rsidR="00140F5B" w:rsidRDefault="00140F5B">
      <w:pPr>
        <w:spacing w:after="0" w:line="360" w:lineRule="auto"/>
        <w:jc w:val="both"/>
        <w:rPr>
          <w:rFonts w:ascii="Palatino Linotype" w:eastAsia="Palatino Linotype" w:hAnsi="Palatino Linotype" w:cs="Palatino Linotype"/>
          <w:sz w:val="24"/>
          <w:szCs w:val="24"/>
        </w:rPr>
      </w:pPr>
    </w:p>
    <w:p w14:paraId="028775A5" w14:textId="77777777" w:rsidR="00140F5B" w:rsidRDefault="00774F15">
      <w:pPr>
        <w:spacing w:after="0" w:line="360" w:lineRule="auto"/>
        <w:jc w:val="both"/>
        <w:rPr>
          <w:rFonts w:ascii="Palatino Linotype" w:eastAsia="Palatino Linotype" w:hAnsi="Palatino Linotype" w:cs="Palatino Linotype"/>
          <w:strike/>
          <w:color w:val="FF0000"/>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w:t>
      </w:r>
      <w:proofErr w:type="gramStart"/>
      <w:r>
        <w:rPr>
          <w:rFonts w:ascii="Palatino Linotype" w:eastAsia="Palatino Linotype" w:hAnsi="Palatino Linotype" w:cs="Palatino Linotype"/>
          <w:sz w:val="24"/>
          <w:szCs w:val="24"/>
        </w:rPr>
        <w:t>su resolución atentos</w:t>
      </w:r>
      <w:proofErr w:type="gramEnd"/>
      <w:r>
        <w:rPr>
          <w:rFonts w:ascii="Palatino Linotype" w:eastAsia="Palatino Linotype" w:hAnsi="Palatino Linotype" w:cs="Palatino Linotype"/>
          <w:sz w:val="24"/>
          <w:szCs w:val="24"/>
        </w:rPr>
        <w:t xml:space="preserve"> a los siguientes criterios: </w:t>
      </w:r>
    </w:p>
    <w:p w14:paraId="21B8DC36" w14:textId="77777777" w:rsidR="00140F5B" w:rsidRDefault="00140F5B">
      <w:pPr>
        <w:spacing w:after="0" w:line="360" w:lineRule="auto"/>
        <w:jc w:val="both"/>
        <w:rPr>
          <w:rFonts w:ascii="Palatino Linotype" w:eastAsia="Palatino Linotype" w:hAnsi="Palatino Linotype" w:cs="Palatino Linotype"/>
          <w:sz w:val="24"/>
          <w:szCs w:val="24"/>
        </w:rPr>
      </w:pPr>
    </w:p>
    <w:p w14:paraId="4BE4CFF9" w14:textId="77777777" w:rsidR="00140F5B" w:rsidRDefault="00774F15">
      <w:pPr>
        <w:numPr>
          <w:ilvl w:val="0"/>
          <w:numId w:val="1"/>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240B5176" w14:textId="77777777" w:rsidR="00140F5B" w:rsidRDefault="00140F5B">
      <w:pPr>
        <w:spacing w:after="0" w:line="360" w:lineRule="auto"/>
        <w:ind w:left="927"/>
        <w:jc w:val="both"/>
        <w:rPr>
          <w:rFonts w:ascii="Palatino Linotype" w:eastAsia="Palatino Linotype" w:hAnsi="Palatino Linotype" w:cs="Palatino Linotype"/>
          <w:sz w:val="24"/>
          <w:szCs w:val="24"/>
        </w:rPr>
      </w:pPr>
    </w:p>
    <w:p w14:paraId="6140D2B7" w14:textId="77777777" w:rsidR="00140F5B" w:rsidRDefault="00774F15">
      <w:pPr>
        <w:numPr>
          <w:ilvl w:val="0"/>
          <w:numId w:val="1"/>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Actividad Procesal del interesado. Acciones u omisiones del interesado.</w:t>
      </w:r>
    </w:p>
    <w:p w14:paraId="0EE08ED3" w14:textId="77777777" w:rsidR="00140F5B" w:rsidRDefault="00140F5B">
      <w:pPr>
        <w:spacing w:after="0" w:line="360" w:lineRule="auto"/>
        <w:jc w:val="both"/>
        <w:rPr>
          <w:rFonts w:ascii="Palatino Linotype" w:eastAsia="Palatino Linotype" w:hAnsi="Palatino Linotype" w:cs="Palatino Linotype"/>
          <w:sz w:val="24"/>
          <w:szCs w:val="24"/>
        </w:rPr>
      </w:pPr>
    </w:p>
    <w:p w14:paraId="57D3EE0C" w14:textId="77777777" w:rsidR="00140F5B" w:rsidRDefault="00774F15">
      <w:pPr>
        <w:numPr>
          <w:ilvl w:val="0"/>
          <w:numId w:val="1"/>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78602171" w14:textId="77777777" w:rsidR="00140F5B" w:rsidRDefault="00140F5B">
      <w:pPr>
        <w:spacing w:after="0" w:line="360" w:lineRule="auto"/>
        <w:ind w:left="708"/>
        <w:rPr>
          <w:rFonts w:ascii="Palatino Linotype" w:eastAsia="Palatino Linotype" w:hAnsi="Palatino Linotype" w:cs="Palatino Linotype"/>
          <w:sz w:val="24"/>
          <w:szCs w:val="24"/>
        </w:rPr>
      </w:pPr>
    </w:p>
    <w:p w14:paraId="1AEFD926" w14:textId="77777777" w:rsidR="00140F5B" w:rsidRDefault="00774F15">
      <w:pPr>
        <w:spacing w:after="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7E6A4C42" w14:textId="77777777" w:rsidR="00140F5B" w:rsidRDefault="00140F5B">
      <w:pPr>
        <w:spacing w:after="0" w:line="360" w:lineRule="auto"/>
        <w:jc w:val="both"/>
        <w:rPr>
          <w:rFonts w:ascii="Palatino Linotype" w:eastAsia="Palatino Linotype" w:hAnsi="Palatino Linotype" w:cs="Palatino Linotype"/>
          <w:sz w:val="24"/>
          <w:szCs w:val="24"/>
        </w:rPr>
      </w:pPr>
    </w:p>
    <w:p w14:paraId="4EFC8ECA"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9FEBD50" w14:textId="77777777" w:rsidR="00140F5B" w:rsidRDefault="00140F5B">
      <w:pPr>
        <w:spacing w:after="0" w:line="360" w:lineRule="auto"/>
        <w:jc w:val="both"/>
        <w:rPr>
          <w:rFonts w:ascii="Palatino Linotype" w:eastAsia="Palatino Linotype" w:hAnsi="Palatino Linotype" w:cs="Palatino Linotype"/>
          <w:sz w:val="24"/>
          <w:szCs w:val="24"/>
        </w:rPr>
      </w:pPr>
    </w:p>
    <w:p w14:paraId="4CB18F69" w14:textId="77777777" w:rsidR="00140F5B" w:rsidRDefault="00774F15">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Argumento que encuentra sustento en la jurisprudencia P</w:t>
      </w:r>
      <w:proofErr w:type="gramStart"/>
      <w:r>
        <w:rPr>
          <w:rFonts w:ascii="Palatino Linotype" w:eastAsia="Palatino Linotype" w:hAnsi="Palatino Linotype" w:cs="Palatino Linotype"/>
          <w:sz w:val="24"/>
          <w:szCs w:val="24"/>
        </w:rPr>
        <w:t>./</w:t>
      </w:r>
      <w:proofErr w:type="gramEnd"/>
      <w:r>
        <w:rPr>
          <w:rFonts w:ascii="Palatino Linotype" w:eastAsia="Palatino Linotype" w:hAnsi="Palatino Linotype" w:cs="Palatino Linotype"/>
          <w:sz w:val="24"/>
          <w:szCs w:val="24"/>
        </w:rPr>
        <w:t xml:space="preserve">J. 32/92 emitida por el Pleno de la Suprema Corte de Justicia de la Nación de rubro </w:t>
      </w:r>
      <w:r>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14:paraId="52D797D2" w14:textId="77777777" w:rsidR="00140F5B" w:rsidRDefault="00140F5B">
      <w:pPr>
        <w:spacing w:after="0" w:line="360" w:lineRule="auto"/>
        <w:jc w:val="both"/>
        <w:rPr>
          <w:rFonts w:ascii="Palatino Linotype" w:eastAsia="Palatino Linotype" w:hAnsi="Palatino Linotype" w:cs="Palatino Linotype"/>
          <w:sz w:val="24"/>
          <w:szCs w:val="24"/>
        </w:rPr>
      </w:pPr>
    </w:p>
    <w:p w14:paraId="33E8239D"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Pr>
          <w:rFonts w:ascii="Palatino Linotype" w:eastAsia="Palatino Linotype" w:hAnsi="Palatino Linotype" w:cs="Palatino Linotype"/>
          <w:sz w:val="24"/>
          <w:szCs w:val="24"/>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6BAB0D15"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1C21D0AC" w14:textId="77777777" w:rsidR="00140F5B" w:rsidRDefault="00140F5B">
      <w:pPr>
        <w:spacing w:after="0" w:line="360" w:lineRule="auto"/>
        <w:jc w:val="both"/>
        <w:rPr>
          <w:rFonts w:ascii="Palatino Linotype" w:eastAsia="Palatino Linotype" w:hAnsi="Palatino Linotype" w:cs="Palatino Linotype"/>
          <w:sz w:val="24"/>
          <w:szCs w:val="24"/>
        </w:rPr>
      </w:pPr>
    </w:p>
    <w:p w14:paraId="584F1BA4"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14:paraId="6DE45584" w14:textId="77777777" w:rsidR="00140F5B" w:rsidRDefault="00140F5B">
      <w:pPr>
        <w:spacing w:after="0" w:line="360" w:lineRule="auto"/>
        <w:jc w:val="both"/>
        <w:rPr>
          <w:rFonts w:ascii="Palatino Linotype" w:eastAsia="Palatino Linotype" w:hAnsi="Palatino Linotype" w:cs="Palatino Linotype"/>
          <w:b/>
          <w:sz w:val="24"/>
          <w:szCs w:val="24"/>
        </w:rPr>
      </w:pPr>
    </w:p>
    <w:p w14:paraId="6BB19B37"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Pr>
          <w:rFonts w:ascii="Palatino Linotype" w:eastAsia="Palatino Linotype" w:hAnsi="Palatino Linotype" w:cs="Palatino Linotype"/>
          <w:sz w:val="24"/>
          <w:szCs w:val="24"/>
        </w:rPr>
        <w:t>, visible en el Seminario Judicial de la Federación y su gaceta, con el registro digital 2002350.</w:t>
      </w:r>
    </w:p>
    <w:p w14:paraId="179C8D56"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este organismo garante comprometido con la tutela de los derechos humanos confiados, señala que este plazo legal para resolver el presente asunto, resulta de carácter excepcional.</w:t>
      </w:r>
    </w:p>
    <w:p w14:paraId="6BE6D58F" w14:textId="77777777" w:rsidR="00140F5B" w:rsidRDefault="00140F5B">
      <w:pPr>
        <w:spacing w:after="0" w:line="360" w:lineRule="auto"/>
        <w:jc w:val="both"/>
        <w:rPr>
          <w:rFonts w:ascii="Palatino Linotype" w:eastAsia="Palatino Linotype" w:hAnsi="Palatino Linotype" w:cs="Palatino Linotype"/>
          <w:sz w:val="24"/>
          <w:szCs w:val="24"/>
        </w:rPr>
      </w:pPr>
    </w:p>
    <w:p w14:paraId="119BCD6E"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8. CIERRE DE INSTRUCCIÓN. </w:t>
      </w:r>
      <w:r>
        <w:rPr>
          <w:rFonts w:ascii="Palatino Linotype" w:eastAsia="Palatino Linotype" w:hAnsi="Palatino Linotype" w:cs="Palatino Linotype"/>
          <w:sz w:val="24"/>
          <w:szCs w:val="24"/>
        </w:rPr>
        <w:t xml:space="preserve">En fecha treinta </w:t>
      </w:r>
      <w:r>
        <w:rPr>
          <w:rFonts w:ascii="Palatino Linotype" w:eastAsia="Palatino Linotype" w:hAnsi="Palatino Linotype" w:cs="Palatino Linotype"/>
          <w:b/>
          <w:sz w:val="24"/>
          <w:szCs w:val="24"/>
        </w:rPr>
        <w:t>de junio de dos mil veintidós</w:t>
      </w:r>
      <w:r>
        <w:rPr>
          <w:rFonts w:ascii="Palatino Linotype" w:eastAsia="Palatino Linotype" w:hAnsi="Palatino Linotype" w:cs="Palatino Linotype"/>
          <w:sz w:val="24"/>
          <w:szCs w:val="24"/>
        </w:rPr>
        <w:t>,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sustanciados el medios de impugnación se acordó el cierre de instrucción y se procede a formular la resolución que en derecho corresponda.</w:t>
      </w:r>
    </w:p>
    <w:p w14:paraId="2124BFD1" w14:textId="77777777" w:rsidR="00140F5B" w:rsidRDefault="00140F5B">
      <w:pPr>
        <w:spacing w:after="0" w:line="360" w:lineRule="auto"/>
        <w:jc w:val="both"/>
        <w:rPr>
          <w:rFonts w:ascii="Palatino Linotype" w:eastAsia="Palatino Linotype" w:hAnsi="Palatino Linotype" w:cs="Palatino Linotype"/>
          <w:color w:val="FF0000"/>
          <w:sz w:val="24"/>
          <w:szCs w:val="24"/>
        </w:rPr>
      </w:pPr>
    </w:p>
    <w:p w14:paraId="19DF7A03"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14:paraId="2D588AB3" w14:textId="77777777" w:rsidR="00140F5B" w:rsidRDefault="00140F5B">
      <w:pPr>
        <w:spacing w:after="80" w:line="360" w:lineRule="auto"/>
        <w:jc w:val="both"/>
      </w:pPr>
    </w:p>
    <w:p w14:paraId="38CDC50D" w14:textId="77777777" w:rsidR="00140F5B" w:rsidRDefault="00774F15">
      <w:pPr>
        <w:spacing w:before="80" w:after="12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CONSIDERANDOS:</w:t>
      </w:r>
    </w:p>
    <w:p w14:paraId="490D5D43" w14:textId="77777777" w:rsidR="00140F5B" w:rsidRDefault="00140F5B">
      <w:pPr>
        <w:spacing w:before="120" w:after="0" w:line="360" w:lineRule="auto"/>
        <w:jc w:val="both"/>
        <w:rPr>
          <w:rFonts w:ascii="Palatino Linotype" w:eastAsia="Palatino Linotype" w:hAnsi="Palatino Linotype" w:cs="Palatino Linotype"/>
          <w:b/>
          <w:sz w:val="24"/>
          <w:szCs w:val="24"/>
        </w:rPr>
      </w:pPr>
    </w:p>
    <w:p w14:paraId="20BFAF81"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COMPETENCIA.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w:t>
      </w:r>
      <w:r>
        <w:rPr>
          <w:rFonts w:ascii="Palatino Linotype" w:eastAsia="Palatino Linotype" w:hAnsi="Palatino Linotype" w:cs="Palatino Linotype"/>
          <w:sz w:val="24"/>
          <w:szCs w:val="24"/>
        </w:rPr>
        <w:lastRenderedPageBreak/>
        <w:t>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4BCAB5F" w14:textId="77777777" w:rsidR="00140F5B" w:rsidRDefault="00140F5B">
      <w:pPr>
        <w:spacing w:after="0" w:line="360" w:lineRule="auto"/>
        <w:jc w:val="both"/>
        <w:rPr>
          <w:rFonts w:ascii="Palatino Linotype" w:eastAsia="Palatino Linotype" w:hAnsi="Palatino Linotype" w:cs="Palatino Linotype"/>
          <w:b/>
          <w:sz w:val="24"/>
          <w:szCs w:val="24"/>
        </w:rPr>
      </w:pPr>
    </w:p>
    <w:p w14:paraId="05074E9B"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 OPORTUNIDAD Y PROCEDIBILIDAD DEL RECURSO DE REVISIÓN</w:t>
      </w:r>
      <w:r>
        <w:rPr>
          <w:rFonts w:ascii="Palatino Linotype" w:eastAsia="Palatino Linotype" w:hAnsi="Palatino Linotype" w:cs="Palatino Linotype"/>
          <w:sz w:val="24"/>
          <w:szCs w:val="24"/>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045F43CA" w14:textId="77777777" w:rsidR="00140F5B" w:rsidRDefault="00140F5B">
      <w:pPr>
        <w:spacing w:after="0" w:line="360" w:lineRule="auto"/>
        <w:jc w:val="both"/>
        <w:rPr>
          <w:rFonts w:ascii="Palatino Linotype" w:eastAsia="Palatino Linotype" w:hAnsi="Palatino Linotype" w:cs="Palatino Linotype"/>
          <w:sz w:val="24"/>
          <w:szCs w:val="24"/>
        </w:rPr>
      </w:pPr>
    </w:p>
    <w:p w14:paraId="55B847B1" w14:textId="77777777" w:rsidR="00140F5B" w:rsidRDefault="00774F15">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remitió la respuesta a las solicitud de información el día </w:t>
      </w:r>
      <w:proofErr w:type="spellStart"/>
      <w:r>
        <w:rPr>
          <w:rFonts w:ascii="Palatino Linotype" w:eastAsia="Palatino Linotype" w:hAnsi="Palatino Linotype" w:cs="Palatino Linotype"/>
          <w:b/>
          <w:sz w:val="24"/>
          <w:szCs w:val="24"/>
        </w:rPr>
        <w:t>dieciseis</w:t>
      </w:r>
      <w:proofErr w:type="spellEnd"/>
      <w:r>
        <w:rPr>
          <w:rFonts w:ascii="Palatino Linotype" w:eastAsia="Palatino Linotype" w:hAnsi="Palatino Linotype" w:cs="Palatino Linotype"/>
          <w:b/>
          <w:sz w:val="24"/>
          <w:szCs w:val="24"/>
        </w:rPr>
        <w:t xml:space="preserve"> de marzo de dos mil veintidós, </w:t>
      </w:r>
      <w:r>
        <w:rPr>
          <w:rFonts w:ascii="Palatino Linotype" w:eastAsia="Palatino Linotype" w:hAnsi="Palatino Linotype" w:cs="Palatino Linotype"/>
          <w:sz w:val="24"/>
          <w:szCs w:val="24"/>
        </w:rPr>
        <w:t xml:space="preserve">mientras que la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interpuso el recurso de revisión en la misma fecha que se pronunció la respuesta, </w:t>
      </w:r>
      <w:r>
        <w:rPr>
          <w:rFonts w:ascii="Palatino Linotype" w:eastAsia="Palatino Linotype" w:hAnsi="Palatino Linotype" w:cs="Palatino Linotype"/>
          <w:color w:val="000000"/>
          <w:sz w:val="24"/>
          <w:szCs w:val="24"/>
        </w:rPr>
        <w:t xml:space="preserve">circunstancia que no es determinante para declararlo extemporáneo, toda vez que el tiempo concedido es para delimitar </w:t>
      </w:r>
      <w:r>
        <w:rPr>
          <w:rFonts w:ascii="Palatino Linotype" w:eastAsia="Palatino Linotype" w:hAnsi="Palatino Linotype" w:cs="Palatino Linotype"/>
          <w:color w:val="000000"/>
          <w:sz w:val="24"/>
          <w:szCs w:val="24"/>
        </w:rPr>
        <w:lastRenderedPageBreak/>
        <w:t>el término en que puede impugnarse la respuesta, lo cual no impide que se presente antes de iniciado el plazo previsto, una vez conocida la respuesta.</w:t>
      </w:r>
    </w:p>
    <w:p w14:paraId="19A32AB1" w14:textId="77777777" w:rsidR="00140F5B" w:rsidRDefault="00140F5B">
      <w:pPr>
        <w:spacing w:after="0" w:line="360" w:lineRule="auto"/>
        <w:jc w:val="both"/>
        <w:rPr>
          <w:rFonts w:ascii="Palatino Linotype" w:eastAsia="Palatino Linotype" w:hAnsi="Palatino Linotype" w:cs="Palatino Linotype"/>
          <w:sz w:val="24"/>
          <w:szCs w:val="24"/>
        </w:rPr>
      </w:pPr>
    </w:p>
    <w:p w14:paraId="23A99687" w14:textId="77777777" w:rsidR="00140F5B" w:rsidRDefault="00774F15">
      <w:pPr>
        <w:spacing w:after="0" w:line="360" w:lineRule="auto"/>
        <w:ind w:right="-234"/>
        <w:jc w:val="both"/>
        <w:rPr>
          <w:color w:val="000000"/>
          <w:sz w:val="24"/>
          <w:szCs w:val="24"/>
        </w:rPr>
      </w:pPr>
      <w:r>
        <w:rPr>
          <w:rFonts w:ascii="Palatino Linotype" w:eastAsia="Palatino Linotype" w:hAnsi="Palatino Linotype" w:cs="Palatino Linotype"/>
          <w:color w:val="000000"/>
          <w:sz w:val="24"/>
          <w:szCs w:val="24"/>
        </w:rPr>
        <w:t>Resulta aplicable el siguiente criterio de este Organismo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r>
        <w:rPr>
          <w:i/>
          <w:color w:val="000000"/>
          <w:sz w:val="24"/>
          <w:szCs w:val="24"/>
        </w:rPr>
        <w:t> </w:t>
      </w:r>
    </w:p>
    <w:p w14:paraId="3C0084CC" w14:textId="77777777" w:rsidR="00140F5B" w:rsidRDefault="00140F5B">
      <w:pPr>
        <w:shd w:val="clear" w:color="auto" w:fill="FFFFFF"/>
        <w:spacing w:after="0" w:line="360" w:lineRule="auto"/>
        <w:ind w:left="567" w:right="760"/>
        <w:jc w:val="both"/>
        <w:rPr>
          <w:rFonts w:ascii="Palatino Linotype" w:eastAsia="Palatino Linotype" w:hAnsi="Palatino Linotype" w:cs="Palatino Linotype"/>
          <w:color w:val="000000"/>
        </w:rPr>
      </w:pPr>
    </w:p>
    <w:p w14:paraId="7AF35215" w14:textId="77777777" w:rsidR="00140F5B" w:rsidRDefault="00774F15">
      <w:pPr>
        <w:shd w:val="clear" w:color="auto" w:fill="FFFFFF"/>
        <w:spacing w:after="0" w:line="360" w:lineRule="auto"/>
        <w:ind w:left="567" w:right="760"/>
        <w:jc w:val="both"/>
        <w:rPr>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RECURSO DE RECLAMACIÓN. SU INTERPOSICIÓN NO ES EXTEMPORÁNEA SI SE REALIZA ANTES DE QUE INICIE EL PLAZO PARA HACERLO.</w:t>
      </w:r>
    </w:p>
    <w:p w14:paraId="63A0F6DF" w14:textId="77777777" w:rsidR="00140F5B" w:rsidRDefault="00774F15">
      <w:pPr>
        <w:shd w:val="clear" w:color="auto" w:fill="FFFFFF"/>
        <w:spacing w:after="240" w:line="276" w:lineRule="auto"/>
        <w:ind w:left="567" w:right="760"/>
        <w:jc w:val="both"/>
        <w:rPr>
          <w:color w:val="000000"/>
        </w:rPr>
      </w:pPr>
      <w:r>
        <w:rPr>
          <w:rFonts w:ascii="Palatino Linotype" w:eastAsia="Palatino Linotype" w:hAnsi="Palatino Linotype" w:cs="Palatino Linotype"/>
          <w:i/>
          <w:color w:val="000000"/>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312BC3F8" w14:textId="77777777" w:rsidR="00140F5B" w:rsidRDefault="00774F15">
      <w:pPr>
        <w:shd w:val="clear" w:color="auto" w:fill="FFFFFF"/>
        <w:spacing w:before="240" w:after="0" w:line="360" w:lineRule="auto"/>
        <w:ind w:left="567" w:right="760"/>
        <w:jc w:val="both"/>
        <w:rPr>
          <w:color w:val="000000"/>
        </w:rPr>
      </w:pPr>
      <w:r>
        <w:rPr>
          <w:rFonts w:ascii="Palatino Linotype" w:eastAsia="Palatino Linotype" w:hAnsi="Palatino Linotype" w:cs="Palatino Linotype"/>
          <w:i/>
          <w:color w:val="000000"/>
        </w:rPr>
        <w:t>De ahí que si dicho recurso se interpone antes de que inicie el plazo para hacerlo, su presentación no es extemporánea…</w:t>
      </w:r>
      <w:r>
        <w:rPr>
          <w:rFonts w:ascii="Palatino Linotype" w:eastAsia="Palatino Linotype" w:hAnsi="Palatino Linotype" w:cs="Palatino Linotype"/>
          <w:color w:val="000000"/>
        </w:rPr>
        <w:t>"(Sic)</w:t>
      </w:r>
    </w:p>
    <w:p w14:paraId="7709DDB4" w14:textId="77777777" w:rsidR="00140F5B" w:rsidRDefault="00140F5B">
      <w:pPr>
        <w:spacing w:after="0" w:line="360" w:lineRule="auto"/>
        <w:jc w:val="both"/>
        <w:rPr>
          <w:rFonts w:ascii="Palatino Linotype" w:eastAsia="Palatino Linotype" w:hAnsi="Palatino Linotype" w:cs="Palatino Linotype"/>
          <w:sz w:val="24"/>
          <w:szCs w:val="24"/>
        </w:rPr>
      </w:pPr>
    </w:p>
    <w:p w14:paraId="508B2FB6"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al considerar la fecha en que se formuló la solicitud y la fecha en la que respondió a ésta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así como, en la que se interpuso el </w:t>
      </w:r>
      <w:r>
        <w:rPr>
          <w:rFonts w:ascii="Palatino Linotype" w:eastAsia="Palatino Linotype" w:hAnsi="Palatino Linotype" w:cs="Palatino Linotype"/>
          <w:sz w:val="24"/>
          <w:szCs w:val="24"/>
        </w:rPr>
        <w:lastRenderedPageBreak/>
        <w:t>recurso de revisión, éste se encuentra dentro de los márgenes temporales previstos en el citado precepto legal.</w:t>
      </w:r>
    </w:p>
    <w:p w14:paraId="06B2338F" w14:textId="77777777" w:rsidR="00140F5B" w:rsidRDefault="00140F5B">
      <w:pPr>
        <w:spacing w:after="0" w:line="360" w:lineRule="auto"/>
        <w:jc w:val="both"/>
        <w:rPr>
          <w:rFonts w:ascii="Palatino Linotype" w:eastAsia="Palatino Linotype" w:hAnsi="Palatino Linotype" w:cs="Palatino Linotype"/>
          <w:sz w:val="24"/>
          <w:szCs w:val="24"/>
        </w:rPr>
      </w:pPr>
    </w:p>
    <w:p w14:paraId="7D70B1A3"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14:paraId="675BBF5C" w14:textId="77777777" w:rsidR="00140F5B" w:rsidRDefault="00140F5B">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45C92415" w14:textId="77777777" w:rsidR="00140F5B" w:rsidRDefault="00774F15">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sus razones o motivos de inconformidad, de acuerdo al artículo 179, fracción I de la Ley de Transparencia y Acceso a la Información Pública del Estado de México y Municipios; que a la letra dice:</w:t>
      </w:r>
    </w:p>
    <w:p w14:paraId="507A168A" w14:textId="77777777" w:rsidR="00140F5B" w:rsidRDefault="00774F15">
      <w:pPr>
        <w:pBdr>
          <w:top w:val="nil"/>
          <w:left w:val="nil"/>
          <w:bottom w:val="nil"/>
          <w:right w:val="nil"/>
          <w:between w:val="nil"/>
        </w:pBdr>
        <w:spacing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76BF8EF6" w14:textId="77777777" w:rsidR="00140F5B" w:rsidRDefault="00774F15">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DDC639C" w14:textId="77777777" w:rsidR="00140F5B" w:rsidRDefault="00774F15">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I. La negativa a la información solicitada;” (Sic)</w:t>
      </w:r>
    </w:p>
    <w:p w14:paraId="7AE63567" w14:textId="77777777" w:rsidR="00140F5B" w:rsidRDefault="00774F15">
      <w:pPr>
        <w:spacing w:after="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w:t>
      </w:r>
      <w:r>
        <w:rPr>
          <w:rFonts w:ascii="Palatino Linotype" w:eastAsia="Palatino Linotype" w:hAnsi="Palatino Linotype" w:cs="Palatino Linotype"/>
          <w:sz w:val="24"/>
          <w:szCs w:val="24"/>
        </w:rPr>
        <w:lastRenderedPageBreak/>
        <w:t xml:space="preserve">pronunciará será: verificar si la respuesta otorgada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 adecuada y suficiente para satisfacer el derecho de acceso a la información pública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oportuna.</w:t>
      </w:r>
    </w:p>
    <w:p w14:paraId="6C9BB989" w14:textId="77777777" w:rsidR="00140F5B" w:rsidRDefault="00140F5B">
      <w:pPr>
        <w:spacing w:after="80" w:line="360" w:lineRule="auto"/>
        <w:jc w:val="both"/>
        <w:rPr>
          <w:rFonts w:ascii="Palatino Linotype" w:eastAsia="Palatino Linotype" w:hAnsi="Palatino Linotype" w:cs="Palatino Linotype"/>
          <w:sz w:val="24"/>
          <w:szCs w:val="24"/>
        </w:rPr>
      </w:pPr>
    </w:p>
    <w:p w14:paraId="2D29A632" w14:textId="77777777" w:rsidR="00140F5B" w:rsidRDefault="00774F15">
      <w:pPr>
        <w:spacing w:before="80"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sz w:val="24"/>
          <w:szCs w:val="24"/>
        </w:rPr>
        <w:t xml:space="preserve">CUARTO. ESTUDIO DEL ASUNTO. </w:t>
      </w:r>
      <w:r>
        <w:rPr>
          <w:rFonts w:ascii="Palatino Linotype" w:eastAsia="Palatino Linotype" w:hAnsi="Palatino Linotype" w:cs="Palatino Linotype"/>
          <w:color w:val="000000"/>
          <w:sz w:val="24"/>
          <w:szCs w:val="24"/>
        </w:rPr>
        <w:t>E</w:t>
      </w:r>
      <w:r>
        <w:rPr>
          <w:rFonts w:ascii="Palatino Linotype" w:eastAsia="Palatino Linotype" w:hAnsi="Palatino Linotype" w:cs="Palatino Linotype"/>
          <w:sz w:val="24"/>
          <w:szCs w:val="24"/>
        </w:rPr>
        <w:t>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31D99585" w14:textId="77777777" w:rsidR="00140F5B" w:rsidRDefault="00774F15">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349E27E" w14:textId="77777777" w:rsidR="00140F5B" w:rsidRDefault="00774F15">
      <w:pPr>
        <w:ind w:left="851" w:right="900"/>
        <w:jc w:val="both"/>
        <w:rPr>
          <w:rFonts w:ascii="Palatino Linotype" w:eastAsia="Palatino Linotype" w:hAnsi="Palatino Linotype" w:cs="Palatino Linotype"/>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482A0B7" w14:textId="77777777" w:rsidR="00140F5B" w:rsidRDefault="00774F15">
      <w:pPr>
        <w:spacing w:before="240" w:line="360" w:lineRule="auto"/>
        <w:jc w:val="both"/>
        <w:rPr>
          <w:rFonts w:ascii="Palatino Linotype" w:eastAsia="Palatino Linotype" w:hAnsi="Palatino Linotype" w:cs="Palatino Linotype"/>
          <w:sz w:val="32"/>
          <w:szCs w:val="32"/>
        </w:rPr>
      </w:pPr>
      <w:r>
        <w:rPr>
          <w:rFonts w:ascii="Palatino Linotype" w:eastAsia="Palatino Linotype" w:hAnsi="Palatino Linotype" w:cs="Palatino Linotype"/>
          <w:sz w:val="24"/>
          <w:szCs w:val="24"/>
        </w:rPr>
        <w:lastRenderedPageBreak/>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25C5503" w14:textId="77777777" w:rsidR="00140F5B" w:rsidRDefault="00774F15">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B363E57" w14:textId="77777777" w:rsidR="00140F5B" w:rsidRDefault="00774F15">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B0258D0" w14:textId="77777777" w:rsidR="00140F5B" w:rsidRDefault="00774F15">
      <w:pPr>
        <w:spacing w:before="240" w:after="240" w:line="360" w:lineRule="auto"/>
        <w:jc w:val="both"/>
        <w:rPr>
          <w:rFonts w:ascii="Palatino Linotype" w:eastAsia="Palatino Linotype" w:hAnsi="Palatino Linotype" w:cs="Palatino Linotype"/>
          <w:sz w:val="32"/>
          <w:szCs w:val="32"/>
        </w:rPr>
      </w:pPr>
      <w:r>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pública.</w:t>
      </w:r>
    </w:p>
    <w:p w14:paraId="6415E8CB" w14:textId="77777777" w:rsidR="00140F5B" w:rsidRDefault="00774F15">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Aunado a ello el artículo 24 de la Ley de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790ADA8" w14:textId="77777777" w:rsidR="00140F5B" w:rsidRDefault="00774F15">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sz w:val="24"/>
          <w:szCs w:val="24"/>
        </w:rPr>
        <w:t>cualquier otro registro que documente el ejercicio de las facultades, funciones y competencias de los Sujetos Obligados</w:t>
      </w:r>
      <w:r>
        <w:rPr>
          <w:rFonts w:ascii="Palatino Linotype" w:eastAsia="Palatino Linotype" w:hAnsi="Palatino Linotype" w:cs="Palatino Linotype"/>
          <w:sz w:val="24"/>
          <w:szCs w:val="24"/>
        </w:rPr>
        <w:t xml:space="preserve">; los que, podrán estar en cualquier medio, sea escrito, impreso, sonoro, visual, electrónico, informático u holográfico de conformidad con el artículo 3, fracción XI de la Ley de la materia, el cual señala lo siguiente: </w:t>
      </w:r>
    </w:p>
    <w:p w14:paraId="4462CDD0" w14:textId="77777777" w:rsidR="00140F5B" w:rsidRDefault="00774F15">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1D7E7EDB" w14:textId="77777777" w:rsidR="00140F5B" w:rsidRDefault="00774F15">
      <w:pPr>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8D54651" w14:textId="77777777" w:rsidR="00140F5B" w:rsidRDefault="00774F15">
      <w:pPr>
        <w:ind w:left="1134" w:right="899"/>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rPr>
        <w:t>…</w:t>
      </w:r>
      <w:r>
        <w:rPr>
          <w:rFonts w:ascii="Palatino Linotype" w:eastAsia="Palatino Linotype" w:hAnsi="Palatino Linotype" w:cs="Palatino Linotype"/>
          <w:i/>
        </w:rPr>
        <w:t>”</w:t>
      </w:r>
    </w:p>
    <w:p w14:paraId="48F75217" w14:textId="77777777" w:rsidR="00140F5B" w:rsidRDefault="00140F5B">
      <w:pPr>
        <w:ind w:left="1134" w:right="899"/>
        <w:jc w:val="both"/>
        <w:rPr>
          <w:rFonts w:ascii="Palatino Linotype" w:eastAsia="Palatino Linotype" w:hAnsi="Palatino Linotype" w:cs="Palatino Linotype"/>
          <w:i/>
        </w:rPr>
      </w:pPr>
    </w:p>
    <w:p w14:paraId="53150CD4" w14:textId="77777777" w:rsidR="00140F5B" w:rsidRDefault="00774F1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999FE00" w14:textId="77777777" w:rsidR="00140F5B" w:rsidRDefault="00774F15">
      <w:pPr>
        <w:spacing w:before="120" w:after="120"/>
        <w:ind w:left="851"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14:paraId="53B22FCC" w14:textId="77777777" w:rsidR="00140F5B" w:rsidRDefault="00774F1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E0913A" w14:textId="77777777" w:rsidR="00140F5B" w:rsidRDefault="00774F1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14:paraId="43306265" w14:textId="77777777" w:rsidR="00140F5B" w:rsidRDefault="00774F15">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1) Que se trate de información registrada en cualquier soporte documental, que en ejercicio de las atribuciones conferidas, sea generada por los Sujetos Obligados;</w:t>
      </w:r>
    </w:p>
    <w:p w14:paraId="323B8E24" w14:textId="77777777" w:rsidR="00140F5B" w:rsidRDefault="00774F1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31C8BF90" w14:textId="77777777" w:rsidR="00140F5B" w:rsidRDefault="00774F1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7D69D1E6" w14:textId="77777777" w:rsidR="00140F5B" w:rsidRDefault="00774F15">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previo al estudio del presente asunto, es conveniente recordar que la parte solicitante requirió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le proporcionara lo siguiente:</w:t>
      </w:r>
    </w:p>
    <w:p w14:paraId="5FA6558C" w14:textId="77777777" w:rsidR="00140F5B" w:rsidRDefault="00774F15">
      <w:pPr>
        <w:numPr>
          <w:ilvl w:val="0"/>
          <w:numId w:val="4"/>
        </w:numPr>
        <w:pBdr>
          <w:top w:val="nil"/>
          <w:left w:val="nil"/>
          <w:bottom w:val="nil"/>
          <w:right w:val="nil"/>
          <w:between w:val="nil"/>
        </w:pBdr>
        <w:spacing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Cantidad de dinero recaudada de enero a la fecha de la solicitud (veintidós de febrero de dos mil veintidós) y especificando cómo se ha ido gastando.</w:t>
      </w:r>
    </w:p>
    <w:p w14:paraId="0B2CB268" w14:textId="77777777" w:rsidR="00140F5B" w:rsidRDefault="00774F1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su parte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color w:val="000000"/>
          <w:sz w:val="24"/>
          <w:szCs w:val="24"/>
        </w:rPr>
        <w:t xml:space="preserve">, respondió que la información solicitada será cargada al portal IPOMEX una vez entregada ante el Órgano Superior de Fiscalización del Estado de México, ya que la misma se reporta de manera trimestral y podrá consultarla después del 15 de abril del presente ejercicio fiscal, adjuntando al mismo tiempo la siguiente liga electrónica, </w:t>
      </w:r>
      <w:hyperlink r:id="rId16">
        <w:r>
          <w:rPr>
            <w:rFonts w:ascii="Palatino Linotype" w:eastAsia="Palatino Linotype" w:hAnsi="Palatino Linotype" w:cs="Palatino Linotype"/>
            <w:color w:val="0563C1"/>
            <w:sz w:val="24"/>
            <w:szCs w:val="24"/>
            <w:u w:val="single"/>
          </w:rPr>
          <w:t>https://www.ipomex.org.mx/ipo3/lgt/indice/OASNAUCALPAN/art_92_xlvii_a.web</w:t>
        </w:r>
      </w:hyperlink>
      <w:r>
        <w:rPr>
          <w:rFonts w:ascii="Palatino Linotype" w:eastAsia="Palatino Linotype" w:hAnsi="Palatino Linotype" w:cs="Palatino Linotype"/>
          <w:sz w:val="24"/>
          <w:szCs w:val="24"/>
        </w:rPr>
        <w:t xml:space="preserve">, en la que se observa lo siguiente: </w:t>
      </w:r>
    </w:p>
    <w:p w14:paraId="4CC4EB64" w14:textId="77777777" w:rsidR="00140F5B" w:rsidRDefault="00774F15">
      <w:pPr>
        <w:spacing w:line="360" w:lineRule="auto"/>
        <w:jc w:val="center"/>
        <w:rPr>
          <w:rFonts w:ascii="Palatino Linotype" w:eastAsia="Palatino Linotype" w:hAnsi="Palatino Linotype" w:cs="Palatino Linotype"/>
          <w:color w:val="000000"/>
          <w:sz w:val="24"/>
          <w:szCs w:val="24"/>
        </w:rPr>
      </w:pPr>
      <w:r>
        <w:rPr>
          <w:noProof/>
        </w:rPr>
        <w:lastRenderedPageBreak/>
        <w:drawing>
          <wp:inline distT="0" distB="0" distL="0" distR="0" wp14:anchorId="6958210A" wp14:editId="74F87E1B">
            <wp:extent cx="4494054" cy="2941230"/>
            <wp:effectExtent l="0" t="0" r="0"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l="29532" t="21123" r="28717" b="30295"/>
                    <a:stretch>
                      <a:fillRect/>
                    </a:stretch>
                  </pic:blipFill>
                  <pic:spPr>
                    <a:xfrm>
                      <a:off x="0" y="0"/>
                      <a:ext cx="4494054" cy="2941230"/>
                    </a:xfrm>
                    <a:prstGeom prst="rect">
                      <a:avLst/>
                    </a:prstGeom>
                    <a:ln/>
                  </pic:spPr>
                </pic:pic>
              </a:graphicData>
            </a:graphic>
          </wp:inline>
        </w:drawing>
      </w:r>
    </w:p>
    <w:p w14:paraId="39872A3A" w14:textId="77777777" w:rsidR="00140F5B" w:rsidRDefault="00774F1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Conocida la respuesta por el particular, al no estar conforme con los términos de la misma, presentó el recurso de revisión que nos ocupa, mediante el cual señaló como motivo de inconformidad, en lo medular que no le entregaron la información solicitada.</w:t>
      </w:r>
    </w:p>
    <w:p w14:paraId="116BD72D" w14:textId="77777777" w:rsidR="00140F5B" w:rsidRDefault="00774F15">
      <w:pPr>
        <w:spacing w:before="16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Cabe precisar que una vez notificado el recurso de revisión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remitió su informe justificado mediante el cual ratifica su respuesta primigenia, de igual manera la ahora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fue omiso en emitir sus manifestaciones.  </w:t>
      </w:r>
    </w:p>
    <w:p w14:paraId="712AA699" w14:textId="77777777" w:rsidR="00140F5B" w:rsidRDefault="00774F15">
      <w:pPr>
        <w:tabs>
          <w:tab w:val="right" w:pos="8505"/>
        </w:tabs>
        <w:spacing w:after="240" w:line="360" w:lineRule="auto"/>
        <w:jc w:val="both"/>
        <w:rPr>
          <w:sz w:val="24"/>
          <w:szCs w:val="24"/>
        </w:rPr>
      </w:pPr>
      <w:r>
        <w:rPr>
          <w:rFonts w:ascii="Palatino Linotype" w:eastAsia="Palatino Linotype" w:hAnsi="Palatino Linotype" w:cs="Palatino Linotype"/>
          <w:sz w:val="24"/>
          <w:szCs w:val="24"/>
        </w:rPr>
        <w:t xml:space="preserve">Una vez precisado lo que antecede, es necesario analizar la Ley de Fiscalización Superior del Estado de México, toda vez que señala que los municipios que conforman el Estado de México, entre ellos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sz w:val="24"/>
          <w:szCs w:val="24"/>
        </w:rPr>
        <w:t xml:space="preserve"> </w:t>
      </w:r>
      <w:r>
        <w:rPr>
          <w:rFonts w:ascii="Palatino Linotype" w:eastAsia="Palatino Linotype" w:hAnsi="Palatino Linotype" w:cs="Palatino Linotype"/>
          <w:sz w:val="24"/>
          <w:szCs w:val="24"/>
        </w:rPr>
        <w:t xml:space="preserve">es considerado </w:t>
      </w:r>
      <w:r>
        <w:rPr>
          <w:rFonts w:ascii="Palatino Linotype" w:eastAsia="Palatino Linotype" w:hAnsi="Palatino Linotype" w:cs="Palatino Linotype"/>
          <w:sz w:val="24"/>
          <w:szCs w:val="24"/>
        </w:rPr>
        <w:lastRenderedPageBreak/>
        <w:t>como ente fiscalizable, como así lo señala el artículo 4 fracción II de la Ley de Fiscalización Superior del Estado de México, el cual señala:</w:t>
      </w:r>
    </w:p>
    <w:p w14:paraId="0C461FD7" w14:textId="77777777" w:rsidR="00140F5B" w:rsidRDefault="00774F15">
      <w:pPr>
        <w:spacing w:before="24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4. </w:t>
      </w:r>
      <w:r>
        <w:rPr>
          <w:rFonts w:ascii="Palatino Linotype" w:eastAsia="Palatino Linotype" w:hAnsi="Palatino Linotype" w:cs="Palatino Linotype"/>
          <w:i/>
        </w:rPr>
        <w:t>Son sujetos de fiscalización:</w:t>
      </w:r>
    </w:p>
    <w:p w14:paraId="79403014" w14:textId="77777777" w:rsidR="00140F5B" w:rsidRDefault="00774F15">
      <w:pPr>
        <w:ind w:left="851" w:right="851"/>
        <w:jc w:val="both"/>
        <w:rPr>
          <w:i/>
        </w:rPr>
      </w:pPr>
      <w:r>
        <w:rPr>
          <w:rFonts w:ascii="Palatino Linotype" w:eastAsia="Palatino Linotype" w:hAnsi="Palatino Linotype" w:cs="Palatino Linotype"/>
          <w:i/>
        </w:rPr>
        <w:t>…</w:t>
      </w:r>
    </w:p>
    <w:p w14:paraId="2E815937" w14:textId="77777777" w:rsidR="00140F5B" w:rsidRDefault="00774F15">
      <w:pPr>
        <w:numPr>
          <w:ilvl w:val="0"/>
          <w:numId w:val="5"/>
        </w:numPr>
        <w:spacing w:before="240" w:line="240" w:lineRule="auto"/>
        <w:ind w:right="851"/>
        <w:jc w:val="both"/>
        <w:rPr>
          <w:rFonts w:ascii="Palatino Linotype" w:eastAsia="Palatino Linotype" w:hAnsi="Palatino Linotype" w:cs="Palatino Linotype"/>
          <w:i/>
        </w:rPr>
      </w:pPr>
      <w:r>
        <w:rPr>
          <w:rFonts w:ascii="Palatino Linotype" w:eastAsia="Palatino Linotype" w:hAnsi="Palatino Linotype" w:cs="Palatino Linotype"/>
          <w:i/>
        </w:rPr>
        <w:t>Los municipios del Estado de México…” (Sic)</w:t>
      </w:r>
    </w:p>
    <w:p w14:paraId="334866D4" w14:textId="77777777" w:rsidR="00140F5B" w:rsidRDefault="00140F5B">
      <w:pPr>
        <w:spacing w:before="240"/>
        <w:ind w:left="851" w:right="851"/>
        <w:jc w:val="both"/>
        <w:rPr>
          <w:b/>
        </w:rPr>
      </w:pPr>
    </w:p>
    <w:p w14:paraId="7B9D904E" w14:textId="77777777" w:rsidR="00140F5B" w:rsidRDefault="00774F15">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 como así se advierte a continuación:</w:t>
      </w:r>
    </w:p>
    <w:p w14:paraId="66B5F080" w14:textId="77777777" w:rsidR="00140F5B" w:rsidRDefault="00140F5B">
      <w:pPr>
        <w:spacing w:after="0"/>
        <w:ind w:left="851" w:right="851"/>
        <w:jc w:val="both"/>
        <w:rPr>
          <w:rFonts w:ascii="Palatino Linotype" w:eastAsia="Palatino Linotype" w:hAnsi="Palatino Linotype" w:cs="Palatino Linotype"/>
          <w:b/>
          <w:i/>
        </w:rPr>
      </w:pPr>
    </w:p>
    <w:p w14:paraId="6CD85B8E" w14:textId="77777777" w:rsidR="00140F5B" w:rsidRDefault="00774F15">
      <w:pPr>
        <w:spacing w:after="0"/>
        <w:ind w:left="851" w:right="851"/>
        <w:jc w:val="both"/>
        <w:rPr>
          <w:i/>
        </w:rPr>
      </w:pPr>
      <w:r>
        <w:rPr>
          <w:rFonts w:ascii="Palatino Linotype" w:eastAsia="Palatino Linotype" w:hAnsi="Palatino Linotype" w:cs="Palatino Linotype"/>
          <w:b/>
          <w:i/>
        </w:rPr>
        <w:t xml:space="preserve">“Artículo 8. </w:t>
      </w:r>
      <w:r>
        <w:rPr>
          <w:rFonts w:ascii="Palatino Linotype" w:eastAsia="Palatino Linotype" w:hAnsi="Palatino Linotype" w:cs="Palatino Linotype"/>
          <w:i/>
        </w:rPr>
        <w:t>El Órgano Superior tendrá las siguientes atribuciones:</w:t>
      </w:r>
    </w:p>
    <w:p w14:paraId="433D367F" w14:textId="77777777" w:rsidR="00140F5B" w:rsidRDefault="00774F15">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E606CCC" w14:textId="77777777" w:rsidR="00140F5B" w:rsidRDefault="00774F15">
      <w:pPr>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XI. Establecer los lineamientos</w:t>
      </w:r>
      <w:r>
        <w:rPr>
          <w:rFonts w:ascii="Palatino Linotype" w:eastAsia="Palatino Linotype" w:hAnsi="Palatino Linotype" w:cs="Palatino Linotype"/>
          <w:i/>
        </w:rPr>
        <w:t xml:space="preserve">, criterios, procedimientos, métodos y sistemas </w:t>
      </w:r>
      <w:r>
        <w:rPr>
          <w:rFonts w:ascii="Palatino Linotype" w:eastAsia="Palatino Linotype" w:hAnsi="Palatino Linotype" w:cs="Palatino Linotype"/>
          <w:b/>
          <w:i/>
        </w:rPr>
        <w:t>para las acciones de control y evaluación, necesarios para la fiscalización de las cuentas públicas y los informes trimestrales</w:t>
      </w:r>
      <w:r>
        <w:rPr>
          <w:rFonts w:ascii="Palatino Linotype" w:eastAsia="Palatino Linotype" w:hAnsi="Palatino Linotype" w:cs="Palatino Linotype"/>
          <w:i/>
        </w:rPr>
        <w:t>…</w:t>
      </w:r>
      <w:r>
        <w:rPr>
          <w:rFonts w:ascii="Palatino Linotype" w:eastAsia="Palatino Linotype" w:hAnsi="Palatino Linotype" w:cs="Palatino Linotype"/>
        </w:rPr>
        <w:t>” (</w:t>
      </w:r>
      <w:r>
        <w:rPr>
          <w:rFonts w:ascii="Palatino Linotype" w:eastAsia="Palatino Linotype" w:hAnsi="Palatino Linotype" w:cs="Palatino Linotype"/>
          <w:i/>
        </w:rPr>
        <w:t>Sic)</w:t>
      </w:r>
    </w:p>
    <w:p w14:paraId="743A8C99" w14:textId="77777777" w:rsidR="00140F5B" w:rsidRDefault="00140F5B">
      <w:pPr>
        <w:ind w:left="851" w:right="851"/>
        <w:jc w:val="both"/>
        <w:rPr>
          <w:rFonts w:ascii="Palatino Linotype" w:eastAsia="Palatino Linotype" w:hAnsi="Palatino Linotype" w:cs="Palatino Linotype"/>
          <w:b/>
          <w:i/>
        </w:rPr>
      </w:pPr>
    </w:p>
    <w:p w14:paraId="0530B628" w14:textId="513C7B81" w:rsidR="00140F5B" w:rsidRPr="00DC34B3" w:rsidRDefault="00774F15">
      <w:pPr>
        <w:spacing w:line="360" w:lineRule="auto"/>
        <w:jc w:val="both"/>
        <w:rPr>
          <w:rFonts w:ascii="Palatino Linotype" w:eastAsia="Palatino Linotype" w:hAnsi="Palatino Linotype" w:cs="Palatino Linotype"/>
          <w:sz w:val="24"/>
          <w:szCs w:val="24"/>
          <w:u w:val="single"/>
        </w:rPr>
      </w:pPr>
      <w:r>
        <w:rPr>
          <w:rFonts w:ascii="Palatino Linotype" w:eastAsia="Palatino Linotype" w:hAnsi="Palatino Linotype" w:cs="Palatino Linotype"/>
          <w:sz w:val="24"/>
          <w:szCs w:val="24"/>
        </w:rPr>
        <w:t>Dentro de los cuales ubicamos en su módulo uno la información contable financiera como se advierte en las siguientes imágenes sustraídas de dichas políticas</w:t>
      </w:r>
      <w:r w:rsidR="000C635C">
        <w:rPr>
          <w:rFonts w:ascii="Palatino Linotype" w:eastAsia="Palatino Linotype" w:hAnsi="Palatino Linotype" w:cs="Palatino Linotype"/>
          <w:sz w:val="24"/>
          <w:szCs w:val="24"/>
        </w:rPr>
        <w:t xml:space="preserve"> de los </w:t>
      </w:r>
      <w:r w:rsidR="000C635C" w:rsidRPr="00DC34B3">
        <w:rPr>
          <w:rFonts w:ascii="Palatino Linotype" w:eastAsia="Palatino Linotype" w:hAnsi="Palatino Linotype" w:cs="Palatino Linotype"/>
          <w:sz w:val="24"/>
          <w:szCs w:val="24"/>
          <w:highlight w:val="yellow"/>
        </w:rPr>
        <w:t>ejercicios fiscales 2021 y 2022</w:t>
      </w:r>
      <w:r w:rsidR="00DC34B3" w:rsidRPr="00DC34B3">
        <w:rPr>
          <w:rFonts w:ascii="Palatino Linotype" w:eastAsia="Palatino Linotype" w:hAnsi="Palatino Linotype" w:cs="Palatino Linotype"/>
          <w:sz w:val="24"/>
          <w:szCs w:val="24"/>
          <w:highlight w:val="yellow"/>
        </w:rPr>
        <w:t>, que versan en el mismo tenor</w:t>
      </w:r>
      <w:r w:rsidRPr="00DC34B3">
        <w:rPr>
          <w:rFonts w:ascii="Palatino Linotype" w:eastAsia="Palatino Linotype" w:hAnsi="Palatino Linotype" w:cs="Palatino Linotype"/>
          <w:sz w:val="24"/>
          <w:szCs w:val="24"/>
          <w:highlight w:val="yellow"/>
        </w:rPr>
        <w:t>:</w:t>
      </w:r>
    </w:p>
    <w:p w14:paraId="38C8D7A7" w14:textId="77777777" w:rsidR="00140F5B" w:rsidRDefault="00774F15">
      <w:pPr>
        <w:spacing w:line="360" w:lineRule="auto"/>
        <w:jc w:val="both"/>
      </w:pPr>
      <w:r>
        <w:rPr>
          <w:noProof/>
        </w:rPr>
        <w:lastRenderedPageBreak/>
        <w:drawing>
          <wp:inline distT="0" distB="0" distL="0" distR="0" wp14:anchorId="7C0ACD36" wp14:editId="456F971D">
            <wp:extent cx="5707882" cy="4771433"/>
            <wp:effectExtent l="0" t="0" r="0" b="0"/>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28003" t="25951" r="28548" b="9474"/>
                    <a:stretch>
                      <a:fillRect/>
                    </a:stretch>
                  </pic:blipFill>
                  <pic:spPr>
                    <a:xfrm>
                      <a:off x="0" y="0"/>
                      <a:ext cx="5707882" cy="4771433"/>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65050F2C" wp14:editId="0E23EA72">
                <wp:simplePos x="0" y="0"/>
                <wp:positionH relativeFrom="column">
                  <wp:posOffset>1587500</wp:posOffset>
                </wp:positionH>
                <wp:positionV relativeFrom="paragraph">
                  <wp:posOffset>3810000</wp:posOffset>
                </wp:positionV>
                <wp:extent cx="4000500" cy="247650"/>
                <wp:effectExtent l="0" t="0" r="0" b="0"/>
                <wp:wrapNone/>
                <wp:docPr id="24" name="Rectángulo 24"/>
                <wp:cNvGraphicFramePr/>
                <a:graphic xmlns:a="http://schemas.openxmlformats.org/drawingml/2006/main">
                  <a:graphicData uri="http://schemas.microsoft.com/office/word/2010/wordprocessingShape">
                    <wps:wsp>
                      <wps:cNvSpPr/>
                      <wps:spPr>
                        <a:xfrm>
                          <a:off x="3360038" y="3670463"/>
                          <a:ext cx="3971925" cy="219075"/>
                        </a:xfrm>
                        <a:prstGeom prst="rect">
                          <a:avLst/>
                        </a:prstGeom>
                        <a:noFill/>
                        <a:ln w="28575" cap="flat" cmpd="sng">
                          <a:solidFill>
                            <a:srgbClr val="FF0000"/>
                          </a:solidFill>
                          <a:prstDash val="solid"/>
                          <a:miter lim="800000"/>
                          <a:headEnd type="none" w="sm" len="sm"/>
                          <a:tailEnd type="none" w="sm" len="sm"/>
                        </a:ln>
                      </wps:spPr>
                      <wps:txbx>
                        <w:txbxContent>
                          <w:p w14:paraId="7F12E8F2" w14:textId="77777777" w:rsidR="00140F5B" w:rsidRDefault="00140F5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1587500</wp:posOffset>
                </wp:positionH>
                <wp:positionV relativeFrom="paragraph">
                  <wp:posOffset>3810000</wp:posOffset>
                </wp:positionV>
                <wp:extent cx="4000500" cy="247650"/>
                <wp:effectExtent b="0" l="0" r="0" t="0"/>
                <wp:wrapNone/>
                <wp:docPr id="24"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4000500" cy="24765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2E5DAA1" wp14:editId="17010358">
                <wp:simplePos x="0" y="0"/>
                <wp:positionH relativeFrom="column">
                  <wp:posOffset>1587500</wp:posOffset>
                </wp:positionH>
                <wp:positionV relativeFrom="paragraph">
                  <wp:posOffset>4114800</wp:posOffset>
                </wp:positionV>
                <wp:extent cx="4000500" cy="247650"/>
                <wp:effectExtent l="0" t="0" r="0" b="0"/>
                <wp:wrapNone/>
                <wp:docPr id="26" name="Rectángulo 26"/>
                <wp:cNvGraphicFramePr/>
                <a:graphic xmlns:a="http://schemas.openxmlformats.org/drawingml/2006/main">
                  <a:graphicData uri="http://schemas.microsoft.com/office/word/2010/wordprocessingShape">
                    <wps:wsp>
                      <wps:cNvSpPr/>
                      <wps:spPr>
                        <a:xfrm>
                          <a:off x="3360038" y="3670463"/>
                          <a:ext cx="3971925" cy="219075"/>
                        </a:xfrm>
                        <a:prstGeom prst="rect">
                          <a:avLst/>
                        </a:prstGeom>
                        <a:noFill/>
                        <a:ln w="28575" cap="flat" cmpd="sng">
                          <a:solidFill>
                            <a:srgbClr val="FF0000"/>
                          </a:solidFill>
                          <a:prstDash val="solid"/>
                          <a:miter lim="800000"/>
                          <a:headEnd type="none" w="sm" len="sm"/>
                          <a:tailEnd type="none" w="sm" len="sm"/>
                        </a:ln>
                      </wps:spPr>
                      <wps:txbx>
                        <w:txbxContent>
                          <w:p w14:paraId="20881D21" w14:textId="77777777" w:rsidR="00140F5B" w:rsidRDefault="00140F5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1587500</wp:posOffset>
                </wp:positionH>
                <wp:positionV relativeFrom="paragraph">
                  <wp:posOffset>4114800</wp:posOffset>
                </wp:positionV>
                <wp:extent cx="4000500" cy="247650"/>
                <wp:effectExtent b="0" l="0" r="0" t="0"/>
                <wp:wrapNone/>
                <wp:docPr id="26" name="image21.png"/>
                <a:graphic>
                  <a:graphicData uri="http://schemas.openxmlformats.org/drawingml/2006/picture">
                    <pic:pic>
                      <pic:nvPicPr>
                        <pic:cNvPr id="0" name="image21.png"/>
                        <pic:cNvPicPr preferRelativeResize="0"/>
                      </pic:nvPicPr>
                      <pic:blipFill>
                        <a:blip r:embed="rId20"/>
                        <a:srcRect/>
                        <a:stretch>
                          <a:fillRect/>
                        </a:stretch>
                      </pic:blipFill>
                      <pic:spPr>
                        <a:xfrm>
                          <a:off x="0" y="0"/>
                          <a:ext cx="4000500" cy="247650"/>
                        </a:xfrm>
                        <a:prstGeom prst="rect"/>
                        <a:ln/>
                      </pic:spPr>
                    </pic:pic>
                  </a:graphicData>
                </a:graphic>
              </wp:anchor>
            </w:drawing>
          </mc:Fallback>
        </mc:AlternateContent>
      </w:r>
    </w:p>
    <w:p w14:paraId="0C05E136" w14:textId="77777777" w:rsidR="00140F5B" w:rsidRDefault="00774F1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la imagen antes referida, se desprende que en el </w:t>
      </w:r>
      <w:proofErr w:type="spellStart"/>
      <w:r>
        <w:rPr>
          <w:rFonts w:ascii="Palatino Linotype" w:eastAsia="Palatino Linotype" w:hAnsi="Palatino Linotype" w:cs="Palatino Linotype"/>
          <w:sz w:val="24"/>
          <w:szCs w:val="24"/>
        </w:rPr>
        <w:t>Submódulo</w:t>
      </w:r>
      <w:proofErr w:type="spellEnd"/>
      <w:r>
        <w:rPr>
          <w:rFonts w:ascii="Palatino Linotype" w:eastAsia="Palatino Linotype" w:hAnsi="Palatino Linotype" w:cs="Palatino Linotype"/>
          <w:sz w:val="24"/>
          <w:szCs w:val="24"/>
        </w:rPr>
        <w:t xml:space="preserve"> de Pólizas contiene los documentos denominados </w:t>
      </w:r>
      <w:r>
        <w:rPr>
          <w:rFonts w:ascii="Palatino Linotype" w:eastAsia="Palatino Linotype" w:hAnsi="Palatino Linotype" w:cs="Palatino Linotype"/>
          <w:sz w:val="24"/>
          <w:szCs w:val="24"/>
          <w:u w:val="single"/>
        </w:rPr>
        <w:t>Pólizas de Ingresos</w:t>
      </w:r>
      <w:r>
        <w:rPr>
          <w:rFonts w:ascii="Palatino Linotype" w:eastAsia="Palatino Linotype" w:hAnsi="Palatino Linotype" w:cs="Palatino Linotype"/>
          <w:sz w:val="24"/>
          <w:szCs w:val="24"/>
        </w:rPr>
        <w:t xml:space="preserve"> y </w:t>
      </w:r>
      <w:r>
        <w:rPr>
          <w:rFonts w:ascii="Palatino Linotype" w:eastAsia="Palatino Linotype" w:hAnsi="Palatino Linotype" w:cs="Palatino Linotype"/>
          <w:sz w:val="24"/>
          <w:szCs w:val="24"/>
          <w:u w:val="single"/>
        </w:rPr>
        <w:t>Pólizas de Egresos,</w:t>
      </w:r>
      <w:r>
        <w:rPr>
          <w:rFonts w:ascii="Palatino Linotype" w:eastAsia="Palatino Linotype" w:hAnsi="Palatino Linotype" w:cs="Palatino Linotype"/>
          <w:sz w:val="24"/>
          <w:szCs w:val="24"/>
        </w:rPr>
        <w:t xml:space="preserve"> los cuales serían los documentos que colmarían lo solicitado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toda vez que contiene los ingresos recaudados y cómo se ha ido gastando respectivamente como se muestra a continuación:</w:t>
      </w:r>
    </w:p>
    <w:p w14:paraId="589D894A" w14:textId="77777777" w:rsidR="00140F5B" w:rsidRDefault="00774F15">
      <w:pPr>
        <w:spacing w:line="360" w:lineRule="auto"/>
        <w:jc w:val="both"/>
      </w:pPr>
      <w:r>
        <w:rPr>
          <w:noProof/>
        </w:rPr>
        <w:lastRenderedPageBreak/>
        <w:drawing>
          <wp:inline distT="0" distB="0" distL="0" distR="0" wp14:anchorId="1CEA0AEE" wp14:editId="59B21CA2">
            <wp:extent cx="5496502" cy="5573487"/>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31059" t="12674" r="32451" b="9776"/>
                    <a:stretch>
                      <a:fillRect/>
                    </a:stretch>
                  </pic:blipFill>
                  <pic:spPr>
                    <a:xfrm>
                      <a:off x="0" y="0"/>
                      <a:ext cx="5496502" cy="5573487"/>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14:anchorId="21015A54" wp14:editId="4BF31C6F">
                <wp:simplePos x="0" y="0"/>
                <wp:positionH relativeFrom="column">
                  <wp:posOffset>88901</wp:posOffset>
                </wp:positionH>
                <wp:positionV relativeFrom="paragraph">
                  <wp:posOffset>2679700</wp:posOffset>
                </wp:positionV>
                <wp:extent cx="3695700" cy="390525"/>
                <wp:effectExtent l="0" t="0" r="0" b="0"/>
                <wp:wrapNone/>
                <wp:docPr id="25" name="Rectángulo 25"/>
                <wp:cNvGraphicFramePr/>
                <a:graphic xmlns:a="http://schemas.openxmlformats.org/drawingml/2006/main">
                  <a:graphicData uri="http://schemas.microsoft.com/office/word/2010/wordprocessingShape">
                    <wps:wsp>
                      <wps:cNvSpPr/>
                      <wps:spPr>
                        <a:xfrm>
                          <a:off x="3512438" y="3599025"/>
                          <a:ext cx="3667125" cy="361950"/>
                        </a:xfrm>
                        <a:prstGeom prst="rect">
                          <a:avLst/>
                        </a:prstGeom>
                        <a:noFill/>
                        <a:ln w="28575" cap="flat" cmpd="sng">
                          <a:solidFill>
                            <a:srgbClr val="FF0000"/>
                          </a:solidFill>
                          <a:prstDash val="solid"/>
                          <a:miter lim="800000"/>
                          <a:headEnd type="none" w="sm" len="sm"/>
                          <a:tailEnd type="none" w="sm" len="sm"/>
                        </a:ln>
                      </wps:spPr>
                      <wps:txbx>
                        <w:txbxContent>
                          <w:p w14:paraId="3BE86A69" w14:textId="77777777" w:rsidR="00140F5B" w:rsidRDefault="00140F5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2679700</wp:posOffset>
                </wp:positionV>
                <wp:extent cx="3695700" cy="390525"/>
                <wp:effectExtent b="0" l="0" r="0" t="0"/>
                <wp:wrapNone/>
                <wp:docPr id="25" name="image19.png"/>
                <a:graphic>
                  <a:graphicData uri="http://schemas.openxmlformats.org/drawingml/2006/picture">
                    <pic:pic>
                      <pic:nvPicPr>
                        <pic:cNvPr id="0" name="image19.png"/>
                        <pic:cNvPicPr preferRelativeResize="0"/>
                      </pic:nvPicPr>
                      <pic:blipFill>
                        <a:blip r:embed="rId22"/>
                        <a:srcRect/>
                        <a:stretch>
                          <a:fillRect/>
                        </a:stretch>
                      </pic:blipFill>
                      <pic:spPr>
                        <a:xfrm>
                          <a:off x="0" y="0"/>
                          <a:ext cx="3695700" cy="390525"/>
                        </a:xfrm>
                        <a:prstGeom prst="rect"/>
                        <a:ln/>
                      </pic:spPr>
                    </pic:pic>
                  </a:graphicData>
                </a:graphic>
              </wp:anchor>
            </w:drawing>
          </mc:Fallback>
        </mc:AlternateContent>
      </w:r>
    </w:p>
    <w:p w14:paraId="2EA8D053" w14:textId="77777777" w:rsidR="00140F5B" w:rsidRDefault="00774F15">
      <w:pPr>
        <w:spacing w:line="360" w:lineRule="auto"/>
        <w:jc w:val="both"/>
      </w:pPr>
      <w:r>
        <w:rPr>
          <w:noProof/>
        </w:rPr>
        <w:lastRenderedPageBreak/>
        <w:drawing>
          <wp:inline distT="0" distB="0" distL="0" distR="0" wp14:anchorId="4896B8F2" wp14:editId="594207F6">
            <wp:extent cx="5459208" cy="5995380"/>
            <wp:effectExtent l="0" t="0" r="0" b="0"/>
            <wp:docPr id="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l="30550" t="13879" r="31433" b="11888"/>
                    <a:stretch>
                      <a:fillRect/>
                    </a:stretch>
                  </pic:blipFill>
                  <pic:spPr>
                    <a:xfrm>
                      <a:off x="0" y="0"/>
                      <a:ext cx="5459208" cy="5995380"/>
                    </a:xfrm>
                    <a:prstGeom prst="rect">
                      <a:avLst/>
                    </a:prstGeom>
                    <a:ln/>
                  </pic:spPr>
                </pic:pic>
              </a:graphicData>
            </a:graphic>
          </wp:inline>
        </w:drawing>
      </w:r>
    </w:p>
    <w:p w14:paraId="1D4CBDF8" w14:textId="77777777" w:rsidR="00140F5B" w:rsidRDefault="00774F15">
      <w:pPr>
        <w:spacing w:line="360" w:lineRule="auto"/>
        <w:jc w:val="both"/>
      </w:pPr>
      <w:r>
        <w:rPr>
          <w:noProof/>
        </w:rPr>
        <w:lastRenderedPageBreak/>
        <w:drawing>
          <wp:inline distT="0" distB="0" distL="0" distR="0" wp14:anchorId="55383F5C" wp14:editId="69E381D7">
            <wp:extent cx="5651772" cy="6112097"/>
            <wp:effectExtent l="0" t="0" r="0" b="0"/>
            <wp:docPr id="4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l="30210" t="10863" r="32280" b="17019"/>
                    <a:stretch>
                      <a:fillRect/>
                    </a:stretch>
                  </pic:blipFill>
                  <pic:spPr>
                    <a:xfrm>
                      <a:off x="0" y="0"/>
                      <a:ext cx="5651772" cy="6112097"/>
                    </a:xfrm>
                    <a:prstGeom prst="rect">
                      <a:avLst/>
                    </a:prstGeom>
                    <a:ln/>
                  </pic:spPr>
                </pic:pic>
              </a:graphicData>
            </a:graphic>
          </wp:inline>
        </w:drawing>
      </w:r>
    </w:p>
    <w:p w14:paraId="2420A751" w14:textId="160451A8" w:rsidR="00140F5B" w:rsidRDefault="00774F15">
      <w:pPr>
        <w:spacing w:line="360" w:lineRule="auto"/>
        <w:jc w:val="both"/>
      </w:pPr>
      <w:r>
        <w:rPr>
          <w:noProof/>
        </w:rPr>
        <w:lastRenderedPageBreak/>
        <w:drawing>
          <wp:inline distT="0" distB="0" distL="0" distR="0" wp14:anchorId="57F8F1A4" wp14:editId="045B06EF">
            <wp:extent cx="5481546" cy="3509214"/>
            <wp:effectExtent l="0" t="0" r="0" b="0"/>
            <wp:docPr id="4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l="31229" t="26252" r="32450" b="32408"/>
                    <a:stretch>
                      <a:fillRect/>
                    </a:stretch>
                  </pic:blipFill>
                  <pic:spPr>
                    <a:xfrm>
                      <a:off x="0" y="0"/>
                      <a:ext cx="5481546" cy="3509214"/>
                    </a:xfrm>
                    <a:prstGeom prst="rect">
                      <a:avLst/>
                    </a:prstGeom>
                    <a:ln/>
                  </pic:spPr>
                </pic:pic>
              </a:graphicData>
            </a:graphic>
          </wp:inline>
        </w:drawing>
      </w:r>
    </w:p>
    <w:p w14:paraId="3EBD5227" w14:textId="2C409B34" w:rsidR="004170F3" w:rsidRDefault="004170F3">
      <w:pPr>
        <w:spacing w:line="360" w:lineRule="auto"/>
        <w:jc w:val="both"/>
      </w:pPr>
      <w:r>
        <w:rPr>
          <w:noProof/>
        </w:rPr>
        <w:lastRenderedPageBreak/>
        <w:drawing>
          <wp:inline distT="0" distB="0" distL="0" distR="0" wp14:anchorId="2BF50A48" wp14:editId="4224B6FD">
            <wp:extent cx="5612130" cy="6315710"/>
            <wp:effectExtent l="0" t="0" r="7620" b="889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6315710"/>
                    </a:xfrm>
                    <a:prstGeom prst="rect">
                      <a:avLst/>
                    </a:prstGeom>
                    <a:noFill/>
                    <a:ln>
                      <a:noFill/>
                    </a:ln>
                  </pic:spPr>
                </pic:pic>
              </a:graphicData>
            </a:graphic>
          </wp:inline>
        </w:drawing>
      </w:r>
    </w:p>
    <w:p w14:paraId="6DBB072A" w14:textId="552A76A3" w:rsidR="004170F3" w:rsidRDefault="00F40E14">
      <w:pPr>
        <w:spacing w:line="360" w:lineRule="auto"/>
        <w:jc w:val="both"/>
      </w:pPr>
      <w:r>
        <w:rPr>
          <w:noProof/>
        </w:rPr>
        <w:lastRenderedPageBreak/>
        <w:drawing>
          <wp:inline distT="0" distB="0" distL="0" distR="0" wp14:anchorId="4D56D1F0" wp14:editId="466CC0BA">
            <wp:extent cx="4997397" cy="6526924"/>
            <wp:effectExtent l="0" t="0" r="0" b="762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0943" cy="6531556"/>
                    </a:xfrm>
                    <a:prstGeom prst="rect">
                      <a:avLst/>
                    </a:prstGeom>
                    <a:noFill/>
                    <a:ln>
                      <a:noFill/>
                    </a:ln>
                  </pic:spPr>
                </pic:pic>
              </a:graphicData>
            </a:graphic>
          </wp:inline>
        </w:drawing>
      </w:r>
    </w:p>
    <w:p w14:paraId="5916279A" w14:textId="33CDBECE" w:rsidR="00F40E14" w:rsidRDefault="00F40E14">
      <w:pPr>
        <w:spacing w:line="360" w:lineRule="auto"/>
        <w:jc w:val="both"/>
      </w:pPr>
      <w:r>
        <w:rPr>
          <w:noProof/>
        </w:rPr>
        <w:lastRenderedPageBreak/>
        <w:drawing>
          <wp:inline distT="0" distB="0" distL="0" distR="0" wp14:anchorId="1E6DCBAD" wp14:editId="4B0DEDC3">
            <wp:extent cx="5116707" cy="6537435"/>
            <wp:effectExtent l="0" t="0" r="8255" b="0"/>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2159" cy="6544400"/>
                    </a:xfrm>
                    <a:prstGeom prst="rect">
                      <a:avLst/>
                    </a:prstGeom>
                    <a:noFill/>
                    <a:ln>
                      <a:noFill/>
                    </a:ln>
                  </pic:spPr>
                </pic:pic>
              </a:graphicData>
            </a:graphic>
          </wp:inline>
        </w:drawing>
      </w:r>
    </w:p>
    <w:p w14:paraId="278DA645" w14:textId="00306283" w:rsidR="004170F3" w:rsidRDefault="004170F3">
      <w:pPr>
        <w:spacing w:line="360" w:lineRule="auto"/>
        <w:jc w:val="both"/>
      </w:pPr>
    </w:p>
    <w:p w14:paraId="5B3FECF7" w14:textId="5D108709" w:rsidR="004170F3" w:rsidRDefault="00F40E14" w:rsidP="00F40E14">
      <w:pPr>
        <w:spacing w:line="360" w:lineRule="auto"/>
        <w:jc w:val="center"/>
      </w:pPr>
      <w:r>
        <w:rPr>
          <w:noProof/>
        </w:rPr>
        <w:drawing>
          <wp:inline distT="0" distB="0" distL="0" distR="0" wp14:anchorId="5E195DF4" wp14:editId="0E3632E2">
            <wp:extent cx="4419600" cy="5772150"/>
            <wp:effectExtent l="0" t="0" r="0" b="0"/>
            <wp:docPr id="43" name="image4.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43" name="image4.png" descr="Interfaz de usuario gráfica, Texto, Aplicación&#10;&#10;Descripción generada automáticamente"/>
                    <pic:cNvPicPr preferRelativeResize="0"/>
                  </pic:nvPicPr>
                  <pic:blipFill>
                    <a:blip r:embed="rId29"/>
                    <a:srcRect l="35980" t="23839" r="34657" b="8267"/>
                    <a:stretch>
                      <a:fillRect/>
                    </a:stretch>
                  </pic:blipFill>
                  <pic:spPr>
                    <a:xfrm>
                      <a:off x="0" y="0"/>
                      <a:ext cx="4420006" cy="5772680"/>
                    </a:xfrm>
                    <a:prstGeom prst="rect">
                      <a:avLst/>
                    </a:prstGeom>
                    <a:ln/>
                  </pic:spPr>
                </pic:pic>
              </a:graphicData>
            </a:graphic>
          </wp:inline>
        </w:drawing>
      </w:r>
    </w:p>
    <w:p w14:paraId="518247AB" w14:textId="3710F231" w:rsidR="004170F3" w:rsidRDefault="004170F3">
      <w:pPr>
        <w:spacing w:line="360" w:lineRule="auto"/>
        <w:jc w:val="both"/>
      </w:pPr>
    </w:p>
    <w:p w14:paraId="13BF8833" w14:textId="07EE1530" w:rsidR="00140F5B" w:rsidRDefault="00F40E14">
      <w:pPr>
        <w:spacing w:line="360" w:lineRule="auto"/>
        <w:jc w:val="both"/>
      </w:pPr>
      <w:r>
        <w:rPr>
          <w:noProof/>
        </w:rPr>
        <w:lastRenderedPageBreak/>
        <w:drawing>
          <wp:inline distT="0" distB="0" distL="0" distR="0" wp14:anchorId="53AF7D25" wp14:editId="6F370172">
            <wp:extent cx="5575726" cy="6338218"/>
            <wp:effectExtent l="0" t="0" r="0" b="0"/>
            <wp:docPr id="44" name="image16.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44" name="image16.png" descr="Interfaz de usuario gráfica, Aplicación&#10;&#10;Descripción generada automáticamente"/>
                    <pic:cNvPicPr preferRelativeResize="0"/>
                  </pic:nvPicPr>
                  <pic:blipFill>
                    <a:blip r:embed="rId30"/>
                    <a:srcRect l="31567" t="13881" r="28717" b="5853"/>
                    <a:stretch>
                      <a:fillRect/>
                    </a:stretch>
                  </pic:blipFill>
                  <pic:spPr>
                    <a:xfrm>
                      <a:off x="0" y="0"/>
                      <a:ext cx="5575726" cy="6338218"/>
                    </a:xfrm>
                    <a:prstGeom prst="rect">
                      <a:avLst/>
                    </a:prstGeom>
                    <a:ln/>
                  </pic:spPr>
                </pic:pic>
              </a:graphicData>
            </a:graphic>
          </wp:inline>
        </w:drawing>
      </w:r>
    </w:p>
    <w:p w14:paraId="35D8C1BA" w14:textId="1FE489A2" w:rsidR="00140F5B" w:rsidRDefault="00140F5B">
      <w:pPr>
        <w:spacing w:line="360" w:lineRule="auto"/>
        <w:jc w:val="both"/>
      </w:pPr>
    </w:p>
    <w:p w14:paraId="578CD50F" w14:textId="3B53A2EA" w:rsidR="00140F5B" w:rsidRDefault="00774F15">
      <w:pPr>
        <w:spacing w:line="360" w:lineRule="auto"/>
        <w:jc w:val="both"/>
      </w:pPr>
      <w:r>
        <w:rPr>
          <w:noProof/>
        </w:rPr>
        <w:drawing>
          <wp:inline distT="0" distB="0" distL="0" distR="0" wp14:anchorId="4FEC0370" wp14:editId="2C4CC67E">
            <wp:extent cx="5652306" cy="3124270"/>
            <wp:effectExtent l="0" t="0" r="0" b="0"/>
            <wp:docPr id="4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l="30888" t="29572" r="28887" b="30899"/>
                    <a:stretch>
                      <a:fillRect/>
                    </a:stretch>
                  </pic:blipFill>
                  <pic:spPr>
                    <a:xfrm>
                      <a:off x="0" y="0"/>
                      <a:ext cx="5652306" cy="3124270"/>
                    </a:xfrm>
                    <a:prstGeom prst="rect">
                      <a:avLst/>
                    </a:prstGeom>
                    <a:ln/>
                  </pic:spPr>
                </pic:pic>
              </a:graphicData>
            </a:graphic>
          </wp:inline>
        </w:drawing>
      </w:r>
    </w:p>
    <w:p w14:paraId="129DC7B2" w14:textId="2945166C" w:rsidR="000C635C" w:rsidRDefault="00DC34B3">
      <w:pPr>
        <w:spacing w:line="360" w:lineRule="auto"/>
        <w:jc w:val="both"/>
      </w:pPr>
      <w:r>
        <w:rPr>
          <w:noProof/>
        </w:rPr>
        <w:lastRenderedPageBreak/>
        <w:drawing>
          <wp:inline distT="0" distB="0" distL="0" distR="0" wp14:anchorId="4E05CDC0" wp14:editId="38C99AD1">
            <wp:extent cx="5612130" cy="6382385"/>
            <wp:effectExtent l="0" t="0" r="7620" b="0"/>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6382385"/>
                    </a:xfrm>
                    <a:prstGeom prst="rect">
                      <a:avLst/>
                    </a:prstGeom>
                    <a:noFill/>
                    <a:ln>
                      <a:noFill/>
                    </a:ln>
                  </pic:spPr>
                </pic:pic>
              </a:graphicData>
            </a:graphic>
          </wp:inline>
        </w:drawing>
      </w:r>
    </w:p>
    <w:p w14:paraId="5A7A068C" w14:textId="426FF215" w:rsidR="00DC34B3" w:rsidRDefault="00DC34B3" w:rsidP="00DC34B3">
      <w:pPr>
        <w:spacing w:line="360" w:lineRule="auto"/>
        <w:jc w:val="center"/>
      </w:pPr>
      <w:r>
        <w:rPr>
          <w:noProof/>
        </w:rPr>
        <w:lastRenderedPageBreak/>
        <w:drawing>
          <wp:inline distT="0" distB="0" distL="0" distR="0" wp14:anchorId="1C46D6A1" wp14:editId="38557B82">
            <wp:extent cx="4486998" cy="6108065"/>
            <wp:effectExtent l="0" t="0" r="8890" b="6985"/>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 Carta&#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8853" cy="6110590"/>
                    </a:xfrm>
                    <a:prstGeom prst="rect">
                      <a:avLst/>
                    </a:prstGeom>
                    <a:noFill/>
                    <a:ln>
                      <a:noFill/>
                    </a:ln>
                  </pic:spPr>
                </pic:pic>
              </a:graphicData>
            </a:graphic>
          </wp:inline>
        </w:drawing>
      </w:r>
    </w:p>
    <w:p w14:paraId="5BA6F0E2" w14:textId="60022C26" w:rsidR="00DC34B3" w:rsidRDefault="00DC34B3" w:rsidP="00DC34B3">
      <w:pPr>
        <w:spacing w:line="360" w:lineRule="auto"/>
        <w:jc w:val="center"/>
      </w:pPr>
      <w:r>
        <w:rPr>
          <w:noProof/>
        </w:rPr>
        <w:lastRenderedPageBreak/>
        <w:drawing>
          <wp:inline distT="0" distB="0" distL="0" distR="0" wp14:anchorId="56BB7B32" wp14:editId="588E23D9">
            <wp:extent cx="4571038" cy="6537960"/>
            <wp:effectExtent l="0" t="0" r="1270" b="0"/>
            <wp:docPr id="9" name="Imagen 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 Carta&#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9612" cy="6550223"/>
                    </a:xfrm>
                    <a:prstGeom prst="rect">
                      <a:avLst/>
                    </a:prstGeom>
                    <a:noFill/>
                    <a:ln>
                      <a:noFill/>
                    </a:ln>
                  </pic:spPr>
                </pic:pic>
              </a:graphicData>
            </a:graphic>
          </wp:inline>
        </w:drawing>
      </w:r>
    </w:p>
    <w:p w14:paraId="4E64925C" w14:textId="3107BBB2" w:rsidR="00DC34B3" w:rsidRDefault="00DC34B3" w:rsidP="00DC34B3">
      <w:pPr>
        <w:spacing w:line="360" w:lineRule="auto"/>
        <w:jc w:val="center"/>
      </w:pPr>
      <w:r>
        <w:rPr>
          <w:noProof/>
        </w:rPr>
        <w:lastRenderedPageBreak/>
        <w:drawing>
          <wp:inline distT="0" distB="0" distL="0" distR="0" wp14:anchorId="05F2D42E" wp14:editId="4FBC6513">
            <wp:extent cx="5612130" cy="5947410"/>
            <wp:effectExtent l="0" t="0" r="7620" b="0"/>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5947410"/>
                    </a:xfrm>
                    <a:prstGeom prst="rect">
                      <a:avLst/>
                    </a:prstGeom>
                    <a:noFill/>
                    <a:ln>
                      <a:noFill/>
                    </a:ln>
                  </pic:spPr>
                </pic:pic>
              </a:graphicData>
            </a:graphic>
          </wp:inline>
        </w:drawing>
      </w:r>
    </w:p>
    <w:p w14:paraId="5A33B390" w14:textId="4980B36E" w:rsidR="000C635C" w:rsidRDefault="000C635C" w:rsidP="000C635C">
      <w:pPr>
        <w:spacing w:line="360" w:lineRule="auto"/>
        <w:jc w:val="center"/>
      </w:pPr>
    </w:p>
    <w:p w14:paraId="50D68E25" w14:textId="77777777" w:rsidR="00140F5B" w:rsidRDefault="00774F15">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Por otro lado, respecto de </w:t>
      </w:r>
      <w:proofErr w:type="gramStart"/>
      <w:r>
        <w:rPr>
          <w:rFonts w:ascii="Palatino Linotype" w:eastAsia="Palatino Linotype" w:hAnsi="Palatino Linotype" w:cs="Palatino Linotype"/>
          <w:color w:val="000000"/>
          <w:sz w:val="24"/>
          <w:szCs w:val="24"/>
        </w:rPr>
        <w:t>las pólizas contable</w:t>
      </w:r>
      <w:proofErr w:type="gramEnd"/>
      <w:r>
        <w:rPr>
          <w:rFonts w:ascii="Palatino Linotype" w:eastAsia="Palatino Linotype" w:hAnsi="Palatino Linotype" w:cs="Palatino Linotype"/>
          <w:color w:val="000000"/>
          <w:sz w:val="24"/>
          <w:szCs w:val="24"/>
        </w:rPr>
        <w:t xml:space="preserve"> que amparen o comprueben el gasto erogado,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5217F848" w14:textId="77777777" w:rsidR="00140F5B" w:rsidRDefault="00774F15">
      <w:pPr>
        <w:spacing w:before="120" w:after="120"/>
        <w:ind w:left="862" w:right="86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342.-</w:t>
      </w:r>
      <w:r>
        <w:rPr>
          <w:rFonts w:ascii="Palatino Linotype" w:eastAsia="Palatino Linotype" w:hAnsi="Palatino Linotype" w:cs="Palatino Linotype"/>
          <w:i/>
        </w:rPr>
        <w:t xml:space="preserve"> - El registro contable del efecto patrimonial y presupuestal de las operaciones financieras, se realizará conforme al sistema y a las disposiciones que se aprueben en materia de planeación, programación, </w:t>
      </w:r>
      <w:proofErr w:type="spellStart"/>
      <w:r>
        <w:rPr>
          <w:rFonts w:ascii="Palatino Linotype" w:eastAsia="Palatino Linotype" w:hAnsi="Palatino Linotype" w:cs="Palatino Linotype"/>
          <w:i/>
        </w:rPr>
        <w:t>presupuestación</w:t>
      </w:r>
      <w:proofErr w:type="spellEnd"/>
      <w:r>
        <w:rPr>
          <w:rFonts w:ascii="Palatino Linotype" w:eastAsia="Palatino Linotype" w:hAnsi="Palatino Linotype" w:cs="Palatino Linotype"/>
          <w:i/>
        </w:rPr>
        <w:t>, evaluación y contabilidad gubernamental.</w:t>
      </w:r>
    </w:p>
    <w:p w14:paraId="7C9CCFFF" w14:textId="77777777" w:rsidR="00140F5B" w:rsidRDefault="00774F15">
      <w:pPr>
        <w:spacing w:before="120" w:after="120"/>
        <w:ind w:left="862" w:right="862"/>
        <w:jc w:val="both"/>
        <w:rPr>
          <w:rFonts w:ascii="Palatino Linotype" w:eastAsia="Palatino Linotype" w:hAnsi="Palatino Linotype" w:cs="Palatino Linotype"/>
          <w:i/>
        </w:rPr>
      </w:pPr>
      <w:r>
        <w:rPr>
          <w:rFonts w:ascii="Palatino Linotype" w:eastAsia="Palatino Linotype" w:hAnsi="Palatino Linotype" w:cs="Palatino Linotype"/>
          <w:i/>
        </w:rPr>
        <w:t xml:space="preserve">En el caso de los municipios, el registro a que se refiere el párrafo anterior, se realizará conforme al sistema y a las disposiciones en materia de planeación, programación, </w:t>
      </w:r>
      <w:proofErr w:type="spellStart"/>
      <w:r>
        <w:rPr>
          <w:rFonts w:ascii="Palatino Linotype" w:eastAsia="Palatino Linotype" w:hAnsi="Palatino Linotype" w:cs="Palatino Linotype"/>
          <w:i/>
        </w:rPr>
        <w:t>presupuestación</w:t>
      </w:r>
      <w:proofErr w:type="spellEnd"/>
      <w:r>
        <w:rPr>
          <w:rFonts w:ascii="Palatino Linotype" w:eastAsia="Palatino Linotype" w:hAnsi="Palatino Linotype" w:cs="Palatino Linotype"/>
          <w:i/>
        </w:rPr>
        <w:t>, evaluación y contabilidad gubernamental, que se aprueben en el marco del Sistema de Coordinación Hacendaria del Estado de México.</w:t>
      </w:r>
    </w:p>
    <w:p w14:paraId="26E474C8" w14:textId="77777777" w:rsidR="00140F5B" w:rsidRDefault="00774F15">
      <w:pPr>
        <w:spacing w:before="120" w:after="120"/>
        <w:ind w:left="862" w:right="862"/>
        <w:jc w:val="both"/>
        <w:rPr>
          <w:rFonts w:ascii="Palatino Linotype" w:eastAsia="Palatino Linotype" w:hAnsi="Palatino Linotype" w:cs="Palatino Linotype"/>
          <w:i/>
        </w:rPr>
      </w:pPr>
      <w:r>
        <w:rPr>
          <w:rFonts w:ascii="Palatino Linotype" w:eastAsia="Palatino Linotype" w:hAnsi="Palatino Linotype" w:cs="Palatino Linotype"/>
          <w:b/>
          <w:i/>
        </w:rPr>
        <w:t>Artículo 343.-</w:t>
      </w:r>
      <w:r>
        <w:rPr>
          <w:rFonts w:ascii="Palatino Linotype" w:eastAsia="Palatino Linotype" w:hAnsi="Palatino Linotype" w:cs="Palatino Linotype"/>
          <w:i/>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2560DBF9" w14:textId="77777777" w:rsidR="00140F5B" w:rsidRDefault="00774F15">
      <w:pPr>
        <w:spacing w:before="120" w:after="120"/>
        <w:ind w:left="862" w:right="862"/>
        <w:jc w:val="both"/>
        <w:rPr>
          <w:rFonts w:ascii="Palatino Linotype" w:eastAsia="Palatino Linotype" w:hAnsi="Palatino Linotype" w:cs="Palatino Linotype"/>
          <w:i/>
        </w:rPr>
      </w:pPr>
      <w:r>
        <w:rPr>
          <w:rFonts w:ascii="Palatino Linotype" w:eastAsia="Palatino Linotype" w:hAnsi="Palatino Linotype" w:cs="Palatino Linotype"/>
          <w:i/>
        </w:rPr>
        <w:t>El sistema de contabilidad sobre base acumulativa total, se sustentará en las normas emitidas por el Consejo Nacional de Armonización Contable.</w:t>
      </w:r>
    </w:p>
    <w:p w14:paraId="0FE3A598" w14:textId="77777777" w:rsidR="00140F5B" w:rsidRDefault="00774F15">
      <w:pPr>
        <w:spacing w:before="120" w:after="120"/>
        <w:ind w:left="862" w:right="862"/>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Artículo 344.- Los Entes Públicos, a través de cualquiera de sus unidades administrativas, de acuerdo con su naturaleza jurídica y según corresponda, </w:t>
      </w:r>
      <w:r>
        <w:rPr>
          <w:rFonts w:ascii="Palatino Linotype" w:eastAsia="Palatino Linotype" w:hAnsi="Palatino Linotype" w:cs="Palatino Linotype"/>
          <w:b/>
          <w:i/>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Pr>
          <w:rFonts w:ascii="Palatino Linotype" w:eastAsia="Palatino Linotype" w:hAnsi="Palatino Linotype" w:cs="Palatino Linotype"/>
          <w:b/>
          <w:i/>
        </w:rPr>
        <w:t>.</w:t>
      </w:r>
    </w:p>
    <w:p w14:paraId="2B546C4C" w14:textId="77777777" w:rsidR="00140F5B" w:rsidRDefault="00774F15">
      <w:pPr>
        <w:spacing w:before="120" w:after="120"/>
        <w:ind w:left="862" w:right="862"/>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Pr>
          <w:rFonts w:ascii="Palatino Linotype" w:eastAsia="Palatino Linotype" w:hAnsi="Palatino Linotype" w:cs="Palatino Linotype"/>
          <w:i/>
        </w:rPr>
        <w:t xml:space="preserve">según corresponda, así como de los órganos internos de control, </w:t>
      </w:r>
      <w:r>
        <w:rPr>
          <w:rFonts w:ascii="Palatino Linotype" w:eastAsia="Palatino Linotype" w:hAnsi="Palatino Linotype" w:cs="Palatino Linotype"/>
          <w:b/>
          <w:i/>
        </w:rPr>
        <w:t>por un término de cinco años,</w:t>
      </w:r>
      <w:r>
        <w:rPr>
          <w:rFonts w:ascii="Palatino Linotype" w:eastAsia="Palatino Linotype" w:hAnsi="Palatino Linotype" w:cs="Palatino Linotype"/>
          <w:i/>
        </w:rPr>
        <w:t xml:space="preserve"> contados a partir del ejercicio presupuestal siguiente al que corresponda,</w:t>
      </w:r>
      <w:r>
        <w:rPr>
          <w:rFonts w:ascii="Palatino Linotype" w:eastAsia="Palatino Linotype" w:hAnsi="Palatino Linotype" w:cs="Palatino Linotype"/>
          <w:b/>
          <w:i/>
        </w:rPr>
        <w:t xml:space="preserve"> en el caso de los Municipios, dicha obligación corresponderá a la Tesorería.</w:t>
      </w:r>
    </w:p>
    <w:p w14:paraId="60CB5C4D" w14:textId="77777777" w:rsidR="00140F5B" w:rsidRDefault="00774F15">
      <w:pPr>
        <w:spacing w:before="120" w:after="120"/>
        <w:ind w:left="862" w:right="862"/>
        <w:jc w:val="both"/>
        <w:rPr>
          <w:rFonts w:ascii="Palatino Linotype" w:eastAsia="Palatino Linotype" w:hAnsi="Palatino Linotype" w:cs="Palatino Linotype"/>
          <w:i/>
        </w:rPr>
      </w:pPr>
      <w:r>
        <w:rPr>
          <w:rFonts w:ascii="Palatino Linotype" w:eastAsia="Palatino Linotype" w:hAnsi="Palatino Linotype" w:cs="Palatino Linotype"/>
          <w:i/>
        </w:rPr>
        <w:t>Tratándose de documentos de carácter histórico, se estará a lo dispuesto por la legislación de la materia.</w:t>
      </w:r>
    </w:p>
    <w:p w14:paraId="74A0D4C1" w14:textId="77777777" w:rsidR="00140F5B" w:rsidRDefault="00774F15">
      <w:pPr>
        <w:spacing w:before="120" w:after="120"/>
        <w:ind w:left="862" w:right="86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90EE7B3" w14:textId="77777777" w:rsidR="00140F5B" w:rsidRDefault="00774F15">
      <w:pPr>
        <w:spacing w:before="120" w:after="120"/>
        <w:ind w:left="862" w:right="862"/>
        <w:jc w:val="both"/>
        <w:rPr>
          <w:rFonts w:ascii="Palatino Linotype" w:eastAsia="Palatino Linotype" w:hAnsi="Palatino Linotype" w:cs="Palatino Linotype"/>
          <w:b/>
          <w:i/>
        </w:rPr>
      </w:pPr>
      <w:r>
        <w:rPr>
          <w:rFonts w:ascii="Palatino Linotype" w:eastAsia="Palatino Linotype" w:hAnsi="Palatino Linotype" w:cs="Palatino Linotype"/>
          <w:b/>
          <w:i/>
        </w:rPr>
        <w:t>Artículo 345.-</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Pr>
          <w:rFonts w:ascii="Palatino Linotype" w:eastAsia="Palatino Linotype" w:hAnsi="Palatino Linotype" w:cs="Palatino Linotype"/>
          <w:b/>
          <w:i/>
          <w:u w:val="single"/>
        </w:rPr>
        <w:t>Tratándose de los comprobantes fiscales digitales, estos deberán estar agregados en forma electrónica a cada póliza de registro contable</w:t>
      </w:r>
      <w:r>
        <w:rPr>
          <w:rFonts w:ascii="Palatino Linotype" w:eastAsia="Palatino Linotype" w:hAnsi="Palatino Linotype" w:cs="Palatino Linotype"/>
          <w:b/>
          <w:i/>
        </w:rPr>
        <w:t>.</w:t>
      </w:r>
    </w:p>
    <w:p w14:paraId="2BDB93F9" w14:textId="77777777" w:rsidR="00140F5B" w:rsidRDefault="00774F15">
      <w:pPr>
        <w:spacing w:before="120" w:after="120"/>
        <w:ind w:left="862" w:right="862"/>
        <w:jc w:val="both"/>
        <w:rPr>
          <w:rFonts w:ascii="Palatino Linotype" w:eastAsia="Palatino Linotype" w:hAnsi="Palatino Linotype" w:cs="Palatino Linotype"/>
          <w:i/>
        </w:rPr>
      </w:pPr>
      <w:r>
        <w:rPr>
          <w:rFonts w:ascii="Palatino Linotype" w:eastAsia="Palatino Linotype" w:hAnsi="Palatino Linotype" w:cs="Palatino Linotype"/>
          <w:i/>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Pr>
          <w:rFonts w:ascii="Palatino Linotype" w:eastAsia="Palatino Linotype" w:hAnsi="Palatino Linotype" w:cs="Palatino Linotype"/>
          <w:b/>
          <w:i/>
        </w:rPr>
        <w:t>deberán estar agregados en forma electrónica a cada póliza de registro contable</w:t>
      </w:r>
      <w:r>
        <w:rPr>
          <w:rFonts w:ascii="Palatino Linotype" w:eastAsia="Palatino Linotype" w:hAnsi="Palatino Linotype" w:cs="Palatino Linotype"/>
          <w:i/>
        </w:rPr>
        <w:t>.</w:t>
      </w:r>
    </w:p>
    <w:p w14:paraId="21C8780C" w14:textId="77777777" w:rsidR="00140F5B" w:rsidRDefault="00774F15">
      <w:pPr>
        <w:spacing w:before="120" w:after="120"/>
        <w:ind w:left="862" w:right="862"/>
        <w:jc w:val="both"/>
        <w:rPr>
          <w:rFonts w:ascii="Palatino Linotype" w:eastAsia="Palatino Linotype" w:hAnsi="Palatino Linotype" w:cs="Palatino Linotype"/>
          <w:b/>
          <w:i/>
        </w:rPr>
      </w:pPr>
      <w:r>
        <w:rPr>
          <w:rFonts w:ascii="Palatino Linotype" w:eastAsia="Palatino Linotype" w:hAnsi="Palatino Linotype" w:cs="Palatino Linotype"/>
          <w:i/>
        </w:rPr>
        <w:t>El plazo señalado en este artículo empezará a contar a partir de la publicación en el Periódico Oficial, del decreto correspondiente.</w:t>
      </w:r>
      <w:r>
        <w:rPr>
          <w:rFonts w:ascii="Palatino Linotype" w:eastAsia="Palatino Linotype" w:hAnsi="Palatino Linotype" w:cs="Palatino Linotype"/>
          <w:b/>
          <w:i/>
        </w:rPr>
        <w:t>”</w:t>
      </w:r>
    </w:p>
    <w:p w14:paraId="22B22DDE" w14:textId="77777777" w:rsidR="00140F5B" w:rsidRDefault="00774F15">
      <w:pPr>
        <w:spacing w:before="12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De una interpretación sistemática de los artículos transcritos, se desprende primeramente que el registro contable del presupuestal de las operaciones financieras se realizará conforme al sistema y a las disposiciones que se aprueben en materia de planeación, programación, </w:t>
      </w:r>
      <w:proofErr w:type="spellStart"/>
      <w:r>
        <w:rPr>
          <w:rFonts w:ascii="Palatino Linotype" w:eastAsia="Palatino Linotype" w:hAnsi="Palatino Linotype" w:cs="Palatino Linotype"/>
          <w:sz w:val="24"/>
          <w:szCs w:val="24"/>
        </w:rPr>
        <w:t>presupuestación</w:t>
      </w:r>
      <w:proofErr w:type="spellEnd"/>
      <w:r>
        <w:rPr>
          <w:rFonts w:ascii="Palatino Linotype" w:eastAsia="Palatino Linotype" w:hAnsi="Palatino Linotype" w:cs="Palatino Linotype"/>
          <w:sz w:val="24"/>
          <w:szCs w:val="24"/>
        </w:rPr>
        <w:t>, evaluación y contabilidad gubernamental.</w:t>
      </w:r>
    </w:p>
    <w:p w14:paraId="28965865" w14:textId="77777777" w:rsidR="00140F5B" w:rsidRDefault="00140F5B">
      <w:pPr>
        <w:spacing w:after="0" w:line="360" w:lineRule="auto"/>
        <w:jc w:val="both"/>
        <w:rPr>
          <w:rFonts w:ascii="Palatino Linotype" w:eastAsia="Palatino Linotype" w:hAnsi="Palatino Linotype" w:cs="Palatino Linotype"/>
          <w:sz w:val="24"/>
          <w:szCs w:val="24"/>
        </w:rPr>
      </w:pPr>
    </w:p>
    <w:p w14:paraId="2AC9DDC1"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w:t>
      </w:r>
      <w:proofErr w:type="spellStart"/>
      <w:r>
        <w:rPr>
          <w:rFonts w:ascii="Palatino Linotype" w:eastAsia="Palatino Linotype" w:hAnsi="Palatino Linotype" w:cs="Palatino Linotype"/>
          <w:sz w:val="24"/>
          <w:szCs w:val="24"/>
        </w:rPr>
        <w:t>Presupuestación</w:t>
      </w:r>
      <w:proofErr w:type="spellEnd"/>
      <w:r>
        <w:rPr>
          <w:rFonts w:ascii="Palatino Linotype" w:eastAsia="Palatino Linotype" w:hAnsi="Palatino Linotype" w:cs="Palatino Linotype"/>
          <w:sz w:val="24"/>
          <w:szCs w:val="24"/>
        </w:rPr>
        <w:t xml:space="preserve"> y Evaluación en la Administración Pública”</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1D4CFE65" w14:textId="77777777" w:rsidR="00140F5B" w:rsidRDefault="00140F5B">
      <w:pPr>
        <w:spacing w:after="0" w:line="360" w:lineRule="auto"/>
        <w:jc w:val="both"/>
        <w:rPr>
          <w:rFonts w:ascii="Palatino Linotype" w:eastAsia="Palatino Linotype" w:hAnsi="Palatino Linotype" w:cs="Palatino Linotype"/>
        </w:rPr>
      </w:pPr>
    </w:p>
    <w:p w14:paraId="2DC834E5" w14:textId="77777777" w:rsidR="00140F5B" w:rsidRDefault="00774F15">
      <w:pPr>
        <w:spacing w:after="120"/>
        <w:ind w:left="851" w:right="900" w:hanging="9"/>
        <w:jc w:val="both"/>
        <w:rPr>
          <w:rFonts w:ascii="Palatino Linotype" w:eastAsia="Palatino Linotype" w:hAnsi="Palatino Linotype" w:cs="Palatino Linotype"/>
          <w:b/>
          <w:i/>
        </w:rPr>
      </w:pPr>
      <w:r>
        <w:rPr>
          <w:rFonts w:ascii="Palatino Linotype" w:eastAsia="Palatino Linotype" w:hAnsi="Palatino Linotype" w:cs="Palatino Linotype"/>
          <w:b/>
          <w:i/>
        </w:rPr>
        <w:t>“REGISTRO CONTABLE</w:t>
      </w:r>
    </w:p>
    <w:p w14:paraId="74A2049D" w14:textId="77777777" w:rsidR="00140F5B" w:rsidRDefault="00774F15">
      <w:pPr>
        <w:spacing w:before="120" w:after="120"/>
        <w:ind w:left="851" w:right="900" w:hanging="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Asiento que se realiza en los libros de contabilidad de las actividades relacionadas con el ingreso y egresos de un ente económico.”</w:t>
      </w:r>
    </w:p>
    <w:p w14:paraId="0697E98F" w14:textId="77777777" w:rsidR="00140F5B" w:rsidRDefault="00774F15">
      <w:pPr>
        <w:spacing w:before="120" w:after="120"/>
        <w:ind w:left="851" w:right="900" w:hanging="9"/>
        <w:jc w:val="both"/>
        <w:rPr>
          <w:rFonts w:ascii="Palatino Linotype" w:eastAsia="Palatino Linotype" w:hAnsi="Palatino Linotype" w:cs="Palatino Linotype"/>
          <w:b/>
          <w:i/>
        </w:rPr>
      </w:pPr>
      <w:r>
        <w:rPr>
          <w:rFonts w:ascii="Palatino Linotype" w:eastAsia="Palatino Linotype" w:hAnsi="Palatino Linotype" w:cs="Palatino Linotype"/>
          <w:b/>
          <w:i/>
        </w:rPr>
        <w:t>“REGISTRO PRESUPUESTARIO</w:t>
      </w:r>
    </w:p>
    <w:p w14:paraId="0CE7C36E" w14:textId="77777777" w:rsidR="00140F5B" w:rsidRDefault="00774F15">
      <w:pPr>
        <w:spacing w:before="120" w:after="120"/>
        <w:ind w:left="851" w:right="900" w:hanging="9"/>
        <w:jc w:val="both"/>
        <w:rPr>
          <w:rFonts w:ascii="Palatino Linotype" w:eastAsia="Palatino Linotype" w:hAnsi="Palatino Linotype" w:cs="Palatino Linotype"/>
          <w:i/>
        </w:rPr>
      </w:pPr>
      <w:r>
        <w:rPr>
          <w:rFonts w:ascii="Palatino Linotype" w:eastAsia="Palatino Linotype" w:hAnsi="Palatino Linotype" w:cs="Palatino Linotype"/>
          <w:i/>
        </w:rPr>
        <w:t>Asiento contable de las erogaciones realizadas por las dependencias y entidades con relación a la asignación, modificación y ejercicio de los recursos presupuestarios que se les hayan autorizado.”</w:t>
      </w:r>
    </w:p>
    <w:p w14:paraId="32411A72" w14:textId="77777777" w:rsidR="00140F5B" w:rsidRDefault="00140F5B">
      <w:pPr>
        <w:spacing w:before="120" w:after="0" w:line="360" w:lineRule="auto"/>
        <w:ind w:right="51"/>
        <w:jc w:val="both"/>
        <w:rPr>
          <w:rFonts w:ascii="Palatino Linotype" w:eastAsia="Palatino Linotype" w:hAnsi="Palatino Linotype" w:cs="Palatino Linotype"/>
          <w:sz w:val="24"/>
          <w:szCs w:val="24"/>
        </w:rPr>
      </w:pPr>
    </w:p>
    <w:p w14:paraId="06A045D5" w14:textId="77777777" w:rsidR="00140F5B" w:rsidRDefault="00774F15">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Como bien se desprende de las definiciones, los registros contables y presupuestarios son asientos o anotaciones contables que se realizan tanto de los ingresos como de los egresos, a decir se trata de un control financiero que en el que se reconoce la obligación del Tesorero de llevar dicho registro.</w:t>
      </w:r>
    </w:p>
    <w:p w14:paraId="4DA3BB9E" w14:textId="77777777" w:rsidR="00140F5B" w:rsidRDefault="00140F5B">
      <w:pPr>
        <w:spacing w:after="0" w:line="360" w:lineRule="auto"/>
        <w:jc w:val="both"/>
        <w:rPr>
          <w:rFonts w:ascii="Palatino Linotype" w:eastAsia="Palatino Linotype" w:hAnsi="Palatino Linotype" w:cs="Palatino Linotype"/>
          <w:sz w:val="24"/>
          <w:szCs w:val="24"/>
        </w:rPr>
      </w:pPr>
    </w:p>
    <w:p w14:paraId="1D6181EE"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otra parte, se establece que el sistema de contabilidad sobre base acumulativa total se sustentará en los principios de contabilidad gubernamental.</w:t>
      </w:r>
    </w:p>
    <w:p w14:paraId="40C23FA8"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7710F2B5" w14:textId="77777777" w:rsidR="00140F5B" w:rsidRDefault="00140F5B">
      <w:pPr>
        <w:spacing w:after="0" w:line="360" w:lineRule="auto"/>
        <w:jc w:val="both"/>
        <w:rPr>
          <w:rFonts w:ascii="Palatino Linotype" w:eastAsia="Palatino Linotype" w:hAnsi="Palatino Linotype" w:cs="Palatino Linotype"/>
          <w:sz w:val="24"/>
          <w:szCs w:val="24"/>
        </w:rPr>
      </w:pPr>
    </w:p>
    <w:p w14:paraId="603C126C"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Correlativo a lo anterior, es preciso referir una definición de </w:t>
      </w:r>
      <w:r>
        <w:rPr>
          <w:rFonts w:ascii="Palatino Linotype" w:eastAsia="Palatino Linotype" w:hAnsi="Palatino Linotype" w:cs="Palatino Linotype"/>
          <w:i/>
          <w:sz w:val="24"/>
          <w:szCs w:val="24"/>
        </w:rPr>
        <w:t>póliza contable</w:t>
      </w:r>
      <w:r>
        <w:rPr>
          <w:rFonts w:ascii="Palatino Linotype" w:eastAsia="Palatino Linotype" w:hAnsi="Palatino Linotype" w:cs="Palatino Linotype"/>
          <w:sz w:val="24"/>
          <w:szCs w:val="24"/>
        </w:rPr>
        <w:t>, la cual, primeramente, no está definida en el Código Financiero del Estado de México y Municipios; no obstante, el ya mencionado Glosario la define como:</w:t>
      </w:r>
    </w:p>
    <w:p w14:paraId="7B9B9F0F" w14:textId="77777777" w:rsidR="00140F5B" w:rsidRDefault="00140F5B">
      <w:pPr>
        <w:spacing w:after="0" w:line="360" w:lineRule="auto"/>
        <w:ind w:left="862" w:right="902"/>
        <w:jc w:val="both"/>
        <w:rPr>
          <w:rFonts w:ascii="Palatino Linotype" w:eastAsia="Palatino Linotype" w:hAnsi="Palatino Linotype" w:cs="Palatino Linotype"/>
          <w:i/>
        </w:rPr>
      </w:pPr>
    </w:p>
    <w:p w14:paraId="1C31FCE2" w14:textId="77777777" w:rsidR="00140F5B" w:rsidRDefault="00774F15">
      <w:pPr>
        <w:spacing w:after="0" w:line="360" w:lineRule="auto"/>
        <w:ind w:left="862" w:right="902"/>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PÓLIZA CONTABLE</w:t>
      </w:r>
    </w:p>
    <w:p w14:paraId="44BF3C73" w14:textId="77777777" w:rsidR="00140F5B" w:rsidRDefault="00774F15">
      <w:pPr>
        <w:spacing w:after="0" w:line="360" w:lineRule="auto"/>
        <w:ind w:left="862"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Documento en el cual se asientan en forma individual todas y cada una de las operaciones desarrolladas por una institución, así como la información necesaria para la identificación de dichas operaciones.” </w:t>
      </w:r>
    </w:p>
    <w:p w14:paraId="777ED327" w14:textId="77777777" w:rsidR="00140F5B" w:rsidRDefault="00140F5B">
      <w:pPr>
        <w:spacing w:after="0" w:line="360" w:lineRule="auto"/>
        <w:ind w:left="862" w:right="902"/>
        <w:jc w:val="both"/>
        <w:rPr>
          <w:rFonts w:ascii="Palatino Linotype" w:eastAsia="Palatino Linotype" w:hAnsi="Palatino Linotype" w:cs="Palatino Linotype"/>
          <w:i/>
        </w:rPr>
      </w:pPr>
    </w:p>
    <w:p w14:paraId="57777507"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se advierte que la </w:t>
      </w:r>
      <w:r>
        <w:rPr>
          <w:rFonts w:ascii="Palatino Linotype" w:eastAsia="Palatino Linotype" w:hAnsi="Palatino Linotype" w:cs="Palatino Linotype"/>
          <w:i/>
          <w:sz w:val="24"/>
          <w:szCs w:val="24"/>
        </w:rPr>
        <w:t>póliza contable</w:t>
      </w:r>
      <w:r>
        <w:rPr>
          <w:rFonts w:ascii="Palatino Linotype" w:eastAsia="Palatino Linotype" w:hAnsi="Palatino Linotype" w:cs="Palatino Linotype"/>
          <w:sz w:val="24"/>
          <w:szCs w:val="24"/>
        </w:rPr>
        <w:t xml:space="preserve"> constituye un registro contable y presupuestal con el que cuentan los Municipios para el registro de operaciones relacionadas con </w:t>
      </w:r>
      <w:r>
        <w:rPr>
          <w:rFonts w:ascii="Palatino Linotype" w:eastAsia="Palatino Linotype" w:hAnsi="Palatino Linotype" w:cs="Palatino Linotype"/>
          <w:sz w:val="24"/>
          <w:szCs w:val="24"/>
          <w:u w:val="single"/>
        </w:rPr>
        <w:t>ingresos y egresos</w:t>
      </w:r>
      <w:r>
        <w:rPr>
          <w:rFonts w:ascii="Palatino Linotype" w:eastAsia="Palatino Linotype" w:hAnsi="Palatino Linotype" w:cs="Palatino Linotype"/>
          <w:sz w:val="24"/>
          <w:szCs w:val="24"/>
        </w:rPr>
        <w:t xml:space="preserve"> y se anexan los documentos o comprobantes que justifiquen las anotaciones y cantidades en ellas registradas, lo que permite la identificación plena de dichas operaciones.</w:t>
      </w:r>
    </w:p>
    <w:p w14:paraId="1CD1831C" w14:textId="77777777" w:rsidR="00140F5B" w:rsidRDefault="00140F5B">
      <w:pPr>
        <w:spacing w:after="0" w:line="360" w:lineRule="auto"/>
        <w:jc w:val="both"/>
        <w:rPr>
          <w:rFonts w:ascii="Palatino Linotype" w:eastAsia="Palatino Linotype" w:hAnsi="Palatino Linotype" w:cs="Palatino Linotype"/>
          <w:i/>
          <w:sz w:val="24"/>
          <w:szCs w:val="24"/>
        </w:rPr>
      </w:pPr>
    </w:p>
    <w:p w14:paraId="2C9F7C6D"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sentido, existen diversos tipos de pólizas contables de acuerdo a las operaciones realizadas, dentro de las cuales, encontramos las </w:t>
      </w:r>
      <w:r>
        <w:rPr>
          <w:rFonts w:ascii="Palatino Linotype" w:eastAsia="Palatino Linotype" w:hAnsi="Palatino Linotype" w:cs="Palatino Linotype"/>
          <w:i/>
          <w:sz w:val="24"/>
          <w:szCs w:val="24"/>
        </w:rPr>
        <w:t>pólizas de egresos e ingresos</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las primeras son aquellas en las cuales </w:t>
      </w:r>
      <w:r>
        <w:rPr>
          <w:rFonts w:ascii="Palatino Linotype" w:eastAsia="Palatino Linotype" w:hAnsi="Palatino Linotype" w:cs="Palatino Linotype"/>
          <w:b/>
          <w:sz w:val="24"/>
          <w:szCs w:val="24"/>
          <w:u w:val="single"/>
        </w:rPr>
        <w:t>se anotan diariamente las operaciones que representan gastos, es decir, salidas de dinero</w:t>
      </w:r>
      <w:r>
        <w:rPr>
          <w:rFonts w:ascii="Palatino Linotype" w:eastAsia="Palatino Linotype" w:hAnsi="Palatino Linotype" w:cs="Palatino Linotype"/>
          <w:sz w:val="24"/>
          <w:szCs w:val="24"/>
        </w:rPr>
        <w:t xml:space="preserve"> para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las que además, </w:t>
      </w:r>
      <w:r>
        <w:rPr>
          <w:rFonts w:ascii="Palatino Linotype" w:eastAsia="Palatino Linotype" w:hAnsi="Palatino Linotype" w:cs="Palatino Linotype"/>
          <w:b/>
          <w:sz w:val="24"/>
          <w:szCs w:val="24"/>
        </w:rPr>
        <w:t>deben encontrarse acompañadas de las documentales que sirven de soporte de dicho movimiento</w:t>
      </w:r>
      <w:r>
        <w:rPr>
          <w:rFonts w:ascii="Palatino Linotype" w:eastAsia="Palatino Linotype" w:hAnsi="Palatino Linotype" w:cs="Palatino Linotype"/>
          <w:sz w:val="24"/>
          <w:szCs w:val="24"/>
        </w:rPr>
        <w:t>, en atención a las segundas, registran todas la entradas de dinero independientemente de la modalidad, ya sea en efectivo, transferencia, cheque o pagaré, mediante la expedición de facturas.</w:t>
      </w:r>
    </w:p>
    <w:p w14:paraId="7D751E5C" w14:textId="77777777" w:rsidR="00140F5B" w:rsidRDefault="00140F5B">
      <w:pPr>
        <w:spacing w:after="0" w:line="360" w:lineRule="auto"/>
        <w:jc w:val="both"/>
        <w:rPr>
          <w:rFonts w:ascii="Palatino Linotype" w:eastAsia="Palatino Linotype" w:hAnsi="Palatino Linotype" w:cs="Palatino Linotype"/>
          <w:sz w:val="24"/>
          <w:szCs w:val="24"/>
        </w:rPr>
      </w:pPr>
    </w:p>
    <w:p w14:paraId="111ABB8A" w14:textId="77777777" w:rsidR="00140F5B" w:rsidRDefault="00774F15">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49996A62" w14:textId="77777777" w:rsidR="00140F5B" w:rsidRDefault="00140F5B">
      <w:pPr>
        <w:spacing w:after="0" w:line="360" w:lineRule="auto"/>
        <w:ind w:right="51"/>
        <w:jc w:val="both"/>
        <w:rPr>
          <w:rFonts w:ascii="Palatino Linotype" w:eastAsia="Palatino Linotype" w:hAnsi="Palatino Linotype" w:cs="Palatino Linotype"/>
          <w:sz w:val="24"/>
          <w:szCs w:val="24"/>
        </w:rPr>
      </w:pPr>
    </w:p>
    <w:p w14:paraId="1D9315DC"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se puede advertir que, de la información requerida, los documentos que pueden satisfacer el requerimiento del particular serían precisamente los registros contables acompañados de los documentos o comprobantes que justifiquen las anotaciones y cantidades en ellas registradas.</w:t>
      </w:r>
    </w:p>
    <w:p w14:paraId="2EBA4DBF" w14:textId="77777777" w:rsidR="00140F5B" w:rsidRDefault="00140F5B">
      <w:pPr>
        <w:spacing w:after="0" w:line="360" w:lineRule="auto"/>
        <w:ind w:right="-91"/>
        <w:jc w:val="both"/>
        <w:rPr>
          <w:rFonts w:ascii="Palatino Linotype" w:eastAsia="Palatino Linotype" w:hAnsi="Palatino Linotype" w:cs="Palatino Linotype"/>
          <w:color w:val="000000"/>
          <w:sz w:val="24"/>
          <w:szCs w:val="24"/>
        </w:rPr>
      </w:pPr>
    </w:p>
    <w:p w14:paraId="3C457466" w14:textId="77777777" w:rsidR="00140F5B" w:rsidRDefault="00774F15">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Además de lo antes mencionado, resulta importante mencionar que el Reglamento Orgánico del Organismo Público Descentralizado para la Prestación de los Servicios de Agua Potable, Alcantarillado y Saneamiento del Municipio de Naucalpan, precisa lo siguiente: </w:t>
      </w:r>
    </w:p>
    <w:p w14:paraId="4F8F48FE" w14:textId="77777777" w:rsidR="00140F5B" w:rsidRDefault="00140F5B">
      <w:pPr>
        <w:spacing w:after="0" w:line="360" w:lineRule="auto"/>
        <w:jc w:val="both"/>
        <w:rPr>
          <w:rFonts w:ascii="Palatino Linotype" w:eastAsia="Palatino Linotype" w:hAnsi="Palatino Linotype" w:cs="Palatino Linotype"/>
          <w:color w:val="000000"/>
          <w:sz w:val="24"/>
          <w:szCs w:val="24"/>
        </w:rPr>
      </w:pPr>
    </w:p>
    <w:p w14:paraId="46F00D3E" w14:textId="77777777" w:rsidR="00140F5B" w:rsidRDefault="00774F15">
      <w:pPr>
        <w:spacing w:after="0" w:line="36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Artículo 94.- La Jefatura de Unidad de Ingresos estará a cargo de un Titular a quien se le denominará Jefe de Unidad de Ingresos y para el ejercicio de sus funciones tendrá las atribuciones siguientes:</w:t>
      </w:r>
    </w:p>
    <w:p w14:paraId="0238DC9E" w14:textId="77777777" w:rsidR="00140F5B" w:rsidRDefault="00774F15">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I. Elaborar diariamente la póliza de ingresos recaudados; </w:t>
      </w:r>
    </w:p>
    <w:p w14:paraId="5A744BC0" w14:textId="77777777" w:rsidR="00140F5B" w:rsidRDefault="00774F15">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II. Realizar los reportes de ingreso diario, semanal, mensual y anual;</w:t>
      </w:r>
    </w:p>
    <w:p w14:paraId="3A8AE0FD" w14:textId="77777777" w:rsidR="00140F5B" w:rsidRDefault="00774F15">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Artículo 95.- La Jefatura de Unidad de Egresos será responsable de realizar los pagos del organismo para su adecuado funcionamiento.</w:t>
      </w:r>
    </w:p>
    <w:p w14:paraId="7CE62B63" w14:textId="77777777" w:rsidR="00140F5B" w:rsidRDefault="00774F15">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14:paraId="251B813C" w14:textId="77777777" w:rsidR="00140F5B" w:rsidRDefault="00774F15">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VII. Integrar a la póliza de egresos, fotocopia del cheque original, para su debido cotejo;</w:t>
      </w:r>
    </w:p>
    <w:p w14:paraId="2B398F79" w14:textId="77777777" w:rsidR="00140F5B" w:rsidRDefault="00140F5B">
      <w:pPr>
        <w:spacing w:after="0" w:line="360" w:lineRule="auto"/>
        <w:ind w:right="-91"/>
        <w:jc w:val="both"/>
        <w:rPr>
          <w:rFonts w:ascii="Palatino Linotype" w:eastAsia="Palatino Linotype" w:hAnsi="Palatino Linotype" w:cs="Palatino Linotype"/>
          <w:color w:val="000000"/>
          <w:sz w:val="24"/>
          <w:szCs w:val="24"/>
        </w:rPr>
      </w:pPr>
    </w:p>
    <w:p w14:paraId="5A41E308" w14:textId="77777777" w:rsidR="00140F5B" w:rsidRDefault="00774F15">
      <w:pPr>
        <w:spacing w:after="0" w:line="360" w:lineRule="auto"/>
        <w:ind w:right="-91"/>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lo anterior se determina que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realiza de igual manera una póliza de ingresos y de egresos de forma continua. </w:t>
      </w:r>
    </w:p>
    <w:p w14:paraId="2CAF8E16" w14:textId="77777777" w:rsidR="00140F5B" w:rsidRDefault="00140F5B">
      <w:pPr>
        <w:spacing w:after="0" w:line="360" w:lineRule="auto"/>
        <w:ind w:right="-91"/>
        <w:jc w:val="both"/>
        <w:rPr>
          <w:rFonts w:ascii="Palatino Linotype" w:eastAsia="Palatino Linotype" w:hAnsi="Palatino Linotype" w:cs="Palatino Linotype"/>
          <w:color w:val="FF0000"/>
          <w:sz w:val="24"/>
          <w:szCs w:val="24"/>
        </w:rPr>
      </w:pPr>
    </w:p>
    <w:p w14:paraId="65EAB636"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w:t>
      </w:r>
      <w:r>
        <w:rPr>
          <w:rFonts w:ascii="Palatino Linotype" w:eastAsia="Palatino Linotype" w:hAnsi="Palatino Linotype" w:cs="Palatino Linotype"/>
          <w:sz w:val="24"/>
          <w:szCs w:val="24"/>
        </w:rPr>
        <w:lastRenderedPageBreak/>
        <w:t>y nombres de las personas a quienes se entreguen recursos públicos y con ello transparentar la forma, términos, causas y finalidad en la disposición de esos recursos; precepto legal que es del tenor siguiente:</w:t>
      </w:r>
    </w:p>
    <w:p w14:paraId="785D15BF" w14:textId="77777777" w:rsidR="00140F5B" w:rsidRDefault="00140F5B">
      <w:pPr>
        <w:spacing w:after="0" w:line="360" w:lineRule="auto"/>
        <w:jc w:val="both"/>
        <w:rPr>
          <w:rFonts w:ascii="Palatino Linotype" w:eastAsia="Palatino Linotype" w:hAnsi="Palatino Linotype" w:cs="Palatino Linotype"/>
          <w:sz w:val="24"/>
          <w:szCs w:val="24"/>
        </w:rPr>
      </w:pPr>
    </w:p>
    <w:p w14:paraId="26184250" w14:textId="77777777" w:rsidR="00140F5B" w:rsidRDefault="00774F15">
      <w:pPr>
        <w:spacing w:after="0" w:line="360" w:lineRule="auto"/>
        <w:ind w:left="851" w:right="851"/>
        <w:jc w:val="both"/>
        <w:rPr>
          <w:rFonts w:ascii="Palatino Linotype" w:eastAsia="Palatino Linotype" w:hAnsi="Palatino Linotype" w:cs="Palatino Linotype"/>
          <w:i/>
          <w:u w:val="single"/>
        </w:rPr>
      </w:pPr>
      <w:r>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u w:val="single"/>
        </w:rPr>
        <w:t>que reciba y ejerza recursos públicos</w:t>
      </w:r>
      <w:r>
        <w:rPr>
          <w:rFonts w:ascii="Palatino Linotype" w:eastAsia="Palatino Linotype" w:hAnsi="Palatino Linotype" w:cs="Palatino Linotype"/>
          <w:i/>
        </w:rPr>
        <w:t xml:space="preserve"> o realice actos de autoridad </w:t>
      </w:r>
      <w:r>
        <w:rPr>
          <w:rFonts w:ascii="Palatino Linotype" w:eastAsia="Palatino Linotype" w:hAnsi="Palatino Linotype" w:cs="Palatino Linotype"/>
          <w:b/>
          <w:i/>
          <w:u w:val="single"/>
        </w:rPr>
        <w:t>en el ámbito de competencia del Estado de México y sus municipios</w:t>
      </w:r>
      <w:r>
        <w:rPr>
          <w:rFonts w:ascii="Palatino Linotype" w:eastAsia="Palatino Linotype" w:hAnsi="Palatino Linotype" w:cs="Palatino Linotype"/>
          <w:i/>
          <w:u w:val="single"/>
        </w:rPr>
        <w:t>.</w:t>
      </w:r>
    </w:p>
    <w:p w14:paraId="0BB4CFB5" w14:textId="77777777" w:rsidR="00140F5B" w:rsidRDefault="00774F15">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329101A9" w14:textId="77777777" w:rsidR="00140F5B" w:rsidRDefault="00774F15">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FF97EFE" w14:textId="77777777" w:rsidR="00140F5B" w:rsidRDefault="00774F15">
      <w:pPr>
        <w:ind w:left="851" w:right="851"/>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IV. Los ayuntamientos y las dependencias, organismos, órganos y entidades de la administración municipal;</w:t>
      </w:r>
    </w:p>
    <w:p w14:paraId="2189C4DF" w14:textId="77777777" w:rsidR="00140F5B" w:rsidRDefault="00774F15">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D525662" w14:textId="77777777" w:rsidR="00140F5B" w:rsidRDefault="00774F15">
      <w:pPr>
        <w:ind w:left="851" w:right="851"/>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AC8D05C" w14:textId="77777777" w:rsidR="00140F5B" w:rsidRDefault="00774F15">
      <w:pPr>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Los servidores públicos deberán transparentar sus acciones así como garantizar y respetar el derecho de acceso a la información pública.”</w:t>
      </w:r>
      <w:r>
        <w:rPr>
          <w:rFonts w:ascii="Palatino Linotype" w:eastAsia="Palatino Linotype" w:hAnsi="Palatino Linotype" w:cs="Palatino Linotype"/>
          <w:b/>
          <w:i/>
        </w:rPr>
        <w:t xml:space="preserve"> [Sic]</w:t>
      </w:r>
    </w:p>
    <w:p w14:paraId="24EE1C56" w14:textId="77777777" w:rsidR="00140F5B" w:rsidRDefault="00140F5B">
      <w:pPr>
        <w:spacing w:after="80" w:line="360" w:lineRule="auto"/>
        <w:ind w:right="-91"/>
        <w:jc w:val="both"/>
        <w:rPr>
          <w:rFonts w:ascii="Palatino Linotype" w:eastAsia="Palatino Linotype" w:hAnsi="Palatino Linotype" w:cs="Palatino Linotype"/>
          <w:color w:val="FF0000"/>
          <w:sz w:val="24"/>
          <w:szCs w:val="24"/>
        </w:rPr>
      </w:pPr>
    </w:p>
    <w:p w14:paraId="5DC1CA95" w14:textId="77777777" w:rsidR="00140F5B" w:rsidRDefault="00774F15">
      <w:pPr>
        <w:spacing w:before="80" w:after="120" w:line="360" w:lineRule="auto"/>
        <w:ind w:right="49"/>
        <w:jc w:val="both"/>
        <w:rPr>
          <w:rFonts w:ascii="Palatino Linotype" w:eastAsia="Palatino Linotype" w:hAnsi="Palatino Linotype" w:cs="Palatino Linotype"/>
          <w:b/>
          <w:color w:val="FF0000"/>
          <w:sz w:val="24"/>
          <w:szCs w:val="24"/>
        </w:rPr>
      </w:pPr>
      <w:r>
        <w:rPr>
          <w:rFonts w:ascii="Palatino Linotype" w:eastAsia="Palatino Linotype" w:hAnsi="Palatino Linotype" w:cs="Palatino Linotype"/>
          <w:sz w:val="24"/>
          <w:szCs w:val="24"/>
        </w:rPr>
        <w:lastRenderedPageBreak/>
        <w:t xml:space="preserve">En este contexto, para este pleno,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tiene la obligación de generar, administrar y poseer la información solicitada por la hoy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por lo que en este sentido se trata de información pública que debe obrar en los archivos del citado Sujeto Obligado. Por lo que con fundamento en los artículos 11, 12 y último párrafo del 24 de la Ley de Transparencia estatal al ser información pública es que se debió entregar a la hoy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razones por las cuales lo procedente es ordenar, la entrega de</w:t>
      </w:r>
      <w:r>
        <w:rPr>
          <w:rFonts w:ascii="Palatino Linotype" w:eastAsia="Palatino Linotype" w:hAnsi="Palatino Linotype" w:cs="Palatino Linotype"/>
          <w:color w:val="000000"/>
          <w:sz w:val="24"/>
          <w:szCs w:val="24"/>
        </w:rPr>
        <w:t>l documento donde conste del uno de enero al veintidós de febrero de dos mil veintidós, la cantidad recaudada y, la documentación que comprueben el destino o ejecución de los ingresos</w:t>
      </w:r>
      <w:r>
        <w:rPr>
          <w:rFonts w:ascii="Palatino Linotype" w:eastAsia="Palatino Linotype" w:hAnsi="Palatino Linotype" w:cs="Palatino Linotype"/>
          <w:sz w:val="24"/>
          <w:szCs w:val="24"/>
        </w:rPr>
        <w:t>, en términos de lo señalado por el considerando quinto del presente fallo.</w:t>
      </w:r>
    </w:p>
    <w:p w14:paraId="6E85B0EF" w14:textId="77777777" w:rsidR="00140F5B" w:rsidRDefault="00140F5B">
      <w:pPr>
        <w:spacing w:before="120" w:after="0" w:line="360" w:lineRule="auto"/>
        <w:jc w:val="both"/>
        <w:rPr>
          <w:rFonts w:ascii="Palatino Linotype" w:eastAsia="Palatino Linotype" w:hAnsi="Palatino Linotype" w:cs="Palatino Linotype"/>
          <w:b/>
          <w:sz w:val="24"/>
          <w:szCs w:val="24"/>
        </w:rPr>
      </w:pPr>
    </w:p>
    <w:p w14:paraId="19E1B5DD"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 VERSIÓN PÚBLICA.</w:t>
      </w:r>
      <w:r>
        <w:rPr>
          <w:rFonts w:ascii="Palatino Linotype" w:eastAsia="Palatino Linotype" w:hAnsi="Palatino Linotype" w:cs="Palatino Linotype"/>
          <w:sz w:val="32"/>
          <w:szCs w:val="32"/>
        </w:rPr>
        <w:t xml:space="preserve"> </w:t>
      </w:r>
      <w:r>
        <w:rPr>
          <w:rFonts w:ascii="Palatino Linotype" w:eastAsia="Palatino Linotype" w:hAnsi="Palatino Linotype" w:cs="Palatino Linotype"/>
          <w:sz w:val="24"/>
          <w:szCs w:val="24"/>
        </w:rPr>
        <w:t>Finalmente, debe señalarse que de ser el caso en que los documentos que vayan a ser entregados por el</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sujeto obligado, para dar cumplimiento a la presente resolución, contengan datos que deban ser clasificados,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030AAEA3" w14:textId="77777777" w:rsidR="00140F5B" w:rsidRDefault="00774F15">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Para efectos de la elaboración de la versión pública se deberá observar lo dispuesto por los artículos 3 fracciones IX, XX, XXI y XLV, 91, 132 fracciones II y III, y 143 </w:t>
      </w:r>
      <w:proofErr w:type="gramStart"/>
      <w:r>
        <w:rPr>
          <w:rFonts w:ascii="Palatino Linotype" w:eastAsia="Palatino Linotype" w:hAnsi="Palatino Linotype" w:cs="Palatino Linotype"/>
          <w:sz w:val="24"/>
          <w:szCs w:val="24"/>
        </w:rPr>
        <w:lastRenderedPageBreak/>
        <w:t>fracción</w:t>
      </w:r>
      <w:proofErr w:type="gramEnd"/>
      <w:r>
        <w:rPr>
          <w:rFonts w:ascii="Palatino Linotype" w:eastAsia="Palatino Linotype" w:hAnsi="Palatino Linotype" w:cs="Palatino Linotype"/>
          <w:sz w:val="24"/>
          <w:szCs w:val="24"/>
        </w:rPr>
        <w:t xml:space="preserve"> I de la Ley de Transparencia y Acceso a la Información Pública del Estado de México y Municipios que establecen:</w:t>
      </w:r>
    </w:p>
    <w:p w14:paraId="4BDA6467" w14:textId="77777777" w:rsidR="00140F5B" w:rsidRDefault="00774F1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Para los efectos de la presente Ley se entenderá por:</w:t>
      </w:r>
    </w:p>
    <w:p w14:paraId="144A9E50" w14:textId="77777777" w:rsidR="00140F5B" w:rsidRDefault="00774F1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DA813D8" w14:textId="77777777" w:rsidR="00140F5B" w:rsidRDefault="00774F1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040E0277" w14:textId="77777777" w:rsidR="00140F5B" w:rsidRDefault="00774F1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Aquella considerada por la presente Ley como reservada o confidencial;</w:t>
      </w:r>
    </w:p>
    <w:p w14:paraId="28813D2A" w14:textId="77777777" w:rsidR="00140F5B" w:rsidRDefault="00774F1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XXI. Información confidencial: </w:t>
      </w:r>
      <w:r>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1143500" w14:textId="77777777" w:rsidR="00140F5B" w:rsidRDefault="00774F1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7F41F213" w14:textId="77777777" w:rsidR="00140F5B" w:rsidRDefault="00774F1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FF0C222" w14:textId="77777777" w:rsidR="00140F5B" w:rsidRDefault="00774F1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91.</w:t>
      </w:r>
      <w:r>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725461B3" w14:textId="77777777" w:rsidR="00140F5B" w:rsidRDefault="00774F1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132.</w:t>
      </w:r>
      <w:r>
        <w:rPr>
          <w:rFonts w:ascii="Palatino Linotype" w:eastAsia="Palatino Linotype" w:hAnsi="Palatino Linotype" w:cs="Palatino Linotype"/>
          <w:i/>
        </w:rPr>
        <w:t xml:space="preserve"> La clasificación de la información se llevará a cabo en el momento en que:</w:t>
      </w:r>
    </w:p>
    <w:p w14:paraId="2A34F794" w14:textId="77777777" w:rsidR="00140F5B" w:rsidRDefault="00774F1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Se reciba una solicitud de acceso a la información;</w:t>
      </w:r>
    </w:p>
    <w:p w14:paraId="4D0AC3CE" w14:textId="77777777" w:rsidR="00140F5B" w:rsidRDefault="00774F1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 autoridad competente; o</w:t>
      </w:r>
    </w:p>
    <w:p w14:paraId="310683EA" w14:textId="77777777" w:rsidR="00140F5B" w:rsidRDefault="00774F1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 generen versiones públicas para dar cumplimiento a las obligaciones de transparencia previstas en esta Ley.</w:t>
      </w:r>
    </w:p>
    <w:p w14:paraId="61FF65D2" w14:textId="77777777" w:rsidR="00140F5B" w:rsidRDefault="00774F1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DF223E0" w14:textId="77777777" w:rsidR="00140F5B" w:rsidRDefault="00774F1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14:paraId="6D570224" w14:textId="77777777" w:rsidR="00140F5B" w:rsidRDefault="00774F1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refiera a la información privada y los datos personales concernientes a una persona física o </w:t>
      </w:r>
      <w:proofErr w:type="gramStart"/>
      <w:r>
        <w:rPr>
          <w:rFonts w:ascii="Palatino Linotype" w:eastAsia="Palatino Linotype" w:hAnsi="Palatino Linotype" w:cs="Palatino Linotype"/>
          <w:i/>
        </w:rPr>
        <w:t>jurídico</w:t>
      </w:r>
      <w:proofErr w:type="gramEnd"/>
      <w:r>
        <w:rPr>
          <w:rFonts w:ascii="Palatino Linotype" w:eastAsia="Palatino Linotype" w:hAnsi="Palatino Linotype" w:cs="Palatino Linotype"/>
          <w:i/>
        </w:rPr>
        <w:t xml:space="preserve"> colectiva identificada o identificable;</w:t>
      </w:r>
    </w:p>
    <w:p w14:paraId="3DFA2101" w14:textId="77777777" w:rsidR="00140F5B" w:rsidRDefault="00774F1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FD0FC01" w14:textId="77777777" w:rsidR="00140F5B" w:rsidRDefault="00774F1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4F6087A2" w14:textId="77777777" w:rsidR="00140F5B" w:rsidRDefault="00774F1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45402074" w14:textId="77777777" w:rsidR="00140F5B" w:rsidRDefault="00774F1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4829CA5F" w14:textId="77777777" w:rsidR="00140F5B" w:rsidRDefault="00774F15">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6457C40" w14:textId="77777777" w:rsidR="00140F5B" w:rsidRDefault="00774F15">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Entorno a lo que aquí nos interesa, los Lineamientos Quincuagésimo sexto, Quincuagésimo séptimo y Quincuagésimo octavo, establecen lo siguiente:</w:t>
      </w:r>
    </w:p>
    <w:p w14:paraId="32BC5FA5" w14:textId="77777777" w:rsidR="00140F5B" w:rsidRDefault="00774F1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“Quincuagésimo sexto</w:t>
      </w:r>
      <w:r>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FADFFD9" w14:textId="77777777" w:rsidR="00140F5B" w:rsidRDefault="00774F1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Quincuagésimo séptimo</w:t>
      </w:r>
      <w:r>
        <w:rPr>
          <w:rFonts w:ascii="Palatino Linotype" w:eastAsia="Palatino Linotype" w:hAnsi="Palatino Linotype" w:cs="Palatino Linotype"/>
          <w:i/>
        </w:rPr>
        <w:t xml:space="preserve">. Se considera, en principio, como información pública y no podrá omitirse de las versiones públicas la siguiente: </w:t>
      </w:r>
    </w:p>
    <w:p w14:paraId="513D2FE7" w14:textId="77777777" w:rsidR="00140F5B" w:rsidRDefault="00774F1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3363855D" w14:textId="77777777" w:rsidR="00140F5B" w:rsidRDefault="00774F1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0C000F77" w14:textId="77777777" w:rsidR="00140F5B" w:rsidRDefault="00774F15">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795DF110" w14:textId="77777777" w:rsidR="00140F5B" w:rsidRDefault="00774F15">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23F5F2CB" w14:textId="77777777" w:rsidR="00140F5B" w:rsidRDefault="00774F15">
      <w:pPr>
        <w:spacing w:before="120" w:after="0" w:line="36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Quincuagésimo octavo</w:t>
      </w:r>
      <w:r>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2D701284" w14:textId="77777777" w:rsidR="00140F5B" w:rsidRDefault="00774F1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w:t>
      </w:r>
      <w:r>
        <w:rPr>
          <w:rFonts w:ascii="Palatino Linotype" w:eastAsia="Palatino Linotype" w:hAnsi="Palatino Linotype" w:cs="Palatino Linotype"/>
          <w:sz w:val="24"/>
          <w:szCs w:val="24"/>
        </w:rPr>
        <w:lastRenderedPageBreak/>
        <w:t xml:space="preserve">fundamentos y razonamientos que llevaron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F831158" w14:textId="77777777" w:rsidR="00140F5B" w:rsidRDefault="00774F15">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140F5B" w14:paraId="1E0A16FE" w14:textId="77777777">
        <w:tc>
          <w:tcPr>
            <w:tcW w:w="4253" w:type="dxa"/>
            <w:gridSpan w:val="2"/>
            <w:tcBorders>
              <w:top w:val="nil"/>
              <w:left w:val="nil"/>
              <w:right w:val="nil"/>
            </w:tcBorders>
          </w:tcPr>
          <w:p w14:paraId="223D2A12" w14:textId="77777777" w:rsidR="00140F5B" w:rsidRDefault="00774F15">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1F83CADC" w14:textId="77777777" w:rsidR="00140F5B" w:rsidRDefault="00774F15">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140F5B" w14:paraId="42F6B875" w14:textId="77777777">
        <w:tc>
          <w:tcPr>
            <w:tcW w:w="1134" w:type="dxa"/>
          </w:tcPr>
          <w:p w14:paraId="0420C32D" w14:textId="77777777" w:rsidR="00140F5B" w:rsidRDefault="00774F15">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14:paraId="77EC51F6" w14:textId="77777777" w:rsidR="00140F5B" w:rsidRDefault="00774F15">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14:paraId="4011488C" w14:textId="77777777" w:rsidR="00140F5B" w:rsidRDefault="00774F15">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7218F833" w14:textId="77777777" w:rsidR="00140F5B" w:rsidRDefault="00774F15">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140F5B" w14:paraId="7BC1F6AB" w14:textId="77777777">
        <w:tc>
          <w:tcPr>
            <w:tcW w:w="8828" w:type="dxa"/>
            <w:gridSpan w:val="4"/>
          </w:tcPr>
          <w:p w14:paraId="0E0F4B21" w14:textId="77777777" w:rsidR="00140F5B" w:rsidRDefault="00774F15">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140F5B" w14:paraId="0FE3ADA5" w14:textId="77777777">
        <w:tc>
          <w:tcPr>
            <w:tcW w:w="1134" w:type="dxa"/>
          </w:tcPr>
          <w:p w14:paraId="5B20FB7A" w14:textId="77777777" w:rsidR="00140F5B" w:rsidRDefault="00774F1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14:paraId="1B5C4CD1" w14:textId="77777777" w:rsidR="00140F5B" w:rsidRDefault="00774F1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3EFBAB11" w14:textId="77777777" w:rsidR="00140F5B" w:rsidRDefault="00774F1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57DE8D68" w14:textId="77777777" w:rsidR="00140F5B" w:rsidRDefault="00774F1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140F5B" w14:paraId="30C956F0" w14:textId="77777777">
        <w:tc>
          <w:tcPr>
            <w:tcW w:w="1134" w:type="dxa"/>
          </w:tcPr>
          <w:p w14:paraId="2C8944C5" w14:textId="77777777" w:rsidR="00140F5B" w:rsidRDefault="00774F1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14:paraId="29200B64" w14:textId="77777777" w:rsidR="00140F5B" w:rsidRDefault="00774F1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14:paraId="4D61BC4A" w14:textId="77777777" w:rsidR="00140F5B" w:rsidRDefault="00774F1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39814F3B" w14:textId="77777777" w:rsidR="00140F5B" w:rsidRDefault="00774F1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140F5B" w14:paraId="03EAAC78" w14:textId="77777777">
        <w:tc>
          <w:tcPr>
            <w:tcW w:w="1134" w:type="dxa"/>
          </w:tcPr>
          <w:p w14:paraId="3718FA1F" w14:textId="77777777" w:rsidR="00140F5B" w:rsidRDefault="00774F1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14:paraId="5440554C" w14:textId="77777777" w:rsidR="00140F5B" w:rsidRDefault="00774F1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Pr>
                <w:rFonts w:ascii="Palatino Linotype" w:eastAsia="Palatino Linotype" w:hAnsi="Palatino Linotype" w:cs="Palatino Linotype"/>
                <w:sz w:val="12"/>
                <w:szCs w:val="12"/>
              </w:rPr>
              <w:t>anotarán</w:t>
            </w:r>
            <w:proofErr w:type="gramEnd"/>
            <w:r>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1129" w:type="dxa"/>
          </w:tcPr>
          <w:p w14:paraId="43151CE0" w14:textId="77777777" w:rsidR="00140F5B" w:rsidRDefault="00774F1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1C01962B" w14:textId="77777777" w:rsidR="00140F5B" w:rsidRDefault="00774F1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140F5B" w14:paraId="5B47FA74" w14:textId="77777777">
        <w:tc>
          <w:tcPr>
            <w:tcW w:w="1134" w:type="dxa"/>
          </w:tcPr>
          <w:p w14:paraId="5CE71796" w14:textId="77777777" w:rsidR="00140F5B" w:rsidRDefault="00774F1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2880C4D6" w14:textId="77777777" w:rsidR="00140F5B" w:rsidRDefault="00774F1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6F0C1C6F" w14:textId="77777777" w:rsidR="00140F5B" w:rsidRDefault="00774F1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3EABAE3C" w14:textId="77777777" w:rsidR="00140F5B" w:rsidRDefault="00774F1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140F5B" w14:paraId="78E1CABF" w14:textId="77777777">
        <w:tc>
          <w:tcPr>
            <w:tcW w:w="1134" w:type="dxa"/>
          </w:tcPr>
          <w:p w14:paraId="736018FE" w14:textId="77777777" w:rsidR="00140F5B" w:rsidRDefault="00774F1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14:paraId="48ABB4D8" w14:textId="77777777" w:rsidR="00140F5B" w:rsidRDefault="00774F1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7E45A3F2" w14:textId="77777777" w:rsidR="00140F5B" w:rsidRDefault="00774F1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50AF872E" w14:textId="77777777" w:rsidR="00140F5B" w:rsidRDefault="00774F1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140F5B" w14:paraId="6E3FA730" w14:textId="77777777">
        <w:tc>
          <w:tcPr>
            <w:tcW w:w="1134" w:type="dxa"/>
          </w:tcPr>
          <w:p w14:paraId="092BF5D4" w14:textId="77777777" w:rsidR="00140F5B" w:rsidRDefault="00774F1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lastRenderedPageBreak/>
              <w:t>Confidencial</w:t>
            </w:r>
          </w:p>
        </w:tc>
        <w:tc>
          <w:tcPr>
            <w:tcW w:w="3119" w:type="dxa"/>
          </w:tcPr>
          <w:p w14:paraId="768283FA" w14:textId="77777777" w:rsidR="00140F5B" w:rsidRDefault="00774F1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080E1658" w14:textId="77777777" w:rsidR="00140F5B" w:rsidRDefault="00774F1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1F7BDFA6" w14:textId="77777777" w:rsidR="00140F5B" w:rsidRDefault="00774F1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140F5B" w14:paraId="57ACF8E0" w14:textId="77777777">
        <w:tc>
          <w:tcPr>
            <w:tcW w:w="1134" w:type="dxa"/>
          </w:tcPr>
          <w:p w14:paraId="1AFDCC02" w14:textId="77777777" w:rsidR="00140F5B" w:rsidRDefault="00774F1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15882E0A" w14:textId="77777777" w:rsidR="00140F5B" w:rsidRDefault="00774F1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245AE9C9" w14:textId="77777777" w:rsidR="00140F5B" w:rsidRDefault="00774F1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4EC787AE" w14:textId="77777777" w:rsidR="00140F5B" w:rsidRDefault="00774F1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140F5B" w14:paraId="10E4E4E2" w14:textId="77777777">
        <w:tc>
          <w:tcPr>
            <w:tcW w:w="1134" w:type="dxa"/>
          </w:tcPr>
          <w:p w14:paraId="21D47AF9" w14:textId="77777777" w:rsidR="00140F5B" w:rsidRDefault="00774F1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14:paraId="6F7E74E0" w14:textId="77777777" w:rsidR="00140F5B" w:rsidRDefault="00774F1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14:paraId="6156AE15" w14:textId="77777777" w:rsidR="00140F5B" w:rsidRDefault="00774F1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55614D72" w14:textId="77777777" w:rsidR="00140F5B" w:rsidRDefault="00774F1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140F5B" w14:paraId="3F0AF264" w14:textId="77777777">
        <w:tc>
          <w:tcPr>
            <w:tcW w:w="1134" w:type="dxa"/>
          </w:tcPr>
          <w:p w14:paraId="382D7D1B" w14:textId="77777777" w:rsidR="00140F5B" w:rsidRDefault="00774F1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14:paraId="442547D4" w14:textId="77777777" w:rsidR="00140F5B" w:rsidRDefault="00774F1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14:paraId="654173BE" w14:textId="77777777" w:rsidR="00140F5B" w:rsidRDefault="00774F1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1B023729" w14:textId="77777777" w:rsidR="00140F5B" w:rsidRDefault="00774F1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140F5B" w14:paraId="0C8D9B39" w14:textId="77777777">
        <w:tc>
          <w:tcPr>
            <w:tcW w:w="1134" w:type="dxa"/>
          </w:tcPr>
          <w:p w14:paraId="2201BFA5" w14:textId="77777777" w:rsidR="00140F5B" w:rsidRDefault="00774F1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14:paraId="3821E433" w14:textId="77777777" w:rsidR="00140F5B" w:rsidRDefault="00774F1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14:paraId="073C4868" w14:textId="77777777" w:rsidR="00140F5B" w:rsidRDefault="00774F1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2EB26306" w14:textId="77777777" w:rsidR="00140F5B" w:rsidRDefault="00774F1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140F5B" w14:paraId="4D291A58" w14:textId="77777777">
        <w:tc>
          <w:tcPr>
            <w:tcW w:w="1134" w:type="dxa"/>
          </w:tcPr>
          <w:p w14:paraId="2F889C78" w14:textId="77777777" w:rsidR="00140F5B" w:rsidRDefault="00140F5B">
            <w:pPr>
              <w:jc w:val="both"/>
              <w:rPr>
                <w:rFonts w:ascii="Palatino Linotype" w:eastAsia="Palatino Linotype" w:hAnsi="Palatino Linotype" w:cs="Palatino Linotype"/>
                <w:b/>
                <w:sz w:val="12"/>
                <w:szCs w:val="12"/>
              </w:rPr>
            </w:pPr>
          </w:p>
        </w:tc>
        <w:tc>
          <w:tcPr>
            <w:tcW w:w="3119" w:type="dxa"/>
          </w:tcPr>
          <w:p w14:paraId="26E77B5E" w14:textId="77777777" w:rsidR="00140F5B" w:rsidRDefault="00140F5B">
            <w:pPr>
              <w:jc w:val="both"/>
              <w:rPr>
                <w:rFonts w:ascii="Palatino Linotype" w:eastAsia="Palatino Linotype" w:hAnsi="Palatino Linotype" w:cs="Palatino Linotype"/>
                <w:sz w:val="12"/>
                <w:szCs w:val="12"/>
              </w:rPr>
            </w:pPr>
          </w:p>
        </w:tc>
        <w:tc>
          <w:tcPr>
            <w:tcW w:w="1129" w:type="dxa"/>
          </w:tcPr>
          <w:p w14:paraId="19747B79" w14:textId="77777777" w:rsidR="00140F5B" w:rsidRDefault="00774F1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24B19EE2" w14:textId="77777777" w:rsidR="00140F5B" w:rsidRDefault="00774F1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En caso que una vez desclasificado el expediente, </w:t>
            </w:r>
            <w:proofErr w:type="spellStart"/>
            <w:r>
              <w:rPr>
                <w:rFonts w:ascii="Palatino Linotype" w:eastAsia="Palatino Linotype" w:hAnsi="Palatino Linotype" w:cs="Palatino Linotype"/>
                <w:sz w:val="12"/>
                <w:szCs w:val="12"/>
              </w:rPr>
              <w:t>subsistanpartes</w:t>
            </w:r>
            <w:proofErr w:type="spellEnd"/>
            <w:r>
              <w:rPr>
                <w:rFonts w:ascii="Palatino Linotype" w:eastAsia="Palatino Linotype" w:hAnsi="Palatino Linotype" w:cs="Palatino Linotype"/>
                <w:sz w:val="12"/>
                <w:szCs w:val="12"/>
              </w:rPr>
              <w:t xml:space="preserve"> o secciones del mismo reservadas o confidenciales, se señalará este hecho.</w:t>
            </w:r>
          </w:p>
        </w:tc>
      </w:tr>
      <w:tr w:rsidR="00140F5B" w14:paraId="760B1D9B" w14:textId="77777777">
        <w:tc>
          <w:tcPr>
            <w:tcW w:w="1134" w:type="dxa"/>
          </w:tcPr>
          <w:p w14:paraId="3CE47E6E" w14:textId="77777777" w:rsidR="00140F5B" w:rsidRDefault="00140F5B">
            <w:pPr>
              <w:jc w:val="both"/>
              <w:rPr>
                <w:rFonts w:ascii="Palatino Linotype" w:eastAsia="Palatino Linotype" w:hAnsi="Palatino Linotype" w:cs="Palatino Linotype"/>
                <w:b/>
                <w:sz w:val="12"/>
                <w:szCs w:val="12"/>
              </w:rPr>
            </w:pPr>
          </w:p>
        </w:tc>
        <w:tc>
          <w:tcPr>
            <w:tcW w:w="3119" w:type="dxa"/>
          </w:tcPr>
          <w:p w14:paraId="24D32159" w14:textId="77777777" w:rsidR="00140F5B" w:rsidRDefault="00140F5B">
            <w:pPr>
              <w:jc w:val="both"/>
              <w:rPr>
                <w:rFonts w:ascii="Palatino Linotype" w:eastAsia="Palatino Linotype" w:hAnsi="Palatino Linotype" w:cs="Palatino Linotype"/>
                <w:sz w:val="12"/>
                <w:szCs w:val="12"/>
              </w:rPr>
            </w:pPr>
          </w:p>
        </w:tc>
        <w:tc>
          <w:tcPr>
            <w:tcW w:w="1129" w:type="dxa"/>
          </w:tcPr>
          <w:p w14:paraId="52B30F93" w14:textId="77777777" w:rsidR="00140F5B" w:rsidRDefault="00774F15">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3A6955BE" w14:textId="77777777" w:rsidR="00140F5B" w:rsidRDefault="00774F15">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237BBD5E" w14:textId="77777777" w:rsidR="00140F5B" w:rsidRDefault="00140F5B"/>
    <w:p w14:paraId="5D1C94F1" w14:textId="77777777" w:rsidR="00140F5B" w:rsidRDefault="00774F15">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C8ABA91" w14:textId="77777777" w:rsidR="00140F5B" w:rsidRDefault="00774F15">
      <w:pPr>
        <w:spacing w:after="0"/>
        <w:ind w:left="-142"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 E S U E L V E:</w:t>
      </w:r>
    </w:p>
    <w:p w14:paraId="61241E6C" w14:textId="77777777" w:rsidR="00140F5B" w:rsidRDefault="00140F5B">
      <w:pPr>
        <w:spacing w:after="0"/>
        <w:ind w:left="-142" w:right="49"/>
        <w:jc w:val="center"/>
        <w:rPr>
          <w:rFonts w:ascii="Palatino Linotype" w:eastAsia="Palatino Linotype" w:hAnsi="Palatino Linotype" w:cs="Palatino Linotype"/>
          <w:b/>
          <w:sz w:val="24"/>
          <w:szCs w:val="24"/>
        </w:rPr>
      </w:pPr>
    </w:p>
    <w:p w14:paraId="41AFF598" w14:textId="77777777" w:rsidR="00140F5B" w:rsidRDefault="00774F15">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PRIMERO.</w:t>
      </w:r>
      <w:r>
        <w:rPr>
          <w:rFonts w:ascii="Palatino Linotype" w:eastAsia="Palatino Linotype" w:hAnsi="Palatino Linotype" w:cs="Palatino Linotype"/>
          <w:sz w:val="24"/>
          <w:szCs w:val="24"/>
        </w:rPr>
        <w:t xml:space="preserve"> Resultan fundados los motivos de inconformidad hechos valer por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04004/INFOEM/IP/RR/2022</w:t>
      </w:r>
      <w:r>
        <w:rPr>
          <w:rFonts w:ascii="Palatino Linotype" w:eastAsia="Palatino Linotype" w:hAnsi="Palatino Linotype" w:cs="Palatino Linotype"/>
          <w:sz w:val="24"/>
          <w:szCs w:val="24"/>
        </w:rPr>
        <w:t>, en términos del considerando cuarto.</w:t>
      </w:r>
    </w:p>
    <w:p w14:paraId="166D9253" w14:textId="77777777" w:rsidR="00140F5B" w:rsidRDefault="00140F5B">
      <w:pPr>
        <w:spacing w:after="0" w:line="360" w:lineRule="auto"/>
        <w:ind w:right="51"/>
        <w:jc w:val="both"/>
        <w:rPr>
          <w:rFonts w:ascii="Palatino Linotype" w:eastAsia="Palatino Linotype" w:hAnsi="Palatino Linotype" w:cs="Palatino Linotype"/>
          <w:sz w:val="24"/>
          <w:szCs w:val="24"/>
        </w:rPr>
      </w:pPr>
    </w:p>
    <w:p w14:paraId="04934649" w14:textId="77777777" w:rsidR="00140F5B" w:rsidRDefault="00774F15">
      <w:pPr>
        <w:spacing w:after="12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 xml:space="preserve">Se REVOCA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se ORDENA que en términos del Considerando Cuarto y Quinto de esta resolución haga entrega, vía SAIMEX, en versión pública de ser procedente, del documento donde conste o de cuenta de: </w:t>
      </w:r>
    </w:p>
    <w:p w14:paraId="20FC009D" w14:textId="77777777" w:rsidR="00140F5B" w:rsidRDefault="00774F15">
      <w:pPr>
        <w:numPr>
          <w:ilvl w:val="0"/>
          <w:numId w:val="4"/>
        </w:numPr>
        <w:pBdr>
          <w:top w:val="nil"/>
          <w:left w:val="nil"/>
          <w:bottom w:val="nil"/>
          <w:right w:val="nil"/>
          <w:between w:val="nil"/>
        </w:pBdr>
        <w:spacing w:before="240"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Del </w:t>
      </w:r>
      <w:r>
        <w:rPr>
          <w:rFonts w:ascii="Palatino Linotype" w:eastAsia="Palatino Linotype" w:hAnsi="Palatino Linotype" w:cs="Palatino Linotype"/>
          <w:color w:val="000000"/>
          <w:sz w:val="24"/>
          <w:szCs w:val="24"/>
        </w:rPr>
        <w:t>uno de enero al veintidós de febrero de dos mil veintidós:</w:t>
      </w:r>
    </w:p>
    <w:p w14:paraId="7EB0534F" w14:textId="77777777" w:rsidR="00140F5B" w:rsidRDefault="00774F15">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Cantidad recaudada por el Sujeto Obligado; y, </w:t>
      </w:r>
    </w:p>
    <w:p w14:paraId="4D78FA74" w14:textId="77777777" w:rsidR="00140F5B" w:rsidRDefault="00774F15">
      <w:pPr>
        <w:numPr>
          <w:ilvl w:val="0"/>
          <w:numId w:val="2"/>
        </w:numPr>
        <w:pBdr>
          <w:top w:val="nil"/>
          <w:left w:val="nil"/>
          <w:bottom w:val="nil"/>
          <w:right w:val="nil"/>
          <w:between w:val="nil"/>
        </w:pBdr>
        <w:spacing w:after="12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Documentación que compruebe el destino o ejecución de los ingresos recaudados.</w:t>
      </w:r>
    </w:p>
    <w:p w14:paraId="352D1E9D" w14:textId="77777777" w:rsidR="00140F5B" w:rsidRDefault="00774F15">
      <w:pPr>
        <w:spacing w:before="240" w:after="120" w:line="360" w:lineRule="auto"/>
        <w:ind w:right="49"/>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1EFC4B26" w14:textId="77777777" w:rsidR="00140F5B" w:rsidRDefault="00140F5B">
      <w:pPr>
        <w:spacing w:after="0" w:line="360" w:lineRule="auto"/>
        <w:ind w:right="49"/>
        <w:jc w:val="both"/>
        <w:rPr>
          <w:rFonts w:ascii="Palatino Linotype" w:eastAsia="Palatino Linotype" w:hAnsi="Palatino Linotype" w:cs="Palatino Linotype"/>
          <w:color w:val="000000"/>
          <w:sz w:val="24"/>
          <w:szCs w:val="24"/>
        </w:rPr>
      </w:pPr>
    </w:p>
    <w:p w14:paraId="4FDBA9AD" w14:textId="77777777" w:rsidR="00140F5B" w:rsidRDefault="00774F15">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w:t>
      </w:r>
      <w:r>
        <w:rPr>
          <w:rFonts w:ascii="Palatino Linotype" w:eastAsia="Palatino Linotype" w:hAnsi="Palatino Linotype" w:cs="Palatino Linotype"/>
          <w:sz w:val="24"/>
          <w:szCs w:val="24"/>
        </w:rPr>
        <w:t> </w:t>
      </w:r>
      <w:r>
        <w:rPr>
          <w:rFonts w:ascii="Palatino Linotype" w:eastAsia="Palatino Linotype" w:hAnsi="Palatino Linotype" w:cs="Palatino Linotype"/>
          <w:b/>
          <w:sz w:val="24"/>
          <w:szCs w:val="24"/>
        </w:rPr>
        <w:t xml:space="preserve">NOTIFÍQUESE vía SAIMEX </w:t>
      </w:r>
      <w:r>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w:t>
      </w:r>
      <w:r>
        <w:rPr>
          <w:rFonts w:ascii="Palatino Linotype" w:eastAsia="Palatino Linotype" w:hAnsi="Palatino Linotype" w:cs="Palatino Linotype"/>
          <w:sz w:val="24"/>
          <w:szCs w:val="24"/>
        </w:rPr>
        <w:lastRenderedPageBreak/>
        <w:t>ordenado dentro del plazo de diez días hábiles, debiendo informar a este Instituto en un plazo de tres días hábiles siguientes sobre el cumplimiento dado a la presente resolución.</w:t>
      </w:r>
    </w:p>
    <w:p w14:paraId="39092684" w14:textId="77777777" w:rsidR="00140F5B" w:rsidRDefault="00774F15">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CUARTO.</w:t>
      </w:r>
      <w:r>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F177989" w14:textId="77777777" w:rsidR="00140F5B" w:rsidRDefault="00140F5B">
      <w:pPr>
        <w:spacing w:after="0" w:line="360" w:lineRule="auto"/>
        <w:ind w:right="49"/>
        <w:jc w:val="both"/>
        <w:rPr>
          <w:rFonts w:ascii="Palatino Linotype" w:eastAsia="Palatino Linotype" w:hAnsi="Palatino Linotype" w:cs="Palatino Linotype"/>
          <w:sz w:val="24"/>
          <w:szCs w:val="24"/>
        </w:rPr>
      </w:pPr>
    </w:p>
    <w:p w14:paraId="329E3F9B" w14:textId="77777777" w:rsidR="00140F5B" w:rsidRDefault="00774F15">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 NOTIFÍQUESE vía SAIMEX</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7BFAF80B" w14:textId="77777777" w:rsidR="00140F5B" w:rsidRDefault="00140F5B">
      <w:pPr>
        <w:spacing w:after="120" w:line="360" w:lineRule="auto"/>
        <w:ind w:right="49"/>
        <w:jc w:val="both"/>
        <w:rPr>
          <w:rFonts w:ascii="Palatino Linotype" w:eastAsia="Palatino Linotype" w:hAnsi="Palatino Linotype" w:cs="Palatino Linotype"/>
          <w:b/>
          <w:sz w:val="24"/>
          <w:szCs w:val="24"/>
        </w:rPr>
      </w:pPr>
    </w:p>
    <w:p w14:paraId="660ABCEC" w14:textId="77777777" w:rsidR="00140F5B" w:rsidRDefault="00774F15">
      <w:pPr>
        <w:spacing w:before="120" w:after="12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QUINTA SESIÓN ORDINARIA </w:t>
      </w:r>
      <w:r>
        <w:rPr>
          <w:rFonts w:ascii="Palatino Linotype" w:eastAsia="Palatino Linotype" w:hAnsi="Palatino Linotype" w:cs="Palatino Linotype"/>
          <w:sz w:val="24"/>
          <w:szCs w:val="24"/>
        </w:rPr>
        <w:lastRenderedPageBreak/>
        <w:t>CELEBRADA EL SEIS DE JULIO DE DOS MIL VEINTIDÓS, ANTE EL SECRETARIO TÉCNICO DEL PLENO ALEXIS TAPIA RAMÍREZ.</w:t>
      </w:r>
    </w:p>
    <w:p w14:paraId="44FE9E8C" w14:textId="77777777" w:rsidR="00140F5B" w:rsidRDefault="00140F5B">
      <w:pPr>
        <w:spacing w:line="360" w:lineRule="auto"/>
        <w:jc w:val="both"/>
      </w:pPr>
    </w:p>
    <w:sectPr w:rsidR="00140F5B">
      <w:headerReference w:type="default" r:id="rId36"/>
      <w:footerReference w:type="default" r:id="rId37"/>
      <w:headerReference w:type="first" r:id="rId38"/>
      <w:footerReference w:type="first" r:id="rId39"/>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6684A0" w14:textId="77777777" w:rsidR="00F52433" w:rsidRDefault="00F52433">
      <w:pPr>
        <w:spacing w:after="0" w:line="240" w:lineRule="auto"/>
      </w:pPr>
      <w:r>
        <w:separator/>
      </w:r>
    </w:p>
  </w:endnote>
  <w:endnote w:type="continuationSeparator" w:id="0">
    <w:p w14:paraId="01C73E99" w14:textId="77777777" w:rsidR="00F52433" w:rsidRDefault="00F52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2E529" w14:textId="77777777" w:rsidR="00140F5B" w:rsidRDefault="00774F15">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F6C4F">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F6C4F">
      <w:rPr>
        <w:rFonts w:ascii="Arial" w:eastAsia="Arial" w:hAnsi="Arial" w:cs="Arial"/>
        <w:b/>
        <w:noProof/>
        <w:color w:val="000000"/>
        <w:sz w:val="20"/>
        <w:szCs w:val="20"/>
      </w:rPr>
      <w:t>62</w:t>
    </w:r>
    <w:r>
      <w:rPr>
        <w:rFonts w:ascii="Arial" w:eastAsia="Arial" w:hAnsi="Arial" w:cs="Arial"/>
        <w:b/>
        <w:color w:val="000000"/>
        <w:sz w:val="20"/>
        <w:szCs w:val="20"/>
      </w:rPr>
      <w:fldChar w:fldCharType="end"/>
    </w:r>
  </w:p>
  <w:p w14:paraId="1ABE167C" w14:textId="77777777" w:rsidR="00140F5B" w:rsidRDefault="00140F5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C47D7" w14:textId="77777777" w:rsidR="00140F5B" w:rsidRDefault="00774F15">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F6C4F">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F6C4F">
      <w:rPr>
        <w:rFonts w:ascii="Arial" w:eastAsia="Arial" w:hAnsi="Arial" w:cs="Arial"/>
        <w:b/>
        <w:noProof/>
        <w:color w:val="000000"/>
        <w:sz w:val="20"/>
        <w:szCs w:val="20"/>
      </w:rPr>
      <w:t>62</w:t>
    </w:r>
    <w:r>
      <w:rPr>
        <w:rFonts w:ascii="Arial" w:eastAsia="Arial" w:hAnsi="Arial" w:cs="Arial"/>
        <w:b/>
        <w:color w:val="000000"/>
        <w:sz w:val="20"/>
        <w:szCs w:val="20"/>
      </w:rPr>
      <w:fldChar w:fldCharType="end"/>
    </w:r>
  </w:p>
  <w:p w14:paraId="0ADCC439" w14:textId="77777777" w:rsidR="00140F5B" w:rsidRDefault="00140F5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FE456A" w14:textId="77777777" w:rsidR="00F52433" w:rsidRDefault="00F52433">
      <w:pPr>
        <w:spacing w:after="0" w:line="240" w:lineRule="auto"/>
      </w:pPr>
      <w:r>
        <w:separator/>
      </w:r>
    </w:p>
  </w:footnote>
  <w:footnote w:type="continuationSeparator" w:id="0">
    <w:p w14:paraId="270C8759" w14:textId="77777777" w:rsidR="00F52433" w:rsidRDefault="00F52433">
      <w:pPr>
        <w:spacing w:after="0" w:line="240" w:lineRule="auto"/>
      </w:pPr>
      <w:r>
        <w:continuationSeparator/>
      </w:r>
    </w:p>
  </w:footnote>
  <w:footnote w:id="1">
    <w:p w14:paraId="5F0812A2" w14:textId="77777777" w:rsidR="00140F5B" w:rsidRDefault="00774F15">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53BFAF56" w14:textId="77777777" w:rsidR="00140F5B" w:rsidRDefault="00774F15">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7BB651F3" w14:textId="77777777" w:rsidR="00140F5B" w:rsidRDefault="00774F15">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14:paraId="1C72E412" w14:textId="77777777" w:rsidR="00140F5B" w:rsidRDefault="00774F1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hyperlink r:id="rId1">
        <w:r>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621B6" w14:textId="77777777" w:rsidR="00140F5B" w:rsidRDefault="00140F5B">
    <w:pPr>
      <w:widowControl w:val="0"/>
      <w:pBdr>
        <w:top w:val="nil"/>
        <w:left w:val="nil"/>
        <w:bottom w:val="nil"/>
        <w:right w:val="nil"/>
        <w:between w:val="nil"/>
      </w:pBdr>
      <w:spacing w:after="0" w:line="276" w:lineRule="auto"/>
      <w:rPr>
        <w:color w:val="000000"/>
      </w:rPr>
    </w:pPr>
  </w:p>
  <w:tbl>
    <w:tblPr>
      <w:tblStyle w:val="a1"/>
      <w:tblW w:w="10346" w:type="dxa"/>
      <w:tblInd w:w="-1281" w:type="dxa"/>
      <w:tblLayout w:type="fixed"/>
      <w:tblLook w:val="0400" w:firstRow="0" w:lastRow="0" w:firstColumn="0" w:lastColumn="0" w:noHBand="0" w:noVBand="1"/>
    </w:tblPr>
    <w:tblGrid>
      <w:gridCol w:w="5392"/>
      <w:gridCol w:w="4954"/>
    </w:tblGrid>
    <w:tr w:rsidR="00140F5B" w14:paraId="3394B163" w14:textId="77777777">
      <w:trPr>
        <w:trHeight w:val="244"/>
      </w:trPr>
      <w:tc>
        <w:tcPr>
          <w:tcW w:w="5392" w:type="dxa"/>
        </w:tcPr>
        <w:p w14:paraId="71581828" w14:textId="77777777" w:rsidR="00140F5B" w:rsidRDefault="00774F1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54" w:type="dxa"/>
        </w:tcPr>
        <w:p w14:paraId="5BA3BCF4" w14:textId="77777777" w:rsidR="00140F5B" w:rsidRDefault="00774F15">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04004/INFOEM/IP/RR/2022</w:t>
          </w:r>
        </w:p>
      </w:tc>
    </w:tr>
    <w:tr w:rsidR="00140F5B" w14:paraId="51C09637" w14:textId="77777777">
      <w:trPr>
        <w:trHeight w:val="210"/>
      </w:trPr>
      <w:tc>
        <w:tcPr>
          <w:tcW w:w="5392" w:type="dxa"/>
        </w:tcPr>
        <w:p w14:paraId="6A65E726" w14:textId="77777777" w:rsidR="00140F5B" w:rsidRDefault="00774F1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54" w:type="dxa"/>
        </w:tcPr>
        <w:p w14:paraId="626181E2" w14:textId="77777777" w:rsidR="00140F5B" w:rsidRDefault="00140F5B">
          <w:pPr>
            <w:spacing w:after="120"/>
            <w:ind w:left="-486" w:right="214" w:firstLine="567"/>
            <w:jc w:val="right"/>
            <w:rPr>
              <w:rFonts w:ascii="Palatino Linotype" w:eastAsia="Palatino Linotype" w:hAnsi="Palatino Linotype" w:cs="Palatino Linotype"/>
              <w:sz w:val="24"/>
              <w:szCs w:val="24"/>
            </w:rPr>
          </w:pPr>
        </w:p>
      </w:tc>
    </w:tr>
    <w:tr w:rsidR="00140F5B" w14:paraId="79C92BB9" w14:textId="77777777">
      <w:trPr>
        <w:trHeight w:val="261"/>
      </w:trPr>
      <w:tc>
        <w:tcPr>
          <w:tcW w:w="5392" w:type="dxa"/>
        </w:tcPr>
        <w:p w14:paraId="644F9106" w14:textId="77777777" w:rsidR="00140F5B" w:rsidRDefault="00774F1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54" w:type="dxa"/>
        </w:tcPr>
        <w:p w14:paraId="5B7B733D" w14:textId="77777777" w:rsidR="00140F5B" w:rsidRDefault="00774F15">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Organismo Público Descentralizado </w:t>
          </w:r>
        </w:p>
        <w:p w14:paraId="2A00BFC2" w14:textId="77777777" w:rsidR="00140F5B" w:rsidRDefault="00774F15">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la Prestación de Los Servicios de Agua Potable Alcantarillado y Saneamiento del Municipio de Naucalpan de Juárez</w:t>
          </w:r>
        </w:p>
      </w:tc>
    </w:tr>
    <w:tr w:rsidR="00140F5B" w14:paraId="0A401FBE" w14:textId="77777777">
      <w:trPr>
        <w:trHeight w:val="368"/>
      </w:trPr>
      <w:tc>
        <w:tcPr>
          <w:tcW w:w="5392" w:type="dxa"/>
        </w:tcPr>
        <w:p w14:paraId="359F4587" w14:textId="77777777" w:rsidR="00140F5B" w:rsidRDefault="00774F1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54" w:type="dxa"/>
        </w:tcPr>
        <w:p w14:paraId="3A3B267B" w14:textId="77777777" w:rsidR="00140F5B" w:rsidRDefault="00774F1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590E7471" w14:textId="77777777" w:rsidR="00140F5B" w:rsidRDefault="00774F1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4C31396A" wp14:editId="17746E81">
          <wp:simplePos x="0" y="0"/>
          <wp:positionH relativeFrom="column">
            <wp:posOffset>-931544</wp:posOffset>
          </wp:positionH>
          <wp:positionV relativeFrom="paragraph">
            <wp:posOffset>-2196464</wp:posOffset>
          </wp:positionV>
          <wp:extent cx="7753350" cy="9942731"/>
          <wp:effectExtent l="0" t="0" r="0" b="0"/>
          <wp:wrapNone/>
          <wp:docPr id="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86E54" w14:textId="77777777" w:rsidR="00140F5B" w:rsidRDefault="00140F5B">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0"/>
      <w:tblW w:w="10346" w:type="dxa"/>
      <w:tblInd w:w="-1281" w:type="dxa"/>
      <w:tblLayout w:type="fixed"/>
      <w:tblLook w:val="0400" w:firstRow="0" w:lastRow="0" w:firstColumn="0" w:lastColumn="0" w:noHBand="0" w:noVBand="1"/>
    </w:tblPr>
    <w:tblGrid>
      <w:gridCol w:w="5392"/>
      <w:gridCol w:w="4954"/>
    </w:tblGrid>
    <w:tr w:rsidR="00140F5B" w14:paraId="29A62295" w14:textId="77777777">
      <w:trPr>
        <w:trHeight w:val="244"/>
      </w:trPr>
      <w:tc>
        <w:tcPr>
          <w:tcW w:w="5392" w:type="dxa"/>
        </w:tcPr>
        <w:p w14:paraId="41AD75F1" w14:textId="77777777" w:rsidR="00140F5B" w:rsidRDefault="00774F1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54" w:type="dxa"/>
        </w:tcPr>
        <w:p w14:paraId="369267D5" w14:textId="77777777" w:rsidR="00140F5B" w:rsidRDefault="00774F15">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04004/INFOEM/IP/RR/2022</w:t>
          </w:r>
        </w:p>
      </w:tc>
    </w:tr>
    <w:tr w:rsidR="00140F5B" w14:paraId="01FEE7CB" w14:textId="77777777">
      <w:trPr>
        <w:trHeight w:val="210"/>
      </w:trPr>
      <w:tc>
        <w:tcPr>
          <w:tcW w:w="5392" w:type="dxa"/>
        </w:tcPr>
        <w:p w14:paraId="65897D8D" w14:textId="77777777" w:rsidR="00140F5B" w:rsidRDefault="00774F1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54" w:type="dxa"/>
        </w:tcPr>
        <w:p w14:paraId="66A278BD" w14:textId="70411828" w:rsidR="00140F5B" w:rsidRDefault="00FF6C4F" w:rsidP="00FF6C4F">
          <w:pPr>
            <w:spacing w:after="120"/>
            <w:ind w:left="-486" w:right="214" w:firstLine="567"/>
            <w:jc w:val="right"/>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sz w:val="24"/>
              <w:szCs w:val="24"/>
            </w:rPr>
            <w:t>xxxxxx</w:t>
          </w:r>
          <w:proofErr w:type="spellEnd"/>
          <w:r w:rsidR="00774F15">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xxxxx</w:t>
          </w:r>
          <w:proofErr w:type="spellEnd"/>
          <w:r w:rsidR="00774F15">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xxxx</w:t>
          </w:r>
          <w:proofErr w:type="spellEnd"/>
        </w:p>
      </w:tc>
    </w:tr>
    <w:tr w:rsidR="00140F5B" w14:paraId="47C0F271" w14:textId="77777777">
      <w:trPr>
        <w:trHeight w:val="261"/>
      </w:trPr>
      <w:tc>
        <w:tcPr>
          <w:tcW w:w="5392" w:type="dxa"/>
        </w:tcPr>
        <w:p w14:paraId="2B0F1743" w14:textId="77777777" w:rsidR="00140F5B" w:rsidRDefault="00774F1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54" w:type="dxa"/>
        </w:tcPr>
        <w:p w14:paraId="7CFC27E0" w14:textId="77777777" w:rsidR="00140F5B" w:rsidRDefault="00774F15">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Organismo Público Descentralizado </w:t>
          </w:r>
        </w:p>
        <w:p w14:paraId="7092B89A" w14:textId="77777777" w:rsidR="00140F5B" w:rsidRDefault="00774F15">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la Prestación de Los Servicios de Agua Potable Alcantarillado y Saneamiento del Municipio de Naucalpan de Juárez</w:t>
          </w:r>
        </w:p>
      </w:tc>
    </w:tr>
    <w:tr w:rsidR="00140F5B" w14:paraId="64124343" w14:textId="77777777">
      <w:trPr>
        <w:trHeight w:val="368"/>
      </w:trPr>
      <w:tc>
        <w:tcPr>
          <w:tcW w:w="5392" w:type="dxa"/>
        </w:tcPr>
        <w:p w14:paraId="5021B4B0" w14:textId="77777777" w:rsidR="00140F5B" w:rsidRDefault="00774F1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54" w:type="dxa"/>
        </w:tcPr>
        <w:p w14:paraId="381DA366" w14:textId="77777777" w:rsidR="00140F5B" w:rsidRDefault="00774F1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2BAB5EEC" w14:textId="77777777" w:rsidR="00140F5B" w:rsidRDefault="00774F1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68BFF9EB" wp14:editId="27E388E9">
          <wp:simplePos x="0" y="0"/>
          <wp:positionH relativeFrom="column">
            <wp:posOffset>-788669</wp:posOffset>
          </wp:positionH>
          <wp:positionV relativeFrom="paragraph">
            <wp:posOffset>-2306319</wp:posOffset>
          </wp:positionV>
          <wp:extent cx="7753350" cy="9942731"/>
          <wp:effectExtent l="0" t="0" r="0" b="0"/>
          <wp:wrapNone/>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E37B6"/>
    <w:multiLevelType w:val="multilevel"/>
    <w:tmpl w:val="EF6ED0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786AE2"/>
    <w:multiLevelType w:val="multilevel"/>
    <w:tmpl w:val="5AE09610"/>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647598"/>
    <w:multiLevelType w:val="multilevel"/>
    <w:tmpl w:val="25C8D7D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1494739"/>
    <w:multiLevelType w:val="multilevel"/>
    <w:tmpl w:val="3A423DD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 w15:restartNumberingAfterBreak="0">
    <w:nsid w:val="748847BD"/>
    <w:multiLevelType w:val="multilevel"/>
    <w:tmpl w:val="C450D1C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F5B"/>
    <w:rsid w:val="00090FAE"/>
    <w:rsid w:val="000C635C"/>
    <w:rsid w:val="00140F5B"/>
    <w:rsid w:val="00240FCC"/>
    <w:rsid w:val="004170F3"/>
    <w:rsid w:val="00774F15"/>
    <w:rsid w:val="00862F88"/>
    <w:rsid w:val="00DC34B3"/>
    <w:rsid w:val="00F40E14"/>
    <w:rsid w:val="00F52433"/>
    <w:rsid w:val="00FF6C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1BCCB"/>
  <w15:docId w15:val="{A817E86C-87B7-4A8D-902F-5A46718BB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A7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87A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7A77"/>
  </w:style>
  <w:style w:type="paragraph" w:styleId="Piedepgina">
    <w:name w:val="footer"/>
    <w:basedOn w:val="Normal"/>
    <w:link w:val="PiedepginaCar"/>
    <w:uiPriority w:val="99"/>
    <w:unhideWhenUsed/>
    <w:rsid w:val="00C87A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7A77"/>
  </w:style>
  <w:style w:type="paragraph" w:styleId="Prrafodelista">
    <w:name w:val="List Paragraph"/>
    <w:basedOn w:val="Normal"/>
    <w:uiPriority w:val="34"/>
    <w:qFormat/>
    <w:rsid w:val="00EF3934"/>
    <w:pPr>
      <w:ind w:left="720"/>
      <w:contextualSpacing/>
    </w:pPr>
  </w:style>
  <w:style w:type="character" w:styleId="Hipervnculo">
    <w:name w:val="Hyperlink"/>
    <w:basedOn w:val="Fuentedeprrafopredeter"/>
    <w:uiPriority w:val="99"/>
    <w:unhideWhenUsed/>
    <w:rsid w:val="006018AA"/>
    <w:rPr>
      <w:color w:val="0563C1" w:themeColor="hyperlink"/>
      <w:u w:val="single"/>
    </w:rPr>
  </w:style>
  <w:style w:type="character" w:styleId="Hipervnculovisitado">
    <w:name w:val="FollowedHyperlink"/>
    <w:basedOn w:val="Fuentedeprrafopredeter"/>
    <w:uiPriority w:val="99"/>
    <w:semiHidden/>
    <w:unhideWhenUsed/>
    <w:rsid w:val="006018AA"/>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pomex.org.mx/ipo3/lgt/indice/OASNAUCALPAN/art_92_xlvii_a.web" TargetMode="External"/><Relationship Id="rId20" Type="http://schemas.openxmlformats.org/officeDocument/2006/relationships/image" Target="media/image2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8.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9.png"/><Relationship Id="rId27" Type="http://schemas.openxmlformats.org/officeDocument/2006/relationships/image" Target="media/image16.jpe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5.jpeg"/><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header2.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2pjFxSDp9m1vCo+qsCiGJOatHg==">AMUW2mXtmb/WU0cT8SM+lB42y/G+RbHZ4Zpm+j628H+3WdMJFcY/fHjkFApjAIQE/tsiXruNIpoYoHiUU8UjIrLfwB1C3nEY/UOWlIVRjGySzbvZQKpuNYldSsb8NbFWXOxJx+cpUOxG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62</Pages>
  <Words>7824</Words>
  <Characters>43033</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2022-07-04T23:58:00Z</dcterms:created>
  <dcterms:modified xsi:type="dcterms:W3CDTF">2022-08-03T20:56:00Z</dcterms:modified>
</cp:coreProperties>
</file>