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3F33" w:rsidRDefault="003023B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Resolución del Pleno del Instituto de Transparencia, Acceso a la Informació</w:t>
      </w:r>
      <w:bookmarkStart w:id="0" w:name="_GoBack"/>
      <w:bookmarkEnd w:id="0"/>
      <w:r>
        <w:rPr>
          <w:rFonts w:ascii="Palatino Linotype" w:eastAsia="Palatino Linotype" w:hAnsi="Palatino Linotype" w:cs="Palatino Linotype"/>
        </w:rPr>
        <w:t xml:space="preserve">n Pública y Protección de Datos Personales del Estado de México y Municipios, con domicilio en Metepec, Estado de México; a ocho de junio de dos mil veintidós. </w:t>
      </w:r>
    </w:p>
    <w:p w:rsidR="000B3F33" w:rsidRDefault="003023B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VISTO</w:t>
      </w:r>
      <w:r>
        <w:rPr>
          <w:rFonts w:ascii="Palatino Linotype" w:eastAsia="Palatino Linotype" w:hAnsi="Palatino Linotype" w:cs="Palatino Linotype"/>
        </w:rPr>
        <w:t xml:space="preserve"> el expediente formado con motivo del recurso de revisión </w:t>
      </w:r>
      <w:r>
        <w:rPr>
          <w:rFonts w:ascii="Palatino Linotype" w:eastAsia="Palatino Linotype" w:hAnsi="Palatino Linotype" w:cs="Palatino Linotype"/>
          <w:b/>
        </w:rPr>
        <w:t>02754/INFOEM/IP/RR/2022</w:t>
      </w:r>
      <w:r>
        <w:rPr>
          <w:rFonts w:ascii="Palatino Linotype" w:eastAsia="Palatino Linotype" w:hAnsi="Palatino Linotype" w:cs="Palatino Linotype"/>
        </w:rPr>
        <w:t>, interpuesto por</w:t>
      </w:r>
      <w:r>
        <w:rPr>
          <w:rFonts w:ascii="Palatino Linotype" w:eastAsia="Palatino Linotype" w:hAnsi="Palatino Linotype" w:cs="Palatino Linotype"/>
          <w:b/>
        </w:rPr>
        <w:t xml:space="preserve"> </w:t>
      </w:r>
      <w:r w:rsidR="00144E6A">
        <w:rPr>
          <w:rFonts w:ascii="Palatino Linotype" w:eastAsia="Palatino Linotype" w:hAnsi="Palatino Linotype" w:cs="Palatino Linotype"/>
          <w:b/>
          <w:sz w:val="22"/>
          <w:szCs w:val="22"/>
        </w:rPr>
        <w:t>XXXX XXXXX XXXX</w:t>
      </w:r>
      <w:r>
        <w:rPr>
          <w:rFonts w:ascii="Palatino Linotype" w:eastAsia="Palatino Linotype" w:hAnsi="Palatino Linotype" w:cs="Palatino Linotype"/>
          <w:b/>
        </w:rPr>
        <w:t xml:space="preserve">, </w:t>
      </w:r>
      <w:r>
        <w:rPr>
          <w:rFonts w:ascii="Palatino Linotype" w:eastAsia="Palatino Linotype" w:hAnsi="Palatino Linotype" w:cs="Palatino Linotype"/>
        </w:rPr>
        <w:t>quien en lo sucesivo</w:t>
      </w:r>
      <w:r>
        <w:rPr>
          <w:rFonts w:ascii="Palatino Linotype" w:eastAsia="Palatino Linotype" w:hAnsi="Palatino Linotype" w:cs="Palatino Linotype"/>
          <w:b/>
        </w:rPr>
        <w:t xml:space="preserve"> </w:t>
      </w:r>
      <w:r>
        <w:rPr>
          <w:rFonts w:ascii="Palatino Linotype" w:eastAsia="Palatino Linotype" w:hAnsi="Palatino Linotype" w:cs="Palatino Linotype"/>
        </w:rPr>
        <w:t xml:space="preserve">será identificada en su calidad de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en contra de la respuesta del </w:t>
      </w:r>
      <w:r>
        <w:rPr>
          <w:rFonts w:ascii="Palatino Linotype" w:eastAsia="Palatino Linotype" w:hAnsi="Palatino Linotype" w:cs="Palatino Linotype"/>
          <w:b/>
        </w:rPr>
        <w:t xml:space="preserve">Ayuntamiento de Naucalpan de Juárez, </w:t>
      </w:r>
      <w:r>
        <w:rPr>
          <w:rFonts w:ascii="Palatino Linotype" w:eastAsia="Palatino Linotype" w:hAnsi="Palatino Linotype" w:cs="Palatino Linotype"/>
        </w:rPr>
        <w:t xml:space="preserve">en lo sucesivo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se procede a dictar la presente resolución con base en los siguientes: </w:t>
      </w:r>
    </w:p>
    <w:p w:rsidR="000B3F33" w:rsidRDefault="003023B3">
      <w:pPr>
        <w:spacing w:before="240" w:after="240" w:line="360" w:lineRule="auto"/>
        <w:jc w:val="center"/>
        <w:rPr>
          <w:rFonts w:ascii="Palatino Linotype" w:eastAsia="Palatino Linotype" w:hAnsi="Palatino Linotype" w:cs="Palatino Linotype"/>
          <w:b/>
          <w:sz w:val="28"/>
          <w:szCs w:val="28"/>
        </w:rPr>
      </w:pPr>
      <w:r>
        <w:rPr>
          <w:rFonts w:ascii="Palatino Linotype" w:eastAsia="Palatino Linotype" w:hAnsi="Palatino Linotype" w:cs="Palatino Linotype"/>
          <w:b/>
        </w:rPr>
        <w:t>I. A N T E C E D E N T E S</w:t>
      </w:r>
    </w:p>
    <w:p w:rsidR="000B3F33" w:rsidRDefault="003023B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1. Solicitud de acceso a la información.</w:t>
      </w:r>
      <w:r>
        <w:rPr>
          <w:rFonts w:ascii="Palatino Linotype" w:eastAsia="Palatino Linotype" w:hAnsi="Palatino Linotype" w:cs="Palatino Linotype"/>
        </w:rPr>
        <w:t xml:space="preserve"> El </w:t>
      </w:r>
      <w:r>
        <w:rPr>
          <w:rFonts w:ascii="Palatino Linotype" w:eastAsia="Palatino Linotype" w:hAnsi="Palatino Linotype" w:cs="Palatino Linotype"/>
          <w:b/>
        </w:rPr>
        <w:t>tres de noviembre de dos mil veintiuno,</w:t>
      </w:r>
      <w:r>
        <w:rPr>
          <w:rFonts w:ascii="Palatino Linotype" w:eastAsia="Palatino Linotype" w:hAnsi="Palatino Linotype" w:cs="Palatino Linotype"/>
        </w:rPr>
        <w:t xml:space="preserve"> 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presentó a través del Sistema de Acceso a la Información Mexiquense (</w:t>
      </w:r>
      <w:r>
        <w:rPr>
          <w:rFonts w:ascii="Palatino Linotype" w:eastAsia="Palatino Linotype" w:hAnsi="Palatino Linotype" w:cs="Palatino Linotype"/>
          <w:b/>
        </w:rPr>
        <w:t>SAIMEX),</w:t>
      </w:r>
      <w:r>
        <w:rPr>
          <w:rFonts w:ascii="Palatino Linotype" w:eastAsia="Palatino Linotype" w:hAnsi="Palatino Linotype" w:cs="Palatino Linotype"/>
        </w:rPr>
        <w:t xml:space="preserve"> la solicitud de acceso a la información pública registrada con el número </w:t>
      </w:r>
      <w:r>
        <w:rPr>
          <w:rFonts w:ascii="Palatino Linotype" w:eastAsia="Palatino Linotype" w:hAnsi="Palatino Linotype" w:cs="Palatino Linotype"/>
          <w:b/>
        </w:rPr>
        <w:t xml:space="preserve">00833/NAUCALPA/IP/2021, </w:t>
      </w:r>
      <w:r>
        <w:rPr>
          <w:rFonts w:ascii="Palatino Linotype" w:eastAsia="Palatino Linotype" w:hAnsi="Palatino Linotype" w:cs="Palatino Linotype"/>
        </w:rPr>
        <w:t xml:space="preserve">mediante la cual requirió la información siguiente: </w:t>
      </w:r>
    </w:p>
    <w:p w:rsidR="000B3F33" w:rsidRDefault="003023B3">
      <w:pPr>
        <w:spacing w:line="276" w:lineRule="auto"/>
        <w:ind w:left="851" w:right="616"/>
        <w:jc w:val="both"/>
        <w:rPr>
          <w:rFonts w:ascii="Palatino Linotype" w:eastAsia="Palatino Linotype" w:hAnsi="Palatino Linotype" w:cs="Palatino Linotype"/>
          <w:i/>
        </w:rPr>
      </w:pPr>
      <w:bookmarkStart w:id="1" w:name="_heading=h.gjdgxs" w:colFirst="0" w:colLast="0"/>
      <w:bookmarkEnd w:id="1"/>
      <w:r>
        <w:rPr>
          <w:rFonts w:ascii="Palatino Linotype" w:eastAsia="Palatino Linotype" w:hAnsi="Palatino Linotype" w:cs="Palatino Linotype"/>
          <w:i/>
        </w:rPr>
        <w:t xml:space="preserve">“Solicito su amable colaboración para obtener </w:t>
      </w:r>
      <w:r>
        <w:rPr>
          <w:rFonts w:ascii="Palatino Linotype" w:eastAsia="Palatino Linotype" w:hAnsi="Palatino Linotype" w:cs="Palatino Linotype"/>
          <w:b/>
          <w:i/>
        </w:rPr>
        <w:t>una copia del "Informe de Género" presentado por la Presidenta Municipal el 25 de octubre del presente año, el cuál fue publicado el evento de presentación en sus redes sociales</w:t>
      </w:r>
      <w:r>
        <w:rPr>
          <w:rFonts w:ascii="Palatino Linotype" w:eastAsia="Palatino Linotype" w:hAnsi="Palatino Linotype" w:cs="Palatino Linotype"/>
          <w:i/>
        </w:rPr>
        <w:t xml:space="preserve">, pero no da a conocer algún dato, estadística o acción realizada. Por lo cual solicito </w:t>
      </w:r>
      <w:r>
        <w:rPr>
          <w:rFonts w:ascii="Palatino Linotype" w:eastAsia="Palatino Linotype" w:hAnsi="Palatino Linotype" w:cs="Palatino Linotype"/>
          <w:b/>
          <w:i/>
        </w:rPr>
        <w:t>una copia del informe presentado o la grabación</w:t>
      </w:r>
      <w:r>
        <w:rPr>
          <w:rFonts w:ascii="Palatino Linotype" w:eastAsia="Palatino Linotype" w:hAnsi="Palatino Linotype" w:cs="Palatino Linotype"/>
          <w:i/>
        </w:rPr>
        <w:t xml:space="preserve"> en video del mismo con la finalidad de conocer las acciones presentadas, obviamente excluyendo la información catalogada como reservada o confidencial de acuerdo a lo establecido en la Ley General de Transparencia y Acceso a la información Pública. Muchas gracias.” (</w:t>
      </w:r>
      <w:proofErr w:type="gramStart"/>
      <w:r>
        <w:rPr>
          <w:rFonts w:ascii="Palatino Linotype" w:eastAsia="Palatino Linotype" w:hAnsi="Palatino Linotype" w:cs="Palatino Linotype"/>
          <w:i/>
        </w:rPr>
        <w:t>sic</w:t>
      </w:r>
      <w:proofErr w:type="gramEnd"/>
      <w:r>
        <w:rPr>
          <w:rFonts w:ascii="Palatino Linotype" w:eastAsia="Palatino Linotype" w:hAnsi="Palatino Linotype" w:cs="Palatino Linotype"/>
          <w:i/>
        </w:rPr>
        <w:t>)</w:t>
      </w:r>
    </w:p>
    <w:p w:rsidR="000B3F33" w:rsidRDefault="000B3F33">
      <w:pPr>
        <w:ind w:right="900"/>
        <w:jc w:val="both"/>
        <w:rPr>
          <w:rFonts w:ascii="Palatino Linotype" w:eastAsia="Palatino Linotype" w:hAnsi="Palatino Linotype" w:cs="Palatino Linotype"/>
        </w:rPr>
      </w:pPr>
    </w:p>
    <w:p w:rsidR="000B3F33" w:rsidRDefault="003023B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Modalidad de Entrega:</w:t>
      </w:r>
      <w:r>
        <w:rPr>
          <w:rFonts w:ascii="Palatino Linotype" w:eastAsia="Palatino Linotype" w:hAnsi="Palatino Linotype" w:cs="Palatino Linotype"/>
        </w:rPr>
        <w:t xml:space="preserve"> A través del SAIMEX.</w:t>
      </w:r>
    </w:p>
    <w:p w:rsidR="000B3F33" w:rsidRDefault="003023B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2. Respuesta.</w:t>
      </w:r>
      <w:r>
        <w:rPr>
          <w:rFonts w:ascii="Palatino Linotype" w:eastAsia="Palatino Linotype" w:hAnsi="Palatino Linotype" w:cs="Palatino Linotype"/>
        </w:rPr>
        <w:t xml:space="preserve"> De las constancias que obran en el SAIMEX se observa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no dio respuesta a la solicitud de acceso a la información.</w:t>
      </w:r>
    </w:p>
    <w:p w:rsidR="000B3F33" w:rsidRDefault="003023B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b/>
        </w:rPr>
        <w:t xml:space="preserve">3. Interposición del recurso de revisión.  </w:t>
      </w:r>
      <w:r>
        <w:rPr>
          <w:rFonts w:ascii="Palatino Linotype" w:eastAsia="Palatino Linotype" w:hAnsi="Palatino Linotype" w:cs="Palatino Linotype"/>
        </w:rPr>
        <w:t xml:space="preserve">El </w:t>
      </w:r>
      <w:r>
        <w:rPr>
          <w:rFonts w:ascii="Palatino Linotype" w:eastAsia="Palatino Linotype" w:hAnsi="Palatino Linotype" w:cs="Palatino Linotype"/>
          <w:b/>
        </w:rPr>
        <w:t xml:space="preserve">primero de marzo de dos mil veintidós </w:t>
      </w:r>
      <w:r>
        <w:rPr>
          <w:rFonts w:ascii="Palatino Linotype" w:eastAsia="Palatino Linotype" w:hAnsi="Palatino Linotype" w:cs="Palatino Linotype"/>
        </w:rPr>
        <w:t xml:space="preserve">la </w:t>
      </w:r>
      <w:r>
        <w:rPr>
          <w:rFonts w:ascii="Palatino Linotype" w:eastAsia="Palatino Linotype" w:hAnsi="Palatino Linotype" w:cs="Palatino Linotype"/>
          <w:b/>
        </w:rPr>
        <w:t xml:space="preserve">RECURRENTE </w:t>
      </w:r>
      <w:r>
        <w:rPr>
          <w:rFonts w:ascii="Palatino Linotype" w:eastAsia="Palatino Linotype" w:hAnsi="Palatino Linotype" w:cs="Palatino Linotype"/>
        </w:rPr>
        <w:t>inconforme ante la falta de respuesta, presentó el recurso de revisión en el que manifestó lo siguiente:</w:t>
      </w:r>
    </w:p>
    <w:p w:rsidR="000B3F33" w:rsidRDefault="003023B3">
      <w:pPr>
        <w:tabs>
          <w:tab w:val="left" w:pos="2745"/>
        </w:tabs>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 xml:space="preserve">Acto impugnado: </w:t>
      </w:r>
      <w:r>
        <w:rPr>
          <w:rFonts w:ascii="Palatino Linotype" w:eastAsia="Palatino Linotype" w:hAnsi="Palatino Linotype" w:cs="Palatino Linotype"/>
          <w:b/>
        </w:rPr>
        <w:tab/>
      </w:r>
    </w:p>
    <w:p w:rsidR="000B3F33" w:rsidRDefault="000B3F33">
      <w:pPr>
        <w:spacing w:line="360" w:lineRule="auto"/>
        <w:ind w:left="851" w:right="900"/>
        <w:jc w:val="both"/>
        <w:rPr>
          <w:rFonts w:ascii="Palatino Linotype" w:eastAsia="Palatino Linotype" w:hAnsi="Palatino Linotype" w:cs="Palatino Linotype"/>
          <w:i/>
          <w:sz w:val="2"/>
          <w:szCs w:val="2"/>
        </w:rPr>
      </w:pPr>
    </w:p>
    <w:p w:rsidR="000B3F33" w:rsidRDefault="003023B3">
      <w:pPr>
        <w:spacing w:line="360" w:lineRule="auto"/>
        <w:ind w:left="851" w:right="90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“No se recibe respuesta de la solicitud” (sic)</w:t>
      </w:r>
    </w:p>
    <w:p w:rsidR="000B3F33" w:rsidRDefault="000B3F33">
      <w:pPr>
        <w:spacing w:line="360" w:lineRule="auto"/>
        <w:jc w:val="both"/>
        <w:rPr>
          <w:rFonts w:ascii="Palatino Linotype" w:eastAsia="Palatino Linotype" w:hAnsi="Palatino Linotype" w:cs="Palatino Linotype"/>
          <w:sz w:val="2"/>
          <w:szCs w:val="2"/>
        </w:rPr>
      </w:pPr>
    </w:p>
    <w:p w:rsidR="000B3F33" w:rsidRDefault="000B3F33">
      <w:pPr>
        <w:spacing w:line="360" w:lineRule="auto"/>
        <w:jc w:val="both"/>
        <w:rPr>
          <w:rFonts w:ascii="Palatino Linotype" w:eastAsia="Palatino Linotype" w:hAnsi="Palatino Linotype" w:cs="Palatino Linotype"/>
          <w:sz w:val="2"/>
          <w:szCs w:val="2"/>
        </w:rPr>
      </w:pPr>
    </w:p>
    <w:p w:rsidR="000B3F33" w:rsidRDefault="000B3F33">
      <w:pPr>
        <w:spacing w:line="360" w:lineRule="auto"/>
        <w:jc w:val="both"/>
        <w:rPr>
          <w:rFonts w:ascii="Palatino Linotype" w:eastAsia="Palatino Linotype" w:hAnsi="Palatino Linotype" w:cs="Palatino Linotype"/>
          <w:sz w:val="2"/>
          <w:szCs w:val="2"/>
        </w:rPr>
      </w:pPr>
    </w:p>
    <w:p w:rsidR="000B3F33" w:rsidRDefault="003023B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Razones o motivos de inconformidad</w:t>
      </w:r>
      <w:r>
        <w:rPr>
          <w:rFonts w:ascii="Palatino Linotype" w:eastAsia="Palatino Linotype" w:hAnsi="Palatino Linotype" w:cs="Palatino Linotype"/>
        </w:rPr>
        <w:t>:</w:t>
      </w:r>
    </w:p>
    <w:p w:rsidR="000B3F33" w:rsidRDefault="000B3F33">
      <w:pPr>
        <w:spacing w:line="360" w:lineRule="auto"/>
        <w:jc w:val="both"/>
        <w:rPr>
          <w:rFonts w:ascii="Palatino Linotype" w:eastAsia="Palatino Linotype" w:hAnsi="Palatino Linotype" w:cs="Palatino Linotype"/>
          <w:sz w:val="2"/>
          <w:szCs w:val="2"/>
        </w:rPr>
      </w:pPr>
    </w:p>
    <w:p w:rsidR="000B3F33" w:rsidRDefault="003023B3">
      <w:pPr>
        <w:spacing w:line="276" w:lineRule="auto"/>
        <w:ind w:left="851" w:right="900"/>
        <w:jc w:val="both"/>
        <w:rPr>
          <w:rFonts w:ascii="Palatino Linotype" w:eastAsia="Palatino Linotype" w:hAnsi="Palatino Linotype" w:cs="Palatino Linotype"/>
          <w:i/>
          <w:sz w:val="22"/>
          <w:szCs w:val="22"/>
        </w:rPr>
      </w:pPr>
      <w:bookmarkStart w:id="2" w:name="_heading=h.30j0zll" w:colFirst="0" w:colLast="0"/>
      <w:bookmarkEnd w:id="2"/>
      <w:r>
        <w:rPr>
          <w:rFonts w:ascii="Palatino Linotype" w:eastAsia="Palatino Linotype" w:hAnsi="Palatino Linotype" w:cs="Palatino Linotype"/>
          <w:i/>
          <w:sz w:val="22"/>
          <w:szCs w:val="22"/>
        </w:rPr>
        <w:t>“No se recibe la información solicitada” (sic)</w:t>
      </w:r>
    </w:p>
    <w:p w:rsidR="000B3F33" w:rsidRDefault="003023B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4. Turno.</w:t>
      </w:r>
      <w:r>
        <w:rPr>
          <w:rFonts w:ascii="Palatino Linotype" w:eastAsia="Palatino Linotype" w:hAnsi="Palatino Linotype" w:cs="Palatino Linotype"/>
          <w:b/>
          <w:sz w:val="28"/>
          <w:szCs w:val="28"/>
        </w:rPr>
        <w:t xml:space="preserve"> </w:t>
      </w:r>
      <w:r>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rPr>
        <w:t xml:space="preserve">Guadalupe Ramírez Peña, </w:t>
      </w:r>
      <w:r>
        <w:rPr>
          <w:rFonts w:ascii="Palatino Linotype" w:eastAsia="Palatino Linotype" w:hAnsi="Palatino Linotype" w:cs="Palatino Linotype"/>
        </w:rPr>
        <w:t xml:space="preserve">a efecto de que analizara sobre su admisión o su </w:t>
      </w:r>
      <w:proofErr w:type="spellStart"/>
      <w:r>
        <w:rPr>
          <w:rFonts w:ascii="Palatino Linotype" w:eastAsia="Palatino Linotype" w:hAnsi="Palatino Linotype" w:cs="Palatino Linotype"/>
        </w:rPr>
        <w:t>desechamiento</w:t>
      </w:r>
      <w:proofErr w:type="spellEnd"/>
      <w:r>
        <w:rPr>
          <w:rFonts w:ascii="Palatino Linotype" w:eastAsia="Palatino Linotype" w:hAnsi="Palatino Linotype" w:cs="Palatino Linotype"/>
        </w:rPr>
        <w:t>.</w:t>
      </w:r>
    </w:p>
    <w:p w:rsidR="000B3F33" w:rsidRDefault="003023B3">
      <w:pPr>
        <w:spacing w:before="240" w:after="240"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5.</w:t>
      </w:r>
      <w:r>
        <w:rPr>
          <w:rFonts w:ascii="Palatino Linotype" w:eastAsia="Palatino Linotype" w:hAnsi="Palatino Linotype" w:cs="Palatino Linotype"/>
          <w:b/>
          <w:i/>
        </w:rPr>
        <w:t xml:space="preserve"> </w:t>
      </w:r>
      <w:r>
        <w:rPr>
          <w:rFonts w:ascii="Palatino Linotype" w:eastAsia="Palatino Linotype" w:hAnsi="Palatino Linotype" w:cs="Palatino Linotype"/>
          <w:b/>
        </w:rPr>
        <w:t>Admisión del Recurso de revisión.</w:t>
      </w:r>
      <w:r>
        <w:rPr>
          <w:rFonts w:ascii="Palatino Linotype" w:eastAsia="Palatino Linotype" w:hAnsi="Palatino Linotype" w:cs="Palatino Linotype"/>
          <w:sz w:val="28"/>
          <w:szCs w:val="28"/>
        </w:rPr>
        <w:t xml:space="preserve"> El</w:t>
      </w:r>
      <w:r>
        <w:rPr>
          <w:rFonts w:ascii="Palatino Linotype" w:eastAsia="Palatino Linotype" w:hAnsi="Palatino Linotype" w:cs="Palatino Linotype"/>
          <w:b/>
        </w:rPr>
        <w:t xml:space="preserve"> siete de marzo de dos mil veintidós, </w:t>
      </w:r>
      <w:r>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dando un plazo máximo de siete días hábiles para que las partes </w:t>
      </w:r>
      <w:r>
        <w:rPr>
          <w:rFonts w:ascii="Palatino Linotype" w:eastAsia="Palatino Linotype" w:hAnsi="Palatino Linotype" w:cs="Palatino Linotype"/>
        </w:rPr>
        <w:lastRenderedPageBreak/>
        <w:t>manifestaran lo que a su derecho resultara conveniente, ofrecieran pruebas, formularan alegatos y el Sujeto Obligado presentara su informe justificado.</w:t>
      </w:r>
    </w:p>
    <w:p w:rsidR="000B3F33" w:rsidRDefault="003023B3">
      <w:pPr>
        <w:widowControl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6. Manifestaciones</w:t>
      </w:r>
      <w:r>
        <w:rPr>
          <w:rFonts w:ascii="Palatino Linotype" w:eastAsia="Palatino Linotype" w:hAnsi="Palatino Linotype" w:cs="Palatino Linotype"/>
        </w:rPr>
        <w:t>.</w:t>
      </w:r>
      <w:r>
        <w:rPr>
          <w:rFonts w:ascii="Palatino Linotype" w:eastAsia="Palatino Linotype" w:hAnsi="Palatino Linotype" w:cs="Palatino Linotype"/>
          <w:sz w:val="28"/>
          <w:szCs w:val="28"/>
        </w:rPr>
        <w:t xml:space="preserve"> </w:t>
      </w:r>
      <w:r>
        <w:rPr>
          <w:rFonts w:ascii="Palatino Linotype" w:eastAsia="Palatino Linotype" w:hAnsi="Palatino Linotype" w:cs="Palatino Linotype"/>
        </w:rPr>
        <w:t xml:space="preserve">El </w:t>
      </w:r>
      <w:r>
        <w:rPr>
          <w:rFonts w:ascii="Palatino Linotype" w:eastAsia="Palatino Linotype" w:hAnsi="Palatino Linotype" w:cs="Palatino Linotype"/>
          <w:b/>
        </w:rPr>
        <w:t>diez</w:t>
      </w:r>
      <w:r>
        <w:rPr>
          <w:rFonts w:ascii="Palatino Linotype" w:eastAsia="Palatino Linotype" w:hAnsi="Palatino Linotype" w:cs="Palatino Linotype"/>
        </w:rPr>
        <w:t xml:space="preserve"> </w:t>
      </w:r>
      <w:r>
        <w:rPr>
          <w:rFonts w:ascii="Palatino Linotype" w:eastAsia="Palatino Linotype" w:hAnsi="Palatino Linotype" w:cs="Palatino Linotype"/>
          <w:b/>
        </w:rPr>
        <w:t>de marzo y veintisiete de abril de dos mil veintidós</w:t>
      </w:r>
      <w:r>
        <w:rPr>
          <w:rFonts w:ascii="Palatino Linotype" w:eastAsia="Palatino Linotype" w:hAnsi="Palatino Linotype" w:cs="Palatino Linotype"/>
        </w:rPr>
        <w:t xml:space="preserve">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 xml:space="preserve">rindió informe justificado y adjuntó los archivos electrónicos siguientes: </w:t>
      </w:r>
    </w:p>
    <w:p w:rsidR="000B3F33" w:rsidRDefault="003023B3">
      <w:pPr>
        <w:widowControl w:val="0"/>
        <w:numPr>
          <w:ilvl w:val="0"/>
          <w:numId w:val="2"/>
        </w:num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“IMNIS-D-191-2022.pdf”:  </w:t>
      </w:r>
      <w:r>
        <w:rPr>
          <w:rFonts w:ascii="Palatino Linotype" w:eastAsia="Palatino Linotype" w:hAnsi="Palatino Linotype" w:cs="Palatino Linotype"/>
          <w:color w:val="000000"/>
        </w:rPr>
        <w:t xml:space="preserve">Oficio número IMNIS/D/SPH/012/2022 del ocho de marzo de dos mil veintidós, suscrito por la Titular del Instituto de las Mujeres Naucalpenses y la Igualdad Sustantiva, por medio del cual rinde una respuesta a la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en los términos siguientes:</w:t>
      </w:r>
    </w:p>
    <w:p w:rsidR="000B3F33" w:rsidRDefault="003023B3">
      <w:pPr>
        <w:widowControl w:val="0"/>
        <w:pBdr>
          <w:top w:val="nil"/>
          <w:left w:val="nil"/>
          <w:bottom w:val="nil"/>
          <w:right w:val="nil"/>
          <w:between w:val="nil"/>
        </w:pBdr>
        <w:spacing w:before="240" w:after="240" w:line="360" w:lineRule="auto"/>
        <w:ind w:left="720" w:right="900"/>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 </w:t>
      </w:r>
      <w:r>
        <w:rPr>
          <w:rFonts w:ascii="Palatino Linotype" w:eastAsia="Palatino Linotype" w:hAnsi="Palatino Linotype" w:cs="Palatino Linotype"/>
          <w:i/>
          <w:color w:val="000000"/>
        </w:rPr>
        <w:t>se informa que de una búsqueda exhaustiva en los archivos de este Instituto, s</w:t>
      </w:r>
      <w:r>
        <w:rPr>
          <w:rFonts w:ascii="Palatino Linotype" w:eastAsia="Palatino Linotype" w:hAnsi="Palatino Linotype" w:cs="Palatino Linotype"/>
          <w:b/>
          <w:i/>
          <w:color w:val="000000"/>
        </w:rPr>
        <w:t>e localizó un informe del eje transversal de igualdad de género, se anexa copia para los efectos a que haya lugar, (Constante en diecinueve fojas)</w:t>
      </w:r>
      <w:r>
        <w:rPr>
          <w:rFonts w:ascii="Palatino Linotype" w:eastAsia="Palatino Linotype" w:hAnsi="Palatino Linotype" w:cs="Palatino Linotype"/>
          <w:i/>
          <w:color w:val="000000"/>
        </w:rPr>
        <w:t>, asimismo se informa que no se cuenta con ningún video o grabación al respecto en los archivos de este Instituto. Se siguiere solicitarlos a la unidad de comunicación social o bien en los archivos de presidencia</w:t>
      </w:r>
      <w:r>
        <w:rPr>
          <w:rFonts w:ascii="Palatino Linotype" w:eastAsia="Palatino Linotype" w:hAnsi="Palatino Linotype" w:cs="Palatino Linotype"/>
          <w:color w:val="000000"/>
        </w:rPr>
        <w:t>…” (Sic)</w:t>
      </w:r>
    </w:p>
    <w:p w:rsidR="000B3F33" w:rsidRDefault="003023B3">
      <w:pPr>
        <w:widowControl w:val="0"/>
        <w:pBdr>
          <w:top w:val="nil"/>
          <w:left w:val="nil"/>
          <w:bottom w:val="nil"/>
          <w:right w:val="nil"/>
          <w:between w:val="nil"/>
        </w:pBdr>
        <w:spacing w:before="240" w:after="240" w:line="360" w:lineRule="auto"/>
        <w:ind w:left="720" w:right="900"/>
        <w:jc w:val="both"/>
      </w:pPr>
      <w:r>
        <w:rPr>
          <w:rFonts w:ascii="Palatino Linotype" w:eastAsia="Palatino Linotype" w:hAnsi="Palatino Linotype" w:cs="Palatino Linotype"/>
        </w:rPr>
        <w:t>El Sujeto Obligado anexó</w:t>
      </w:r>
      <w:r>
        <w:rPr>
          <w:rFonts w:ascii="Palatino Linotype" w:eastAsia="Palatino Linotype" w:hAnsi="Palatino Linotype" w:cs="Palatino Linotype"/>
          <w:color w:val="000000"/>
        </w:rPr>
        <w:t xml:space="preserve"> el documento denominado: </w:t>
      </w:r>
      <w:r>
        <w:rPr>
          <w:rFonts w:ascii="Palatino Linotype" w:eastAsia="Palatino Linotype" w:hAnsi="Palatino Linotype" w:cs="Palatino Linotype"/>
          <w:b/>
          <w:color w:val="000000"/>
        </w:rPr>
        <w:t>Informe de Género 2019-2021,</w:t>
      </w:r>
      <w:r>
        <w:rPr>
          <w:rFonts w:ascii="Palatino Linotype" w:eastAsia="Palatino Linotype" w:hAnsi="Palatino Linotype" w:cs="Palatino Linotype"/>
          <w:color w:val="000000"/>
        </w:rPr>
        <w:t xml:space="preserve"> con diecinueve fojas, que a manera de ilustración se agrega foto de la portada:</w:t>
      </w:r>
    </w:p>
    <w:p w:rsidR="000B3F33" w:rsidRDefault="000B3F33">
      <w:pPr>
        <w:widowControl w:val="0"/>
        <w:pBdr>
          <w:top w:val="nil"/>
          <w:left w:val="nil"/>
          <w:bottom w:val="nil"/>
          <w:right w:val="nil"/>
          <w:between w:val="nil"/>
        </w:pBdr>
        <w:spacing w:before="240" w:after="240" w:line="360" w:lineRule="auto"/>
        <w:ind w:left="720" w:right="900"/>
        <w:jc w:val="both"/>
      </w:pPr>
    </w:p>
    <w:p w:rsidR="000B3F33" w:rsidRDefault="003023B3">
      <w:pPr>
        <w:widowControl w:val="0"/>
        <w:pBdr>
          <w:top w:val="nil"/>
          <w:left w:val="nil"/>
          <w:bottom w:val="nil"/>
          <w:right w:val="nil"/>
          <w:between w:val="nil"/>
        </w:pBdr>
        <w:spacing w:before="240" w:after="240" w:line="360" w:lineRule="auto"/>
        <w:ind w:left="720" w:right="900"/>
        <w:jc w:val="center"/>
        <w:rPr>
          <w:rFonts w:ascii="Palatino Linotype" w:eastAsia="Palatino Linotype" w:hAnsi="Palatino Linotype" w:cs="Palatino Linotype"/>
          <w:color w:val="000000"/>
        </w:rPr>
      </w:pPr>
      <w:r>
        <w:rPr>
          <w:noProof/>
          <w:lang w:val="es-MX" w:eastAsia="es-MX"/>
        </w:rPr>
        <w:lastRenderedPageBreak/>
        <w:drawing>
          <wp:inline distT="0" distB="0" distL="0" distR="0">
            <wp:extent cx="2665244" cy="3562202"/>
            <wp:effectExtent l="0" t="0" r="0" b="0"/>
            <wp:docPr id="4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58893" t="24140" r="23455" b="33917"/>
                    <a:stretch>
                      <a:fillRect/>
                    </a:stretch>
                  </pic:blipFill>
                  <pic:spPr>
                    <a:xfrm>
                      <a:off x="0" y="0"/>
                      <a:ext cx="2665244" cy="3562202"/>
                    </a:xfrm>
                    <a:prstGeom prst="rect">
                      <a:avLst/>
                    </a:prstGeom>
                    <a:ln/>
                  </pic:spPr>
                </pic:pic>
              </a:graphicData>
            </a:graphic>
          </wp:inline>
        </w:drawing>
      </w:r>
    </w:p>
    <w:p w:rsidR="000B3F33" w:rsidRDefault="003023B3">
      <w:pPr>
        <w:widowControl w:val="0"/>
        <w:numPr>
          <w:ilvl w:val="0"/>
          <w:numId w:val="2"/>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b/>
          <w:i/>
          <w:color w:val="000000"/>
        </w:rPr>
        <w:t xml:space="preserve">“SI-044-2022.pdf”,  </w:t>
      </w:r>
      <w:r>
        <w:rPr>
          <w:rFonts w:ascii="Palatino Linotype" w:eastAsia="Palatino Linotype" w:hAnsi="Palatino Linotype" w:cs="Palatino Linotype"/>
          <w:color w:val="000000"/>
        </w:rPr>
        <w:t xml:space="preserve">oficio número SI/044/2022 del veintitrés de marzo de dos mil veintidós, suscrito por la Subdirectora de Información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por medio del cual manifiesta que realizó una exhaustiva búsqueda y </w:t>
      </w:r>
      <w:r>
        <w:rPr>
          <w:rFonts w:ascii="Palatino Linotype" w:eastAsia="Palatino Linotype" w:hAnsi="Palatino Linotype" w:cs="Palatino Linotype"/>
        </w:rPr>
        <w:t>sólo</w:t>
      </w:r>
      <w:r>
        <w:rPr>
          <w:rFonts w:ascii="Palatino Linotype" w:eastAsia="Palatino Linotype" w:hAnsi="Palatino Linotype" w:cs="Palatino Linotype"/>
          <w:color w:val="000000"/>
        </w:rPr>
        <w:t xml:space="preserve"> se localizó boletín informativo C-390/2021 con fecha 26 de octubre de 2021 “</w:t>
      </w:r>
      <w:r>
        <w:rPr>
          <w:rFonts w:ascii="Palatino Linotype" w:eastAsia="Palatino Linotype" w:hAnsi="Palatino Linotype" w:cs="Palatino Linotype"/>
          <w:b/>
          <w:color w:val="000000"/>
        </w:rPr>
        <w:t>RINDE ALCALDESA PATRICIA DURÁ INFORME DE GÉNERO 2019-2021</w:t>
      </w:r>
      <w:r>
        <w:rPr>
          <w:rFonts w:ascii="Palatino Linotype" w:eastAsia="Palatino Linotype" w:hAnsi="Palatino Linotype" w:cs="Palatino Linotype"/>
          <w:color w:val="000000"/>
        </w:rPr>
        <w:t>”el cual se muestra a continuación:</w:t>
      </w:r>
    </w:p>
    <w:p w:rsidR="000B3F33" w:rsidRDefault="003023B3">
      <w:pPr>
        <w:widowControl w:val="0"/>
        <w:pBdr>
          <w:top w:val="nil"/>
          <w:left w:val="nil"/>
          <w:bottom w:val="nil"/>
          <w:right w:val="nil"/>
          <w:between w:val="nil"/>
        </w:pBdr>
        <w:spacing w:before="240" w:line="360" w:lineRule="auto"/>
        <w:ind w:left="720"/>
        <w:jc w:val="both"/>
        <w:rPr>
          <w:rFonts w:ascii="Palatino Linotype" w:eastAsia="Palatino Linotype" w:hAnsi="Palatino Linotype" w:cs="Palatino Linotype"/>
          <w:color w:val="000000"/>
        </w:rPr>
      </w:pPr>
      <w:r>
        <w:rPr>
          <w:noProof/>
          <w:lang w:val="es-MX" w:eastAsia="es-MX"/>
        </w:rPr>
        <w:lastRenderedPageBreak/>
        <w:drawing>
          <wp:inline distT="0" distB="0" distL="0" distR="0">
            <wp:extent cx="4884715" cy="6643213"/>
            <wp:effectExtent l="0" t="0" r="0" b="0"/>
            <wp:docPr id="4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62627" t="19915" r="7671" b="8268"/>
                    <a:stretch>
                      <a:fillRect/>
                    </a:stretch>
                  </pic:blipFill>
                  <pic:spPr>
                    <a:xfrm>
                      <a:off x="0" y="0"/>
                      <a:ext cx="4884715" cy="6643213"/>
                    </a:xfrm>
                    <a:prstGeom prst="rect">
                      <a:avLst/>
                    </a:prstGeom>
                    <a:ln/>
                  </pic:spPr>
                </pic:pic>
              </a:graphicData>
            </a:graphic>
          </wp:inline>
        </w:drawing>
      </w:r>
    </w:p>
    <w:p w:rsidR="000B3F33" w:rsidRDefault="000B3F33">
      <w:pPr>
        <w:widowControl w:val="0"/>
        <w:pBdr>
          <w:top w:val="nil"/>
          <w:left w:val="nil"/>
          <w:bottom w:val="nil"/>
          <w:right w:val="nil"/>
          <w:between w:val="nil"/>
        </w:pBdr>
        <w:spacing w:before="240" w:line="360" w:lineRule="auto"/>
        <w:ind w:left="720"/>
        <w:jc w:val="both"/>
        <w:rPr>
          <w:rFonts w:ascii="Palatino Linotype" w:eastAsia="Palatino Linotype" w:hAnsi="Palatino Linotype" w:cs="Palatino Linotype"/>
          <w:color w:val="000000"/>
        </w:rPr>
      </w:pPr>
    </w:p>
    <w:p w:rsidR="000B3F33" w:rsidRDefault="000B3F33">
      <w:pPr>
        <w:widowControl w:val="0"/>
        <w:pBdr>
          <w:top w:val="nil"/>
          <w:left w:val="nil"/>
          <w:bottom w:val="nil"/>
          <w:right w:val="nil"/>
          <w:between w:val="nil"/>
        </w:pBdr>
        <w:spacing w:before="240" w:line="360" w:lineRule="auto"/>
        <w:ind w:left="720"/>
        <w:jc w:val="both"/>
        <w:rPr>
          <w:rFonts w:ascii="Palatino Linotype" w:eastAsia="Palatino Linotype" w:hAnsi="Palatino Linotype" w:cs="Palatino Linotype"/>
          <w:color w:val="000000"/>
        </w:rPr>
      </w:pPr>
    </w:p>
    <w:p w:rsidR="000B3F33" w:rsidRDefault="003023B3">
      <w:pPr>
        <w:widowControl w:val="0"/>
        <w:pBdr>
          <w:top w:val="nil"/>
          <w:left w:val="nil"/>
          <w:bottom w:val="nil"/>
          <w:right w:val="nil"/>
          <w:between w:val="nil"/>
        </w:pBdr>
        <w:spacing w:before="240" w:line="360" w:lineRule="auto"/>
        <w:ind w:left="720"/>
        <w:jc w:val="both"/>
        <w:rPr>
          <w:rFonts w:ascii="Palatino Linotype" w:eastAsia="Palatino Linotype" w:hAnsi="Palatino Linotype" w:cs="Palatino Linotype"/>
          <w:color w:val="000000"/>
        </w:rPr>
      </w:pPr>
      <w:r>
        <w:rPr>
          <w:noProof/>
          <w:lang w:val="es-MX" w:eastAsia="es-MX"/>
        </w:rPr>
        <w:drawing>
          <wp:inline distT="0" distB="0" distL="0" distR="0">
            <wp:extent cx="4614956" cy="4914304"/>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61269" t="21726" r="7332" b="18829"/>
                    <a:stretch>
                      <a:fillRect/>
                    </a:stretch>
                  </pic:blipFill>
                  <pic:spPr>
                    <a:xfrm>
                      <a:off x="0" y="0"/>
                      <a:ext cx="4614956" cy="4914304"/>
                    </a:xfrm>
                    <a:prstGeom prst="rect">
                      <a:avLst/>
                    </a:prstGeom>
                    <a:ln/>
                  </pic:spPr>
                </pic:pic>
              </a:graphicData>
            </a:graphic>
          </wp:inline>
        </w:drawing>
      </w:r>
    </w:p>
    <w:p w:rsidR="000B3F33" w:rsidRDefault="003023B3">
      <w:pPr>
        <w:widowControl w:val="0"/>
        <w:pBdr>
          <w:top w:val="nil"/>
          <w:left w:val="nil"/>
          <w:bottom w:val="nil"/>
          <w:right w:val="nil"/>
          <w:between w:val="nil"/>
        </w:pBdr>
        <w:spacing w:line="360" w:lineRule="auto"/>
        <w:jc w:val="both"/>
        <w:rPr>
          <w:rFonts w:ascii="Palatino Linotype" w:eastAsia="Palatino Linotype" w:hAnsi="Palatino Linotype" w:cs="Palatino Linotype"/>
          <w:b/>
          <w:color w:val="000000"/>
        </w:rPr>
      </w:pPr>
      <w:r>
        <w:rPr>
          <w:rFonts w:ascii="Palatino Linotype" w:eastAsia="Palatino Linotype" w:hAnsi="Palatino Linotype" w:cs="Palatino Linotype"/>
          <w:color w:val="000000"/>
        </w:rPr>
        <w:t xml:space="preserve">Documentos que mediante acuerdo de fecha </w:t>
      </w:r>
      <w:r>
        <w:rPr>
          <w:rFonts w:ascii="Palatino Linotype" w:eastAsia="Palatino Linotype" w:hAnsi="Palatino Linotype" w:cs="Palatino Linotype"/>
          <w:b/>
          <w:color w:val="000000"/>
        </w:rPr>
        <w:t xml:space="preserve">veinticuatro de mayo de dos mil veintidós </w:t>
      </w:r>
      <w:r>
        <w:rPr>
          <w:rFonts w:ascii="Palatino Linotype" w:eastAsia="Palatino Linotype" w:hAnsi="Palatino Linotype" w:cs="Palatino Linotype"/>
          <w:color w:val="000000"/>
        </w:rPr>
        <w:t xml:space="preserve">se pusieron a la vista de la </w:t>
      </w:r>
      <w:r>
        <w:rPr>
          <w:rFonts w:ascii="Palatino Linotype" w:eastAsia="Palatino Linotype" w:hAnsi="Palatino Linotype" w:cs="Palatino Linotype"/>
          <w:b/>
          <w:color w:val="000000"/>
        </w:rPr>
        <w:t>RECURRENTE.</w:t>
      </w:r>
    </w:p>
    <w:p w:rsidR="000B3F33" w:rsidRDefault="000B3F33">
      <w:pPr>
        <w:widowControl w:val="0"/>
        <w:pBdr>
          <w:top w:val="nil"/>
          <w:left w:val="nil"/>
          <w:bottom w:val="nil"/>
          <w:right w:val="nil"/>
          <w:between w:val="nil"/>
        </w:pBdr>
        <w:spacing w:line="360" w:lineRule="auto"/>
        <w:ind w:left="720"/>
        <w:jc w:val="both"/>
        <w:rPr>
          <w:rFonts w:ascii="Palatino Linotype" w:eastAsia="Palatino Linotype" w:hAnsi="Palatino Linotype" w:cs="Palatino Linotype"/>
          <w:b/>
          <w:color w:val="000000"/>
        </w:rPr>
      </w:pPr>
    </w:p>
    <w:p w:rsidR="000B3F33" w:rsidRDefault="003023B3">
      <w:pPr>
        <w:widowControl w:val="0"/>
        <w:pBdr>
          <w:top w:val="nil"/>
          <w:left w:val="nil"/>
          <w:bottom w:val="nil"/>
          <w:right w:val="nil"/>
          <w:between w:val="nil"/>
        </w:pBdr>
        <w:spacing w:after="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su parte, la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no realizó manifestaciones, ni formuló alegatos y tampoco ofreció medios de prueba. </w:t>
      </w:r>
    </w:p>
    <w:p w:rsidR="000B3F33" w:rsidRDefault="000B3F33">
      <w:pPr>
        <w:widowControl w:val="0"/>
        <w:pBdr>
          <w:top w:val="nil"/>
          <w:left w:val="nil"/>
          <w:bottom w:val="nil"/>
          <w:right w:val="nil"/>
          <w:between w:val="nil"/>
        </w:pBdr>
        <w:spacing w:after="240" w:line="360" w:lineRule="auto"/>
        <w:jc w:val="both"/>
        <w:rPr>
          <w:rFonts w:ascii="Palatino Linotype" w:eastAsia="Palatino Linotype" w:hAnsi="Palatino Linotype" w:cs="Palatino Linotype"/>
          <w:b/>
          <w:color w:val="000000"/>
        </w:rPr>
      </w:pPr>
    </w:p>
    <w:p w:rsidR="000B3F33" w:rsidRPr="00BA7857" w:rsidRDefault="00BA7857">
      <w:pPr>
        <w:widowControl w:val="0"/>
        <w:spacing w:before="240" w:after="240" w:line="360" w:lineRule="auto"/>
        <w:jc w:val="both"/>
        <w:rPr>
          <w:rFonts w:ascii="Palatino Linotype" w:eastAsia="Palatino Linotype" w:hAnsi="Palatino Linotype" w:cs="Palatino Linotype"/>
        </w:rPr>
      </w:pPr>
      <w:r w:rsidRPr="00BA7857">
        <w:rPr>
          <w:rFonts w:ascii="Palatino Linotype" w:eastAsia="Palatino Linotype" w:hAnsi="Palatino Linotype" w:cs="Palatino Linotype"/>
          <w:b/>
        </w:rPr>
        <w:lastRenderedPageBreak/>
        <w:t>7</w:t>
      </w:r>
      <w:r w:rsidR="003023B3" w:rsidRPr="00BA7857">
        <w:rPr>
          <w:rFonts w:ascii="Palatino Linotype" w:eastAsia="Palatino Linotype" w:hAnsi="Palatino Linotype" w:cs="Palatino Linotype"/>
          <w:b/>
        </w:rPr>
        <w:t xml:space="preserve">. Ampliación del plazo para emitir resolución. </w:t>
      </w:r>
      <w:r w:rsidR="003023B3" w:rsidRPr="00BA7857">
        <w:rPr>
          <w:rFonts w:ascii="Palatino Linotype" w:eastAsia="Palatino Linotype" w:hAnsi="Palatino Linotype" w:cs="Palatino Linotype"/>
        </w:rPr>
        <w:t xml:space="preserve">El </w:t>
      </w:r>
      <w:r w:rsidR="003023B3" w:rsidRPr="00BA7857">
        <w:rPr>
          <w:rFonts w:ascii="Palatino Linotype" w:eastAsia="Palatino Linotype" w:hAnsi="Palatino Linotype" w:cs="Palatino Linotype"/>
          <w:b/>
        </w:rPr>
        <w:t>dieciséis de mayo de dos mil veintidós</w:t>
      </w:r>
      <w:r w:rsidR="003023B3" w:rsidRPr="00BA7857">
        <w:rPr>
          <w:rFonts w:ascii="Palatino Linotype" w:eastAsia="Palatino Linotype" w:hAnsi="Palatino Linotype" w:cs="Palatino Linotype"/>
        </w:rPr>
        <w:t xml:space="preserve">, este Instituto con fundamento en el artículo 181, párrafo tercero, de la Ley de Transparencia y Acceso a la Información Pública del Estado de México y Municipios, determinó mediante el acuerdo respectivo, ampliar por quince días hábiles adicionales el plazo para emitir la presente resolución. </w:t>
      </w:r>
    </w:p>
    <w:p w:rsidR="000B3F33" w:rsidRDefault="00BA7857">
      <w:pPr>
        <w:spacing w:before="240" w:after="240" w:line="360" w:lineRule="auto"/>
        <w:jc w:val="both"/>
        <w:rPr>
          <w:rFonts w:ascii="Palatino Linotype" w:eastAsia="Palatino Linotype" w:hAnsi="Palatino Linotype" w:cs="Palatino Linotype"/>
        </w:rPr>
      </w:pPr>
      <w:r w:rsidRPr="00BA7857">
        <w:rPr>
          <w:rFonts w:ascii="Palatino Linotype" w:eastAsia="Palatino Linotype" w:hAnsi="Palatino Linotype" w:cs="Palatino Linotype"/>
          <w:b/>
        </w:rPr>
        <w:t>8</w:t>
      </w:r>
      <w:r w:rsidR="003023B3" w:rsidRPr="00BA7857">
        <w:rPr>
          <w:rFonts w:ascii="Palatino Linotype" w:eastAsia="Palatino Linotype" w:hAnsi="Palatino Linotype" w:cs="Palatino Linotype"/>
          <w:b/>
        </w:rPr>
        <w:t>. Cierre de</w:t>
      </w:r>
      <w:r w:rsidR="003023B3">
        <w:rPr>
          <w:rFonts w:ascii="Palatino Linotype" w:eastAsia="Palatino Linotype" w:hAnsi="Palatino Linotype" w:cs="Palatino Linotype"/>
          <w:b/>
        </w:rPr>
        <w:t xml:space="preserve"> instrucción. </w:t>
      </w:r>
      <w:r w:rsidR="003023B3">
        <w:rPr>
          <w:rFonts w:ascii="Palatino Linotype" w:eastAsia="Palatino Linotype" w:hAnsi="Palatino Linotype" w:cs="Palatino Linotype"/>
        </w:rPr>
        <w:t xml:space="preserve">Una vez transcurrido el periodo otorgado a las partes para realizar sus manifestaciones y no habiendo documentos que integrar al expediente, el </w:t>
      </w:r>
      <w:r w:rsidR="003023B3">
        <w:rPr>
          <w:rFonts w:ascii="Palatino Linotype" w:eastAsia="Palatino Linotype" w:hAnsi="Palatino Linotype" w:cs="Palatino Linotype"/>
          <w:b/>
        </w:rPr>
        <w:t>treinta y uno de mayo de dos mil veintidós</w:t>
      </w:r>
      <w:r w:rsidR="003023B3">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rsidR="00BA7857" w:rsidRDefault="00BA7857" w:rsidP="00BA785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razón de que fueron debidamente sustanciados los expedientes electrónicos y no existe diligencia pendiente de desahogo, se emite la Resolución que conforme a Derecho proceda, de acuerdo con los siguientes: </w:t>
      </w:r>
    </w:p>
    <w:p w:rsidR="000B3F33" w:rsidRDefault="003023B3">
      <w:pPr>
        <w:widowControl w:val="0"/>
        <w:spacing w:before="240" w:after="240" w:line="360" w:lineRule="auto"/>
        <w:jc w:val="center"/>
        <w:rPr>
          <w:rFonts w:ascii="Palatino Linotype" w:eastAsia="Palatino Linotype" w:hAnsi="Palatino Linotype" w:cs="Palatino Linotype"/>
          <w:b/>
        </w:rPr>
      </w:pPr>
      <w:r>
        <w:rPr>
          <w:rFonts w:ascii="Palatino Linotype" w:eastAsia="Palatino Linotype" w:hAnsi="Palatino Linotype" w:cs="Palatino Linotype"/>
          <w:b/>
        </w:rPr>
        <w:t>II. C O N S I D E R A N D O</w:t>
      </w:r>
    </w:p>
    <w:p w:rsidR="000B3F33" w:rsidRDefault="003023B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Primero. Competencia.</w:t>
      </w:r>
      <w:r>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w:t>
      </w:r>
      <w:r>
        <w:rPr>
          <w:rFonts w:ascii="Palatino Linotype" w:eastAsia="Palatino Linotype" w:hAnsi="Palatino Linotype" w:cs="Palatino Linotype"/>
        </w:rPr>
        <w:lastRenderedPageBreak/>
        <w:t>Pública del Estado de México y Municipios; 9, fracciones I y XXIV y 11 del Reglamento Interior del Instituto de Transparencia, Acceso a la Información Pública y Protección de Datos Personales del Estado de México y Municipios.</w:t>
      </w:r>
    </w:p>
    <w:p w:rsidR="000B3F33" w:rsidRDefault="003023B3">
      <w:pPr>
        <w:pBdr>
          <w:top w:val="nil"/>
          <w:left w:val="nil"/>
          <w:bottom w:val="nil"/>
          <w:right w:val="nil"/>
          <w:between w:val="nil"/>
        </w:pBdr>
        <w:spacing w:before="240" w:after="240" w:line="360" w:lineRule="auto"/>
        <w:jc w:val="both"/>
        <w:rPr>
          <w:color w:val="000000"/>
        </w:rPr>
      </w:pPr>
      <w:bookmarkStart w:id="3" w:name="_heading=h.1fob9te" w:colFirst="0" w:colLast="0"/>
      <w:bookmarkEnd w:id="3"/>
      <w:r>
        <w:rPr>
          <w:rFonts w:ascii="Palatino Linotype" w:eastAsia="Palatino Linotype" w:hAnsi="Palatino Linotype" w:cs="Palatino Linotype"/>
          <w:b/>
          <w:color w:val="000000"/>
        </w:rPr>
        <w:t>Segundo. Oportunidad y Procedibilidad del Recurso de Revisión</w:t>
      </w:r>
      <w:r>
        <w:rPr>
          <w:rFonts w:ascii="Palatino Linotype" w:eastAsia="Palatino Linotype" w:hAnsi="Palatino Linotype" w:cs="Palatino Linotype"/>
          <w:color w:val="000000"/>
        </w:rPr>
        <w:t>. Es de precisar que la</w:t>
      </w:r>
      <w:r>
        <w:rPr>
          <w:rFonts w:ascii="Palatino Linotype" w:eastAsia="Palatino Linotype" w:hAnsi="Palatino Linotype" w:cs="Palatino Linotype"/>
          <w:b/>
          <w:color w:val="000000"/>
        </w:rPr>
        <w:t xml:space="preserve"> </w:t>
      </w:r>
      <w:r>
        <w:rPr>
          <w:rFonts w:ascii="Palatino Linotype" w:eastAsia="Palatino Linotype" w:hAnsi="Palatino Linotype" w:cs="Palatino Linotype"/>
          <w:color w:val="000000"/>
        </w:rPr>
        <w:t>Ley de Transparencia y Acceso a la Información Pública del Estado de México y Municipios, describe el mecanismo de procedencia de los recursos de revisión, como se dispone en los artículos 163 y 166, del tenor literal siguiente: </w:t>
      </w:r>
    </w:p>
    <w:p w:rsidR="000B3F33" w:rsidRDefault="003023B3">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163. </w:t>
      </w:r>
      <w:r>
        <w:rPr>
          <w:rFonts w:ascii="Palatino Linotype" w:eastAsia="Palatino Linotype" w:hAnsi="Palatino Linotype" w:cs="Palatino Linotype"/>
          <w:i/>
          <w:color w:val="000000"/>
          <w:sz w:val="22"/>
          <w:szCs w:val="22"/>
        </w:rPr>
        <w:t>La Unidad de Transparencia deberá notificar la respuesta a la solicitud al interesado en el menor tiempo posible, que no podrá exceder de quince días hábiles, contados a partir del día siguiente a la presentación de aquélla. </w:t>
      </w:r>
    </w:p>
    <w:p w:rsidR="000B3F33" w:rsidRDefault="003023B3">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i/>
          <w:color w:val="000000"/>
          <w:sz w:val="22"/>
          <w:szCs w:val="22"/>
        </w:rPr>
        <w:t>…</w:t>
      </w:r>
    </w:p>
    <w:p w:rsidR="000B3F33" w:rsidRDefault="003023B3">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b/>
          <w:i/>
          <w:color w:val="000000"/>
          <w:sz w:val="22"/>
          <w:szCs w:val="22"/>
        </w:rPr>
        <w:t>Artículo 166.</w:t>
      </w:r>
      <w:r>
        <w:rPr>
          <w:rFonts w:ascii="Palatino Linotype" w:eastAsia="Palatino Linotype" w:hAnsi="Palatino Linotype" w:cs="Palatino Linotype"/>
          <w:i/>
          <w:color w:val="000000"/>
          <w:sz w:val="22"/>
          <w:szCs w:val="22"/>
        </w:rPr>
        <w:t xml:space="preserve"> […]</w:t>
      </w:r>
    </w:p>
    <w:p w:rsidR="000B3F33" w:rsidRDefault="003023B3">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i/>
          <w:color w:val="000000"/>
          <w:sz w:val="22"/>
          <w:szCs w:val="22"/>
        </w:rPr>
        <w:t>Cuando el sujeto obligado no entregue la respuesta a la solicitud dentro del plazo previsto en la Ley, la solicitud se entenderá negada y el solicitante podrá interponer el recurso de revisión previsto en este ordenamiento.” </w:t>
      </w:r>
    </w:p>
    <w:p w:rsidR="000B3F33" w:rsidRDefault="003023B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presentar el recurso de revisión.</w:t>
      </w:r>
    </w:p>
    <w:p w:rsidR="000B3F33" w:rsidRDefault="003023B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Derivado de lo anterior, se constituye lo que en la doctrina se conoce como negativa ficta, figura jurídica cuya esencia consiste en atribuir un efecto negativo al silencio </w:t>
      </w:r>
      <w:r>
        <w:rPr>
          <w:rFonts w:ascii="Palatino Linotype" w:eastAsia="Palatino Linotype" w:hAnsi="Palatino Linotype" w:cs="Palatino Linotype"/>
          <w:color w:val="000000"/>
        </w:rPr>
        <w:lastRenderedPageBreak/>
        <w:t>de la autoridad administrativa frente a las instancias y solicitudes que hagan los particulares.</w:t>
      </w:r>
    </w:p>
    <w:p w:rsidR="000B3F33" w:rsidRDefault="003023B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Por su parte, el artículo 178 del citado ordenamiento, establece:</w:t>
      </w:r>
    </w:p>
    <w:p w:rsidR="000B3F33" w:rsidRDefault="003023B3">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178. </w:t>
      </w:r>
      <w:r>
        <w:rPr>
          <w:rFonts w:ascii="Palatino Linotype" w:eastAsia="Palatino Linotype" w:hAnsi="Palatino Linotype" w:cs="Palatino Linotype"/>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r>
        <w:rPr>
          <w:rFonts w:ascii="Palatino Linotype" w:eastAsia="Palatino Linotype" w:hAnsi="Palatino Linotype" w:cs="Palatino Linotype"/>
          <w:b/>
          <w:i/>
          <w:color w:val="000000"/>
          <w:sz w:val="22"/>
          <w:szCs w:val="22"/>
        </w:rPr>
        <w:t>.”</w:t>
      </w:r>
    </w:p>
    <w:p w:rsidR="000B3F33" w:rsidRDefault="003023B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De lo anterior, se advierte que el recurso de revisión se ha de interponer dentro del plazo de quince días hábiles, a partir de la fecha en que 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da respuesta a la solicitud de información; sin embargo, tratándose de negativa ficta no existe resolución que se haga del conocimiento del particular a partir de la cual pueda computarse dicho plazo, por lo que se concluye que la interposición del recurso de revisión puede ser en cualquier momento.</w:t>
      </w:r>
    </w:p>
    <w:p w:rsidR="000B3F33" w:rsidRDefault="003023B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La negativa ficta constituye una presunción legal, en el entendido de que donde no hubo respuesta por parte del </w:t>
      </w:r>
      <w:r>
        <w:rPr>
          <w:rFonts w:ascii="Palatino Linotype" w:eastAsia="Palatino Linotype" w:hAnsi="Palatino Linotype" w:cs="Palatino Linotype"/>
          <w:b/>
          <w:color w:val="000000"/>
        </w:rPr>
        <w:t xml:space="preserve">Sujeto Obligado </w:t>
      </w:r>
      <w:r>
        <w:rPr>
          <w:rFonts w:ascii="Palatino Linotype" w:eastAsia="Palatino Linotype" w:hAnsi="Palatino Linotype" w:cs="Palatino Linotype"/>
          <w:color w:val="000000"/>
        </w:rPr>
        <w:t>existe por lo tanto, una resolución de rechazo ante la solicitud del ciudadano; ya que efectivamente, dicha figura se encuentra íntimamente vinculada con el Derecho de Petición, consagrado en nuestra Carta Magna, es por ello que constituye un instrumento que garantiza la posibilidad de defensa del particular en contra de la incertidumbre jurídica y que tiende a realizar ese Estado de Derecho en el que, el particular, tiene siempre una vía de defensa en contra de los actos autoritarios que le perjudican.</w:t>
      </w:r>
    </w:p>
    <w:p w:rsidR="000B3F33" w:rsidRDefault="003023B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lastRenderedPageBreak/>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Sujeto Obligado de dar respuesta, por lo que este Organismo Garante del derecho de acceso a la información y en aras de privilegiar el principio de máxima publicidad deberá dar entrada al estudio del fondo del recurso interpuesto en dichos casos y no optar por el </w:t>
      </w:r>
      <w:proofErr w:type="spellStart"/>
      <w:r>
        <w:rPr>
          <w:rFonts w:ascii="Palatino Linotype" w:eastAsia="Palatino Linotype" w:hAnsi="Palatino Linotype" w:cs="Palatino Linotype"/>
          <w:color w:val="000000"/>
        </w:rPr>
        <w:t>desechamiento</w:t>
      </w:r>
      <w:proofErr w:type="spellEnd"/>
      <w:r>
        <w:rPr>
          <w:rFonts w:ascii="Palatino Linotype" w:eastAsia="Palatino Linotype" w:hAnsi="Palatino Linotype" w:cs="Palatino Linotype"/>
          <w:color w:val="000000"/>
        </w:rPr>
        <w:t xml:space="preserve"> del mismo.</w:t>
      </w:r>
    </w:p>
    <w:p w:rsidR="000B3F33" w:rsidRDefault="003023B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Por lo tanto, con la finalidad de no reducir ni limitar el derecho de acceso a la información y concederle una protección más eficaz al solicitante para impugnar el silencio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rsidR="000B3F33" w:rsidRDefault="003023B3">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b/>
          <w:i/>
          <w:color w:val="000000"/>
          <w:sz w:val="22"/>
          <w:szCs w:val="22"/>
        </w:rPr>
        <w:t>“CRITERIO 0001-15. NEGATIVA FICTA. PLAZO PARA INTERPONER EL RECURSO DE REVISIÓN TRATÁNDOSE DE</w:t>
      </w:r>
      <w:r>
        <w:rPr>
          <w:rFonts w:ascii="Palatino Linotype" w:eastAsia="Palatino Linotype" w:hAnsi="Palatino Linotype" w:cs="Palatino Linotype"/>
          <w:i/>
          <w:color w:val="000000"/>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w:t>
      </w:r>
      <w:r>
        <w:rPr>
          <w:rFonts w:ascii="Palatino Linotype" w:eastAsia="Palatino Linotype" w:hAnsi="Palatino Linotype" w:cs="Palatino Linotype"/>
          <w:i/>
          <w:color w:val="000000"/>
          <w:sz w:val="22"/>
          <w:szCs w:val="22"/>
        </w:rPr>
        <w:lastRenderedPageBreak/>
        <w:t>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Pr>
          <w:rFonts w:ascii="Palatino Linotype" w:eastAsia="Palatino Linotype" w:hAnsi="Palatino Linotype" w:cs="Palatino Linotype"/>
          <w:i/>
          <w:color w:val="000000"/>
        </w:rPr>
        <w:t> </w:t>
      </w:r>
    </w:p>
    <w:p w:rsidR="00BA7857" w:rsidRDefault="00BA7857" w:rsidP="00BA7857">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cuanto hace a la </w:t>
      </w:r>
      <w:proofErr w:type="spellStart"/>
      <w:r>
        <w:rPr>
          <w:rFonts w:ascii="Palatino Linotype" w:eastAsia="Palatino Linotype" w:hAnsi="Palatino Linotype" w:cs="Palatino Linotype"/>
        </w:rPr>
        <w:t>procedibilidad</w:t>
      </w:r>
      <w:proofErr w:type="spellEnd"/>
      <w:r>
        <w:rPr>
          <w:rFonts w:ascii="Palatino Linotype" w:eastAsia="Palatino Linotype" w:hAnsi="Palatino Linotype" w:cs="Palatino Linotype"/>
        </w:rPr>
        <w:t xml:space="preserve"> de los recursos de revisión, una vez realizado el análisis de los formatos de interposición de los recursos, se concluye la acreditación plena de los elementos formales precisados por el artículo 180 de la Ley de Transparencia y Acceso a la Información Pública del Estado de México y Municipios, en atención a que fueron presentados mediante el formato visible en el SAIMEX.</w:t>
      </w:r>
    </w:p>
    <w:p w:rsidR="000B3F33" w:rsidRDefault="003023B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Finalmente, antes de entrar al estudio de la presente resolución es preciso determinar si resulta procedente la interposición del recurso de revisión, toda vez que se actualizan la hipótesis prevista en el artículo 179, fracción VII de la ley de la materia, que a la letra dice:</w:t>
      </w:r>
    </w:p>
    <w:p w:rsidR="000B3F33" w:rsidRDefault="003023B3">
      <w:pPr>
        <w:pBdr>
          <w:top w:val="nil"/>
          <w:left w:val="nil"/>
          <w:bottom w:val="nil"/>
          <w:right w:val="nil"/>
          <w:between w:val="nil"/>
        </w:pBdr>
        <w:spacing w:line="276" w:lineRule="auto"/>
        <w:ind w:left="851" w:right="851"/>
        <w:jc w:val="both"/>
        <w:rPr>
          <w:color w:val="000000"/>
        </w:rPr>
      </w:pPr>
      <w:r>
        <w:rPr>
          <w:rFonts w:ascii="Palatino Linotype" w:eastAsia="Palatino Linotype" w:hAnsi="Palatino Linotype" w:cs="Palatino Linotype"/>
          <w:i/>
          <w:color w:val="000000"/>
          <w:sz w:val="22"/>
          <w:szCs w:val="22"/>
        </w:rPr>
        <w:t>“</w:t>
      </w:r>
      <w:r>
        <w:rPr>
          <w:rFonts w:ascii="Palatino Linotype" w:eastAsia="Palatino Linotype" w:hAnsi="Palatino Linotype" w:cs="Palatino Linotype"/>
          <w:b/>
          <w:i/>
          <w:color w:val="000000"/>
          <w:sz w:val="22"/>
          <w:szCs w:val="22"/>
        </w:rPr>
        <w:t xml:space="preserve">Artículo 179. </w:t>
      </w:r>
      <w:r>
        <w:rPr>
          <w:rFonts w:ascii="Palatino Linotype" w:eastAsia="Palatino Linotype" w:hAnsi="Palatino Linotype" w:cs="Palatino Linotype"/>
          <w:i/>
          <w:color w:val="000000"/>
          <w:sz w:val="22"/>
          <w:szCs w:val="22"/>
        </w:rPr>
        <w:t>El recurso de revisión es un medio de protección que la Ley otorga a los particulares, para hacer valer su derecho de acceso a la información pública, y procederá en contra de las siguientes causas:</w:t>
      </w:r>
    </w:p>
    <w:p w:rsidR="000B3F33" w:rsidRDefault="003023B3">
      <w:pPr>
        <w:pBdr>
          <w:top w:val="nil"/>
          <w:left w:val="nil"/>
          <w:bottom w:val="nil"/>
          <w:right w:val="nil"/>
          <w:between w:val="nil"/>
        </w:pBdr>
        <w:spacing w:line="276" w:lineRule="auto"/>
        <w:ind w:left="1134" w:right="851"/>
        <w:jc w:val="both"/>
        <w:rPr>
          <w:color w:val="000000"/>
        </w:rPr>
      </w:pPr>
      <w:r>
        <w:rPr>
          <w:rFonts w:ascii="Palatino Linotype" w:eastAsia="Palatino Linotype" w:hAnsi="Palatino Linotype" w:cs="Palatino Linotype"/>
          <w:i/>
          <w:color w:val="000000"/>
        </w:rPr>
        <w:t>…</w:t>
      </w:r>
    </w:p>
    <w:p w:rsidR="000B3F33" w:rsidRDefault="003023B3">
      <w:pPr>
        <w:pBdr>
          <w:top w:val="nil"/>
          <w:left w:val="nil"/>
          <w:bottom w:val="nil"/>
          <w:right w:val="nil"/>
          <w:between w:val="nil"/>
        </w:pBdr>
        <w:spacing w:line="276" w:lineRule="auto"/>
        <w:ind w:left="1134" w:right="851"/>
        <w:jc w:val="both"/>
        <w:rPr>
          <w:color w:val="000000"/>
        </w:rPr>
      </w:pPr>
      <w:r>
        <w:rPr>
          <w:rFonts w:ascii="Palatino Linotype" w:eastAsia="Palatino Linotype" w:hAnsi="Palatino Linotype" w:cs="Palatino Linotype"/>
          <w:b/>
          <w:i/>
          <w:color w:val="000000"/>
          <w:sz w:val="22"/>
          <w:szCs w:val="22"/>
        </w:rPr>
        <w:t xml:space="preserve">VII. </w:t>
      </w:r>
      <w:r>
        <w:rPr>
          <w:rFonts w:ascii="Palatino Linotype" w:eastAsia="Palatino Linotype" w:hAnsi="Palatino Linotype" w:cs="Palatino Linotype"/>
          <w:i/>
          <w:color w:val="000000"/>
          <w:sz w:val="22"/>
          <w:szCs w:val="22"/>
        </w:rPr>
        <w:t>La falta de respuesta a una solicitud de acceso a la información;</w:t>
      </w:r>
    </w:p>
    <w:p w:rsidR="000B3F33" w:rsidRDefault="003023B3">
      <w:pPr>
        <w:pBdr>
          <w:top w:val="nil"/>
          <w:left w:val="nil"/>
          <w:bottom w:val="nil"/>
          <w:right w:val="nil"/>
          <w:between w:val="nil"/>
        </w:pBdr>
        <w:spacing w:line="276" w:lineRule="auto"/>
        <w:ind w:left="1134" w:right="851"/>
        <w:jc w:val="both"/>
        <w:rPr>
          <w:color w:val="000000"/>
        </w:rPr>
      </w:pPr>
      <w:r>
        <w:rPr>
          <w:rFonts w:ascii="Palatino Linotype" w:eastAsia="Palatino Linotype" w:hAnsi="Palatino Linotype" w:cs="Palatino Linotype"/>
          <w:b/>
          <w:i/>
          <w:color w:val="000000"/>
          <w:sz w:val="22"/>
          <w:szCs w:val="22"/>
        </w:rPr>
        <w:t>…</w:t>
      </w:r>
      <w:r>
        <w:rPr>
          <w:rFonts w:ascii="Palatino Linotype" w:eastAsia="Palatino Linotype" w:hAnsi="Palatino Linotype" w:cs="Palatino Linotype"/>
          <w:i/>
          <w:color w:val="000000"/>
          <w:sz w:val="22"/>
          <w:szCs w:val="22"/>
        </w:rPr>
        <w:t>”</w:t>
      </w:r>
    </w:p>
    <w:p w:rsidR="000B3F33" w:rsidRDefault="003023B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 xml:space="preserve">El precepto legal citado, establece como supuesto de procedencia del recurso de revisión, en aquellos casos en que la parte </w:t>
      </w:r>
      <w:r>
        <w:rPr>
          <w:rFonts w:ascii="Palatino Linotype" w:eastAsia="Palatino Linotype" w:hAnsi="Palatino Linotype" w:cs="Palatino Linotype"/>
          <w:b/>
          <w:color w:val="000000"/>
        </w:rPr>
        <w:t xml:space="preserve">Recurrente </w:t>
      </w:r>
      <w:r>
        <w:rPr>
          <w:rFonts w:ascii="Palatino Linotype" w:eastAsia="Palatino Linotype" w:hAnsi="Palatino Linotype" w:cs="Palatino Linotype"/>
          <w:color w:val="000000"/>
        </w:rPr>
        <w:t xml:space="preserve">estime negado el acceso a la </w:t>
      </w:r>
      <w:r>
        <w:rPr>
          <w:rFonts w:ascii="Palatino Linotype" w:eastAsia="Palatino Linotype" w:hAnsi="Palatino Linotype" w:cs="Palatino Linotype"/>
          <w:color w:val="000000"/>
        </w:rPr>
        <w:lastRenderedPageBreak/>
        <w:t xml:space="preserve">información por la falta de respuesta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en este asunto se actualiza la hipótesis jurídica citada, en atención a que la parte </w:t>
      </w:r>
      <w:r>
        <w:rPr>
          <w:rFonts w:ascii="Palatino Linotype" w:eastAsia="Palatino Linotype" w:hAnsi="Palatino Linotype" w:cs="Palatino Linotype"/>
          <w:b/>
          <w:color w:val="000000"/>
        </w:rPr>
        <w:t>Recurrente</w:t>
      </w:r>
      <w:r>
        <w:rPr>
          <w:rFonts w:ascii="Palatino Linotype" w:eastAsia="Palatino Linotype" w:hAnsi="Palatino Linotype" w:cs="Palatino Linotype"/>
          <w:color w:val="000000"/>
        </w:rPr>
        <w:t xml:space="preserve"> combate falta de trámite por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y expresa motivos de inconformidad en contra de dicha circunstancia.</w:t>
      </w:r>
    </w:p>
    <w:p w:rsidR="000B3F33" w:rsidRDefault="003023B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b/>
          <w:color w:val="000000"/>
        </w:rPr>
        <w:t>Tercero. Análisis de las causales de Improcedencia y Sobreseimiento.</w:t>
      </w:r>
      <w:r>
        <w:rPr>
          <w:color w:val="000000"/>
        </w:rPr>
        <w:t xml:space="preserve"> </w:t>
      </w:r>
      <w:r>
        <w:rPr>
          <w:rFonts w:ascii="Palatino Linotype" w:eastAsia="Palatino Linotype" w:hAnsi="Palatino Linotype" w:cs="Palatino Linotype"/>
          <w:color w:val="000000"/>
        </w:rPr>
        <w:t>Este Instituto, realiza el estudio preferente y oficioso de las cuales de improcedencia, en el entendido de que las mismas deben ser analizadas sea que las hayan hecho valer o no las partes, por tratarse de una cuestión de orden público y de estudio preferente, atento a lo establecido por la Jurisprudencia número 940, publicada en la página 1538 de la Segunda Parte del Apéndice del Semanario Judicial de la Federación 1917-1918 que a la letra señala:</w:t>
      </w:r>
    </w:p>
    <w:p w:rsidR="000B3F33" w:rsidRDefault="003023B3">
      <w:pPr>
        <w:pBdr>
          <w:top w:val="nil"/>
          <w:left w:val="nil"/>
          <w:bottom w:val="nil"/>
          <w:right w:val="nil"/>
          <w:between w:val="nil"/>
        </w:pBdr>
        <w:spacing w:line="276" w:lineRule="auto"/>
        <w:ind w:left="851" w:right="900"/>
        <w:jc w:val="both"/>
        <w:rPr>
          <w:color w:val="000000"/>
        </w:rPr>
      </w:pPr>
      <w:r>
        <w:rPr>
          <w:rFonts w:ascii="Palatino Linotype" w:eastAsia="Palatino Linotype" w:hAnsi="Palatino Linotype" w:cs="Palatino Linotype"/>
          <w:b/>
          <w:i/>
          <w:color w:val="000000"/>
          <w:sz w:val="22"/>
          <w:szCs w:val="22"/>
        </w:rPr>
        <w:t xml:space="preserve">“Improcedencia: </w:t>
      </w:r>
      <w:r>
        <w:rPr>
          <w:rFonts w:ascii="Palatino Linotype" w:eastAsia="Palatino Linotype" w:hAnsi="Palatino Linotype" w:cs="Palatino Linotype"/>
          <w:i/>
          <w:color w:val="000000"/>
          <w:sz w:val="22"/>
          <w:szCs w:val="22"/>
        </w:rPr>
        <w:t>Sea que las partes la aleguen o no, debe examinarse previamente la procedencia del juicio de amparo, por ser cuestión de orden público en el juicio de garantías.”</w:t>
      </w:r>
    </w:p>
    <w:p w:rsidR="000B3F33" w:rsidRDefault="003023B3">
      <w:pPr>
        <w:pBdr>
          <w:top w:val="nil"/>
          <w:left w:val="nil"/>
          <w:bottom w:val="nil"/>
          <w:right w:val="nil"/>
          <w:between w:val="nil"/>
        </w:pBdr>
        <w:spacing w:before="240" w:after="240" w:line="360" w:lineRule="auto"/>
        <w:jc w:val="both"/>
        <w:rPr>
          <w:color w:val="000000"/>
        </w:rPr>
      </w:pPr>
      <w:r>
        <w:rPr>
          <w:rFonts w:ascii="Palatino Linotype" w:eastAsia="Palatino Linotype" w:hAnsi="Palatino Linotype" w:cs="Palatino Linotype"/>
          <w:color w:val="000000"/>
        </w:rPr>
        <w:t>Al respecto la Ley de Transparencia y Acceso a la Información Pública del Estado de México y Municipios, establece lo siguiente:</w:t>
      </w:r>
    </w:p>
    <w:p w:rsidR="000B3F33" w:rsidRDefault="003023B3">
      <w:pPr>
        <w:pBdr>
          <w:top w:val="nil"/>
          <w:left w:val="nil"/>
          <w:bottom w:val="nil"/>
          <w:right w:val="nil"/>
          <w:between w:val="nil"/>
        </w:pBdr>
        <w:spacing w:line="276" w:lineRule="auto"/>
        <w:ind w:left="851" w:right="900"/>
        <w:jc w:val="both"/>
        <w:rPr>
          <w:color w:val="000000"/>
        </w:rPr>
      </w:pPr>
      <w:r>
        <w:rPr>
          <w:rFonts w:ascii="Palatino Linotype" w:eastAsia="Palatino Linotype" w:hAnsi="Palatino Linotype" w:cs="Palatino Linotype"/>
          <w:b/>
          <w:i/>
          <w:color w:val="000000"/>
          <w:sz w:val="22"/>
          <w:szCs w:val="22"/>
        </w:rPr>
        <w:t xml:space="preserve">“Artículo 178. </w:t>
      </w:r>
      <w:r>
        <w:rPr>
          <w:rFonts w:ascii="Palatino Linotype" w:eastAsia="Palatino Linotype" w:hAnsi="Palatino Linotype" w:cs="Palatino Linotype"/>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0B3F33" w:rsidRDefault="003023B3">
      <w:pPr>
        <w:pBdr>
          <w:top w:val="nil"/>
          <w:left w:val="nil"/>
          <w:bottom w:val="nil"/>
          <w:right w:val="nil"/>
          <w:between w:val="nil"/>
        </w:pBdr>
        <w:spacing w:before="240" w:after="240" w:line="360" w:lineRule="auto"/>
        <w:ind w:right="49"/>
        <w:jc w:val="both"/>
        <w:rPr>
          <w:color w:val="000000"/>
        </w:rPr>
      </w:pPr>
      <w:r>
        <w:rPr>
          <w:rFonts w:ascii="Palatino Linotype" w:eastAsia="Palatino Linotype" w:hAnsi="Palatino Linotype" w:cs="Palatino Linotype"/>
          <w:color w:val="000000"/>
        </w:rPr>
        <w:t xml:space="preserve">Del precepto legal transcrito, se desprende que cuando los solicitantes de información en el ejercicio del derecho de acceso a la información no se encuentren satisfechos con la información entregada por los Sujetos Obligados, podrán </w:t>
      </w:r>
      <w:r>
        <w:rPr>
          <w:rFonts w:ascii="Palatino Linotype" w:eastAsia="Palatino Linotype" w:hAnsi="Palatino Linotype" w:cs="Palatino Linotype"/>
          <w:color w:val="000000"/>
        </w:rPr>
        <w:lastRenderedPageBreak/>
        <w:t>interponer recurso de revisión de manera directa o por medios electrónicos dentro de los quince días hábiles siguientes a la fecha de notificación de la respuesta.</w:t>
      </w:r>
    </w:p>
    <w:p w:rsidR="000B3F33" w:rsidRDefault="003023B3">
      <w:pPr>
        <w:pBdr>
          <w:top w:val="nil"/>
          <w:left w:val="nil"/>
          <w:bottom w:val="nil"/>
          <w:right w:val="nil"/>
          <w:between w:val="nil"/>
        </w:pBdr>
        <w:spacing w:before="240" w:after="240" w:line="360" w:lineRule="auto"/>
        <w:ind w:right="-1134"/>
        <w:jc w:val="both"/>
        <w:rPr>
          <w:color w:val="000000"/>
        </w:rPr>
      </w:pPr>
      <w:r>
        <w:rPr>
          <w:rFonts w:ascii="Palatino Linotype" w:eastAsia="Palatino Linotype" w:hAnsi="Palatino Linotype" w:cs="Palatino Linotype"/>
          <w:color w:val="000000"/>
        </w:rPr>
        <w:t>Por su parte los artículos 186 y 192 de la Ley en cita, disponen lo siguiente:</w:t>
      </w:r>
    </w:p>
    <w:p w:rsidR="000B3F33" w:rsidRDefault="003023B3">
      <w:pPr>
        <w:pBdr>
          <w:top w:val="nil"/>
          <w:left w:val="nil"/>
          <w:bottom w:val="nil"/>
          <w:right w:val="nil"/>
          <w:between w:val="nil"/>
        </w:pBdr>
        <w:spacing w:after="120" w:line="276" w:lineRule="auto"/>
        <w:ind w:left="851" w:right="902"/>
        <w:jc w:val="both"/>
        <w:rPr>
          <w:color w:val="000000"/>
        </w:rPr>
      </w:pPr>
      <w:r>
        <w:rPr>
          <w:rFonts w:ascii="Palatino Linotype" w:eastAsia="Palatino Linotype" w:hAnsi="Palatino Linotype" w:cs="Palatino Linotype"/>
          <w:b/>
          <w:i/>
          <w:color w:val="000000"/>
          <w:sz w:val="22"/>
          <w:szCs w:val="22"/>
        </w:rPr>
        <w:t> “Artículo 186.</w:t>
      </w:r>
      <w:r>
        <w:rPr>
          <w:rFonts w:ascii="Palatino Linotype" w:eastAsia="Palatino Linotype" w:hAnsi="Palatino Linotype" w:cs="Palatino Linotype"/>
          <w:i/>
          <w:color w:val="000000"/>
          <w:sz w:val="22"/>
          <w:szCs w:val="22"/>
        </w:rPr>
        <w:t xml:space="preserve"> Las resoluciones del Instituto podrán: </w:t>
      </w:r>
    </w:p>
    <w:p w:rsidR="000B3F33" w:rsidRDefault="003023B3">
      <w:pPr>
        <w:pBdr>
          <w:top w:val="nil"/>
          <w:left w:val="nil"/>
          <w:bottom w:val="nil"/>
          <w:right w:val="nil"/>
          <w:between w:val="nil"/>
        </w:pBdr>
        <w:spacing w:after="120" w:line="276" w:lineRule="auto"/>
        <w:ind w:left="1134" w:right="902"/>
        <w:jc w:val="both"/>
        <w:rPr>
          <w:color w:val="000000"/>
        </w:rPr>
      </w:pPr>
      <w:r>
        <w:rPr>
          <w:rFonts w:ascii="Palatino Linotype" w:eastAsia="Palatino Linotype" w:hAnsi="Palatino Linotype" w:cs="Palatino Linotype"/>
          <w:b/>
          <w:i/>
          <w:color w:val="000000"/>
          <w:sz w:val="22"/>
          <w:szCs w:val="22"/>
        </w:rPr>
        <w:t>I.</w:t>
      </w:r>
      <w:r>
        <w:rPr>
          <w:rFonts w:ascii="Palatino Linotype" w:eastAsia="Palatino Linotype" w:hAnsi="Palatino Linotype" w:cs="Palatino Linotype"/>
          <w:i/>
          <w:color w:val="000000"/>
          <w:sz w:val="22"/>
          <w:szCs w:val="22"/>
        </w:rPr>
        <w:t xml:space="preserve"> Desechar o sobreseer el recurso; </w:t>
      </w:r>
    </w:p>
    <w:p w:rsidR="000B3F33" w:rsidRDefault="003023B3">
      <w:pPr>
        <w:pBdr>
          <w:top w:val="nil"/>
          <w:left w:val="nil"/>
          <w:bottom w:val="nil"/>
          <w:right w:val="nil"/>
          <w:between w:val="nil"/>
        </w:pBdr>
        <w:spacing w:after="120" w:line="276" w:lineRule="auto"/>
        <w:ind w:left="851" w:right="902"/>
        <w:jc w:val="both"/>
        <w:rPr>
          <w:color w:val="000000"/>
        </w:rPr>
      </w:pPr>
      <w:r>
        <w:rPr>
          <w:rFonts w:ascii="Palatino Linotype" w:eastAsia="Palatino Linotype" w:hAnsi="Palatino Linotype" w:cs="Palatino Linotype"/>
          <w:i/>
          <w:color w:val="000000"/>
          <w:sz w:val="22"/>
          <w:szCs w:val="22"/>
        </w:rPr>
        <w:t>…</w:t>
      </w:r>
    </w:p>
    <w:p w:rsidR="000B3F33" w:rsidRDefault="003023B3">
      <w:pPr>
        <w:pBdr>
          <w:top w:val="nil"/>
          <w:left w:val="nil"/>
          <w:bottom w:val="nil"/>
          <w:right w:val="nil"/>
          <w:between w:val="nil"/>
        </w:pBdr>
        <w:spacing w:before="120" w:after="120" w:line="276" w:lineRule="auto"/>
        <w:ind w:left="851" w:right="902"/>
        <w:jc w:val="both"/>
        <w:rPr>
          <w:color w:val="000000"/>
        </w:rPr>
      </w:pPr>
      <w:r>
        <w:rPr>
          <w:rFonts w:ascii="Palatino Linotype" w:eastAsia="Palatino Linotype" w:hAnsi="Palatino Linotype" w:cs="Palatino Linotype"/>
          <w:b/>
          <w:i/>
          <w:color w:val="000000"/>
          <w:sz w:val="22"/>
          <w:szCs w:val="22"/>
        </w:rPr>
        <w:t xml:space="preserve"> “Artículo 192. </w:t>
      </w:r>
      <w:r>
        <w:rPr>
          <w:rFonts w:ascii="Palatino Linotype" w:eastAsia="Palatino Linotype" w:hAnsi="Palatino Linotype" w:cs="Palatino Linotype"/>
          <w:i/>
          <w:color w:val="000000"/>
          <w:sz w:val="22"/>
          <w:szCs w:val="22"/>
        </w:rPr>
        <w:t>El recurso será sobreseído, en todo o en parte, cuando una vez admitido, se actualicen alguno de los siguientes supuestos:</w:t>
      </w:r>
    </w:p>
    <w:p w:rsidR="000B3F33" w:rsidRDefault="003023B3">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b/>
          <w:i/>
          <w:color w:val="000000"/>
          <w:sz w:val="22"/>
          <w:szCs w:val="22"/>
        </w:rPr>
        <w:t xml:space="preserve">I. </w:t>
      </w:r>
      <w:r>
        <w:rPr>
          <w:rFonts w:ascii="Palatino Linotype" w:eastAsia="Palatino Linotype" w:hAnsi="Palatino Linotype" w:cs="Palatino Linotype"/>
          <w:i/>
          <w:color w:val="000000"/>
          <w:sz w:val="22"/>
          <w:szCs w:val="22"/>
        </w:rPr>
        <w:t>El recurrente se desista expresamente del recurso;</w:t>
      </w:r>
    </w:p>
    <w:p w:rsidR="000B3F33" w:rsidRDefault="003023B3">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b/>
          <w:i/>
          <w:color w:val="000000"/>
          <w:sz w:val="22"/>
          <w:szCs w:val="22"/>
        </w:rPr>
        <w:t xml:space="preserve">II. </w:t>
      </w:r>
      <w:r>
        <w:rPr>
          <w:rFonts w:ascii="Palatino Linotype" w:eastAsia="Palatino Linotype" w:hAnsi="Palatino Linotype" w:cs="Palatino Linotype"/>
          <w:i/>
          <w:color w:val="000000"/>
          <w:sz w:val="22"/>
          <w:szCs w:val="22"/>
        </w:rPr>
        <w:t>El recurrente fallezca o, tratándose de personas jurídicas colectivas, se disuelva;</w:t>
      </w:r>
    </w:p>
    <w:p w:rsidR="000B3F33" w:rsidRDefault="003023B3">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b/>
          <w:i/>
          <w:color w:val="000000"/>
          <w:sz w:val="22"/>
          <w:szCs w:val="22"/>
        </w:rPr>
        <w:t>III. El sujeto obligado responsable del acto lo modifique o revoque de tal manera que el recurso de revisión quede sin materia;</w:t>
      </w:r>
    </w:p>
    <w:p w:rsidR="000B3F33" w:rsidRDefault="003023B3">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b/>
          <w:i/>
          <w:color w:val="000000"/>
          <w:sz w:val="22"/>
          <w:szCs w:val="22"/>
        </w:rPr>
        <w:t xml:space="preserve">IV. </w:t>
      </w:r>
      <w:r>
        <w:rPr>
          <w:rFonts w:ascii="Palatino Linotype" w:eastAsia="Palatino Linotype" w:hAnsi="Palatino Linotype" w:cs="Palatino Linotype"/>
          <w:i/>
          <w:color w:val="000000"/>
          <w:sz w:val="22"/>
          <w:szCs w:val="22"/>
        </w:rPr>
        <w:t>Admitido el recurso de revisión, aparezca alguna causal de improcedencia en los términos de la presente Ley; y</w:t>
      </w:r>
    </w:p>
    <w:p w:rsidR="000B3F33" w:rsidRDefault="003023B3">
      <w:pPr>
        <w:pBdr>
          <w:top w:val="nil"/>
          <w:left w:val="nil"/>
          <w:bottom w:val="nil"/>
          <w:right w:val="nil"/>
          <w:between w:val="nil"/>
        </w:pBdr>
        <w:spacing w:before="120" w:after="120" w:line="276" w:lineRule="auto"/>
        <w:ind w:left="1134" w:right="902"/>
        <w:jc w:val="both"/>
        <w:rPr>
          <w:color w:val="000000"/>
        </w:rPr>
      </w:pPr>
      <w:r>
        <w:rPr>
          <w:rFonts w:ascii="Palatino Linotype" w:eastAsia="Palatino Linotype" w:hAnsi="Palatino Linotype" w:cs="Palatino Linotype"/>
          <w:b/>
          <w:i/>
          <w:color w:val="000000"/>
          <w:sz w:val="22"/>
          <w:szCs w:val="22"/>
        </w:rPr>
        <w:t xml:space="preserve">V. </w:t>
      </w:r>
      <w:r>
        <w:rPr>
          <w:rFonts w:ascii="Palatino Linotype" w:eastAsia="Palatino Linotype" w:hAnsi="Palatino Linotype" w:cs="Palatino Linotype"/>
          <w:i/>
          <w:color w:val="000000"/>
          <w:sz w:val="22"/>
          <w:szCs w:val="22"/>
        </w:rPr>
        <w:t>Cuando por cualquier motivo quede sin materia el recurso</w:t>
      </w:r>
      <w:r>
        <w:rPr>
          <w:rFonts w:ascii="Palatino Linotype" w:eastAsia="Palatino Linotype" w:hAnsi="Palatino Linotype" w:cs="Palatino Linotype"/>
          <w:color w:val="000000"/>
          <w:sz w:val="22"/>
          <w:szCs w:val="22"/>
        </w:rPr>
        <w:t>.”</w:t>
      </w:r>
    </w:p>
    <w:p w:rsidR="000B3F33" w:rsidRDefault="003023B3">
      <w:pPr>
        <w:pBdr>
          <w:top w:val="nil"/>
          <w:left w:val="nil"/>
          <w:bottom w:val="nil"/>
          <w:right w:val="nil"/>
          <w:between w:val="nil"/>
        </w:pBdr>
        <w:spacing w:before="240" w:after="240" w:line="360" w:lineRule="auto"/>
        <w:ind w:right="49"/>
        <w:jc w:val="both"/>
        <w:rPr>
          <w:color w:val="000000"/>
        </w:rPr>
      </w:pPr>
      <w:r>
        <w:rPr>
          <w:rFonts w:ascii="Palatino Linotype" w:eastAsia="Palatino Linotype" w:hAnsi="Palatino Linotype" w:cs="Palatino Linotype"/>
          <w:color w:val="000000"/>
        </w:rPr>
        <w:t xml:space="preserve">En primer lugar, cabe destacar que, la Ley da la posibilidad de desechar el recurso de revisión en el momento procesal en que también se puede admitir, por alguna de las causales transcritas, artículo que tiene un momento de aplicabilidad previo a la admisión del recurso de revisión por no reunir los requisitos de </w:t>
      </w:r>
      <w:proofErr w:type="spellStart"/>
      <w:r>
        <w:rPr>
          <w:rFonts w:ascii="Palatino Linotype" w:eastAsia="Palatino Linotype" w:hAnsi="Palatino Linotype" w:cs="Palatino Linotype"/>
          <w:color w:val="000000"/>
        </w:rPr>
        <w:t>procedibilidad</w:t>
      </w:r>
      <w:proofErr w:type="spellEnd"/>
      <w:r>
        <w:rPr>
          <w:rFonts w:ascii="Palatino Linotype" w:eastAsia="Palatino Linotype" w:hAnsi="Palatino Linotype" w:cs="Palatino Linotype"/>
          <w:color w:val="000000"/>
        </w:rPr>
        <w:t xml:space="preserve"> previstos en el artículo 179 de la Ley en la Materia.</w:t>
      </w:r>
    </w:p>
    <w:p w:rsidR="000B3F33" w:rsidRDefault="003023B3">
      <w:pPr>
        <w:pBdr>
          <w:top w:val="nil"/>
          <w:left w:val="nil"/>
          <w:bottom w:val="nil"/>
          <w:right w:val="nil"/>
          <w:between w:val="nil"/>
        </w:pBdr>
        <w:spacing w:after="160" w:line="360" w:lineRule="auto"/>
        <w:jc w:val="both"/>
        <w:rPr>
          <w:color w:val="000000"/>
        </w:rPr>
      </w:pPr>
      <w:r>
        <w:rPr>
          <w:rFonts w:ascii="Palatino Linotype" w:eastAsia="Palatino Linotype" w:hAnsi="Palatino Linotype" w:cs="Palatino Linotype"/>
          <w:color w:val="000000"/>
        </w:rPr>
        <w:t xml:space="preserve">Así, de las constancias que obran en el expediente de mérito, se advierte que se actualiza la causal de sobreseimiento enunciada en la fracción III del artículo 192 de </w:t>
      </w:r>
      <w:r>
        <w:rPr>
          <w:rFonts w:ascii="Palatino Linotype" w:eastAsia="Palatino Linotype" w:hAnsi="Palatino Linotype" w:cs="Palatino Linotype"/>
          <w:color w:val="000000"/>
        </w:rPr>
        <w:lastRenderedPageBreak/>
        <w:t>la Ley de Transparencia y Acceso a la Información Pública del Estado de México y Municipios.</w:t>
      </w:r>
    </w:p>
    <w:p w:rsidR="000B3F33" w:rsidRDefault="003023B3">
      <w:pPr>
        <w:spacing w:after="240" w:line="360" w:lineRule="auto"/>
        <w:ind w:right="40"/>
        <w:jc w:val="both"/>
        <w:rPr>
          <w:rFonts w:ascii="Palatino Linotype" w:eastAsia="Palatino Linotype" w:hAnsi="Palatino Linotype" w:cs="Palatino Linotype"/>
        </w:rPr>
      </w:pPr>
      <w:r>
        <w:rPr>
          <w:rFonts w:ascii="Palatino Linotype" w:eastAsia="Palatino Linotype" w:hAnsi="Palatino Linotype" w:cs="Palatino Linotype"/>
        </w:rPr>
        <w:t>Bajo este contexto y para una mejor comprensión del asunto, de las constancias que obran en el expediente electrónico, valoradas anteriormente, destacan por su importancia los antecedentes siguientes:</w:t>
      </w:r>
    </w:p>
    <w:p w:rsidR="000B3F33" w:rsidRDefault="003023B3">
      <w:pPr>
        <w:spacing w:before="280" w:after="280" w:line="360" w:lineRule="auto"/>
        <w:jc w:val="both"/>
        <w:rPr>
          <w:rFonts w:ascii="Palatino Linotype" w:eastAsia="Palatino Linotype" w:hAnsi="Palatino Linotype" w:cs="Palatino Linotype"/>
          <w:b/>
        </w:rPr>
      </w:pPr>
      <w:r>
        <w:rPr>
          <w:rFonts w:ascii="Palatino Linotype" w:eastAsia="Palatino Linotype" w:hAnsi="Palatino Linotype" w:cs="Palatino Linotype"/>
        </w:rPr>
        <w:t xml:space="preserve">En </w:t>
      </w:r>
      <w:r>
        <w:rPr>
          <w:rFonts w:ascii="Palatino Linotype" w:eastAsia="Palatino Linotype" w:hAnsi="Palatino Linotype" w:cs="Palatino Linotype"/>
          <w:color w:val="000000"/>
        </w:rPr>
        <w:t xml:space="preserve">la solicitud de información pública que motivó el recurso de revisión que ahora se resuelve, se advierte que la particular requirió al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lo siguiente:</w:t>
      </w:r>
      <w:r>
        <w:rPr>
          <w:rFonts w:ascii="Palatino Linotype" w:eastAsia="Palatino Linotype" w:hAnsi="Palatino Linotype" w:cs="Palatino Linotype"/>
        </w:rPr>
        <w:t xml:space="preserve"> </w:t>
      </w:r>
    </w:p>
    <w:p w:rsidR="000B3F33" w:rsidRDefault="003023B3">
      <w:pPr>
        <w:numPr>
          <w:ilvl w:val="0"/>
          <w:numId w:val="1"/>
        </w:numPr>
        <w:pBdr>
          <w:top w:val="nil"/>
          <w:left w:val="nil"/>
          <w:bottom w:val="nil"/>
          <w:right w:val="nil"/>
          <w:between w:val="nil"/>
        </w:pBdr>
        <w:spacing w:before="280" w:after="280" w:line="360" w:lineRule="auto"/>
        <w:jc w:val="both"/>
        <w:rPr>
          <w:rFonts w:ascii="Palatino Linotype" w:eastAsia="Palatino Linotype" w:hAnsi="Palatino Linotype" w:cs="Palatino Linotype"/>
          <w:color w:val="000000"/>
        </w:rPr>
      </w:pPr>
      <w:bookmarkStart w:id="4" w:name="_heading=h.3znysh7" w:colFirst="0" w:colLast="0"/>
      <w:bookmarkEnd w:id="4"/>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obtener una copia del "Informe de Género" presentado por la Presidenta Municipal el 25 de octubre del presente año</w:t>
      </w:r>
      <w:r>
        <w:rPr>
          <w:rFonts w:ascii="Palatino Linotype" w:eastAsia="Palatino Linotype" w:hAnsi="Palatino Linotype" w:cs="Palatino Linotype"/>
          <w:i/>
          <w:color w:val="000000"/>
        </w:rPr>
        <w:t xml:space="preserve">, el cuál fue publicado el evento de presentación en sus redes sociales, pero no da a conocer algún dato, estadística o acción realizada. </w:t>
      </w:r>
      <w:r>
        <w:rPr>
          <w:rFonts w:ascii="Palatino Linotype" w:eastAsia="Palatino Linotype" w:hAnsi="Palatino Linotype" w:cs="Palatino Linotype"/>
          <w:b/>
          <w:i/>
          <w:color w:val="000000"/>
        </w:rPr>
        <w:t>Por lo cual solicito una copia del informe presentado o la grabación en video del mismo con la finalidad de conocer las acciones presentadas,</w:t>
      </w:r>
      <w:r>
        <w:rPr>
          <w:rFonts w:ascii="Palatino Linotype" w:eastAsia="Palatino Linotype" w:hAnsi="Palatino Linotype" w:cs="Palatino Linotype"/>
          <w:i/>
          <w:color w:val="000000"/>
        </w:rPr>
        <w:t xml:space="preserve"> obviamente excluyendo la información catalogada como reservada o confidencial de acuerdo a lo establecido en la Ley General de Transparencia y Acceso a la información Pública. ...” (sic)</w:t>
      </w:r>
    </w:p>
    <w:p w:rsidR="00BA7857" w:rsidRDefault="00BA7857">
      <w:pPr>
        <w:spacing w:before="240" w:after="240" w:line="360" w:lineRule="auto"/>
        <w:ind w:right="49"/>
        <w:jc w:val="both"/>
        <w:rPr>
          <w:rFonts w:ascii="Palatino Linotype" w:eastAsia="Palatino Linotype" w:hAnsi="Palatino Linotype" w:cs="Palatino Linotype"/>
        </w:rPr>
      </w:pPr>
      <w:r w:rsidRPr="00BA7857">
        <w:rPr>
          <w:rFonts w:ascii="Palatino Linotype" w:eastAsia="Palatino Linotype" w:hAnsi="Palatino Linotype" w:cs="Palatino Linotype"/>
        </w:rPr>
        <w:t>Al respecto, de las constancias</w:t>
      </w:r>
      <w:r>
        <w:rPr>
          <w:rFonts w:ascii="Palatino Linotype" w:eastAsia="Palatino Linotype" w:hAnsi="Palatino Linotype" w:cs="Palatino Linotype"/>
        </w:rPr>
        <w:t xml:space="preserve"> que obran en</w:t>
      </w:r>
      <w:r w:rsidRPr="00BA7857">
        <w:rPr>
          <w:rFonts w:ascii="Palatino Linotype" w:eastAsia="Palatino Linotype" w:hAnsi="Palatino Linotype" w:cs="Palatino Linotype"/>
        </w:rPr>
        <w:t xml:space="preserve"> el SAIMEX, se advierte que el </w:t>
      </w:r>
      <w:r w:rsidRPr="00BA7857">
        <w:rPr>
          <w:rFonts w:ascii="Palatino Linotype" w:eastAsia="Palatino Linotype" w:hAnsi="Palatino Linotype" w:cs="Palatino Linotype"/>
          <w:b/>
        </w:rPr>
        <w:t xml:space="preserve">SUJETO OBLIGADO, </w:t>
      </w:r>
      <w:r w:rsidRPr="00BA7857">
        <w:rPr>
          <w:rFonts w:ascii="Palatino Linotype" w:eastAsia="Palatino Linotype" w:hAnsi="Palatino Linotype" w:cs="Palatino Linotype"/>
        </w:rPr>
        <w:t xml:space="preserve">fue omiso en proporcionar respuesta. </w:t>
      </w:r>
    </w:p>
    <w:p w:rsidR="000B3F33" w:rsidRDefault="003023B3">
      <w:pPr>
        <w:spacing w:before="240" w:after="240"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t xml:space="preserve">Ante la negativa de respuesta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presentó el recurso de revisión en el que manifestó como razones o motivos de inconformidad:</w:t>
      </w:r>
      <w:r>
        <w:t xml:space="preserve"> </w:t>
      </w:r>
      <w:r>
        <w:rPr>
          <w:rFonts w:ascii="Palatino Linotype" w:eastAsia="Palatino Linotype" w:hAnsi="Palatino Linotype" w:cs="Palatino Linotype"/>
        </w:rPr>
        <w:t>“</w:t>
      </w:r>
      <w:r>
        <w:rPr>
          <w:rFonts w:ascii="Palatino Linotype" w:eastAsia="Palatino Linotype" w:hAnsi="Palatino Linotype" w:cs="Palatino Linotype"/>
          <w:b/>
          <w:i/>
        </w:rPr>
        <w:t>No se recibe respuesta de la solicitud”</w:t>
      </w:r>
      <w:r>
        <w:rPr>
          <w:rFonts w:ascii="Palatino Linotype" w:eastAsia="Palatino Linotype" w:hAnsi="Palatino Linotype" w:cs="Palatino Linotype"/>
        </w:rPr>
        <w:t xml:space="preserve"> (sic).</w:t>
      </w:r>
    </w:p>
    <w:p w:rsidR="000B3F33" w:rsidRPr="00BA7857" w:rsidRDefault="003023B3" w:rsidP="00BA7857">
      <w:pPr>
        <w:spacing w:before="240" w:after="240" w:line="360" w:lineRule="auto"/>
        <w:ind w:right="49"/>
        <w:jc w:val="both"/>
        <w:rPr>
          <w:highlight w:val="yellow"/>
        </w:rPr>
      </w:pPr>
      <w:r>
        <w:rPr>
          <w:rFonts w:ascii="Palatino Linotype" w:eastAsia="Palatino Linotype" w:hAnsi="Palatino Linotype" w:cs="Palatino Linotype"/>
        </w:rPr>
        <w:lastRenderedPageBreak/>
        <w:t xml:space="preserve">Por lo que a través del informe justificado, </w:t>
      </w:r>
      <w:r w:rsidRPr="00BA7857">
        <w:rPr>
          <w:rFonts w:ascii="Palatino Linotype" w:eastAsia="Palatino Linotype" w:hAnsi="Palatino Linotype" w:cs="Palatino Linotype"/>
        </w:rPr>
        <w:t xml:space="preserve">el </w:t>
      </w:r>
      <w:r w:rsidRPr="00BA7857">
        <w:rPr>
          <w:rFonts w:ascii="Palatino Linotype" w:eastAsia="Palatino Linotype" w:hAnsi="Palatino Linotype" w:cs="Palatino Linotype"/>
          <w:b/>
        </w:rPr>
        <w:t>SUJETO OBLIGADO,</w:t>
      </w:r>
      <w:r w:rsidRPr="00BA7857">
        <w:rPr>
          <w:rFonts w:ascii="Palatino Linotype" w:eastAsia="Palatino Linotype" w:hAnsi="Palatino Linotype" w:cs="Palatino Linotype"/>
        </w:rPr>
        <w:t xml:space="preserve"> remite el documento</w:t>
      </w:r>
      <w:r w:rsidR="00BA7857" w:rsidRPr="00BA7857">
        <w:rPr>
          <w:rFonts w:ascii="Palatino Linotype" w:eastAsia="Palatino Linotype" w:hAnsi="Palatino Linotype" w:cs="Palatino Linotype"/>
        </w:rPr>
        <w:t xml:space="preserve"> </w:t>
      </w:r>
      <w:r w:rsidRPr="00BA7857">
        <w:rPr>
          <w:rFonts w:ascii="Palatino Linotype" w:eastAsia="Palatino Linotype" w:hAnsi="Palatino Linotype" w:cs="Palatino Linotype"/>
          <w:b/>
          <w:color w:val="000000"/>
        </w:rPr>
        <w:t>Informe de Género 2019-2021,</w:t>
      </w:r>
      <w:r w:rsidRPr="00BA7857">
        <w:rPr>
          <w:rFonts w:ascii="Palatino Linotype" w:eastAsia="Palatino Linotype" w:hAnsi="Palatino Linotype" w:cs="Palatino Linotype"/>
          <w:color w:val="000000"/>
        </w:rPr>
        <w:t xml:space="preserve"> con diecinueve</w:t>
      </w:r>
      <w:r>
        <w:rPr>
          <w:rFonts w:ascii="Palatino Linotype" w:eastAsia="Palatino Linotype" w:hAnsi="Palatino Linotype" w:cs="Palatino Linotype"/>
          <w:color w:val="000000"/>
        </w:rPr>
        <w:t xml:space="preserve"> fojas, que </w:t>
      </w:r>
      <w:r w:rsidR="00BA7857">
        <w:rPr>
          <w:rFonts w:ascii="Palatino Linotype" w:eastAsia="Palatino Linotype" w:hAnsi="Palatino Linotype" w:cs="Palatino Linotype"/>
          <w:color w:val="000000"/>
        </w:rPr>
        <w:t>de</w:t>
      </w:r>
      <w:r>
        <w:rPr>
          <w:rFonts w:ascii="Palatino Linotype" w:eastAsia="Palatino Linotype" w:hAnsi="Palatino Linotype" w:cs="Palatino Linotype"/>
          <w:color w:val="000000"/>
        </w:rPr>
        <w:t xml:space="preserve"> manera </w:t>
      </w:r>
      <w:r w:rsidR="00BA7857">
        <w:rPr>
          <w:rFonts w:ascii="Palatino Linotype" w:eastAsia="Palatino Linotype" w:hAnsi="Palatino Linotype" w:cs="Palatino Linotype"/>
          <w:color w:val="000000"/>
        </w:rPr>
        <w:t>ilustrativa</w:t>
      </w:r>
      <w:r>
        <w:rPr>
          <w:rFonts w:ascii="Palatino Linotype" w:eastAsia="Palatino Linotype" w:hAnsi="Palatino Linotype" w:cs="Palatino Linotype"/>
          <w:color w:val="000000"/>
        </w:rPr>
        <w:t xml:space="preserve"> se agrega foto de la portada: </w:t>
      </w:r>
    </w:p>
    <w:p w:rsidR="000B3F33" w:rsidRDefault="003023B3">
      <w:pPr>
        <w:widowControl w:val="0"/>
        <w:pBdr>
          <w:top w:val="nil"/>
          <w:left w:val="nil"/>
          <w:bottom w:val="nil"/>
          <w:right w:val="nil"/>
          <w:between w:val="nil"/>
        </w:pBdr>
        <w:spacing w:before="240" w:after="240" w:line="360" w:lineRule="auto"/>
        <w:ind w:left="720" w:right="900"/>
        <w:jc w:val="center"/>
        <w:rPr>
          <w:rFonts w:ascii="Palatino Linotype" w:eastAsia="Palatino Linotype" w:hAnsi="Palatino Linotype" w:cs="Palatino Linotype"/>
          <w:color w:val="000000"/>
        </w:rPr>
      </w:pPr>
      <w:r>
        <w:rPr>
          <w:noProof/>
          <w:lang w:val="es-MX" w:eastAsia="es-MX"/>
        </w:rPr>
        <w:drawing>
          <wp:inline distT="0" distB="0" distL="0" distR="0">
            <wp:extent cx="2665244" cy="3562202"/>
            <wp:effectExtent l="0" t="0" r="0" b="0"/>
            <wp:docPr id="4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58893" t="24140" r="23455" b="33917"/>
                    <a:stretch>
                      <a:fillRect/>
                    </a:stretch>
                  </pic:blipFill>
                  <pic:spPr>
                    <a:xfrm>
                      <a:off x="0" y="0"/>
                      <a:ext cx="2665244" cy="3562202"/>
                    </a:xfrm>
                    <a:prstGeom prst="rect">
                      <a:avLst/>
                    </a:prstGeom>
                    <a:ln/>
                  </pic:spPr>
                </pic:pic>
              </a:graphicData>
            </a:graphic>
          </wp:inline>
        </w:drawing>
      </w:r>
    </w:p>
    <w:p w:rsidR="000B3F33" w:rsidRDefault="003023B3">
      <w:pPr>
        <w:widowControl w:val="0"/>
        <w:numPr>
          <w:ilvl w:val="0"/>
          <w:numId w:val="2"/>
        </w:numPr>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rPr>
        <w:t>De igual manera</w:t>
      </w:r>
      <w:r w:rsidR="00BA7857">
        <w:rPr>
          <w:rFonts w:ascii="Palatino Linotype" w:eastAsia="Palatino Linotype" w:hAnsi="Palatino Linotype" w:cs="Palatino Linotype"/>
        </w:rPr>
        <w:t xml:space="preserve"> el </w:t>
      </w:r>
      <w:r w:rsidR="00BA7857" w:rsidRPr="00BA7857">
        <w:rPr>
          <w:rFonts w:ascii="Palatino Linotype" w:eastAsia="Palatino Linotype" w:hAnsi="Palatino Linotype" w:cs="Palatino Linotype"/>
          <w:b/>
        </w:rPr>
        <w:t>SUJETO OBLIGADO</w:t>
      </w:r>
      <w:r>
        <w:rPr>
          <w:rFonts w:ascii="Palatino Linotype" w:eastAsia="Palatino Linotype" w:hAnsi="Palatino Linotype" w:cs="Palatino Linotype"/>
        </w:rPr>
        <w:t xml:space="preserve"> se remite el </w:t>
      </w:r>
      <w:r>
        <w:rPr>
          <w:rFonts w:ascii="Palatino Linotype" w:eastAsia="Palatino Linotype" w:hAnsi="Palatino Linotype" w:cs="Palatino Linotype"/>
          <w:color w:val="000000"/>
        </w:rPr>
        <w:t xml:space="preserve"> boletín informativo C-390/2021 con fecha 26 de octubre de 2021 “</w:t>
      </w:r>
      <w:r>
        <w:rPr>
          <w:rFonts w:ascii="Palatino Linotype" w:eastAsia="Palatino Linotype" w:hAnsi="Palatino Linotype" w:cs="Palatino Linotype"/>
          <w:b/>
          <w:color w:val="000000"/>
        </w:rPr>
        <w:t>RINDE ALCALDESA PATRICIA DURÁ INFORME DE GÉNERO 2019-2021</w:t>
      </w:r>
      <w:r>
        <w:rPr>
          <w:rFonts w:ascii="Palatino Linotype" w:eastAsia="Palatino Linotype" w:hAnsi="Palatino Linotype" w:cs="Palatino Linotype"/>
          <w:color w:val="000000"/>
        </w:rPr>
        <w:t>”</w:t>
      </w:r>
      <w:r w:rsidR="00BA7857">
        <w:rPr>
          <w:rFonts w:ascii="Palatino Linotype" w:eastAsia="Palatino Linotype" w:hAnsi="Palatino Linotype" w:cs="Palatino Linotype"/>
          <w:color w:val="000000"/>
        </w:rPr>
        <w:t xml:space="preserve"> </w:t>
      </w:r>
      <w:r>
        <w:rPr>
          <w:rFonts w:ascii="Palatino Linotype" w:eastAsia="Palatino Linotype" w:hAnsi="Palatino Linotype" w:cs="Palatino Linotype"/>
          <w:color w:val="000000"/>
        </w:rPr>
        <w:t>el cual se muestra a continuación:</w:t>
      </w:r>
    </w:p>
    <w:p w:rsidR="000B3F33" w:rsidRDefault="003023B3">
      <w:pPr>
        <w:widowControl w:val="0"/>
        <w:pBdr>
          <w:top w:val="nil"/>
          <w:left w:val="nil"/>
          <w:bottom w:val="nil"/>
          <w:right w:val="nil"/>
          <w:between w:val="nil"/>
        </w:pBdr>
        <w:spacing w:before="240" w:line="360" w:lineRule="auto"/>
        <w:ind w:left="720"/>
        <w:jc w:val="both"/>
        <w:rPr>
          <w:rFonts w:ascii="Palatino Linotype" w:eastAsia="Palatino Linotype" w:hAnsi="Palatino Linotype" w:cs="Palatino Linotype"/>
          <w:color w:val="000000"/>
        </w:rPr>
      </w:pPr>
      <w:r>
        <w:rPr>
          <w:noProof/>
          <w:lang w:val="es-MX" w:eastAsia="es-MX"/>
        </w:rPr>
        <w:lastRenderedPageBreak/>
        <w:drawing>
          <wp:inline distT="0" distB="0" distL="0" distR="0">
            <wp:extent cx="4884715" cy="6643213"/>
            <wp:effectExtent l="0" t="0" r="0" b="0"/>
            <wp:docPr id="4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62627" t="19915" r="7671" b="8268"/>
                    <a:stretch>
                      <a:fillRect/>
                    </a:stretch>
                  </pic:blipFill>
                  <pic:spPr>
                    <a:xfrm>
                      <a:off x="0" y="0"/>
                      <a:ext cx="4884715" cy="6643213"/>
                    </a:xfrm>
                    <a:prstGeom prst="rect">
                      <a:avLst/>
                    </a:prstGeom>
                    <a:ln/>
                  </pic:spPr>
                </pic:pic>
              </a:graphicData>
            </a:graphic>
          </wp:inline>
        </w:drawing>
      </w:r>
    </w:p>
    <w:p w:rsidR="000B3F33" w:rsidRDefault="000B3F33">
      <w:pPr>
        <w:widowControl w:val="0"/>
        <w:pBdr>
          <w:top w:val="nil"/>
          <w:left w:val="nil"/>
          <w:bottom w:val="nil"/>
          <w:right w:val="nil"/>
          <w:between w:val="nil"/>
        </w:pBdr>
        <w:spacing w:before="240" w:line="360" w:lineRule="auto"/>
        <w:ind w:left="720"/>
        <w:jc w:val="both"/>
        <w:rPr>
          <w:rFonts w:ascii="Palatino Linotype" w:eastAsia="Palatino Linotype" w:hAnsi="Palatino Linotype" w:cs="Palatino Linotype"/>
          <w:color w:val="000000"/>
        </w:rPr>
      </w:pPr>
    </w:p>
    <w:p w:rsidR="000B3F33" w:rsidRDefault="000B3F33">
      <w:pPr>
        <w:widowControl w:val="0"/>
        <w:pBdr>
          <w:top w:val="nil"/>
          <w:left w:val="nil"/>
          <w:bottom w:val="nil"/>
          <w:right w:val="nil"/>
          <w:between w:val="nil"/>
        </w:pBdr>
        <w:spacing w:before="240" w:line="360" w:lineRule="auto"/>
        <w:ind w:left="720"/>
        <w:jc w:val="both"/>
        <w:rPr>
          <w:rFonts w:ascii="Palatino Linotype" w:eastAsia="Palatino Linotype" w:hAnsi="Palatino Linotype" w:cs="Palatino Linotype"/>
          <w:color w:val="000000"/>
        </w:rPr>
      </w:pPr>
    </w:p>
    <w:p w:rsidR="000B3F33" w:rsidRDefault="003023B3">
      <w:pPr>
        <w:widowControl w:val="0"/>
        <w:pBdr>
          <w:top w:val="nil"/>
          <w:left w:val="nil"/>
          <w:bottom w:val="nil"/>
          <w:right w:val="nil"/>
          <w:between w:val="nil"/>
        </w:pBdr>
        <w:spacing w:before="240" w:line="360" w:lineRule="auto"/>
        <w:ind w:left="720"/>
        <w:jc w:val="both"/>
        <w:rPr>
          <w:rFonts w:ascii="Palatino Linotype" w:eastAsia="Palatino Linotype" w:hAnsi="Palatino Linotype" w:cs="Palatino Linotype"/>
          <w:color w:val="000000"/>
        </w:rPr>
      </w:pPr>
      <w:r>
        <w:rPr>
          <w:noProof/>
          <w:lang w:val="es-MX" w:eastAsia="es-MX"/>
        </w:rPr>
        <w:drawing>
          <wp:inline distT="0" distB="0" distL="0" distR="0">
            <wp:extent cx="4614956" cy="4914304"/>
            <wp:effectExtent l="0" t="0" r="0" b="0"/>
            <wp:docPr id="4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l="61269" t="21726" r="7332" b="18829"/>
                    <a:stretch>
                      <a:fillRect/>
                    </a:stretch>
                  </pic:blipFill>
                  <pic:spPr>
                    <a:xfrm>
                      <a:off x="0" y="0"/>
                      <a:ext cx="4614956" cy="4914304"/>
                    </a:xfrm>
                    <a:prstGeom prst="rect">
                      <a:avLst/>
                    </a:prstGeom>
                    <a:ln/>
                  </pic:spPr>
                </pic:pic>
              </a:graphicData>
            </a:graphic>
          </wp:inline>
        </w:drawing>
      </w:r>
    </w:p>
    <w:p w:rsidR="000B3F33" w:rsidRPr="00BA7857" w:rsidRDefault="003023B3">
      <w:pPr>
        <w:widowControl w:val="0"/>
        <w:pBdr>
          <w:top w:val="nil"/>
          <w:left w:val="nil"/>
          <w:bottom w:val="nil"/>
          <w:right w:val="nil"/>
          <w:between w:val="nil"/>
        </w:pBd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Documentos que se pusieron a la vista de la </w:t>
      </w:r>
      <w:r>
        <w:rPr>
          <w:rFonts w:ascii="Palatino Linotype" w:eastAsia="Palatino Linotype" w:hAnsi="Palatino Linotype" w:cs="Palatino Linotype"/>
          <w:b/>
          <w:color w:val="000000"/>
        </w:rPr>
        <w:t>RECURRENTE</w:t>
      </w:r>
      <w:r w:rsidR="00BA7857">
        <w:rPr>
          <w:rFonts w:ascii="Palatino Linotype" w:eastAsia="Palatino Linotype" w:hAnsi="Palatino Linotype" w:cs="Palatino Linotype"/>
          <w:b/>
          <w:color w:val="000000"/>
        </w:rPr>
        <w:t xml:space="preserve">, </w:t>
      </w:r>
      <w:r w:rsidR="00BA7857" w:rsidRPr="00BA7857">
        <w:rPr>
          <w:rFonts w:ascii="Palatino Linotype" w:eastAsia="Palatino Linotype" w:hAnsi="Palatino Linotype" w:cs="Palatino Linotype"/>
          <w:color w:val="000000"/>
        </w:rPr>
        <w:t>sin advertir algún pronunciamiento</w:t>
      </w:r>
      <w:r w:rsidRPr="00BA7857">
        <w:rPr>
          <w:rFonts w:ascii="Palatino Linotype" w:eastAsia="Palatino Linotype" w:hAnsi="Palatino Linotype" w:cs="Palatino Linotype"/>
          <w:color w:val="000000"/>
        </w:rPr>
        <w:t>.</w:t>
      </w:r>
    </w:p>
    <w:p w:rsidR="000B3F33" w:rsidRDefault="003023B3">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En consecuencia, se puede determinar que durante la respuesta, </w:t>
      </w:r>
      <w:r>
        <w:rPr>
          <w:rFonts w:ascii="Palatino Linotype" w:eastAsia="Palatino Linotype" w:hAnsi="Palatino Linotype" w:cs="Palatino Linotype"/>
          <w:b/>
        </w:rPr>
        <w:t>EL SUJETO OBLIGADO</w:t>
      </w:r>
      <w:r>
        <w:rPr>
          <w:rFonts w:ascii="Palatino Linotype" w:eastAsia="Palatino Linotype" w:hAnsi="Palatino Linotype" w:cs="Palatino Linotype"/>
          <w:color w:val="222222"/>
        </w:rPr>
        <w:t xml:space="preserve"> </w:t>
      </w:r>
      <w:r>
        <w:rPr>
          <w:rFonts w:ascii="Palatino Linotype" w:eastAsia="Palatino Linotype" w:hAnsi="Palatino Linotype" w:cs="Palatino Linotype"/>
        </w:rPr>
        <w:t xml:space="preserve">no siguió a cabalidad el procedimiento de acceso a la información previsto en el artículo 162 de la Ley de Transparencia y Acceso a la Información Pública del Estado de México y Municipios, esto dado que </w:t>
      </w:r>
      <w:r>
        <w:rPr>
          <w:rFonts w:ascii="Palatino Linotype" w:eastAsia="Palatino Linotype" w:hAnsi="Palatino Linotype" w:cs="Palatino Linotype"/>
          <w:b/>
        </w:rPr>
        <w:t xml:space="preserve">no proporcionó </w:t>
      </w:r>
      <w:r>
        <w:rPr>
          <w:rFonts w:ascii="Palatino Linotype" w:eastAsia="Palatino Linotype" w:hAnsi="Palatino Linotype" w:cs="Palatino Linotype"/>
          <w:b/>
        </w:rPr>
        <w:lastRenderedPageBreak/>
        <w:t xml:space="preserve">respuesta a la particular, </w:t>
      </w:r>
      <w:r>
        <w:rPr>
          <w:rFonts w:ascii="Palatino Linotype" w:eastAsia="Palatino Linotype" w:hAnsi="Palatino Linotype" w:cs="Palatino Linotype"/>
          <w:color w:val="000000"/>
        </w:rPr>
        <w:t xml:space="preserve">por lo que es claro que en este caso 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incumplió la normativa en la materia, puesto que no dio respuesta a la solicitud de acceso a la información, limitando el derecho de acceso a la información, accionado por la particular.</w:t>
      </w:r>
    </w:p>
    <w:p w:rsidR="000B3F33" w:rsidRDefault="003023B3">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t xml:space="preserve">No obstante lo anterior, durante la sustanciación del Medio de Impugnación, la Titular del Instituto de las Mujeres Naucalpenses y la Igualdad Sustantiva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en el informe justificado envía respuesta y precisa que:  </w:t>
      </w:r>
      <w:r>
        <w:rPr>
          <w:rFonts w:ascii="Palatino Linotype" w:eastAsia="Palatino Linotype" w:hAnsi="Palatino Linotype" w:cs="Palatino Linotype"/>
          <w:i/>
          <w:color w:val="000000"/>
        </w:rPr>
        <w:t xml:space="preserve">“… de una búsqueda exhaustiva en los archivos de este Instituto, se localizó </w:t>
      </w:r>
      <w:r>
        <w:rPr>
          <w:rFonts w:ascii="Palatino Linotype" w:eastAsia="Palatino Linotype" w:hAnsi="Palatino Linotype" w:cs="Palatino Linotype"/>
          <w:b/>
          <w:i/>
          <w:color w:val="000000"/>
        </w:rPr>
        <w:t>un informe del eje transversal de igualdad de género, se anexa copia para los efectos a que haya lugar,</w:t>
      </w:r>
      <w:r>
        <w:rPr>
          <w:rFonts w:ascii="Palatino Linotype" w:eastAsia="Palatino Linotype" w:hAnsi="Palatino Linotype" w:cs="Palatino Linotype"/>
          <w:i/>
          <w:color w:val="000000"/>
        </w:rPr>
        <w:t xml:space="preserve"> (Constante en diecinueve fojas), asimismo se informa que no se cuenta con ningún video o grabación al respecto en los archivos de este Instituto. Se siguiere solicitarlos a la unidad de comunicación social o bien en los archivos de presidencia</w:t>
      </w:r>
      <w:r>
        <w:rPr>
          <w:rFonts w:ascii="Palatino Linotype" w:eastAsia="Palatino Linotype" w:hAnsi="Palatino Linotype" w:cs="Palatino Linotype"/>
          <w:color w:val="000000"/>
        </w:rPr>
        <w:t>…” (Sic)</w:t>
      </w:r>
    </w:p>
    <w:p w:rsidR="000B3F33" w:rsidRDefault="003023B3">
      <w:pPr>
        <w:spacing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Agregando el documento denominado: </w:t>
      </w:r>
      <w:r>
        <w:rPr>
          <w:rFonts w:ascii="Palatino Linotype" w:eastAsia="Palatino Linotype" w:hAnsi="Palatino Linotype" w:cs="Palatino Linotype"/>
          <w:b/>
          <w:color w:val="000000"/>
        </w:rPr>
        <w:t>Informe de Género 2019-2021,</w:t>
      </w:r>
      <w:r>
        <w:rPr>
          <w:rFonts w:ascii="Palatino Linotype" w:eastAsia="Palatino Linotype" w:hAnsi="Palatino Linotype" w:cs="Palatino Linotype"/>
          <w:color w:val="000000"/>
        </w:rPr>
        <w:t xml:space="preserve"> con diecinueve fojas, que contiene el Eje y Proyectos de la “Cultura de Igualdad y Prevención de la Violencia contra las Mujeres”.</w:t>
      </w:r>
    </w:p>
    <w:p w:rsidR="000B3F33" w:rsidRDefault="003023B3">
      <w:pPr>
        <w:widowControl w:val="0"/>
        <w:pBdr>
          <w:top w:val="nil"/>
          <w:left w:val="nil"/>
          <w:bottom w:val="nil"/>
          <w:right w:val="nil"/>
          <w:between w:val="nil"/>
        </w:pBdr>
        <w:spacing w:before="240" w:line="360" w:lineRule="auto"/>
        <w:jc w:val="both"/>
        <w:rPr>
          <w:rFonts w:ascii="Palatino Linotype" w:eastAsia="Palatino Linotype" w:hAnsi="Palatino Linotype" w:cs="Palatino Linotype"/>
          <w:color w:val="000000"/>
        </w:rPr>
      </w:pPr>
      <w:r>
        <w:rPr>
          <w:rFonts w:ascii="Palatino Linotype" w:eastAsia="Palatino Linotype" w:hAnsi="Palatino Linotype" w:cs="Palatino Linotype"/>
          <w:color w:val="000000"/>
        </w:rPr>
        <w:t xml:space="preserve">Por otra parte, la Subdirectora de Información del </w:t>
      </w:r>
      <w:r>
        <w:rPr>
          <w:rFonts w:ascii="Palatino Linotype" w:eastAsia="Palatino Linotype" w:hAnsi="Palatino Linotype" w:cs="Palatino Linotype"/>
          <w:b/>
          <w:color w:val="000000"/>
        </w:rPr>
        <w:t>SUJETO OBLIGADO,</w:t>
      </w:r>
      <w:r>
        <w:rPr>
          <w:rFonts w:ascii="Palatino Linotype" w:eastAsia="Palatino Linotype" w:hAnsi="Palatino Linotype" w:cs="Palatino Linotype"/>
          <w:color w:val="000000"/>
        </w:rPr>
        <w:t xml:space="preserve"> informa que realizó una exhaustiva búsqueda y localizó boletín informativo C-390/2021 con fecha 26 de octubre de 2021 “</w:t>
      </w:r>
      <w:r>
        <w:rPr>
          <w:rFonts w:ascii="Palatino Linotype" w:eastAsia="Palatino Linotype" w:hAnsi="Palatino Linotype" w:cs="Palatino Linotype"/>
          <w:b/>
          <w:color w:val="000000"/>
        </w:rPr>
        <w:t>RINDE ALCALDESA PATRICIA DURÁ INFORME DE GÉNERO 2019-2021</w:t>
      </w:r>
      <w:r>
        <w:rPr>
          <w:rFonts w:ascii="Palatino Linotype" w:eastAsia="Palatino Linotype" w:hAnsi="Palatino Linotype" w:cs="Palatino Linotype"/>
          <w:color w:val="000000"/>
        </w:rPr>
        <w:t>”el cual ha quedado referido en líneas anteriores.</w:t>
      </w:r>
    </w:p>
    <w:p w:rsidR="000B3F33" w:rsidRDefault="000B3F33">
      <w:pPr>
        <w:spacing w:line="360" w:lineRule="auto"/>
        <w:jc w:val="both"/>
        <w:rPr>
          <w:rFonts w:ascii="Palatino Linotype" w:eastAsia="Palatino Linotype" w:hAnsi="Palatino Linotype" w:cs="Palatino Linotype"/>
        </w:rPr>
      </w:pPr>
    </w:p>
    <w:p w:rsidR="000B3F33" w:rsidRDefault="003023B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del análisis a los archivos proporcionados en el alcance al informe justificado, se advierte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00C0695F">
        <w:rPr>
          <w:rFonts w:ascii="Palatino Linotype" w:eastAsia="Palatino Linotype" w:hAnsi="Palatino Linotype" w:cs="Palatino Linotype"/>
        </w:rPr>
        <w:t>modifica la omisión y emite</w:t>
      </w:r>
      <w:r>
        <w:rPr>
          <w:rFonts w:ascii="Palatino Linotype" w:eastAsia="Palatino Linotype" w:hAnsi="Palatino Linotype" w:cs="Palatino Linotype"/>
        </w:rPr>
        <w:t xml:space="preserve"> </w:t>
      </w:r>
      <w:r w:rsidR="00C0695F">
        <w:rPr>
          <w:rFonts w:ascii="Palatino Linotype" w:eastAsia="Palatino Linotype" w:hAnsi="Palatino Linotype" w:cs="Palatino Linotype"/>
        </w:rPr>
        <w:lastRenderedPageBreak/>
        <w:t xml:space="preserve">respuesta, al </w:t>
      </w:r>
      <w:r>
        <w:rPr>
          <w:rFonts w:ascii="Palatino Linotype" w:eastAsia="Palatino Linotype" w:hAnsi="Palatino Linotype" w:cs="Palatino Linotype"/>
        </w:rPr>
        <w:t xml:space="preserve">hace entrega del Informe de Género solicitado por la particular, además del boletín </w:t>
      </w:r>
      <w:r>
        <w:rPr>
          <w:rFonts w:ascii="Palatino Linotype" w:eastAsia="Palatino Linotype" w:hAnsi="Palatino Linotype" w:cs="Palatino Linotype"/>
          <w:color w:val="000000"/>
        </w:rPr>
        <w:t>C-390/2021, que dan a conocer las acciones presentadas</w:t>
      </w:r>
      <w:r>
        <w:rPr>
          <w:rFonts w:ascii="Palatino Linotype" w:eastAsia="Palatino Linotype" w:hAnsi="Palatino Linotype" w:cs="Palatino Linotype"/>
          <w:i/>
        </w:rPr>
        <w:t>.</w:t>
      </w:r>
      <w:r>
        <w:rPr>
          <w:rFonts w:ascii="Palatino Linotype" w:eastAsia="Palatino Linotype" w:hAnsi="Palatino Linotype" w:cs="Palatino Linotype"/>
        </w:rPr>
        <w:t xml:space="preserve"> Por lo que se estima necesario señalar que en efecto la información proporcionada mediante el informe justificado, corresponde con lo solicitado.</w:t>
      </w:r>
    </w:p>
    <w:p w:rsidR="000B3F33" w:rsidRDefault="00BA7857">
      <w:pPr>
        <w:spacing w:before="120" w:after="120" w:line="360" w:lineRule="auto"/>
        <w:jc w:val="both"/>
        <w:rPr>
          <w:rFonts w:ascii="Palatino Linotype" w:eastAsia="Palatino Linotype" w:hAnsi="Palatino Linotype" w:cs="Palatino Linotype"/>
          <w:color w:val="222222"/>
        </w:rPr>
      </w:pPr>
      <w:r>
        <w:rPr>
          <w:rFonts w:ascii="Palatino Linotype" w:eastAsia="Palatino Linotype" w:hAnsi="Palatino Linotype" w:cs="Palatino Linotype"/>
          <w:color w:val="222222"/>
        </w:rPr>
        <w:t>Por lo que al haber realizado, aunque con posterioridad</w:t>
      </w:r>
      <w:r w:rsidR="003023B3">
        <w:rPr>
          <w:rFonts w:ascii="Palatino Linotype" w:eastAsia="Palatino Linotype" w:hAnsi="Palatino Linotype" w:cs="Palatino Linotype"/>
          <w:color w:val="222222"/>
        </w:rPr>
        <w:t>, la búsqueda exhaustiva y raz</w:t>
      </w:r>
      <w:r>
        <w:rPr>
          <w:rFonts w:ascii="Palatino Linotype" w:eastAsia="Palatino Linotype" w:hAnsi="Palatino Linotype" w:cs="Palatino Linotype"/>
          <w:color w:val="222222"/>
        </w:rPr>
        <w:t>onable en los archivos</w:t>
      </w:r>
      <w:r w:rsidR="00C0695F">
        <w:rPr>
          <w:rFonts w:ascii="Palatino Linotype" w:eastAsia="Palatino Linotype" w:hAnsi="Palatino Linotype" w:cs="Palatino Linotype"/>
          <w:color w:val="222222"/>
        </w:rPr>
        <w:t xml:space="preserve">, </w:t>
      </w:r>
      <w:r>
        <w:rPr>
          <w:rFonts w:ascii="Palatino Linotype" w:eastAsia="Palatino Linotype" w:hAnsi="Palatino Linotype" w:cs="Palatino Linotype"/>
          <w:color w:val="222222"/>
        </w:rPr>
        <w:t>y</w:t>
      </w:r>
      <w:r w:rsidR="003023B3">
        <w:rPr>
          <w:rFonts w:ascii="Palatino Linotype" w:eastAsia="Palatino Linotype" w:hAnsi="Palatino Linotype" w:cs="Palatino Linotype"/>
          <w:color w:val="222222"/>
        </w:rPr>
        <w:t xml:space="preserve"> haberse pronunciado el Servidor Público Habilitado compete</w:t>
      </w:r>
      <w:r>
        <w:rPr>
          <w:rFonts w:ascii="Palatino Linotype" w:eastAsia="Palatino Linotype" w:hAnsi="Palatino Linotype" w:cs="Palatino Linotype"/>
          <w:color w:val="222222"/>
        </w:rPr>
        <w:t>n</w:t>
      </w:r>
      <w:r w:rsidR="003023B3">
        <w:rPr>
          <w:rFonts w:ascii="Palatino Linotype" w:eastAsia="Palatino Linotype" w:hAnsi="Palatino Linotype" w:cs="Palatino Linotype"/>
          <w:color w:val="222222"/>
        </w:rPr>
        <w:t xml:space="preserve">te </w:t>
      </w:r>
      <w:r w:rsidR="00C0695F">
        <w:rPr>
          <w:rFonts w:ascii="Palatino Linotype" w:eastAsia="Palatino Linotype" w:hAnsi="Palatino Linotype" w:cs="Palatino Linotype"/>
          <w:color w:val="222222"/>
        </w:rPr>
        <w:t>de</w:t>
      </w:r>
      <w:r w:rsidRPr="00BA7857">
        <w:rPr>
          <w:rFonts w:ascii="Palatino Linotype" w:eastAsia="Palatino Linotype" w:hAnsi="Palatino Linotype" w:cs="Palatino Linotype"/>
          <w:color w:val="222222"/>
        </w:rPr>
        <w:t>l Instituto de las Mujeres Naucalpenses y la Igualdad Sustantiva</w:t>
      </w:r>
      <w:r>
        <w:rPr>
          <w:rFonts w:ascii="Palatino Linotype" w:eastAsia="Palatino Linotype" w:hAnsi="Palatino Linotype" w:cs="Palatino Linotype"/>
          <w:color w:val="222222"/>
        </w:rPr>
        <w:t>, que de conformidad con lo que establece el Bando Municipal de Naucalpan de Juárez,</w:t>
      </w:r>
      <w:r w:rsidR="00C0695F">
        <w:rPr>
          <w:rFonts w:ascii="Palatino Linotype" w:eastAsia="Palatino Linotype" w:hAnsi="Palatino Linotype" w:cs="Palatino Linotype"/>
          <w:color w:val="222222"/>
        </w:rPr>
        <w:t xml:space="preserve"> tienen como objetivo y funciones:</w:t>
      </w:r>
    </w:p>
    <w:p w:rsidR="00C0695F" w:rsidRPr="00C0695F" w:rsidRDefault="00C0695F" w:rsidP="00C0695F">
      <w:pPr>
        <w:spacing w:before="120" w:after="120" w:line="276" w:lineRule="auto"/>
        <w:ind w:left="1134" w:right="900"/>
        <w:jc w:val="both"/>
        <w:rPr>
          <w:rFonts w:ascii="Palatino Linotype" w:eastAsia="Palatino Linotype" w:hAnsi="Palatino Linotype" w:cs="Palatino Linotype"/>
          <w:i/>
          <w:color w:val="222222"/>
          <w:sz w:val="22"/>
        </w:rPr>
      </w:pPr>
      <w:r>
        <w:rPr>
          <w:rFonts w:ascii="Palatino Linotype" w:eastAsia="Palatino Linotype" w:hAnsi="Palatino Linotype" w:cs="Palatino Linotype"/>
          <w:i/>
          <w:color w:val="222222"/>
          <w:sz w:val="22"/>
        </w:rPr>
        <w:t>“</w:t>
      </w:r>
      <w:r w:rsidRPr="00C0695F">
        <w:rPr>
          <w:rFonts w:ascii="Palatino Linotype" w:eastAsia="Palatino Linotype" w:hAnsi="Palatino Linotype" w:cs="Palatino Linotype"/>
          <w:i/>
          <w:color w:val="222222"/>
          <w:sz w:val="22"/>
        </w:rPr>
        <w:t>Artículo 118. Su objetivo es planear, coordinar, dirigir y evaluar acciones,</w:t>
      </w:r>
      <w:r>
        <w:rPr>
          <w:rFonts w:ascii="Palatino Linotype" w:eastAsia="Palatino Linotype" w:hAnsi="Palatino Linotype" w:cs="Palatino Linotype"/>
          <w:i/>
          <w:color w:val="222222"/>
          <w:sz w:val="22"/>
        </w:rPr>
        <w:t xml:space="preserve"> </w:t>
      </w:r>
      <w:r w:rsidRPr="00C0695F">
        <w:rPr>
          <w:rFonts w:ascii="Palatino Linotype" w:eastAsia="Palatino Linotype" w:hAnsi="Palatino Linotype" w:cs="Palatino Linotype"/>
          <w:b/>
          <w:i/>
          <w:color w:val="222222"/>
          <w:sz w:val="22"/>
        </w:rPr>
        <w:t>programas y proyectos en materia de atención integral de las mujeres, fomentando la igualdad de género, así como la erradicación de la violencia</w:t>
      </w:r>
      <w:r w:rsidRPr="00C0695F">
        <w:rPr>
          <w:rFonts w:ascii="Palatino Linotype" w:eastAsia="Palatino Linotype" w:hAnsi="Palatino Linotype" w:cs="Palatino Linotype"/>
          <w:i/>
          <w:color w:val="222222"/>
          <w:sz w:val="22"/>
        </w:rPr>
        <w:t xml:space="preserve"> contra las niñas, adolescen</w:t>
      </w:r>
      <w:r>
        <w:rPr>
          <w:rFonts w:ascii="Palatino Linotype" w:eastAsia="Palatino Linotype" w:hAnsi="Palatino Linotype" w:cs="Palatino Linotype"/>
          <w:i/>
          <w:color w:val="222222"/>
          <w:sz w:val="22"/>
        </w:rPr>
        <w:t xml:space="preserve">tes y mujeres para el ejercicio </w:t>
      </w:r>
      <w:r w:rsidRPr="00C0695F">
        <w:rPr>
          <w:rFonts w:ascii="Palatino Linotype" w:eastAsia="Palatino Linotype" w:hAnsi="Palatino Linotype" w:cs="Palatino Linotype"/>
          <w:i/>
          <w:color w:val="222222"/>
          <w:sz w:val="22"/>
        </w:rPr>
        <w:t>pleno de sus derechos.</w:t>
      </w:r>
    </w:p>
    <w:p w:rsidR="00C0695F" w:rsidRPr="00C0695F" w:rsidRDefault="00C0695F" w:rsidP="00C0695F">
      <w:pPr>
        <w:spacing w:before="120" w:after="120" w:line="276" w:lineRule="auto"/>
        <w:ind w:left="1134" w:right="900"/>
        <w:jc w:val="both"/>
        <w:rPr>
          <w:rFonts w:ascii="Palatino Linotype" w:eastAsia="Palatino Linotype" w:hAnsi="Palatino Linotype" w:cs="Palatino Linotype"/>
          <w:i/>
          <w:color w:val="222222"/>
          <w:sz w:val="22"/>
        </w:rPr>
      </w:pPr>
      <w:r w:rsidRPr="00C0695F">
        <w:rPr>
          <w:rFonts w:ascii="Palatino Linotype" w:eastAsia="Palatino Linotype" w:hAnsi="Palatino Linotype" w:cs="Palatino Linotype"/>
          <w:i/>
          <w:color w:val="222222"/>
          <w:sz w:val="22"/>
        </w:rPr>
        <w:t>Artículo 119. El Instituto tendrá las siguientes funciones:</w:t>
      </w:r>
    </w:p>
    <w:p w:rsidR="00C0695F" w:rsidRPr="00C0695F" w:rsidRDefault="00C0695F" w:rsidP="00C0695F">
      <w:pPr>
        <w:spacing w:before="120" w:after="120" w:line="276" w:lineRule="auto"/>
        <w:ind w:left="1134" w:right="900"/>
        <w:jc w:val="both"/>
        <w:rPr>
          <w:rFonts w:ascii="Palatino Linotype" w:eastAsia="Palatino Linotype" w:hAnsi="Palatino Linotype" w:cs="Palatino Linotype"/>
          <w:i/>
          <w:color w:val="222222"/>
          <w:sz w:val="22"/>
        </w:rPr>
      </w:pPr>
      <w:r w:rsidRPr="00C0695F">
        <w:rPr>
          <w:rFonts w:ascii="Palatino Linotype" w:eastAsia="Palatino Linotype" w:hAnsi="Palatino Linotype" w:cs="Palatino Linotype"/>
          <w:i/>
          <w:color w:val="222222"/>
          <w:sz w:val="22"/>
        </w:rPr>
        <w:t>I. Prevenir, atender y erradicar</w:t>
      </w:r>
      <w:r>
        <w:rPr>
          <w:rFonts w:ascii="Palatino Linotype" w:eastAsia="Palatino Linotype" w:hAnsi="Palatino Linotype" w:cs="Palatino Linotype"/>
          <w:i/>
          <w:color w:val="222222"/>
          <w:sz w:val="22"/>
        </w:rPr>
        <w:t xml:space="preserve"> la violencia contra las niñas, </w:t>
      </w:r>
      <w:r w:rsidRPr="00C0695F">
        <w:rPr>
          <w:rFonts w:ascii="Palatino Linotype" w:eastAsia="Palatino Linotype" w:hAnsi="Palatino Linotype" w:cs="Palatino Linotype"/>
          <w:i/>
          <w:color w:val="222222"/>
          <w:sz w:val="22"/>
        </w:rPr>
        <w:t>adolescentes y mujeres, en r</w:t>
      </w:r>
      <w:r>
        <w:rPr>
          <w:rFonts w:ascii="Palatino Linotype" w:eastAsia="Palatino Linotype" w:hAnsi="Palatino Linotype" w:cs="Palatino Linotype"/>
          <w:i/>
          <w:color w:val="222222"/>
          <w:sz w:val="22"/>
        </w:rPr>
        <w:t xml:space="preserve">azón de su género, garantizando </w:t>
      </w:r>
      <w:r w:rsidRPr="00C0695F">
        <w:rPr>
          <w:rFonts w:ascii="Palatino Linotype" w:eastAsia="Palatino Linotype" w:hAnsi="Palatino Linotype" w:cs="Palatino Linotype"/>
          <w:i/>
          <w:color w:val="222222"/>
          <w:sz w:val="22"/>
        </w:rPr>
        <w:t>la atención a mujeres en s</w:t>
      </w:r>
      <w:r>
        <w:rPr>
          <w:rFonts w:ascii="Palatino Linotype" w:eastAsia="Palatino Linotype" w:hAnsi="Palatino Linotype" w:cs="Palatino Linotype"/>
          <w:i/>
          <w:color w:val="222222"/>
          <w:sz w:val="22"/>
        </w:rPr>
        <w:t xml:space="preserve">ituación de violencia, mediante </w:t>
      </w:r>
      <w:r w:rsidRPr="00C0695F">
        <w:rPr>
          <w:rFonts w:ascii="Palatino Linotype" w:eastAsia="Palatino Linotype" w:hAnsi="Palatino Linotype" w:cs="Palatino Linotype"/>
          <w:i/>
          <w:color w:val="222222"/>
          <w:sz w:val="22"/>
        </w:rPr>
        <w:t xml:space="preserve">diferentes servicios multidisciplinarios a </w:t>
      </w:r>
      <w:r>
        <w:rPr>
          <w:rFonts w:ascii="Palatino Linotype" w:eastAsia="Palatino Linotype" w:hAnsi="Palatino Linotype" w:cs="Palatino Linotype"/>
          <w:i/>
          <w:color w:val="222222"/>
          <w:sz w:val="22"/>
        </w:rPr>
        <w:t xml:space="preserve">través de asesorías </w:t>
      </w:r>
      <w:r w:rsidRPr="00C0695F">
        <w:rPr>
          <w:rFonts w:ascii="Palatino Linotype" w:eastAsia="Palatino Linotype" w:hAnsi="Palatino Linotype" w:cs="Palatino Linotype"/>
          <w:i/>
          <w:color w:val="222222"/>
          <w:sz w:val="22"/>
        </w:rPr>
        <w:t>y del acompañamien</w:t>
      </w:r>
      <w:r>
        <w:rPr>
          <w:rFonts w:ascii="Palatino Linotype" w:eastAsia="Palatino Linotype" w:hAnsi="Palatino Linotype" w:cs="Palatino Linotype"/>
          <w:i/>
          <w:color w:val="222222"/>
          <w:sz w:val="22"/>
        </w:rPr>
        <w:t xml:space="preserve">to y fungiendo como enlaces con </w:t>
      </w:r>
      <w:r w:rsidRPr="00C0695F">
        <w:rPr>
          <w:rFonts w:ascii="Palatino Linotype" w:eastAsia="Palatino Linotype" w:hAnsi="Palatino Linotype" w:cs="Palatino Linotype"/>
          <w:i/>
          <w:color w:val="222222"/>
          <w:sz w:val="22"/>
        </w:rPr>
        <w:t>instituciones públicas y priv</w:t>
      </w:r>
      <w:r>
        <w:rPr>
          <w:rFonts w:ascii="Palatino Linotype" w:eastAsia="Palatino Linotype" w:hAnsi="Palatino Linotype" w:cs="Palatino Linotype"/>
          <w:i/>
          <w:color w:val="222222"/>
          <w:sz w:val="22"/>
        </w:rPr>
        <w:t xml:space="preserve">adas, tanto del ámbito Federal, </w:t>
      </w:r>
      <w:r w:rsidRPr="00C0695F">
        <w:rPr>
          <w:rFonts w:ascii="Palatino Linotype" w:eastAsia="Palatino Linotype" w:hAnsi="Palatino Linotype" w:cs="Palatino Linotype"/>
          <w:i/>
          <w:color w:val="222222"/>
          <w:sz w:val="22"/>
        </w:rPr>
        <w:t xml:space="preserve">Estatal y Municipal; vinculando </w:t>
      </w:r>
      <w:r>
        <w:rPr>
          <w:rFonts w:ascii="Palatino Linotype" w:eastAsia="Palatino Linotype" w:hAnsi="Palatino Linotype" w:cs="Palatino Linotype"/>
          <w:i/>
          <w:color w:val="222222"/>
          <w:sz w:val="22"/>
        </w:rPr>
        <w:t xml:space="preserve">ante diferentes instituciones y </w:t>
      </w:r>
      <w:r w:rsidRPr="00C0695F">
        <w:rPr>
          <w:rFonts w:ascii="Palatino Linotype" w:eastAsia="Palatino Linotype" w:hAnsi="Palatino Linotype" w:cs="Palatino Linotype"/>
          <w:i/>
          <w:color w:val="222222"/>
          <w:sz w:val="22"/>
        </w:rPr>
        <w:t>refugios para así dar seguimiento a cada víctima y desarrolla</w:t>
      </w:r>
      <w:r>
        <w:rPr>
          <w:rFonts w:ascii="Palatino Linotype" w:eastAsia="Palatino Linotype" w:hAnsi="Palatino Linotype" w:cs="Palatino Linotype"/>
          <w:i/>
          <w:color w:val="222222"/>
          <w:sz w:val="22"/>
        </w:rPr>
        <w:t xml:space="preserve">r </w:t>
      </w:r>
      <w:r w:rsidRPr="00C0695F">
        <w:rPr>
          <w:rFonts w:ascii="Palatino Linotype" w:eastAsia="Palatino Linotype" w:hAnsi="Palatino Linotype" w:cs="Palatino Linotype"/>
          <w:i/>
          <w:color w:val="222222"/>
          <w:sz w:val="22"/>
        </w:rPr>
        <w:t>las funciones inherentes al Instituto;</w:t>
      </w:r>
    </w:p>
    <w:p w:rsidR="00C0695F" w:rsidRPr="00C0695F" w:rsidRDefault="00C0695F" w:rsidP="00C0695F">
      <w:pPr>
        <w:spacing w:before="120" w:after="120" w:line="276" w:lineRule="auto"/>
        <w:ind w:left="1134" w:right="900"/>
        <w:jc w:val="both"/>
        <w:rPr>
          <w:rFonts w:ascii="Palatino Linotype" w:eastAsia="Palatino Linotype" w:hAnsi="Palatino Linotype" w:cs="Palatino Linotype"/>
          <w:i/>
          <w:color w:val="222222"/>
          <w:sz w:val="22"/>
        </w:rPr>
      </w:pPr>
      <w:r w:rsidRPr="00C0695F">
        <w:rPr>
          <w:rFonts w:ascii="Palatino Linotype" w:eastAsia="Palatino Linotype" w:hAnsi="Palatino Linotype" w:cs="Palatino Linotype"/>
          <w:i/>
          <w:color w:val="222222"/>
          <w:sz w:val="22"/>
        </w:rPr>
        <w:t xml:space="preserve">II. </w:t>
      </w:r>
      <w:r w:rsidRPr="00C0695F">
        <w:rPr>
          <w:rFonts w:ascii="Palatino Linotype" w:eastAsia="Palatino Linotype" w:hAnsi="Palatino Linotype" w:cs="Palatino Linotype"/>
          <w:b/>
          <w:i/>
          <w:color w:val="222222"/>
          <w:sz w:val="22"/>
        </w:rPr>
        <w:t>Desarrollar acciones y programas orientados a la atención integral de las mujeres Naucalpenses, así como vigilar el cumplimiento de sus resultados</w:t>
      </w:r>
      <w:r w:rsidRPr="00C0695F">
        <w:rPr>
          <w:rFonts w:ascii="Palatino Linotype" w:eastAsia="Palatino Linotype" w:hAnsi="Palatino Linotype" w:cs="Palatino Linotype"/>
          <w:i/>
          <w:color w:val="222222"/>
          <w:sz w:val="22"/>
        </w:rPr>
        <w:t>;</w:t>
      </w:r>
    </w:p>
    <w:p w:rsidR="00C0695F" w:rsidRPr="00C0695F" w:rsidRDefault="00C0695F" w:rsidP="00C0695F">
      <w:pPr>
        <w:spacing w:before="120" w:after="120" w:line="276" w:lineRule="auto"/>
        <w:ind w:left="1134" w:right="900"/>
        <w:jc w:val="both"/>
        <w:rPr>
          <w:rFonts w:ascii="Palatino Linotype" w:eastAsia="Palatino Linotype" w:hAnsi="Palatino Linotype" w:cs="Palatino Linotype"/>
          <w:i/>
          <w:color w:val="222222"/>
          <w:sz w:val="22"/>
        </w:rPr>
      </w:pPr>
      <w:r w:rsidRPr="00C0695F">
        <w:rPr>
          <w:rFonts w:ascii="Palatino Linotype" w:eastAsia="Palatino Linotype" w:hAnsi="Palatino Linotype" w:cs="Palatino Linotype"/>
          <w:i/>
          <w:color w:val="222222"/>
          <w:sz w:val="22"/>
        </w:rPr>
        <w:t xml:space="preserve">III. Formular y vigilar el desarrollo de </w:t>
      </w:r>
      <w:r w:rsidRPr="00C0695F">
        <w:rPr>
          <w:rFonts w:ascii="Palatino Linotype" w:eastAsia="Palatino Linotype" w:hAnsi="Palatino Linotype" w:cs="Palatino Linotype"/>
          <w:b/>
          <w:i/>
          <w:color w:val="222222"/>
          <w:sz w:val="22"/>
        </w:rPr>
        <w:t>políticas públicas enfocadas al fomento de la igualdad y perspectiva de género, así como la erradicación de la violencia contra las niñas, adolescentes y mujeres;</w:t>
      </w:r>
    </w:p>
    <w:p w:rsidR="00C0695F" w:rsidRPr="00C0695F" w:rsidRDefault="00C0695F" w:rsidP="00C0695F">
      <w:pPr>
        <w:spacing w:before="120" w:after="120" w:line="276" w:lineRule="auto"/>
        <w:ind w:left="1134" w:right="900"/>
        <w:jc w:val="both"/>
        <w:rPr>
          <w:rFonts w:ascii="Palatino Linotype" w:eastAsia="Palatino Linotype" w:hAnsi="Palatino Linotype" w:cs="Palatino Linotype"/>
          <w:i/>
          <w:color w:val="222222"/>
          <w:sz w:val="22"/>
        </w:rPr>
      </w:pPr>
      <w:r w:rsidRPr="00C0695F">
        <w:rPr>
          <w:rFonts w:ascii="Palatino Linotype" w:eastAsia="Palatino Linotype" w:hAnsi="Palatino Linotype" w:cs="Palatino Linotype"/>
          <w:i/>
          <w:color w:val="222222"/>
          <w:sz w:val="22"/>
        </w:rPr>
        <w:lastRenderedPageBreak/>
        <w:t>IV. Fomentar la igualdad sustantiva entre mujeres y hombres en</w:t>
      </w:r>
      <w:r>
        <w:rPr>
          <w:rFonts w:ascii="Palatino Linotype" w:eastAsia="Palatino Linotype" w:hAnsi="Palatino Linotype" w:cs="Palatino Linotype"/>
          <w:i/>
          <w:color w:val="222222"/>
          <w:sz w:val="22"/>
        </w:rPr>
        <w:t xml:space="preserve"> </w:t>
      </w:r>
      <w:r w:rsidRPr="00C0695F">
        <w:rPr>
          <w:rFonts w:ascii="Palatino Linotype" w:eastAsia="Palatino Linotype" w:hAnsi="Palatino Linotype" w:cs="Palatino Linotype"/>
          <w:i/>
          <w:color w:val="222222"/>
          <w:sz w:val="22"/>
        </w:rPr>
        <w:t>los ámbitos público y privado en el Municipio;</w:t>
      </w:r>
    </w:p>
    <w:p w:rsidR="000B3F33" w:rsidRDefault="00C0695F" w:rsidP="00C0695F">
      <w:pPr>
        <w:spacing w:before="120" w:after="120" w:line="276" w:lineRule="auto"/>
        <w:ind w:left="1134" w:right="900"/>
        <w:jc w:val="both"/>
        <w:rPr>
          <w:rFonts w:ascii="Palatino Linotype" w:eastAsia="Palatino Linotype" w:hAnsi="Palatino Linotype" w:cs="Palatino Linotype"/>
          <w:i/>
          <w:color w:val="222222"/>
          <w:sz w:val="22"/>
        </w:rPr>
      </w:pPr>
      <w:r w:rsidRPr="00C0695F">
        <w:rPr>
          <w:rFonts w:ascii="Palatino Linotype" w:eastAsia="Palatino Linotype" w:hAnsi="Palatino Linotype" w:cs="Palatino Linotype"/>
          <w:i/>
          <w:color w:val="222222"/>
          <w:sz w:val="22"/>
        </w:rPr>
        <w:t>V.</w:t>
      </w:r>
      <w:r>
        <w:rPr>
          <w:rFonts w:ascii="Palatino Linotype" w:eastAsia="Palatino Linotype" w:hAnsi="Palatino Linotype" w:cs="Palatino Linotype"/>
          <w:i/>
          <w:color w:val="222222"/>
          <w:sz w:val="22"/>
        </w:rPr>
        <w:t xml:space="preserve"> </w:t>
      </w:r>
      <w:r w:rsidRPr="00C0695F">
        <w:rPr>
          <w:rFonts w:ascii="Palatino Linotype" w:eastAsia="Palatino Linotype" w:hAnsi="Palatino Linotype" w:cs="Palatino Linotype"/>
          <w:i/>
          <w:color w:val="222222"/>
          <w:sz w:val="22"/>
        </w:rPr>
        <w:t>Promover la aplicación del pri</w:t>
      </w:r>
      <w:r>
        <w:rPr>
          <w:rFonts w:ascii="Palatino Linotype" w:eastAsia="Palatino Linotype" w:hAnsi="Palatino Linotype" w:cs="Palatino Linotype"/>
          <w:i/>
          <w:color w:val="222222"/>
          <w:sz w:val="22"/>
        </w:rPr>
        <w:t xml:space="preserve">ncipio de transversalidad de la </w:t>
      </w:r>
      <w:r w:rsidRPr="00C0695F">
        <w:rPr>
          <w:rFonts w:ascii="Palatino Linotype" w:eastAsia="Palatino Linotype" w:hAnsi="Palatino Linotype" w:cs="Palatino Linotype"/>
          <w:i/>
          <w:color w:val="222222"/>
          <w:sz w:val="22"/>
        </w:rPr>
        <w:t>igualdad sustantiva en la formu</w:t>
      </w:r>
      <w:r>
        <w:rPr>
          <w:rFonts w:ascii="Palatino Linotype" w:eastAsia="Palatino Linotype" w:hAnsi="Palatino Linotype" w:cs="Palatino Linotype"/>
          <w:i/>
          <w:color w:val="222222"/>
          <w:sz w:val="22"/>
        </w:rPr>
        <w:t xml:space="preserve">lación de políticas públicas de </w:t>
      </w:r>
      <w:r w:rsidRPr="00C0695F">
        <w:rPr>
          <w:rFonts w:ascii="Palatino Linotype" w:eastAsia="Palatino Linotype" w:hAnsi="Palatino Linotype" w:cs="Palatino Linotype"/>
          <w:i/>
          <w:color w:val="222222"/>
          <w:sz w:val="22"/>
        </w:rPr>
        <w:t>las dependencias de la Administración Municipal;</w:t>
      </w:r>
    </w:p>
    <w:p w:rsidR="00C0695F" w:rsidRPr="00C0695F" w:rsidRDefault="00C0695F" w:rsidP="00C0695F">
      <w:pPr>
        <w:spacing w:before="120" w:after="120" w:line="276" w:lineRule="auto"/>
        <w:ind w:left="1134" w:right="900"/>
        <w:jc w:val="both"/>
        <w:rPr>
          <w:rFonts w:ascii="Palatino Linotype" w:eastAsia="Palatino Linotype" w:hAnsi="Palatino Linotype" w:cs="Palatino Linotype"/>
          <w:i/>
          <w:color w:val="222222"/>
          <w:sz w:val="22"/>
        </w:rPr>
      </w:pPr>
    </w:p>
    <w:p w:rsidR="000B3F33" w:rsidRDefault="00C0695F">
      <w:pPr>
        <w:spacing w:before="120" w:after="120" w:line="360" w:lineRule="auto"/>
        <w:jc w:val="both"/>
        <w:rPr>
          <w:rFonts w:ascii="Palatino Linotype" w:eastAsia="Palatino Linotype" w:hAnsi="Palatino Linotype" w:cs="Palatino Linotype"/>
        </w:rPr>
      </w:pPr>
      <w:r>
        <w:rPr>
          <w:rFonts w:ascii="Palatino Linotype" w:eastAsia="Palatino Linotype" w:hAnsi="Palatino Linotype" w:cs="Palatino Linotype"/>
        </w:rPr>
        <w:t>E</w:t>
      </w:r>
      <w:r w:rsidR="003023B3">
        <w:rPr>
          <w:rFonts w:ascii="Palatino Linotype" w:eastAsia="Palatino Linotype" w:hAnsi="Palatino Linotype" w:cs="Palatino Linotype"/>
        </w:rPr>
        <w:t>ste Órgano Garante no está facultado para manifestarse sobre la veracidad de la información proporcionada, ya que no existe precepto legal alguno en la Ley de la Materia que permita, vía recurso de revisión, se pronuncie al respecto. Por analogía, sirve de apoyo a lo anterior el Criterio 31-10 emitido por el entonces Instituto Federal de Accesos a la Información y Protección de Datos, que a la letra establece lo siguiente:</w:t>
      </w:r>
    </w:p>
    <w:p w:rsidR="000B3F33" w:rsidRDefault="003023B3">
      <w:pPr>
        <w:spacing w:before="120" w:after="120" w:line="276" w:lineRule="auto"/>
        <w:ind w:left="860" w:right="860"/>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w:t>
      </w:r>
      <w:r>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B3F33" w:rsidRDefault="003023B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conclusión, al contar este Organismo Garante con la información que colma el derecho de acceso a la información del particular y que fue proporcionada por el </w:t>
      </w:r>
      <w:r>
        <w:rPr>
          <w:rFonts w:ascii="Palatino Linotype" w:eastAsia="Palatino Linotype" w:hAnsi="Palatino Linotype" w:cs="Palatino Linotype"/>
          <w:b/>
        </w:rPr>
        <w:lastRenderedPageBreak/>
        <w:t xml:space="preserve">SUJETO OBLIGADO </w:t>
      </w:r>
      <w:r>
        <w:rPr>
          <w:rFonts w:ascii="Palatino Linotype" w:eastAsia="Palatino Linotype" w:hAnsi="Palatino Linotype" w:cs="Palatino Linotype"/>
        </w:rPr>
        <w:t>a través del</w:t>
      </w:r>
      <w:r>
        <w:rPr>
          <w:rFonts w:ascii="Palatino Linotype" w:eastAsia="Palatino Linotype" w:hAnsi="Palatino Linotype" w:cs="Palatino Linotype"/>
          <w:b/>
        </w:rPr>
        <w:t xml:space="preserve"> SAIMEX</w:t>
      </w:r>
      <w:r>
        <w:rPr>
          <w:rFonts w:ascii="Palatino Linotype" w:eastAsia="Palatino Linotype" w:hAnsi="Palatino Linotype" w:cs="Palatino Linotype"/>
        </w:rPr>
        <w:t>, el sentido del presente fallo es el sobreseimiento, al actualizar la causal prevista en la fracción III del artículo 192 de la Ley de Transparencia y Acceso a la Información Pública del Estado de México y Municipios, ya referida, del que se advierte que el sobreseimiento del recurso de revisión procede en los siguientes casos:</w:t>
      </w:r>
    </w:p>
    <w:p w:rsidR="000B3F33" w:rsidRDefault="003023B3">
      <w:pPr>
        <w:spacing w:before="240" w:after="240" w:line="360" w:lineRule="auto"/>
        <w:ind w:firstLine="567"/>
        <w:jc w:val="both"/>
        <w:rPr>
          <w:rFonts w:ascii="Palatino Linotype" w:eastAsia="Palatino Linotype" w:hAnsi="Palatino Linotype" w:cs="Palatino Linotype"/>
        </w:rPr>
      </w:pPr>
      <w:r>
        <w:rPr>
          <w:rFonts w:ascii="Palatino Linotype" w:eastAsia="Palatino Linotype" w:hAnsi="Palatino Linotype" w:cs="Palatino Linotype"/>
        </w:rPr>
        <w:t>a) Cuando el sujeto obligado modifique el acto impugnado.</w:t>
      </w:r>
    </w:p>
    <w:p w:rsidR="000B3F33" w:rsidRDefault="003023B3">
      <w:pPr>
        <w:spacing w:before="240" w:after="240" w:line="360" w:lineRule="auto"/>
        <w:ind w:firstLine="567"/>
        <w:jc w:val="both"/>
        <w:rPr>
          <w:rFonts w:ascii="Palatino Linotype" w:eastAsia="Palatino Linotype" w:hAnsi="Palatino Linotype" w:cs="Palatino Linotype"/>
        </w:rPr>
      </w:pPr>
      <w:r>
        <w:rPr>
          <w:rFonts w:ascii="Palatino Linotype" w:eastAsia="Palatino Linotype" w:hAnsi="Palatino Linotype" w:cs="Palatino Linotype"/>
        </w:rPr>
        <w:t>b) Cuando el sujeto obligado revoque el acto impugnado.</w:t>
      </w:r>
    </w:p>
    <w:p w:rsidR="000B3F33" w:rsidRDefault="003023B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Quedando en ambos casos el acto combatido sin materia o sin efectos.</w:t>
      </w:r>
    </w:p>
    <w:p w:rsidR="000B3F33" w:rsidRDefault="003023B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Como se observa de lo anterior, un acto impugnado es modificado en aquellos casos en los que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después de haber otorgado una respuesta, emite una diversa de manera posterior y en ésta subsana las deficiencias que hubiera tenido, quedando satisfecho el derecho subjetivo accionado por la parte </w:t>
      </w:r>
      <w:r>
        <w:rPr>
          <w:rFonts w:ascii="Palatino Linotype" w:eastAsia="Palatino Linotype" w:hAnsi="Palatino Linotype" w:cs="Palatino Linotype"/>
          <w:b/>
        </w:rPr>
        <w:t>RECURRENTE</w:t>
      </w:r>
      <w:r>
        <w:rPr>
          <w:rFonts w:ascii="Palatino Linotype" w:eastAsia="Palatino Linotype" w:hAnsi="Palatino Linotype" w:cs="Palatino Linotype"/>
        </w:rPr>
        <w:t>.</w:t>
      </w:r>
    </w:p>
    <w:p w:rsidR="000B3F33" w:rsidRDefault="003023B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Por lo que hace a la revocación, esta se actualiza cuando el </w:t>
      </w:r>
      <w:r>
        <w:rPr>
          <w:rFonts w:ascii="Palatino Linotype" w:eastAsia="Palatino Linotype" w:hAnsi="Palatino Linotype" w:cs="Palatino Linotype"/>
          <w:b/>
        </w:rPr>
        <w:t xml:space="preserve">SUJETO OBLIGADO </w:t>
      </w:r>
      <w:r>
        <w:rPr>
          <w:rFonts w:ascii="Palatino Linotype" w:eastAsia="Palatino Linotype" w:hAnsi="Palatino Linotype" w:cs="Palatino Linotype"/>
        </w:rPr>
        <w:t>deja sin efectos la primera respuesta y en su lugar emite otra con las características y cualidades suficientes para dejar satisfecho el ejercicio del derecho al acceso a la información pública.</w:t>
      </w:r>
    </w:p>
    <w:p w:rsidR="000B3F33" w:rsidRDefault="003023B3">
      <w:pPr>
        <w:spacing w:before="240" w:line="360" w:lineRule="auto"/>
        <w:jc w:val="both"/>
        <w:rPr>
          <w:rFonts w:ascii="Palatino Linotype" w:eastAsia="Palatino Linotype" w:hAnsi="Palatino Linotype" w:cs="Palatino Linotype"/>
        </w:rPr>
      </w:pPr>
      <w:r>
        <w:rPr>
          <w:rFonts w:ascii="Palatino Linotype" w:eastAsia="Palatino Linotype" w:hAnsi="Palatino Linotype" w:cs="Palatino Linotype"/>
        </w:rPr>
        <w:t>En ese tenor, un acto impugnado queda sin efectos, cuando aun existiendo jurídicamente (esto es, que no se ha modificado, ni revocado) ya no genera ninguna consecuencia legal.</w:t>
      </w:r>
    </w:p>
    <w:p w:rsidR="000B3F33" w:rsidRDefault="003023B3">
      <w:pPr>
        <w:spacing w:before="240" w:after="240" w:line="360" w:lineRule="auto"/>
        <w:ind w:right="49"/>
        <w:jc w:val="both"/>
        <w:rPr>
          <w:rFonts w:ascii="Palatino Linotype" w:eastAsia="Palatino Linotype" w:hAnsi="Palatino Linotype" w:cs="Palatino Linotype"/>
          <w:b/>
        </w:rPr>
      </w:pPr>
      <w:r>
        <w:rPr>
          <w:rFonts w:ascii="Palatino Linotype" w:eastAsia="Palatino Linotype" w:hAnsi="Palatino Linotype" w:cs="Palatino Linotype"/>
        </w:rPr>
        <w:lastRenderedPageBreak/>
        <w:t xml:space="preserve">En tanto, en el presente caso queda sin materia toda vez que a través del informe justificado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w:t>
      </w:r>
      <w:r w:rsidRPr="00C0695F">
        <w:rPr>
          <w:rFonts w:ascii="Palatino Linotype" w:eastAsia="Palatino Linotype" w:hAnsi="Palatino Linotype" w:cs="Palatino Linotype"/>
        </w:rPr>
        <w:t xml:space="preserve">modificó la </w:t>
      </w:r>
      <w:r w:rsidR="00C0695F" w:rsidRPr="00C0695F">
        <w:rPr>
          <w:rFonts w:ascii="Palatino Linotype" w:eastAsia="Palatino Linotype" w:hAnsi="Palatino Linotype" w:cs="Palatino Linotype"/>
        </w:rPr>
        <w:t>omisión</w:t>
      </w:r>
      <w:r>
        <w:rPr>
          <w:rFonts w:ascii="Palatino Linotype" w:eastAsia="Palatino Linotype" w:hAnsi="Palatino Linotype" w:cs="Palatino Linotype"/>
        </w:rPr>
        <w:t xml:space="preserve"> al remitir al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respuesta de la Titular del Instituto de las Mujeres Naucalpenses y la Igualdad Sustantiva, precisando que: </w:t>
      </w:r>
      <w:r>
        <w:rPr>
          <w:rFonts w:ascii="Palatino Linotype" w:eastAsia="Palatino Linotype" w:hAnsi="Palatino Linotype" w:cs="Palatino Linotype"/>
          <w:i/>
          <w:color w:val="000000"/>
        </w:rPr>
        <w:t xml:space="preserve">“… de una búsqueda exhaustiva en los archivos de este Instituto, se localizó </w:t>
      </w:r>
      <w:r>
        <w:rPr>
          <w:rFonts w:ascii="Palatino Linotype" w:eastAsia="Palatino Linotype" w:hAnsi="Palatino Linotype" w:cs="Palatino Linotype"/>
          <w:b/>
          <w:i/>
          <w:color w:val="000000"/>
        </w:rPr>
        <w:t>un informe del eje transversal de igualdad de género, se anexa copia para los efectos a que haya lugar,</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b/>
          <w:i/>
          <w:color w:val="000000"/>
        </w:rPr>
        <w:t>(Constante en diecinueve fojas)</w:t>
      </w:r>
      <w:r>
        <w:rPr>
          <w:rFonts w:ascii="Palatino Linotype" w:eastAsia="Palatino Linotype" w:hAnsi="Palatino Linotype" w:cs="Palatino Linotype"/>
          <w:color w:val="000000"/>
        </w:rPr>
        <w:t>…” (Sic)</w:t>
      </w:r>
    </w:p>
    <w:p w:rsidR="000B3F33" w:rsidRDefault="003023B3">
      <w:pPr>
        <w:spacing w:after="240" w:line="360" w:lineRule="auto"/>
        <w:jc w:val="both"/>
        <w:rPr>
          <w:rFonts w:ascii="Palatino Linotype" w:eastAsia="Palatino Linotype" w:hAnsi="Palatino Linotype" w:cs="Palatino Linotype"/>
          <w:i/>
          <w:sz w:val="22"/>
          <w:szCs w:val="22"/>
        </w:rPr>
      </w:pPr>
      <w:r>
        <w:rPr>
          <w:rFonts w:ascii="Palatino Linotype" w:eastAsia="Palatino Linotype" w:hAnsi="Palatino Linotype" w:cs="Palatino Linotype"/>
        </w:rPr>
        <w:t>De tal manera, es evidente que con ello queda sin materia el presente recurso de revisión, ya que la inconformidad sobre que: “</w:t>
      </w:r>
      <w:r>
        <w:rPr>
          <w:rFonts w:ascii="Palatino Linotype" w:eastAsia="Palatino Linotype" w:hAnsi="Palatino Linotype" w:cs="Palatino Linotype"/>
          <w:b/>
          <w:i/>
        </w:rPr>
        <w:t>No se recibe respuesta de la solicitud”</w:t>
      </w:r>
      <w:r>
        <w:rPr>
          <w:rFonts w:ascii="Palatino Linotype" w:eastAsia="Palatino Linotype" w:hAnsi="Palatino Linotype" w:cs="Palatino Linotype"/>
        </w:rPr>
        <w:t xml:space="preserve"> (sic), se subsanó con la información entregada en el SAIMEX a través del Informe Justificado del Recurso de Revisión.</w:t>
      </w:r>
    </w:p>
    <w:p w:rsidR="000B3F33" w:rsidRDefault="003023B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En resumen, 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dio respuesta a la solicitud de acceso a la información pública del ahora </w:t>
      </w:r>
      <w:r>
        <w:rPr>
          <w:rFonts w:ascii="Palatino Linotype" w:eastAsia="Palatino Linotype" w:hAnsi="Palatino Linotype" w:cs="Palatino Linotype"/>
          <w:b/>
        </w:rPr>
        <w:t>RECURRENTE</w:t>
      </w:r>
      <w:r>
        <w:rPr>
          <w:rFonts w:ascii="Palatino Linotype" w:eastAsia="Palatino Linotype" w:hAnsi="Palatino Linotype" w:cs="Palatino Linotype"/>
        </w:rPr>
        <w:t>; aunque ell</w:t>
      </w:r>
      <w:r w:rsidR="00D800AA">
        <w:rPr>
          <w:rFonts w:ascii="Palatino Linotype" w:eastAsia="Palatino Linotype" w:hAnsi="Palatino Linotype" w:cs="Palatino Linotype"/>
        </w:rPr>
        <w:t>o haya sido de manera posterio</w:t>
      </w:r>
      <w:r w:rsidR="00D800AA" w:rsidRPr="00D800AA">
        <w:rPr>
          <w:rFonts w:ascii="Palatino Linotype" w:eastAsia="Palatino Linotype" w:hAnsi="Palatino Linotype" w:cs="Palatino Linotype"/>
        </w:rPr>
        <w:t>r</w:t>
      </w:r>
      <w:r w:rsidRPr="00D800AA">
        <w:rPr>
          <w:rFonts w:ascii="Palatino Linotype" w:eastAsia="Palatino Linotype" w:hAnsi="Palatino Linotype" w:cs="Palatino Linotype"/>
        </w:rPr>
        <w:t>;</w:t>
      </w:r>
      <w:r>
        <w:rPr>
          <w:rFonts w:ascii="Palatino Linotype" w:eastAsia="Palatino Linotype" w:hAnsi="Palatino Linotype" w:cs="Palatino Linotype"/>
        </w:rPr>
        <w:t xml:space="preserve"> dejando con ello sin materia el presente recurso de revisión, actualizándose entonces la causal prevista en la fracción III del artículo 192 de la Ley de la Materia vigente en la Entidad, antes transcrita. </w:t>
      </w:r>
    </w:p>
    <w:p w:rsidR="000B3F33" w:rsidRDefault="003023B3">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 xml:space="preserve">Siendo el </w:t>
      </w:r>
      <w:r>
        <w:rPr>
          <w:rFonts w:ascii="Palatino Linotype" w:eastAsia="Palatino Linotype" w:hAnsi="Palatino Linotype" w:cs="Palatino Linotype"/>
          <w:i/>
        </w:rPr>
        <w:t>sobreseimiento</w:t>
      </w:r>
      <w:r>
        <w:rPr>
          <w:rFonts w:ascii="Palatino Linotype" w:eastAsia="Palatino Linotype" w:hAnsi="Palatino Linotype" w:cs="Palatino Linotype"/>
        </w:rPr>
        <w:t xml:space="preserve"> un acto que da por terminado el procedimiento administrativo de impugnación sin resolver el fondo de la cuestión planteada, por presentarse causas que impiden a la autoridad referirse a lo sustancial de lo planteado por el recurrente, los efectos del sobreseimiento son los dar por concluido el recurso administrativo sin entrar al estudio de fondo del asunto de que se trate; lo anterior con apoyo en el criterio del Poder Judicial de la Federación con rubro:</w:t>
      </w:r>
    </w:p>
    <w:p w:rsidR="000B3F33" w:rsidRDefault="003023B3">
      <w:pPr>
        <w:spacing w:before="240" w:after="240" w:line="276" w:lineRule="auto"/>
        <w:ind w:left="567" w:right="567"/>
        <w:jc w:val="both"/>
        <w:rPr>
          <w:rFonts w:ascii="Palatino Linotype" w:eastAsia="Palatino Linotype" w:hAnsi="Palatino Linotype" w:cs="Palatino Linotype"/>
          <w:b/>
          <w:i/>
        </w:rPr>
      </w:pPr>
      <w:r>
        <w:rPr>
          <w:rFonts w:ascii="Palatino Linotype" w:eastAsia="Palatino Linotype" w:hAnsi="Palatino Linotype" w:cs="Palatino Linotype"/>
          <w:i/>
          <w:sz w:val="22"/>
          <w:szCs w:val="22"/>
        </w:rPr>
        <w:lastRenderedPageBreak/>
        <w:t>“</w:t>
      </w:r>
      <w:r>
        <w:rPr>
          <w:rFonts w:ascii="Palatino Linotype" w:eastAsia="Palatino Linotype" w:hAnsi="Palatino Linotype" w:cs="Palatino Linotype"/>
          <w:b/>
          <w:i/>
          <w:sz w:val="22"/>
          <w:szCs w:val="22"/>
        </w:rPr>
        <w:t>SOBRESEIMIENTO, NO PERMITE ENTRAR AL ESTUDIO DE LAS CUESTIONES DE FONDO</w:t>
      </w:r>
    </w:p>
    <w:p w:rsidR="000B3F33" w:rsidRDefault="003023B3">
      <w:pPr>
        <w:spacing w:before="240"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Localización: 213609. II.2o.183 K. Tribunales Colegiados de Circuito. Octava Época. Semanario Judicial de la Federación. Tomo XIII, Febrero de 1994, Pág. 420</w:t>
      </w:r>
    </w:p>
    <w:p w:rsidR="000B3F33" w:rsidRDefault="003023B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 (Sic)</w:t>
      </w:r>
    </w:p>
    <w:p w:rsidR="000B3F33" w:rsidRDefault="000B3F33">
      <w:pPr>
        <w:ind w:left="567" w:right="567"/>
        <w:jc w:val="both"/>
        <w:rPr>
          <w:rFonts w:ascii="Palatino Linotype" w:eastAsia="Palatino Linotype" w:hAnsi="Palatino Linotype" w:cs="Palatino Linotype"/>
          <w:i/>
          <w:sz w:val="22"/>
          <w:szCs w:val="22"/>
        </w:rPr>
      </w:pPr>
    </w:p>
    <w:p w:rsidR="000B3F33" w:rsidRDefault="003023B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Cabe destacar que la decisión de este órgano colegiado de sobreseer el recurso de revisión no implica una limitación o negación a la justicia, según lo ha establecido el Poder Judicial Federal, en el criterio que es aplicable por analogía, con rubro:</w:t>
      </w:r>
    </w:p>
    <w:p w:rsidR="000B3F33" w:rsidRDefault="003023B3">
      <w:pPr>
        <w:spacing w:before="240" w:line="360"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rPr>
        <w:t xml:space="preserve"> </w:t>
      </w:r>
      <w:r>
        <w:rPr>
          <w:rFonts w:ascii="Palatino Linotype" w:eastAsia="Palatino Linotype" w:hAnsi="Palatino Linotype" w:cs="Palatino Linotype"/>
          <w:i/>
          <w:sz w:val="22"/>
          <w:szCs w:val="22"/>
        </w:rPr>
        <w:t>“DESECHAMIENTO O SOBRESEIMIENTO EN EL JUICIO DE AMPARO. NO IMPLICA DENEGACIÓN DE JUSTICIA NI GENERA INSEGURIDAD JURÍDICA”</w:t>
      </w:r>
    </w:p>
    <w:p w:rsidR="000B3F33" w:rsidRDefault="003023B3">
      <w:pPr>
        <w:spacing w:line="276" w:lineRule="auto"/>
        <w:ind w:left="567" w:right="567"/>
        <w:jc w:val="both"/>
        <w:rPr>
          <w:rFonts w:ascii="Palatino Linotype" w:eastAsia="Palatino Linotype" w:hAnsi="Palatino Linotype" w:cs="Palatino Linotype"/>
          <w:i/>
          <w:sz w:val="22"/>
          <w:szCs w:val="22"/>
        </w:rPr>
      </w:pPr>
      <w:r>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w:t>
      </w:r>
      <w:proofErr w:type="spellStart"/>
      <w:r>
        <w:rPr>
          <w:rFonts w:ascii="Palatino Linotype" w:eastAsia="Palatino Linotype" w:hAnsi="Palatino Linotype" w:cs="Palatino Linotype"/>
          <w:i/>
          <w:sz w:val="22"/>
          <w:szCs w:val="22"/>
        </w:rPr>
        <w:t>promovente</w:t>
      </w:r>
      <w:proofErr w:type="spellEnd"/>
      <w:r>
        <w:rPr>
          <w:rFonts w:ascii="Palatino Linotype" w:eastAsia="Palatino Linotype" w:hAnsi="Palatino Linotype" w:cs="Palatino Linotype"/>
          <w:i/>
          <w:sz w:val="22"/>
          <w:szCs w:val="22"/>
        </w:rPr>
        <w:t>,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(Sic)</w:t>
      </w:r>
    </w:p>
    <w:p w:rsidR="000B3F33" w:rsidRDefault="000B3F33">
      <w:pPr>
        <w:spacing w:line="360" w:lineRule="auto"/>
        <w:jc w:val="both"/>
        <w:rPr>
          <w:rFonts w:ascii="Palatino Linotype" w:eastAsia="Palatino Linotype" w:hAnsi="Palatino Linotype" w:cs="Palatino Linotype"/>
        </w:rPr>
      </w:pPr>
    </w:p>
    <w:p w:rsidR="000B3F33" w:rsidRDefault="003023B3">
      <w:pPr>
        <w:spacing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con fundamento en lo prescrito en los artículos 5 párrafos trigésimo, trigésimo primero y trigésimo segundo de la Constitución Política del Estado Libre y Soberano de México; 2, fracción II; 29, 36 fracciones I y II; 176, 178, 181, 185 y 186 fracción II de la Ley de Transparencia y Acceso a la Información Pública del Estado de México y Municipios, este Pleno:</w:t>
      </w:r>
    </w:p>
    <w:p w:rsidR="000B3F33" w:rsidRDefault="003023B3">
      <w:pPr>
        <w:pBdr>
          <w:top w:val="nil"/>
          <w:left w:val="nil"/>
          <w:bottom w:val="nil"/>
          <w:right w:val="nil"/>
          <w:between w:val="nil"/>
        </w:pBdr>
        <w:spacing w:before="240" w:after="240" w:line="360" w:lineRule="auto"/>
        <w:jc w:val="center"/>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sz w:val="22"/>
          <w:szCs w:val="22"/>
        </w:rPr>
        <w:t xml:space="preserve">III.    </w:t>
      </w:r>
      <w:r>
        <w:rPr>
          <w:rFonts w:ascii="Palatino Linotype" w:eastAsia="Palatino Linotype" w:hAnsi="Palatino Linotype" w:cs="Palatino Linotype"/>
          <w:b/>
          <w:color w:val="000000"/>
          <w:sz w:val="22"/>
          <w:szCs w:val="22"/>
        </w:rPr>
        <w:t>R E S U E L V E</w:t>
      </w:r>
    </w:p>
    <w:p w:rsidR="000B3F33" w:rsidRDefault="003023B3">
      <w:pPr>
        <w:pBdr>
          <w:top w:val="nil"/>
          <w:left w:val="nil"/>
          <w:bottom w:val="nil"/>
          <w:right w:val="nil"/>
          <w:between w:val="nil"/>
        </w:pBdr>
        <w:spacing w:before="160" w:line="360" w:lineRule="auto"/>
        <w:jc w:val="both"/>
        <w:rPr>
          <w:color w:val="000000"/>
        </w:rPr>
      </w:pPr>
      <w:bookmarkStart w:id="5" w:name="_heading=h.2et92p0" w:colFirst="0" w:colLast="0"/>
      <w:bookmarkEnd w:id="5"/>
      <w:r>
        <w:rPr>
          <w:rFonts w:ascii="Palatino Linotype" w:eastAsia="Palatino Linotype" w:hAnsi="Palatino Linotype" w:cs="Palatino Linotype"/>
          <w:b/>
          <w:color w:val="000000"/>
        </w:rPr>
        <w:t>PRIMERO</w:t>
      </w:r>
      <w:r>
        <w:rPr>
          <w:rFonts w:ascii="Palatino Linotype" w:eastAsia="Palatino Linotype" w:hAnsi="Palatino Linotype" w:cs="Palatino Linotype"/>
          <w:color w:val="000000"/>
        </w:rPr>
        <w:t xml:space="preserve">. Se </w:t>
      </w:r>
      <w:r w:rsidRPr="00D800AA">
        <w:rPr>
          <w:rFonts w:ascii="Palatino Linotype" w:eastAsia="Palatino Linotype" w:hAnsi="Palatino Linotype" w:cs="Palatino Linotype"/>
          <w:b/>
          <w:color w:val="000000"/>
        </w:rPr>
        <w:t>SOBRESEE</w:t>
      </w:r>
      <w:r w:rsidRPr="00D800AA">
        <w:rPr>
          <w:rFonts w:ascii="Palatino Linotype" w:eastAsia="Palatino Linotype" w:hAnsi="Palatino Linotype" w:cs="Palatino Linotype"/>
          <w:color w:val="000000"/>
        </w:rPr>
        <w:t xml:space="preserve"> el recurso de revisión número </w:t>
      </w:r>
      <w:r w:rsidRPr="00D800AA">
        <w:rPr>
          <w:rFonts w:ascii="Palatino Linotype" w:eastAsia="Palatino Linotype" w:hAnsi="Palatino Linotype" w:cs="Palatino Linotype"/>
          <w:b/>
          <w:color w:val="000000"/>
        </w:rPr>
        <w:t>02754/INFOEM/IP/RR/2022,</w:t>
      </w:r>
      <w:r w:rsidRPr="00D800AA">
        <w:rPr>
          <w:rFonts w:ascii="Palatino Linotype" w:eastAsia="Palatino Linotype" w:hAnsi="Palatino Linotype" w:cs="Palatino Linotype"/>
          <w:color w:val="000000"/>
        </w:rPr>
        <w:t xml:space="preserve"> porque</w:t>
      </w:r>
      <w:r w:rsidR="00D800AA" w:rsidRPr="00D800AA">
        <w:rPr>
          <w:rFonts w:ascii="Palatino Linotype" w:eastAsia="Palatino Linotype" w:hAnsi="Palatino Linotype" w:cs="Palatino Linotype"/>
          <w:color w:val="000000"/>
        </w:rPr>
        <w:t xml:space="preserve"> al colmar la pretensión de </w:t>
      </w:r>
      <w:r w:rsidR="00D800AA" w:rsidRPr="00D800AA">
        <w:rPr>
          <w:rFonts w:ascii="Palatino Linotype" w:eastAsia="Palatino Linotype" w:hAnsi="Palatino Linotype" w:cs="Palatino Linotype"/>
          <w:b/>
          <w:color w:val="000000"/>
        </w:rPr>
        <w:t>LA RECURRENTE</w:t>
      </w:r>
      <w:r w:rsidR="00D800AA" w:rsidRPr="00D800AA">
        <w:rPr>
          <w:rFonts w:ascii="Palatino Linotype" w:eastAsia="Palatino Linotype" w:hAnsi="Palatino Linotype" w:cs="Palatino Linotype"/>
          <w:color w:val="000000"/>
        </w:rPr>
        <w:t xml:space="preserve"> mediante informe justificado quedó sin materia el recurso de revisión, de conformidad con lo previsto </w:t>
      </w:r>
      <w:r w:rsidRPr="00D800AA">
        <w:rPr>
          <w:rFonts w:ascii="Palatino Linotype" w:eastAsia="Palatino Linotype" w:hAnsi="Palatino Linotype" w:cs="Palatino Linotype"/>
          <w:color w:val="000000"/>
        </w:rPr>
        <w:t>en el artículo 192 fracción III de la Ley de Transparencia vigente en la entidad, en términos</w:t>
      </w:r>
      <w:r>
        <w:rPr>
          <w:rFonts w:ascii="Palatino Linotype" w:eastAsia="Palatino Linotype" w:hAnsi="Palatino Linotype" w:cs="Palatino Linotype"/>
          <w:color w:val="000000"/>
        </w:rPr>
        <w:t xml:space="preserve"> del </w:t>
      </w:r>
      <w:r w:rsidRPr="00D800AA">
        <w:rPr>
          <w:rFonts w:ascii="Palatino Linotype" w:eastAsia="Palatino Linotype" w:hAnsi="Palatino Linotype" w:cs="Palatino Linotype"/>
          <w:b/>
          <w:color w:val="000000"/>
        </w:rPr>
        <w:t>Considerando Tercero</w:t>
      </w:r>
      <w:r>
        <w:rPr>
          <w:rFonts w:ascii="Palatino Linotype" w:eastAsia="Palatino Linotype" w:hAnsi="Palatino Linotype" w:cs="Palatino Linotype"/>
          <w:color w:val="000000"/>
        </w:rPr>
        <w:t xml:space="preserve"> de la presente resolución.</w:t>
      </w:r>
    </w:p>
    <w:p w:rsidR="000B3F33" w:rsidRDefault="000B3F33">
      <w:pPr>
        <w:spacing w:line="360" w:lineRule="auto"/>
        <w:jc w:val="both"/>
        <w:rPr>
          <w:rFonts w:ascii="Palatino Linotype" w:eastAsia="Palatino Linotype" w:hAnsi="Palatino Linotype" w:cs="Palatino Linotype"/>
          <w:b/>
          <w:sz w:val="20"/>
          <w:szCs w:val="20"/>
        </w:rPr>
      </w:pPr>
    </w:p>
    <w:p w:rsidR="000B3F33" w:rsidRDefault="003023B3">
      <w:pPr>
        <w:spacing w:line="360" w:lineRule="auto"/>
        <w:jc w:val="both"/>
        <w:rPr>
          <w:rFonts w:ascii="Palatino Linotype" w:eastAsia="Palatino Linotype" w:hAnsi="Palatino Linotype" w:cs="Palatino Linotype"/>
        </w:rPr>
      </w:pPr>
      <w:r>
        <w:rPr>
          <w:rFonts w:ascii="Palatino Linotype" w:eastAsia="Palatino Linotype" w:hAnsi="Palatino Linotype" w:cs="Palatino Linotype"/>
          <w:b/>
        </w:rPr>
        <w:t>SEGUNDO. Notifíquese vía SAIMEX</w:t>
      </w:r>
      <w:r>
        <w:rPr>
          <w:rFonts w:ascii="Palatino Linotype" w:eastAsia="Palatino Linotype" w:hAnsi="Palatino Linotype" w:cs="Palatino Linotype"/>
          <w:b/>
          <w:i/>
        </w:rPr>
        <w:t xml:space="preserve">, </w:t>
      </w:r>
      <w:r>
        <w:rPr>
          <w:rFonts w:ascii="Palatino Linotype" w:eastAsia="Palatino Linotype" w:hAnsi="Palatino Linotype" w:cs="Palatino Linotype"/>
        </w:rPr>
        <w:t xml:space="preserve">al Titular de la Unidad de Transparencia del </w:t>
      </w:r>
      <w:r>
        <w:rPr>
          <w:rFonts w:ascii="Palatino Linotype" w:eastAsia="Palatino Linotype" w:hAnsi="Palatino Linotype" w:cs="Palatino Linotype"/>
          <w:b/>
        </w:rPr>
        <w:t>SUJETO OBLIGADO</w:t>
      </w:r>
      <w:r>
        <w:rPr>
          <w:rFonts w:ascii="Palatino Linotype" w:eastAsia="Palatino Linotype" w:hAnsi="Palatino Linotype" w:cs="Palatino Linotype"/>
        </w:rPr>
        <w:t xml:space="preserve"> la presente resolución, para su conocimiento. </w:t>
      </w:r>
    </w:p>
    <w:p w:rsidR="000B3F33" w:rsidRDefault="000B3F33">
      <w:pPr>
        <w:spacing w:line="360" w:lineRule="auto"/>
        <w:jc w:val="both"/>
        <w:rPr>
          <w:rFonts w:ascii="Palatino Linotype" w:eastAsia="Palatino Linotype" w:hAnsi="Palatino Linotype" w:cs="Palatino Linotype"/>
        </w:rPr>
      </w:pPr>
    </w:p>
    <w:p w:rsidR="000B3F33" w:rsidRDefault="003023B3">
      <w:pPr>
        <w:spacing w:line="360" w:lineRule="auto"/>
        <w:jc w:val="both"/>
        <w:rPr>
          <w:rFonts w:ascii="Palatino Linotype" w:eastAsia="Palatino Linotype" w:hAnsi="Palatino Linotype" w:cs="Palatino Linotype"/>
          <w:b/>
        </w:rPr>
      </w:pPr>
      <w:r>
        <w:rPr>
          <w:rFonts w:ascii="Palatino Linotype" w:eastAsia="Palatino Linotype" w:hAnsi="Palatino Linotype" w:cs="Palatino Linotype"/>
          <w:b/>
        </w:rPr>
        <w:t>TERCERO. Notifíquese a través del SAIMEX,</w:t>
      </w:r>
      <w:r>
        <w:rPr>
          <w:rFonts w:ascii="Palatino Linotype" w:eastAsia="Palatino Linotype" w:hAnsi="Palatino Linotype" w:cs="Palatino Linotype"/>
        </w:rPr>
        <w:t xml:space="preserve"> a </w:t>
      </w:r>
      <w:r>
        <w:rPr>
          <w:rFonts w:ascii="Palatino Linotype" w:eastAsia="Palatino Linotype" w:hAnsi="Palatino Linotype" w:cs="Palatino Linotype"/>
          <w:b/>
        </w:rPr>
        <w:t>LA</w:t>
      </w:r>
      <w:r>
        <w:rPr>
          <w:rFonts w:ascii="Palatino Linotype" w:eastAsia="Palatino Linotype" w:hAnsi="Palatino Linotype" w:cs="Palatino Linotype"/>
        </w:rPr>
        <w:t xml:space="preserve"> </w:t>
      </w:r>
      <w:r>
        <w:rPr>
          <w:rFonts w:ascii="Palatino Linotype" w:eastAsia="Palatino Linotype" w:hAnsi="Palatino Linotype" w:cs="Palatino Linotype"/>
          <w:b/>
        </w:rPr>
        <w:t>RECURRENTE</w:t>
      </w:r>
      <w:r>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rsidR="000B3F33" w:rsidRDefault="000B3F33">
      <w:pPr>
        <w:spacing w:line="360" w:lineRule="auto"/>
        <w:jc w:val="both"/>
        <w:rPr>
          <w:rFonts w:ascii="Palatino Linotype" w:eastAsia="Palatino Linotype" w:hAnsi="Palatino Linotype" w:cs="Palatino Linotype"/>
        </w:rPr>
      </w:pPr>
    </w:p>
    <w:p w:rsidR="000B3F33" w:rsidRDefault="003023B3">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PRIMERA SESIÓN ORDINARIA CELEBRADA EL OCHO DE JUNIO DEL DOS MIL VEINTIDÓS, ANTE EL SECRETARIO TÉCNICO DEL PLENO ALEXIS TAPIA RAMÍREZ.</w:t>
      </w:r>
    </w:p>
    <w:p w:rsidR="000B3F33" w:rsidRDefault="000B3F33">
      <w:pPr>
        <w:spacing w:line="360" w:lineRule="auto"/>
        <w:jc w:val="both"/>
        <w:rPr>
          <w:rFonts w:ascii="Palatino Linotype" w:eastAsia="Palatino Linotype" w:hAnsi="Palatino Linotype" w:cs="Palatino Linotype"/>
        </w:rPr>
      </w:pPr>
    </w:p>
    <w:p w:rsidR="000B3F33" w:rsidRDefault="000B3F33">
      <w:pPr>
        <w:jc w:val="both"/>
        <w:rPr>
          <w:rFonts w:ascii="Palatino Linotype" w:eastAsia="Palatino Linotype" w:hAnsi="Palatino Linotype" w:cs="Palatino Linotype"/>
          <w:sz w:val="20"/>
          <w:szCs w:val="20"/>
        </w:rPr>
      </w:pPr>
    </w:p>
    <w:p w:rsidR="000B3F33" w:rsidRDefault="000B3F33">
      <w:pPr>
        <w:jc w:val="both"/>
        <w:rPr>
          <w:rFonts w:ascii="Palatino Linotype" w:eastAsia="Palatino Linotype" w:hAnsi="Palatino Linotype" w:cs="Palatino Linotype"/>
          <w:sz w:val="20"/>
          <w:szCs w:val="20"/>
        </w:rPr>
      </w:pPr>
    </w:p>
    <w:p w:rsidR="000B3F33" w:rsidRDefault="000B3F33">
      <w:pPr>
        <w:jc w:val="both"/>
        <w:rPr>
          <w:rFonts w:ascii="Palatino Linotype" w:eastAsia="Palatino Linotype" w:hAnsi="Palatino Linotype" w:cs="Palatino Linotype"/>
          <w:sz w:val="20"/>
          <w:szCs w:val="20"/>
        </w:rPr>
      </w:pPr>
    </w:p>
    <w:p w:rsidR="000B3F33" w:rsidRDefault="000B3F33">
      <w:pPr>
        <w:jc w:val="both"/>
        <w:rPr>
          <w:rFonts w:ascii="Palatino Linotype" w:eastAsia="Palatino Linotype" w:hAnsi="Palatino Linotype" w:cs="Palatino Linotype"/>
          <w:sz w:val="20"/>
          <w:szCs w:val="20"/>
        </w:rPr>
      </w:pPr>
    </w:p>
    <w:p w:rsidR="000B3F33" w:rsidRDefault="000B3F33">
      <w:pPr>
        <w:jc w:val="both"/>
        <w:rPr>
          <w:rFonts w:ascii="Palatino Linotype" w:eastAsia="Palatino Linotype" w:hAnsi="Palatino Linotype" w:cs="Palatino Linotype"/>
          <w:sz w:val="20"/>
          <w:szCs w:val="20"/>
        </w:rPr>
      </w:pPr>
    </w:p>
    <w:p w:rsidR="000B3F33" w:rsidRDefault="000B3F33">
      <w:pPr>
        <w:spacing w:before="240" w:after="240"/>
        <w:jc w:val="both"/>
        <w:rPr>
          <w:rFonts w:ascii="Palatino Linotype" w:eastAsia="Palatino Linotype" w:hAnsi="Palatino Linotype" w:cs="Palatino Linotype"/>
          <w:sz w:val="20"/>
          <w:szCs w:val="20"/>
        </w:rPr>
      </w:pPr>
    </w:p>
    <w:p w:rsidR="000B3F33" w:rsidRDefault="000B3F33">
      <w:pPr>
        <w:spacing w:before="240" w:after="240"/>
        <w:jc w:val="both"/>
        <w:rPr>
          <w:rFonts w:ascii="Palatino Linotype" w:eastAsia="Palatino Linotype" w:hAnsi="Palatino Linotype" w:cs="Palatino Linotype"/>
          <w:sz w:val="20"/>
          <w:szCs w:val="20"/>
        </w:rPr>
      </w:pPr>
    </w:p>
    <w:p w:rsidR="000B3F33" w:rsidRDefault="000B3F33">
      <w:pPr>
        <w:spacing w:before="240" w:after="240"/>
        <w:jc w:val="both"/>
        <w:rPr>
          <w:rFonts w:ascii="Palatino Linotype" w:eastAsia="Palatino Linotype" w:hAnsi="Palatino Linotype" w:cs="Palatino Linotype"/>
          <w:sz w:val="20"/>
          <w:szCs w:val="20"/>
        </w:rPr>
      </w:pPr>
    </w:p>
    <w:p w:rsidR="000B3F33" w:rsidRDefault="000B3F33">
      <w:pPr>
        <w:spacing w:before="240" w:after="240"/>
        <w:jc w:val="both"/>
        <w:rPr>
          <w:rFonts w:ascii="Palatino Linotype" w:eastAsia="Palatino Linotype" w:hAnsi="Palatino Linotype" w:cs="Palatino Linotype"/>
          <w:sz w:val="20"/>
          <w:szCs w:val="20"/>
        </w:rPr>
      </w:pPr>
    </w:p>
    <w:p w:rsidR="000B3F33" w:rsidRDefault="000B3F33">
      <w:pPr>
        <w:spacing w:before="240" w:after="240"/>
        <w:jc w:val="both"/>
        <w:rPr>
          <w:rFonts w:ascii="Palatino Linotype" w:eastAsia="Palatino Linotype" w:hAnsi="Palatino Linotype" w:cs="Palatino Linotype"/>
          <w:sz w:val="20"/>
          <w:szCs w:val="20"/>
        </w:rPr>
      </w:pPr>
    </w:p>
    <w:p w:rsidR="000B3F33" w:rsidRDefault="000B3F33">
      <w:pPr>
        <w:spacing w:before="240" w:after="240"/>
        <w:jc w:val="both"/>
        <w:rPr>
          <w:rFonts w:ascii="Palatino Linotype" w:eastAsia="Palatino Linotype" w:hAnsi="Palatino Linotype" w:cs="Palatino Linotype"/>
          <w:sz w:val="20"/>
          <w:szCs w:val="20"/>
        </w:rPr>
      </w:pPr>
    </w:p>
    <w:p w:rsidR="000B3F33" w:rsidRDefault="000B3F33">
      <w:pPr>
        <w:spacing w:before="240" w:after="240"/>
        <w:jc w:val="both"/>
        <w:rPr>
          <w:rFonts w:ascii="Palatino Linotype" w:eastAsia="Palatino Linotype" w:hAnsi="Palatino Linotype" w:cs="Palatino Linotype"/>
          <w:sz w:val="20"/>
          <w:szCs w:val="20"/>
        </w:rPr>
      </w:pPr>
    </w:p>
    <w:p w:rsidR="000B3F33" w:rsidRDefault="000B3F33">
      <w:pPr>
        <w:spacing w:before="240" w:after="240"/>
        <w:jc w:val="both"/>
        <w:rPr>
          <w:rFonts w:ascii="Palatino Linotype" w:eastAsia="Palatino Linotype" w:hAnsi="Palatino Linotype" w:cs="Palatino Linotype"/>
          <w:sz w:val="20"/>
          <w:szCs w:val="20"/>
        </w:rPr>
      </w:pPr>
    </w:p>
    <w:p w:rsidR="000B3F33" w:rsidRDefault="000B3F33">
      <w:pPr>
        <w:spacing w:before="240" w:after="240"/>
        <w:jc w:val="both"/>
        <w:rPr>
          <w:rFonts w:ascii="Palatino Linotype" w:eastAsia="Palatino Linotype" w:hAnsi="Palatino Linotype" w:cs="Palatino Linotype"/>
          <w:sz w:val="20"/>
          <w:szCs w:val="20"/>
        </w:rPr>
      </w:pPr>
    </w:p>
    <w:sectPr w:rsidR="000B3F33">
      <w:headerReference w:type="default" r:id="rId11"/>
      <w:footerReference w:type="default" r:id="rId12"/>
      <w:headerReference w:type="first" r:id="rId13"/>
      <w:footerReference w:type="first" r:id="rId14"/>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D2F" w:rsidRDefault="00507D2F">
      <w:r>
        <w:separator/>
      </w:r>
    </w:p>
  </w:endnote>
  <w:endnote w:type="continuationSeparator" w:id="0">
    <w:p w:rsidR="00507D2F" w:rsidRDefault="00507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F33" w:rsidRDefault="003023B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C49E5">
      <w:rPr>
        <w:rFonts w:ascii="Palatino Linotype" w:eastAsia="Palatino Linotype" w:hAnsi="Palatino Linotype" w:cs="Palatino Linotype"/>
        <w:b/>
        <w:noProof/>
        <w:color w:val="000000"/>
        <w:sz w:val="20"/>
        <w:szCs w:val="20"/>
      </w:rPr>
      <w:t>21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C49E5">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p>
  <w:p w:rsidR="000B3F33" w:rsidRDefault="000B3F33">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F33" w:rsidRDefault="003023B3">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C49E5">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C49E5">
      <w:rPr>
        <w:rFonts w:ascii="Palatino Linotype" w:eastAsia="Palatino Linotype" w:hAnsi="Palatino Linotype" w:cs="Palatino Linotype"/>
        <w:b/>
        <w:noProof/>
        <w:color w:val="000000"/>
        <w:sz w:val="20"/>
        <w:szCs w:val="20"/>
      </w:rPr>
      <w:t>25</w:t>
    </w:r>
    <w:r>
      <w:rPr>
        <w:rFonts w:ascii="Palatino Linotype" w:eastAsia="Palatino Linotype" w:hAnsi="Palatino Linotype" w:cs="Palatino Linotype"/>
        <w:b/>
        <w:color w:val="000000"/>
        <w:sz w:val="20"/>
        <w:szCs w:val="20"/>
      </w:rPr>
      <w:fldChar w:fldCharType="end"/>
    </w:r>
  </w:p>
  <w:p w:rsidR="000B3F33" w:rsidRDefault="000B3F33">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D2F" w:rsidRDefault="00507D2F">
      <w:r>
        <w:separator/>
      </w:r>
    </w:p>
  </w:footnote>
  <w:footnote w:type="continuationSeparator" w:id="0">
    <w:p w:rsidR="00507D2F" w:rsidRDefault="00507D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F33" w:rsidRDefault="003023B3">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eastAsia="es-MX"/>
      </w:rPr>
      <w:drawing>
        <wp:anchor distT="0" distB="0" distL="0" distR="0" simplePos="0" relativeHeight="251658240" behindDoc="1" locked="0" layoutInCell="1" hidden="0" allowOverlap="1">
          <wp:simplePos x="0" y="0"/>
          <wp:positionH relativeFrom="column">
            <wp:posOffset>-1080133</wp:posOffset>
          </wp:positionH>
          <wp:positionV relativeFrom="paragraph">
            <wp:posOffset>-396400</wp:posOffset>
          </wp:positionV>
          <wp:extent cx="7809865" cy="10165715"/>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3"/>
      <w:tblW w:w="5953" w:type="dxa"/>
      <w:tblInd w:w="3261" w:type="dxa"/>
      <w:tblLayout w:type="fixed"/>
      <w:tblLook w:val="0400" w:firstRow="0" w:lastRow="0" w:firstColumn="0" w:lastColumn="0" w:noHBand="0" w:noVBand="1"/>
    </w:tblPr>
    <w:tblGrid>
      <w:gridCol w:w="2489"/>
      <w:gridCol w:w="3464"/>
    </w:tblGrid>
    <w:tr w:rsidR="000B3F33">
      <w:tc>
        <w:tcPr>
          <w:tcW w:w="2489" w:type="dxa"/>
          <w:shd w:val="clear" w:color="auto" w:fill="auto"/>
        </w:tcPr>
        <w:p w:rsidR="000B3F33" w:rsidRDefault="003023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rsidR="000B3F33" w:rsidRDefault="003023B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02754/INFOEM/IP/RR/2022</w:t>
          </w:r>
        </w:p>
      </w:tc>
    </w:tr>
    <w:tr w:rsidR="000B3F33">
      <w:trPr>
        <w:trHeight w:val="228"/>
      </w:trPr>
      <w:tc>
        <w:tcPr>
          <w:tcW w:w="2489" w:type="dxa"/>
          <w:shd w:val="clear" w:color="auto" w:fill="auto"/>
          <w:vAlign w:val="center"/>
        </w:tcPr>
        <w:p w:rsidR="000B3F33" w:rsidRDefault="003023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rsidR="000B3F33" w:rsidRDefault="003023B3">
          <w:pPr>
            <w:ind w:left="-45" w:right="176"/>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Naucalpan de Juárez</w:t>
          </w:r>
        </w:p>
      </w:tc>
    </w:tr>
    <w:tr w:rsidR="000B3F33">
      <w:tc>
        <w:tcPr>
          <w:tcW w:w="2489" w:type="dxa"/>
          <w:shd w:val="clear" w:color="auto" w:fill="auto"/>
          <w:vAlign w:val="center"/>
        </w:tcPr>
        <w:p w:rsidR="000B3F33" w:rsidRDefault="003023B3">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rsidR="000B3F33" w:rsidRDefault="003023B3">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0B3F33" w:rsidRDefault="003023B3">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3F33" w:rsidRDefault="000B3F33">
    <w:pPr>
      <w:widowControl w:val="0"/>
      <w:pBdr>
        <w:top w:val="nil"/>
        <w:left w:val="nil"/>
        <w:bottom w:val="nil"/>
        <w:right w:val="nil"/>
        <w:between w:val="nil"/>
      </w:pBdr>
      <w:spacing w:line="276" w:lineRule="auto"/>
      <w:rPr>
        <w:rFonts w:ascii="Palatino Linotype" w:eastAsia="Palatino Linotype" w:hAnsi="Palatino Linotype" w:cs="Palatino Linotype"/>
        <w:sz w:val="20"/>
        <w:szCs w:val="20"/>
      </w:rPr>
    </w:pPr>
  </w:p>
  <w:tbl>
    <w:tblPr>
      <w:tblStyle w:val="a2"/>
      <w:tblW w:w="5953" w:type="dxa"/>
      <w:tblInd w:w="3261" w:type="dxa"/>
      <w:tblLayout w:type="fixed"/>
      <w:tblLook w:val="0400" w:firstRow="0" w:lastRow="0" w:firstColumn="0" w:lastColumn="0" w:noHBand="0" w:noVBand="1"/>
    </w:tblPr>
    <w:tblGrid>
      <w:gridCol w:w="2551"/>
      <w:gridCol w:w="3402"/>
    </w:tblGrid>
    <w:tr w:rsidR="000B3F33">
      <w:tc>
        <w:tcPr>
          <w:tcW w:w="2551" w:type="dxa"/>
          <w:shd w:val="clear" w:color="auto" w:fill="auto"/>
          <w:vAlign w:val="center"/>
        </w:tcPr>
        <w:p w:rsidR="000B3F33" w:rsidRDefault="003023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02" w:type="dxa"/>
          <w:shd w:val="clear" w:color="auto" w:fill="auto"/>
          <w:vAlign w:val="center"/>
        </w:tcPr>
        <w:p w:rsidR="000B3F33" w:rsidRDefault="003023B3">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02754/INFOEM/IP/RR/2022</w:t>
          </w:r>
        </w:p>
      </w:tc>
    </w:tr>
    <w:tr w:rsidR="000B3F33">
      <w:trPr>
        <w:trHeight w:val="130"/>
      </w:trPr>
      <w:tc>
        <w:tcPr>
          <w:tcW w:w="2551" w:type="dxa"/>
          <w:shd w:val="clear" w:color="auto" w:fill="auto"/>
          <w:vAlign w:val="center"/>
        </w:tcPr>
        <w:p w:rsidR="000B3F33" w:rsidRDefault="003023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402" w:type="dxa"/>
          <w:shd w:val="clear" w:color="auto" w:fill="auto"/>
          <w:vAlign w:val="center"/>
        </w:tcPr>
        <w:p w:rsidR="000B3F33" w:rsidRDefault="00144E6A" w:rsidP="00BC49E5">
          <w:pPr>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 XXXXX XXXX </w:t>
          </w:r>
        </w:p>
      </w:tc>
    </w:tr>
    <w:tr w:rsidR="000B3F33">
      <w:trPr>
        <w:trHeight w:val="228"/>
      </w:trPr>
      <w:tc>
        <w:tcPr>
          <w:tcW w:w="2551" w:type="dxa"/>
          <w:shd w:val="clear" w:color="auto" w:fill="auto"/>
          <w:vAlign w:val="center"/>
        </w:tcPr>
        <w:p w:rsidR="000B3F33" w:rsidRDefault="003023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02" w:type="dxa"/>
          <w:shd w:val="clear" w:color="auto" w:fill="auto"/>
          <w:vAlign w:val="center"/>
        </w:tcPr>
        <w:p w:rsidR="000B3F33" w:rsidRDefault="003023B3">
          <w:pPr>
            <w:ind w:left="-45" w:right="34"/>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Naucalpan de Juárez</w:t>
          </w:r>
          <w:r>
            <w:rPr>
              <w:noProof/>
              <w:lang w:val="es-MX" w:eastAsia="es-MX"/>
            </w:rPr>
            <w:drawing>
              <wp:anchor distT="0" distB="0" distL="0" distR="0" simplePos="0" relativeHeight="251659264" behindDoc="1" locked="0" layoutInCell="1" hidden="0" allowOverlap="1">
                <wp:simplePos x="0" y="0"/>
                <wp:positionH relativeFrom="column">
                  <wp:posOffset>-5128893</wp:posOffset>
                </wp:positionH>
                <wp:positionV relativeFrom="paragraph">
                  <wp:posOffset>-1631948</wp:posOffset>
                </wp:positionV>
                <wp:extent cx="7809865" cy="10165715"/>
                <wp:effectExtent l="0" t="0" r="0" b="0"/>
                <wp:wrapNone/>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c>
    </w:tr>
    <w:tr w:rsidR="000B3F33">
      <w:tc>
        <w:tcPr>
          <w:tcW w:w="2551" w:type="dxa"/>
          <w:shd w:val="clear" w:color="auto" w:fill="auto"/>
          <w:vAlign w:val="center"/>
        </w:tcPr>
        <w:p w:rsidR="000B3F33" w:rsidRDefault="003023B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02" w:type="dxa"/>
          <w:shd w:val="clear" w:color="auto" w:fill="auto"/>
          <w:vAlign w:val="center"/>
        </w:tcPr>
        <w:p w:rsidR="000B3F33" w:rsidRDefault="003023B3">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rsidR="000B3F33" w:rsidRDefault="000B3F33">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850297"/>
    <w:multiLevelType w:val="multilevel"/>
    <w:tmpl w:val="161C9BAE"/>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BEC695A"/>
    <w:multiLevelType w:val="multilevel"/>
    <w:tmpl w:val="E8546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F33"/>
    <w:rsid w:val="000B3F33"/>
    <w:rsid w:val="00144E6A"/>
    <w:rsid w:val="002F3845"/>
    <w:rsid w:val="003023B3"/>
    <w:rsid w:val="00507D2F"/>
    <w:rsid w:val="00663381"/>
    <w:rsid w:val="00B12BF9"/>
    <w:rsid w:val="00BA7857"/>
    <w:rsid w:val="00BC49E5"/>
    <w:rsid w:val="00C0695F"/>
    <w:rsid w:val="00D800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106DD4-2830-4BF9-B0E7-2D405FB23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_tradnl"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C30"/>
    <w:rPr>
      <w:lang w:eastAsia="zh-CN"/>
    </w:rPr>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lang w:val="es-ES" w:eastAsia="es-ES"/>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lang w:val="es-ES" w:eastAsia="es-ES"/>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hAnsiTheme="minorHAnsi" w:cstheme="minorBidi"/>
      <w:lang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hAnsiTheme="minorHAnsi" w:cstheme="minorBidi"/>
      <w:lang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rPr>
      <w:lang w:val="es-ES" w:eastAsia="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rPr>
      <w:lang w:val="es-ES" w:eastAsia="es-ES"/>
    </w:r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eastAsia="es-ES"/>
    </w:rPr>
  </w:style>
  <w:style w:type="paragraph" w:styleId="NormalWeb">
    <w:name w:val="Normal (Web)"/>
    <w:basedOn w:val="Normal"/>
    <w:uiPriority w:val="99"/>
    <w:rsid w:val="000470FE"/>
    <w:pPr>
      <w:spacing w:before="100" w:beforeAutospacing="1" w:after="100" w:afterAutospacing="1"/>
    </w:pPr>
    <w:rPr>
      <w:lang w:val="es-ES" w:eastAsia="es-ES"/>
    </w:r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eastAsia="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eastAsia="es-MX"/>
    </w:rPr>
  </w:style>
  <w:style w:type="paragraph" w:customStyle="1" w:styleId="ANOTACION">
    <w:name w:val="ANOTACION"/>
    <w:basedOn w:val="Normal"/>
    <w:link w:val="ANOTACIONCar"/>
    <w:rsid w:val="001B5A73"/>
    <w:pPr>
      <w:spacing w:before="101" w:after="101" w:line="216" w:lineRule="atLeast"/>
      <w:jc w:val="center"/>
    </w:pPr>
    <w:rPr>
      <w:b/>
      <w:sz w:val="18"/>
      <w:szCs w:val="20"/>
      <w:lang w:eastAsia="es-ES"/>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eastAsia="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eastAsia="es-MX"/>
    </w:rPr>
  </w:style>
  <w:style w:type="paragraph" w:customStyle="1" w:styleId="m">
    <w:name w:val="m"/>
    <w:basedOn w:val="Normal"/>
    <w:rsid w:val="007B00BD"/>
    <w:pPr>
      <w:spacing w:before="100" w:beforeAutospacing="1" w:after="100" w:afterAutospacing="1"/>
    </w:pPr>
    <w:rPr>
      <w:lang w:val="es-MX" w:eastAsia="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rPr>
      <w:lang w:val="es-ES" w:eastAsia="es-ES"/>
    </w:rPr>
  </w:style>
  <w:style w:type="paragraph" w:styleId="Lista2">
    <w:name w:val="List 2"/>
    <w:basedOn w:val="Normal"/>
    <w:uiPriority w:val="99"/>
    <w:unhideWhenUsed/>
    <w:rsid w:val="00603D72"/>
    <w:pPr>
      <w:ind w:left="566" w:hanging="283"/>
      <w:contextualSpacing/>
    </w:pPr>
    <w:rPr>
      <w:lang w:val="es-ES" w:eastAsia="es-ES"/>
    </w:rPr>
  </w:style>
  <w:style w:type="paragraph" w:styleId="Lista3">
    <w:name w:val="List 3"/>
    <w:basedOn w:val="Normal"/>
    <w:uiPriority w:val="99"/>
    <w:unhideWhenUsed/>
    <w:rsid w:val="00603D72"/>
    <w:pPr>
      <w:ind w:left="849" w:hanging="283"/>
      <w:contextualSpacing/>
    </w:pPr>
    <w:rPr>
      <w:lang w:val="es-ES" w:eastAsia="es-ES"/>
    </w:rPr>
  </w:style>
  <w:style w:type="paragraph" w:styleId="Listaconvietas3">
    <w:name w:val="List Bullet 3"/>
    <w:basedOn w:val="Normal"/>
    <w:uiPriority w:val="99"/>
    <w:unhideWhenUsed/>
    <w:rsid w:val="00603D72"/>
    <w:pPr>
      <w:numPr>
        <w:numId w:val="2"/>
      </w:numPr>
      <w:contextualSpacing/>
    </w:pPr>
    <w:rPr>
      <w:lang w:val="es-ES" w:eastAsia="es-ES"/>
    </w:rPr>
  </w:style>
  <w:style w:type="paragraph" w:styleId="Continuarlista">
    <w:name w:val="List Continue"/>
    <w:basedOn w:val="Normal"/>
    <w:uiPriority w:val="99"/>
    <w:unhideWhenUsed/>
    <w:rsid w:val="00603D72"/>
    <w:pPr>
      <w:spacing w:after="120"/>
      <w:ind w:left="283"/>
      <w:contextualSpacing/>
    </w:pPr>
    <w:rPr>
      <w:lang w:val="es-ES" w:eastAsia="es-ES"/>
    </w:rPr>
  </w:style>
  <w:style w:type="paragraph" w:styleId="Continuarlista2">
    <w:name w:val="List Continue 2"/>
    <w:basedOn w:val="Normal"/>
    <w:uiPriority w:val="99"/>
    <w:unhideWhenUsed/>
    <w:rsid w:val="00603D72"/>
    <w:pPr>
      <w:spacing w:after="120"/>
      <w:ind w:left="566"/>
      <w:contextualSpacing/>
    </w:pPr>
    <w:rPr>
      <w:lang w:val="es-ES" w:eastAsia="es-ES"/>
    </w:rPr>
  </w:style>
  <w:style w:type="paragraph" w:styleId="Textoindependiente">
    <w:name w:val="Body Text"/>
    <w:basedOn w:val="Normal"/>
    <w:link w:val="TextoindependienteCar"/>
    <w:uiPriority w:val="99"/>
    <w:unhideWhenUsed/>
    <w:rsid w:val="00603D72"/>
    <w:pPr>
      <w:spacing w:after="120"/>
    </w:pPr>
    <w:rPr>
      <w:lang w:val="es-ES" w:eastAsia="es-ES"/>
    </w:r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rPr>
      <w:lang w:val="es-ES" w:eastAsia="es-ES"/>
    </w:r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eastAsia="es-MX"/>
    </w:rPr>
  </w:style>
  <w:style w:type="paragraph" w:customStyle="1" w:styleId="n2">
    <w:name w:val="n2"/>
    <w:basedOn w:val="Normal"/>
    <w:rsid w:val="009D307C"/>
    <w:pPr>
      <w:spacing w:before="100" w:beforeAutospacing="1" w:after="100" w:afterAutospacing="1"/>
    </w:pPr>
    <w:rPr>
      <w:lang w:val="es-MX" w:eastAsia="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eastAsia="es-MX"/>
    </w:rPr>
  </w:style>
  <w:style w:type="paragraph" w:customStyle="1" w:styleId="j2">
    <w:name w:val="j2"/>
    <w:basedOn w:val="Normal"/>
    <w:rsid w:val="009D307C"/>
    <w:pPr>
      <w:spacing w:before="100" w:beforeAutospacing="1" w:after="100" w:afterAutospacing="1"/>
    </w:pPr>
    <w:rPr>
      <w:lang w:val="es-MX" w:eastAsia="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rPr>
      <w:lang w:val="es-ES"/>
    </w:rPr>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character" w:customStyle="1" w:styleId="Mencinsinresolver3">
    <w:name w:val="Mención sin resolver3"/>
    <w:basedOn w:val="Fuentedeprrafopredeter"/>
    <w:uiPriority w:val="99"/>
    <w:rsid w:val="00CF391A"/>
    <w:rPr>
      <w:color w:val="605E5C"/>
      <w:shd w:val="clear" w:color="auto" w:fill="E1DFDD"/>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psR/UHvRkP9AIRVuy+yYBnKjGpQ==">AMUW2mUPMkf24YTVY1AaiM3OguCsjQag2FdngziSkYDZAN7/NDZGjrniJoEGfqa3oIdCT5aXz/cbm/bDDRBmi8le9q5kFA4i9z3qGqr/2LqCypt59tAjr7EbpOW7Mov2pZf9enggWvoVo3zEN9bKQiHF1SVxdotK567rXM5U/VokgdDBF03VIxcJ9otFnLDaRxg7sHB+ePE1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25</Pages>
  <Words>4801</Words>
  <Characters>26410</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31149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Cuenta Microsoft</cp:lastModifiedBy>
  <cp:revision>5</cp:revision>
  <dcterms:created xsi:type="dcterms:W3CDTF">2022-06-02T03:54:00Z</dcterms:created>
  <dcterms:modified xsi:type="dcterms:W3CDTF">2022-07-07T17:34:00Z</dcterms:modified>
</cp:coreProperties>
</file>