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D8DD3" w14:textId="26C38955" w:rsidR="00AB4832" w:rsidRDefault="007D2D2A">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3B2C32">
        <w:rPr>
          <w:rFonts w:ascii="Palatino Linotype" w:eastAsia="Palatino Linotype" w:hAnsi="Palatino Linotype" w:cs="Palatino Linotype"/>
        </w:rPr>
        <w:t xml:space="preserve"> de México, de fecha veintisiete</w:t>
      </w:r>
      <w:r>
        <w:rPr>
          <w:rFonts w:ascii="Palatino Linotype" w:eastAsia="Palatino Linotype" w:hAnsi="Palatino Linotype" w:cs="Palatino Linotype"/>
        </w:rPr>
        <w:t xml:space="preserve"> de enero de dos mil veintiuno.</w:t>
      </w:r>
    </w:p>
    <w:p w14:paraId="3406B29E" w14:textId="29F9984B" w:rsidR="00AB4832" w:rsidRDefault="007D2D2A">
      <w:pPr>
        <w:spacing w:before="280" w:after="28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05407/INFOEM/IP/RR/2021</w:t>
      </w:r>
      <w:r>
        <w:rPr>
          <w:rFonts w:ascii="Palatino Linotype" w:eastAsia="Palatino Linotype" w:hAnsi="Palatino Linotype" w:cs="Palatino Linotype"/>
        </w:rPr>
        <w:t xml:space="preserve">, promovido por el C. </w:t>
      </w:r>
      <w:r w:rsidR="00947159">
        <w:rPr>
          <w:rFonts w:ascii="Palatino Linotype" w:eastAsia="Palatino Linotype" w:hAnsi="Palatino Linotype" w:cs="Palatino Linotype"/>
          <w:b/>
          <w:sz w:val="22"/>
          <w:szCs w:val="22"/>
        </w:rPr>
        <w:t>xxxxxxxxxxxxxxxxxxxxxxxxxxxxxx</w:t>
      </w:r>
      <w:bookmarkStart w:id="0" w:name="_GoBack"/>
      <w:bookmarkEnd w:id="0"/>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emitida por </w:t>
      </w:r>
      <w:r>
        <w:rPr>
          <w:rFonts w:ascii="Palatino Linotype" w:eastAsia="Palatino Linotype" w:hAnsi="Palatino Linotype" w:cs="Palatino Linotype"/>
          <w:b/>
        </w:rPr>
        <w:t xml:space="preserve">Servicios Educativos Integrados al Estado de México, </w:t>
      </w:r>
      <w:r>
        <w:rPr>
          <w:rFonts w:ascii="Palatino Linotype" w:eastAsia="Palatino Linotype" w:hAnsi="Palatino Linotype" w:cs="Palatino Linotype"/>
        </w:rPr>
        <w:t xml:space="preserve">que en lo subsecuente se denominará como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14:paraId="7FFF1E80" w14:textId="77777777" w:rsidR="00AB4832" w:rsidRDefault="007D2D2A">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14:paraId="79422329" w14:textId="77777777" w:rsidR="00AB4832" w:rsidRDefault="007D2D2A">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rPr>
        <w:t xml:space="preserve">veintiocho de octubre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w:t>
      </w:r>
      <w:r>
        <w:rPr>
          <w:rFonts w:ascii="Palatino Linotype" w:eastAsia="Palatino Linotype" w:hAnsi="Palatino Linotype" w:cs="Palatino Linotype"/>
          <w:b/>
        </w:rPr>
        <w:t>00483/SEIEM/IP/2021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mediante la cual requirió, lo siguiente:</w:t>
      </w:r>
    </w:p>
    <w:p w14:paraId="794BD619" w14:textId="77777777" w:rsidR="00AB4832" w:rsidRDefault="007D2D2A">
      <w:pPr>
        <w:ind w:left="851" w:right="899"/>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“Se solicita información de las claves que ostentaban y que se encuentran en articulo 43 los integrantes de comité seccional del SNTE en la Sección 36 del valle de México Rigoberto Vargas Cervantes y Mónica Miriam Granillo Velazco, así como la fecha y la forma (examen o directas) en que les fueron asignadas dichas claves.” (Sic)</w:t>
      </w:r>
    </w:p>
    <w:p w14:paraId="6D61872C" w14:textId="77777777" w:rsidR="00AB4832" w:rsidRDefault="00AB4832">
      <w:pPr>
        <w:ind w:left="851" w:right="899"/>
        <w:rPr>
          <w:rFonts w:ascii="Palatino Linotype" w:eastAsia="Palatino Linotype" w:hAnsi="Palatino Linotype" w:cs="Palatino Linotype"/>
          <w:i/>
          <w:sz w:val="22"/>
          <w:szCs w:val="22"/>
        </w:rPr>
      </w:pPr>
    </w:p>
    <w:p w14:paraId="518B9A32" w14:textId="77777777" w:rsidR="00AB4832" w:rsidRDefault="007D2D2A">
      <w:pPr>
        <w:spacing w:before="280" w:after="280"/>
        <w:ind w:right="709"/>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73A749B3" w14:textId="77777777" w:rsidR="00AB4832" w:rsidRDefault="007D2D2A">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II.</w:t>
      </w:r>
      <w:r>
        <w:rPr>
          <w:rFonts w:ascii="Palatino Linotype" w:eastAsia="Palatino Linotype" w:hAnsi="Palatino Linotype" w:cs="Palatino Linotype"/>
          <w:color w:val="000000"/>
        </w:rPr>
        <w:t xml:space="preserve"> Posteriormente en fecha tres de noviembre de dos mil veintiuno,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manifestó su incompetencia en apego a lo dispuesto en el artículo 167 de la Ley de Transparencia y Acceso a la Información Pública del Estado de México y Municipios en los términos siguientes: </w:t>
      </w:r>
    </w:p>
    <w:p w14:paraId="73C35A8D" w14:textId="77777777" w:rsidR="00AB4832" w:rsidRDefault="007D2D2A">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s-MX"/>
        </w:rPr>
        <w:drawing>
          <wp:inline distT="0" distB="0" distL="0" distR="0" wp14:anchorId="77B25AC1" wp14:editId="1050A1B1">
            <wp:extent cx="5860524" cy="2293836"/>
            <wp:effectExtent l="0" t="0" r="0" b="0"/>
            <wp:docPr id="6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b="23341"/>
                    <a:stretch>
                      <a:fillRect/>
                    </a:stretch>
                  </pic:blipFill>
                  <pic:spPr>
                    <a:xfrm>
                      <a:off x="0" y="0"/>
                      <a:ext cx="5860524" cy="2293836"/>
                    </a:xfrm>
                    <a:prstGeom prst="rect">
                      <a:avLst/>
                    </a:prstGeom>
                    <a:ln/>
                  </pic:spPr>
                </pic:pic>
              </a:graphicData>
            </a:graphic>
          </wp:inline>
        </w:drawing>
      </w:r>
    </w:p>
    <w:p w14:paraId="2875BD3F" w14:textId="77777777" w:rsidR="00AB4832" w:rsidRDefault="007D2D2A">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s-MX"/>
        </w:rPr>
        <w:drawing>
          <wp:inline distT="0" distB="0" distL="0" distR="0" wp14:anchorId="0057B548" wp14:editId="3FD2448D">
            <wp:extent cx="5705553" cy="2292133"/>
            <wp:effectExtent l="0" t="0" r="0" b="0"/>
            <wp:docPr id="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b="51098"/>
                    <a:stretch>
                      <a:fillRect/>
                    </a:stretch>
                  </pic:blipFill>
                  <pic:spPr>
                    <a:xfrm>
                      <a:off x="0" y="0"/>
                      <a:ext cx="5705553" cy="2292133"/>
                    </a:xfrm>
                    <a:prstGeom prst="rect">
                      <a:avLst/>
                    </a:prstGeom>
                    <a:ln/>
                  </pic:spPr>
                </pic:pic>
              </a:graphicData>
            </a:graphic>
          </wp:inline>
        </w:drawing>
      </w:r>
    </w:p>
    <w:p w14:paraId="755A76B0" w14:textId="77777777" w:rsidR="00AB4832" w:rsidRDefault="00AB4832">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p>
    <w:p w14:paraId="2A88329A" w14:textId="77777777" w:rsidR="00AB4832" w:rsidRDefault="007D2D2A">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i/>
        </w:rPr>
      </w:pPr>
      <w:r>
        <w:rPr>
          <w:rFonts w:ascii="Palatino Linotype" w:eastAsia="Palatino Linotype" w:hAnsi="Palatino Linotype" w:cs="Palatino Linotype"/>
          <w:b/>
          <w:color w:val="000000"/>
          <w:sz w:val="28"/>
          <w:szCs w:val="28"/>
        </w:rPr>
        <w:lastRenderedPageBreak/>
        <w:t>III.</w:t>
      </w:r>
      <w:r>
        <w:rPr>
          <w:rFonts w:ascii="Palatino Linotype" w:eastAsia="Palatino Linotype" w:hAnsi="Palatino Linotype" w:cs="Palatino Linotype"/>
          <w:color w:val="000000"/>
        </w:rPr>
        <w:t xml:space="preserve"> Inconforme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rPr>
        <w:t xml:space="preserve">fecha cinco de noviembre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interpuso el recurso de revisión objeto del presente estudio, al que se le asignó el número al rubro citado, en el que señaló como acto impugnado:</w:t>
      </w:r>
    </w:p>
    <w:p w14:paraId="460A10BE" w14:textId="77777777" w:rsidR="00AB4832" w:rsidRDefault="007D2D2A">
      <w:pPr>
        <w:spacing w:before="280" w:after="280"/>
        <w:ind w:left="851" w:right="12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“Petición registrada con folio o expediente 00483/SEIEM/IP/2021 con respuesta número de folio 210C0101030000S/UT/1615/2021” (Sic)</w:t>
      </w:r>
    </w:p>
    <w:p w14:paraId="0B3117DA" w14:textId="77777777" w:rsidR="00AB4832" w:rsidRDefault="007D2D2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indicó como razones o motivos de inconformidad:</w:t>
      </w:r>
    </w:p>
    <w:p w14:paraId="756CBCF7" w14:textId="77777777" w:rsidR="00AB4832" w:rsidRDefault="007D2D2A">
      <w:pPr>
        <w:spacing w:before="280" w:after="280"/>
        <w:ind w:left="709"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remitida por SEIEM carece de fundamento, toda vez que ellos cuentan con el registro de las claves que </w:t>
      </w:r>
      <w:proofErr w:type="spellStart"/>
      <w:r>
        <w:rPr>
          <w:rFonts w:ascii="Palatino Linotype" w:eastAsia="Palatino Linotype" w:hAnsi="Palatino Linotype" w:cs="Palatino Linotype"/>
          <w:i/>
          <w:sz w:val="22"/>
          <w:szCs w:val="22"/>
        </w:rPr>
        <w:t>osetntan</w:t>
      </w:r>
      <w:proofErr w:type="spellEnd"/>
      <w:r>
        <w:rPr>
          <w:rFonts w:ascii="Palatino Linotype" w:eastAsia="Palatino Linotype" w:hAnsi="Palatino Linotype" w:cs="Palatino Linotype"/>
          <w:i/>
          <w:sz w:val="22"/>
          <w:szCs w:val="22"/>
        </w:rPr>
        <w:t xml:space="preserve"> los </w:t>
      </w:r>
      <w:proofErr w:type="spellStart"/>
      <w:r>
        <w:rPr>
          <w:rFonts w:ascii="Palatino Linotype" w:eastAsia="Palatino Linotype" w:hAnsi="Palatino Linotype" w:cs="Palatino Linotype"/>
          <w:i/>
          <w:sz w:val="22"/>
          <w:szCs w:val="22"/>
        </w:rPr>
        <w:t>funcionarion</w:t>
      </w:r>
      <w:proofErr w:type="spellEnd"/>
      <w:r>
        <w:rPr>
          <w:rFonts w:ascii="Palatino Linotype" w:eastAsia="Palatino Linotype" w:hAnsi="Palatino Linotype" w:cs="Palatino Linotype"/>
          <w:i/>
          <w:sz w:val="22"/>
          <w:szCs w:val="22"/>
        </w:rPr>
        <w:t xml:space="preserve"> referidos y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aun porque estos se encuentra </w:t>
      </w:r>
      <w:proofErr w:type="spellStart"/>
      <w:r>
        <w:rPr>
          <w:rFonts w:ascii="Palatino Linotype" w:eastAsia="Palatino Linotype" w:hAnsi="Palatino Linotype" w:cs="Palatino Linotype"/>
          <w:i/>
          <w:sz w:val="22"/>
          <w:szCs w:val="22"/>
        </w:rPr>
        <w:t>unicamnete</w:t>
      </w:r>
      <w:proofErr w:type="spellEnd"/>
      <w:r>
        <w:rPr>
          <w:rFonts w:ascii="Palatino Linotype" w:eastAsia="Palatino Linotype" w:hAnsi="Palatino Linotype" w:cs="Palatino Linotype"/>
          <w:i/>
          <w:sz w:val="22"/>
          <w:szCs w:val="22"/>
        </w:rPr>
        <w:t xml:space="preserve"> de permiso por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43, por lo que es inminente que dicha dependencia cuenta con esta información, al igual que la forma en la que se les asignaron las claves que ostentan actualmente, ya que dicha dependencia emite las ordenes de </w:t>
      </w:r>
      <w:proofErr w:type="spellStart"/>
      <w:r>
        <w:rPr>
          <w:rFonts w:ascii="Palatino Linotype" w:eastAsia="Palatino Linotype" w:hAnsi="Palatino Linotype" w:cs="Palatino Linotype"/>
          <w:i/>
          <w:sz w:val="22"/>
          <w:szCs w:val="22"/>
        </w:rPr>
        <w:t>presentacion</w:t>
      </w:r>
      <w:proofErr w:type="spellEnd"/>
      <w:r>
        <w:rPr>
          <w:rFonts w:ascii="Palatino Linotype" w:eastAsia="Palatino Linotype" w:hAnsi="Palatino Linotype" w:cs="Palatino Linotype"/>
          <w:i/>
          <w:sz w:val="22"/>
          <w:szCs w:val="22"/>
        </w:rPr>
        <w:t xml:space="preserve"> de acuerdo a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que le </w:t>
      </w:r>
      <w:proofErr w:type="spellStart"/>
      <w:r>
        <w:rPr>
          <w:rFonts w:ascii="Palatino Linotype" w:eastAsia="Palatino Linotype" w:hAnsi="Palatino Linotype" w:cs="Palatino Linotype"/>
          <w:i/>
          <w:sz w:val="22"/>
          <w:szCs w:val="22"/>
        </w:rPr>
        <w:t>compaerte</w:t>
      </w:r>
      <w:proofErr w:type="spellEnd"/>
      <w:r>
        <w:rPr>
          <w:rFonts w:ascii="Palatino Linotype" w:eastAsia="Palatino Linotype" w:hAnsi="Palatino Linotype" w:cs="Palatino Linotype"/>
          <w:i/>
          <w:sz w:val="22"/>
          <w:szCs w:val="22"/>
        </w:rPr>
        <w:t xml:space="preserve"> USICAMM o en su momento Servicio Profesional Docente, en la </w:t>
      </w:r>
      <w:proofErr w:type="spellStart"/>
      <w:r>
        <w:rPr>
          <w:rFonts w:ascii="Palatino Linotype" w:eastAsia="Palatino Linotype" w:hAnsi="Palatino Linotype" w:cs="Palatino Linotype"/>
          <w:i/>
          <w:sz w:val="22"/>
          <w:szCs w:val="22"/>
        </w:rPr>
        <w:t>ista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prelacion</w:t>
      </w:r>
      <w:proofErr w:type="spellEnd"/>
      <w:r>
        <w:rPr>
          <w:rFonts w:ascii="Palatino Linotype" w:eastAsia="Palatino Linotype" w:hAnsi="Palatino Linotype" w:cs="Palatino Linotype"/>
          <w:i/>
          <w:sz w:val="22"/>
          <w:szCs w:val="22"/>
        </w:rPr>
        <w:t xml:space="preserve"> de aquellos que concursaron por una plaza vacante, por lo que dicho sujeto obligado cuenta con todos y cada uno de los datos solicitados, </w:t>
      </w:r>
      <w:proofErr w:type="spellStart"/>
      <w:r>
        <w:rPr>
          <w:rFonts w:ascii="Palatino Linotype" w:eastAsia="Palatino Linotype" w:hAnsi="Palatino Linotype" w:cs="Palatino Linotype"/>
          <w:i/>
          <w:sz w:val="22"/>
          <w:szCs w:val="22"/>
        </w:rPr>
        <w:t>po</w:t>
      </w:r>
      <w:proofErr w:type="spellEnd"/>
      <w:r>
        <w:rPr>
          <w:rFonts w:ascii="Palatino Linotype" w:eastAsia="Palatino Linotype" w:hAnsi="Palatino Linotype" w:cs="Palatino Linotype"/>
          <w:i/>
          <w:sz w:val="22"/>
          <w:szCs w:val="22"/>
        </w:rPr>
        <w:t xml:space="preserve"> lo que con fundamento en el artículo 53 fracciones II, IV, V y VI, de la Ley de Transparencia y Acceso a la Información Pública del Estado de México y Municipios, se deben realizar los </w:t>
      </w:r>
      <w:proofErr w:type="spellStart"/>
      <w:r>
        <w:rPr>
          <w:rFonts w:ascii="Palatino Linotype" w:eastAsia="Palatino Linotype" w:hAnsi="Palatino Linotype" w:cs="Palatino Linotype"/>
          <w:i/>
          <w:sz w:val="22"/>
          <w:szCs w:val="22"/>
        </w:rPr>
        <w:t>tramites</w:t>
      </w:r>
      <w:proofErr w:type="spellEnd"/>
      <w:r>
        <w:rPr>
          <w:rFonts w:ascii="Palatino Linotype" w:eastAsia="Palatino Linotype" w:hAnsi="Palatino Linotype" w:cs="Palatino Linotype"/>
          <w:i/>
          <w:sz w:val="22"/>
          <w:szCs w:val="22"/>
        </w:rPr>
        <w:t xml:space="preserve"> internos necesarios para proporcionar la información solicitada.” (Sic)</w:t>
      </w:r>
    </w:p>
    <w:p w14:paraId="679A4777" w14:textId="77777777" w:rsidR="00AB4832" w:rsidRDefault="007D2D2A">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Adjuntando a su recurso el documento denominado “</w:t>
      </w:r>
      <w:r>
        <w:rPr>
          <w:rFonts w:ascii="Palatino Linotype" w:eastAsia="Palatino Linotype" w:hAnsi="Palatino Linotype" w:cs="Palatino Linotype"/>
          <w:i/>
        </w:rPr>
        <w:t xml:space="preserve">SOL 00483IP2021 </w:t>
      </w:r>
      <w:proofErr w:type="spellStart"/>
      <w:r>
        <w:rPr>
          <w:rFonts w:ascii="Palatino Linotype" w:eastAsia="Palatino Linotype" w:hAnsi="Palatino Linotype" w:cs="Palatino Linotype"/>
          <w:i/>
        </w:rPr>
        <w:t>Incomp</w:t>
      </w:r>
      <w:proofErr w:type="spellEnd"/>
      <w:r>
        <w:rPr>
          <w:rFonts w:ascii="Palatino Linotype" w:eastAsia="Palatino Linotype" w:hAnsi="Palatino Linotype" w:cs="Palatino Linotype"/>
          <w:i/>
        </w:rPr>
        <w:t xml:space="preserve"> (1).</w:t>
      </w:r>
      <w:proofErr w:type="spellStart"/>
      <w:r>
        <w:rPr>
          <w:rFonts w:ascii="Palatino Linotype" w:eastAsia="Palatino Linotype" w:hAnsi="Palatino Linotype" w:cs="Palatino Linotype"/>
          <w:i/>
        </w:rPr>
        <w:t>docx</w:t>
      </w:r>
      <w:proofErr w:type="spellEnd"/>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del cual se advierte,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p>
    <w:p w14:paraId="24B48443" w14:textId="77777777" w:rsidR="00AB4832" w:rsidRDefault="007D2D2A">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VI. </w:t>
      </w:r>
      <w:r>
        <w:rPr>
          <w:rFonts w:ascii="Palatino Linotype" w:eastAsia="Palatino Linotype" w:hAnsi="Palatino Linotype" w:cs="Palatino Linotype"/>
          <w:color w:val="000000"/>
        </w:rPr>
        <w:t>En fecha cinco</w:t>
      </w:r>
      <w:r>
        <w:rPr>
          <w:rFonts w:ascii="Palatino Linotype" w:eastAsia="Palatino Linotype" w:hAnsi="Palatino Linotype" w:cs="Palatino Linotype"/>
        </w:rPr>
        <w:t xml:space="preserve"> de noviembre </w:t>
      </w:r>
      <w:r>
        <w:rPr>
          <w:rFonts w:ascii="Palatino Linotype" w:eastAsia="Palatino Linotype" w:hAnsi="Palatino Linotype" w:cs="Palatino Linotype"/>
          <w:color w:val="000000"/>
        </w:rPr>
        <w:t xml:space="preserve">de dos mil veintiuno, el recurso materia del presente estudio, se envió electrónicamente al Instituto de Transparencia, Acceso a la Información Pública y Protección de Datos Personales del Estado de México y </w:t>
      </w:r>
      <w:r>
        <w:rPr>
          <w:rFonts w:ascii="Palatino Linotype" w:eastAsia="Palatino Linotype" w:hAnsi="Palatino Linotype" w:cs="Palatino Linotype"/>
          <w:color w:val="000000"/>
        </w:rPr>
        <w:lastRenderedPageBreak/>
        <w:t xml:space="preserve">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decretar su admisión o desechamiento.</w:t>
      </w:r>
    </w:p>
    <w:p w14:paraId="3C42C4A0" w14:textId="77777777" w:rsidR="00AB4832" w:rsidRDefault="007D2D2A">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VII.</w:t>
      </w:r>
      <w:r>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ocho de noviembre de dos mil veintiuno se acordó la admisión a trámite del referido recurso de revisión; así como,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para que exhibiera el Informe Justificado correspondiente. </w:t>
      </w:r>
    </w:p>
    <w:p w14:paraId="687DF022" w14:textId="77777777" w:rsidR="00AB4832" w:rsidRDefault="007D2D2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VIII.</w:t>
      </w:r>
      <w:r>
        <w:rPr>
          <w:rFonts w:ascii="Palatino Linotype" w:eastAsia="Palatino Linotype" w:hAnsi="Palatino Linotype" w:cs="Palatino Linotype"/>
          <w:color w:val="000000"/>
        </w:rPr>
        <w:t xml:space="preserve"> 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alegatos o manifestaciones. </w:t>
      </w:r>
    </w:p>
    <w:p w14:paraId="42724987" w14:textId="77777777" w:rsidR="00AB4832" w:rsidRDefault="007D2D2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rindió el Informe Justificado en fecha dieciocho de noviembre de dos mil veintiuno, mismo que fue puesto a disposición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el veintinueve de noviembre de dos mil veintiuno 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el cual será materia de estudio en el apartado conducente. </w:t>
      </w:r>
    </w:p>
    <w:p w14:paraId="357B9F94" w14:textId="77777777" w:rsidR="00AB4832" w:rsidRDefault="007D2D2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IX.</w:t>
      </w:r>
      <w:r>
        <w:rPr>
          <w:rFonts w:ascii="Palatino Linotype" w:eastAsia="Palatino Linotype" w:hAnsi="Palatino Linotype" w:cs="Palatino Linotype"/>
          <w:color w:val="000000"/>
        </w:rPr>
        <w:t xml:space="preserve"> Una vez analizado el estado procesal que guarda el expediente, en fecha tres de diciembre de dos mil veintiuno, la </w:t>
      </w:r>
      <w:r>
        <w:rPr>
          <w:rFonts w:ascii="Palatino Linotype" w:eastAsia="Palatino Linotype" w:hAnsi="Palatino Linotype" w:cs="Palatino Linotype"/>
          <w:b/>
          <w:color w:val="000000"/>
        </w:rPr>
        <w:t>Comisionada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Sharon Cristina Morales Martínez </w:t>
      </w:r>
      <w:r>
        <w:rPr>
          <w:rFonts w:ascii="Palatino Linotype" w:eastAsia="Palatino Linotype" w:hAnsi="Palatino Linotype" w:cs="Palatino Linotype"/>
          <w:color w:val="000000"/>
        </w:rPr>
        <w:t xml:space="preserve">acordó el cierre de instrucción; así como, la remisión del mismo a efecto de ser resuelto, </w:t>
      </w:r>
      <w:r>
        <w:rPr>
          <w:rFonts w:ascii="Palatino Linotype" w:eastAsia="Palatino Linotype" w:hAnsi="Palatino Linotype" w:cs="Palatino Linotype"/>
          <w:color w:val="000000"/>
        </w:rPr>
        <w:lastRenderedPageBreak/>
        <w:t>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rPr>
        <w:t xml:space="preserve">. </w:t>
      </w:r>
    </w:p>
    <w:p w14:paraId="62A5BAF1" w14:textId="77777777" w:rsidR="00AB4832" w:rsidRDefault="007D2D2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 xml:space="preserve">X. </w:t>
      </w:r>
      <w:r>
        <w:rPr>
          <w:rFonts w:ascii="Palatino Linotype" w:eastAsia="Palatino Linotype" w:hAnsi="Palatino Linotype" w:cs="Palatino Linotype"/>
          <w:color w:val="000000"/>
        </w:rPr>
        <w:t xml:space="preserve">En fecha nueve de diciembre de dos mil veintiuno, el Pleno del Instituto de Transparencia, Acceso a la Información Pública y Protección de Datos Personales del Estado de México y Municipios, mediante acuerdo signado por sus integrantes, aprobó la </w:t>
      </w:r>
      <w:r>
        <w:rPr>
          <w:rFonts w:ascii="Palatino Linotype" w:eastAsia="Palatino Linotype" w:hAnsi="Palatino Linotype" w:cs="Palatino Linotype"/>
          <w:b/>
          <w:i/>
          <w:color w:val="000000"/>
        </w:rPr>
        <w:t xml:space="preserve">Licencia </w:t>
      </w:r>
      <w:r>
        <w:rPr>
          <w:rFonts w:ascii="Palatino Linotype" w:eastAsia="Palatino Linotype" w:hAnsi="Palatino Linotype" w:cs="Palatino Linotype"/>
          <w:b/>
          <w:i/>
        </w:rPr>
        <w:t>médica</w:t>
      </w:r>
      <w:r>
        <w:rPr>
          <w:rFonts w:ascii="Palatino Linotype" w:eastAsia="Palatino Linotype" w:hAnsi="Palatino Linotype" w:cs="Palatino Linotype"/>
          <w:color w:val="000000"/>
        </w:rPr>
        <w:t xml:space="preserve"> de la Comisionada Sharon Cristina Morales Martínez, y a través del cual se convino el returno del recurso de revisión de mérito al Comisionado Presidente José Martínez Vilchis, para que diera trámite y resolviera conforme a derecho.</w:t>
      </w:r>
    </w:p>
    <w:p w14:paraId="0B01A903" w14:textId="77777777" w:rsidR="00AB4832" w:rsidRDefault="007D2D2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XI. </w:t>
      </w:r>
      <w:r>
        <w:rPr>
          <w:rFonts w:ascii="Palatino Linotype" w:eastAsia="Palatino Linotype" w:hAnsi="Palatino Linotype" w:cs="Palatino Linotype"/>
          <w:color w:val="000000"/>
        </w:rPr>
        <w:t>En fecha veintiuno de diciembre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59BD9C6C" w14:textId="77777777" w:rsidR="00AB4832" w:rsidRDefault="00AB4832">
      <w:pPr>
        <w:spacing w:before="240" w:after="240" w:line="360" w:lineRule="auto"/>
        <w:jc w:val="both"/>
        <w:rPr>
          <w:rFonts w:ascii="Palatino Linotype" w:eastAsia="Palatino Linotype" w:hAnsi="Palatino Linotype" w:cs="Palatino Linotype"/>
          <w:color w:val="000000"/>
        </w:rPr>
      </w:pPr>
    </w:p>
    <w:p w14:paraId="5A26CE3F" w14:textId="77777777" w:rsidR="00AB4832" w:rsidRDefault="007D2D2A">
      <w:pPr>
        <w:spacing w:before="24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CONSIDERANDO</w:t>
      </w:r>
    </w:p>
    <w:p w14:paraId="1DC34020" w14:textId="77777777" w:rsidR="00AB4832" w:rsidRDefault="007D2D2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 Competencia</w:t>
      </w:r>
      <w:r>
        <w:rPr>
          <w:rFonts w:ascii="Palatino Linotype" w:eastAsia="Palatino Linotype" w:hAnsi="Palatino Linotype" w:cs="Palatino Linotype"/>
          <w:color w:val="000000"/>
        </w:rPr>
        <w:t>.</w:t>
      </w:r>
    </w:p>
    <w:p w14:paraId="667FBB0D" w14:textId="77777777" w:rsidR="00AB4832" w:rsidRDefault="007D2D2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Pr>
          <w:rFonts w:ascii="Palatino Linotype" w:eastAsia="Palatino Linotype" w:hAnsi="Palatino Linotype" w:cs="Palatino Linotype"/>
          <w:color w:val="000000"/>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D37E11A" w14:textId="77777777" w:rsidR="00AB4832" w:rsidRDefault="007D2D2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Interés.</w:t>
      </w:r>
      <w:r>
        <w:rPr>
          <w:rFonts w:ascii="Palatino Linotype" w:eastAsia="Palatino Linotype" w:hAnsi="Palatino Linotype" w:cs="Palatino Linotype"/>
          <w:color w:val="000000"/>
        </w:rPr>
        <w:t xml:space="preserve"> </w:t>
      </w:r>
    </w:p>
    <w:p w14:paraId="73C37430" w14:textId="77777777" w:rsidR="00AB4832" w:rsidRDefault="007D2D2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por la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14:paraId="2C4D5C29" w14:textId="77777777" w:rsidR="00AB4832" w:rsidRDefault="007D2D2A">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rPr>
        <w:t xml:space="preserve">. Oportunidad. </w:t>
      </w:r>
    </w:p>
    <w:p w14:paraId="2ED55B26" w14:textId="77777777" w:rsidR="00AB4832" w:rsidRDefault="007D2D2A">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A169ADE" w14:textId="77777777" w:rsidR="00AB4832" w:rsidRDefault="007D2D2A">
      <w:pPr>
        <w:spacing w:before="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60401D39" w14:textId="77777777" w:rsidR="00AB4832" w:rsidRDefault="00AB4832">
      <w:pPr>
        <w:ind w:left="851" w:right="899"/>
        <w:jc w:val="both"/>
        <w:rPr>
          <w:rFonts w:ascii="Palatino Linotype" w:eastAsia="Palatino Linotype" w:hAnsi="Palatino Linotype" w:cs="Palatino Linotype"/>
          <w:i/>
          <w:sz w:val="22"/>
          <w:szCs w:val="22"/>
        </w:rPr>
      </w:pPr>
    </w:p>
    <w:p w14:paraId="16AE0719" w14:textId="77777777" w:rsidR="00AB4832" w:rsidRDefault="007D2D2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3196F" w14:textId="77777777" w:rsidR="00AB4832" w:rsidRDefault="00AB4832">
      <w:pPr>
        <w:ind w:left="851" w:right="899"/>
        <w:jc w:val="both"/>
        <w:rPr>
          <w:rFonts w:ascii="Palatino Linotype" w:eastAsia="Palatino Linotype" w:hAnsi="Palatino Linotype" w:cs="Palatino Linotype"/>
          <w:i/>
          <w:sz w:val="22"/>
          <w:szCs w:val="22"/>
        </w:rPr>
      </w:pPr>
    </w:p>
    <w:p w14:paraId="68037882" w14:textId="77777777" w:rsidR="00AB4832" w:rsidRDefault="007D2D2A">
      <w:pPr>
        <w:spacing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 (Sic)</w:t>
      </w:r>
    </w:p>
    <w:p w14:paraId="6833147A" w14:textId="77777777" w:rsidR="00AB4832" w:rsidRDefault="007D2D2A">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tres de noviembre de dos mil veintiuno</w:t>
      </w:r>
      <w:r>
        <w:rPr>
          <w:rFonts w:ascii="Palatino Linotype" w:eastAsia="Palatino Linotype" w:hAnsi="Palatino Linotype" w:cs="Palatino Linotype"/>
        </w:rPr>
        <w:t>;  el plazo de quince días hábiles que prevé el artículo 178 citado otorga al hoy</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que nos ocupa, abarca del </w:t>
      </w:r>
      <w:r>
        <w:rPr>
          <w:rFonts w:ascii="Palatino Linotype" w:eastAsia="Palatino Linotype" w:hAnsi="Palatino Linotype" w:cs="Palatino Linotype"/>
          <w:b/>
        </w:rPr>
        <w:t xml:space="preserve">cuatro al veintiséis noviembre de dos mil veintiuno, </w:t>
      </w:r>
      <w:r>
        <w:rPr>
          <w:rFonts w:ascii="Palatino Linotype" w:eastAsia="Palatino Linotype" w:hAnsi="Palatino Linotype" w:cs="Palatino Linotype"/>
        </w:rPr>
        <w:t xml:space="preserve">sin contemplar en el  plazo seis, siete trece, catorce, veinte y veintiuno de noviembre  de la anualidad, por corresponder a sábados y domingos, y el día dos de noviembre por ser considerados como días inhábiles, según lo dispuesto en el calendario oficial de labores para el año dos mil veintiuno aprobada por el Pleno de este Instituto en fecha dieciséis de diciembre de dos mil veinte y en términos del artículo 3, fracción X de la Ley de Transparencia y Acceso a la Información Pública del Estado de México y Municipios. </w:t>
      </w:r>
    </w:p>
    <w:p w14:paraId="0AA572D3" w14:textId="77777777" w:rsidR="00AB4832" w:rsidRDefault="007D2D2A">
      <w:pPr>
        <w:widowControl w:val="0"/>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tenor, </w:t>
      </w:r>
      <w:r>
        <w:rPr>
          <w:rFonts w:ascii="Palatino Linotype" w:eastAsia="Palatino Linotype" w:hAnsi="Palatino Linotype" w:cs="Palatino Linotype"/>
        </w:rPr>
        <w:t>si el recurso de revisión que nos ocupa, se interpuso el</w:t>
      </w:r>
      <w:r>
        <w:rPr>
          <w:rFonts w:ascii="Palatino Linotype" w:eastAsia="Palatino Linotype" w:hAnsi="Palatino Linotype" w:cs="Palatino Linotype"/>
          <w:b/>
        </w:rPr>
        <w:t xml:space="preserve"> cinco de noviembre de dos mil veintiuno, </w:t>
      </w:r>
      <w:r>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Pr>
          <w:rFonts w:ascii="Palatino Linotype" w:eastAsia="Palatino Linotype" w:hAnsi="Palatino Linotype" w:cs="Palatino Linotype"/>
          <w:color w:val="000000"/>
        </w:rPr>
        <w:t xml:space="preserve">. </w:t>
      </w:r>
    </w:p>
    <w:p w14:paraId="0832CEB7" w14:textId="77777777" w:rsidR="00AB4832" w:rsidRDefault="00AB4832">
      <w:pPr>
        <w:widowControl w:val="0"/>
        <w:tabs>
          <w:tab w:val="left" w:pos="0"/>
        </w:tabs>
        <w:spacing w:before="240" w:after="240" w:line="360" w:lineRule="auto"/>
        <w:jc w:val="both"/>
        <w:rPr>
          <w:rFonts w:ascii="Palatino Linotype" w:eastAsia="Palatino Linotype" w:hAnsi="Palatino Linotype" w:cs="Palatino Linotype"/>
        </w:rPr>
      </w:pPr>
    </w:p>
    <w:p w14:paraId="2030EF97" w14:textId="77777777" w:rsidR="00AB4832" w:rsidRDefault="007D2D2A">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Procedibilidad</w:t>
      </w:r>
      <w:r>
        <w:rPr>
          <w:rFonts w:ascii="Palatino Linotype" w:eastAsia="Palatino Linotype" w:hAnsi="Palatino Linotype" w:cs="Palatino Linotype"/>
        </w:rPr>
        <w:t xml:space="preserve">. </w:t>
      </w:r>
    </w:p>
    <w:p w14:paraId="106434AC" w14:textId="77777777" w:rsidR="00AB4832" w:rsidRDefault="007D2D2A">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w:t>
      </w:r>
      <w:r>
        <w:rPr>
          <w:rFonts w:ascii="Palatino Linotype" w:eastAsia="Palatino Linotype" w:hAnsi="Palatino Linotype" w:cs="Palatino Linotype"/>
          <w:color w:val="000000"/>
        </w:rPr>
        <w:lastRenderedPageBreak/>
        <w:t xml:space="preserve">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 SAIMEX</w:t>
      </w:r>
    </w:p>
    <w:p w14:paraId="6F456287" w14:textId="77777777" w:rsidR="00AB4832" w:rsidRDefault="00AB4832">
      <w:pPr>
        <w:widowControl w:val="0"/>
        <w:tabs>
          <w:tab w:val="left" w:pos="1701"/>
          <w:tab w:val="left" w:pos="1843"/>
        </w:tabs>
        <w:spacing w:line="360" w:lineRule="auto"/>
        <w:jc w:val="both"/>
        <w:rPr>
          <w:rFonts w:ascii="Palatino Linotype" w:eastAsia="Palatino Linotype" w:hAnsi="Palatino Linotype" w:cs="Palatino Linotype"/>
          <w:b/>
        </w:rPr>
      </w:pPr>
    </w:p>
    <w:p w14:paraId="53E1D026" w14:textId="77777777" w:rsidR="00AB4832" w:rsidRDefault="007D2D2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 xml:space="preserve">Estudio y resolución del asunto. </w:t>
      </w:r>
    </w:p>
    <w:p w14:paraId="18FB2C6E" w14:textId="77777777" w:rsidR="00AB4832" w:rsidRDefault="007D2D2A">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t xml:space="preserve">Una vez determinada la vía sobre la que versará el presente recurso y previa revisión del expediente electrónico que obra en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del recurso que nos ocupa, se advierte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solicitó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lo siguiente:</w:t>
      </w:r>
    </w:p>
    <w:p w14:paraId="76E43DA4" w14:textId="77777777" w:rsidR="00AB4832" w:rsidRDefault="007D2D2A">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t>“Información de las claves que ostentaban y que se encuentran en articulo 43 los integrantes de comité seccional del SNTE en la Sección 36 del valle de México Rigoberto Vargas Cervantes y Mónica Miriam Granillo Velazco, así como la fecha y la forma (examen o directas) en que les fueron asignadas dichas claves.”</w:t>
      </w:r>
    </w:p>
    <w:p w14:paraId="2D1DB9EF" w14:textId="77777777" w:rsidR="00AB4832" w:rsidRDefault="007D2D2A">
      <w:pPr>
        <w:pBdr>
          <w:top w:val="nil"/>
          <w:left w:val="nil"/>
          <w:bottom w:val="nil"/>
          <w:right w:val="nil"/>
          <w:between w:val="nil"/>
        </w:pBdr>
        <w:spacing w:before="280" w:after="280" w:line="360" w:lineRule="auto"/>
        <w:ind w:right="41"/>
        <w:jc w:val="both"/>
        <w:rPr>
          <w:color w:val="000000"/>
        </w:rPr>
      </w:pPr>
      <w:r>
        <w:rPr>
          <w:rFonts w:ascii="Palatino Linotype" w:eastAsia="Palatino Linotype" w:hAnsi="Palatino Linotype" w:cs="Palatino Linotype"/>
          <w:color w:val="000000"/>
        </w:rPr>
        <w:t xml:space="preserve">En atención a ello,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se declaró incompetente en términos de lo establecido por el artículo 167 de la Ley de Transparencia y Acceso a la Información Pública del Estado de México y Municipios, mismo que a la letra dice: </w:t>
      </w:r>
    </w:p>
    <w:p w14:paraId="6872DB51" w14:textId="77777777" w:rsidR="00AB4832" w:rsidRDefault="007D2D2A">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167.</w:t>
      </w:r>
      <w:r>
        <w:rPr>
          <w:rFonts w:ascii="Palatino Linotype" w:eastAsia="Palatino Linotype" w:hAnsi="Palatino Linotype" w:cs="Palatino Linotype"/>
          <w:i/>
          <w:color w:val="000000"/>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95495EF" w14:textId="77777777" w:rsidR="00AB4832" w:rsidRDefault="007D2D2A">
      <w:pPr>
        <w:pBdr>
          <w:top w:val="nil"/>
          <w:left w:val="nil"/>
          <w:bottom w:val="nil"/>
          <w:right w:val="nil"/>
          <w:between w:val="nil"/>
        </w:pBdr>
        <w:spacing w:before="280" w:after="280" w:line="360" w:lineRule="auto"/>
        <w:ind w:right="-101"/>
        <w:jc w:val="both"/>
        <w:rPr>
          <w:color w:val="000000"/>
        </w:rPr>
      </w:pPr>
      <w:r>
        <w:rPr>
          <w:rFonts w:ascii="Palatino Linotype" w:eastAsia="Palatino Linotype" w:hAnsi="Palatino Linotype" w:cs="Palatino Linotype"/>
          <w:color w:val="000000"/>
        </w:rPr>
        <w:t>Señalando que la autoridad competente para conocer de la presente solicitud es la Secretaría de Educación Pública, indicando el domicilio de la Unidad de Transparencia, como se puede apreciar en la siguiente transcripción: </w:t>
      </w:r>
    </w:p>
    <w:p w14:paraId="5D08ADB1" w14:textId="77777777" w:rsidR="00AB4832" w:rsidRDefault="007D2D2A">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lastRenderedPageBreak/>
        <w:t>“Con base en lo anterior y con fundamento en los artículos 12 segundo párrafo, 50, 53 fracciones II, IV, V y VI, 163 y 167 de la Ley de Transparencia y Acceso a la Información Pública del Estado de México y Municipios, le comunico que derivado del análisis a su solicitud, se advierte la incompetencia de este Organismo para atenderla, la información que solicita, no corresponde a la generada, poseída o administrada por Servicios Educativos Integrados al Estado de México.</w:t>
      </w:r>
    </w:p>
    <w:p w14:paraId="30FC3E29" w14:textId="77777777" w:rsidR="00AB4832" w:rsidRDefault="007D2D2A">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t>En consecuencia, toda vez que la información solicitada no corresponde a la generada, poseída o administrada por este Organismo, se le sugiere respetuosamente dirigir su petición a la Secretaría de Educación Pública (SEP), a través de la siguiente página electrónica: http://www.plataformadetransparencia.org.mx o mediante escrito libre a la Unidad de Transparencia de dicha Secretaría, ubicada en calle Donceles No. 100, Planta Baja, colonia Centro Histórico, Alcaldía Cuauhtémoc, Ciudad de México, C. P. 06020, Teléfono: 36-01-10-00, ext. 53417, con horario de atención de 9:00 a 15:00 horas, de lunes a viernes</w:t>
      </w:r>
      <w:r>
        <w:rPr>
          <w:rFonts w:ascii="Palatino Linotype" w:eastAsia="Palatino Linotype" w:hAnsi="Palatino Linotype" w:cs="Palatino Linotype"/>
          <w:color w:val="000000"/>
        </w:rPr>
        <w:t>.” (Sic)</w:t>
      </w:r>
    </w:p>
    <w:p w14:paraId="57E98316" w14:textId="77777777" w:rsidR="00AB4832" w:rsidRDefault="007D2D2A">
      <w:pPr>
        <w:pBdr>
          <w:top w:val="nil"/>
          <w:left w:val="nil"/>
          <w:bottom w:val="nil"/>
          <w:right w:val="nil"/>
          <w:between w:val="nil"/>
        </w:pBdr>
        <w:spacing w:before="280" w:after="280" w:line="360" w:lineRule="auto"/>
        <w:ind w:right="41"/>
        <w:jc w:val="both"/>
        <w:rPr>
          <w:color w:val="000000"/>
        </w:rPr>
      </w:pPr>
      <w:r>
        <w:rPr>
          <w:rFonts w:ascii="Palatino Linotype" w:eastAsia="Palatino Linotype" w:hAnsi="Palatino Linotype" w:cs="Palatino Linotype"/>
          <w:color w:val="000000"/>
        </w:rPr>
        <w:t xml:space="preserve">Motivo por el cual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se inconforma manifestando dentro de sus motivos o razones de inconformidad lo siguiente:</w:t>
      </w:r>
    </w:p>
    <w:p w14:paraId="3456B4D1" w14:textId="77777777" w:rsidR="00AB4832" w:rsidRDefault="007D2D2A">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t xml:space="preserve">“La respuesta remitida por SEIEM carece de fundamento, toda vez que ellos cuentan con el registro de las claves que </w:t>
      </w:r>
      <w:proofErr w:type="spellStart"/>
      <w:r>
        <w:rPr>
          <w:rFonts w:ascii="Palatino Linotype" w:eastAsia="Palatino Linotype" w:hAnsi="Palatino Linotype" w:cs="Palatino Linotype"/>
          <w:i/>
          <w:color w:val="000000"/>
          <w:sz w:val="22"/>
          <w:szCs w:val="22"/>
        </w:rPr>
        <w:t>osetntan</w:t>
      </w:r>
      <w:proofErr w:type="spellEnd"/>
      <w:r>
        <w:rPr>
          <w:rFonts w:ascii="Palatino Linotype" w:eastAsia="Palatino Linotype" w:hAnsi="Palatino Linotype" w:cs="Palatino Linotype"/>
          <w:i/>
          <w:color w:val="000000"/>
          <w:sz w:val="22"/>
          <w:szCs w:val="22"/>
        </w:rPr>
        <w:t xml:space="preserve"> los </w:t>
      </w:r>
      <w:proofErr w:type="spellStart"/>
      <w:r>
        <w:rPr>
          <w:rFonts w:ascii="Palatino Linotype" w:eastAsia="Palatino Linotype" w:hAnsi="Palatino Linotype" w:cs="Palatino Linotype"/>
          <w:i/>
          <w:color w:val="000000"/>
          <w:sz w:val="22"/>
          <w:szCs w:val="22"/>
        </w:rPr>
        <w:t>funcionarion</w:t>
      </w:r>
      <w:proofErr w:type="spellEnd"/>
      <w:r>
        <w:rPr>
          <w:rFonts w:ascii="Palatino Linotype" w:eastAsia="Palatino Linotype" w:hAnsi="Palatino Linotype" w:cs="Palatino Linotype"/>
          <w:i/>
          <w:color w:val="000000"/>
          <w:sz w:val="22"/>
          <w:szCs w:val="22"/>
        </w:rPr>
        <w:t xml:space="preserve"> referidos y </w:t>
      </w:r>
      <w:proofErr w:type="spellStart"/>
      <w:r>
        <w:rPr>
          <w:rFonts w:ascii="Palatino Linotype" w:eastAsia="Palatino Linotype" w:hAnsi="Palatino Linotype" w:cs="Palatino Linotype"/>
          <w:i/>
          <w:color w:val="000000"/>
          <w:sz w:val="22"/>
          <w:szCs w:val="22"/>
        </w:rPr>
        <w:t>mas</w:t>
      </w:r>
      <w:proofErr w:type="spellEnd"/>
      <w:r>
        <w:rPr>
          <w:rFonts w:ascii="Palatino Linotype" w:eastAsia="Palatino Linotype" w:hAnsi="Palatino Linotype" w:cs="Palatino Linotype"/>
          <w:i/>
          <w:color w:val="000000"/>
          <w:sz w:val="22"/>
          <w:szCs w:val="22"/>
        </w:rPr>
        <w:t xml:space="preserve"> aun porque estos se encuentra </w:t>
      </w:r>
      <w:proofErr w:type="spellStart"/>
      <w:r>
        <w:rPr>
          <w:rFonts w:ascii="Palatino Linotype" w:eastAsia="Palatino Linotype" w:hAnsi="Palatino Linotype" w:cs="Palatino Linotype"/>
          <w:i/>
          <w:color w:val="000000"/>
          <w:sz w:val="22"/>
          <w:szCs w:val="22"/>
        </w:rPr>
        <w:t>unicamnete</w:t>
      </w:r>
      <w:proofErr w:type="spellEnd"/>
      <w:r>
        <w:rPr>
          <w:rFonts w:ascii="Palatino Linotype" w:eastAsia="Palatino Linotype" w:hAnsi="Palatino Linotype" w:cs="Palatino Linotype"/>
          <w:i/>
          <w:color w:val="000000"/>
          <w:sz w:val="22"/>
          <w:szCs w:val="22"/>
        </w:rPr>
        <w:t xml:space="preserve"> de permiso por </w:t>
      </w:r>
      <w:proofErr w:type="spellStart"/>
      <w:r>
        <w:rPr>
          <w:rFonts w:ascii="Palatino Linotype" w:eastAsia="Palatino Linotype" w:hAnsi="Palatino Linotype" w:cs="Palatino Linotype"/>
          <w:i/>
          <w:color w:val="000000"/>
          <w:sz w:val="22"/>
          <w:szCs w:val="22"/>
        </w:rPr>
        <w:t>articulo</w:t>
      </w:r>
      <w:proofErr w:type="spellEnd"/>
      <w:r>
        <w:rPr>
          <w:rFonts w:ascii="Palatino Linotype" w:eastAsia="Palatino Linotype" w:hAnsi="Palatino Linotype" w:cs="Palatino Linotype"/>
          <w:i/>
          <w:color w:val="000000"/>
          <w:sz w:val="22"/>
          <w:szCs w:val="22"/>
        </w:rPr>
        <w:t xml:space="preserve"> 43, por lo que es inminente que dicha dependencia cuenta con esta información, al igual que la forma en la que se les asignaron las claves que ostentan actualmente, ya que dicha dependencia emite las ordenes de </w:t>
      </w:r>
      <w:proofErr w:type="spellStart"/>
      <w:r>
        <w:rPr>
          <w:rFonts w:ascii="Palatino Linotype" w:eastAsia="Palatino Linotype" w:hAnsi="Palatino Linotype" w:cs="Palatino Linotype"/>
          <w:i/>
          <w:color w:val="000000"/>
          <w:sz w:val="22"/>
          <w:szCs w:val="22"/>
        </w:rPr>
        <w:t>presentacion</w:t>
      </w:r>
      <w:proofErr w:type="spellEnd"/>
      <w:r>
        <w:rPr>
          <w:rFonts w:ascii="Palatino Linotype" w:eastAsia="Palatino Linotype" w:hAnsi="Palatino Linotype" w:cs="Palatino Linotype"/>
          <w:i/>
          <w:color w:val="000000"/>
          <w:sz w:val="22"/>
          <w:szCs w:val="22"/>
        </w:rPr>
        <w:t xml:space="preserve"> de </w:t>
      </w:r>
      <w:proofErr w:type="spellStart"/>
      <w:r>
        <w:rPr>
          <w:rFonts w:ascii="Palatino Linotype" w:eastAsia="Palatino Linotype" w:hAnsi="Palatino Linotype" w:cs="Palatino Linotype"/>
          <w:i/>
          <w:color w:val="000000"/>
          <w:sz w:val="22"/>
          <w:szCs w:val="22"/>
        </w:rPr>
        <w:t>de</w:t>
      </w:r>
      <w:proofErr w:type="spellEnd"/>
      <w:r>
        <w:rPr>
          <w:rFonts w:ascii="Palatino Linotype" w:eastAsia="Palatino Linotype" w:hAnsi="Palatino Linotype" w:cs="Palatino Linotype"/>
          <w:i/>
          <w:color w:val="000000"/>
          <w:sz w:val="22"/>
          <w:szCs w:val="22"/>
        </w:rPr>
        <w:t xml:space="preserve"> acuerdo a la </w:t>
      </w:r>
      <w:proofErr w:type="spellStart"/>
      <w:r>
        <w:rPr>
          <w:rFonts w:ascii="Palatino Linotype" w:eastAsia="Palatino Linotype" w:hAnsi="Palatino Linotype" w:cs="Palatino Linotype"/>
          <w:i/>
          <w:color w:val="000000"/>
          <w:sz w:val="22"/>
          <w:szCs w:val="22"/>
        </w:rPr>
        <w:t>informacion</w:t>
      </w:r>
      <w:proofErr w:type="spellEnd"/>
      <w:r>
        <w:rPr>
          <w:rFonts w:ascii="Palatino Linotype" w:eastAsia="Palatino Linotype" w:hAnsi="Palatino Linotype" w:cs="Palatino Linotype"/>
          <w:i/>
          <w:color w:val="000000"/>
          <w:sz w:val="22"/>
          <w:szCs w:val="22"/>
        </w:rPr>
        <w:t xml:space="preserve"> que le </w:t>
      </w:r>
      <w:proofErr w:type="spellStart"/>
      <w:r>
        <w:rPr>
          <w:rFonts w:ascii="Palatino Linotype" w:eastAsia="Palatino Linotype" w:hAnsi="Palatino Linotype" w:cs="Palatino Linotype"/>
          <w:i/>
          <w:color w:val="000000"/>
          <w:sz w:val="22"/>
          <w:szCs w:val="22"/>
        </w:rPr>
        <w:t>compaerte</w:t>
      </w:r>
      <w:proofErr w:type="spellEnd"/>
      <w:r>
        <w:rPr>
          <w:rFonts w:ascii="Palatino Linotype" w:eastAsia="Palatino Linotype" w:hAnsi="Palatino Linotype" w:cs="Palatino Linotype"/>
          <w:i/>
          <w:color w:val="000000"/>
          <w:sz w:val="22"/>
          <w:szCs w:val="22"/>
        </w:rPr>
        <w:t xml:space="preserve"> USICAMM o en su momento Servicio Profesional Docente, en la </w:t>
      </w:r>
      <w:proofErr w:type="spellStart"/>
      <w:r>
        <w:rPr>
          <w:rFonts w:ascii="Palatino Linotype" w:eastAsia="Palatino Linotype" w:hAnsi="Palatino Linotype" w:cs="Palatino Linotype"/>
          <w:i/>
          <w:color w:val="000000"/>
          <w:sz w:val="22"/>
          <w:szCs w:val="22"/>
        </w:rPr>
        <w:t>ista</w:t>
      </w:r>
      <w:proofErr w:type="spellEnd"/>
      <w:r>
        <w:rPr>
          <w:rFonts w:ascii="Palatino Linotype" w:eastAsia="Palatino Linotype" w:hAnsi="Palatino Linotype" w:cs="Palatino Linotype"/>
          <w:i/>
          <w:color w:val="000000"/>
          <w:sz w:val="22"/>
          <w:szCs w:val="22"/>
        </w:rPr>
        <w:t xml:space="preserve"> de </w:t>
      </w:r>
      <w:proofErr w:type="spellStart"/>
      <w:r>
        <w:rPr>
          <w:rFonts w:ascii="Palatino Linotype" w:eastAsia="Palatino Linotype" w:hAnsi="Palatino Linotype" w:cs="Palatino Linotype"/>
          <w:i/>
          <w:color w:val="000000"/>
          <w:sz w:val="22"/>
          <w:szCs w:val="22"/>
        </w:rPr>
        <w:t>prelacion</w:t>
      </w:r>
      <w:proofErr w:type="spellEnd"/>
      <w:r>
        <w:rPr>
          <w:rFonts w:ascii="Palatino Linotype" w:eastAsia="Palatino Linotype" w:hAnsi="Palatino Linotype" w:cs="Palatino Linotype"/>
          <w:i/>
          <w:color w:val="000000"/>
          <w:sz w:val="22"/>
          <w:szCs w:val="22"/>
        </w:rPr>
        <w:t xml:space="preserve"> de aquellos que concursaron por una plaza vacante, por lo que dicho sujeto obligado cuenta con todos y cada uno de los datos solicitados, </w:t>
      </w:r>
      <w:proofErr w:type="spellStart"/>
      <w:r>
        <w:rPr>
          <w:rFonts w:ascii="Palatino Linotype" w:eastAsia="Palatino Linotype" w:hAnsi="Palatino Linotype" w:cs="Palatino Linotype"/>
          <w:i/>
          <w:color w:val="000000"/>
          <w:sz w:val="22"/>
          <w:szCs w:val="22"/>
        </w:rPr>
        <w:t>po</w:t>
      </w:r>
      <w:proofErr w:type="spellEnd"/>
      <w:r>
        <w:rPr>
          <w:rFonts w:ascii="Palatino Linotype" w:eastAsia="Palatino Linotype" w:hAnsi="Palatino Linotype" w:cs="Palatino Linotype"/>
          <w:i/>
          <w:color w:val="000000"/>
          <w:sz w:val="22"/>
          <w:szCs w:val="22"/>
        </w:rPr>
        <w:t xml:space="preserve"> lo que con fundamento en el artículo 53 fracciones II, IV, V y VI, de la Ley de Transparencia y Acceso a la Información Pública del Estado de México y Municipios, se deben realizar los </w:t>
      </w:r>
      <w:proofErr w:type="spellStart"/>
      <w:r>
        <w:rPr>
          <w:rFonts w:ascii="Palatino Linotype" w:eastAsia="Palatino Linotype" w:hAnsi="Palatino Linotype" w:cs="Palatino Linotype"/>
          <w:i/>
          <w:color w:val="000000"/>
          <w:sz w:val="22"/>
          <w:szCs w:val="22"/>
        </w:rPr>
        <w:t>tramites</w:t>
      </w:r>
      <w:proofErr w:type="spellEnd"/>
      <w:r>
        <w:rPr>
          <w:rFonts w:ascii="Palatino Linotype" w:eastAsia="Palatino Linotype" w:hAnsi="Palatino Linotype" w:cs="Palatino Linotype"/>
          <w:i/>
          <w:color w:val="000000"/>
          <w:sz w:val="22"/>
          <w:szCs w:val="22"/>
        </w:rPr>
        <w:t xml:space="preserve"> internos necesarios para proporcionar la información solicitada. “(Sic)</w:t>
      </w:r>
    </w:p>
    <w:p w14:paraId="7D6376E3"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En razón de lo antes expuesto, se procede a analizar si la respuesta emitida por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satisface el derecho de Acceso a la Información Pública del </w:t>
      </w:r>
      <w:r>
        <w:rPr>
          <w:rFonts w:ascii="Palatino Linotype" w:eastAsia="Palatino Linotype" w:hAnsi="Palatino Linotype" w:cs="Palatino Linotype"/>
          <w:b/>
          <w:color w:val="000000"/>
        </w:rPr>
        <w:t>RECURRENTE. </w:t>
      </w:r>
    </w:p>
    <w:p w14:paraId="6BD4CECF"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inicio, es importante precisar que la Ley General del Servicio Profesional Docente regula lo relacionado al ingreso del personal al Servicio tanto de Educación Básica como Media Superior a cargo del Estado, indicando que el ingreso se llevará a cabo mediante concursos de oposición cuya finalidad es garantizar la idoneidad de los conocimientos y las capacidades necesarias para ejercer la posición a la que aspiren obtener los docentes. </w:t>
      </w:r>
    </w:p>
    <w:p w14:paraId="5E0ECE36"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Estos concursos se llevarán a cabo mediante convocatoria pública que deberá describir el perfil necesario y demás requisitos y cuyos resultados deberán ser publicados; tal como lo establecen los artículos 1, 3 y 21 de la ley en comento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(especificar las  leyes).   </w:t>
      </w:r>
    </w:p>
    <w:p w14:paraId="7909E6EC"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xml:space="preserve"> La presente Ley es reglamentaria de la fracción III del artículo 3o. de la Constitución Política de los Estados Unidos Mexicanos, rige el Servicio Profesional Docente y establece los criterios, los términos y condiciones para el Ingreso, la Promoción, el Reconocimiento y la Permanencia en el Servicio. Las disposiciones de la presente Ley son de orden público e interés social, y de observancia general y obligatoria en los Estados Unidos Mexicanos. El marco normativo aplicable en las entidades federativas se ajustará a las previsiones de esta Ley. Los servicios de Educación Básica y Media Superior que, en su caso, impartan los ayuntamientos se sujetarán a la presente Ley. Las autoridades educativas locales deberán realizar las acciones de coordinación necesarias con los ayuntamientos.</w:t>
      </w:r>
    </w:p>
    <w:p w14:paraId="0BECEEDD"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Son sujetos del Servicio que regula esta Ley los docentes, el personal con funciones de dirección y supervisión en la Federación, las entidades federativas y municipios, así como los asesores técnico pedagógicos, en la Educación Básica y Media Superior que imparta el Estado.</w:t>
      </w:r>
    </w:p>
    <w:p w14:paraId="1B9442F8"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21.</w:t>
      </w:r>
      <w:r>
        <w:rPr>
          <w:rFonts w:ascii="Palatino Linotype" w:eastAsia="Palatino Linotype" w:hAnsi="Palatino Linotype" w:cs="Palatino Linotype"/>
          <w:i/>
          <w:sz w:val="22"/>
          <w:szCs w:val="22"/>
        </w:rPr>
        <w:t xml:space="preserve"> El Ingreso al Servicio en la Educación Básica y Media Superior que imparta el Estado y sus Organismos Descentralizados, se llevará a cabo mediante concursos de oposición, preferentemente anuales, que garanticen la idoneidad de los </w:t>
      </w:r>
      <w:r>
        <w:rPr>
          <w:rFonts w:ascii="Palatino Linotype" w:eastAsia="Palatino Linotype" w:hAnsi="Palatino Linotype" w:cs="Palatino Linotype"/>
          <w:i/>
          <w:sz w:val="22"/>
          <w:szCs w:val="22"/>
        </w:rPr>
        <w:lastRenderedPageBreak/>
        <w:t xml:space="preserve">conocimientos y las capacidades necesarias, con sujeción a los términos y criterios siguientes: </w:t>
      </w:r>
    </w:p>
    <w:p w14:paraId="21D9DDCA"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Para el Ingreso al Servicio en la Educación Básica: </w:t>
      </w:r>
    </w:p>
    <w:p w14:paraId="3E1E62FA"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Los concursos serán públicos y objeto de las convocatorias expedidas por las Autoridades Educativas con base en la información derivada del Sistema de Información y Gestión Educativa; </w:t>
      </w:r>
    </w:p>
    <w:p w14:paraId="2EC7ED6F"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Las convocatorias describirán el perfil que deberán reunir los aspirantes; las plazas sujetas a concurso; los requisitos, términos y fechas de registro; las etapas, los aspectos y métodos que comprenderá la evaluación; las sedes de aplicación; la publicación de resultados; los criterios para la asignación de las plazas, y demás elementos que la Secretaría estime pertinentes. En su caso, las convocatorias describirán los perfiles complementarios autorizados por la Secretaría; </w:t>
      </w:r>
    </w:p>
    <w:p w14:paraId="46EC8248"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Las convocatorias, una vez aprobadas por la Secretaría, se publicarán conforme a los programas a que se refiere el artículo 7, fracción II de esta Ley y con la anticipación suficiente al inicio del ciclo escolar. Cuando el caso lo justifique a juicio de la Autoridad Educativa Local y con la anuencia de la Secretaría, podrán expedirse convocatorias extraordinarias, y </w:t>
      </w:r>
    </w:p>
    <w:p w14:paraId="7A4EDE84"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En los concursos se utilizarán los perfiles, parámetros, indicadores e instrumentos de evaluación que para fines de Ingreso sean definidos conforme a lo previsto en esta Ley. </w:t>
      </w:r>
    </w:p>
    <w:p w14:paraId="3EBB7067"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Para el Ingreso al Servicio en la Educación Media Superior:</w:t>
      </w:r>
    </w:p>
    <w:p w14:paraId="37D40266"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Los concursos serán públicos y objeto de las convocatorias formuladas por las Autoridades Educativas y los Organismos Descentralizados, en el ámbito de sus respectivas competencias; </w:t>
      </w:r>
    </w:p>
    <w:p w14:paraId="5B6CDADF"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Las convocatorias describirán el perfil que deberán reunir los aspirantes; las plazas sujetas a concurso; los requisitos, términos y fechas de registro; las etapas, los aspectos y métodos que comprenderá la evaluación; las sedes de aplicación; la publicación de resultados y los criterios para la asignación del número de ingresos, y demás elementos que las Autoridades Educativas o los Organismos Descentralizados estimen pertinentes. Las convocatorias deberán contemplar las </w:t>
      </w:r>
      <w:r>
        <w:rPr>
          <w:rFonts w:ascii="Palatino Linotype" w:eastAsia="Palatino Linotype" w:hAnsi="Palatino Linotype" w:cs="Palatino Linotype"/>
          <w:i/>
          <w:sz w:val="22"/>
          <w:szCs w:val="22"/>
        </w:rPr>
        <w:lastRenderedPageBreak/>
        <w:t xml:space="preserve">distintas modalidades de este tipo educativo así como las especialidades correspondientes; </w:t>
      </w:r>
    </w:p>
    <w:p w14:paraId="7A15725A"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Las Autoridades Educativas y Organismos Descentralizados, en el ámbito de su competencia, emitirán, con anticipación suficiente al inicio del ciclo académico, las convocatorias respectivas conforme a las necesidades del Servicio y a los programas a que se refiere el artículo 7, fracción II de esta Ley; las Autoridades Educativas, en el ámbito de su competencia, deberán colaborar en la difusión de estas convocatorias, y </w:t>
      </w:r>
    </w:p>
    <w:p w14:paraId="23D0E2A1"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En los concursos se utilizarán los perfiles, parámetros, indicadores e instrumentos de evaluación que para fines de Ingreso sean definidos conforme a lo previsto en esta Ley</w:t>
      </w:r>
    </w:p>
    <w:p w14:paraId="1F92FEC0" w14:textId="77777777" w:rsidR="00AB4832" w:rsidRDefault="007D2D2A">
      <w:pPr>
        <w:pBdr>
          <w:top w:val="nil"/>
          <w:left w:val="nil"/>
          <w:bottom w:val="nil"/>
          <w:right w:val="nil"/>
          <w:between w:val="nil"/>
        </w:pBdr>
        <w:spacing w:before="280" w:after="280" w:line="360" w:lineRule="auto"/>
        <w:ind w:right="750"/>
        <w:jc w:val="both"/>
        <w:rPr>
          <w:rFonts w:ascii="Palatino Linotype" w:eastAsia="Palatino Linotype" w:hAnsi="Palatino Linotype" w:cs="Palatino Linotype"/>
        </w:rPr>
      </w:pPr>
      <w:r>
        <w:rPr>
          <w:rFonts w:ascii="Palatino Linotype" w:eastAsia="Palatino Linotype" w:hAnsi="Palatino Linotype" w:cs="Palatino Linotype"/>
        </w:rPr>
        <w:t xml:space="preserve">Preceptos normativos que encuentran su símil en los numerales 41, 42 y 43 de la Ley de Educación del Estado de México, mismos que se transcriben a continuación para mayor certeza: </w:t>
      </w:r>
    </w:p>
    <w:p w14:paraId="6543D16E" w14:textId="77777777" w:rsidR="00AB4832" w:rsidRDefault="007D2D2A">
      <w:pPr>
        <w:spacing w:before="280" w:after="280"/>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Artículo 33.- </w:t>
      </w:r>
      <w:r>
        <w:rPr>
          <w:rFonts w:ascii="Palatino Linotype" w:eastAsia="Palatino Linotype" w:hAnsi="Palatino Linotype" w:cs="Palatino Linotype"/>
          <w:i/>
          <w:sz w:val="22"/>
          <w:szCs w:val="22"/>
        </w:rPr>
        <w:t>El Servicio Profesional Docente es el conjunto de actividades y mecanismos para el ingreso, promoción, reconocimiento y permanencia en el servicio público educativo y el impulso a la formación continua, con la finalidad de garantizar la idoneidad de los conocimientos y capacidades del personal docente y del personal con funciones de dirección y supervisión en la educación básica y media superior que imparta el Estado y sus organismos descentralizados</w:t>
      </w:r>
      <w:r>
        <w:rPr>
          <w:rFonts w:ascii="Palatino Linotype" w:eastAsia="Palatino Linotype" w:hAnsi="Palatino Linotype" w:cs="Palatino Linotype"/>
        </w:rPr>
        <w:t>.</w:t>
      </w:r>
    </w:p>
    <w:p w14:paraId="75C66650"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w:t>
      </w:r>
      <w:r>
        <w:rPr>
          <w:rFonts w:ascii="Palatino Linotype" w:eastAsia="Palatino Linotype" w:hAnsi="Palatino Linotype" w:cs="Palatino Linotype"/>
          <w:i/>
          <w:sz w:val="22"/>
          <w:szCs w:val="22"/>
        </w:rPr>
        <w:t xml:space="preserve"> En la educación básica y media superior el ingreso, la promoción, el reconocimiento y la permanencia de docentes y de personal con funciones de dirección y de supervisión, en las instituciones educativas dependientes del Estado y sus organismos Art. 29 al 32 Secretaría de Asuntos Parlamentarios Ley de Educación del Estado de México descentralizados, así como de los ayuntamientos, se sujetarán a lo dispuesto por la Ley General del Servicio Profesional Docente, la Ley General de Educación, la Ley del Instituto Nacional para la Evaluación de la Educación y el presente ordenamiento.</w:t>
      </w:r>
    </w:p>
    <w:p w14:paraId="575006D8"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41</w:t>
      </w:r>
      <w:r>
        <w:rPr>
          <w:rFonts w:ascii="Palatino Linotype" w:eastAsia="Palatino Linotype" w:hAnsi="Palatino Linotype" w:cs="Palatino Linotype"/>
          <w:i/>
          <w:sz w:val="22"/>
          <w:szCs w:val="22"/>
        </w:rPr>
        <w:t xml:space="preserve">.- El ingreso al servicio en la educación básica y media superior que imparta el Estado y sus organismos descentralizados, se llevará a cabo mediante </w:t>
      </w:r>
      <w:r>
        <w:rPr>
          <w:rFonts w:ascii="Palatino Linotype" w:eastAsia="Palatino Linotype" w:hAnsi="Palatino Linotype" w:cs="Palatino Linotype"/>
          <w:i/>
          <w:sz w:val="22"/>
          <w:szCs w:val="22"/>
        </w:rPr>
        <w:lastRenderedPageBreak/>
        <w:t xml:space="preserve">concursos de oposición, preferentemente anuales, que garanticen la idoneidad de los conocimientos y las capacidades necesarias. </w:t>
      </w:r>
    </w:p>
    <w:p w14:paraId="34236902"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42.</w:t>
      </w:r>
      <w:r>
        <w:rPr>
          <w:rFonts w:ascii="Palatino Linotype" w:eastAsia="Palatino Linotype" w:hAnsi="Palatino Linotype" w:cs="Palatino Linotype"/>
          <w:i/>
          <w:sz w:val="22"/>
          <w:szCs w:val="22"/>
        </w:rPr>
        <w:t>- Para el ingreso al Servicio Profesional Docente en la educación básica, la Autoridad Educativa Estatal, deberá:</w:t>
      </w:r>
    </w:p>
    <w:p w14:paraId="4D8031B7"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Expedir las convocatorias, autorizadas por la Secretaría de Educación Pública, para el ingreso al Servicio Profesional Docente, con base en la información derivada del Sistema de Información y Gestión Educativa. Las convocatorias describirán el perfil que deberán reunir los aspirantes, las plazas sujetas a concurso, los requisitos, términos y fechas de registro, las etapas, los aspectos y métodos que comprenderá la evaluación, las sedes de aplicación, la publicación de resultados, los criterios para la asignación de las plazas, y demás elementos que la Secretaría de Educación Pública estime pertinentes. En su caso, las convocatorias describirán los perfiles complementarios autorizados por la Secretaría de Educación Pública; </w:t>
      </w:r>
    </w:p>
    <w:p w14:paraId="4A0017F7"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Publicar las citadas convocatorias aprobadas por la Secretaría de Educación Pública, de acuerdo a los programas anuales y de mediano plazo, conforme a los cuales se llevarán a cabo los procesos de evaluación; Secretaría de Asuntos Parlamentarios Ley de Educación del Estado de México </w:t>
      </w:r>
    </w:p>
    <w:p w14:paraId="00A43A72"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Expedir convocatorias extraordinarias cuando a juicio de la Autoridad Educativa Estatal lo justifique previa autorización de la Secretaría de Educación Pública. </w:t>
      </w:r>
    </w:p>
    <w:p w14:paraId="3762E77B"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43.</w:t>
      </w:r>
      <w:r>
        <w:rPr>
          <w:rFonts w:ascii="Palatino Linotype" w:eastAsia="Palatino Linotype" w:hAnsi="Palatino Linotype" w:cs="Palatino Linotype"/>
          <w:i/>
          <w:sz w:val="22"/>
          <w:szCs w:val="22"/>
        </w:rPr>
        <w:t>- Para el ingreso al Servicio Profesional Docente en la educación media superior, la Autoridad Educativa Estatal y los organismos descentralizados, deberán emitir, con la anticipación suficiente, al inicio del ciclo escolar y de acuerdo a las necesidades del servicio y a los programas anual y mediano plazo conforme a los cuales se llevarán a cabo los procesos de evaluación, las convocatorias para el ingreso al Servicio Profesional Docente en la educación media superior.</w:t>
      </w:r>
    </w:p>
    <w:p w14:paraId="685718C6"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convocatorias describirán el perfil que deberán reunir los aspirantes; las plazas sujetas a concurso, los requisitos, términos y fechas de registro, las etapas, los aspectos y métodos que comprenderá la evaluación, las sedes de aplicación, la publicación de resultados y los criterios para la asignación del número de ingresos, y demás elementos que la Autoridad Educativa o los organismos descentralizados estimen pertinentes. Las convocatorias deberán contemplar las distintas modalidades de este tipo educativo así como las especialidades correspondientes.</w:t>
      </w:r>
    </w:p>
    <w:p w14:paraId="705E46FB"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los artículos en cita, se desprende que para llevar a cabo las tareas de planeación, promoción y aplicación de los concursos para el ingreso al Servicio Profesional Docente es en su mayoría el Instituto Nacional para la Evaluación de la Educación; no obstante, las autoridades educativas tanto estatales como nacionales tienen dentro de sus atribuciones las de coadyuvar en el proceso, ya sea para integrar los programas como para determinar los perfiles que se publiquen como parte de la convocatoria. </w:t>
      </w:r>
    </w:p>
    <w:p w14:paraId="6BD61054"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como parte de los objetivos de la Ley General del Servicio Profesional Docente, es distribuir las atribuciones que tendrán cada una de las autoridades e instituciones en materia de Educación Pública, señalando en sus artículos 37 fracciones XIV y XVII, así como 38 fracción XVI dentro de las facultades de la Autoridad Educativa Estatal las siguientes: </w:t>
      </w:r>
    </w:p>
    <w:p w14:paraId="0E3D5E2E"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37.- </w:t>
      </w:r>
      <w:r>
        <w:rPr>
          <w:rFonts w:ascii="Palatino Linotype" w:eastAsia="Palatino Linotype" w:hAnsi="Palatino Linotype" w:cs="Palatino Linotype"/>
          <w:i/>
          <w:sz w:val="22"/>
          <w:szCs w:val="22"/>
        </w:rPr>
        <w:t xml:space="preserve">La Autoridad Educativa Estatal, en el ámbito de la educación básica y respecto del Servicio Profesional Docente, tendrá las atribuciones siguientes: </w:t>
      </w:r>
    </w:p>
    <w:p w14:paraId="6352C155" w14:textId="77777777" w:rsidR="00AB4832" w:rsidRDefault="007D2D2A">
      <w:pPr>
        <w:spacing w:before="280"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XIV. </w:t>
      </w:r>
      <w:r>
        <w:rPr>
          <w:rFonts w:ascii="Palatino Linotype" w:eastAsia="Palatino Linotype" w:hAnsi="Palatino Linotype" w:cs="Palatino Linotype"/>
          <w:b/>
          <w:i/>
          <w:sz w:val="22"/>
          <w:szCs w:val="22"/>
        </w:rPr>
        <w:t xml:space="preserve">Administrar la asignación de plazas </w:t>
      </w:r>
      <w:r>
        <w:rPr>
          <w:rFonts w:ascii="Palatino Linotype" w:eastAsia="Palatino Linotype" w:hAnsi="Palatino Linotype" w:cs="Palatino Linotype"/>
          <w:i/>
          <w:sz w:val="22"/>
          <w:szCs w:val="22"/>
        </w:rPr>
        <w:t xml:space="preserve">con estricto apego al orden establecido con base en los puntajes obtenidos de mayor a menor de los sustentantes que resultaron idóneos en el concurso. </w:t>
      </w:r>
      <w:r>
        <w:rPr>
          <w:rFonts w:ascii="Palatino Linotype" w:eastAsia="Palatino Linotype" w:hAnsi="Palatino Linotype" w:cs="Palatino Linotype"/>
          <w:b/>
          <w:i/>
          <w:sz w:val="22"/>
          <w:szCs w:val="22"/>
        </w:rPr>
        <w:t>Podrán asignarse para el inicio del ciclo escolar o en el transcurso de éste cuando se generen vacantes que la Autoridad Educativa determine que deban ser ocupadas;</w:t>
      </w:r>
    </w:p>
    <w:p w14:paraId="78CFC3AD"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XVIII. Determinar, dentro de la estructura ocupacional autorizada, qué puestos del personal técnico docente formarán parte del Servicio Profesional Docente;</w:t>
      </w:r>
    </w:p>
    <w:p w14:paraId="5592AFF8" w14:textId="77777777" w:rsidR="00AB4832" w:rsidRDefault="007D2D2A">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38.-</w:t>
      </w:r>
      <w:r>
        <w:rPr>
          <w:rFonts w:ascii="Palatino Linotype" w:eastAsia="Palatino Linotype" w:hAnsi="Palatino Linotype" w:cs="Palatino Linotype"/>
          <w:i/>
          <w:sz w:val="22"/>
          <w:szCs w:val="22"/>
        </w:rPr>
        <w:t xml:space="preserve"> La Autoridad Educativa Estatal y los organismos descentralizados, respecto de las escuelas a su cargo, en el ámbito de la educación media superior y respecto del Servicio Profesional Docente, tendrán las atribuciones siguientes: </w:t>
      </w:r>
    </w:p>
    <w:p w14:paraId="77759B20" w14:textId="77777777" w:rsidR="00AB4832" w:rsidRDefault="007D2D2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 </w:t>
      </w:r>
      <w:r>
        <w:rPr>
          <w:rFonts w:ascii="Palatino Linotype" w:eastAsia="Palatino Linotype" w:hAnsi="Palatino Linotype" w:cs="Palatino Linotype"/>
          <w:b/>
          <w:i/>
          <w:sz w:val="22"/>
          <w:szCs w:val="22"/>
        </w:rPr>
        <w:t xml:space="preserve">Administrar la asignación de plazas </w:t>
      </w:r>
      <w:r>
        <w:rPr>
          <w:rFonts w:ascii="Palatino Linotype" w:eastAsia="Palatino Linotype" w:hAnsi="Palatino Linotype" w:cs="Palatino Linotype"/>
          <w:i/>
          <w:sz w:val="22"/>
          <w:szCs w:val="22"/>
        </w:rPr>
        <w:t xml:space="preserve">con estricto apego al orden establecido con base en los puntajes obtenidos de mayor a menor de los sustentantes que </w:t>
      </w:r>
      <w:r>
        <w:rPr>
          <w:rFonts w:ascii="Palatino Linotype" w:eastAsia="Palatino Linotype" w:hAnsi="Palatino Linotype" w:cs="Palatino Linotype"/>
          <w:i/>
          <w:sz w:val="22"/>
          <w:szCs w:val="22"/>
        </w:rPr>
        <w:lastRenderedPageBreak/>
        <w:t>resultaron idóneos en el concurso.</w:t>
      </w:r>
      <w:r>
        <w:rPr>
          <w:rFonts w:ascii="Palatino Linotype" w:eastAsia="Palatino Linotype" w:hAnsi="Palatino Linotype" w:cs="Palatino Linotype"/>
          <w:b/>
          <w:i/>
          <w:sz w:val="22"/>
          <w:szCs w:val="22"/>
        </w:rPr>
        <w:t xml:space="preserve"> Podrán asignarse para el inicio del ciclo escolar o en el transcurso de éste cuando se generen vacantes que la Autoridad Educativa determine que deban ser ocupadas;</w:t>
      </w:r>
      <w:r>
        <w:rPr>
          <w:rFonts w:ascii="Palatino Linotype" w:eastAsia="Palatino Linotype" w:hAnsi="Palatino Linotype" w:cs="Palatino Linotype"/>
          <w:i/>
          <w:sz w:val="22"/>
          <w:szCs w:val="22"/>
        </w:rPr>
        <w:t>”</w:t>
      </w:r>
    </w:p>
    <w:p w14:paraId="75CD1940" w14:textId="77777777" w:rsidR="00AB4832" w:rsidRDefault="007D2D2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84EAB8D"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dentro de las atribuciones conferidas a las autoridades estatales en materia de educación, se encuentran la de administrar la asignación de plazas ya sea al inicio del ciclo escolar o cuando quede vacante alguna de éstas. </w:t>
      </w:r>
    </w:p>
    <w:p w14:paraId="5D183170"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Situación que queda refrendada dentro de la normatividad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como lo prevé el artículo 34 Bis, fracción I, del Reglamento Interior de Servicios Educativos Integrados al Estado de México, publicado en el Periódico Oficial “Gaceta del Gobierno” el 10 de junio de 2003 y el cual se refiere a la atribuciones de la Unidad de Apoyo al Servicio Profesional Docente,  como se aprecia a continuación: </w:t>
      </w:r>
    </w:p>
    <w:p w14:paraId="042D8123" w14:textId="77777777" w:rsidR="00AB4832" w:rsidRDefault="007D2D2A">
      <w:pPr>
        <w:pBdr>
          <w:top w:val="nil"/>
          <w:left w:val="nil"/>
          <w:bottom w:val="nil"/>
          <w:right w:val="nil"/>
          <w:between w:val="nil"/>
        </w:pBd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 Bis.</w:t>
      </w:r>
      <w:r>
        <w:rPr>
          <w:rFonts w:ascii="Palatino Linotype" w:eastAsia="Palatino Linotype" w:hAnsi="Palatino Linotype" w:cs="Palatino Linotype"/>
          <w:i/>
          <w:sz w:val="22"/>
          <w:szCs w:val="22"/>
        </w:rPr>
        <w:t xml:space="preserve">- Corresponde a la Unidad de Apoyo al Servicio Profesional Docente: </w:t>
      </w:r>
    </w:p>
    <w:p w14:paraId="60BFE152" w14:textId="77777777" w:rsidR="00AB4832" w:rsidRDefault="007D2D2A">
      <w:pPr>
        <w:pBdr>
          <w:top w:val="nil"/>
          <w:left w:val="nil"/>
          <w:bottom w:val="nil"/>
          <w:right w:val="nil"/>
          <w:between w:val="nil"/>
        </w:pBdr>
        <w:spacing w:line="360" w:lineRule="auto"/>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I.- </w:t>
      </w:r>
      <w:proofErr w:type="spellStart"/>
      <w:r>
        <w:rPr>
          <w:rFonts w:ascii="Palatino Linotype" w:eastAsia="Palatino Linotype" w:hAnsi="Palatino Linotype" w:cs="Palatino Linotype"/>
          <w:i/>
          <w:sz w:val="22"/>
          <w:szCs w:val="22"/>
        </w:rPr>
        <w:t>Coordina,r</w:t>
      </w:r>
      <w:proofErr w:type="spellEnd"/>
      <w:r>
        <w:rPr>
          <w:rFonts w:ascii="Palatino Linotype" w:eastAsia="Palatino Linotype" w:hAnsi="Palatino Linotype" w:cs="Palatino Linotype"/>
          <w:i/>
          <w:sz w:val="22"/>
          <w:szCs w:val="22"/>
        </w:rPr>
        <w:t xml:space="preserve"> y supervisar para su atención, vinculación y gestión, al interior del Organismo, las acciones solicitadas por las instancias federales y estatales, relativas a la </w:t>
      </w:r>
      <w:r>
        <w:rPr>
          <w:rFonts w:ascii="Palatino Linotype" w:eastAsia="Palatino Linotype" w:hAnsi="Palatino Linotype" w:cs="Palatino Linotype"/>
          <w:b/>
          <w:i/>
          <w:sz w:val="22"/>
          <w:szCs w:val="22"/>
        </w:rPr>
        <w:t>operación y seguimiento de los procesos de ingreso, promoción, permanencia, y reconocimiento, conforme a la normatividad vigente del Servicio Profesional Docente;</w:t>
      </w:r>
    </w:p>
    <w:p w14:paraId="3C33FD2D"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dentro del Manual de Procedimientos del Departamento de Trámite y Control de Personal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encuentra la guía para el llenado del Formato Único de Movimientos de Personal, la cual se debe asentar la </w:t>
      </w:r>
      <w:r>
        <w:rPr>
          <w:rFonts w:ascii="Palatino Linotype" w:eastAsia="Palatino Linotype" w:hAnsi="Palatino Linotype" w:cs="Palatino Linotype"/>
        </w:rPr>
        <w:lastRenderedPageBreak/>
        <w:t xml:space="preserve">plaza y si esta fue obtenida mediante concurso de oposición, como se puede observar de las capturas de pantalla siguientes: </w:t>
      </w:r>
    </w:p>
    <w:p w14:paraId="318480E3" w14:textId="77777777" w:rsidR="00AB4832" w:rsidRDefault="007D2D2A">
      <w:pPr>
        <w:pBdr>
          <w:top w:val="nil"/>
          <w:left w:val="nil"/>
          <w:bottom w:val="nil"/>
          <w:right w:val="nil"/>
          <w:between w:val="nil"/>
        </w:pBdr>
        <w:spacing w:before="280" w:after="28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009CB450" wp14:editId="16BE0FD2">
            <wp:extent cx="5791835" cy="3200400"/>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835" cy="3200400"/>
                    </a:xfrm>
                    <a:prstGeom prst="rect">
                      <a:avLst/>
                    </a:prstGeom>
                    <a:ln/>
                  </pic:spPr>
                </pic:pic>
              </a:graphicData>
            </a:graphic>
          </wp:inline>
        </w:drawing>
      </w:r>
    </w:p>
    <w:p w14:paraId="435160A0" w14:textId="77777777" w:rsidR="00AB4832" w:rsidRDefault="007D2D2A">
      <w:pPr>
        <w:pBdr>
          <w:top w:val="nil"/>
          <w:left w:val="nil"/>
          <w:bottom w:val="nil"/>
          <w:right w:val="nil"/>
          <w:between w:val="nil"/>
        </w:pBdr>
        <w:spacing w:before="280" w:after="28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1471ABF5" wp14:editId="67DE8B9D">
            <wp:extent cx="5787563" cy="1078548"/>
            <wp:effectExtent l="0" t="0" r="0" b="0"/>
            <wp:docPr id="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787563" cy="1078548"/>
                    </a:xfrm>
                    <a:prstGeom prst="rect">
                      <a:avLst/>
                    </a:prstGeom>
                    <a:ln/>
                  </pic:spPr>
                </pic:pic>
              </a:graphicData>
            </a:graphic>
          </wp:inline>
        </w:drawing>
      </w:r>
    </w:p>
    <w:p w14:paraId="23F4C400"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5F9EF1AB" wp14:editId="6FAA175E">
            <wp:extent cx="5791200" cy="4812348"/>
            <wp:effectExtent l="0" t="0" r="0" b="0"/>
            <wp:docPr id="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5791200" cy="4812348"/>
                    </a:xfrm>
                    <a:prstGeom prst="rect">
                      <a:avLst/>
                    </a:prstGeom>
                    <a:ln/>
                  </pic:spPr>
                </pic:pic>
              </a:graphicData>
            </a:graphic>
          </wp:inline>
        </w:drawing>
      </w:r>
    </w:p>
    <w:p w14:paraId="001000BB"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las imágenes arriba insertas, se puede apreciar, que dentro del Formato Único de Personal, se deben reflejar las diferentes claves con las que cuenta el servidor público, la plaza y si esta fue obtenida mediante concurso. </w:t>
      </w:r>
    </w:p>
    <w:p w14:paraId="00F8B96A"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el Reglamento Interior de Servicios Educativos Integrados al Estado de México indica en su artículo 32 las facultades de la Dirección de Administración y Desarrollo de personal entre las cuales se encuentran las siguientes: </w:t>
      </w:r>
    </w:p>
    <w:p w14:paraId="60EDC2D1"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32.</w:t>
      </w:r>
      <w:r>
        <w:rPr>
          <w:rFonts w:ascii="Palatino Linotype" w:eastAsia="Palatino Linotype" w:hAnsi="Palatino Linotype" w:cs="Palatino Linotype"/>
          <w:i/>
          <w:sz w:val="22"/>
          <w:szCs w:val="22"/>
        </w:rPr>
        <w:t xml:space="preserve">- Corresponde a la Dirección de Administración y Desarrollo de Personal: </w:t>
      </w:r>
    </w:p>
    <w:p w14:paraId="1C57B2F9"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Proponer políticas y lineamientos para la administración y desarrollo del personal de SEIEM, atendiendo a la normatividad aplicable; </w:t>
      </w:r>
    </w:p>
    <w:p w14:paraId="6B79B799" w14:textId="77777777" w:rsidR="00AB4832" w:rsidRDefault="007D2D2A">
      <w:pPr>
        <w:widowControl w:val="0"/>
        <w:spacing w:before="280"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Elaborar y mantener actualizados los catálogos de puestos, tabuladores de sueldos y la plantilla de personal de SEIEM; </w:t>
      </w:r>
    </w:p>
    <w:p w14:paraId="37854AD0"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Aplicar las normas contenidas en la legislación laboral y en las condiciones generales de trabajo, al personal de SEIEM; </w:t>
      </w:r>
    </w:p>
    <w:p w14:paraId="0F93EC80"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Bis. Verificar y ejecutar, en el ámbito de su competencia, las acciones y estrategias derivadas del Servicio Profesional Docente, conforme a la aplicación de las normas, políticas y lineamientos vigentes;</w:t>
      </w:r>
      <w:r>
        <w:rPr>
          <w:rFonts w:ascii="Palatino Linotype" w:eastAsia="Palatino Linotype" w:hAnsi="Palatino Linotype" w:cs="Palatino Linotype"/>
          <w:i/>
          <w:sz w:val="22"/>
          <w:szCs w:val="22"/>
        </w:rPr>
        <w:t xml:space="preserve"> </w:t>
      </w:r>
    </w:p>
    <w:p w14:paraId="38E4A34C" w14:textId="77777777" w:rsidR="00AB4832" w:rsidRDefault="007D2D2A">
      <w:pPr>
        <w:widowControl w:val="0"/>
        <w:spacing w:before="280" w:after="280"/>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IV. Tramitar los movimientos y demás incidencias del personal de SEIEM; </w:t>
      </w:r>
    </w:p>
    <w:p w14:paraId="36596850"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Elaborar con la participación que corresponda a las unidades administrativas de SEIEM, los programas y convenios en materia de capacitación y desarrollo del personal de apoyo y asistencia a la educación y someterlos a la consideración del Coordinador de Administración y Finanzas; </w:t>
      </w:r>
    </w:p>
    <w:p w14:paraId="1F038667"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Proponer políticas de estímulos y recompensas para el personal de SEIEM;</w:t>
      </w:r>
    </w:p>
    <w:p w14:paraId="6547DFE1"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 Organizar, controlar y mantener actualizados los expedientes del personal de SEIEM;</w:t>
      </w:r>
      <w:r>
        <w:rPr>
          <w:rFonts w:ascii="Palatino Linotype" w:eastAsia="Palatino Linotype" w:hAnsi="Palatino Linotype" w:cs="Palatino Linotype"/>
          <w:i/>
          <w:sz w:val="22"/>
          <w:szCs w:val="22"/>
        </w:rPr>
        <w:t xml:space="preserve"> </w:t>
      </w:r>
    </w:p>
    <w:p w14:paraId="11649900"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Supervisar el proceso de pago de remuneraciones al personal de SEIEM; </w:t>
      </w:r>
    </w:p>
    <w:p w14:paraId="5B4E5BCE"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Expedir documentos en materia de prestaciones de seguridad social y escalafón para el personal de SEIEM; </w:t>
      </w:r>
    </w:p>
    <w:p w14:paraId="6824E0A0"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Operar de manera directa los programas y acciones que se deriven de los acuerdos o convenios celebrados o que se celebren con el Sindicato Nacional de Trabajadores de la Educación, en materia de prestaciones laborales. </w:t>
      </w:r>
    </w:p>
    <w:p w14:paraId="69CA3E74" w14:textId="77777777" w:rsidR="00AB4832" w:rsidRDefault="007D2D2A">
      <w:pPr>
        <w:widowControl w:val="0"/>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Vigilar la operación del sistema de promoción y desarrollo para el personal de apoyo y asistencia a la educación; y </w:t>
      </w:r>
    </w:p>
    <w:p w14:paraId="0ECACA4D" w14:textId="77777777" w:rsidR="00AB4832" w:rsidRDefault="007D2D2A">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XII. Las demás que le confieran otras disposiciones legales y aquellas que le encomiende el Coordinador de Administración y Finanzas y el Director General.</w:t>
      </w:r>
    </w:p>
    <w:p w14:paraId="14BF9D81" w14:textId="77777777" w:rsidR="00AB4832" w:rsidRDefault="007D2D2A">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60A13D1" w14:textId="77777777" w:rsidR="00AB4832" w:rsidRDefault="00AB4832">
      <w:pPr>
        <w:widowControl w:val="0"/>
        <w:ind w:left="850" w:right="899"/>
        <w:jc w:val="both"/>
        <w:rPr>
          <w:rFonts w:ascii="Palatino Linotype" w:eastAsia="Palatino Linotype" w:hAnsi="Palatino Linotype" w:cs="Palatino Linotype"/>
          <w:i/>
          <w:sz w:val="22"/>
          <w:szCs w:val="22"/>
        </w:rPr>
      </w:pPr>
    </w:p>
    <w:p w14:paraId="1BA6E403" w14:textId="77777777" w:rsidR="00AB4832" w:rsidRDefault="007D2D2A">
      <w:pPr>
        <w:pBdr>
          <w:top w:val="nil"/>
          <w:left w:val="nil"/>
          <w:bottom w:val="nil"/>
          <w:right w:val="nil"/>
          <w:between w:val="nil"/>
        </w:pBdr>
        <w:spacing w:before="280" w:after="280" w:line="360" w:lineRule="auto"/>
        <w:ind w:right="49"/>
        <w:jc w:val="both"/>
      </w:pPr>
      <w:r>
        <w:rPr>
          <w:rFonts w:ascii="Palatino Linotype" w:eastAsia="Palatino Linotype" w:hAnsi="Palatino Linotype" w:cs="Palatino Linotype"/>
        </w:rPr>
        <w:t xml:space="preserve">No se omite referir que en la solicitud de información del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éste requirió conocer las claves que ostentaban dos servidores públicos que se encuentran actualmente de licencia conforme a los establecido por el artículo 43, fracción VIII, contemplado en la Ley Federal de los Trabajadores al Servicio del Estado, el cual a la letra señala: </w:t>
      </w:r>
    </w:p>
    <w:p w14:paraId="6C860B92" w14:textId="77777777" w:rsidR="00AB4832" w:rsidRDefault="007D2D2A">
      <w:pPr>
        <w:ind w:left="850" w:right="899"/>
        <w:jc w:val="both"/>
        <w:rPr>
          <w:rFonts w:ascii="Palatino Linotype" w:eastAsia="Palatino Linotype" w:hAnsi="Palatino Linotype" w:cs="Palatino Linotype"/>
          <w:i/>
          <w:sz w:val="22"/>
          <w:szCs w:val="22"/>
        </w:rPr>
      </w:pPr>
      <w:bookmarkStart w:id="2" w:name="_heading=h.wf0s26wubzyn" w:colFirst="0" w:colLast="0"/>
      <w:bookmarkEnd w:id="2"/>
      <w:r>
        <w:rPr>
          <w:rFonts w:ascii="Palatino Linotype" w:eastAsia="Palatino Linotype" w:hAnsi="Palatino Linotype" w:cs="Palatino Linotype"/>
          <w:b/>
          <w:i/>
          <w:sz w:val="22"/>
          <w:szCs w:val="22"/>
        </w:rPr>
        <w:t>Artículo 43.-</w:t>
      </w:r>
      <w:r>
        <w:rPr>
          <w:rFonts w:ascii="Palatino Linotype" w:eastAsia="Palatino Linotype" w:hAnsi="Palatino Linotype" w:cs="Palatino Linotype"/>
          <w:i/>
          <w:sz w:val="22"/>
          <w:szCs w:val="22"/>
        </w:rPr>
        <w:t xml:space="preserve"> Son obligaciones de los titulares a que se refiere el Artículo 1o. de esta Ley:</w:t>
      </w:r>
    </w:p>
    <w:p w14:paraId="6D76E0FD" w14:textId="77777777" w:rsidR="00AB4832" w:rsidRDefault="007D2D2A">
      <w:pPr>
        <w:ind w:left="850" w:right="899"/>
        <w:jc w:val="both"/>
        <w:rPr>
          <w:rFonts w:ascii="Palatino Linotype" w:eastAsia="Palatino Linotype" w:hAnsi="Palatino Linotype" w:cs="Palatino Linotype"/>
          <w:i/>
          <w:sz w:val="22"/>
          <w:szCs w:val="22"/>
        </w:rPr>
      </w:pPr>
      <w:bookmarkStart w:id="3" w:name="_heading=h.5y2ul5a1oryz" w:colFirst="0" w:colLast="0"/>
      <w:bookmarkEnd w:id="3"/>
      <w:r>
        <w:rPr>
          <w:rFonts w:ascii="Palatino Linotype" w:eastAsia="Palatino Linotype" w:hAnsi="Palatino Linotype" w:cs="Palatino Linotype"/>
          <w:i/>
          <w:sz w:val="22"/>
          <w:szCs w:val="22"/>
        </w:rPr>
        <w:t xml:space="preserve">VIII.- </w:t>
      </w:r>
      <w:r>
        <w:rPr>
          <w:rFonts w:ascii="Palatino Linotype" w:eastAsia="Palatino Linotype" w:hAnsi="Palatino Linotype" w:cs="Palatino Linotype"/>
          <w:b/>
          <w:i/>
          <w:sz w:val="22"/>
          <w:szCs w:val="22"/>
        </w:rPr>
        <w:t>Conceder licencias a sus trabajadores</w:t>
      </w:r>
      <w:r>
        <w:rPr>
          <w:rFonts w:ascii="Palatino Linotype" w:eastAsia="Palatino Linotype" w:hAnsi="Palatino Linotype" w:cs="Palatino Linotype"/>
          <w:i/>
          <w:sz w:val="22"/>
          <w:szCs w:val="22"/>
        </w:rPr>
        <w:t xml:space="preserve">, sin menoscabo de sus derechos y antigüedad y en los términos de las Condiciones Generales de Trabajo, en los siguientes casos: </w:t>
      </w:r>
    </w:p>
    <w:p w14:paraId="04A23AFB" w14:textId="77777777" w:rsidR="00AB4832" w:rsidRDefault="007D2D2A">
      <w:pPr>
        <w:ind w:left="850" w:right="899"/>
        <w:jc w:val="both"/>
        <w:rPr>
          <w:rFonts w:ascii="Palatino Linotype" w:eastAsia="Palatino Linotype" w:hAnsi="Palatino Linotype" w:cs="Palatino Linotype"/>
          <w:i/>
          <w:sz w:val="22"/>
          <w:szCs w:val="22"/>
        </w:rPr>
      </w:pPr>
      <w:bookmarkStart w:id="4" w:name="_heading=h.j0xx198f48ht" w:colFirst="0" w:colLast="0"/>
      <w:bookmarkEnd w:id="4"/>
      <w:r>
        <w:rPr>
          <w:rFonts w:ascii="Palatino Linotype" w:eastAsia="Palatino Linotype" w:hAnsi="Palatino Linotype" w:cs="Palatino Linotype"/>
          <w:b/>
          <w:i/>
          <w:sz w:val="22"/>
          <w:szCs w:val="22"/>
        </w:rPr>
        <w:t>a).- Para el desempeño de comisiones sindicales.</w:t>
      </w:r>
      <w:r>
        <w:rPr>
          <w:rFonts w:ascii="Palatino Linotype" w:eastAsia="Palatino Linotype" w:hAnsi="Palatino Linotype" w:cs="Palatino Linotype"/>
          <w:i/>
          <w:sz w:val="22"/>
          <w:szCs w:val="22"/>
        </w:rPr>
        <w:t xml:space="preserve"> </w:t>
      </w:r>
    </w:p>
    <w:p w14:paraId="5EBD6667" w14:textId="77777777" w:rsidR="00AB4832" w:rsidRDefault="007D2D2A">
      <w:pPr>
        <w:ind w:left="850" w:right="899"/>
        <w:jc w:val="both"/>
        <w:rPr>
          <w:rFonts w:ascii="Palatino Linotype" w:eastAsia="Palatino Linotype" w:hAnsi="Palatino Linotype" w:cs="Palatino Linotype"/>
          <w:i/>
          <w:sz w:val="22"/>
          <w:szCs w:val="22"/>
        </w:rPr>
      </w:pPr>
      <w:bookmarkStart w:id="5" w:name="_heading=h.z7su7ekkv8bk" w:colFirst="0" w:colLast="0"/>
      <w:bookmarkEnd w:id="5"/>
      <w:r>
        <w:rPr>
          <w:rFonts w:ascii="Palatino Linotype" w:eastAsia="Palatino Linotype" w:hAnsi="Palatino Linotype" w:cs="Palatino Linotype"/>
          <w:i/>
          <w:sz w:val="22"/>
          <w:szCs w:val="22"/>
        </w:rPr>
        <w:t xml:space="preserve">b).- Cuando sean promovidos temporalmente al ejercicio de otras comisiones, en dependencia diferente a la de su adscripción. </w:t>
      </w:r>
    </w:p>
    <w:p w14:paraId="230E789A" w14:textId="77777777" w:rsidR="00AB4832" w:rsidRDefault="007D2D2A">
      <w:pPr>
        <w:ind w:left="850" w:right="899"/>
        <w:jc w:val="both"/>
        <w:rPr>
          <w:rFonts w:ascii="Palatino Linotype" w:eastAsia="Palatino Linotype" w:hAnsi="Palatino Linotype" w:cs="Palatino Linotype"/>
          <w:i/>
          <w:sz w:val="22"/>
          <w:szCs w:val="22"/>
        </w:rPr>
      </w:pPr>
      <w:bookmarkStart w:id="6" w:name="_heading=h.q1tu4nc54hii" w:colFirst="0" w:colLast="0"/>
      <w:bookmarkEnd w:id="6"/>
      <w:r>
        <w:rPr>
          <w:rFonts w:ascii="Palatino Linotype" w:eastAsia="Palatino Linotype" w:hAnsi="Palatino Linotype" w:cs="Palatino Linotype"/>
          <w:i/>
          <w:sz w:val="22"/>
          <w:szCs w:val="22"/>
        </w:rPr>
        <w:t xml:space="preserve">c).- Para desempeñar cargos de elección popular. </w:t>
      </w:r>
    </w:p>
    <w:p w14:paraId="7D357718" w14:textId="77777777" w:rsidR="00AB4832" w:rsidRDefault="007D2D2A">
      <w:pPr>
        <w:ind w:left="850" w:right="899"/>
        <w:jc w:val="both"/>
        <w:rPr>
          <w:rFonts w:ascii="Palatino Linotype" w:eastAsia="Palatino Linotype" w:hAnsi="Palatino Linotype" w:cs="Palatino Linotype"/>
          <w:i/>
          <w:sz w:val="22"/>
          <w:szCs w:val="22"/>
        </w:rPr>
      </w:pPr>
      <w:bookmarkStart w:id="7" w:name="_heading=h.5ksp0wb9v067" w:colFirst="0" w:colLast="0"/>
      <w:bookmarkEnd w:id="7"/>
      <w:r>
        <w:rPr>
          <w:rFonts w:ascii="Palatino Linotype" w:eastAsia="Palatino Linotype" w:hAnsi="Palatino Linotype" w:cs="Palatino Linotype"/>
          <w:i/>
          <w:sz w:val="22"/>
          <w:szCs w:val="22"/>
        </w:rPr>
        <w:t xml:space="preserve">d).- A trabajadores que sufran enfermedades no profesionales, en los términos del artículo 111 de la presente Ley, y </w:t>
      </w:r>
    </w:p>
    <w:p w14:paraId="0726DB0B" w14:textId="77777777" w:rsidR="00AB4832" w:rsidRDefault="007D2D2A">
      <w:pPr>
        <w:ind w:left="850" w:right="899"/>
        <w:jc w:val="both"/>
        <w:rPr>
          <w:rFonts w:ascii="Palatino Linotype" w:eastAsia="Palatino Linotype" w:hAnsi="Palatino Linotype" w:cs="Palatino Linotype"/>
          <w:i/>
          <w:sz w:val="22"/>
          <w:szCs w:val="22"/>
        </w:rPr>
      </w:pPr>
      <w:bookmarkStart w:id="8" w:name="_heading=h.lferrmigqrhr" w:colFirst="0" w:colLast="0"/>
      <w:bookmarkEnd w:id="8"/>
      <w:r>
        <w:rPr>
          <w:rFonts w:ascii="Palatino Linotype" w:eastAsia="Palatino Linotype" w:hAnsi="Palatino Linotype" w:cs="Palatino Linotype"/>
          <w:i/>
          <w:sz w:val="22"/>
          <w:szCs w:val="22"/>
        </w:rPr>
        <w:t>e).- Por razones de carácter personal del trabajador.</w:t>
      </w:r>
    </w:p>
    <w:p w14:paraId="78ADEA44"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precepto normativo remite al artículo primero de la citada ley, el cual establece las autoridades para las cuales es aplicable dicha ley como se puede observar en la cita siguiente: </w:t>
      </w:r>
    </w:p>
    <w:p w14:paraId="43013886" w14:textId="77777777" w:rsidR="00AB4832" w:rsidRDefault="007D2D2A">
      <w:pPr>
        <w:pBdr>
          <w:top w:val="nil"/>
          <w:left w:val="nil"/>
          <w:bottom w:val="nil"/>
          <w:right w:val="nil"/>
          <w:between w:val="nil"/>
        </w:pBd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1o.-</w:t>
      </w:r>
      <w:r>
        <w:rPr>
          <w:rFonts w:ascii="Palatino Linotype" w:eastAsia="Palatino Linotype" w:hAnsi="Palatino Linotype" w:cs="Palatino Linotype"/>
          <w:i/>
          <w:sz w:val="22"/>
          <w:szCs w:val="22"/>
        </w:rPr>
        <w:t xml:space="preserve"> La presente Ley es de observancia general para los titulares y trabajadores de las dependencias de los Poderes de la Unión, del Gobierno del Distrito Federal, de las Instituciones que a continuación se enumeran: Instituto de Seguridad y Servicios Sociales de los Trabajadores del Estado, Juntas Federales de Mejoras Materiales, Instituto Nacional de la Vivienda, Lotería Nacional, Instituto Nacional </w:t>
      </w:r>
      <w:r>
        <w:rPr>
          <w:rFonts w:ascii="Palatino Linotype" w:eastAsia="Palatino Linotype" w:hAnsi="Palatino Linotype" w:cs="Palatino Linotype"/>
          <w:i/>
          <w:sz w:val="22"/>
          <w:szCs w:val="22"/>
        </w:rPr>
        <w:lastRenderedPageBreak/>
        <w:t xml:space="preserve">de Protección a la Infancia, Instituto Nacional Indigenista, Comisión Nacional Bancaria y de Seguros, Comisión Nacional de Valores, Comisión de Tarifas de Electricidad y Gas, Centro </w:t>
      </w:r>
      <w:proofErr w:type="spellStart"/>
      <w:r>
        <w:rPr>
          <w:rFonts w:ascii="Palatino Linotype" w:eastAsia="Palatino Linotype" w:hAnsi="Palatino Linotype" w:cs="Palatino Linotype"/>
          <w:i/>
          <w:sz w:val="22"/>
          <w:szCs w:val="22"/>
        </w:rPr>
        <w:t>MaternoInfantil</w:t>
      </w:r>
      <w:proofErr w:type="spellEnd"/>
      <w:r>
        <w:rPr>
          <w:rFonts w:ascii="Palatino Linotype" w:eastAsia="Palatino Linotype" w:hAnsi="Palatino Linotype" w:cs="Palatino Linotype"/>
          <w:i/>
          <w:sz w:val="22"/>
          <w:szCs w:val="22"/>
        </w:rPr>
        <w:t xml:space="preserve"> Maximino </w:t>
      </w:r>
      <w:proofErr w:type="spellStart"/>
      <w:r>
        <w:rPr>
          <w:rFonts w:ascii="Palatino Linotype" w:eastAsia="Palatino Linotype" w:hAnsi="Palatino Linotype" w:cs="Palatino Linotype"/>
          <w:i/>
          <w:sz w:val="22"/>
          <w:szCs w:val="22"/>
        </w:rPr>
        <w:t>Avila</w:t>
      </w:r>
      <w:proofErr w:type="spellEnd"/>
      <w:r>
        <w:rPr>
          <w:rFonts w:ascii="Palatino Linotype" w:eastAsia="Palatino Linotype" w:hAnsi="Palatino Linotype" w:cs="Palatino Linotype"/>
          <w:i/>
          <w:sz w:val="22"/>
          <w:szCs w:val="22"/>
        </w:rPr>
        <w:t xml:space="preserve"> Camacho y Hospital Infantil; así como de los otros organismos descentralizados, similares a los anteriores que tengan a su cargo función de servicios públicos.</w:t>
      </w:r>
    </w:p>
    <w:p w14:paraId="20E25668" w14:textId="77777777" w:rsidR="00AB4832" w:rsidRPr="003B2C32" w:rsidRDefault="007D2D2A">
      <w:pPr>
        <w:spacing w:before="280" w:after="280" w:line="360" w:lineRule="auto"/>
        <w:ind w:right="49"/>
        <w:jc w:val="both"/>
        <w:rPr>
          <w:rFonts w:ascii="Palatino Linotype" w:eastAsia="Palatino Linotype" w:hAnsi="Palatino Linotype" w:cs="Palatino Linotype"/>
          <w:shd w:val="clear" w:color="auto" w:fill="FFF2CC"/>
        </w:rPr>
      </w:pPr>
      <w:r>
        <w:rPr>
          <w:rFonts w:ascii="Palatino Linotype" w:eastAsia="Palatino Linotype" w:hAnsi="Palatino Linotype" w:cs="Palatino Linotype"/>
        </w:rPr>
        <w:t xml:space="preserve">Ahora bien, a pesar de que dentro de su ámbito de aplicación esta normatividad es de competencia Federal, el artículo 43 de la Ley Federal de Trabajadores al Servicio del Estado cobra relevancia en el caso que nos ocupa no solo por ser mencionada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sino también porque éste mismo artículo involucra las licencias concedidas a los trabajadores, entre otras cosas, por comisión sindical, aspecto </w:t>
      </w:r>
      <w:r w:rsidRPr="003B2C32">
        <w:rPr>
          <w:rFonts w:ascii="Palatino Linotype" w:eastAsia="Palatino Linotype" w:hAnsi="Palatino Linotype" w:cs="Palatino Linotype"/>
        </w:rPr>
        <w:t xml:space="preserve">importante </w:t>
      </w:r>
      <w:r w:rsidRPr="003B2C32">
        <w:rPr>
          <w:rFonts w:ascii="Palatino Linotype" w:eastAsia="Palatino Linotype" w:hAnsi="Palatino Linotype"/>
        </w:rPr>
        <w:t>toda vez que los servidores públicos cuyas claves fueron solicitadas según lo manifestado por EL RECURRENTE son agremiados del Sindicato Nacional de Trabajadores de la Educación.</w:t>
      </w:r>
      <w:r w:rsidRPr="003B2C32">
        <w:rPr>
          <w:rFonts w:ascii="Palatino Linotype" w:eastAsia="Palatino Linotype" w:hAnsi="Palatino Linotype" w:cs="Palatino Linotype"/>
          <w:shd w:val="clear" w:color="auto" w:fill="FFF2CC"/>
        </w:rPr>
        <w:t xml:space="preserve"> </w:t>
      </w:r>
    </w:p>
    <w:p w14:paraId="26199293" w14:textId="4F26C9A7" w:rsidR="00AB4832" w:rsidRDefault="007D2D2A">
      <w:pPr>
        <w:spacing w:before="280" w:after="280" w:line="360" w:lineRule="auto"/>
        <w:ind w:right="49"/>
        <w:jc w:val="both"/>
        <w:rPr>
          <w:rFonts w:ascii="Palatino Linotype" w:eastAsia="Palatino Linotype" w:hAnsi="Palatino Linotype" w:cs="Palatino Linotype"/>
        </w:rPr>
      </w:pPr>
      <w:r w:rsidRPr="003B2C32">
        <w:rPr>
          <w:rFonts w:ascii="Palatino Linotype" w:eastAsia="Palatino Linotype" w:hAnsi="Palatino Linotype"/>
        </w:rPr>
        <w:t xml:space="preserve">No obstante esta licencia se encuentra prevista dentro del ordenamiento Estatal que rige al SUJETO OBLIGADO, pues si bien este no la otorga, sí tiene conocimiento toda vez que dicha licencia debe estar reflejada en el Formato Único de Movimientos de Personal </w:t>
      </w:r>
      <w:r w:rsidRPr="003B2C32">
        <w:rPr>
          <w:rFonts w:ascii="Palatino Linotype" w:eastAsia="Palatino Linotype" w:hAnsi="Palatino Linotype" w:cs="Palatino Linotype"/>
        </w:rPr>
        <w:t>como lo establece el Manual de Procedimientos</w:t>
      </w:r>
      <w:r>
        <w:rPr>
          <w:rFonts w:ascii="Palatino Linotype" w:eastAsia="Palatino Linotype" w:hAnsi="Palatino Linotype" w:cs="Palatino Linotype"/>
        </w:rPr>
        <w:t xml:space="preserve"> del Departamento de Trámite y Control de Personal del S</w:t>
      </w:r>
      <w:r>
        <w:rPr>
          <w:rFonts w:ascii="Palatino Linotype" w:eastAsia="Palatino Linotype" w:hAnsi="Palatino Linotype" w:cs="Palatino Linotype"/>
          <w:b/>
        </w:rPr>
        <w:t>UJETO OBLIGADO</w:t>
      </w:r>
      <w:r>
        <w:rPr>
          <w:rFonts w:ascii="Palatino Linotype" w:eastAsia="Palatino Linotype" w:hAnsi="Palatino Linotype" w:cs="Palatino Linotype"/>
        </w:rPr>
        <w:t xml:space="preserve">, y como se puede apreciar en las capturas de pantalla que se inserta a continuación: </w:t>
      </w:r>
    </w:p>
    <w:p w14:paraId="3E18CD1F" w14:textId="77777777" w:rsidR="00AB4832" w:rsidRDefault="007D2D2A">
      <w:pPr>
        <w:widowControl w:val="0"/>
        <w:spacing w:before="200" w:after="20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6B4F60B7" wp14:editId="5F3E3827">
            <wp:extent cx="5320552" cy="1021398"/>
            <wp:effectExtent l="0" t="0" r="0" b="0"/>
            <wp:docPr id="6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20552" cy="1021398"/>
                    </a:xfrm>
                    <a:prstGeom prst="rect">
                      <a:avLst/>
                    </a:prstGeom>
                    <a:ln/>
                  </pic:spPr>
                </pic:pic>
              </a:graphicData>
            </a:graphic>
          </wp:inline>
        </w:drawing>
      </w:r>
    </w:p>
    <w:p w14:paraId="5881EF2F" w14:textId="77777777" w:rsidR="00AB4832" w:rsidRDefault="007D2D2A">
      <w:pPr>
        <w:widowControl w:val="0"/>
        <w:spacing w:before="200" w:after="20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70FD0AC1" wp14:editId="36927F1B">
            <wp:extent cx="4962525" cy="1492885"/>
            <wp:effectExtent l="0" t="0" r="0" b="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r="6550" b="36545"/>
                    <a:stretch>
                      <a:fillRect/>
                    </a:stretch>
                  </pic:blipFill>
                  <pic:spPr>
                    <a:xfrm>
                      <a:off x="0" y="0"/>
                      <a:ext cx="4962525" cy="1492885"/>
                    </a:xfrm>
                    <a:prstGeom prst="rect">
                      <a:avLst/>
                    </a:prstGeom>
                    <a:ln/>
                  </pic:spPr>
                </pic:pic>
              </a:graphicData>
            </a:graphic>
          </wp:inline>
        </w:drawing>
      </w:r>
    </w:p>
    <w:p w14:paraId="0BC1BE83" w14:textId="77777777" w:rsidR="00AB4832" w:rsidRDefault="007D2D2A">
      <w:pPr>
        <w:widowControl w:val="0"/>
        <w:spacing w:before="200" w:after="20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2D23055A" wp14:editId="33911FAB">
            <wp:extent cx="5791200" cy="3445510"/>
            <wp:effectExtent l="0" t="0" r="0" b="0"/>
            <wp:docPr id="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b="18527"/>
                    <a:stretch>
                      <a:fillRect/>
                    </a:stretch>
                  </pic:blipFill>
                  <pic:spPr>
                    <a:xfrm>
                      <a:off x="0" y="0"/>
                      <a:ext cx="5791200" cy="3445510"/>
                    </a:xfrm>
                    <a:prstGeom prst="rect">
                      <a:avLst/>
                    </a:prstGeom>
                    <a:ln/>
                  </pic:spPr>
                </pic:pic>
              </a:graphicData>
            </a:graphic>
          </wp:inline>
        </w:drawing>
      </w:r>
    </w:p>
    <w:p w14:paraId="22B6524D" w14:textId="77777777" w:rsidR="00AB4832" w:rsidRPr="003B2C32" w:rsidRDefault="007D2D2A" w:rsidP="003B2C32">
      <w:pPr>
        <w:spacing w:line="360" w:lineRule="auto"/>
        <w:jc w:val="both"/>
        <w:rPr>
          <w:rFonts w:ascii="Palatino Linotype" w:eastAsia="Palatino Linotype" w:hAnsi="Palatino Linotype"/>
        </w:rPr>
      </w:pPr>
      <w:r w:rsidRPr="003B2C32">
        <w:rPr>
          <w:rFonts w:ascii="Palatino Linotype" w:eastAsia="Palatino Linotype" w:hAnsi="Palatino Linotype"/>
        </w:rPr>
        <w:t xml:space="preserve">Así, resulta importante precisar que la calidad de agremiados al Sindicato Nacional de Trabajadores de la Educación es información aportada por EL RECURRENTE, siendo EL SUJETO OBLIGADO otro y por tanto la normativa analizada es únicamente aquella que afecta de forma directa al SUJETO OBLIGADO. </w:t>
      </w:r>
    </w:p>
    <w:p w14:paraId="7BF4F92B" w14:textId="77777777" w:rsidR="003B2C32" w:rsidRDefault="003B2C32" w:rsidP="003B2C32">
      <w:pPr>
        <w:spacing w:line="360" w:lineRule="auto"/>
        <w:jc w:val="both"/>
        <w:rPr>
          <w:rFonts w:ascii="Palatino Linotype" w:eastAsia="Palatino Linotype" w:hAnsi="Palatino Linotype"/>
        </w:rPr>
      </w:pPr>
    </w:p>
    <w:p w14:paraId="1A4B6034" w14:textId="77777777" w:rsidR="003B2C32" w:rsidRDefault="007D2D2A" w:rsidP="003B2C32">
      <w:pPr>
        <w:spacing w:line="360" w:lineRule="auto"/>
        <w:jc w:val="both"/>
        <w:rPr>
          <w:rFonts w:ascii="Palatino Linotype" w:eastAsia="Palatino Linotype" w:hAnsi="Palatino Linotype"/>
        </w:rPr>
      </w:pPr>
      <w:r w:rsidRPr="003B2C32">
        <w:rPr>
          <w:rFonts w:ascii="Palatino Linotype" w:eastAsia="Palatino Linotype" w:hAnsi="Palatino Linotype"/>
        </w:rPr>
        <w:lastRenderedPageBreak/>
        <w:t xml:space="preserve">Aunado a ello la solicitud de información hecha por el ahora RECURRENTE versa sobre su intención de conocer las claves que ostentaban los servidores públicos mencionados, su fecha y forma de asignación, no así lo relacionado con la licencia. Por lo que si bien este Instituto tuvo a bien analizar la naturaleza de dicha información, esta no forma parte de la </w:t>
      </w:r>
      <w:proofErr w:type="spellStart"/>
      <w:r w:rsidRPr="003B2C32">
        <w:rPr>
          <w:rFonts w:ascii="Palatino Linotype" w:eastAsia="Palatino Linotype" w:hAnsi="Palatino Linotype"/>
        </w:rPr>
        <w:t>litis</w:t>
      </w:r>
      <w:proofErr w:type="spellEnd"/>
      <w:r w:rsidRPr="003B2C32">
        <w:rPr>
          <w:rFonts w:ascii="Palatino Linotype" w:eastAsia="Palatino Linotype" w:hAnsi="Palatino Linotype"/>
        </w:rPr>
        <w:t xml:space="preserve"> del presente recurso.</w:t>
      </w:r>
    </w:p>
    <w:p w14:paraId="0007DF09" w14:textId="77777777" w:rsidR="003B2C32" w:rsidRPr="003B2C32" w:rsidRDefault="003B2C32" w:rsidP="003B2C32">
      <w:pPr>
        <w:spacing w:line="360" w:lineRule="auto"/>
        <w:jc w:val="both"/>
        <w:rPr>
          <w:rFonts w:ascii="Palatino Linotype" w:eastAsia="Palatino Linotype" w:hAnsi="Palatino Linotype"/>
          <w:sz w:val="12"/>
        </w:rPr>
      </w:pPr>
    </w:p>
    <w:p w14:paraId="18BE3504" w14:textId="58B66E7A" w:rsidR="00AB4832" w:rsidRPr="003B2C32" w:rsidRDefault="007D2D2A" w:rsidP="003B2C32">
      <w:pPr>
        <w:spacing w:line="360" w:lineRule="auto"/>
        <w:jc w:val="both"/>
        <w:rPr>
          <w:rFonts w:ascii="Palatino Linotype" w:eastAsia="Palatino Linotype" w:hAnsi="Palatino Linotype"/>
        </w:rPr>
      </w:pPr>
      <w:r w:rsidRPr="003B2C32">
        <w:rPr>
          <w:rFonts w:ascii="Palatino Linotype" w:eastAsia="Palatino Linotype" w:hAnsi="Palatino Linotype"/>
        </w:rPr>
        <w:t xml:space="preserve">Ahora bien, en relación a la información solicitada por EL RECURRENTE sobre los dos servidores públicos precisados en la solicitud de información, se puede advertir que EL SUJETO OBLIGADO nunca manifestó que dichos servidores públicos no formaran parte de su plantilla, únicamente señaló que la información solicitada no era generada por él. Situación que como ya quedó evidenciada, es cierto, no obstante aunque no la genere en ejercicio de sus funciones si puede conocer de ella, puesto que la administra. </w:t>
      </w:r>
    </w:p>
    <w:p w14:paraId="5404A335" w14:textId="58B31E9A"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si bien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da respuesta a la solicitud de información indicándose incompetente mediante el oficio número 210C0101030000S/UT/1615/2021</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rPr>
        <w:t xml:space="preserve">firmado por el Jefe del Departamento de Legislación y Consulta y Suplente del Titular de la Unidad de Transparencia; una vez analizado el contenido de la información que obra dentro del expediente electrónico que obra en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cuenta con  áreas que administran la información, y con la finalidad de garantizar el derecho de acceso a la información,  resulta procedente que éste lleve a cabo una búsqueda razonable y exhaustiva de las claves o plazas  asignadas a los servidores públicos solicitados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y en caso de contar con información informe si estas fueron asignadas mediante concurso y en su caso la fecha. </w:t>
      </w:r>
    </w:p>
    <w:p w14:paraId="50F61067" w14:textId="77777777" w:rsidR="00AB4832" w:rsidRDefault="007D2D2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 importante mencionar que los servidores públicos habilitados competentes,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0AE02BB1" w14:textId="77777777" w:rsidR="00AB4832" w:rsidRDefault="007D2D2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Para los efectos de la presente Ley se entenderá por</w:t>
      </w:r>
      <w:r>
        <w:rPr>
          <w:rFonts w:ascii="Palatino Linotype" w:eastAsia="Palatino Linotype" w:hAnsi="Palatino Linotype" w:cs="Palatino Linotype"/>
          <w:i/>
          <w:sz w:val="22"/>
          <w:szCs w:val="22"/>
        </w:rPr>
        <w:t xml:space="preserve">: </w:t>
      </w:r>
    </w:p>
    <w:p w14:paraId="54F8EAD5" w14:textId="77777777" w:rsidR="00AB4832" w:rsidRDefault="007D2D2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Servidor público habilitado</w:t>
      </w:r>
      <w:r>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C55DCCB" w14:textId="77777777" w:rsidR="00AB4832" w:rsidRDefault="007D2D2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5045BC5"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03417082"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085D9D6"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14:paraId="2A029979"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0C6804E" w14:textId="77777777" w:rsidR="00AB4832" w:rsidRDefault="007D2D2A">
      <w:pPr>
        <w:ind w:left="567" w:right="61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Recibir, </w:t>
      </w:r>
      <w:r>
        <w:rPr>
          <w:rFonts w:ascii="Palatino Linotype" w:eastAsia="Palatino Linotype" w:hAnsi="Palatino Linotype" w:cs="Palatino Linotype"/>
          <w:b/>
          <w:i/>
          <w:sz w:val="22"/>
          <w:szCs w:val="22"/>
          <w:u w:val="single"/>
        </w:rPr>
        <w:t>tramitar</w:t>
      </w:r>
      <w:r>
        <w:rPr>
          <w:rFonts w:ascii="Palatino Linotype" w:eastAsia="Palatino Linotype" w:hAnsi="Palatino Linotype" w:cs="Palatino Linotype"/>
          <w:b/>
          <w:i/>
          <w:sz w:val="22"/>
          <w:szCs w:val="22"/>
        </w:rPr>
        <w:t xml:space="preserve"> y dar respuesta a las solicitudes de acceso a la información;</w:t>
      </w:r>
    </w:p>
    <w:p w14:paraId="1A3516BA"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01B5AC66"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31A37BD4"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Entregar, en su caso, a los particulares la información solicitada;</w:t>
      </w:r>
    </w:p>
    <w:p w14:paraId="67D24563"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 Efectuar las notificaciones a los solicitantes;</w:t>
      </w:r>
    </w:p>
    <w:p w14:paraId="08BCE1DA"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51311779"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635E6E66"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38BE190B"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Presentar ante el Comité, el proyecto de clasificación de información;</w:t>
      </w:r>
    </w:p>
    <w:p w14:paraId="6FD39A9A"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Promover e implementar políticas de transparencia proactiva procurando su accesibilidad;</w:t>
      </w:r>
    </w:p>
    <w:p w14:paraId="23DEFD75"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Fomentar la transparencia y accesibilidad al interior del sujeto obligado;</w:t>
      </w:r>
    </w:p>
    <w:p w14:paraId="3CAE408E"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03EF5344"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0F5A1CB7"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F0C5720" w14:textId="77777777" w:rsidR="00AB4832" w:rsidRDefault="007D2D2A">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7771467" w14:textId="77777777" w:rsidR="00AB4832" w:rsidRDefault="007D2D2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 tendrán las funciones siguientes</w:t>
      </w:r>
      <w:r>
        <w:rPr>
          <w:rFonts w:ascii="Palatino Linotype" w:eastAsia="Palatino Linotype" w:hAnsi="Palatino Linotype" w:cs="Palatino Linotype"/>
          <w:i/>
          <w:sz w:val="22"/>
          <w:szCs w:val="22"/>
        </w:rPr>
        <w:t xml:space="preserve">: </w:t>
      </w:r>
    </w:p>
    <w:p w14:paraId="5E56B2F2" w14:textId="77777777" w:rsidR="00AB4832" w:rsidRDefault="007D2D2A">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 xml:space="preserve">; </w:t>
      </w:r>
    </w:p>
    <w:p w14:paraId="3F1BCD99" w14:textId="77777777" w:rsidR="00AB4832" w:rsidRDefault="007D2D2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b/>
          <w:i/>
          <w:sz w:val="22"/>
          <w:szCs w:val="22"/>
        </w:rPr>
        <w:t xml:space="preserve">; </w:t>
      </w:r>
    </w:p>
    <w:p w14:paraId="28AB3EB3" w14:textId="77777777" w:rsidR="00AB4832" w:rsidRDefault="007D2D2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Apoyar a la Unidad de Transparencia en lo que esta le solicite para el cumplimiento de sus funciones</w:t>
      </w:r>
      <w:r>
        <w:rPr>
          <w:rFonts w:ascii="Palatino Linotype" w:eastAsia="Palatino Linotype" w:hAnsi="Palatino Linotype" w:cs="Palatino Linotype"/>
          <w:b/>
          <w:i/>
          <w:sz w:val="22"/>
          <w:szCs w:val="22"/>
        </w:rPr>
        <w:t xml:space="preserve">; </w:t>
      </w:r>
    </w:p>
    <w:p w14:paraId="4C9123E1" w14:textId="77777777" w:rsidR="00AB4832" w:rsidRDefault="007D2D2A">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771A5A2F" w14:textId="77777777" w:rsidR="00AB4832" w:rsidRDefault="007D2D2A">
      <w:pP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4902A90C" w14:textId="77777777" w:rsidR="00AB4832" w:rsidRDefault="007D2D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normatividad en cita, se desprende que las Unidades de Transparencia, son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061C0176" w14:textId="77777777" w:rsidR="00AB4832" w:rsidRDefault="007D2D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lo cierto es que la información puede obrar en las distintas áreas que conforman la estructura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por ello que, debe turnar la solicitud al servidor público habilitado que tiene bajo su resguardo la misma. </w:t>
      </w:r>
    </w:p>
    <w:p w14:paraId="7B70C602" w14:textId="77777777" w:rsidR="00AB4832" w:rsidRDefault="007D2D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servidores públicos habilitados tienen como función, buscar, localizar y en su caso entregar la información solicitada.</w:t>
      </w:r>
    </w:p>
    <w:p w14:paraId="30693922" w14:textId="77777777" w:rsidR="00AB4832" w:rsidRDefault="007D2D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corresponde al Titular de la Unidad de Transparencia el garantizar que las solicitudes se turnen a todas las áreas competentes que puedan contar con la información, </w:t>
      </w:r>
      <w:r>
        <w:rPr>
          <w:rFonts w:ascii="Palatino Linotype" w:eastAsia="Palatino Linotype" w:hAnsi="Palatino Linotype" w:cs="Palatino Linotype"/>
          <w:b/>
        </w:rPr>
        <w:t>con el objeto de que se realice una búsqueda exhaustiva y razonable de la información solicitada</w:t>
      </w:r>
      <w:r>
        <w:rPr>
          <w:rFonts w:ascii="Palatino Linotype" w:eastAsia="Palatino Linotype" w:hAnsi="Palatino Linotype" w:cs="Palatino Linotype"/>
        </w:rPr>
        <w:t>.</w:t>
      </w:r>
    </w:p>
    <w:p w14:paraId="4FC19150" w14:textId="77777777" w:rsidR="00AB4832" w:rsidRDefault="007D2D2A">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este Órgano Garante considera que no se tiene por colmado el requerimiento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razón de que, existen unidades administrativas que pudieran poseer o administrar la información solicitada, conforme a sus atribuciones; por ello, la respuesta emitida carece de certeza jurídica acerca de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cuente con las claves o en su caso plazas  asignadas a los </w:t>
      </w:r>
      <w:r>
        <w:rPr>
          <w:rFonts w:ascii="Palatino Linotype" w:eastAsia="Palatino Linotype" w:hAnsi="Palatino Linotype" w:cs="Palatino Linotype"/>
        </w:rPr>
        <w:lastRenderedPageBreak/>
        <w:t xml:space="preserve">servidores públicos solicitados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así como la fecha y la forma en la cual fueron asignadas; lo anterior con fundamento en el artículo 9 fracción I de la Ley de la materia que dispone:</w:t>
      </w:r>
    </w:p>
    <w:p w14:paraId="4FF07A3C" w14:textId="77777777" w:rsidR="00AB4832" w:rsidRDefault="007D2D2A">
      <w:pPr>
        <w:ind w:left="709" w:right="103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14:paraId="578E3746" w14:textId="77777777" w:rsidR="00AB4832" w:rsidRDefault="00AB4832">
      <w:pPr>
        <w:ind w:left="709" w:right="1038"/>
        <w:jc w:val="both"/>
        <w:rPr>
          <w:rFonts w:ascii="Palatino Linotype" w:eastAsia="Palatino Linotype" w:hAnsi="Palatino Linotype" w:cs="Palatino Linotype"/>
          <w:b/>
          <w:i/>
          <w:sz w:val="22"/>
          <w:szCs w:val="22"/>
          <w:u w:val="single"/>
        </w:rPr>
      </w:pPr>
    </w:p>
    <w:p w14:paraId="05EB4C5A" w14:textId="77777777" w:rsidR="00AB4832" w:rsidRDefault="007D2D2A">
      <w:pPr>
        <w:ind w:left="709" w:right="103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Certeza:</w:t>
      </w:r>
      <w:r>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Pr>
          <w:rFonts w:ascii="Palatino Linotype" w:eastAsia="Palatino Linotype" w:hAnsi="Palatino Linotype" w:cs="Palatino Linotype"/>
          <w:b/>
          <w:i/>
          <w:sz w:val="22"/>
          <w:szCs w:val="22"/>
        </w:rPr>
        <w:t>”</w:t>
      </w:r>
    </w:p>
    <w:p w14:paraId="2EDCDCF5" w14:textId="77777777" w:rsidR="00AB4832" w:rsidRDefault="007D2D2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a fin de salvaguardar el derecho de acceso a la información pública y toda vez que existe fuente obligacional que constriñe al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para poder generar, administrar o poseer la  información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su solicitud de información, éste Órgano Garante,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w:t>
      </w:r>
      <w:r>
        <w:rPr>
          <w:rFonts w:ascii="Palatino Linotype" w:eastAsia="Palatino Linotype" w:hAnsi="Palatino Linotype" w:cs="Palatino Linotype"/>
          <w:b/>
        </w:rPr>
        <w:t>ordenar</w:t>
      </w:r>
      <w:r>
        <w:rPr>
          <w:rFonts w:ascii="Palatino Linotype" w:eastAsia="Palatino Linotype" w:hAnsi="Palatino Linotype" w:cs="Palatino Linotype"/>
        </w:rPr>
        <w:t xml:space="preserve"> realice una </w:t>
      </w:r>
      <w:r>
        <w:rPr>
          <w:rFonts w:ascii="Palatino Linotype" w:eastAsia="Palatino Linotype" w:hAnsi="Palatino Linotype" w:cs="Palatino Linotype"/>
          <w:b/>
          <w:u w:val="single"/>
        </w:rPr>
        <w:t>búsqueda exhaustiva</w:t>
      </w:r>
      <w:r>
        <w:rPr>
          <w:rFonts w:ascii="Palatino Linotype" w:eastAsia="Palatino Linotype" w:hAnsi="Palatino Linotype" w:cs="Palatino Linotype"/>
        </w:rPr>
        <w:t xml:space="preserve"> y razonable de la información solicitada de conformidad con el artículo 162 de la Ley de Transparencia y Acceso a la Información Pública del Estado de México y Municipios, a través de los </w:t>
      </w:r>
      <w:r>
        <w:rPr>
          <w:rFonts w:ascii="Palatino Linotype" w:eastAsia="Palatino Linotype" w:hAnsi="Palatino Linotype" w:cs="Palatino Linotype"/>
          <w:b/>
        </w:rPr>
        <w:t xml:space="preserve">servidores públicos habilitados </w:t>
      </w:r>
      <w:r>
        <w:rPr>
          <w:rFonts w:ascii="Palatino Linotype" w:eastAsia="Palatino Linotype" w:hAnsi="Palatino Linotype" w:cs="Palatino Linotype"/>
        </w:rPr>
        <w:t xml:space="preserve">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considere competentes. </w:t>
      </w:r>
    </w:p>
    <w:p w14:paraId="6A1568AF" w14:textId="77777777" w:rsidR="00AB4832" w:rsidRDefault="007D2D2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relación a la información de la que se ordena su entrega, en términos del artículo 143 de la Ley de Transparencia y Acceso a la Información Pública del Estado de México y Municipios, se deberá omitir, eliminar o suprimir la información </w:t>
      </w:r>
      <w:r>
        <w:rPr>
          <w:rFonts w:ascii="Palatino Linotype" w:eastAsia="Palatino Linotype" w:hAnsi="Palatino Linotype" w:cs="Palatino Linotype"/>
          <w:b/>
        </w:rPr>
        <w:t>confidencial</w:t>
      </w:r>
      <w:r>
        <w:rPr>
          <w:rFonts w:ascii="Palatino Linotype" w:eastAsia="Palatino Linotype" w:hAnsi="Palatino Linotype" w:cs="Palatino Linotype"/>
        </w:rPr>
        <w:t>.</w:t>
      </w:r>
    </w:p>
    <w:p w14:paraId="525DFEEE" w14:textId="77777777" w:rsidR="00AB4832" w:rsidRDefault="00AB4832">
      <w:pPr>
        <w:widowControl w:val="0"/>
        <w:spacing w:line="360" w:lineRule="auto"/>
        <w:jc w:val="both"/>
        <w:rPr>
          <w:rFonts w:ascii="Palatino Linotype" w:eastAsia="Palatino Linotype" w:hAnsi="Palatino Linotype" w:cs="Palatino Linotype"/>
        </w:rPr>
      </w:pPr>
    </w:p>
    <w:p w14:paraId="7B09C5E0" w14:textId="77777777" w:rsidR="00AB4832" w:rsidRDefault="007D2D2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F92546" w14:textId="77777777" w:rsidR="00AB4832" w:rsidRDefault="00AB4832">
      <w:pPr>
        <w:widowControl w:val="0"/>
        <w:spacing w:line="360" w:lineRule="auto"/>
        <w:jc w:val="both"/>
        <w:rPr>
          <w:rFonts w:ascii="Palatino Linotype" w:eastAsia="Palatino Linotype" w:hAnsi="Palatino Linotype" w:cs="Palatino Linotype"/>
        </w:rPr>
      </w:pPr>
    </w:p>
    <w:p w14:paraId="3117D4DC" w14:textId="77777777" w:rsidR="00AB4832" w:rsidRDefault="007D2D2A">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7A4DBB02" w14:textId="77777777" w:rsidR="00AB4832" w:rsidRDefault="00AB4832">
      <w:pPr>
        <w:ind w:left="709" w:right="757"/>
        <w:jc w:val="center"/>
        <w:rPr>
          <w:rFonts w:ascii="Palatino Linotype" w:eastAsia="Palatino Linotype" w:hAnsi="Palatino Linotype" w:cs="Palatino Linotype"/>
          <w:b/>
          <w:i/>
          <w:sz w:val="22"/>
          <w:szCs w:val="22"/>
        </w:rPr>
      </w:pPr>
    </w:p>
    <w:p w14:paraId="130C39AF"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570DAF16"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14:paraId="4302C7E4" w14:textId="77777777" w:rsidR="00AB4832" w:rsidRDefault="00AB4832">
      <w:pPr>
        <w:ind w:left="709" w:right="757"/>
        <w:jc w:val="both"/>
        <w:rPr>
          <w:rFonts w:ascii="Palatino Linotype" w:eastAsia="Palatino Linotype" w:hAnsi="Palatino Linotype" w:cs="Palatino Linotype"/>
          <w:b/>
          <w:i/>
          <w:sz w:val="22"/>
          <w:szCs w:val="22"/>
        </w:rPr>
      </w:pPr>
    </w:p>
    <w:p w14:paraId="5CBB5B0E"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1AA11123"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01B3885"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1F5400C3"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14:paraId="74AE0663" w14:textId="77777777" w:rsidR="00AB4832" w:rsidRDefault="00AB4832">
      <w:pPr>
        <w:ind w:left="709" w:right="757"/>
        <w:jc w:val="center"/>
        <w:rPr>
          <w:rFonts w:ascii="Palatino Linotype" w:eastAsia="Palatino Linotype" w:hAnsi="Palatino Linotype" w:cs="Palatino Linotype"/>
          <w:b/>
          <w:i/>
          <w:sz w:val="22"/>
          <w:szCs w:val="22"/>
        </w:rPr>
      </w:pPr>
    </w:p>
    <w:p w14:paraId="53380417" w14:textId="77777777" w:rsidR="00AB4832" w:rsidRDefault="007D2D2A">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701D793" w14:textId="77777777" w:rsidR="00AB4832" w:rsidRDefault="00AB4832">
      <w:pPr>
        <w:ind w:left="709" w:right="757"/>
        <w:jc w:val="both"/>
        <w:rPr>
          <w:rFonts w:ascii="Palatino Linotype" w:eastAsia="Palatino Linotype" w:hAnsi="Palatino Linotype" w:cs="Palatino Linotype"/>
          <w:i/>
          <w:sz w:val="22"/>
          <w:szCs w:val="22"/>
        </w:rPr>
      </w:pPr>
    </w:p>
    <w:p w14:paraId="0CB7E77D"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06386C06" w14:textId="77777777" w:rsidR="00AB4832" w:rsidRDefault="00AB4832">
      <w:pPr>
        <w:ind w:left="709" w:right="757"/>
        <w:jc w:val="both"/>
        <w:rPr>
          <w:rFonts w:ascii="Palatino Linotype" w:eastAsia="Palatino Linotype" w:hAnsi="Palatino Linotype" w:cs="Palatino Linotype"/>
          <w:b/>
          <w:i/>
          <w:sz w:val="22"/>
          <w:szCs w:val="22"/>
        </w:rPr>
      </w:pPr>
    </w:p>
    <w:p w14:paraId="3D94CBD7"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105CD0A6" w14:textId="77777777" w:rsidR="00AB4832" w:rsidRDefault="00AB4832">
      <w:pPr>
        <w:ind w:left="709" w:right="757"/>
        <w:jc w:val="both"/>
        <w:rPr>
          <w:rFonts w:ascii="Palatino Linotype" w:eastAsia="Palatino Linotype" w:hAnsi="Palatino Linotype" w:cs="Palatino Linotype"/>
          <w:b/>
          <w:i/>
          <w:sz w:val="22"/>
          <w:szCs w:val="22"/>
        </w:rPr>
      </w:pPr>
    </w:p>
    <w:p w14:paraId="53BD261A"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Pr>
          <w:rFonts w:ascii="Palatino Linotype" w:eastAsia="Palatino Linotype" w:hAnsi="Palatino Linotype" w:cs="Palatino Linotype"/>
          <w:i/>
          <w:sz w:val="22"/>
          <w:szCs w:val="22"/>
        </w:rPr>
        <w:lastRenderedPageBreak/>
        <w:t>lineamientos, así como en aquellas disposiciones legales aplicables a la materia en el ámbito de sus respectivas competencias, en tanto estas últimas no contravengan lo dispuesto en la Ley General.</w:t>
      </w:r>
    </w:p>
    <w:p w14:paraId="1A6B9D52" w14:textId="77777777" w:rsidR="00AB4832" w:rsidRDefault="00AB4832">
      <w:pPr>
        <w:ind w:left="709" w:right="757"/>
        <w:jc w:val="both"/>
        <w:rPr>
          <w:rFonts w:ascii="Palatino Linotype" w:eastAsia="Palatino Linotype" w:hAnsi="Palatino Linotype" w:cs="Palatino Linotype"/>
          <w:i/>
          <w:sz w:val="22"/>
          <w:szCs w:val="22"/>
        </w:rPr>
      </w:pPr>
    </w:p>
    <w:p w14:paraId="2D7F1F84"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0E8E4CC" w14:textId="77777777" w:rsidR="00AB4832" w:rsidRDefault="00AB4832">
      <w:pPr>
        <w:ind w:left="709" w:right="757"/>
        <w:jc w:val="both"/>
        <w:rPr>
          <w:rFonts w:ascii="Palatino Linotype" w:eastAsia="Palatino Linotype" w:hAnsi="Palatino Linotype" w:cs="Palatino Linotype"/>
          <w:b/>
          <w:i/>
          <w:sz w:val="22"/>
          <w:szCs w:val="22"/>
        </w:rPr>
      </w:pPr>
    </w:p>
    <w:p w14:paraId="019E116C"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0F0F43" w14:textId="77777777" w:rsidR="00AB4832" w:rsidRDefault="00AB4832">
      <w:pPr>
        <w:ind w:left="709" w:right="757"/>
        <w:jc w:val="both"/>
        <w:rPr>
          <w:rFonts w:ascii="Palatino Linotype" w:eastAsia="Palatino Linotype" w:hAnsi="Palatino Linotype" w:cs="Palatino Linotype"/>
          <w:b/>
          <w:i/>
          <w:sz w:val="22"/>
          <w:szCs w:val="22"/>
        </w:rPr>
      </w:pPr>
    </w:p>
    <w:p w14:paraId="64C95710"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B1DEA94"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5BCDED2" w14:textId="77777777" w:rsidR="00AB4832" w:rsidRDefault="00AB4832">
      <w:pPr>
        <w:ind w:left="709" w:right="757"/>
        <w:jc w:val="both"/>
        <w:rPr>
          <w:rFonts w:ascii="Palatino Linotype" w:eastAsia="Palatino Linotype" w:hAnsi="Palatino Linotype" w:cs="Palatino Linotype"/>
          <w:b/>
          <w:i/>
          <w:sz w:val="22"/>
          <w:szCs w:val="22"/>
        </w:rPr>
      </w:pPr>
    </w:p>
    <w:p w14:paraId="19BCFAD4"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01EF5702" w14:textId="77777777" w:rsidR="00AB4832" w:rsidRDefault="00AB4832">
      <w:pPr>
        <w:ind w:left="709" w:right="757"/>
        <w:jc w:val="both"/>
        <w:rPr>
          <w:rFonts w:ascii="Palatino Linotype" w:eastAsia="Palatino Linotype" w:hAnsi="Palatino Linotype" w:cs="Palatino Linotype"/>
          <w:b/>
          <w:i/>
          <w:sz w:val="22"/>
          <w:szCs w:val="22"/>
        </w:rPr>
      </w:pPr>
    </w:p>
    <w:p w14:paraId="55E99FD9"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7EA6238B"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46AE88ED"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0C7C8A3" w14:textId="77777777" w:rsidR="00AB4832" w:rsidRDefault="00AB4832">
      <w:pPr>
        <w:ind w:left="709" w:right="757"/>
        <w:jc w:val="both"/>
        <w:rPr>
          <w:rFonts w:ascii="Palatino Linotype" w:eastAsia="Palatino Linotype" w:hAnsi="Palatino Linotype" w:cs="Palatino Linotype"/>
          <w:i/>
          <w:sz w:val="22"/>
          <w:szCs w:val="22"/>
        </w:rPr>
      </w:pPr>
    </w:p>
    <w:p w14:paraId="7B68D533"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FC80A5F" w14:textId="77777777" w:rsidR="00AB4832" w:rsidRDefault="00AB4832">
      <w:pPr>
        <w:ind w:left="709" w:right="757"/>
        <w:jc w:val="both"/>
        <w:rPr>
          <w:rFonts w:ascii="Palatino Linotype" w:eastAsia="Palatino Linotype" w:hAnsi="Palatino Linotype" w:cs="Palatino Linotype"/>
          <w:b/>
          <w:i/>
          <w:sz w:val="22"/>
          <w:szCs w:val="22"/>
        </w:rPr>
      </w:pPr>
    </w:p>
    <w:p w14:paraId="3842E0AA"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B1A0DD"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1752696" w14:textId="77777777" w:rsidR="00AB4832" w:rsidRDefault="00AB4832">
      <w:pPr>
        <w:ind w:left="709" w:right="757"/>
        <w:jc w:val="both"/>
        <w:rPr>
          <w:rFonts w:ascii="Palatino Linotype" w:eastAsia="Palatino Linotype" w:hAnsi="Palatino Linotype" w:cs="Palatino Linotype"/>
          <w:i/>
          <w:sz w:val="22"/>
          <w:szCs w:val="22"/>
        </w:rPr>
      </w:pPr>
    </w:p>
    <w:p w14:paraId="16561C57"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089F2E7" w14:textId="77777777" w:rsidR="00AB4832" w:rsidRDefault="00AB4832">
      <w:pPr>
        <w:ind w:left="709" w:right="757"/>
        <w:jc w:val="both"/>
        <w:rPr>
          <w:rFonts w:ascii="Palatino Linotype" w:eastAsia="Palatino Linotype" w:hAnsi="Palatino Linotype" w:cs="Palatino Linotype"/>
          <w:i/>
          <w:sz w:val="22"/>
          <w:szCs w:val="22"/>
        </w:rPr>
      </w:pPr>
    </w:p>
    <w:p w14:paraId="47382B5C"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0E43F0A"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F534709" w14:textId="77777777" w:rsidR="00AB4832" w:rsidRDefault="00AB4832">
      <w:pPr>
        <w:ind w:left="709" w:right="757"/>
        <w:jc w:val="both"/>
        <w:rPr>
          <w:rFonts w:ascii="Palatino Linotype" w:eastAsia="Palatino Linotype" w:hAnsi="Palatino Linotype" w:cs="Palatino Linotype"/>
          <w:b/>
          <w:i/>
          <w:sz w:val="22"/>
          <w:szCs w:val="22"/>
        </w:rPr>
      </w:pPr>
    </w:p>
    <w:p w14:paraId="18D90D66"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E3AF76" w14:textId="77777777" w:rsidR="00AB4832" w:rsidRDefault="00AB4832">
      <w:pPr>
        <w:ind w:left="709" w:right="757"/>
        <w:jc w:val="both"/>
        <w:rPr>
          <w:rFonts w:ascii="Palatino Linotype" w:eastAsia="Palatino Linotype" w:hAnsi="Palatino Linotype" w:cs="Palatino Linotype"/>
          <w:b/>
          <w:i/>
          <w:sz w:val="22"/>
          <w:szCs w:val="22"/>
        </w:rPr>
      </w:pPr>
    </w:p>
    <w:p w14:paraId="0ECF1E8F"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D3FB83"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164A6D4" w14:textId="77777777" w:rsidR="00AB4832" w:rsidRDefault="00AB4832">
      <w:pPr>
        <w:ind w:left="709" w:right="757"/>
        <w:jc w:val="both"/>
        <w:rPr>
          <w:rFonts w:ascii="Palatino Linotype" w:eastAsia="Palatino Linotype" w:hAnsi="Palatino Linotype" w:cs="Palatino Linotype"/>
          <w:b/>
          <w:i/>
          <w:sz w:val="22"/>
          <w:szCs w:val="22"/>
        </w:rPr>
      </w:pPr>
    </w:p>
    <w:p w14:paraId="3D6115D7"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08FB8A3"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4AB35C2" w14:textId="77777777" w:rsidR="00AB4832" w:rsidRDefault="00AB4832">
      <w:pPr>
        <w:ind w:left="709" w:right="757"/>
        <w:jc w:val="center"/>
        <w:rPr>
          <w:rFonts w:ascii="Palatino Linotype" w:eastAsia="Palatino Linotype" w:hAnsi="Palatino Linotype" w:cs="Palatino Linotype"/>
          <w:b/>
          <w:i/>
          <w:sz w:val="22"/>
          <w:szCs w:val="22"/>
        </w:rPr>
      </w:pPr>
    </w:p>
    <w:p w14:paraId="273A2693" w14:textId="77777777" w:rsidR="00AB4832" w:rsidRDefault="007D2D2A">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7CE699BC" w14:textId="77777777" w:rsidR="00AB4832" w:rsidRDefault="007D2D2A">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35A4B450" w14:textId="77777777" w:rsidR="00AB4832" w:rsidRDefault="00AB4832">
      <w:pPr>
        <w:ind w:left="709" w:right="757"/>
        <w:jc w:val="both"/>
        <w:rPr>
          <w:rFonts w:ascii="Palatino Linotype" w:eastAsia="Palatino Linotype" w:hAnsi="Palatino Linotype" w:cs="Palatino Linotype"/>
          <w:b/>
          <w:i/>
          <w:sz w:val="22"/>
          <w:szCs w:val="22"/>
        </w:rPr>
      </w:pPr>
    </w:p>
    <w:p w14:paraId="0AA63403"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5260D7D"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FE0494E" w14:textId="77777777" w:rsidR="00AB4832" w:rsidRDefault="00AB4832">
      <w:pPr>
        <w:ind w:left="709" w:right="757"/>
        <w:jc w:val="both"/>
        <w:rPr>
          <w:rFonts w:ascii="Palatino Linotype" w:eastAsia="Palatino Linotype" w:hAnsi="Palatino Linotype" w:cs="Palatino Linotype"/>
          <w:b/>
          <w:i/>
          <w:sz w:val="22"/>
          <w:szCs w:val="22"/>
        </w:rPr>
      </w:pPr>
    </w:p>
    <w:p w14:paraId="1A690776"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4A4FF057" w14:textId="77777777" w:rsidR="00AB4832" w:rsidRDefault="00AB4832">
      <w:pPr>
        <w:ind w:left="709" w:right="757"/>
        <w:jc w:val="both"/>
        <w:rPr>
          <w:rFonts w:ascii="Palatino Linotype" w:eastAsia="Palatino Linotype" w:hAnsi="Palatino Linotype" w:cs="Palatino Linotype"/>
          <w:i/>
          <w:sz w:val="22"/>
          <w:szCs w:val="22"/>
        </w:rPr>
      </w:pPr>
    </w:p>
    <w:tbl>
      <w:tblPr>
        <w:tblStyle w:val="a8"/>
        <w:tblW w:w="84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330"/>
        <w:gridCol w:w="4239"/>
      </w:tblGrid>
      <w:tr w:rsidR="00AB4832" w14:paraId="1438022D" w14:textId="77777777">
        <w:tc>
          <w:tcPr>
            <w:tcW w:w="1838" w:type="dxa"/>
            <w:tcBorders>
              <w:top w:val="nil"/>
              <w:left w:val="nil"/>
              <w:bottom w:val="single" w:sz="4" w:space="0" w:color="000000"/>
              <w:right w:val="single" w:sz="4" w:space="0" w:color="000000"/>
            </w:tcBorders>
          </w:tcPr>
          <w:p w14:paraId="77C41577" w14:textId="77777777" w:rsidR="00AB4832" w:rsidRDefault="00AB4832">
            <w:pPr>
              <w:spacing w:line="252" w:lineRule="auto"/>
              <w:ind w:right="757"/>
              <w:jc w:val="both"/>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38786A98" w14:textId="77777777" w:rsidR="00AB4832" w:rsidRDefault="007D2D2A">
            <w:pPr>
              <w:spacing w:line="252" w:lineRule="auto"/>
              <w:ind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Concepto</w:t>
            </w:r>
          </w:p>
        </w:tc>
        <w:tc>
          <w:tcPr>
            <w:tcW w:w="4239" w:type="dxa"/>
            <w:tcBorders>
              <w:top w:val="single" w:sz="4" w:space="0" w:color="000000"/>
              <w:left w:val="single" w:sz="4" w:space="0" w:color="000000"/>
              <w:bottom w:val="single" w:sz="4" w:space="0" w:color="000000"/>
              <w:right w:val="single" w:sz="4" w:space="0" w:color="000000"/>
            </w:tcBorders>
          </w:tcPr>
          <w:p w14:paraId="7E9E2680" w14:textId="77777777" w:rsidR="00AB4832" w:rsidRDefault="007D2D2A">
            <w:pPr>
              <w:spacing w:line="252" w:lineRule="auto"/>
              <w:ind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Dónde:</w:t>
            </w:r>
          </w:p>
        </w:tc>
      </w:tr>
      <w:tr w:rsidR="00AB4832" w14:paraId="5D137396" w14:textId="77777777">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43B82D9F" w14:textId="77777777" w:rsidR="00AB4832" w:rsidRDefault="007D2D2A">
            <w:pPr>
              <w:spacing w:line="252" w:lineRule="auto"/>
              <w:ind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Sello oficial o logotipo del sujeto obligado</w:t>
            </w:r>
          </w:p>
        </w:tc>
        <w:tc>
          <w:tcPr>
            <w:tcW w:w="2330" w:type="dxa"/>
            <w:tcBorders>
              <w:top w:val="single" w:sz="4" w:space="0" w:color="000000"/>
              <w:left w:val="single" w:sz="4" w:space="0" w:color="000000"/>
              <w:bottom w:val="single" w:sz="4" w:space="0" w:color="000000"/>
              <w:right w:val="single" w:sz="4" w:space="0" w:color="000000"/>
            </w:tcBorders>
          </w:tcPr>
          <w:p w14:paraId="0BBB0C39"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Fecha de clasificación</w:t>
            </w:r>
          </w:p>
        </w:tc>
        <w:tc>
          <w:tcPr>
            <w:tcW w:w="4239" w:type="dxa"/>
            <w:tcBorders>
              <w:top w:val="single" w:sz="4" w:space="0" w:color="000000"/>
              <w:left w:val="single" w:sz="4" w:space="0" w:color="000000"/>
              <w:bottom w:val="single" w:sz="4" w:space="0" w:color="000000"/>
              <w:right w:val="single" w:sz="4" w:space="0" w:color="000000"/>
            </w:tcBorders>
          </w:tcPr>
          <w:p w14:paraId="21D0A9EB"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AB4832" w14:paraId="7B8A18F1"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E462BD1"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750BC119"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Área</w:t>
            </w:r>
          </w:p>
        </w:tc>
        <w:tc>
          <w:tcPr>
            <w:tcW w:w="4239" w:type="dxa"/>
            <w:tcBorders>
              <w:top w:val="single" w:sz="4" w:space="0" w:color="000000"/>
              <w:left w:val="single" w:sz="4" w:space="0" w:color="000000"/>
              <w:bottom w:val="single" w:sz="4" w:space="0" w:color="000000"/>
              <w:right w:val="single" w:sz="4" w:space="0" w:color="000000"/>
            </w:tcBorders>
          </w:tcPr>
          <w:p w14:paraId="5EFBC38E"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señalará el nombre del área del cual es titular quien clasifica.</w:t>
            </w:r>
          </w:p>
        </w:tc>
      </w:tr>
      <w:tr w:rsidR="00AB4832" w14:paraId="37BBF8B4"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7BEBC724"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1F439802"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Información reservada</w:t>
            </w:r>
          </w:p>
        </w:tc>
        <w:tc>
          <w:tcPr>
            <w:tcW w:w="4239" w:type="dxa"/>
            <w:tcBorders>
              <w:top w:val="single" w:sz="4" w:space="0" w:color="000000"/>
              <w:left w:val="single" w:sz="4" w:space="0" w:color="000000"/>
              <w:bottom w:val="single" w:sz="4" w:space="0" w:color="000000"/>
              <w:right w:val="single" w:sz="4" w:space="0" w:color="000000"/>
            </w:tcBorders>
          </w:tcPr>
          <w:p w14:paraId="7F2B35CD"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B4832" w14:paraId="36CD709F"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140D55A"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F45ADDE"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Periodo de reserva</w:t>
            </w:r>
          </w:p>
        </w:tc>
        <w:tc>
          <w:tcPr>
            <w:tcW w:w="4239" w:type="dxa"/>
            <w:tcBorders>
              <w:top w:val="single" w:sz="4" w:space="0" w:color="000000"/>
              <w:left w:val="single" w:sz="4" w:space="0" w:color="000000"/>
              <w:bottom w:val="single" w:sz="4" w:space="0" w:color="000000"/>
              <w:right w:val="single" w:sz="4" w:space="0" w:color="000000"/>
            </w:tcBorders>
          </w:tcPr>
          <w:p w14:paraId="5F2C051F"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AB4832" w14:paraId="361A5F13"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02664EFE"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29F127D6"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Fundamento legal</w:t>
            </w:r>
          </w:p>
        </w:tc>
        <w:tc>
          <w:tcPr>
            <w:tcW w:w="4239" w:type="dxa"/>
            <w:tcBorders>
              <w:top w:val="single" w:sz="4" w:space="0" w:color="000000"/>
              <w:left w:val="single" w:sz="4" w:space="0" w:color="000000"/>
              <w:bottom w:val="single" w:sz="4" w:space="0" w:color="000000"/>
              <w:right w:val="single" w:sz="4" w:space="0" w:color="000000"/>
            </w:tcBorders>
          </w:tcPr>
          <w:p w14:paraId="2392141D"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AB4832" w14:paraId="6029EF50"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2CBE1AC5"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1415BA41"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Ampliación del periodo de reserva</w:t>
            </w:r>
          </w:p>
        </w:tc>
        <w:tc>
          <w:tcPr>
            <w:tcW w:w="4239" w:type="dxa"/>
            <w:tcBorders>
              <w:top w:val="single" w:sz="4" w:space="0" w:color="000000"/>
              <w:left w:val="single" w:sz="4" w:space="0" w:color="000000"/>
              <w:bottom w:val="single" w:sz="4" w:space="0" w:color="000000"/>
              <w:right w:val="single" w:sz="4" w:space="0" w:color="000000"/>
            </w:tcBorders>
          </w:tcPr>
          <w:p w14:paraId="20971C6B"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haber solicitado la ampliación del periodo de reserva originalmente establecido, se deberá </w:t>
            </w:r>
            <w:r>
              <w:rPr>
                <w:rFonts w:ascii="Palatino Linotype" w:eastAsia="Palatino Linotype" w:hAnsi="Palatino Linotype" w:cs="Palatino Linotype"/>
                <w:i/>
                <w:sz w:val="22"/>
                <w:szCs w:val="22"/>
              </w:rPr>
              <w:lastRenderedPageBreak/>
              <w:t>anotar el número de años o meses por los que se amplía la reserva.</w:t>
            </w:r>
          </w:p>
        </w:tc>
      </w:tr>
      <w:tr w:rsidR="00AB4832" w14:paraId="77150BBF"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3CEC3FA"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E412795"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Confidencial</w:t>
            </w:r>
          </w:p>
        </w:tc>
        <w:tc>
          <w:tcPr>
            <w:tcW w:w="4239" w:type="dxa"/>
            <w:tcBorders>
              <w:top w:val="single" w:sz="4" w:space="0" w:color="000000"/>
              <w:left w:val="single" w:sz="4" w:space="0" w:color="000000"/>
              <w:bottom w:val="single" w:sz="4" w:space="0" w:color="000000"/>
              <w:right w:val="single" w:sz="4" w:space="0" w:color="000000"/>
            </w:tcBorders>
          </w:tcPr>
          <w:p w14:paraId="54987032"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B4832" w14:paraId="32C52ED6"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7D709991"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3C04131"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Fundamento legal</w:t>
            </w:r>
          </w:p>
        </w:tc>
        <w:tc>
          <w:tcPr>
            <w:tcW w:w="4239" w:type="dxa"/>
            <w:tcBorders>
              <w:top w:val="single" w:sz="4" w:space="0" w:color="000000"/>
              <w:left w:val="single" w:sz="4" w:space="0" w:color="000000"/>
              <w:bottom w:val="single" w:sz="4" w:space="0" w:color="000000"/>
              <w:right w:val="single" w:sz="4" w:space="0" w:color="000000"/>
            </w:tcBorders>
          </w:tcPr>
          <w:p w14:paraId="6191D5D5"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AB4832" w14:paraId="02E9C9DB"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51A29524"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5407844"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del titular del área</w:t>
            </w:r>
          </w:p>
        </w:tc>
        <w:tc>
          <w:tcPr>
            <w:tcW w:w="4239" w:type="dxa"/>
            <w:tcBorders>
              <w:top w:val="single" w:sz="4" w:space="0" w:color="000000"/>
              <w:left w:val="single" w:sz="4" w:space="0" w:color="000000"/>
              <w:bottom w:val="single" w:sz="4" w:space="0" w:color="000000"/>
              <w:right w:val="single" w:sz="4" w:space="0" w:color="000000"/>
            </w:tcBorders>
          </w:tcPr>
          <w:p w14:paraId="7552C202"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autógrafa de quien clasifica.</w:t>
            </w:r>
          </w:p>
        </w:tc>
      </w:tr>
      <w:tr w:rsidR="00AB4832" w14:paraId="41856119"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5DF1853D"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15915539"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Fecha de desclasificación</w:t>
            </w:r>
          </w:p>
        </w:tc>
        <w:tc>
          <w:tcPr>
            <w:tcW w:w="4239" w:type="dxa"/>
            <w:tcBorders>
              <w:top w:val="single" w:sz="4" w:space="0" w:color="000000"/>
              <w:left w:val="single" w:sz="4" w:space="0" w:color="000000"/>
              <w:bottom w:val="single" w:sz="4" w:space="0" w:color="000000"/>
              <w:right w:val="single" w:sz="4" w:space="0" w:color="000000"/>
            </w:tcBorders>
          </w:tcPr>
          <w:p w14:paraId="037F30F2" w14:textId="77777777" w:rsidR="00AB4832" w:rsidRDefault="007D2D2A">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anotará la fecha en que se desclasifica el documento.</w:t>
            </w:r>
          </w:p>
        </w:tc>
      </w:tr>
      <w:tr w:rsidR="00AB4832" w14:paraId="1C904858"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34EAC3DD"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2D68CF93" w14:textId="77777777" w:rsidR="00AB4832" w:rsidRDefault="007D2D2A">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y cargo del servidor público</w:t>
            </w:r>
          </w:p>
        </w:tc>
        <w:tc>
          <w:tcPr>
            <w:tcW w:w="4239" w:type="dxa"/>
            <w:tcBorders>
              <w:top w:val="single" w:sz="4" w:space="0" w:color="000000"/>
              <w:left w:val="single" w:sz="4" w:space="0" w:color="000000"/>
              <w:bottom w:val="single" w:sz="4" w:space="0" w:color="000000"/>
              <w:right w:val="single" w:sz="4" w:space="0" w:color="000000"/>
            </w:tcBorders>
            <w:vAlign w:val="center"/>
          </w:tcPr>
          <w:p w14:paraId="28F00F86" w14:textId="77777777" w:rsidR="00AB4832" w:rsidRDefault="007D2D2A">
            <w:pPr>
              <w:spacing w:line="252" w:lineRule="auto"/>
              <w:ind w:right="75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autógrafa de quien desclasifica.</w:t>
            </w:r>
          </w:p>
        </w:tc>
      </w:tr>
    </w:tbl>
    <w:p w14:paraId="66342871" w14:textId="77777777" w:rsidR="00AB4832" w:rsidRDefault="007D2D2A">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A005409" w14:textId="77777777" w:rsidR="00AB4832" w:rsidRDefault="007D2D2A">
      <w:pPr>
        <w:ind w:left="709" w:right="7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79A4C711" w14:textId="77777777" w:rsidR="00AB4832" w:rsidRDefault="00AB4832">
      <w:pPr>
        <w:spacing w:line="360" w:lineRule="auto"/>
        <w:ind w:left="709" w:right="757"/>
        <w:jc w:val="both"/>
        <w:rPr>
          <w:rFonts w:ascii="Palatino Linotype" w:eastAsia="Palatino Linotype" w:hAnsi="Palatino Linotype" w:cs="Palatino Linotype"/>
          <w:sz w:val="22"/>
          <w:szCs w:val="22"/>
        </w:rPr>
      </w:pPr>
    </w:p>
    <w:p w14:paraId="4175C34C" w14:textId="77777777" w:rsidR="00AB4832" w:rsidRDefault="007D2D2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sustente, en el que se expongan los fundamentos y razones que llevaron a la autoridad a testar, suprimir o eliminar datos de dicho soporte </w:t>
      </w:r>
      <w:r>
        <w:rPr>
          <w:rFonts w:ascii="Palatino Linotype" w:eastAsia="Palatino Linotype" w:hAnsi="Palatino Linotype" w:cs="Palatino Linotype"/>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D218A5"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entre los datos que de manera enunciativa más no limitativa, pudieran contenerse en los documentos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se ordena entregar en versión pública, se encuentran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w:t>
      </w:r>
      <w:r>
        <w:rPr>
          <w:rFonts w:ascii="Palatino Linotype" w:eastAsia="Palatino Linotype" w:hAnsi="Palatino Linotype" w:cs="Palatino Linotype"/>
          <w:b/>
        </w:rPr>
        <w:t>domicilios particulares</w:t>
      </w:r>
      <w:r>
        <w:rPr>
          <w:rFonts w:ascii="Palatino Linotype" w:eastAsia="Palatino Linotype" w:hAnsi="Palatino Linotype" w:cs="Palatino Linotype"/>
        </w:rPr>
        <w:t xml:space="preserve">, </w:t>
      </w:r>
      <w:r>
        <w:rPr>
          <w:rFonts w:ascii="Palatino Linotype" w:eastAsia="Palatino Linotype" w:hAnsi="Palatino Linotype" w:cs="Palatino Linotype"/>
          <w:b/>
        </w:rPr>
        <w:t>claves de elector</w:t>
      </w:r>
      <w:r>
        <w:rPr>
          <w:rFonts w:ascii="Palatino Linotype" w:eastAsia="Palatino Linotype" w:hAnsi="Palatino Linotype" w:cs="Palatino Linotype"/>
        </w:rPr>
        <w:t xml:space="preserve">, </w:t>
      </w:r>
      <w:r>
        <w:rPr>
          <w:rFonts w:ascii="Palatino Linotype" w:eastAsia="Palatino Linotype" w:hAnsi="Palatino Linotype" w:cs="Palatino Linotype"/>
          <w:b/>
        </w:rPr>
        <w:t>huella digital</w:t>
      </w:r>
      <w:r>
        <w:rPr>
          <w:rFonts w:ascii="Palatino Linotype" w:eastAsia="Palatino Linotype" w:hAnsi="Palatino Linotype" w:cs="Palatino Linotype"/>
        </w:rPr>
        <w:t xml:space="preserve">,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información médica, entre otros, los cuales son susceptibles de ser clasificados como información </w:t>
      </w:r>
      <w:r>
        <w:rPr>
          <w:rFonts w:ascii="Palatino Linotype" w:eastAsia="Palatino Linotype" w:hAnsi="Palatino Linotype" w:cs="Palatino Linotype"/>
          <w:b/>
          <w:u w:val="single"/>
        </w:rPr>
        <w:t>confidencial</w:t>
      </w:r>
      <w:r>
        <w:rPr>
          <w:rFonts w:ascii="Palatino Linotype" w:eastAsia="Palatino Linotype" w:hAnsi="Palatino Linotype" w:cs="Palatino Linotype"/>
        </w:rPr>
        <w:t>.</w:t>
      </w:r>
    </w:p>
    <w:p w14:paraId="60084A35"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w:t>
      </w:r>
      <w:r>
        <w:rPr>
          <w:rFonts w:ascii="Palatino Linotype" w:eastAsia="Palatino Linotype" w:hAnsi="Palatino Linotype" w:cs="Palatino Linotype"/>
          <w:b/>
        </w:rPr>
        <w:t>de las personas físicas</w:t>
      </w:r>
      <w:r>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fecha de nacimiento entre otros con documentos oficiales.</w:t>
      </w:r>
    </w:p>
    <w:p w14:paraId="3913AC0B" w14:textId="77777777" w:rsidR="00AB4832" w:rsidRDefault="007D2D2A">
      <w:pPr>
        <w:widowControl w:val="0"/>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Al respecto, es aplicable el Criterio 19/17 de la Segunda Época, emitido por el Instituto Nacional de Transparencia, Acceso a la Información y Protección de Datos Personales, que dice:</w:t>
      </w:r>
      <w:r>
        <w:rPr>
          <w:rFonts w:ascii="Palatino Linotype" w:eastAsia="Palatino Linotype" w:hAnsi="Palatino Linotype" w:cs="Palatino Linotype"/>
          <w:b/>
        </w:rPr>
        <w:t xml:space="preserve"> </w:t>
      </w:r>
    </w:p>
    <w:p w14:paraId="42BC0534"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14:paraId="42206240"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6F65FA3A" w14:textId="77777777" w:rsidR="00AB4832" w:rsidRDefault="00AB4832">
      <w:pPr>
        <w:ind w:left="709" w:right="709"/>
        <w:jc w:val="both"/>
        <w:rPr>
          <w:rFonts w:ascii="Palatino Linotype" w:eastAsia="Palatino Linotype" w:hAnsi="Palatino Linotype" w:cs="Palatino Linotype"/>
          <w:i/>
          <w:sz w:val="22"/>
          <w:szCs w:val="22"/>
        </w:rPr>
      </w:pPr>
    </w:p>
    <w:p w14:paraId="363D8020"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0189/17. Morena. 08 de febrero de 2017. Por unanimidad. Comisionado Ponente Joel Salas Suárez.</w:t>
      </w:r>
    </w:p>
    <w:p w14:paraId="70692B9B"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 xml:space="preserve">. </w:t>
      </w:r>
    </w:p>
    <w:p w14:paraId="0DBACD4D"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w:t>
      </w:r>
    </w:p>
    <w:p w14:paraId="5262BD57" w14:textId="77777777" w:rsidR="00AB4832" w:rsidRDefault="00AB4832">
      <w:pPr>
        <w:ind w:left="709" w:right="709"/>
        <w:jc w:val="both"/>
        <w:rPr>
          <w:rFonts w:ascii="Palatino Linotype" w:eastAsia="Palatino Linotype" w:hAnsi="Palatino Linotype" w:cs="Palatino Linotype"/>
          <w:sz w:val="22"/>
          <w:szCs w:val="22"/>
        </w:rPr>
      </w:pPr>
    </w:p>
    <w:p w14:paraId="31069F8D" w14:textId="77777777" w:rsidR="00AB4832" w:rsidRDefault="007D2D2A">
      <w:pPr>
        <w:ind w:left="709" w:right="7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6623C21B"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04DA7681"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r>
        <w:rPr>
          <w:rFonts w:ascii="Palatino Linotype" w:eastAsia="Palatino Linotype" w:hAnsi="Palatino Linotype" w:cs="Palatino Linotype"/>
          <w:b/>
        </w:rPr>
        <w:t xml:space="preserve">Clave Única de Registro de Población, </w:t>
      </w:r>
      <w:r>
        <w:rPr>
          <w:rFonts w:ascii="Palatino Linotype" w:eastAsia="Palatino Linotype" w:hAnsi="Palatino Linotype" w:cs="Palatino Linotype"/>
        </w:rPr>
        <w:t xml:space="preserve">constituye un dato personal, ya que tiene como finalidad registrar a cada una de las personas que integran la población del país, con los datos que permitan certificar y acreditar fehacientemente </w:t>
      </w:r>
      <w:r>
        <w:rPr>
          <w:rFonts w:ascii="Palatino Linotype" w:eastAsia="Palatino Linotype" w:hAnsi="Palatino Linotype" w:cs="Palatino Linotype"/>
        </w:rPr>
        <w:lastRenderedPageBreak/>
        <w:t>su identidad, la cual servirá para identificarla de manera individual.</w:t>
      </w:r>
    </w:p>
    <w:p w14:paraId="4C00ED88" w14:textId="77777777" w:rsidR="00AB4832" w:rsidRDefault="007D2D2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5AA55CDC"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14E857B0" w14:textId="77777777" w:rsidR="00AB4832" w:rsidRDefault="00AB4832">
      <w:pPr>
        <w:ind w:left="709" w:right="709"/>
        <w:jc w:val="both"/>
        <w:rPr>
          <w:rFonts w:ascii="Palatino Linotype" w:eastAsia="Palatino Linotype" w:hAnsi="Palatino Linotype" w:cs="Palatino Linotype"/>
          <w:b/>
          <w:i/>
          <w:sz w:val="22"/>
          <w:szCs w:val="22"/>
        </w:rPr>
      </w:pPr>
    </w:p>
    <w:p w14:paraId="3078C6C4"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246E2027" w14:textId="77777777" w:rsidR="00AB4832" w:rsidRDefault="00AB4832">
      <w:pPr>
        <w:ind w:left="709" w:right="709"/>
        <w:jc w:val="both"/>
        <w:rPr>
          <w:rFonts w:ascii="Palatino Linotype" w:eastAsia="Palatino Linotype" w:hAnsi="Palatino Linotype" w:cs="Palatino Linotype"/>
          <w:i/>
          <w:sz w:val="22"/>
          <w:szCs w:val="22"/>
        </w:rPr>
      </w:pPr>
    </w:p>
    <w:p w14:paraId="2FD42E91"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así como un dígito verificador.</w:t>
      </w:r>
    </w:p>
    <w:p w14:paraId="7A0B4591"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Instituto Nacional de Transparencia, Acceso a la Información y Protección de Datos Personales (INAI), a través del Criterio 18/17 de la Segunda Época, señala literalmente lo siguiente:</w:t>
      </w:r>
    </w:p>
    <w:p w14:paraId="1D78C42A"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u w:val="single"/>
        </w:rPr>
        <w:t xml:space="preserve">como lo son su nombre, apellidos, fecha de nacimiento, lugar </w:t>
      </w:r>
      <w:r>
        <w:rPr>
          <w:rFonts w:ascii="Palatino Linotype" w:eastAsia="Palatino Linotype" w:hAnsi="Palatino Linotype" w:cs="Palatino Linotype"/>
          <w:b/>
          <w:i/>
          <w:sz w:val="22"/>
          <w:szCs w:val="22"/>
          <w:u w:val="single"/>
        </w:rPr>
        <w:lastRenderedPageBreak/>
        <w:t>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u w:val="single"/>
        </w:rPr>
        <w:t>por lo que la CURP está considerada como información confidencial</w:t>
      </w:r>
      <w:r>
        <w:rPr>
          <w:rFonts w:ascii="Palatino Linotype" w:eastAsia="Palatino Linotype" w:hAnsi="Palatino Linotype" w:cs="Palatino Linotype"/>
          <w:i/>
          <w:sz w:val="22"/>
          <w:szCs w:val="22"/>
        </w:rPr>
        <w:t xml:space="preserve">. </w:t>
      </w:r>
    </w:p>
    <w:p w14:paraId="3D0A35BB" w14:textId="77777777" w:rsidR="00AB4832" w:rsidRDefault="00AB4832">
      <w:pPr>
        <w:ind w:left="709" w:right="709"/>
        <w:jc w:val="both"/>
        <w:rPr>
          <w:rFonts w:ascii="Palatino Linotype" w:eastAsia="Palatino Linotype" w:hAnsi="Palatino Linotype" w:cs="Palatino Linotype"/>
          <w:i/>
          <w:sz w:val="22"/>
          <w:szCs w:val="22"/>
        </w:rPr>
      </w:pPr>
    </w:p>
    <w:p w14:paraId="4BBC22CC"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0B8FBA1D"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w:t>
      </w:r>
    </w:p>
    <w:p w14:paraId="23E3A162"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6EB304F1" w14:textId="77777777" w:rsidR="00AB4832" w:rsidRDefault="007D2D2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0478/17. Secretaría de Relaciones Exteriores. 26 de abril de 2017. Por unanimidad. Comisionada Ponente Areli Cano Guadiana.”</w:t>
      </w:r>
    </w:p>
    <w:p w14:paraId="64D1714F" w14:textId="77777777" w:rsidR="00AB4832" w:rsidRDefault="007D2D2A">
      <w:pPr>
        <w:spacing w:before="280" w:after="280" w:line="360" w:lineRule="auto"/>
        <w:ind w:left="709" w:right="7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51F4C2EF" w14:textId="77777777" w:rsidR="00AB4832" w:rsidRDefault="007D2D2A">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Clave Única de Registro de Población, se encuentra vinculado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35E71F7E" w14:textId="77777777" w:rsidR="00AB4832" w:rsidRDefault="007D2D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Pr>
          <w:rFonts w:ascii="Palatino Linotype" w:eastAsia="Palatino Linotype" w:hAnsi="Palatino Linotype" w:cs="Palatino Linotype"/>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EB0085A" w14:textId="77777777" w:rsidR="00AB4832" w:rsidRDefault="007D2D2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3D4DE5" w14:textId="77777777" w:rsidR="00AB4832" w:rsidRDefault="007D2D2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Llegado a este punto y por las razones expuestas a lo largo del presente estudio es que se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 </w:t>
      </w:r>
      <w:r>
        <w:rPr>
          <w:rFonts w:ascii="Palatino Linotype" w:eastAsia="Palatino Linotype" w:hAnsi="Palatino Linotype" w:cs="Palatino Linotype"/>
          <w:color w:val="000000"/>
        </w:rPr>
        <w:t xml:space="preserve">haga entrega al </w:t>
      </w:r>
      <w:r>
        <w:rPr>
          <w:rFonts w:ascii="Palatino Linotype" w:eastAsia="Palatino Linotype" w:hAnsi="Palatino Linotype" w:cs="Palatino Linotype"/>
          <w:b/>
        </w:rPr>
        <w:t>RECURRENTE</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b/>
          <w:color w:val="000000"/>
        </w:rPr>
        <w:t>versión pública</w:t>
      </w:r>
      <w:r>
        <w:rPr>
          <w:rFonts w:ascii="Palatino Linotype" w:eastAsia="Palatino Linotype" w:hAnsi="Palatino Linotype" w:cs="Palatino Linotype"/>
          <w:color w:val="000000"/>
        </w:rPr>
        <w:t xml:space="preserve"> de</w:t>
      </w:r>
      <w:r>
        <w:rPr>
          <w:rFonts w:ascii="Palatino Linotype" w:eastAsia="Palatino Linotype" w:hAnsi="Palatino Linotype" w:cs="Palatino Linotype"/>
        </w:rPr>
        <w:t>l soporte documental donde consten las plazas asignadas a los servidores públicos establecidos, si estas fueron otorgadas por concurso y en su caso, la fecha.</w:t>
      </w:r>
    </w:p>
    <w:p w14:paraId="44E224EE" w14:textId="77777777" w:rsidR="00AB4832" w:rsidRDefault="007D2D2A">
      <w:pPr>
        <w:tabs>
          <w:tab w:val="left" w:pos="822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trigésimos, trigésimos primero y trigésimos segundos, y fracciones IV y V de la Constitución Política del </w:t>
      </w:r>
      <w:r>
        <w:rPr>
          <w:rFonts w:ascii="Palatino Linotype" w:eastAsia="Palatino Linotype" w:hAnsi="Palatino Linotype" w:cs="Palatino Linotype"/>
        </w:rPr>
        <w:lastRenderedPageBreak/>
        <w:t>Estado Libre y Soberano de México; 2, fracción II, 29, 36, fracciones I y II, 176, 178, 179, 181, 185, fracción I, 186 y 188 de la Ley de Transparencia y Acceso a la Información Pública del Estado de México y Municipios, este Pleno:</w:t>
      </w:r>
    </w:p>
    <w:p w14:paraId="32AF9707" w14:textId="77777777" w:rsidR="00AB4832" w:rsidRDefault="00AB4832"/>
    <w:p w14:paraId="1541B5D9" w14:textId="77777777" w:rsidR="00AB4832" w:rsidRDefault="007D2D2A">
      <w:pPr>
        <w:jc w:val="center"/>
        <w:rPr>
          <w:rFonts w:ascii="Palatino Linotype" w:eastAsia="Palatino Linotype" w:hAnsi="Palatino Linotype" w:cs="Palatino Linotype"/>
          <w:b/>
          <w:sz w:val="28"/>
          <w:szCs w:val="28"/>
        </w:rPr>
      </w:pPr>
      <w:bookmarkStart w:id="9" w:name="_heading=h.30j0zll" w:colFirst="0" w:colLast="0"/>
      <w:bookmarkEnd w:id="9"/>
      <w:r>
        <w:rPr>
          <w:rFonts w:ascii="Palatino Linotype" w:eastAsia="Palatino Linotype" w:hAnsi="Palatino Linotype" w:cs="Palatino Linotype"/>
          <w:b/>
          <w:sz w:val="28"/>
          <w:szCs w:val="28"/>
        </w:rPr>
        <w:t>RESUELVE</w:t>
      </w:r>
    </w:p>
    <w:p w14:paraId="14E9F231" w14:textId="77777777" w:rsidR="00AB4832" w:rsidRDefault="00AB4832">
      <w:pPr>
        <w:jc w:val="center"/>
        <w:rPr>
          <w:rFonts w:ascii="Palatino Linotype" w:eastAsia="Palatino Linotype" w:hAnsi="Palatino Linotype" w:cs="Palatino Linotype"/>
          <w:b/>
          <w:sz w:val="28"/>
          <w:szCs w:val="28"/>
        </w:rPr>
      </w:pPr>
    </w:p>
    <w:p w14:paraId="6DFD09A8" w14:textId="77777777" w:rsidR="00AB4832" w:rsidRDefault="007D2D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1F68534A" w14:textId="77777777" w:rsidR="00AB4832" w:rsidRDefault="00AB4832">
      <w:pPr>
        <w:spacing w:line="360" w:lineRule="auto"/>
        <w:jc w:val="both"/>
        <w:rPr>
          <w:rFonts w:ascii="Palatino Linotype" w:eastAsia="Palatino Linotype" w:hAnsi="Palatino Linotype" w:cs="Palatino Linotype"/>
        </w:rPr>
      </w:pPr>
    </w:p>
    <w:p w14:paraId="00500F09" w14:textId="77777777" w:rsidR="00AB4832" w:rsidRDefault="007D2D2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proporcionada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que derivó en el recurso de revisión </w:t>
      </w:r>
      <w:r>
        <w:rPr>
          <w:rFonts w:ascii="Palatino Linotype" w:eastAsia="Palatino Linotype" w:hAnsi="Palatino Linotype" w:cs="Palatino Linotype"/>
          <w:b/>
        </w:rPr>
        <w:t xml:space="preserve">05407/INFOEM/IP/RR/2021 </w:t>
      </w:r>
      <w:r>
        <w:rPr>
          <w:rFonts w:ascii="Palatino Linotype" w:eastAsia="Palatino Linotype" w:hAnsi="Palatino Linotype" w:cs="Palatino Linotype"/>
        </w:rPr>
        <w:t xml:space="preserve">y se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en versión pública </w:t>
      </w:r>
      <w:r>
        <w:rPr>
          <w:rFonts w:ascii="Palatino Linotype" w:eastAsia="Palatino Linotype" w:hAnsi="Palatino Linotype" w:cs="Palatino Linotype"/>
        </w:rPr>
        <w:t xml:space="preserve">lo siguiente: </w:t>
      </w:r>
    </w:p>
    <w:p w14:paraId="1A5D74E2" w14:textId="77777777" w:rsidR="00AB4832" w:rsidRDefault="007D2D2A">
      <w:pPr>
        <w:pBdr>
          <w:top w:val="nil"/>
          <w:left w:val="nil"/>
          <w:bottom w:val="nil"/>
          <w:right w:val="nil"/>
          <w:between w:val="nil"/>
        </w:pBdr>
        <w:spacing w:line="276" w:lineRule="auto"/>
        <w:ind w:left="121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soporte documental donde consten las plazas asignadas a los servidores públicos señalados en la solicitud de información y  si estas fueron otorgadas por concurso y en su caso la fecha.</w:t>
      </w:r>
    </w:p>
    <w:p w14:paraId="0E59C6D1" w14:textId="77777777" w:rsidR="00AB4832" w:rsidRDefault="007D2D2A">
      <w:pPr>
        <w:pBdr>
          <w:top w:val="nil"/>
          <w:left w:val="nil"/>
          <w:bottom w:val="nil"/>
          <w:right w:val="nil"/>
          <w:between w:val="nil"/>
        </w:pBdr>
        <w:spacing w:line="276" w:lineRule="auto"/>
        <w:ind w:left="121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52CF110" w14:textId="77777777" w:rsidR="00AB4832" w:rsidRDefault="00AB4832">
      <w:pPr>
        <w:pBdr>
          <w:top w:val="nil"/>
          <w:left w:val="nil"/>
          <w:bottom w:val="nil"/>
          <w:right w:val="nil"/>
          <w:between w:val="nil"/>
        </w:pBdr>
        <w:spacing w:line="276" w:lineRule="auto"/>
        <w:ind w:right="899"/>
        <w:jc w:val="both"/>
        <w:rPr>
          <w:rFonts w:ascii="Palatino Linotype" w:eastAsia="Palatino Linotype" w:hAnsi="Palatino Linotype" w:cs="Palatino Linotype"/>
          <w:i/>
          <w:color w:val="000000"/>
        </w:rPr>
      </w:pPr>
    </w:p>
    <w:p w14:paraId="4828B422" w14:textId="77777777" w:rsidR="00AB4832" w:rsidRDefault="007D2D2A">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222222"/>
          <w:sz w:val="28"/>
          <w:szCs w:val="28"/>
          <w:highlight w:val="white"/>
        </w:rPr>
        <w:t>TERCERO.</w:t>
      </w:r>
      <w:r>
        <w:rPr>
          <w:rFonts w:ascii="Palatino Linotype" w:eastAsia="Palatino Linotype" w:hAnsi="Palatino Linotype" w:cs="Palatino Linotype"/>
          <w:b/>
          <w:color w:val="222222"/>
          <w:highlight w:val="white"/>
        </w:rPr>
        <w:t>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highlight w:val="white"/>
        </w:rPr>
        <w:t>al Titular de la Unidad de Transparencia del</w:t>
      </w:r>
      <w:r>
        <w:rPr>
          <w:rFonts w:ascii="Palatino Linotype" w:eastAsia="Palatino Linotype" w:hAnsi="Palatino Linotype" w:cs="Palatino Linotype"/>
          <w:b/>
          <w:color w:val="222222"/>
          <w:highlight w:val="white"/>
        </w:rPr>
        <w:t> SUJETO OBLIGADO</w:t>
      </w:r>
      <w:r>
        <w:rPr>
          <w:rFonts w:ascii="Palatino Linotype" w:eastAsia="Palatino Linotype" w:hAnsi="Palatino Linotype" w:cs="Palatino Linotype"/>
          <w:color w:val="222222"/>
          <w:highlight w:val="white"/>
        </w:rPr>
        <w:t xml:space="preserve">, para que conforme a los artículos 186, último párrafo y 189, párrafo segundo de la Ley de </w:t>
      </w:r>
      <w:r>
        <w:rPr>
          <w:rFonts w:ascii="Palatino Linotype" w:eastAsia="Palatino Linotype" w:hAnsi="Palatino Linotype" w:cs="Palatino Linotype"/>
        </w:rPr>
        <w:t>Transparencia</w:t>
      </w:r>
      <w:r>
        <w:rPr>
          <w:rFonts w:ascii="Palatino Linotype" w:eastAsia="Palatino Linotype" w:hAnsi="Palatino Linotype" w:cs="Palatino Linotype"/>
          <w:color w:val="222222"/>
          <w:highlight w:val="white"/>
        </w:rPr>
        <w:t xml:space="preserve"> y Acceso a la Información Pública del Estado de México y Municipios, dé </w:t>
      </w:r>
      <w:r>
        <w:rPr>
          <w:rFonts w:ascii="Palatino Linotype" w:eastAsia="Palatino Linotype" w:hAnsi="Palatino Linotype" w:cs="Palatino Linotype"/>
        </w:rPr>
        <w:t>cumplimiento</w:t>
      </w:r>
      <w:r>
        <w:rPr>
          <w:rFonts w:ascii="Palatino Linotype" w:eastAsia="Palatino Linotype" w:hAnsi="Palatino Linotype" w:cs="Palatino Linotype"/>
          <w:color w:val="222222"/>
          <w:highlight w:val="white"/>
        </w:rPr>
        <w:t xml:space="preserve"> a lo ordenado dentro del plazo de diez días </w:t>
      </w:r>
      <w:r>
        <w:rPr>
          <w:rFonts w:ascii="Palatino Linotype" w:eastAsia="Palatino Linotype" w:hAnsi="Palatino Linotype" w:cs="Palatino Linotype"/>
          <w:color w:val="222222"/>
          <w:highlight w:val="white"/>
        </w:rPr>
        <w:lastRenderedPageBreak/>
        <w:t xml:space="preserve">hábiles, debiendo </w:t>
      </w:r>
      <w:r>
        <w:rPr>
          <w:rFonts w:ascii="Palatino Linotype" w:eastAsia="Palatino Linotype" w:hAnsi="Palatino Linotype" w:cs="Palatino Linotype"/>
        </w:rPr>
        <w:t>informar</w:t>
      </w:r>
      <w:r>
        <w:rPr>
          <w:rFonts w:ascii="Palatino Linotype" w:eastAsia="Palatino Linotype" w:hAnsi="Palatino Linotype" w:cs="Palatino Linotype"/>
          <w:color w:val="222222"/>
          <w:highlight w:val="white"/>
        </w:rPr>
        <w:t xml:space="preserve"> a este Instituto en un plazo </w:t>
      </w:r>
      <w:r>
        <w:rPr>
          <w:rFonts w:ascii="Palatino Linotype" w:eastAsia="Palatino Linotype" w:hAnsi="Palatino Linotype" w:cs="Palatino Linotype"/>
          <w:color w:val="222222"/>
        </w:rPr>
        <w:t>de</w:t>
      </w:r>
      <w:r>
        <w:rPr>
          <w:rFonts w:ascii="Palatino Linotype" w:eastAsia="Palatino Linotype" w:hAnsi="Palatino Linotype" w:cs="Palatino Linotype"/>
          <w:color w:val="222222"/>
          <w:highlight w:val="white"/>
        </w:rPr>
        <w:t xml:space="preserve"> tres días hábiles siguientes sobre el cumplimiento dado a la presente resolución.</w:t>
      </w:r>
    </w:p>
    <w:p w14:paraId="5C9346AE" w14:textId="77777777" w:rsidR="00AB4832" w:rsidRDefault="007D2D2A">
      <w:pPr>
        <w:spacing w:before="280" w:after="28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color w:val="000000"/>
          <w:sz w:val="28"/>
          <w:szCs w:val="28"/>
        </w:rPr>
        <w:t xml:space="preserve"> </w:t>
      </w:r>
      <w:r>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190B623F" w14:textId="77777777" w:rsidR="00AB4832" w:rsidRDefault="007D2D2A">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QUINTO</w:t>
      </w:r>
      <w:r>
        <w:rPr>
          <w:rFonts w:ascii="Palatino Linotype" w:eastAsia="Palatino Linotype" w:hAnsi="Palatino Linotype" w:cs="Palatino Linotype"/>
          <w:b/>
          <w:color w:val="222222"/>
        </w:rPr>
        <w:t>. 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vía SAIMEX</w:t>
      </w:r>
      <w:r>
        <w:rPr>
          <w:rFonts w:ascii="Palatino Linotype" w:eastAsia="Palatino Linotype" w:hAnsi="Palatino Linotype" w:cs="Palatino Linotype"/>
          <w:color w:val="222222"/>
        </w:rPr>
        <w:t xml:space="preserve"> la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w:t>
      </w:r>
    </w:p>
    <w:p w14:paraId="64C4C6FA" w14:textId="77777777" w:rsidR="00AB4832" w:rsidRDefault="00AB4832">
      <w:pPr>
        <w:spacing w:line="360" w:lineRule="auto"/>
        <w:ind w:right="49"/>
        <w:jc w:val="both"/>
        <w:rPr>
          <w:rFonts w:ascii="Palatino Linotype" w:eastAsia="Palatino Linotype" w:hAnsi="Palatino Linotype" w:cs="Palatino Linotype"/>
          <w:b/>
          <w:color w:val="222222"/>
        </w:rPr>
      </w:pPr>
    </w:p>
    <w:p w14:paraId="16DD3E53" w14:textId="49040BD9" w:rsidR="00AB4832" w:rsidRPr="003B2C32" w:rsidRDefault="007D2D2A">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222222"/>
          <w:sz w:val="28"/>
          <w:szCs w:val="28"/>
        </w:rPr>
        <w:t>SEXTO.</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sz w:val="22"/>
          <w:szCs w:val="22"/>
        </w:rPr>
        <w:t>que</w:t>
      </w:r>
      <w:r>
        <w:rPr>
          <w:rFonts w:ascii="Palatino Linotype" w:eastAsia="Palatino Linotype" w:hAnsi="Palatino Linotype" w:cs="Palatino Linotype"/>
        </w:rPr>
        <w:t>, 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color w:val="000000"/>
          <w:highlight w:val="white"/>
        </w:rPr>
        <w:t xml:space="preserve">podrá </w:t>
      </w:r>
      <w:r>
        <w:rPr>
          <w:rFonts w:ascii="Palatino Linotype" w:eastAsia="Palatino Linotype" w:hAnsi="Palatino Linotype" w:cs="Palatino Linotype"/>
          <w:highlight w:val="white"/>
        </w:rPr>
        <w:t>impugnarla vía</w:t>
      </w:r>
      <w:r>
        <w:rPr>
          <w:rFonts w:ascii="Palatino Linotype" w:eastAsia="Palatino Linotype" w:hAnsi="Palatino Linotype" w:cs="Palatino Linotype"/>
          <w:color w:val="222222"/>
          <w:highlight w:val="white"/>
        </w:rPr>
        <w:t xml:space="preserve"> juicio de amparo en los términos de las leyes aplicables.</w:t>
      </w:r>
    </w:p>
    <w:p w14:paraId="40ACA2BC" w14:textId="2BBE8B8C" w:rsidR="00AB4832" w:rsidRPr="003B2C32" w:rsidRDefault="007D2D2A">
      <w:pPr>
        <w:widowControl w:val="0"/>
        <w:spacing w:before="280" w:after="280" w:line="360" w:lineRule="auto"/>
        <w:jc w:val="both"/>
        <w:rPr>
          <w:rFonts w:ascii="Palatino Linotype" w:eastAsia="Palatino Linotype" w:hAnsi="Palatino Linotype" w:cs="Palatino Linotype"/>
          <w:sz w:val="22"/>
        </w:rPr>
      </w:pPr>
      <w:r w:rsidRPr="003B2C32">
        <w:rPr>
          <w:rFonts w:ascii="Palatino Linotype" w:eastAsia="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TERCERA SESIÓN </w:t>
      </w:r>
      <w:r w:rsidR="003B2C32">
        <w:rPr>
          <w:rFonts w:ascii="Palatino Linotype" w:eastAsia="Palatino Linotype" w:hAnsi="Palatino Linotype" w:cs="Palatino Linotype"/>
          <w:sz w:val="22"/>
        </w:rPr>
        <w:t>ORDINARIA CELEBRADA EL VEINTISIETE</w:t>
      </w:r>
      <w:r w:rsidRPr="003B2C32">
        <w:rPr>
          <w:rFonts w:ascii="Palatino Linotype" w:eastAsia="Palatino Linotype" w:hAnsi="Palatino Linotype" w:cs="Palatino Linotype"/>
          <w:sz w:val="22"/>
        </w:rPr>
        <w:t xml:space="preserve"> DE ENERO DE DOS MIL VEINTIDÓS, ANTE EL SECRETARIO TÉCNICO DEL PLENO, ALEXIS TAPIA RAMÍREZ.</w:t>
      </w:r>
      <w:r w:rsidR="003B2C32">
        <w:rPr>
          <w:rFonts w:ascii="Palatino Linotype" w:eastAsia="Palatino Linotype" w:hAnsi="Palatino Linotype" w:cs="Palatino Linotype"/>
          <w:sz w:val="22"/>
        </w:rPr>
        <w:t>-------------------------------</w:t>
      </w:r>
    </w:p>
    <w:p w14:paraId="39EBE30F" w14:textId="77777777" w:rsidR="00AB4832" w:rsidRPr="003B2C32" w:rsidRDefault="007D2D2A">
      <w:pPr>
        <w:widowControl w:val="0"/>
        <w:spacing w:before="280" w:after="280" w:line="360" w:lineRule="auto"/>
        <w:jc w:val="both"/>
        <w:rPr>
          <w:rFonts w:ascii="Palatino Linotype" w:eastAsia="Palatino Linotype" w:hAnsi="Palatino Linotype" w:cs="Palatino Linotype"/>
          <w:sz w:val="16"/>
          <w:szCs w:val="20"/>
        </w:rPr>
      </w:pPr>
      <w:r w:rsidRPr="003B2C32">
        <w:rPr>
          <w:rFonts w:ascii="Palatino Linotype" w:eastAsia="Palatino Linotype" w:hAnsi="Palatino Linotype" w:cs="Palatino Linotype"/>
          <w:sz w:val="16"/>
          <w:szCs w:val="20"/>
        </w:rPr>
        <w:t xml:space="preserve">JMV/CCR/BLA/DEMF/PMRE </w:t>
      </w:r>
    </w:p>
    <w:p w14:paraId="31752FAA" w14:textId="6A73FED9" w:rsidR="00AB4832" w:rsidRPr="003B2C32" w:rsidRDefault="007D2D2A" w:rsidP="003B2C32">
      <w:pPr>
        <w:spacing w:after="160" w:line="259" w:lineRule="auto"/>
        <w:rPr>
          <w:rFonts w:ascii="Palatino Linotype" w:eastAsia="Palatino Linotype" w:hAnsi="Palatino Linotype" w:cs="Palatino Linotype"/>
          <w:sz w:val="20"/>
          <w:szCs w:val="20"/>
        </w:rPr>
      </w:pPr>
      <w:r>
        <w:br w:type="page"/>
      </w:r>
      <w:r>
        <w:rPr>
          <w:rFonts w:ascii="Palatino Linotype" w:eastAsia="Palatino Linotype" w:hAnsi="Palatino Linotype" w:cs="Palatino Linotype"/>
          <w:sz w:val="20"/>
          <w:szCs w:val="20"/>
        </w:rPr>
        <w:lastRenderedPageBreak/>
        <w:t xml:space="preserve">                                                                                                                                                                                                                              </w:t>
      </w:r>
      <w:r w:rsidR="003B2C32">
        <w:rPr>
          <w:rFonts w:ascii="Palatino Linotype" w:eastAsia="Palatino Linotype" w:hAnsi="Palatino Linotype" w:cs="Palatino Linotype"/>
          <w:sz w:val="20"/>
          <w:szCs w:val="20"/>
        </w:rPr>
        <w:t xml:space="preserve">                               </w:t>
      </w:r>
    </w:p>
    <w:sectPr w:rsidR="00AB4832" w:rsidRPr="003B2C32">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FFF6" w14:textId="77777777" w:rsidR="00C74DC5" w:rsidRDefault="007D2D2A">
      <w:r>
        <w:separator/>
      </w:r>
    </w:p>
  </w:endnote>
  <w:endnote w:type="continuationSeparator" w:id="0">
    <w:p w14:paraId="7F29BDA5" w14:textId="77777777" w:rsidR="00C74DC5" w:rsidRDefault="007D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8BB4C" w14:textId="77777777" w:rsidR="00AB4832" w:rsidRDefault="007D2D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7159">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7159">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4104E" w14:textId="77777777" w:rsidR="00AB4832" w:rsidRDefault="007D2D2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715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7159">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59988" w14:textId="77777777" w:rsidR="00C74DC5" w:rsidRDefault="007D2D2A">
      <w:r>
        <w:separator/>
      </w:r>
    </w:p>
  </w:footnote>
  <w:footnote w:type="continuationSeparator" w:id="0">
    <w:p w14:paraId="4F6FD5A9" w14:textId="77777777" w:rsidR="00C74DC5" w:rsidRDefault="007D2D2A">
      <w:r>
        <w:continuationSeparator/>
      </w:r>
    </w:p>
  </w:footnote>
  <w:footnote w:id="1">
    <w:p w14:paraId="27BEBCDE" w14:textId="77777777" w:rsidR="00AB4832" w:rsidRDefault="007D2D2A">
      <w:pPr>
        <w:rPr>
          <w:sz w:val="16"/>
          <w:szCs w:val="16"/>
        </w:rPr>
      </w:pPr>
      <w:r>
        <w:rPr>
          <w:vertAlign w:val="superscript"/>
        </w:rPr>
        <w:footnoteRef/>
      </w:r>
      <w:r>
        <w:rPr>
          <w:sz w:val="20"/>
          <w:szCs w:val="20"/>
        </w:rPr>
        <w:t xml:space="preserve"> </w:t>
      </w:r>
      <w:r>
        <w:rPr>
          <w:rFonts w:ascii="Palatino Linotype" w:eastAsia="Palatino Linotype" w:hAnsi="Palatino Linotype" w:cs="Palatino Linotype"/>
          <w:sz w:val="20"/>
          <w:szCs w:val="20"/>
        </w:rPr>
        <w:t xml:space="preserve">Ley General del Servicio Profesional Docente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E776" w14:textId="77777777" w:rsidR="00AB4832" w:rsidRDefault="0094715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03D38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CB0C" w14:textId="77777777" w:rsidR="00AB4832" w:rsidRDefault="00947159">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5619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a"/>
      <w:tblW w:w="9356" w:type="dxa"/>
      <w:tblInd w:w="-142" w:type="dxa"/>
      <w:tblLayout w:type="fixed"/>
      <w:tblLook w:val="0400" w:firstRow="0" w:lastRow="0" w:firstColumn="0" w:lastColumn="0" w:noHBand="0" w:noVBand="1"/>
    </w:tblPr>
    <w:tblGrid>
      <w:gridCol w:w="3828"/>
      <w:gridCol w:w="2551"/>
      <w:gridCol w:w="2977"/>
    </w:tblGrid>
    <w:tr w:rsidR="00AB4832" w14:paraId="63515D0B" w14:textId="77777777">
      <w:tc>
        <w:tcPr>
          <w:tcW w:w="3828" w:type="dxa"/>
          <w:vMerge w:val="restart"/>
        </w:tcPr>
        <w:p w14:paraId="22A876BC"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6BA809D2" wp14:editId="288DBF5E">
                <wp:extent cx="1692162" cy="852673"/>
                <wp:effectExtent l="0" t="0" r="0" b="0"/>
                <wp:docPr id="7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3DFC8F0"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2B2C7355" w14:textId="77777777" w:rsidR="00AB4832" w:rsidRDefault="007D2D2A">
          <w:r>
            <w:rPr>
              <w:rFonts w:ascii="Palatino Linotype" w:eastAsia="Palatino Linotype" w:hAnsi="Palatino Linotype" w:cs="Palatino Linotype"/>
              <w:b/>
              <w:sz w:val="22"/>
              <w:szCs w:val="22"/>
            </w:rPr>
            <w:t>05407/INFOEM/IP/RR/2021</w:t>
          </w:r>
        </w:p>
      </w:tc>
    </w:tr>
    <w:tr w:rsidR="00AB4832" w14:paraId="09CF4799" w14:textId="77777777">
      <w:tc>
        <w:tcPr>
          <w:tcW w:w="3828" w:type="dxa"/>
          <w:vMerge/>
        </w:tcPr>
        <w:p w14:paraId="436B4EAE" w14:textId="77777777" w:rsidR="00AB4832" w:rsidRDefault="00AB4832">
          <w:pPr>
            <w:widowControl w:val="0"/>
            <w:pBdr>
              <w:top w:val="nil"/>
              <w:left w:val="nil"/>
              <w:bottom w:val="nil"/>
              <w:right w:val="nil"/>
              <w:between w:val="nil"/>
            </w:pBdr>
            <w:spacing w:line="276" w:lineRule="auto"/>
          </w:pPr>
        </w:p>
      </w:tc>
      <w:tc>
        <w:tcPr>
          <w:tcW w:w="2551" w:type="dxa"/>
          <w:shd w:val="clear" w:color="auto" w:fill="auto"/>
        </w:tcPr>
        <w:p w14:paraId="06B64155"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18F4FE5F" w14:textId="77777777" w:rsidR="00AB4832" w:rsidRDefault="007D2D2A">
          <w:r>
            <w:rPr>
              <w:rFonts w:ascii="Palatino Linotype" w:eastAsia="Palatino Linotype" w:hAnsi="Palatino Linotype" w:cs="Palatino Linotype"/>
              <w:b/>
              <w:sz w:val="22"/>
              <w:szCs w:val="22"/>
            </w:rPr>
            <w:t>Servicios Educativos Integrados al Estado de México.</w:t>
          </w:r>
        </w:p>
      </w:tc>
    </w:tr>
    <w:tr w:rsidR="00AB4832" w14:paraId="0CFDE10A" w14:textId="77777777">
      <w:trPr>
        <w:trHeight w:val="228"/>
      </w:trPr>
      <w:tc>
        <w:tcPr>
          <w:tcW w:w="3828" w:type="dxa"/>
          <w:vMerge/>
        </w:tcPr>
        <w:p w14:paraId="6FFA7E30" w14:textId="77777777" w:rsidR="00AB4832" w:rsidRDefault="00AB4832">
          <w:pPr>
            <w:widowControl w:val="0"/>
            <w:pBdr>
              <w:top w:val="nil"/>
              <w:left w:val="nil"/>
              <w:bottom w:val="nil"/>
              <w:right w:val="nil"/>
              <w:between w:val="nil"/>
            </w:pBdr>
            <w:spacing w:line="276" w:lineRule="auto"/>
          </w:pPr>
        </w:p>
      </w:tc>
      <w:tc>
        <w:tcPr>
          <w:tcW w:w="2551" w:type="dxa"/>
          <w:shd w:val="clear" w:color="auto" w:fill="auto"/>
        </w:tcPr>
        <w:p w14:paraId="77C7EDD2"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4BFB9131" w14:textId="77777777" w:rsidR="00AB4832" w:rsidRDefault="007D2D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02AF071E" w14:textId="77777777" w:rsidR="00AB4832" w:rsidRDefault="00AB4832">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5822" w14:textId="77777777" w:rsidR="00AB4832" w:rsidRDefault="0094715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0F33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9"/>
      <w:tblW w:w="9356" w:type="dxa"/>
      <w:tblInd w:w="-142" w:type="dxa"/>
      <w:tblLayout w:type="fixed"/>
      <w:tblLook w:val="0400" w:firstRow="0" w:lastRow="0" w:firstColumn="0" w:lastColumn="0" w:noHBand="0" w:noVBand="1"/>
    </w:tblPr>
    <w:tblGrid>
      <w:gridCol w:w="3828"/>
      <w:gridCol w:w="2551"/>
      <w:gridCol w:w="2977"/>
    </w:tblGrid>
    <w:tr w:rsidR="00AB4832" w14:paraId="1F4E769A" w14:textId="77777777">
      <w:tc>
        <w:tcPr>
          <w:tcW w:w="3828" w:type="dxa"/>
          <w:vMerge w:val="restart"/>
        </w:tcPr>
        <w:p w14:paraId="31C007A3"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6DE6B211" wp14:editId="464A3421">
                <wp:extent cx="1692162" cy="852673"/>
                <wp:effectExtent l="0" t="0" r="0" b="0"/>
                <wp:docPr id="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EF1D8A6"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F112961"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206D363F"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05407/INFOEM/IP/RR/2021</w:t>
          </w:r>
        </w:p>
        <w:p w14:paraId="18C6D7B8" w14:textId="3A5E72CD" w:rsidR="00AB4832" w:rsidRDefault="00947159" w:rsidP="00947159">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w:t>
          </w:r>
          <w:proofErr w:type="spellEnd"/>
          <w:r w:rsidR="007D2D2A">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r w:rsidR="007D2D2A">
            <w:rPr>
              <w:rFonts w:ascii="Palatino Linotype" w:eastAsia="Palatino Linotype" w:hAnsi="Palatino Linotype" w:cs="Palatino Linotype"/>
              <w:b/>
              <w:sz w:val="22"/>
              <w:szCs w:val="22"/>
            </w:rPr>
            <w:t xml:space="preserve"> </w:t>
          </w:r>
        </w:p>
      </w:tc>
    </w:tr>
    <w:tr w:rsidR="00AB4832" w14:paraId="1628AD71" w14:textId="77777777">
      <w:tc>
        <w:tcPr>
          <w:tcW w:w="3828" w:type="dxa"/>
          <w:vMerge/>
        </w:tcPr>
        <w:p w14:paraId="2028B3BC"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483F934"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65FC2BC9"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AB4832" w14:paraId="0B041795" w14:textId="77777777">
      <w:trPr>
        <w:trHeight w:val="228"/>
      </w:trPr>
      <w:tc>
        <w:tcPr>
          <w:tcW w:w="3828" w:type="dxa"/>
          <w:vMerge/>
        </w:tcPr>
        <w:p w14:paraId="31927F59" w14:textId="77777777" w:rsidR="00AB4832" w:rsidRDefault="00AB483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C2C551E" w14:textId="77777777" w:rsidR="00AB4832" w:rsidRDefault="007D2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2BCA4D4C" w14:textId="77777777" w:rsidR="00AB4832" w:rsidRDefault="007D2D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14:paraId="370960BB" w14:textId="77777777" w:rsidR="00AB4832" w:rsidRDefault="00AB4832">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32"/>
    <w:rsid w:val="003240E2"/>
    <w:rsid w:val="003B2C32"/>
    <w:rsid w:val="00472819"/>
    <w:rsid w:val="007D2D2A"/>
    <w:rsid w:val="00947159"/>
    <w:rsid w:val="00AB4832"/>
    <w:rsid w:val="00C74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ECE06"/>
  <w15:docId w15:val="{FBE488E3-200E-4172-B40B-160212A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normal4">
    <w:name w:val="Plain Table 4"/>
    <w:basedOn w:val="Tablanormal"/>
    <w:uiPriority w:val="44"/>
    <w:rsid w:val="008563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8563C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8563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H134Gx2+kn+DXE2KWS9G+YrZUA==">AMUW2mXukHLrqLeCCztpU6bL9t2wmzIux8RfUSVC3qXmb+Iy8CoSoLvaaf92ua97Yh/dUwkgNt73M78+HAu5jkkRGFpx0JGq4KEcsYAV/MSMzGbYb9+qqRfwf98vfUCf7KJ5EM11XleMw5jJgyhdK+RUGgbnRipAfI/zuM8uR36AJYGzpvcOEY/E1oXk2EIf7qusRmjrVAEcbRTKt+0KK/pbS2TYU1OYkBW9K8OR00GMlSfQzH5BxTQwH3ouTL+ZLE0KKjY6xiLTTWMVTRBfrSX6jeoxElx0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9585</Words>
  <Characters>52720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cp:lastModifiedBy>
  <cp:revision>5</cp:revision>
  <dcterms:created xsi:type="dcterms:W3CDTF">2022-01-14T04:37:00Z</dcterms:created>
  <dcterms:modified xsi:type="dcterms:W3CDTF">2022-02-22T17:00:00Z</dcterms:modified>
</cp:coreProperties>
</file>