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22" w:rsidRDefault="008E3D22">
      <w:pPr>
        <w:widowControl w:val="0"/>
        <w:pBdr>
          <w:top w:val="nil"/>
          <w:left w:val="nil"/>
          <w:bottom w:val="nil"/>
          <w:right w:val="nil"/>
          <w:between w:val="nil"/>
        </w:pBdr>
        <w:spacing w:line="276" w:lineRule="auto"/>
      </w:pPr>
    </w:p>
    <w:p w:rsidR="008E3D22" w:rsidRDefault="006B02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doce de enero de dos mil veintidós .</w:t>
      </w:r>
    </w:p>
    <w:p w:rsidR="008E3D22" w:rsidRDefault="008E3D22">
      <w:pPr>
        <w:spacing w:line="360" w:lineRule="auto"/>
        <w:jc w:val="both"/>
        <w:rPr>
          <w:rFonts w:ascii="Palatino Linotype" w:eastAsia="Palatino Linotype" w:hAnsi="Palatino Linotype" w:cs="Palatino Linotype"/>
        </w:rPr>
      </w:pPr>
    </w:p>
    <w:p w:rsidR="008E3D22" w:rsidRDefault="006B02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05457/INFOEM/IP/RR/2020</w:t>
      </w:r>
      <w:r>
        <w:rPr>
          <w:rFonts w:ascii="Palatino Linotype" w:eastAsia="Palatino Linotype" w:hAnsi="Palatino Linotype" w:cs="Palatino Linotype"/>
        </w:rPr>
        <w:t xml:space="preserve">, promovido por la </w:t>
      </w:r>
      <w:r>
        <w:rPr>
          <w:rFonts w:ascii="Palatino Linotype" w:eastAsia="Palatino Linotype" w:hAnsi="Palatino Linotype" w:cs="Palatino Linotype"/>
          <w:b/>
        </w:rPr>
        <w:t>C.</w:t>
      </w:r>
      <w:r>
        <w:rPr>
          <w:rFonts w:ascii="Palatino Linotype" w:eastAsia="Palatino Linotype" w:hAnsi="Palatino Linotype" w:cs="Palatino Linotype"/>
        </w:rPr>
        <w:t xml:space="preserve"> </w:t>
      </w:r>
      <w:proofErr w:type="spellStart"/>
      <w:r w:rsidR="00C7002A">
        <w:rPr>
          <w:rFonts w:ascii="Palatino Linotype" w:eastAsia="Palatino Linotype" w:hAnsi="Palatino Linotype" w:cs="Palatino Linotype"/>
          <w:b/>
        </w:rPr>
        <w:t>xxxxxxxxxxxxxxxxxxxxxxxxxx</w:t>
      </w:r>
      <w:proofErr w:type="spellEnd"/>
      <w:r>
        <w:rPr>
          <w:rFonts w:ascii="Palatino Linotype" w:eastAsia="Palatino Linotype" w:hAnsi="Palatino Linotype" w:cs="Palatino Linotype"/>
          <w:b/>
        </w:rPr>
        <w:t xml:space="preserve"> </w:t>
      </w:r>
      <w:proofErr w:type="spellStart"/>
      <w:r w:rsidR="00C7002A">
        <w:rPr>
          <w:rFonts w:ascii="Palatino Linotype" w:eastAsia="Palatino Linotype" w:hAnsi="Palatino Linotype" w:cs="Palatino Linotype"/>
          <w:b/>
        </w:rPr>
        <w:t>xxxxxxxxx</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se denominará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contra de la respuesta emitida por el </w:t>
      </w:r>
      <w:r>
        <w:rPr>
          <w:rFonts w:ascii="Palatino Linotype" w:eastAsia="Palatino Linotype" w:hAnsi="Palatino Linotype" w:cs="Palatino Linotype"/>
          <w:b/>
        </w:rPr>
        <w:t>Ayuntamiento de Cuautitlán</w:t>
      </w:r>
      <w:r>
        <w:rPr>
          <w:rFonts w:ascii="Palatino Linotype" w:eastAsia="Palatino Linotype" w:hAnsi="Palatino Linotype" w:cs="Palatino Linotype"/>
        </w:rPr>
        <w:t xml:space="preserve">, en lo subsecuente se nombrará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8E3D22" w:rsidRDefault="008E3D22">
      <w:pPr>
        <w:spacing w:line="360" w:lineRule="auto"/>
        <w:jc w:val="both"/>
        <w:rPr>
          <w:rFonts w:ascii="Palatino Linotype" w:eastAsia="Palatino Linotype" w:hAnsi="Palatino Linotype" w:cs="Palatino Linotype"/>
        </w:rPr>
      </w:pPr>
    </w:p>
    <w:p w:rsidR="008E3D22" w:rsidRDefault="006B02A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8E3D22" w:rsidRDefault="008E3D22">
      <w:pPr>
        <w:spacing w:line="360" w:lineRule="auto"/>
        <w:jc w:val="center"/>
        <w:rPr>
          <w:rFonts w:ascii="Palatino Linotype" w:eastAsia="Palatino Linotype" w:hAnsi="Palatino Linotype" w:cs="Palatino Linotype"/>
          <w:b/>
        </w:rPr>
      </w:pP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 veintisiete</w:t>
      </w:r>
      <w:r>
        <w:rPr>
          <w:rFonts w:ascii="Palatino Linotype" w:eastAsia="Palatino Linotype" w:hAnsi="Palatino Linotype" w:cs="Palatino Linotype"/>
        </w:rPr>
        <w:t xml:space="preserve"> de septiembre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 xml:space="preserve">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w:t>
      </w:r>
      <w:r>
        <w:rPr>
          <w:rFonts w:ascii="Palatino Linotype" w:eastAsia="Palatino Linotype" w:hAnsi="Palatino Linotype" w:cs="Palatino Linotype"/>
          <w:b/>
        </w:rPr>
        <w:t>00399/CUAUTIT/IP/2021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estableció, lo siguiente:</w:t>
      </w:r>
    </w:p>
    <w:p w:rsidR="008E3D22" w:rsidRDefault="006B02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w:t>
      </w:r>
      <w:r>
        <w:rPr>
          <w:rFonts w:ascii="Palatino Linotype" w:eastAsia="Palatino Linotype" w:hAnsi="Palatino Linotype" w:cs="Palatino Linotype"/>
          <w:i/>
          <w:sz w:val="22"/>
          <w:szCs w:val="22"/>
        </w:rPr>
        <w:lastRenderedPageBreak/>
        <w:t>sindicatura y la titular de esta dependencia sigue dandole la autorizacion a este tipo de personas conflictivas.” (Sic)</w:t>
      </w:r>
    </w:p>
    <w:p w:rsidR="008E3D22" w:rsidRDefault="006B02AE">
      <w:pPr>
        <w:spacing w:before="280" w:after="280"/>
        <w:ind w:right="709"/>
        <w:jc w:val="both"/>
        <w:rPr>
          <w:rFonts w:ascii="Palatino Linotype" w:eastAsia="Palatino Linotype" w:hAnsi="Palatino Linotype" w:cs="Palatino Linotype"/>
        </w:rPr>
      </w:pPr>
      <w:r>
        <w:rPr>
          <w:rFonts w:ascii="Palatino Linotype" w:eastAsia="Palatino Linotype" w:hAnsi="Palatino Linotype" w:cs="Palatino Linotype"/>
        </w:rPr>
        <w:t xml:space="preserve">A dicha solicitud adjunto los documentos que se describen a continuación: </w:t>
      </w:r>
    </w:p>
    <w:p w:rsidR="008E3D22" w:rsidRDefault="006B02AE">
      <w:pPr>
        <w:numPr>
          <w:ilvl w:val="0"/>
          <w:numId w:val="3"/>
        </w:numPr>
        <w:pBdr>
          <w:top w:val="nil"/>
          <w:left w:val="nil"/>
          <w:bottom w:val="nil"/>
          <w:right w:val="nil"/>
          <w:between w:val="nil"/>
        </w:pBdr>
        <w:spacing w:before="280" w:after="280" w:line="360" w:lineRule="auto"/>
        <w:ind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en formato pdf denominado </w:t>
      </w:r>
      <w:r>
        <w:rPr>
          <w:rFonts w:ascii="Palatino Linotype" w:eastAsia="Palatino Linotype" w:hAnsi="Palatino Linotype" w:cs="Palatino Linotype"/>
          <w:i/>
          <w:color w:val="000000"/>
        </w:rPr>
        <w:t>“REPORTE DEL MES DE SEPTIEMBRE DE 2021.pdf”</w:t>
      </w:r>
      <w:r>
        <w:rPr>
          <w:rFonts w:ascii="Palatino Linotype" w:eastAsia="Palatino Linotype" w:hAnsi="Palatino Linotype" w:cs="Palatino Linotype"/>
          <w:color w:val="000000"/>
        </w:rPr>
        <w:t xml:space="preserve"> del cual se advierte el Reporte del Mes de septiembre derivado de la recaudación de donaciones en el condominio Real de San Fernando.  </w:t>
      </w:r>
    </w:p>
    <w:p w:rsidR="008E3D22" w:rsidRDefault="006B02AE">
      <w:pPr>
        <w:numPr>
          <w:ilvl w:val="0"/>
          <w:numId w:val="3"/>
        </w:numPr>
        <w:pBdr>
          <w:top w:val="nil"/>
          <w:left w:val="nil"/>
          <w:bottom w:val="nil"/>
          <w:right w:val="nil"/>
          <w:between w:val="nil"/>
        </w:pBdr>
        <w:spacing w:before="280" w:after="280" w:line="360" w:lineRule="auto"/>
        <w:ind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en pdf denominado </w:t>
      </w:r>
      <w:r>
        <w:rPr>
          <w:rFonts w:ascii="Palatino Linotype" w:eastAsia="Palatino Linotype" w:hAnsi="Palatino Linotype" w:cs="Palatino Linotype"/>
          <w:i/>
          <w:color w:val="000000"/>
        </w:rPr>
        <w:t>“demnd072021.pdf”</w:t>
      </w:r>
      <w:r>
        <w:rPr>
          <w:rFonts w:ascii="Palatino Linotype" w:eastAsia="Palatino Linotype" w:hAnsi="Palatino Linotype" w:cs="Palatino Linotype"/>
          <w:color w:val="000000"/>
        </w:rPr>
        <w:t xml:space="preserve"> de cuyo contenido se observa un escrito de demanda para un procedimiento arbitral entre los condóminos</w:t>
      </w:r>
    </w:p>
    <w:p w:rsidR="008E3D22" w:rsidRDefault="006B02AE">
      <w:pPr>
        <w:numPr>
          <w:ilvl w:val="0"/>
          <w:numId w:val="3"/>
        </w:numPr>
        <w:pBdr>
          <w:top w:val="nil"/>
          <w:left w:val="nil"/>
          <w:bottom w:val="nil"/>
          <w:right w:val="nil"/>
          <w:between w:val="nil"/>
        </w:pBdr>
        <w:spacing w:before="280" w:after="280" w:line="360" w:lineRule="auto"/>
        <w:ind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Archivo de imagen denominado </w:t>
      </w:r>
      <w:r>
        <w:rPr>
          <w:rFonts w:ascii="Palatino Linotype" w:eastAsia="Palatino Linotype" w:hAnsi="Palatino Linotype" w:cs="Palatino Linotype"/>
          <w:i/>
          <w:color w:val="000000"/>
        </w:rPr>
        <w:t>“evidencia_uno.jpg”</w:t>
      </w:r>
      <w:r>
        <w:rPr>
          <w:rFonts w:ascii="Palatino Linotype" w:eastAsia="Palatino Linotype" w:hAnsi="Palatino Linotype" w:cs="Palatino Linotype"/>
          <w:color w:val="000000"/>
        </w:rPr>
        <w:t xml:space="preserve"> mismo que contiene una captura de pantalla de una conversación hecha mediante la aplicación WhatsApp. </w:t>
      </w:r>
    </w:p>
    <w:p w:rsidR="008E3D22" w:rsidRDefault="006B02AE">
      <w:pPr>
        <w:spacing w:before="280" w:after="280"/>
        <w:ind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II.</w:t>
      </w:r>
      <w:r>
        <w:rPr>
          <w:rFonts w:ascii="Palatino Linotype" w:eastAsia="Palatino Linotype" w:hAnsi="Palatino Linotype" w:cs="Palatino Linotype"/>
          <w:color w:val="000000"/>
        </w:rPr>
        <w:t xml:space="preserve"> Posteriormente en fecha treinta de septiembre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hizo un requerimiento de aclaración de la solicitud de información en atención a lo dispuesto en el artículo 159 de la Ley de Transparencia y Acceso a la Información Pública del Estado de México y Municipios como se puede apreciar de la trascripción siguiente: </w:t>
      </w:r>
    </w:p>
    <w:p w:rsidR="008E3D22" w:rsidRDefault="006B02AE">
      <w:pPr>
        <w:pBdr>
          <w:top w:val="nil"/>
          <w:left w:val="nil"/>
          <w:bottom w:val="nil"/>
          <w:right w:val="nil"/>
          <w:between w:val="nil"/>
        </w:pBdr>
        <w:tabs>
          <w:tab w:val="left" w:pos="709"/>
        </w:tabs>
        <w:spacing w:before="280" w:after="280"/>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“CUAUTITLÁN MÉXICO A 30 DE SEPTIEMBRE DEL 2021. PRESENTE POR MEDIO DE LA PRESENTE RECIBA UN CORDIAL SALUDO. AL MISMO TIEMPO REQUERIMOS PUEDA AMPLIAR LOS DATOS SOBRE LA INFORMACIÓN QUE SOLICITA, YA QUE LOS PROPORCIONADOS EN SU </w:t>
      </w:r>
      <w:r>
        <w:rPr>
          <w:rFonts w:ascii="Palatino Linotype" w:eastAsia="Palatino Linotype" w:hAnsi="Palatino Linotype" w:cs="Palatino Linotype"/>
          <w:i/>
          <w:color w:val="000000"/>
          <w:sz w:val="22"/>
          <w:szCs w:val="22"/>
        </w:rPr>
        <w:lastRenderedPageBreak/>
        <w:t>SOLICITUD SON INSUFICIENTE PARA PODER PEDIR AL ÁREA CORRESPONDIENTE LO SOLICITADO.” (Sic)”</w:t>
      </w: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III. </w:t>
      </w:r>
      <w:r>
        <w:rPr>
          <w:rFonts w:ascii="Palatino Linotype" w:eastAsia="Palatino Linotype" w:hAnsi="Palatino Linotype" w:cs="Palatino Linotype"/>
          <w:color w:val="000000"/>
        </w:rPr>
        <w:t xml:space="preserve">En fecha diecisiete de octubre de dos mil veintiuno,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contestó el requerimiento de aclaración estableciendo lo que a continuación se señala: </w:t>
      </w:r>
    </w:p>
    <w:p w:rsidR="008E3D22" w:rsidRDefault="006B02AE">
      <w:pPr>
        <w:pBdr>
          <w:top w:val="nil"/>
          <w:left w:val="nil"/>
          <w:bottom w:val="nil"/>
          <w:right w:val="nil"/>
          <w:between w:val="nil"/>
        </w:pBdr>
        <w:tabs>
          <w:tab w:val="left" w:pos="709"/>
        </w:tabs>
        <w:spacing w:before="280" w:after="280"/>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“Se adjunta informacion que complementa dicha peticion. Demanda en contra de </w:t>
      </w:r>
      <w:r w:rsidR="00C7002A">
        <w:rPr>
          <w:rFonts w:ascii="Palatino Linotype" w:eastAsia="Palatino Linotype" w:hAnsi="Palatino Linotype" w:cs="Palatino Linotype"/>
          <w:i/>
          <w:color w:val="000000"/>
          <w:sz w:val="22"/>
          <w:szCs w:val="22"/>
        </w:rPr>
        <w:t>xxxxxxxxxxxxxxx</w:t>
      </w:r>
      <w:r>
        <w:rPr>
          <w:rFonts w:ascii="Palatino Linotype" w:eastAsia="Palatino Linotype" w:hAnsi="Palatino Linotype" w:cs="Palatino Linotype"/>
          <w:i/>
          <w:color w:val="000000"/>
          <w:sz w:val="22"/>
          <w:szCs w:val="22"/>
        </w:rPr>
        <w:t>, quien presenta esta rendicion de cuentas de una mesa directiva que no esta reconocida ante el Ayuntamiento como lo dicta el articulo 28 de la Ley que Regula el Regimen de Propiedad en Condominio fraccion quinta, por lo que se requiere al area correspondiente sea acreditada dicha mesa que presenta esta rendicion de cuentas” (Sic)</w:t>
      </w:r>
    </w:p>
    <w:p w:rsidR="008E3D22" w:rsidRDefault="006B02AE">
      <w:pPr>
        <w:pBdr>
          <w:top w:val="nil"/>
          <w:left w:val="nil"/>
          <w:bottom w:val="nil"/>
          <w:right w:val="nil"/>
          <w:between w:val="nil"/>
        </w:pBdr>
        <w:tabs>
          <w:tab w:val="left" w:pos="709"/>
        </w:tabs>
        <w:spacing w:before="280" w:after="280" w:line="360" w:lineRule="auto"/>
        <w:ind w:right="8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a dicha aclaración los documentos denominados” </w:t>
      </w:r>
      <w:r>
        <w:rPr>
          <w:rFonts w:ascii="Palatino Linotype" w:eastAsia="Palatino Linotype" w:hAnsi="Palatino Linotype" w:cs="Palatino Linotype"/>
          <w:i/>
          <w:color w:val="000000"/>
        </w:rPr>
        <w:t>demnd072021.pdf” y “REPORTE DEL MES DE SEPTIEMBRE DE 2021.pdf”</w:t>
      </w:r>
      <w:r>
        <w:rPr>
          <w:rFonts w:ascii="Palatino Linotype" w:eastAsia="Palatino Linotype" w:hAnsi="Palatino Linotype" w:cs="Palatino Linotype"/>
          <w:color w:val="000000"/>
        </w:rPr>
        <w:t xml:space="preserve">mismos que adjuntó a su solicitud inicial. </w:t>
      </w: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IV.</w:t>
      </w:r>
      <w:r>
        <w:rPr>
          <w:rFonts w:ascii="Palatino Linotype" w:eastAsia="Palatino Linotype" w:hAnsi="Palatino Linotype" w:cs="Palatino Linotype"/>
          <w:color w:val="000000"/>
        </w:rPr>
        <w:t xml:space="preserve"> En fecha nueve de noviembre 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dio respuesta a la solicitud de acceso a la información pública por medio del oficio número </w:t>
      </w:r>
      <w:r>
        <w:rPr>
          <w:rFonts w:ascii="Palatino Linotype" w:eastAsia="Palatino Linotype" w:hAnsi="Palatino Linotype" w:cs="Palatino Linotype"/>
          <w:i/>
          <w:color w:val="000000"/>
        </w:rPr>
        <w:t>MCM/SM/422/2021</w:t>
      </w:r>
      <w:r>
        <w:rPr>
          <w:rFonts w:ascii="Palatino Linotype" w:eastAsia="Palatino Linotype" w:hAnsi="Palatino Linotype" w:cs="Palatino Linotype"/>
          <w:color w:val="000000"/>
        </w:rPr>
        <w:t xml:space="preserve"> el cual es de conocimiento de las partes y será objeto de estudio en el considerando conducente.  </w:t>
      </w: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su respuesta,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adjuntó los documentos que se describe a continuación: </w:t>
      </w:r>
    </w:p>
    <w:p w:rsidR="008E3D22" w:rsidRDefault="006B02AE">
      <w:pPr>
        <w:numPr>
          <w:ilvl w:val="0"/>
          <w:numId w:val="2"/>
        </w:num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en formato pdf denominado </w:t>
      </w:r>
      <w:r>
        <w:rPr>
          <w:rFonts w:ascii="Palatino Linotype" w:eastAsia="Palatino Linotype" w:hAnsi="Palatino Linotype" w:cs="Palatino Linotype"/>
          <w:i/>
          <w:color w:val="000000"/>
        </w:rPr>
        <w:t xml:space="preserve">“saimex 399.pdf”, </w:t>
      </w:r>
      <w:r>
        <w:rPr>
          <w:rFonts w:ascii="Palatino Linotype" w:eastAsia="Palatino Linotype" w:hAnsi="Palatino Linotype" w:cs="Palatino Linotype"/>
          <w:color w:val="000000"/>
        </w:rPr>
        <w:t xml:space="preserve">mediante el cual se da formalmente respuesta. </w:t>
      </w:r>
    </w:p>
    <w:p w:rsidR="008E3D22" w:rsidRDefault="006B02AE">
      <w:pPr>
        <w:numPr>
          <w:ilvl w:val="0"/>
          <w:numId w:val="2"/>
        </w:num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Carpeta Comprimida de nombre </w:t>
      </w:r>
      <w:r>
        <w:rPr>
          <w:rFonts w:ascii="Palatino Linotype" w:eastAsia="Palatino Linotype" w:hAnsi="Palatino Linotype" w:cs="Palatino Linotype"/>
          <w:i/>
          <w:color w:val="000000"/>
        </w:rPr>
        <w:t>“Contestación 00399-2021.zip”</w:t>
      </w:r>
      <w:r>
        <w:rPr>
          <w:rFonts w:ascii="Palatino Linotype" w:eastAsia="Palatino Linotype" w:hAnsi="Palatino Linotype" w:cs="Palatino Linotype"/>
          <w:color w:val="000000"/>
        </w:rPr>
        <w:t xml:space="preserve"> misma que contiene el archivo denominado </w:t>
      </w:r>
      <w:r>
        <w:rPr>
          <w:rFonts w:ascii="Palatino Linotype" w:eastAsia="Palatino Linotype" w:hAnsi="Palatino Linotype" w:cs="Palatino Linotype"/>
          <w:i/>
          <w:color w:val="000000"/>
        </w:rPr>
        <w:t>“OFICIO ENVIADO A SINDICATURA.pdf”</w:t>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lastRenderedPageBreak/>
        <w:t xml:space="preserve">cuyo contenido se advierte el requerimiento de la Coordinadora de la Unidad de Transparencia para la Síndica Municipal a efectos de que dé respuesta a la Solicitud de Información. </w:t>
      </w:r>
    </w:p>
    <w:p w:rsidR="008E3D22" w:rsidRDefault="006B02AE">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 </w:t>
      </w: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rPr>
        <w:t xml:space="preserve">fecha diez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interpuso el recurso de revisión objeto del presente estudio, al que se le asignó el número al rubro citado. En dicho recurso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señaló como acto impugnado lo siguiente: </w:t>
      </w:r>
    </w:p>
    <w:p w:rsidR="008E3D22" w:rsidRDefault="006B02AE">
      <w:pPr>
        <w:spacing w:before="280" w:after="280"/>
        <w:ind w:left="851" w:right="12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adjuntaron la respuesta, por lo tanto no recibí la información solicitada aunque ustedes lo marcaron así. “(Sic)</w:t>
      </w:r>
    </w:p>
    <w:p w:rsidR="008E3D22" w:rsidRDefault="006B02AE">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hacer ninguna manifestación en el apartado de motivos o razones de inconformidad.  </w:t>
      </w:r>
    </w:p>
    <w:p w:rsidR="008E3D22" w:rsidRDefault="006B02AE">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adjuntó el archivo que se describe a continuación: </w:t>
      </w:r>
    </w:p>
    <w:p w:rsidR="008E3D22" w:rsidRDefault="006B02AE">
      <w:pPr>
        <w:numPr>
          <w:ilvl w:val="0"/>
          <w:numId w:val="1"/>
        </w:num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Archivo denominado</w:t>
      </w:r>
      <w:r>
        <w:rPr>
          <w:rFonts w:ascii="Palatino Linotype" w:eastAsia="Palatino Linotype" w:hAnsi="Palatino Linotype" w:cs="Palatino Linotype"/>
          <w:i/>
          <w:color w:val="000000"/>
        </w:rPr>
        <w:t xml:space="preserve"> “Archivo1636386866656.”,</w:t>
      </w:r>
      <w:r>
        <w:rPr>
          <w:rFonts w:ascii="Palatino Linotype" w:eastAsia="Palatino Linotype" w:hAnsi="Palatino Linotype" w:cs="Palatino Linotype"/>
          <w:color w:val="000000"/>
        </w:rPr>
        <w:t xml:space="preserve"> sin contenido</w:t>
      </w:r>
      <w:r>
        <w:rPr>
          <w:rFonts w:ascii="Palatino Linotype" w:eastAsia="Palatino Linotype" w:hAnsi="Palatino Linotype" w:cs="Palatino Linotype"/>
          <w:b/>
          <w:color w:val="000000"/>
        </w:rPr>
        <w:t>.</w:t>
      </w:r>
    </w:p>
    <w:p w:rsidR="008E3D22" w:rsidRDefault="006B02AE">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 </w:t>
      </w:r>
      <w:r>
        <w:rPr>
          <w:rFonts w:ascii="Palatino Linotype" w:eastAsia="Palatino Linotype" w:hAnsi="Palatino Linotype" w:cs="Palatino Linotype"/>
          <w:color w:val="000000"/>
        </w:rPr>
        <w:t>En fecha</w:t>
      </w:r>
      <w:r>
        <w:rPr>
          <w:rFonts w:ascii="Palatino Linotype" w:eastAsia="Palatino Linotype" w:hAnsi="Palatino Linotype" w:cs="Palatino Linotype"/>
        </w:rPr>
        <w:t xml:space="preserve"> diez de noviembre </w:t>
      </w:r>
      <w:r>
        <w:rPr>
          <w:rFonts w:ascii="Palatino Linotype" w:eastAsia="Palatino Linotype" w:hAnsi="Palatino Linotype" w:cs="Palatino Linotype"/>
          <w:color w:val="000000"/>
        </w:rPr>
        <w:t xml:space="preserve">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desechamiento.</w:t>
      </w:r>
    </w:p>
    <w:p w:rsidR="008E3D22" w:rsidRDefault="006B02AE">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VII.</w:t>
      </w:r>
      <w:r>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once de noviembre de dos mil veintiuno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correspondiente. </w:t>
      </w:r>
    </w:p>
    <w:p w:rsidR="008E3D22" w:rsidRDefault="006B02A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VIII.</w:t>
      </w:r>
      <w:r>
        <w:rPr>
          <w:rFonts w:ascii="Palatino Linotype" w:eastAsia="Palatino Linotype" w:hAnsi="Palatino Linotype" w:cs="Palatino Linotype"/>
          <w:color w:val="000000"/>
        </w:rPr>
        <w:t xml:space="preserve"> 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en fecha veintitrés de noviembre,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adjuntó al apartado de manifestaciones los archivos que se describen a continuación: </w:t>
      </w:r>
    </w:p>
    <w:p w:rsidR="008E3D22" w:rsidRDefault="006B02A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en formato pdf denominado </w:t>
      </w:r>
      <w:r>
        <w:rPr>
          <w:rFonts w:ascii="Palatino Linotype" w:eastAsia="Palatino Linotype" w:hAnsi="Palatino Linotype" w:cs="Palatino Linotype"/>
          <w:i/>
          <w:color w:val="000000"/>
        </w:rPr>
        <w:t>“minuta_asamblea14112021.pdf”</w:t>
      </w:r>
      <w:r>
        <w:rPr>
          <w:rFonts w:ascii="Palatino Linotype" w:eastAsia="Palatino Linotype" w:hAnsi="Palatino Linotype" w:cs="Palatino Linotype"/>
          <w:color w:val="000000"/>
        </w:rPr>
        <w:t xml:space="preserve"> del cual se advierte la minuta de la asamblea general extraordinaria de los condóminos del Fraccionamiento Real de San Fernando, celebrada en fecha catorce de noviembre del dos mil veintiuno. </w:t>
      </w:r>
    </w:p>
    <w:p w:rsidR="008E3D22" w:rsidRDefault="006B02A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en formato pdf denominado </w:t>
      </w:r>
      <w:r>
        <w:rPr>
          <w:rFonts w:ascii="Palatino Linotype" w:eastAsia="Palatino Linotype" w:hAnsi="Palatino Linotype" w:cs="Palatino Linotype"/>
          <w:i/>
          <w:color w:val="000000"/>
        </w:rPr>
        <w:t>“convocatoria 14 nov 21.pdf”</w:t>
      </w:r>
      <w:r>
        <w:rPr>
          <w:rFonts w:ascii="Palatino Linotype" w:eastAsia="Palatino Linotype" w:hAnsi="Palatino Linotype" w:cs="Palatino Linotype"/>
          <w:color w:val="000000"/>
        </w:rPr>
        <w:t xml:space="preserve"> mismo que contiene la convocatoria de la asamblea referida en el párrafo anterior. </w:t>
      </w:r>
    </w:p>
    <w:p w:rsidR="008E3D22" w:rsidRDefault="006B02A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de nombre “05457_INFOEM_IP_RR_2021.pdf” del cual se advierten manifestaciones vertidas por </w:t>
      </w:r>
      <w:r>
        <w:rPr>
          <w:rFonts w:ascii="Palatino Linotype" w:eastAsia="Palatino Linotype" w:hAnsi="Palatino Linotype" w:cs="Palatino Linotype"/>
          <w:b/>
          <w:color w:val="000000"/>
        </w:rPr>
        <w:t xml:space="preserve">LA RECURRENTE. </w:t>
      </w:r>
    </w:p>
    <w:p w:rsidR="008E3D22" w:rsidRDefault="006B02A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IX.</w:t>
      </w:r>
      <w:r>
        <w:rPr>
          <w:rFonts w:ascii="Palatino Linotype" w:eastAsia="Palatino Linotype" w:hAnsi="Palatino Linotype" w:cs="Palatino Linotype"/>
          <w:color w:val="000000"/>
        </w:rPr>
        <w:t xml:space="preserve"> Una vez analizado el estado procesal que guardaba el expediente, en fecha veinticinco de noviembre dos mil veintiuno, la Comisionada </w:t>
      </w:r>
      <w:r>
        <w:rPr>
          <w:rFonts w:ascii="Palatino Linotype" w:eastAsia="Palatino Linotype" w:hAnsi="Palatino Linotype" w:cs="Palatino Linotype"/>
          <w:b/>
          <w:color w:val="000000"/>
        </w:rPr>
        <w:t xml:space="preserve">Sharon Cristina Morales </w:t>
      </w:r>
      <w:r>
        <w:rPr>
          <w:rFonts w:ascii="Palatino Linotype" w:eastAsia="Palatino Linotype" w:hAnsi="Palatino Linotype" w:cs="Palatino Linotype"/>
          <w:b/>
          <w:color w:val="000000"/>
        </w:rPr>
        <w:lastRenderedPageBreak/>
        <w:t xml:space="preserve">Martínez </w:t>
      </w:r>
      <w:r>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rPr>
        <w:t>.</w:t>
      </w:r>
    </w:p>
    <w:p w:rsidR="008E3D22" w:rsidRDefault="006B02A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sz w:val="28"/>
          <w:szCs w:val="28"/>
        </w:rPr>
        <w:t xml:space="preserve">X. </w:t>
      </w:r>
      <w:r>
        <w:rPr>
          <w:rFonts w:ascii="Palatino Linotype" w:eastAsia="Palatino Linotype" w:hAnsi="Palatino Linotype" w:cs="Palatino Linotype"/>
          <w:color w:val="000000"/>
        </w:rPr>
        <w:t>En fecha nueve de diciembre de dos mil veintiuno, el Pleno del Instituto de Transparencia, Acceso a la Información Pública y Protección de Datos Personales del Estado de México y Municipios, mediante acuerdo signado por sus integrantes, aprobó la Licencia</w:t>
      </w:r>
      <w:r>
        <w:rPr>
          <w:rFonts w:ascii="Palatino Linotype" w:eastAsia="Palatino Linotype" w:hAnsi="Palatino Linotype" w:cs="Palatino Linotype"/>
        </w:rPr>
        <w:t xml:space="preserve"> médica </w:t>
      </w:r>
      <w:r>
        <w:rPr>
          <w:rFonts w:ascii="Palatino Linotype" w:eastAsia="Palatino Linotype" w:hAnsi="Palatino Linotype" w:cs="Palatino Linotype"/>
          <w:color w:val="000000"/>
        </w:rPr>
        <w:t xml:space="preserve"> de la Comisionada Sharon Cristina Morales Martínez, y a través del cual se convino el returno del recurso de revisión de mérito al Comisionado Presidente </w:t>
      </w:r>
      <w:r>
        <w:rPr>
          <w:rFonts w:ascii="Palatino Linotype" w:eastAsia="Palatino Linotype" w:hAnsi="Palatino Linotype" w:cs="Palatino Linotype"/>
          <w:b/>
          <w:color w:val="000000"/>
        </w:rPr>
        <w:t>José Martínez Vilchis</w:t>
      </w:r>
      <w:r>
        <w:rPr>
          <w:rFonts w:ascii="Palatino Linotype" w:eastAsia="Palatino Linotype" w:hAnsi="Palatino Linotype" w:cs="Palatino Linotype"/>
          <w:color w:val="000000"/>
        </w:rPr>
        <w:t>, para que diera trámite y resolviera conforme a derecho; y,</w:t>
      </w:r>
    </w:p>
    <w:p w:rsidR="008E3D22" w:rsidRDefault="006B02AE">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8E3D22" w:rsidRDefault="006B02AE">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rsidR="008E3D22" w:rsidRDefault="006B02AE">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w:t>
      </w:r>
      <w:r>
        <w:rPr>
          <w:rFonts w:ascii="Palatino Linotype" w:eastAsia="Palatino Linotype" w:hAnsi="Palatino Linotype" w:cs="Palatino Linotype"/>
          <w:color w:val="000000"/>
        </w:rPr>
        <w:lastRenderedPageBreak/>
        <w:t>Protección de Datos Personales del Estado de México y Municipios.</w:t>
      </w:r>
    </w:p>
    <w:p w:rsidR="008E3D22" w:rsidRDefault="006B02AE">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rsidR="008E3D22" w:rsidRDefault="006B02AE">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por la parte legítima en atención a que fue presentado por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quien formuló la solicitud de información pública.</w:t>
      </w:r>
    </w:p>
    <w:p w:rsidR="008E3D22" w:rsidRDefault="006B02AE">
      <w:pPr>
        <w:widowControl w:val="0"/>
        <w:tabs>
          <w:tab w:val="left" w:pos="1701"/>
          <w:tab w:val="left" w:pos="1843"/>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i/>
        </w:rPr>
        <w:t xml:space="preserve">. </w:t>
      </w:r>
      <w:r>
        <w:rPr>
          <w:rFonts w:ascii="Palatino Linotype" w:eastAsia="Palatino Linotype" w:hAnsi="Palatino Linotype" w:cs="Palatino Linotype"/>
          <w:b/>
        </w:rPr>
        <w:t xml:space="preserve">Oportunidad. </w:t>
      </w:r>
    </w:p>
    <w:p w:rsidR="008E3D22" w:rsidRDefault="006B02AE">
      <w:pPr>
        <w:spacing w:line="360" w:lineRule="auto"/>
        <w:ind w:right="49"/>
        <w:jc w:val="both"/>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8E3D22" w:rsidRDefault="008E3D22"/>
    <w:p w:rsidR="008E3D22" w:rsidRDefault="006B02AE">
      <w:pPr>
        <w:ind w:left="851" w:right="899"/>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E3D22" w:rsidRDefault="006B02AE">
      <w:pPr>
        <w:ind w:left="851" w:right="899"/>
        <w:jc w:val="both"/>
      </w:pPr>
      <w:r>
        <w:rPr>
          <w:rFonts w:ascii="Palatino Linotype" w:eastAsia="Palatino Linotype" w:hAnsi="Palatino Linotype" w:cs="Palatino Linotype"/>
          <w:i/>
          <w:color w:val="000000"/>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E3D22" w:rsidRDefault="006B02AE">
      <w:pPr>
        <w:ind w:left="851" w:right="899"/>
        <w:jc w:val="both"/>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 xml:space="preserve">En esa tesitura, atendiendo 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notificó la respuesta a la solicitud de acceso a la información pública el día</w:t>
      </w:r>
      <w:r>
        <w:rPr>
          <w:rFonts w:ascii="Palatino Linotype" w:eastAsia="Palatino Linotype" w:hAnsi="Palatino Linotype" w:cs="Palatino Linotype"/>
          <w:b/>
          <w:color w:val="000000"/>
        </w:rPr>
        <w:t xml:space="preserve"> nueve de noviembre de dos mil veintiuno</w:t>
      </w:r>
      <w:r>
        <w:rPr>
          <w:rFonts w:ascii="Palatino Linotype" w:eastAsia="Palatino Linotype" w:hAnsi="Palatino Linotype" w:cs="Palatino Linotype"/>
          <w:color w:val="000000"/>
        </w:rPr>
        <w:t>; así, el plazo de quince días hábiles que el artículo 178 de la Ley de la materia otorga al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para presentar el respectivo recurso de revisión, transcurrió del </w:t>
      </w:r>
      <w:r>
        <w:rPr>
          <w:rFonts w:ascii="Palatino Linotype" w:eastAsia="Palatino Linotype" w:hAnsi="Palatino Linotype" w:cs="Palatino Linotype"/>
          <w:b/>
          <w:color w:val="000000"/>
        </w:rPr>
        <w:t>diez de noviembre al primero de diciembre de dos mil veintiuno</w:t>
      </w:r>
      <w:r>
        <w:rPr>
          <w:rFonts w:ascii="Palatino Linotype" w:eastAsia="Palatino Linotype" w:hAnsi="Palatino Linotype" w:cs="Palatino Linotype"/>
          <w:color w:val="000000"/>
        </w:rPr>
        <w:t xml:space="preserve">, sin contemplar </w:t>
      </w:r>
      <w:r>
        <w:rPr>
          <w:rFonts w:ascii="Palatino Linotype" w:eastAsia="Palatino Linotype" w:hAnsi="Palatino Linotype" w:cs="Palatino Linotype"/>
          <w:color w:val="000000"/>
        </w:rPr>
        <w:lastRenderedPageBreak/>
        <w:t xml:space="preserve">en el cómputo los días trece, catorce veinte, veintiuno, veintisiete y veintiocho de noviembre de dos mil veintiuno, por corresponder a sábados y domingos, considerados como días inhábiles, en términos del artículo 3, fracción X de la Ley de Transparencia y Acceso a la Información Pública del Estado de México y Municipios; </w:t>
      </w:r>
    </w:p>
    <w:p w:rsidR="008E3D22" w:rsidRDefault="008E3D22">
      <w:pPr>
        <w:spacing w:line="360" w:lineRule="auto"/>
      </w:pPr>
    </w:p>
    <w:p w:rsidR="008E3D22" w:rsidRDefault="006B02AE">
      <w:pPr>
        <w:spacing w:line="360" w:lineRule="auto"/>
        <w:ind w:left="-15" w:hanging="10"/>
        <w:jc w:val="both"/>
      </w:pPr>
      <w:r>
        <w:rPr>
          <w:rFonts w:ascii="Palatino Linotype" w:eastAsia="Palatino Linotype" w:hAnsi="Palatino Linotype" w:cs="Palatino Linotype"/>
          <w:color w:val="000000"/>
        </w:rPr>
        <w:t>En ese tenor, si el recurso de revisión que nos ocupa, se interpuso el</w:t>
      </w:r>
      <w:r>
        <w:rPr>
          <w:rFonts w:ascii="Palatino Linotype" w:eastAsia="Palatino Linotype" w:hAnsi="Palatino Linotype" w:cs="Palatino Linotype"/>
          <w:b/>
          <w:color w:val="000000"/>
        </w:rPr>
        <w:t xml:space="preserve"> diez de noviembre de dos mil veintiuno,</w:t>
      </w:r>
      <w:r>
        <w:rPr>
          <w:rFonts w:ascii="Palatino Linotype" w:eastAsia="Palatino Linotype" w:hAnsi="Palatino Linotype" w:cs="Palatino Linotype"/>
          <w:color w:val="000000"/>
        </w:rPr>
        <w:t xml:space="preserve"> éste se encuentra dentro de los márgenes temporales previstos en el citado precepto legal y, por tanto, se considera oportuno.</w:t>
      </w:r>
    </w:p>
    <w:p w:rsidR="008E3D22" w:rsidRDefault="008E3D22">
      <w:pPr>
        <w:spacing w:line="360" w:lineRule="auto"/>
      </w:pPr>
    </w:p>
    <w:p w:rsidR="008E3D22" w:rsidRDefault="006B02AE">
      <w:pPr>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b/>
          <w:color w:val="000000"/>
        </w:rPr>
        <w:t>. Procedibilidad. </w:t>
      </w:r>
    </w:p>
    <w:p w:rsidR="008E3D22" w:rsidRDefault="008E3D22">
      <w:pPr>
        <w:ind w:right="49"/>
        <w:jc w:val="both"/>
      </w:pPr>
    </w:p>
    <w:p w:rsidR="008E3D22" w:rsidRDefault="006B02AE">
      <w:pPr>
        <w:widowControl w:val="0"/>
        <w:tabs>
          <w:tab w:val="left" w:pos="1701"/>
          <w:tab w:val="left" w:pos="1843"/>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rsidR="008E3D22" w:rsidRDefault="008E3D22">
      <w:pPr>
        <w:widowControl w:val="0"/>
        <w:tabs>
          <w:tab w:val="left" w:pos="1701"/>
          <w:tab w:val="left" w:pos="1843"/>
        </w:tabs>
        <w:spacing w:line="360" w:lineRule="auto"/>
        <w:ind w:left="142"/>
        <w:jc w:val="both"/>
        <w:rPr>
          <w:rFonts w:ascii="Palatino Linotype" w:eastAsia="Palatino Linotype" w:hAnsi="Palatino Linotype" w:cs="Palatino Linotype"/>
        </w:rPr>
      </w:pPr>
    </w:p>
    <w:p w:rsidR="008E3D22" w:rsidRDefault="006B02AE">
      <w:pPr>
        <w:ind w:right="49"/>
        <w:jc w:val="both"/>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Análisis de las causales de sobreseimiento. </w:t>
      </w:r>
    </w:p>
    <w:p w:rsidR="008E3D22" w:rsidRDefault="008E3D22">
      <w:pPr>
        <w:ind w:right="49"/>
        <w:jc w:val="both"/>
        <w:rPr>
          <w:rFonts w:ascii="Palatino Linotype" w:eastAsia="Palatino Linotype" w:hAnsi="Palatino Linotype" w:cs="Palatino Linotype"/>
          <w:color w:val="000000"/>
        </w:rPr>
      </w:pPr>
    </w:p>
    <w:p w:rsidR="008E3D22" w:rsidRDefault="006B02AE">
      <w:pPr>
        <w:spacing w:line="360" w:lineRule="auto"/>
        <w:ind w:right="49"/>
        <w:jc w:val="both"/>
      </w:pPr>
      <w:r>
        <w:rPr>
          <w:rFonts w:ascii="Palatino Linotype" w:eastAsia="Palatino Linotype" w:hAnsi="Palatino Linotype" w:cs="Palatino Linotype"/>
          <w:color w:val="000000"/>
        </w:rPr>
        <w:t>Este Órgano Colegiado advierte que en el asunto se actualiza la causal de sobreseimiento prevista en la fracción IV, del artículo 192 de la de la Ley de Transparencia y Acceso a la Información Pública del Estado de México y Municipios que dispone lo siguiente: </w:t>
      </w:r>
    </w:p>
    <w:p w:rsidR="008E3D22" w:rsidRDefault="008E3D22"/>
    <w:p w:rsidR="008E3D22" w:rsidRDefault="006B02AE">
      <w:pPr>
        <w:ind w:left="851" w:right="901"/>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El recurso será sobreseído, en todo o en parte, cuando una vez admitido, se actualicen alguno de los siguientes supuestos:</w:t>
      </w:r>
    </w:p>
    <w:p w:rsidR="008E3D22" w:rsidRDefault="006B02AE">
      <w:pPr>
        <w:ind w:left="851" w:right="901"/>
        <w:jc w:val="both"/>
      </w:pPr>
      <w:r>
        <w:rPr>
          <w:rFonts w:ascii="Palatino Linotype" w:eastAsia="Palatino Linotype" w:hAnsi="Palatino Linotype" w:cs="Palatino Linotype"/>
          <w:i/>
          <w:color w:val="000000"/>
          <w:sz w:val="22"/>
          <w:szCs w:val="22"/>
        </w:rPr>
        <w:t>(…)</w:t>
      </w:r>
    </w:p>
    <w:p w:rsidR="008E3D22" w:rsidRDefault="006B02AE">
      <w:pPr>
        <w:ind w:left="851" w:right="901"/>
        <w:jc w:val="both"/>
      </w:pPr>
      <w:r>
        <w:rPr>
          <w:rFonts w:ascii="Palatino Linotype" w:eastAsia="Palatino Linotype" w:hAnsi="Palatino Linotype" w:cs="Palatino Linotype"/>
          <w:b/>
          <w:i/>
          <w:color w:val="000000"/>
          <w:sz w:val="22"/>
          <w:szCs w:val="22"/>
        </w:rPr>
        <w:lastRenderedPageBreak/>
        <w:t>IV. Admitido el recurso de revisión, aparezca alguna causal de improcedencia en los términos de la presente Ley; y</w:t>
      </w:r>
    </w:p>
    <w:p w:rsidR="008E3D22" w:rsidRDefault="006B02AE">
      <w:pPr>
        <w:ind w:left="851" w:right="901"/>
        <w:jc w:val="both"/>
      </w:pPr>
      <w:r>
        <w:rPr>
          <w:rFonts w:ascii="Palatino Linotype" w:eastAsia="Palatino Linotype" w:hAnsi="Palatino Linotype" w:cs="Palatino Linotype"/>
          <w:i/>
          <w:color w:val="000000"/>
          <w:sz w:val="22"/>
          <w:szCs w:val="22"/>
        </w:rPr>
        <w:t>(Énfasis añadido)</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 xml:space="preserve">Atento a ello, es conveniente recordar que el particular requirió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medularmente lo siguiente:</w:t>
      </w:r>
    </w:p>
    <w:p w:rsidR="008E3D22" w:rsidRDefault="008E3D22"/>
    <w:p w:rsidR="008E3D22" w:rsidRDefault="006B02AE">
      <w:pPr>
        <w:ind w:left="850" w:right="901" w:hanging="142"/>
        <w:jc w:val="both"/>
      </w:pPr>
      <w:r>
        <w:rPr>
          <w:rFonts w:ascii="Palatino Linotype" w:eastAsia="Palatino Linotype" w:hAnsi="Palatino Linotype" w:cs="Palatino Linotype"/>
          <w:i/>
          <w:color w:val="000000"/>
          <w:sz w:val="22"/>
          <w:szCs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 (sic)</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Conforme a lo anterior, es de señalar que mediante respuesta la Síndico Municipal, Servidora Pública Habilitada, menciona que son hechos de controversias internas entre condominios y representantes de las mesas directivas, sin constituir una responsabilidad a la sindicatura municipal, así mismo, hace mención que la autoridad facultada para la atención de las inconformidades por irregularidades son las mesas arbitrales de la demarcación territorial donde se ubique el condominio de conformidad con lo establecido con los articulo 52 y 53 de la Ley que Regula el Régimen de Propiedad en Condominio en el Estado de México, para mayor referencia se inserta la siguiente ilustración:</w:t>
      </w:r>
    </w:p>
    <w:p w:rsidR="008E3D22" w:rsidRDefault="006B02AE">
      <w:pPr>
        <w:jc w:val="center"/>
      </w:pPr>
      <w:bookmarkStart w:id="1" w:name="_GoBack"/>
      <w:r>
        <w:rPr>
          <w:noProof/>
        </w:rPr>
        <w:lastRenderedPageBreak/>
        <w:drawing>
          <wp:inline distT="0" distB="0" distL="0" distR="0">
            <wp:extent cx="5791835" cy="502793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5027930"/>
                    </a:xfrm>
                    <a:prstGeom prst="rect">
                      <a:avLst/>
                    </a:prstGeom>
                    <a:ln/>
                  </pic:spPr>
                </pic:pic>
              </a:graphicData>
            </a:graphic>
          </wp:inline>
        </w:drawing>
      </w:r>
      <w:bookmarkEnd w:id="1"/>
    </w:p>
    <w:p w:rsidR="008E3D22" w:rsidRDefault="008E3D22"/>
    <w:p w:rsidR="008E3D22" w:rsidRDefault="006B02AE">
      <w:pPr>
        <w:spacing w:line="360" w:lineRule="auto"/>
        <w:jc w:val="both"/>
      </w:pPr>
      <w:r>
        <w:rPr>
          <w:rFonts w:ascii="Palatino Linotype" w:eastAsia="Palatino Linotype" w:hAnsi="Palatino Linotype" w:cs="Palatino Linotype"/>
          <w:color w:val="000000"/>
        </w:rPr>
        <w:t xml:space="preserve">A partir de la respuesta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insertada anteriormente, el particular interpuso el presente recurso de revisión, en el que señalo como acto impugnado, así como, las razones o motivos de inconformidad: </w:t>
      </w:r>
      <w:r>
        <w:rPr>
          <w:rFonts w:ascii="Palatino Linotype" w:eastAsia="Palatino Linotype" w:hAnsi="Palatino Linotype" w:cs="Palatino Linotype"/>
          <w:i/>
          <w:color w:val="000000"/>
          <w:sz w:val="22"/>
          <w:szCs w:val="22"/>
        </w:rPr>
        <w:t>“no se dio respuesta a la peticion de información." (sic)</w:t>
      </w:r>
    </w:p>
    <w:p w:rsidR="008E3D22" w:rsidRDefault="008E3D22">
      <w:pPr>
        <w:spacing w:line="360" w:lineRule="auto"/>
      </w:pPr>
    </w:p>
    <w:p w:rsidR="008E3D22" w:rsidRDefault="006B02A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al abrirse la etapa de instrucción,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rindió sus manifestaciones que conforme a derecho le correspondían, argumentando las </w:t>
      </w:r>
      <w:r>
        <w:rPr>
          <w:rFonts w:ascii="Palatino Linotype" w:eastAsia="Palatino Linotype" w:hAnsi="Palatino Linotype" w:cs="Palatino Linotype"/>
          <w:color w:val="000000"/>
        </w:rPr>
        <w:lastRenderedPageBreak/>
        <w:t>inconformidades con la administración del Condominio, no se omite comentar que el particular menciono lo siguiente:</w:t>
      </w:r>
    </w:p>
    <w:p w:rsidR="008E3D22" w:rsidRDefault="006B02AE">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el personal de la sindicatura tome unos cursos del Estandar de Competencia ECM066 que avala el Comité Evaluador de Competencias en el Estado de México, de manera urgente, para que certifique su conocimiento en las atribuciones del área y deje de mal informar a los habitantes de los distintos fraccionamientos, de la demarcación municipal. 2. Que los vecinos que son transgresores de la Ley que regula el Régimen de Propiedad de Condominio en el Estado de México, sean sancionados conforme a los indicado en el artículo 47.  3. Que personal del servicio público, nos ayuden a disipar nuestras dudas con respecto a lo conducente de la ley para poder alcanzar la tranquilidad al interior del fraccionamiento.” (sic); </w:t>
      </w:r>
    </w:p>
    <w:p w:rsidR="008E3D22" w:rsidRDefault="008E3D22">
      <w:pPr>
        <w:spacing w:line="360" w:lineRule="auto"/>
        <w:jc w:val="both"/>
        <w:rPr>
          <w:rFonts w:ascii="Palatino Linotype" w:eastAsia="Palatino Linotype" w:hAnsi="Palatino Linotype" w:cs="Palatino Linotype"/>
          <w:i/>
          <w:color w:val="000000"/>
        </w:rPr>
      </w:pPr>
    </w:p>
    <w:p w:rsidR="008E3D22" w:rsidRDefault="006B02A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se dejan a salvo derechos a afecto de que realice el trámite correspondiente ante la autoridad competente que conozca del asunto, en razón de que de acuerdo a la Ley de Transparencia y Acceso a la Información Pública del Estado de México y Municipio el Pleno de este Instituto carece de facultades para iniciar de manera oficiosa procedimientos.</w:t>
      </w:r>
    </w:p>
    <w:p w:rsidR="008E3D22" w:rsidRDefault="008E3D22">
      <w:pPr>
        <w:spacing w:line="360" w:lineRule="auto"/>
        <w:jc w:val="both"/>
        <w:rPr>
          <w:rFonts w:ascii="Palatino Linotype" w:eastAsia="Palatino Linotype" w:hAnsi="Palatino Linotype" w:cs="Palatino Linotype"/>
          <w:color w:val="000000"/>
        </w:rPr>
      </w:pPr>
    </w:p>
    <w:p w:rsidR="008E3D22" w:rsidRDefault="006B02AE">
      <w:pPr>
        <w:spacing w:line="360" w:lineRule="auto"/>
        <w:jc w:val="both"/>
      </w:pPr>
      <w:r>
        <w:rPr>
          <w:rFonts w:ascii="Palatino Linotype" w:eastAsia="Palatino Linotype" w:hAnsi="Palatino Linotype" w:cs="Palatino Linotype"/>
          <w:color w:val="000000"/>
        </w:rPr>
        <w:t>Ahora bien, el Particular refiere que la persona mencionada en sus documentos anexos presente el documento el cual lo acredite para presentar rendición de cuentas respecto del Fraccionamiento Real de San Fernando en Cuautitlán, al respecto se advierte que la presente solicitud, no encuadra en el derecho de acceso a la información ya que la persona de la cual solicita la acreditación no es servidor público, por lo tanto no ejerce o recibe recursos públicos; respecto a ello, cabe traer a colación la Resolución del Recurso de Revisión con número 05251/INFOEM/IP/RR/2021, en el cual se determinó que el particular que recolecta las cuotas, fue nombrado por la asamblea del propio Fraccionamiento, en la cual no interfiere el Sujeto Obligado</w:t>
      </w:r>
      <w:r>
        <w:rPr>
          <w:rFonts w:ascii="Palatino Linotype" w:eastAsia="Palatino Linotype" w:hAnsi="Palatino Linotype" w:cs="Palatino Linotype"/>
          <w:color w:val="000000"/>
          <w:sz w:val="22"/>
          <w:szCs w:val="22"/>
        </w:rPr>
        <w:t>.</w:t>
      </w:r>
    </w:p>
    <w:p w:rsidR="008E3D22" w:rsidRDefault="008E3D22"/>
    <w:p w:rsidR="008E3D22" w:rsidRDefault="006B02AE">
      <w:pPr>
        <w:spacing w:line="360" w:lineRule="auto"/>
        <w:jc w:val="both"/>
        <w:rPr>
          <w:sz w:val="28"/>
          <w:szCs w:val="28"/>
        </w:rPr>
      </w:pPr>
      <w:r>
        <w:rPr>
          <w:rFonts w:ascii="Palatino Linotype" w:eastAsia="Palatino Linotype" w:hAnsi="Palatino Linotype" w:cs="Palatino Linotype"/>
          <w:color w:val="000000"/>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8E3D22" w:rsidRDefault="008E3D22">
      <w:pPr>
        <w:spacing w:line="360" w:lineRule="auto"/>
        <w:rPr>
          <w:sz w:val="28"/>
          <w:szCs w:val="28"/>
        </w:rPr>
      </w:pPr>
    </w:p>
    <w:p w:rsidR="008E3D22" w:rsidRDefault="006B02AE">
      <w:pPr>
        <w:spacing w:line="360" w:lineRule="auto"/>
        <w:jc w:val="both"/>
        <w:rPr>
          <w:sz w:val="28"/>
          <w:szCs w:val="28"/>
        </w:rPr>
      </w:pPr>
      <w:r>
        <w:rPr>
          <w:rFonts w:ascii="Palatino Linotype" w:eastAsia="Palatino Linotype" w:hAnsi="Palatino Linotype" w:cs="Palatino Linotype"/>
          <w:color w:val="000000"/>
        </w:rPr>
        <w:t xml:space="preserve">Ello se robustece, con la Ley que Regula el Régimen de Propiedad en Condominio en el Estado de México, misma que su artículo primero señala que esta es de interés público y tiene por objeto establecer las bases para regular la constitución, organización, funcionamiento, modificación, administración y extinción del régimen de propiedad en condominio, </w:t>
      </w:r>
      <w:r>
        <w:rPr>
          <w:rFonts w:ascii="Palatino Linotype" w:eastAsia="Palatino Linotype" w:hAnsi="Palatino Linotype" w:cs="Palatino Linotype"/>
          <w:b/>
          <w:color w:val="000000"/>
          <w:u w:val="single"/>
        </w:rPr>
        <w:t>así como su convivencia social y solución de controversias entre condóminos y residentes</w:t>
      </w:r>
      <w:r>
        <w:rPr>
          <w:rFonts w:ascii="Palatino Linotype" w:eastAsia="Palatino Linotype" w:hAnsi="Palatino Linotype" w:cs="Palatino Linotype"/>
          <w:color w:val="000000"/>
        </w:rPr>
        <w:t>, y entre éstos y su administrador o Comité de Administración.</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 xml:space="preserve">En ese contexto, este Instituto analizó la totalidad 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se concluye </w:t>
      </w:r>
      <w:r>
        <w:rPr>
          <w:rFonts w:ascii="Palatino Linotype" w:eastAsia="Palatino Linotype" w:hAnsi="Palatino Linotype" w:cs="Palatino Linotype"/>
          <w:b/>
          <w:color w:val="000000"/>
        </w:rPr>
        <w:t>SOBRESEER</w:t>
      </w:r>
      <w:r>
        <w:rPr>
          <w:rFonts w:ascii="Palatino Linotype" w:eastAsia="Palatino Linotype" w:hAnsi="Palatino Linotype" w:cs="Palatino Linotype"/>
          <w:color w:val="000000"/>
        </w:rPr>
        <w:t xml:space="preserve"> el presente asunto, en razón de que, si bien, el Titular de la Sindicatura Municipal, substanciará el procedimiento de arbitraje, de conformidad con lo establecido en el artículo 51, de la Ley que Regula el Régimen de Propiedad en Condominio en el Estado de México; también lo es que, en la misma Ley, en el artículo 29, fracción I, referiré que es facultad de las asambleas, nombrar y remover al administrador o al comité de administración a </w:t>
      </w:r>
      <w:r>
        <w:rPr>
          <w:rFonts w:ascii="Palatino Linotype" w:eastAsia="Palatino Linotype" w:hAnsi="Palatino Linotype" w:cs="Palatino Linotype"/>
          <w:color w:val="000000"/>
        </w:rPr>
        <w:lastRenderedPageBreak/>
        <w:t xml:space="preserve">lo cual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no cuenta con la acreditación del o los administradores del condominio</w:t>
      </w:r>
      <w:r>
        <w:rPr>
          <w:rFonts w:ascii="Palatino Linotype" w:eastAsia="Palatino Linotype" w:hAnsi="Palatino Linotype" w:cs="Palatino Linotype"/>
          <w:color w:val="000000"/>
        </w:rPr>
        <w:t>; para mayor entendimiento se citan dichos preceptos legales: </w:t>
      </w:r>
    </w:p>
    <w:p w:rsidR="008E3D22" w:rsidRDefault="008E3D22"/>
    <w:p w:rsidR="008E3D22" w:rsidRDefault="006B02AE">
      <w:pPr>
        <w:ind w:left="850" w:right="901"/>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29.- Serán facultades de la asamblea</w:t>
      </w:r>
      <w:r>
        <w:rPr>
          <w:rFonts w:ascii="Palatino Linotype" w:eastAsia="Palatino Linotype" w:hAnsi="Palatino Linotype" w:cs="Palatino Linotype"/>
          <w:i/>
          <w:color w:val="000000"/>
          <w:sz w:val="22"/>
          <w:szCs w:val="22"/>
        </w:rPr>
        <w:t>, sin menoscabo de las demás que le otorgue el reglamento interior del condominio las siguientes: </w:t>
      </w:r>
    </w:p>
    <w:p w:rsidR="008E3D22" w:rsidRDefault="008E3D22"/>
    <w:p w:rsidR="008E3D22" w:rsidRDefault="006B02AE">
      <w:pPr>
        <w:ind w:left="850" w:right="901"/>
        <w:jc w:val="both"/>
      </w:pPr>
      <w:r>
        <w:rPr>
          <w:rFonts w:ascii="Palatino Linotype" w:eastAsia="Palatino Linotype" w:hAnsi="Palatino Linotype" w:cs="Palatino Linotype"/>
          <w:b/>
          <w:i/>
          <w:color w:val="000000"/>
          <w:sz w:val="22"/>
          <w:szCs w:val="22"/>
        </w:rPr>
        <w:t xml:space="preserve">I. Nombrar y remover al administrador o al comité de administración </w:t>
      </w:r>
      <w:r>
        <w:rPr>
          <w:rFonts w:ascii="Palatino Linotype" w:eastAsia="Palatino Linotype" w:hAnsi="Palatino Linotype" w:cs="Palatino Linotype"/>
          <w:i/>
          <w:color w:val="000000"/>
          <w:sz w:val="22"/>
          <w:szCs w:val="22"/>
        </w:rPr>
        <w:t>en los términos del reglamento interior del condominio, excepto al que funja el primer año, que será designado por quienes otorguen la escritura constitutiva del condominio;</w:t>
      </w:r>
    </w:p>
    <w:p w:rsidR="008E3D22" w:rsidRDefault="006B02AE">
      <w:pPr>
        <w:ind w:left="850" w:right="901"/>
        <w:jc w:val="both"/>
      </w:pPr>
      <w:r>
        <w:rPr>
          <w:rFonts w:ascii="Palatino Linotype" w:eastAsia="Palatino Linotype" w:hAnsi="Palatino Linotype" w:cs="Palatino Linotype"/>
          <w:i/>
          <w:color w:val="000000"/>
          <w:sz w:val="22"/>
          <w:szCs w:val="22"/>
        </w:rPr>
        <w:t>(…)”</w:t>
      </w:r>
    </w:p>
    <w:p w:rsidR="008E3D22" w:rsidRDefault="008E3D22"/>
    <w:p w:rsidR="008E3D22" w:rsidRDefault="006B02AE">
      <w:pPr>
        <w:spacing w:line="360" w:lineRule="auto"/>
        <w:jc w:val="both"/>
        <w:rPr>
          <w:sz w:val="28"/>
          <w:szCs w:val="28"/>
        </w:rPr>
      </w:pPr>
      <w:r>
        <w:rPr>
          <w:rFonts w:ascii="Palatino Linotype" w:eastAsia="Palatino Linotype" w:hAnsi="Palatino Linotype" w:cs="Palatino Linotype"/>
          <w:color w:val="000000"/>
        </w:rPr>
        <w:t xml:space="preserve">Así, de la normatividad transcrita se concluye que el Sujeto Obligado no tiene participación en la asamblea del Fraccionamiento Real de San Fernando y por lo tanto no posee o administra, las actas que se generen, así como tampoco cuenta con atribuciones para nombrar y/o remover al administrador, ni tampoco otorgarle alguna acreditación para presentar rendición de cuentas, ya que esta atribución le corresponde a la asamblea de cada condominio. </w:t>
      </w:r>
    </w:p>
    <w:p w:rsidR="008E3D22" w:rsidRDefault="008E3D22">
      <w:pPr>
        <w:spacing w:line="360" w:lineRule="auto"/>
        <w:jc w:val="both"/>
        <w:rPr>
          <w:rFonts w:ascii="Palatino Linotype" w:eastAsia="Palatino Linotype" w:hAnsi="Palatino Linotype" w:cs="Palatino Linotype"/>
          <w:color w:val="000000"/>
        </w:rPr>
      </w:pPr>
    </w:p>
    <w:p w:rsidR="008E3D22" w:rsidRDefault="006B02AE">
      <w:pPr>
        <w:spacing w:line="360" w:lineRule="auto"/>
        <w:jc w:val="both"/>
        <w:rPr>
          <w:sz w:val="28"/>
          <w:szCs w:val="28"/>
        </w:rPr>
      </w:pPr>
      <w:r>
        <w:rPr>
          <w:rFonts w:ascii="Palatino Linotype" w:eastAsia="Palatino Linotype" w:hAnsi="Palatino Linotype" w:cs="Palatino Linotype"/>
          <w:color w:val="000000"/>
        </w:rPr>
        <w:t>Respecto a la asamblea, la Ley arriba citada, en su artículo 2, fracción VIII, la define como el órgano máximo de decisión de un condominio, integrado por la mayoría de los condóminos, en el que se resolverán los asuntos de interés común, respecto al condominio y respecto de la administración de los condominios en sus artículos 28 fracciones IV y VII, así como 30 señala lo siguiente:</w:t>
      </w:r>
    </w:p>
    <w:p w:rsidR="008E3D22" w:rsidRDefault="008E3D22"/>
    <w:p w:rsidR="008E3D22" w:rsidRDefault="006B02AE">
      <w:pPr>
        <w:ind w:left="567" w:right="539"/>
        <w:jc w:val="both"/>
        <w:rPr>
          <w:sz w:val="28"/>
          <w:szCs w:val="28"/>
        </w:rPr>
      </w:pPr>
      <w:r>
        <w:rPr>
          <w:rFonts w:ascii="Palatino Linotype" w:eastAsia="Palatino Linotype" w:hAnsi="Palatino Linotype" w:cs="Palatino Linotype"/>
          <w:b/>
          <w:i/>
          <w:color w:val="000000"/>
          <w:sz w:val="22"/>
          <w:szCs w:val="22"/>
        </w:rPr>
        <w:t>"Artículo 28.-</w:t>
      </w:r>
      <w:r>
        <w:rPr>
          <w:rFonts w:ascii="Palatino Linotype" w:eastAsia="Palatino Linotype" w:hAnsi="Palatino Linotype" w:cs="Palatino Linotype"/>
          <w:i/>
          <w:color w:val="000000"/>
          <w:sz w:val="22"/>
          <w:szCs w:val="22"/>
        </w:rPr>
        <w:t xml:space="preserve"> Las asambleas serán de dos tipos: generales y extraordinarias; para su celebración se observarán las siguientes disposiciones:</w:t>
      </w:r>
    </w:p>
    <w:p w:rsidR="008E3D22" w:rsidRDefault="006B02AE">
      <w:pPr>
        <w:ind w:left="567" w:right="539"/>
        <w:jc w:val="both"/>
        <w:rPr>
          <w:sz w:val="28"/>
          <w:szCs w:val="28"/>
        </w:rPr>
      </w:pPr>
      <w:r>
        <w:rPr>
          <w:rFonts w:ascii="Palatino Linotype" w:eastAsia="Palatino Linotype" w:hAnsi="Palatino Linotype" w:cs="Palatino Linotype"/>
          <w:i/>
          <w:color w:val="000000"/>
          <w:sz w:val="22"/>
          <w:szCs w:val="22"/>
        </w:rPr>
        <w:t>I a III…</w:t>
      </w:r>
    </w:p>
    <w:p w:rsidR="008E3D22" w:rsidRDefault="006B02AE">
      <w:pPr>
        <w:ind w:left="567" w:right="539"/>
        <w:jc w:val="both"/>
        <w:rPr>
          <w:sz w:val="28"/>
          <w:szCs w:val="28"/>
        </w:rPr>
      </w:pPr>
      <w:r>
        <w:rPr>
          <w:rFonts w:ascii="Palatino Linotype" w:eastAsia="Palatino Linotype" w:hAnsi="Palatino Linotype" w:cs="Palatino Linotype"/>
          <w:i/>
          <w:color w:val="000000"/>
          <w:sz w:val="22"/>
          <w:szCs w:val="22"/>
        </w:rPr>
        <w:t xml:space="preserve">IV. Las resoluciones de la Asamblea, se tomarán por mayoría simple de los condóminos, cuando a ésta asistan el 50% más uno de los condóminos o de sus representantes, en </w:t>
      </w:r>
      <w:r>
        <w:rPr>
          <w:rFonts w:ascii="Palatino Linotype" w:eastAsia="Palatino Linotype" w:hAnsi="Palatino Linotype" w:cs="Palatino Linotype"/>
          <w:i/>
          <w:color w:val="000000"/>
          <w:sz w:val="22"/>
          <w:szCs w:val="22"/>
        </w:rPr>
        <w:lastRenderedPageBreak/>
        <w:t>términos de la presente ley, excepto en los casos en que la Ley y el Reglamento Interior del Condómino establezcan una mayoría especial.</w:t>
      </w:r>
    </w:p>
    <w:p w:rsidR="008E3D22" w:rsidRDefault="006B02AE">
      <w:pPr>
        <w:ind w:left="567" w:right="539"/>
        <w:jc w:val="both"/>
        <w:rPr>
          <w:sz w:val="28"/>
          <w:szCs w:val="28"/>
        </w:rPr>
      </w:pPr>
      <w:r>
        <w:rPr>
          <w:rFonts w:ascii="Palatino Linotype" w:eastAsia="Palatino Linotype" w:hAnsi="Palatino Linotype" w:cs="Palatino Linotype"/>
          <w:i/>
          <w:color w:val="000000"/>
          <w:sz w:val="22"/>
          <w:szCs w:val="22"/>
        </w:rPr>
        <w:t>V a VI…</w:t>
      </w:r>
    </w:p>
    <w:p w:rsidR="008E3D22" w:rsidRDefault="006B02AE">
      <w:pPr>
        <w:ind w:left="567" w:right="539"/>
        <w:jc w:val="both"/>
        <w:rPr>
          <w:sz w:val="28"/>
          <w:szCs w:val="28"/>
        </w:rPr>
      </w:pPr>
      <w:r>
        <w:rPr>
          <w:rFonts w:ascii="Palatino Linotype" w:eastAsia="Palatino Linotype" w:hAnsi="Palatino Linotype" w:cs="Palatino Linotype"/>
          <w:i/>
          <w:color w:val="000000"/>
          <w:sz w:val="22"/>
          <w:szCs w:val="22"/>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8E3D22" w:rsidRDefault="008E3D22">
      <w:pPr>
        <w:rPr>
          <w:sz w:val="28"/>
          <w:szCs w:val="28"/>
        </w:rPr>
      </w:pPr>
    </w:p>
    <w:p w:rsidR="008E3D22" w:rsidRDefault="006B02AE">
      <w:pPr>
        <w:ind w:left="567" w:right="539"/>
        <w:jc w:val="both"/>
        <w:rPr>
          <w:sz w:val="28"/>
          <w:szCs w:val="28"/>
        </w:rPr>
      </w:pPr>
      <w:r>
        <w:rPr>
          <w:rFonts w:ascii="Palatino Linotype" w:eastAsia="Palatino Linotype" w:hAnsi="Palatino Linotype" w:cs="Palatino Linotype"/>
          <w:i/>
          <w:color w:val="000000"/>
          <w:sz w:val="22"/>
          <w:szCs w:val="22"/>
        </w:rPr>
        <w:t>Las determinaciones y acuerdos tomados por la Asamblea obligan a todos los condóminos, incluyendo a los ausentes y disidentes.</w:t>
      </w:r>
    </w:p>
    <w:p w:rsidR="008E3D22" w:rsidRDefault="008E3D22">
      <w:pPr>
        <w:rPr>
          <w:sz w:val="28"/>
          <w:szCs w:val="28"/>
        </w:rPr>
      </w:pPr>
    </w:p>
    <w:p w:rsidR="008E3D22" w:rsidRDefault="006B02AE">
      <w:pPr>
        <w:ind w:left="567" w:right="539"/>
        <w:jc w:val="both"/>
        <w:rPr>
          <w:sz w:val="28"/>
          <w:szCs w:val="28"/>
        </w:rPr>
      </w:pPr>
      <w:r>
        <w:rPr>
          <w:rFonts w:ascii="Palatino Linotype" w:eastAsia="Palatino Linotype" w:hAnsi="Palatino Linotype" w:cs="Palatino Linotype"/>
          <w:b/>
          <w:i/>
          <w:color w:val="000000"/>
          <w:sz w:val="22"/>
          <w:szCs w:val="22"/>
        </w:rPr>
        <w:t>Artículo 30.-</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Los condominios serán administrados por un Comité de Administración o por un administrador que designará la Asamblea General</w:t>
      </w:r>
      <w:r>
        <w:rPr>
          <w:rFonts w:ascii="Palatino Linotype" w:eastAsia="Palatino Linotype" w:hAnsi="Palatino Linotype" w:cs="Palatino Linotype"/>
          <w:i/>
          <w:color w:val="000000"/>
          <w:sz w:val="22"/>
          <w:szCs w:val="22"/>
        </w:rPr>
        <w:t>, por el tiempo que ésta determine, salvo cuando la designación recaiga en un condómino, en cuyo caso durará en el cargo de uno a tres años, según lo disponga la asamblea.” (Sic)</w:t>
      </w:r>
    </w:p>
    <w:p w:rsidR="008E3D22" w:rsidRDefault="008E3D22"/>
    <w:p w:rsidR="008E3D22" w:rsidRDefault="006B02A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la persona de la cual solicita la acreditación para presentar rendición de cuentas no labora en el Ayuntamiento de Cuautitlán, no es servidor público y por lo tanto no recibe y/o ejerce recursos públicos, además de que tampoco realiza funciones de interés público que tengan un impacto en su comunidad, sino únicamente en el Fraccionamiento en donde habitan, ya que es un tema que importa única y exclusivamente a quienes viven ahí y se encuentran sujetos a las reglas establecidas por ellos mismos en asamblea con sus representantes en atención a los establecido por la Ley que Regula el Régimen de Propiedad en Condominio en el Estado de México, </w:t>
      </w:r>
    </w:p>
    <w:p w:rsidR="008E3D22" w:rsidRDefault="008E3D22">
      <w:pPr>
        <w:spacing w:line="360" w:lineRule="auto"/>
        <w:jc w:val="both"/>
        <w:rPr>
          <w:rFonts w:ascii="Palatino Linotype" w:eastAsia="Palatino Linotype" w:hAnsi="Palatino Linotype" w:cs="Palatino Linotype"/>
          <w:color w:val="000000"/>
        </w:rPr>
      </w:pPr>
    </w:p>
    <w:p w:rsidR="008E3D22" w:rsidRDefault="006B02AE">
      <w:pPr>
        <w:spacing w:line="360" w:lineRule="auto"/>
        <w:jc w:val="both"/>
      </w:pPr>
      <w:r>
        <w:rPr>
          <w:rFonts w:ascii="Palatino Linotype" w:eastAsia="Palatino Linotype" w:hAnsi="Palatino Linotype" w:cs="Palatino Linotype"/>
          <w:color w:val="000000"/>
        </w:rPr>
        <w:t xml:space="preserve">Ahora por lo que respecta a </w:t>
      </w: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 xml:space="preserve">adicionalmente la persona que la envia tiene ya una demanda ante sindicatura y la titular de esta dependencia sigue dandole la autorizacion a este tipo de personas conflictivas.” (sic), </w:t>
      </w:r>
      <w:r>
        <w:rPr>
          <w:rFonts w:ascii="Palatino Linotype" w:eastAsia="Palatino Linotype" w:hAnsi="Palatino Linotype" w:cs="Palatino Linotype"/>
          <w:color w:val="000000"/>
        </w:rPr>
        <w:t xml:space="preserve">el particular busca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lo cual no constituye un derecho de acceso a la información; sino un derecho de petición, debido a que se tratan </w:t>
      </w:r>
      <w:r>
        <w:rPr>
          <w:rFonts w:ascii="Palatino Linotype" w:eastAsia="Palatino Linotype" w:hAnsi="Palatino Linotype" w:cs="Palatino Linotype"/>
          <w:color w:val="000000"/>
        </w:rPr>
        <w:lastRenderedPageBreak/>
        <w:t>cuestionamientos realizados por el entonces solicitante, interrogantes y declaraciones que no se colman con la entrega de documentos, situación que conlleva a afirmar que se está ante la presencia del ejercicio del derecho ya enunciado. </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Bajo ese contexto, es importante dejar en claro lo que debe entenderse por derecho de petición y por derecho de acceso a la información pública.</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Por lo que respecta a la definición de Derecho de Petición, el Maestro Ignacio Burgoa Orihuela refiere: </w:t>
      </w:r>
    </w:p>
    <w:p w:rsidR="008E3D22" w:rsidRDefault="006B02AE">
      <w:pPr>
        <w:ind w:left="851" w:right="992"/>
        <w:jc w:val="both"/>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i/>
          <w:color w:val="000000"/>
          <w:sz w:val="22"/>
          <w:szCs w:val="22"/>
        </w:rPr>
        <w:t xml:space="preserve">es un Derecho Público subjetivo individual de la Garantía Respectiva Consagrada en el Artículo 8 de la Ley Fundamental. En tal virtud, la persona tiene la facultad de acudir a cualquier </w:t>
      </w:r>
      <w:r>
        <w:rPr>
          <w:rFonts w:ascii="Palatino Linotype" w:eastAsia="Palatino Linotype" w:hAnsi="Palatino Linotype" w:cs="Palatino Linotype"/>
          <w:i/>
          <w:color w:val="000000"/>
          <w:sz w:val="22"/>
          <w:szCs w:val="22"/>
          <w:highlight w:val="white"/>
        </w:rPr>
        <w:t>autoridad</w:t>
      </w:r>
      <w:r>
        <w:rPr>
          <w:rFonts w:ascii="Palatino Linotype" w:eastAsia="Palatino Linotype" w:hAnsi="Palatino Linotype" w:cs="Palatino Linotype"/>
          <w:i/>
          <w:color w:val="000000"/>
          <w:sz w:val="22"/>
          <w:szCs w:val="22"/>
        </w:rPr>
        <w:t>, formulando una solicitud o instancia escrito de cualquier índole, la cual adopta, específicamente, el carácter de simple petición administrativa, acción o recurso, etc.</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(sic)</w:t>
      </w:r>
    </w:p>
    <w:p w:rsidR="008E3D22" w:rsidRDefault="008E3D22"/>
    <w:p w:rsidR="008E3D22" w:rsidRDefault="006B02AE">
      <w:pPr>
        <w:jc w:val="both"/>
      </w:pPr>
      <w:r>
        <w:rPr>
          <w:rFonts w:ascii="Palatino Linotype" w:eastAsia="Palatino Linotype" w:hAnsi="Palatino Linotype" w:cs="Palatino Linotype"/>
          <w:color w:val="000000"/>
        </w:rPr>
        <w:t>Por su parte, David Cienfuegos Salgado, concibe al derecho de petición como: </w:t>
      </w:r>
    </w:p>
    <w:p w:rsidR="008E3D22" w:rsidRDefault="008E3D22"/>
    <w:p w:rsidR="008E3D22" w:rsidRDefault="006B02AE">
      <w:pPr>
        <w:ind w:left="851" w:right="992"/>
        <w:jc w:val="both"/>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el derecho de toda persona a ser </w:t>
      </w:r>
      <w:r>
        <w:rPr>
          <w:rFonts w:ascii="Palatino Linotype" w:eastAsia="Palatino Linotype" w:hAnsi="Palatino Linotype" w:cs="Palatino Linotype"/>
          <w:i/>
          <w:color w:val="000000"/>
          <w:sz w:val="22"/>
          <w:szCs w:val="22"/>
          <w:highlight w:val="white"/>
        </w:rPr>
        <w:t>escuchado</w:t>
      </w:r>
      <w:r>
        <w:rPr>
          <w:rFonts w:ascii="Palatino Linotype" w:eastAsia="Palatino Linotype" w:hAnsi="Palatino Linotype" w:cs="Palatino Linotype"/>
          <w:i/>
          <w:color w:val="000000"/>
          <w:sz w:val="22"/>
          <w:szCs w:val="22"/>
        </w:rPr>
        <w:t xml:space="preserve"> por quienes ejercen el poder público.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 </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rsidR="008E3D22" w:rsidRDefault="008E3D22"/>
    <w:p w:rsidR="008E3D22" w:rsidRDefault="006B02AE">
      <w:pPr>
        <w:ind w:left="850" w:right="901"/>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DERECHO DE PETICIÓN. SUS ELEMENTOS</w:t>
      </w:r>
      <w:r>
        <w:rPr>
          <w:rFonts w:ascii="Palatino Linotype" w:eastAsia="Palatino Linotype" w:hAnsi="Palatino Linotype" w:cs="Palatino Linotype"/>
          <w:i/>
          <w:color w:val="000000"/>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w:t>
      </w:r>
      <w:r>
        <w:rPr>
          <w:rFonts w:ascii="Palatino Linotype" w:eastAsia="Palatino Linotype" w:hAnsi="Palatino Linotype" w:cs="Palatino Linotype"/>
          <w:i/>
          <w:color w:val="000000"/>
          <w:sz w:val="22"/>
          <w:szCs w:val="22"/>
        </w:rPr>
        <w:lastRenderedPageBreak/>
        <w:t>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Pr>
          <w:rFonts w:ascii="Palatino Linotype" w:eastAsia="Palatino Linotype" w:hAnsi="Palatino Linotype" w:cs="Palatino Linotype"/>
          <w:color w:val="000000"/>
        </w:rPr>
        <w:t>                                                                                                                                                                                                                                                                                                                                                  </w:t>
      </w:r>
    </w:p>
    <w:p w:rsidR="008E3D22" w:rsidRDefault="006B02AE">
      <w:pPr>
        <w:spacing w:line="360" w:lineRule="auto"/>
        <w:jc w:val="both"/>
      </w:pPr>
      <w:r>
        <w:rPr>
          <w:rFonts w:ascii="Palatino Linotype" w:eastAsia="Palatino Linotype" w:hAnsi="Palatino Linotype" w:cs="Palatino Linotype"/>
          <w:color w:val="000000"/>
        </w:rPr>
        <w:t>Al respecto, para diferenciar el derecho de petición del derecho de acceso a la información, resulta conducente señalar que José Guadalupe Robles, conceptualiza el derecho a la información como: </w:t>
      </w:r>
    </w:p>
    <w:p w:rsidR="008E3D22" w:rsidRDefault="008E3D22"/>
    <w:p w:rsidR="008E3D22" w:rsidRDefault="006B02AE">
      <w:pPr>
        <w:ind w:left="851" w:right="992"/>
        <w:jc w:val="both"/>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un derecho fundamental tanto de carácter individual como colectivo, cuyas limitaciones deben estar establecidas en la ley, así como una garantía de que la información sea transmitida con </w:t>
      </w:r>
      <w:r>
        <w:rPr>
          <w:rFonts w:ascii="Palatino Linotype" w:eastAsia="Palatino Linotype" w:hAnsi="Palatino Linotype" w:cs="Palatino Linotype"/>
          <w:i/>
          <w:color w:val="000000"/>
          <w:sz w:val="22"/>
          <w:szCs w:val="22"/>
          <w:highlight w:val="white"/>
        </w:rPr>
        <w:t>claridad</w:t>
      </w:r>
      <w:r>
        <w:rPr>
          <w:rFonts w:ascii="Palatino Linotype" w:eastAsia="Palatino Linotype" w:hAnsi="Palatino Linotype" w:cs="Palatino Linotype"/>
          <w:i/>
          <w:color w:val="000000"/>
          <w:sz w:val="22"/>
          <w:szCs w:val="22"/>
        </w:rPr>
        <w:t xml:space="preserve"> y objetividad, por cuanto a que es un bien jurídico que coadyuva al desarrollo de las personas y a la formación de opinión pública de calidad para poder participar y luego influir en la vida pública.</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 </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 xml:space="preserve">Es por ello que, el derecho de acceso a la información pública, implica el conocimiento de los particulares de la información contenida en los documentos que posean los </w:t>
      </w:r>
      <w:r>
        <w:rPr>
          <w:rFonts w:ascii="Palatino Linotype" w:eastAsia="Palatino Linotype" w:hAnsi="Palatino Linotype" w:cs="Palatino Linotype"/>
          <w:color w:val="000000"/>
        </w:rPr>
        <w:lastRenderedPageBreak/>
        <w:t>órganos del estado; incluso, se impone la obligación a las autoridades de preservar sus documentos en archivos administrativos actualizados.  </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En esa tesitura, los Sujetos Obligados deberán poner en práctica, políticas y programas de acceso a la información que se apeguen a criterios de publicidad, veracidad, oportunidad, precisión y suficiencia en beneficio de los solicitantes</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Lo anterior, tiene sustento en los artículos 3 fracciones XI y XXII; 4; 11 y 12 de la Ley de Transparencia y Acceso a la Información Pública del Estado de México y Municipios:</w:t>
      </w:r>
    </w:p>
    <w:p w:rsidR="008E3D22" w:rsidRDefault="008E3D22"/>
    <w:p w:rsidR="008E3D22" w:rsidRDefault="006B02AE">
      <w:pPr>
        <w:ind w:left="851" w:right="992"/>
        <w:jc w:val="both"/>
      </w:pPr>
      <w:r>
        <w:rPr>
          <w:rFonts w:ascii="Palatino Linotype" w:eastAsia="Palatino Linotype" w:hAnsi="Palatino Linotype" w:cs="Palatino Linotype"/>
          <w:b/>
          <w:i/>
          <w:color w:val="000000"/>
          <w:sz w:val="22"/>
          <w:szCs w:val="22"/>
        </w:rPr>
        <w:t xml:space="preserve">“Artículo 3. Para los efectos de la presente Ley se entenderá por: </w:t>
      </w:r>
      <w:r>
        <w:rPr>
          <w:rFonts w:ascii="Palatino Linotype" w:eastAsia="Palatino Linotype" w:hAnsi="Palatino Linotype" w:cs="Palatino Linotype"/>
          <w:i/>
          <w:color w:val="000000"/>
          <w:sz w:val="22"/>
          <w:szCs w:val="22"/>
        </w:rPr>
        <w:t>…</w:t>
      </w:r>
    </w:p>
    <w:p w:rsidR="008E3D22" w:rsidRDefault="006B02AE">
      <w:pPr>
        <w:ind w:left="851" w:right="992"/>
        <w:jc w:val="both"/>
      </w:pPr>
      <w:r>
        <w:rPr>
          <w:rFonts w:ascii="Palatino Linotype" w:eastAsia="Palatino Linotype" w:hAnsi="Palatino Linotype" w:cs="Palatino Linotype"/>
          <w:i/>
          <w:color w:val="000000"/>
          <w:sz w:val="22"/>
          <w:szCs w:val="22"/>
        </w:rPr>
        <w:t>…</w:t>
      </w:r>
    </w:p>
    <w:p w:rsidR="008E3D22" w:rsidRDefault="006B02AE">
      <w:pPr>
        <w:ind w:left="851" w:right="992"/>
        <w:jc w:val="both"/>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  </w:t>
      </w:r>
    </w:p>
    <w:p w:rsidR="008E3D22" w:rsidRDefault="006B02AE">
      <w:pPr>
        <w:ind w:left="851" w:right="992"/>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ab/>
      </w:r>
    </w:p>
    <w:p w:rsidR="008E3D22" w:rsidRDefault="006B02AE">
      <w:pPr>
        <w:ind w:left="851" w:right="992"/>
        <w:jc w:val="both"/>
      </w:pPr>
      <w:r>
        <w:rPr>
          <w:rFonts w:ascii="Palatino Linotype" w:eastAsia="Palatino Linotype" w:hAnsi="Palatino Linotype" w:cs="Palatino Linotype"/>
          <w:b/>
          <w:i/>
          <w:color w:val="000000"/>
          <w:sz w:val="22"/>
          <w:szCs w:val="22"/>
        </w:rPr>
        <w:t>XXII.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Información de interés público</w:t>
      </w:r>
      <w:r>
        <w:rPr>
          <w:rFonts w:ascii="Palatino Linotype" w:eastAsia="Palatino Linotype" w:hAnsi="Palatino Linotype" w:cs="Palatino Linotype"/>
          <w:i/>
          <w:color w:val="000000"/>
          <w:sz w:val="22"/>
          <w:szCs w:val="22"/>
        </w:rPr>
        <w:t>: Se refiere a la información que resulta relevante o beneficiosa para la sociedad y no simplemente de interés individual, cuya divulgación resulta útil para que el público comprenda las actividades que llevan a cabo los sujetos obligados; </w:t>
      </w:r>
    </w:p>
    <w:p w:rsidR="008E3D22" w:rsidRDefault="008E3D22">
      <w:pPr>
        <w:ind w:left="851" w:right="992"/>
        <w:jc w:val="both"/>
        <w:rPr>
          <w:rFonts w:ascii="Palatino Linotype" w:eastAsia="Palatino Linotype" w:hAnsi="Palatino Linotype" w:cs="Palatino Linotype"/>
          <w:b/>
          <w:i/>
          <w:color w:val="000000"/>
          <w:sz w:val="22"/>
          <w:szCs w:val="22"/>
        </w:rPr>
      </w:pPr>
    </w:p>
    <w:p w:rsidR="008E3D22" w:rsidRDefault="006B02AE">
      <w:pPr>
        <w:ind w:left="851" w:right="992"/>
        <w:jc w:val="both"/>
      </w:pP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E3D22" w:rsidRDefault="006B02AE">
      <w:pPr>
        <w:ind w:left="851" w:right="992"/>
        <w:jc w:val="both"/>
      </w:pPr>
      <w:r>
        <w:rPr>
          <w:rFonts w:ascii="Palatino Linotype" w:eastAsia="Palatino Linotype" w:hAnsi="Palatino Linotype" w:cs="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8E3D22" w:rsidRDefault="006B02AE">
      <w:pPr>
        <w:ind w:left="851" w:right="992"/>
        <w:jc w:val="both"/>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  </w:t>
      </w:r>
    </w:p>
    <w:p w:rsidR="008E3D22" w:rsidRDefault="006B02AE">
      <w:pPr>
        <w:ind w:left="851" w:right="992"/>
        <w:jc w:val="both"/>
      </w:pPr>
      <w:r>
        <w:rPr>
          <w:rFonts w:ascii="Palatino Linotype" w:eastAsia="Palatino Linotype" w:hAnsi="Palatino Linotype" w:cs="Palatino Linotype"/>
          <w:b/>
          <w:i/>
          <w:color w:val="000000"/>
          <w:sz w:val="22"/>
          <w:szCs w:val="22"/>
        </w:rPr>
        <w:t>Artículo 11.-</w:t>
      </w:r>
      <w:r>
        <w:rPr>
          <w:rFonts w:ascii="Palatino Linotype" w:eastAsia="Palatino Linotype" w:hAnsi="Palatino Linotype" w:cs="Palatino Linotype"/>
          <w:i/>
          <w:color w:val="000000"/>
          <w:sz w:val="22"/>
          <w:szCs w:val="22"/>
        </w:rPr>
        <w:t xml:space="preserve"> Los Sujetos Obligados sólo proporcionarán la información que generen en el ejercicio de sus atribuciones.”</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 xml:space="preserve">Para ello, la Ley de la materia otorga la calidad de documento a los expedientes, reportes, estudios, actas, resoluciones, oficios, correspondencia, acuerdos, directivas, </w:t>
      </w:r>
      <w:r>
        <w:rPr>
          <w:rFonts w:ascii="Palatino Linotype" w:eastAsia="Palatino Linotype" w:hAnsi="Palatino Linotype" w:cs="Palatino Linotype"/>
          <w:color w:val="000000"/>
        </w:rPr>
        <w:lastRenderedPageBreak/>
        <w:t xml:space="preserve">directrices, circulares, contratos, convenios, instructivos, notas, memorandos, estadísticas o bien, </w:t>
      </w:r>
      <w:r>
        <w:rPr>
          <w:rFonts w:ascii="Palatino Linotype" w:eastAsia="Palatino Linotype" w:hAnsi="Palatino Linotype" w:cs="Palatino Linotype"/>
          <w:b/>
          <w:color w:val="000000"/>
        </w:rPr>
        <w:t>cualquier otro registro que documente el ejercicio de las facultades, funciones y competencias de los sujetos obligados</w:t>
      </w:r>
      <w:r>
        <w:rPr>
          <w:rFonts w:ascii="Palatino Linotype" w:eastAsia="Palatino Linotype" w:hAnsi="Palatino Linotype" w:cs="Palatino Linotype"/>
          <w:color w:val="000000"/>
        </w:rPr>
        <w:t>, sus servidores públicos e integrantes, sin importar su fuente o fecha de elaboración. Los documentos podrán estar en cualquier medio, sea escrito, impreso, sonoro, visual, electrónico, informático u holográfico.</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color w:val="000000"/>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E3D22" w:rsidRDefault="008E3D22"/>
    <w:p w:rsidR="008E3D22" w:rsidRDefault="006B02AE">
      <w:pP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w:t>
      </w:r>
      <w:r>
        <w:rPr>
          <w:rFonts w:ascii="Palatino Linotype" w:eastAsia="Palatino Linotype" w:hAnsi="Palatino Linotype" w:cs="Palatino Linotype"/>
          <w:b/>
          <w:color w:val="000000"/>
          <w:u w:val="single"/>
        </w:rPr>
        <w:t>la solicitud de acceso a la información pública se encamina primordialmente a permitir el acceso a datos, registros y todo tipo de información pública que conste en documentos, sea generada o se encuentre en posesión de la autoridad. </w:t>
      </w:r>
    </w:p>
    <w:p w:rsidR="008E3D22" w:rsidRDefault="008E3D22"/>
    <w:p w:rsidR="008E3D22" w:rsidRDefault="006B02AE">
      <w:pPr>
        <w:spacing w:line="360" w:lineRule="auto"/>
        <w:ind w:right="49"/>
        <w:jc w:val="both"/>
      </w:pPr>
      <w:r>
        <w:rPr>
          <w:rFonts w:ascii="Palatino Linotype" w:eastAsia="Palatino Linotype" w:hAnsi="Palatino Linotype" w:cs="Palatino Linotype"/>
          <w:color w:val="000000"/>
        </w:rPr>
        <w:lastRenderedPageBreak/>
        <w:t>Es así que, los argumentos expuestos permiten a este Órgano Garante determina la solicitud de información 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se trata de información que no genera, por otra parte, se trata de un Derecho de Petición, por lo tanto resulta procedente </w:t>
      </w:r>
      <w:r>
        <w:rPr>
          <w:rFonts w:ascii="Palatino Linotype" w:eastAsia="Palatino Linotype" w:hAnsi="Palatino Linotype" w:cs="Palatino Linotype"/>
          <w:b/>
          <w:color w:val="000000"/>
        </w:rPr>
        <w:t>sobreseer</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05457/INFOEM/IP/RR/2021</w:t>
      </w:r>
      <w:r>
        <w:rPr>
          <w:rFonts w:ascii="Palatino Linotype" w:eastAsia="Palatino Linotype" w:hAnsi="Palatino Linotype" w:cs="Palatino Linotype"/>
          <w:color w:val="000000"/>
        </w:rPr>
        <w:t xml:space="preserve"> por improcedente, toda vez que se actualiza la fracción </w:t>
      </w:r>
      <w:r>
        <w:rPr>
          <w:rFonts w:ascii="Palatino Linotype" w:eastAsia="Palatino Linotype" w:hAnsi="Palatino Linotype" w:cs="Palatino Linotype"/>
        </w:rPr>
        <w:t>I</w:t>
      </w:r>
      <w:r>
        <w:rPr>
          <w:rFonts w:ascii="Palatino Linotype" w:eastAsia="Palatino Linotype" w:hAnsi="Palatino Linotype" w:cs="Palatino Linotype"/>
          <w:color w:val="000000"/>
        </w:rPr>
        <w:t>V del ordinal 192 en correlación con el artículo 191 fracción III de la Ley de Transparencia y Acceso a la Información Pública del Estado de México y Municipios, en correlación con el diverso 191 fracción III del mismo ordenamiento.</w:t>
      </w:r>
    </w:p>
    <w:p w:rsidR="008E3D22" w:rsidRDefault="008E3D22"/>
    <w:p w:rsidR="008E3D22" w:rsidRDefault="006B02AE">
      <w:pPr>
        <w:spacing w:line="360" w:lineRule="auto"/>
        <w:jc w:val="both"/>
      </w:pPr>
      <w:r>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8E3D22" w:rsidRDefault="008E3D2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E3D22" w:rsidRDefault="006B02A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8E3D22" w:rsidRDefault="008E3D22">
      <w:pPr>
        <w:spacing w:line="360" w:lineRule="auto"/>
        <w:jc w:val="center"/>
        <w:rPr>
          <w:rFonts w:ascii="Palatino Linotype" w:eastAsia="Palatino Linotype" w:hAnsi="Palatino Linotype" w:cs="Palatino Linotype"/>
          <w:b/>
          <w:sz w:val="28"/>
          <w:szCs w:val="28"/>
        </w:rPr>
      </w:pPr>
    </w:p>
    <w:p w:rsidR="008E3D22" w:rsidRDefault="006B02AE">
      <w:pPr>
        <w:spacing w:line="360" w:lineRule="auto"/>
        <w:jc w:val="both"/>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por improcedente el recurso de revisión </w:t>
      </w:r>
      <w:r>
        <w:rPr>
          <w:rFonts w:ascii="Palatino Linotype" w:eastAsia="Palatino Linotype" w:hAnsi="Palatino Linotype" w:cs="Palatino Linotype"/>
          <w:b/>
          <w:color w:val="000000"/>
        </w:rPr>
        <w:t>05457/INFOEM/IP/RR/2021</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resolución.</w:t>
      </w:r>
    </w:p>
    <w:p w:rsidR="008E3D22" w:rsidRDefault="008E3D22">
      <w:pPr>
        <w:spacing w:line="360" w:lineRule="auto"/>
      </w:pPr>
    </w:p>
    <w:p w:rsidR="008E3D22" w:rsidRDefault="006B02AE">
      <w:pPr>
        <w:spacing w:line="360" w:lineRule="auto"/>
        <w:jc w:val="both"/>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color w:val="000000"/>
          <w:sz w:val="28"/>
          <w:szCs w:val="28"/>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la presente resolución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su conocimiento.</w:t>
      </w:r>
    </w:p>
    <w:p w:rsidR="008E3D22" w:rsidRDefault="006B02AE">
      <w:pPr>
        <w:spacing w:before="240" w:after="240" w:line="360" w:lineRule="auto"/>
        <w:jc w:val="both"/>
      </w:pPr>
      <w:r>
        <w:rPr>
          <w:rFonts w:ascii="Palatino Linotype" w:eastAsia="Palatino Linotype" w:hAnsi="Palatino Linotype" w:cs="Palatino Linotype"/>
          <w:b/>
          <w:color w:val="000000"/>
          <w:sz w:val="28"/>
          <w:szCs w:val="28"/>
        </w:rPr>
        <w:lastRenderedPageBreak/>
        <w:t xml:space="preserve">TERCERO.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a </w:t>
      </w:r>
      <w:r>
        <w:rPr>
          <w:rFonts w:ascii="Palatino Linotype" w:eastAsia="Palatino Linotype" w:hAnsi="Palatino Linotype" w:cs="Palatino Linotype"/>
          <w:b/>
          <w:color w:val="222222"/>
        </w:rPr>
        <w:t xml:space="preserve">EL RECURRENTE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la presente resolución.</w:t>
      </w:r>
    </w:p>
    <w:p w:rsidR="008E3D22" w:rsidRDefault="006B02AE">
      <w:pPr>
        <w:spacing w:before="240" w:after="240" w:line="360" w:lineRule="auto"/>
        <w:jc w:val="both"/>
      </w:pPr>
      <w:r>
        <w:rPr>
          <w:rFonts w:ascii="Palatino Linotype" w:eastAsia="Palatino Linotype" w:hAnsi="Palatino Linotype" w:cs="Palatino Linotype"/>
          <w:b/>
          <w:color w:val="000000"/>
          <w:sz w:val="28"/>
          <w:szCs w:val="28"/>
        </w:rPr>
        <w:t xml:space="preserve">CUARTO.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 </w:t>
      </w:r>
      <w:r>
        <w:rPr>
          <w:rFonts w:ascii="Palatino Linotype" w:eastAsia="Palatino Linotype" w:hAnsi="Palatino Linotype" w:cs="Palatino Linotype"/>
          <w:b/>
          <w:color w:val="222222"/>
        </w:rPr>
        <w:t>EL RECURRENTE</w:t>
      </w:r>
      <w:r>
        <w:rPr>
          <w:rFonts w:ascii="Palatino Linotype" w:eastAsia="Palatino Linotype" w:hAnsi="Palatino Linotype" w:cs="Palatino Linotype"/>
          <w:color w:val="222222"/>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8E3D22" w:rsidRDefault="006B02AE">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DE ENERO DE DOS MIL VEINTIDÓS, ANTE EL SECRETARIO TÉCNICO DEL PLENO, ALEXIS TAPIA RAMÍREZ.</w:t>
      </w:r>
    </w:p>
    <w:p w:rsidR="008E3D22" w:rsidRDefault="006B02AE">
      <w:pPr>
        <w:tabs>
          <w:tab w:val="left" w:pos="8275"/>
        </w:tabs>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JMV/CCR/BLA/DEMF/PMRE</w:t>
      </w:r>
    </w:p>
    <w:p w:rsidR="008E3D22" w:rsidRDefault="006B02AE">
      <w:pPr>
        <w:rPr>
          <w:rFonts w:ascii="Palatino Linotype" w:eastAsia="Palatino Linotype" w:hAnsi="Palatino Linotype" w:cs="Palatino Linotype"/>
          <w:sz w:val="22"/>
          <w:szCs w:val="22"/>
        </w:rPr>
      </w:pPr>
      <w:r>
        <w:br w:type="page"/>
      </w:r>
    </w:p>
    <w:p w:rsidR="008E3D22" w:rsidRDefault="006B02AE">
      <w:pPr>
        <w:tabs>
          <w:tab w:val="left" w:pos="8275"/>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b/>
      </w:r>
    </w:p>
    <w:sectPr w:rsidR="008E3D22">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2AE" w:rsidRDefault="006B02AE">
      <w:r>
        <w:separator/>
      </w:r>
    </w:p>
  </w:endnote>
  <w:endnote w:type="continuationSeparator" w:id="0">
    <w:p w:rsidR="006B02AE" w:rsidRDefault="006B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22" w:rsidRDefault="006B02AE">
    <w:pPr>
      <w:pBdr>
        <w:top w:val="nil"/>
        <w:left w:val="nil"/>
        <w:bottom w:val="nil"/>
        <w:right w:val="nil"/>
        <w:between w:val="nil"/>
      </w:pBdr>
      <w:tabs>
        <w:tab w:val="center" w:pos="4252"/>
        <w:tab w:val="right" w:pos="8504"/>
      </w:tabs>
      <w:spacing w:before="120"/>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7002A">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7002A">
      <w:rPr>
        <w:rFonts w:ascii="Arial" w:eastAsia="Arial" w:hAnsi="Arial" w:cs="Arial"/>
        <w:b/>
        <w:noProof/>
        <w:color w:val="000000"/>
        <w:sz w:val="20"/>
        <w:szCs w:val="20"/>
      </w:rPr>
      <w:t>22</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22" w:rsidRDefault="006B02AE">
    <w:pPr>
      <w:pBdr>
        <w:top w:val="nil"/>
        <w:left w:val="nil"/>
        <w:bottom w:val="nil"/>
        <w:right w:val="nil"/>
        <w:between w:val="nil"/>
      </w:pBdr>
      <w:tabs>
        <w:tab w:val="center" w:pos="4252"/>
        <w:tab w:val="right" w:pos="8504"/>
      </w:tabs>
      <w:spacing w:before="120"/>
      <w:jc w:val="right"/>
      <w:rPr>
        <w:rFonts w:ascii="Arial" w:eastAsia="Arial" w:hAnsi="Arial" w:cs="Arial"/>
        <w:b/>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7002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7002A">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rsidR="008E3D22" w:rsidRDefault="008E3D2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2AE" w:rsidRDefault="006B02AE">
      <w:r>
        <w:separator/>
      </w:r>
    </w:p>
  </w:footnote>
  <w:footnote w:type="continuationSeparator" w:id="0">
    <w:p w:rsidR="006B02AE" w:rsidRDefault="006B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22" w:rsidRDefault="008E3D2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32"/>
        <w:szCs w:val="32"/>
      </w:rPr>
    </w:pPr>
  </w:p>
  <w:tbl>
    <w:tblPr>
      <w:tblStyle w:val="a0"/>
      <w:tblW w:w="9356" w:type="dxa"/>
      <w:tblInd w:w="-142" w:type="dxa"/>
      <w:tblLayout w:type="fixed"/>
      <w:tblLook w:val="0400" w:firstRow="0" w:lastRow="0" w:firstColumn="0" w:lastColumn="0" w:noHBand="0" w:noVBand="1"/>
    </w:tblPr>
    <w:tblGrid>
      <w:gridCol w:w="3828"/>
      <w:gridCol w:w="2551"/>
      <w:gridCol w:w="2977"/>
    </w:tblGrid>
    <w:tr w:rsidR="008E3D22">
      <w:tc>
        <w:tcPr>
          <w:tcW w:w="3828" w:type="dxa"/>
        </w:tcPr>
        <w:p w:rsidR="008E3D22" w:rsidRDefault="008E3D22">
          <w:pPr>
            <w:rPr>
              <w:rFonts w:ascii="Palatino Linotype" w:eastAsia="Palatino Linotype" w:hAnsi="Palatino Linotype" w:cs="Palatino Linotype"/>
              <w:b/>
              <w:sz w:val="22"/>
              <w:szCs w:val="22"/>
            </w:rPr>
          </w:pP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05457/INFOEM/IP/RR/2020</w:t>
          </w:r>
        </w:p>
      </w:tc>
    </w:tr>
    <w:tr w:rsidR="008E3D22">
      <w:tc>
        <w:tcPr>
          <w:tcW w:w="3828" w:type="dxa"/>
        </w:tcPr>
        <w:p w:rsidR="008E3D22" w:rsidRDefault="006B02AE">
          <w:pPr>
            <w:ind w:firstLine="709"/>
            <w:rPr>
              <w:rFonts w:ascii="Palatino Linotype" w:eastAsia="Palatino Linotype" w:hAnsi="Palatino Linotype" w:cs="Palatino Linotype"/>
              <w:b/>
              <w:sz w:val="22"/>
              <w:szCs w:val="22"/>
            </w:rPr>
          </w:pPr>
          <w:r>
            <w:rPr>
              <w:noProof/>
            </w:rPr>
            <w:drawing>
              <wp:anchor distT="0" distB="0" distL="114300" distR="114300" simplePos="0" relativeHeight="251656704" behindDoc="0" locked="0" layoutInCell="1" hidden="0" allowOverlap="1">
                <wp:simplePos x="0" y="0"/>
                <wp:positionH relativeFrom="column">
                  <wp:posOffset>-43179</wp:posOffset>
                </wp:positionH>
                <wp:positionV relativeFrom="paragraph">
                  <wp:posOffset>-260349</wp:posOffset>
                </wp:positionV>
                <wp:extent cx="1663065" cy="83820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63065" cy="838200"/>
                        </a:xfrm>
                        <a:prstGeom prst="rect">
                          <a:avLst/>
                        </a:prstGeom>
                        <a:ln/>
                      </pic:spPr>
                    </pic:pic>
                  </a:graphicData>
                </a:graphic>
              </wp:anchor>
            </w:drawing>
          </w: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w:t>
          </w:r>
        </w:p>
      </w:tc>
    </w:tr>
    <w:tr w:rsidR="008E3D22">
      <w:trPr>
        <w:trHeight w:val="228"/>
      </w:trPr>
      <w:tc>
        <w:tcPr>
          <w:tcW w:w="3828" w:type="dxa"/>
        </w:tcPr>
        <w:p w:rsidR="008E3D22" w:rsidRDefault="008E3D22">
          <w:pPr>
            <w:rPr>
              <w:rFonts w:ascii="Palatino Linotype" w:eastAsia="Palatino Linotype" w:hAnsi="Palatino Linotype" w:cs="Palatino Linotype"/>
              <w:b/>
              <w:sz w:val="22"/>
              <w:szCs w:val="22"/>
            </w:rPr>
          </w:pP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8E3D22" w:rsidRDefault="008E3D2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22" w:rsidRDefault="008E3D22">
    <w:pPr>
      <w:rPr>
        <w:rFonts w:ascii="Palatino Linotype" w:eastAsia="Palatino Linotype" w:hAnsi="Palatino Linotype" w:cs="Palatino Linotype"/>
        <w:sz w:val="28"/>
        <w:szCs w:val="28"/>
      </w:rPr>
    </w:pPr>
  </w:p>
  <w:tbl>
    <w:tblPr>
      <w:tblStyle w:val="a"/>
      <w:tblW w:w="9356" w:type="dxa"/>
      <w:tblInd w:w="-142" w:type="dxa"/>
      <w:tblLayout w:type="fixed"/>
      <w:tblLook w:val="0400" w:firstRow="0" w:lastRow="0" w:firstColumn="0" w:lastColumn="0" w:noHBand="0" w:noVBand="1"/>
    </w:tblPr>
    <w:tblGrid>
      <w:gridCol w:w="3828"/>
      <w:gridCol w:w="2551"/>
      <w:gridCol w:w="2977"/>
    </w:tblGrid>
    <w:tr w:rsidR="008E3D22">
      <w:tc>
        <w:tcPr>
          <w:tcW w:w="3828" w:type="dxa"/>
          <w:vMerge w:val="restart"/>
        </w:tcPr>
        <w:p w:rsidR="008E3D22" w:rsidRDefault="006B02AE">
          <w:pPr>
            <w:rPr>
              <w:rFonts w:ascii="Palatino Linotype" w:eastAsia="Palatino Linotype" w:hAnsi="Palatino Linotype" w:cs="Palatino Linotype"/>
              <w:b/>
              <w:sz w:val="22"/>
              <w:szCs w:val="22"/>
            </w:rPr>
          </w:pPr>
          <w:r>
            <w:rPr>
              <w:noProof/>
            </w:rPr>
            <w:drawing>
              <wp:anchor distT="0" distB="0" distL="114300" distR="114300" simplePos="0" relativeHeight="251657728" behindDoc="0" locked="0" layoutInCell="1" hidden="0" allowOverlap="1">
                <wp:simplePos x="0" y="0"/>
                <wp:positionH relativeFrom="column">
                  <wp:posOffset>4447</wp:posOffset>
                </wp:positionH>
                <wp:positionV relativeFrom="paragraph">
                  <wp:posOffset>-634</wp:posOffset>
                </wp:positionV>
                <wp:extent cx="1663065" cy="83820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63065" cy="838200"/>
                        </a:xfrm>
                        <a:prstGeom prst="rect">
                          <a:avLst/>
                        </a:prstGeom>
                        <a:ln/>
                      </pic:spPr>
                    </pic:pic>
                  </a:graphicData>
                </a:graphic>
              </wp:anchor>
            </w:drawing>
          </w: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05457/INFOEM/IP/RR/2021</w:t>
          </w:r>
        </w:p>
      </w:tc>
    </w:tr>
    <w:tr w:rsidR="008E3D22">
      <w:tc>
        <w:tcPr>
          <w:tcW w:w="3828" w:type="dxa"/>
          <w:vMerge/>
        </w:tcPr>
        <w:p w:rsidR="008E3D22" w:rsidRDefault="008E3D2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vAlign w:val="center"/>
        </w:tcPr>
        <w:p w:rsidR="008E3D22" w:rsidRDefault="00C7002A" w:rsidP="00C7002A">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w:t>
          </w:r>
          <w:proofErr w:type="spellEnd"/>
          <w:r w:rsidR="006B02A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xxxxxxxxxxxxxxxxxxx</w:t>
          </w:r>
          <w:proofErr w:type="spellEnd"/>
          <w:r w:rsidR="006B02AE">
            <w:rPr>
              <w:rFonts w:ascii="Palatino Linotype" w:eastAsia="Palatino Linotype" w:hAnsi="Palatino Linotype" w:cs="Palatino Linotype"/>
              <w:b/>
              <w:sz w:val="22"/>
              <w:szCs w:val="22"/>
            </w:rPr>
            <w:t xml:space="preserve"> </w:t>
          </w:r>
        </w:p>
      </w:tc>
    </w:tr>
    <w:tr w:rsidR="008E3D22">
      <w:trPr>
        <w:trHeight w:val="228"/>
      </w:trPr>
      <w:tc>
        <w:tcPr>
          <w:tcW w:w="3828" w:type="dxa"/>
          <w:vMerge/>
        </w:tcPr>
        <w:p w:rsidR="008E3D22" w:rsidRDefault="008E3D2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8E3D22">
      <w:tc>
        <w:tcPr>
          <w:tcW w:w="3828" w:type="dxa"/>
          <w:vMerge/>
        </w:tcPr>
        <w:p w:rsidR="008E3D22" w:rsidRDefault="008E3D2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8E3D22" w:rsidRDefault="006B0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8E3D22" w:rsidRDefault="006B02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rsidR="008E3D22" w:rsidRDefault="00C7002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6115F"/>
    <w:multiLevelType w:val="multilevel"/>
    <w:tmpl w:val="4D3EB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FC535C9"/>
    <w:multiLevelType w:val="multilevel"/>
    <w:tmpl w:val="5CB4E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0DC7454"/>
    <w:multiLevelType w:val="multilevel"/>
    <w:tmpl w:val="108C5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E6C14B0"/>
    <w:multiLevelType w:val="multilevel"/>
    <w:tmpl w:val="CBBC8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22"/>
    <w:rsid w:val="005258C9"/>
    <w:rsid w:val="006B02AE"/>
    <w:rsid w:val="008E3D22"/>
    <w:rsid w:val="00C700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9A460A7-EA64-45FF-9EB9-1965915D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character" w:customStyle="1" w:styleId="apple-tab-span">
    <w:name w:val="apple-tab-span"/>
    <w:basedOn w:val="Fuentedeprrafopredeter"/>
    <w:rsid w:val="001548C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B7mupbdH4eaypYTFR9nnfN9XOw==">AMUW2mUqhcGElCCZOzKsIt/ZPp5nd00l3ieb2qXaMVLD4DUnS1KNEHJY5IXMbFl3UwJsm4tHicNsteKqKF/Yw++ejjyXkZiKcmafc8UenxJMQCO8JKv+V+wyrYZs6wZV00EVVKuJR41u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5099</Words>
  <Characters>28045</Characters>
  <Application>Microsoft Office Word</Application>
  <DocSecurity>0</DocSecurity>
  <Lines>233</Lines>
  <Paragraphs>66</Paragraphs>
  <ScaleCrop>false</ScaleCrop>
  <Company/>
  <LinksUpToDate>false</LinksUpToDate>
  <CharactersWithSpaces>33078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2021-12-15T16:09:00Z</dcterms:created>
  <dcterms:modified xsi:type="dcterms:W3CDTF">2022-02-18T21:15:00Z</dcterms:modified>
</cp:coreProperties>
</file>