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4B8866D1" w:rsidR="009417CA" w:rsidRPr="00C554CD" w:rsidRDefault="009417CA" w:rsidP="00BE1923">
      <w:pPr>
        <w:tabs>
          <w:tab w:val="left" w:pos="3465"/>
        </w:tabs>
        <w:spacing w:line="360" w:lineRule="auto"/>
        <w:jc w:val="both"/>
        <w:rPr>
          <w:rFonts w:ascii="Palatino Linotype" w:hAnsi="Palatino Linotype"/>
        </w:rPr>
      </w:pPr>
      <w:r w:rsidRPr="00C554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C0A34" w:rsidRPr="00C554CD">
        <w:rPr>
          <w:rFonts w:ascii="Palatino Linotype" w:hAnsi="Palatino Linotype"/>
        </w:rPr>
        <w:t>seis</w:t>
      </w:r>
      <w:r w:rsidRPr="00C554CD">
        <w:rPr>
          <w:rFonts w:ascii="Palatino Linotype" w:hAnsi="Palatino Linotype"/>
        </w:rPr>
        <w:t xml:space="preserve"> (</w:t>
      </w:r>
      <w:r w:rsidR="00EC0A34" w:rsidRPr="00C554CD">
        <w:rPr>
          <w:rFonts w:ascii="Palatino Linotype" w:hAnsi="Palatino Linotype"/>
        </w:rPr>
        <w:t>06</w:t>
      </w:r>
      <w:r w:rsidRPr="00C554CD">
        <w:rPr>
          <w:rFonts w:ascii="Palatino Linotype" w:hAnsi="Palatino Linotype"/>
        </w:rPr>
        <w:t xml:space="preserve">) de </w:t>
      </w:r>
      <w:r w:rsidR="00EC0A34" w:rsidRPr="00C554CD">
        <w:rPr>
          <w:rFonts w:ascii="Palatino Linotype" w:hAnsi="Palatino Linotype"/>
        </w:rPr>
        <w:t>jul</w:t>
      </w:r>
      <w:r w:rsidR="003F3BD8" w:rsidRPr="00C554CD">
        <w:rPr>
          <w:rFonts w:ascii="Palatino Linotype" w:hAnsi="Palatino Linotype"/>
        </w:rPr>
        <w:t>i</w:t>
      </w:r>
      <w:r w:rsidR="00A24E15" w:rsidRPr="00C554CD">
        <w:rPr>
          <w:rFonts w:ascii="Palatino Linotype" w:hAnsi="Palatino Linotype"/>
        </w:rPr>
        <w:t>o</w:t>
      </w:r>
      <w:r w:rsidR="00E676A6" w:rsidRPr="00C554CD">
        <w:rPr>
          <w:rFonts w:ascii="Palatino Linotype" w:hAnsi="Palatino Linotype"/>
        </w:rPr>
        <w:t xml:space="preserve"> de dos mil </w:t>
      </w:r>
      <w:r w:rsidR="00A24E15" w:rsidRPr="00C554CD">
        <w:rPr>
          <w:rFonts w:ascii="Palatino Linotype" w:hAnsi="Palatino Linotype"/>
        </w:rPr>
        <w:t>veintidós</w:t>
      </w:r>
      <w:r w:rsidRPr="00C554CD">
        <w:rPr>
          <w:rFonts w:ascii="Palatino Linotype" w:hAnsi="Palatino Linotype"/>
        </w:rPr>
        <w:t>.</w:t>
      </w:r>
    </w:p>
    <w:p w14:paraId="2ED1CC5D" w14:textId="77777777" w:rsidR="00BE1923" w:rsidRPr="00C554CD" w:rsidRDefault="00BE1923" w:rsidP="00BE1923">
      <w:pPr>
        <w:tabs>
          <w:tab w:val="left" w:pos="3465"/>
        </w:tabs>
        <w:spacing w:line="360" w:lineRule="auto"/>
        <w:jc w:val="both"/>
        <w:rPr>
          <w:rFonts w:ascii="Palatino Linotype" w:hAnsi="Palatino Linotype"/>
        </w:rPr>
      </w:pPr>
    </w:p>
    <w:p w14:paraId="508DDC74" w14:textId="52CC1CA1" w:rsidR="009417CA" w:rsidRPr="00C554CD" w:rsidRDefault="009417CA" w:rsidP="008A269D">
      <w:pPr>
        <w:spacing w:line="360" w:lineRule="auto"/>
        <w:jc w:val="both"/>
        <w:rPr>
          <w:rFonts w:ascii="Palatino Linotype" w:hAnsi="Palatino Linotype"/>
        </w:rPr>
      </w:pPr>
      <w:r w:rsidRPr="00C554CD">
        <w:rPr>
          <w:rFonts w:ascii="Palatino Linotype" w:hAnsi="Palatino Linotype"/>
          <w:b/>
        </w:rPr>
        <w:t>VISTO</w:t>
      </w:r>
      <w:r w:rsidRPr="00C554CD">
        <w:rPr>
          <w:rFonts w:ascii="Palatino Linotype" w:hAnsi="Palatino Linotype"/>
        </w:rPr>
        <w:t xml:space="preserve"> el expediente electrónico formado con motivo del recurso de revisión </w:t>
      </w:r>
      <w:r w:rsidR="00491AD4" w:rsidRPr="00C554CD">
        <w:rPr>
          <w:rFonts w:ascii="Palatino Linotype" w:hAnsi="Palatino Linotype"/>
          <w:b/>
        </w:rPr>
        <w:t>04003/INFOEM/IP/RR/2022</w:t>
      </w:r>
      <w:r w:rsidRPr="00C554CD">
        <w:rPr>
          <w:rFonts w:ascii="Palatino Linotype" w:hAnsi="Palatino Linotype"/>
          <w:b/>
        </w:rPr>
        <w:t>,</w:t>
      </w:r>
      <w:r w:rsidRPr="00C554CD">
        <w:rPr>
          <w:rFonts w:ascii="Palatino Linotype" w:hAnsi="Palatino Linotype" w:cs="Arial"/>
          <w:b/>
          <w:bCs/>
        </w:rPr>
        <w:t xml:space="preserve"> </w:t>
      </w:r>
      <w:r w:rsidRPr="00C554CD">
        <w:rPr>
          <w:rFonts w:ascii="Palatino Linotype" w:hAnsi="Palatino Linotype"/>
        </w:rPr>
        <w:t>promovido por</w:t>
      </w:r>
      <w:r w:rsidR="00A5272E" w:rsidRPr="00C554CD">
        <w:rPr>
          <w:rFonts w:ascii="Palatino Linotype" w:hAnsi="Palatino Linotype"/>
        </w:rPr>
        <w:t xml:space="preserve"> </w:t>
      </w:r>
      <w:r w:rsidR="00C554CD" w:rsidRPr="00C554CD">
        <w:rPr>
          <w:rFonts w:ascii="Palatino Linotype" w:hAnsi="Palatino Linotype"/>
          <w:b/>
        </w:rPr>
        <w:t>XXXXX XXXX XXXX</w:t>
      </w:r>
      <w:r w:rsidR="008B13E3" w:rsidRPr="00C554CD">
        <w:rPr>
          <w:rFonts w:ascii="Palatino Linotype" w:hAnsi="Palatino Linotype"/>
        </w:rPr>
        <w:t xml:space="preserve"> a través de</w:t>
      </w:r>
      <w:r w:rsidR="00491AD4" w:rsidRPr="00C554CD">
        <w:rPr>
          <w:rFonts w:ascii="Palatino Linotype" w:hAnsi="Palatino Linotype"/>
        </w:rPr>
        <w:t>l</w:t>
      </w:r>
      <w:r w:rsidR="00CF73A0" w:rsidRPr="00C554CD">
        <w:rPr>
          <w:rFonts w:ascii="Palatino Linotype" w:hAnsi="Palatino Linotype"/>
        </w:rPr>
        <w:t xml:space="preserve"> </w:t>
      </w:r>
      <w:r w:rsidR="00491AD4" w:rsidRPr="00C554CD">
        <w:rPr>
          <w:rFonts w:ascii="Palatino Linotype" w:hAnsi="Palatino Linotype"/>
        </w:rPr>
        <w:t>Sistema de Acceso a la Información Mexiquense</w:t>
      </w:r>
      <w:r w:rsidR="00CF73A0" w:rsidRPr="00C554CD">
        <w:rPr>
          <w:rFonts w:ascii="Palatino Linotype" w:hAnsi="Palatino Linotype"/>
        </w:rPr>
        <w:t xml:space="preserve"> </w:t>
      </w:r>
      <w:r w:rsidR="00CF73A0" w:rsidRPr="00C554CD">
        <w:rPr>
          <w:rFonts w:ascii="Palatino Linotype" w:hAnsi="Palatino Linotype"/>
          <w:b/>
        </w:rPr>
        <w:t>(</w:t>
      </w:r>
      <w:r w:rsidR="00491AD4" w:rsidRPr="00C554CD">
        <w:rPr>
          <w:rFonts w:ascii="Palatino Linotype" w:hAnsi="Palatino Linotype"/>
          <w:b/>
        </w:rPr>
        <w:t>SAIMEX</w:t>
      </w:r>
      <w:r w:rsidR="00CF73A0" w:rsidRPr="00C554CD">
        <w:rPr>
          <w:rFonts w:ascii="Palatino Linotype" w:hAnsi="Palatino Linotype"/>
          <w:b/>
        </w:rPr>
        <w:t>)</w:t>
      </w:r>
      <w:r w:rsidR="00CF73A0" w:rsidRPr="00C554CD">
        <w:rPr>
          <w:rFonts w:ascii="Palatino Linotype" w:hAnsi="Palatino Linotype"/>
        </w:rPr>
        <w:t xml:space="preserve">, </w:t>
      </w:r>
      <w:r w:rsidR="00150024" w:rsidRPr="00C554CD">
        <w:rPr>
          <w:rFonts w:ascii="Palatino Linotype" w:hAnsi="Palatino Linotype"/>
        </w:rPr>
        <w:t xml:space="preserve">a quien </w:t>
      </w:r>
      <w:r w:rsidR="00A5272E" w:rsidRPr="00C554CD">
        <w:rPr>
          <w:rFonts w:ascii="Palatino Linotype" w:hAnsi="Palatino Linotype"/>
        </w:rPr>
        <w:t>en lo sucesivo</w:t>
      </w:r>
      <w:r w:rsidRPr="00C554CD">
        <w:rPr>
          <w:rFonts w:ascii="Palatino Linotype" w:hAnsi="Palatino Linotype"/>
        </w:rPr>
        <w:t xml:space="preserve"> se le identificará como </w:t>
      </w:r>
      <w:r w:rsidR="00491AD4" w:rsidRPr="00C554CD">
        <w:rPr>
          <w:rFonts w:ascii="Palatino Linotype" w:hAnsi="Palatino Linotype"/>
          <w:b/>
        </w:rPr>
        <w:t>LA RECURRENTE</w:t>
      </w:r>
      <w:r w:rsidRPr="00C554CD">
        <w:rPr>
          <w:rFonts w:ascii="Palatino Linotype" w:hAnsi="Palatino Linotype" w:cs="Arial"/>
        </w:rPr>
        <w:t>, en contra de la respuesta de</w:t>
      </w:r>
      <w:r w:rsidR="00C9726D" w:rsidRPr="00C554CD">
        <w:rPr>
          <w:rFonts w:ascii="Palatino Linotype" w:hAnsi="Palatino Linotype" w:cs="Arial"/>
        </w:rPr>
        <w:t>l</w:t>
      </w:r>
      <w:r w:rsidRPr="00C554CD">
        <w:rPr>
          <w:rFonts w:ascii="Palatino Linotype" w:hAnsi="Palatino Linotype" w:cs="Arial"/>
        </w:rPr>
        <w:t xml:space="preserve"> </w:t>
      </w:r>
      <w:r w:rsidR="00491AD4" w:rsidRPr="00C554CD">
        <w:rPr>
          <w:rFonts w:ascii="Palatino Linotype" w:hAnsi="Palatino Linotype" w:cs="Arial"/>
          <w:b/>
        </w:rPr>
        <w:t>Poder Judicial</w:t>
      </w:r>
      <w:r w:rsidRPr="00C554CD">
        <w:rPr>
          <w:rFonts w:ascii="Palatino Linotype" w:hAnsi="Palatino Linotype" w:cs="Arial"/>
          <w:b/>
        </w:rPr>
        <w:t>,</w:t>
      </w:r>
      <w:r w:rsidRPr="00C554CD">
        <w:rPr>
          <w:rFonts w:ascii="Palatino Linotype" w:hAnsi="Palatino Linotype"/>
          <w:b/>
        </w:rPr>
        <w:t xml:space="preserve"> </w:t>
      </w:r>
      <w:r w:rsidRPr="00C554CD">
        <w:rPr>
          <w:rFonts w:ascii="Palatino Linotype" w:hAnsi="Palatino Linotype"/>
        </w:rPr>
        <w:t xml:space="preserve">en lo sucesivo </w:t>
      </w:r>
      <w:r w:rsidRPr="00C554CD">
        <w:rPr>
          <w:rFonts w:ascii="Palatino Linotype" w:hAnsi="Palatino Linotype"/>
          <w:b/>
        </w:rPr>
        <w:t>EL SUJETO OBLIGADO</w:t>
      </w:r>
      <w:r w:rsidRPr="00C554CD">
        <w:rPr>
          <w:rFonts w:ascii="Palatino Linotype" w:hAnsi="Palatino Linotype"/>
        </w:rPr>
        <w:t>, se procede a dictar la presente resolución, con base en los siguientes:</w:t>
      </w:r>
    </w:p>
    <w:p w14:paraId="410DB856" w14:textId="77777777" w:rsidR="008A269D" w:rsidRPr="00C554CD" w:rsidRDefault="008A269D" w:rsidP="008A269D">
      <w:pPr>
        <w:spacing w:line="360" w:lineRule="auto"/>
        <w:jc w:val="both"/>
        <w:rPr>
          <w:rFonts w:ascii="Palatino Linotype" w:hAnsi="Palatino Linotype"/>
        </w:rPr>
      </w:pPr>
    </w:p>
    <w:p w14:paraId="6D4F2D4C" w14:textId="7847DB03" w:rsidR="009417CA" w:rsidRPr="00C554CD"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C554CD">
        <w:rPr>
          <w:rFonts w:ascii="Palatino Linotype" w:hAnsi="Palatino Linotype"/>
          <w:b/>
          <w:color w:val="000000" w:themeColor="text1"/>
          <w:sz w:val="24"/>
          <w:szCs w:val="24"/>
          <w:lang w:val="es-ES"/>
        </w:rPr>
        <w:t>A N T E C E D E N T E S</w:t>
      </w:r>
      <w:bookmarkEnd w:id="0"/>
    </w:p>
    <w:p w14:paraId="07B8C422" w14:textId="77777777" w:rsidR="008A269D" w:rsidRPr="00C554CD" w:rsidRDefault="008A269D" w:rsidP="008A269D">
      <w:pPr>
        <w:rPr>
          <w:lang w:val="es-ES" w:eastAsia="es-ES"/>
        </w:rPr>
      </w:pPr>
    </w:p>
    <w:p w14:paraId="6C73856D" w14:textId="1BC95FD8" w:rsidR="009417CA" w:rsidRPr="00C554CD"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C554CD">
        <w:rPr>
          <w:rFonts w:ascii="Palatino Linotype" w:eastAsia="Calibri" w:hAnsi="Palatino Linotype" w:cs="Arial"/>
        </w:rPr>
        <w:t xml:space="preserve">El día </w:t>
      </w:r>
      <w:r w:rsidR="00491AD4" w:rsidRPr="00C554CD">
        <w:rPr>
          <w:rFonts w:ascii="Palatino Linotype" w:eastAsia="Calibri" w:hAnsi="Palatino Linotype" w:cs="Arial"/>
        </w:rPr>
        <w:t>dieciséis</w:t>
      </w:r>
      <w:r w:rsidR="00333814" w:rsidRPr="00C554CD">
        <w:rPr>
          <w:rFonts w:ascii="Palatino Linotype" w:eastAsia="Calibri" w:hAnsi="Palatino Linotype" w:cs="Arial"/>
        </w:rPr>
        <w:t xml:space="preserve"> </w:t>
      </w:r>
      <w:r w:rsidRPr="00C554CD">
        <w:rPr>
          <w:rFonts w:ascii="Palatino Linotype" w:eastAsia="Calibri" w:hAnsi="Palatino Linotype" w:cs="Arial"/>
        </w:rPr>
        <w:t>(</w:t>
      </w:r>
      <w:r w:rsidR="00491AD4" w:rsidRPr="00C554CD">
        <w:rPr>
          <w:rFonts w:ascii="Palatino Linotype" w:eastAsia="Calibri" w:hAnsi="Palatino Linotype" w:cs="Arial"/>
        </w:rPr>
        <w:t>16</w:t>
      </w:r>
      <w:r w:rsidRPr="00C554CD">
        <w:rPr>
          <w:rFonts w:ascii="Palatino Linotype" w:eastAsia="Calibri" w:hAnsi="Palatino Linotype" w:cs="Arial"/>
        </w:rPr>
        <w:t xml:space="preserve">) de </w:t>
      </w:r>
      <w:r w:rsidR="00491AD4" w:rsidRPr="00C554CD">
        <w:rPr>
          <w:rFonts w:ascii="Palatino Linotype" w:eastAsia="Calibri" w:hAnsi="Palatino Linotype" w:cs="Arial"/>
        </w:rPr>
        <w:t>febre</w:t>
      </w:r>
      <w:r w:rsidR="00D36479" w:rsidRPr="00C554CD">
        <w:rPr>
          <w:rFonts w:ascii="Palatino Linotype" w:eastAsia="Calibri" w:hAnsi="Palatino Linotype" w:cs="Arial"/>
        </w:rPr>
        <w:t>ro</w:t>
      </w:r>
      <w:r w:rsidRPr="00C554CD">
        <w:rPr>
          <w:rFonts w:ascii="Palatino Linotype" w:eastAsia="Calibri" w:hAnsi="Palatino Linotype" w:cs="Arial"/>
        </w:rPr>
        <w:t xml:space="preserve"> de dos</w:t>
      </w:r>
      <w:r w:rsidR="00D36479" w:rsidRPr="00C554CD">
        <w:rPr>
          <w:rFonts w:ascii="Palatino Linotype" w:eastAsia="Calibri" w:hAnsi="Palatino Linotype" w:cs="Arial"/>
        </w:rPr>
        <w:t xml:space="preserve"> mil veintidós</w:t>
      </w:r>
      <w:r w:rsidRPr="00C554CD">
        <w:rPr>
          <w:rFonts w:ascii="Palatino Linotype" w:hAnsi="Palatino Linotype"/>
          <w:b/>
        </w:rPr>
        <w:t xml:space="preserve">, </w:t>
      </w:r>
      <w:r w:rsidRPr="00C554CD">
        <w:rPr>
          <w:rFonts w:ascii="Palatino Linotype" w:eastAsia="Calibri" w:hAnsi="Palatino Linotype" w:cs="Arial"/>
        </w:rPr>
        <w:t xml:space="preserve">se presentó ante el </w:t>
      </w:r>
      <w:r w:rsidRPr="00C554CD">
        <w:rPr>
          <w:rFonts w:ascii="Palatino Linotype" w:eastAsia="Calibri" w:hAnsi="Palatino Linotype" w:cs="Arial"/>
          <w:b/>
        </w:rPr>
        <w:t>SUJETO OBLIGADO</w:t>
      </w:r>
      <w:r w:rsidRPr="00C554CD">
        <w:rPr>
          <w:rFonts w:ascii="Palatino Linotype" w:eastAsia="Calibri" w:hAnsi="Palatino Linotype" w:cs="Arial"/>
        </w:rPr>
        <w:t xml:space="preserve"> vía</w:t>
      </w:r>
      <w:r w:rsidRPr="00C554CD">
        <w:rPr>
          <w:rFonts w:ascii="Palatino Linotype" w:eastAsia="Calibri" w:hAnsi="Palatino Linotype" w:cs="Arial"/>
          <w:b/>
        </w:rPr>
        <w:t xml:space="preserve"> </w:t>
      </w:r>
      <w:r w:rsidR="00491AD4" w:rsidRPr="00C554CD">
        <w:rPr>
          <w:rFonts w:ascii="Palatino Linotype" w:eastAsia="Calibri" w:hAnsi="Palatino Linotype" w:cs="Arial"/>
          <w:b/>
        </w:rPr>
        <w:t>SAIMEX</w:t>
      </w:r>
      <w:r w:rsidRPr="00C554CD">
        <w:rPr>
          <w:rFonts w:ascii="Palatino Linotype" w:eastAsia="Calibri" w:hAnsi="Palatino Linotype" w:cs="Arial"/>
        </w:rPr>
        <w:t>, la solicitud de información pública registrada con el número</w:t>
      </w:r>
      <w:r w:rsidRPr="00C554CD">
        <w:rPr>
          <w:rFonts w:ascii="Palatino Linotype" w:hAnsi="Palatino Linotype"/>
          <w:b/>
          <w:bCs/>
          <w:color w:val="000000" w:themeColor="text1"/>
        </w:rPr>
        <w:t xml:space="preserve"> </w:t>
      </w:r>
      <w:r w:rsidR="00491AD4" w:rsidRPr="00C554CD">
        <w:rPr>
          <w:rFonts w:ascii="Palatino Linotype" w:hAnsi="Palatino Linotype"/>
          <w:b/>
          <w:bCs/>
          <w:color w:val="000000" w:themeColor="text1"/>
        </w:rPr>
        <w:t>00106/PJUDICI/IP/2022</w:t>
      </w:r>
      <w:r w:rsidRPr="00C554CD">
        <w:rPr>
          <w:rFonts w:ascii="Palatino Linotype" w:hAnsi="Palatino Linotype"/>
          <w:b/>
          <w:bCs/>
          <w:color w:val="000000" w:themeColor="text1"/>
        </w:rPr>
        <w:t>,</w:t>
      </w:r>
      <w:r w:rsidRPr="00C554CD">
        <w:rPr>
          <w:rFonts w:ascii="Palatino Linotype" w:eastAsia="Calibri" w:hAnsi="Palatino Linotype" w:cs="Arial"/>
        </w:rPr>
        <w:t xml:space="preserve"> mediante la cual se solicitó la siguiente información:</w:t>
      </w:r>
    </w:p>
    <w:p w14:paraId="54912EC1" w14:textId="77777777" w:rsidR="00150024" w:rsidRPr="00C554CD" w:rsidRDefault="00150024" w:rsidP="00150024">
      <w:pPr>
        <w:pStyle w:val="Prrafodelista"/>
        <w:spacing w:line="360" w:lineRule="auto"/>
        <w:ind w:left="0"/>
        <w:jc w:val="both"/>
        <w:rPr>
          <w:rFonts w:ascii="Palatino Linotype" w:eastAsia="Calibri" w:hAnsi="Palatino Linotype" w:cs="Arial"/>
        </w:rPr>
      </w:pPr>
    </w:p>
    <w:p w14:paraId="7A083BA2" w14:textId="395BBAF0" w:rsidR="009417CA" w:rsidRPr="00C554CD" w:rsidRDefault="009417CA" w:rsidP="00BE1923">
      <w:pPr>
        <w:pStyle w:val="Prrafodelista"/>
        <w:spacing w:line="360" w:lineRule="auto"/>
        <w:ind w:left="426" w:right="474"/>
        <w:jc w:val="both"/>
        <w:rPr>
          <w:rFonts w:ascii="Palatino Linotype" w:eastAsia="Calibri" w:hAnsi="Palatino Linotype" w:cs="Arial"/>
          <w:i/>
        </w:rPr>
      </w:pPr>
      <w:r w:rsidRPr="00C554CD">
        <w:rPr>
          <w:rFonts w:ascii="Palatino Linotype" w:eastAsia="Calibri" w:hAnsi="Palatino Linotype" w:cs="Arial"/>
          <w:i/>
        </w:rPr>
        <w:t>“</w:t>
      </w:r>
      <w:r w:rsidR="00491AD4" w:rsidRPr="00C554CD">
        <w:rPr>
          <w:rFonts w:ascii="Palatino Linotype" w:eastAsia="Calibri" w:hAnsi="Palatino Linotype" w:cs="Arial"/>
          <w:i/>
        </w:rPr>
        <w:t xml:space="preserve">Solicito la siguiente información: 1) Indicar detalladamente el proceso de selección que se utiliza para designar al personal de nuevo ingreso en los puestos o categorías de TECNICO JUDICIAL y ARCHIVISTA JUDICIAL en los Juzgados Civiles de Primera Instancia que forman parte del Poder Judicial; 2) Informar el numero de plazas disponibles actualmente para ocupar el puesto de TECNICO JUDICIAL en el Juzgado Tercero Civil, en el Juzgado Quinto Civil y en el Juzgado Séptimo Civil </w:t>
      </w:r>
      <w:r w:rsidR="00491AD4" w:rsidRPr="00C554CD">
        <w:rPr>
          <w:rFonts w:ascii="Palatino Linotype" w:eastAsia="Calibri" w:hAnsi="Palatino Linotype" w:cs="Arial"/>
          <w:i/>
        </w:rPr>
        <w:lastRenderedPageBreak/>
        <w:t>todos del distrito judicial de Chalco con residencia en Amecameca; y 3) Informar el numero de plazas disponibles actualmente para ocupar el puesto de ARCHIVISTA JUIDICIAL en el Juzgado Tercero Civil, en el Juzgado Quinto Civil y en el Juzgado Séptimo Civil todos del distrito judicial de Chalco con residencia en Amecameca.</w:t>
      </w:r>
      <w:r w:rsidRPr="00C554CD">
        <w:rPr>
          <w:rFonts w:ascii="Palatino Linotype" w:eastAsia="Calibri" w:hAnsi="Palatino Linotype" w:cs="Arial"/>
          <w:i/>
        </w:rPr>
        <w:t>”</w:t>
      </w:r>
    </w:p>
    <w:p w14:paraId="55C9F4A2" w14:textId="77777777" w:rsidR="0040597C" w:rsidRPr="00C554CD" w:rsidRDefault="0040597C" w:rsidP="00BE1923">
      <w:pPr>
        <w:pStyle w:val="Prrafodelista"/>
        <w:spacing w:line="360" w:lineRule="auto"/>
        <w:ind w:left="426" w:right="474"/>
        <w:jc w:val="both"/>
        <w:rPr>
          <w:rFonts w:ascii="Palatino Linotype" w:eastAsia="Calibri" w:hAnsi="Palatino Linotype" w:cs="Arial"/>
          <w:i/>
        </w:rPr>
      </w:pPr>
    </w:p>
    <w:p w14:paraId="21F94BB8" w14:textId="5835D9B8" w:rsidR="00074F84" w:rsidRPr="00C554CD"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C554CD">
        <w:rPr>
          <w:rFonts w:ascii="Palatino Linotype" w:eastAsia="Calibri" w:hAnsi="Palatino Linotype" w:cs="Arial"/>
          <w:b/>
        </w:rPr>
        <w:t>Modalidad de entrega</w:t>
      </w:r>
      <w:r w:rsidRPr="00C554CD">
        <w:rPr>
          <w:rFonts w:ascii="Palatino Linotype" w:eastAsia="Calibri" w:hAnsi="Palatino Linotype" w:cs="Arial"/>
        </w:rPr>
        <w:t>:</w:t>
      </w:r>
      <w:r w:rsidR="00434EF7" w:rsidRPr="00C554CD">
        <w:rPr>
          <w:rFonts w:ascii="Palatino Linotype" w:eastAsia="Calibri" w:hAnsi="Palatino Linotype" w:cs="Arial"/>
        </w:rPr>
        <w:t xml:space="preserve"> </w:t>
      </w:r>
      <w:r w:rsidR="00434EF7" w:rsidRPr="00C554CD">
        <w:rPr>
          <w:rFonts w:ascii="Palatino Linotype" w:eastAsia="Calibri" w:hAnsi="Palatino Linotype" w:cs="Arial"/>
          <w:b/>
        </w:rPr>
        <w:t>SAIMEX</w:t>
      </w:r>
      <w:r w:rsidR="00150024" w:rsidRPr="00C554CD">
        <w:rPr>
          <w:rFonts w:ascii="Palatino Linotype" w:eastAsia="Calibri" w:hAnsi="Palatino Linotype" w:cs="Arial"/>
        </w:rPr>
        <w:t>.</w:t>
      </w:r>
    </w:p>
    <w:p w14:paraId="65184EC2" w14:textId="77777777" w:rsidR="003F2795" w:rsidRPr="00C554CD"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41622195" w:rsidR="00C96E1C" w:rsidRPr="00C554CD" w:rsidRDefault="0040597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C554CD">
        <w:rPr>
          <w:rFonts w:ascii="Palatino Linotype" w:hAnsi="Palatino Linotype" w:cs="Arial"/>
          <w:color w:val="000000" w:themeColor="text1"/>
        </w:rPr>
        <w:t xml:space="preserve">El día </w:t>
      </w:r>
      <w:r w:rsidR="00EE0F47" w:rsidRPr="00C554CD">
        <w:rPr>
          <w:rFonts w:ascii="Palatino Linotype" w:hAnsi="Palatino Linotype" w:cs="Arial"/>
          <w:color w:val="000000" w:themeColor="text1"/>
        </w:rPr>
        <w:t>uno</w:t>
      </w:r>
      <w:r w:rsidR="00C96E1C" w:rsidRPr="00C554CD">
        <w:rPr>
          <w:rFonts w:ascii="Palatino Linotype" w:hAnsi="Palatino Linotype" w:cs="Arial"/>
          <w:color w:val="000000" w:themeColor="text1"/>
        </w:rPr>
        <w:t xml:space="preserve"> (</w:t>
      </w:r>
      <w:r w:rsidR="006211B5" w:rsidRPr="00C554CD">
        <w:rPr>
          <w:rFonts w:ascii="Palatino Linotype" w:hAnsi="Palatino Linotype" w:cs="Arial"/>
          <w:color w:val="000000" w:themeColor="text1"/>
        </w:rPr>
        <w:t>0</w:t>
      </w:r>
      <w:r w:rsidR="00EE0F47" w:rsidRPr="00C554CD">
        <w:rPr>
          <w:rFonts w:ascii="Palatino Linotype" w:hAnsi="Palatino Linotype" w:cs="Arial"/>
          <w:color w:val="000000" w:themeColor="text1"/>
        </w:rPr>
        <w:t>1</w:t>
      </w:r>
      <w:r w:rsidR="00C96E1C" w:rsidRPr="00C554CD">
        <w:rPr>
          <w:rFonts w:ascii="Palatino Linotype" w:hAnsi="Palatino Linotype" w:cs="Arial"/>
          <w:color w:val="000000" w:themeColor="text1"/>
        </w:rPr>
        <w:t xml:space="preserve">) de </w:t>
      </w:r>
      <w:r w:rsidR="00EE0F47" w:rsidRPr="00C554CD">
        <w:rPr>
          <w:rFonts w:ascii="Palatino Linotype" w:hAnsi="Palatino Linotype" w:cs="Arial"/>
          <w:color w:val="000000" w:themeColor="text1"/>
        </w:rPr>
        <w:t>marz</w:t>
      </w:r>
      <w:r w:rsidR="00D855C6" w:rsidRPr="00C554CD">
        <w:rPr>
          <w:rFonts w:ascii="Palatino Linotype" w:hAnsi="Palatino Linotype" w:cs="Arial"/>
          <w:color w:val="000000" w:themeColor="text1"/>
        </w:rPr>
        <w:t>o</w:t>
      </w:r>
      <w:r w:rsidR="00C96E1C" w:rsidRPr="00C554CD">
        <w:rPr>
          <w:rFonts w:ascii="Palatino Linotype" w:hAnsi="Palatino Linotype" w:cs="Arial"/>
          <w:color w:val="000000" w:themeColor="text1"/>
        </w:rPr>
        <w:t xml:space="preserve"> de dos mil </w:t>
      </w:r>
      <w:r w:rsidR="00D855C6" w:rsidRPr="00C554CD">
        <w:rPr>
          <w:rFonts w:ascii="Palatino Linotype" w:hAnsi="Palatino Linotype" w:cs="Arial"/>
          <w:color w:val="000000" w:themeColor="text1"/>
        </w:rPr>
        <w:t>veintidós</w:t>
      </w:r>
      <w:r w:rsidR="00C96E1C" w:rsidRPr="00C554CD">
        <w:rPr>
          <w:rFonts w:ascii="Palatino Linotype" w:hAnsi="Palatino Linotype" w:cs="Arial"/>
          <w:color w:val="000000" w:themeColor="text1"/>
        </w:rPr>
        <w:t xml:space="preserve">, el </w:t>
      </w:r>
      <w:r w:rsidR="00C96E1C" w:rsidRPr="00C554CD">
        <w:rPr>
          <w:rFonts w:ascii="Palatino Linotype" w:hAnsi="Palatino Linotype" w:cs="Arial"/>
          <w:b/>
          <w:color w:val="000000" w:themeColor="text1"/>
        </w:rPr>
        <w:t>SUJETO OBLIGADO</w:t>
      </w:r>
      <w:r w:rsidR="00C96E1C" w:rsidRPr="00C554CD">
        <w:rPr>
          <w:rFonts w:ascii="Palatino Linotype" w:hAnsi="Palatino Linotype" w:cs="Arial"/>
          <w:color w:val="000000" w:themeColor="text1"/>
        </w:rPr>
        <w:t xml:space="preserve"> </w:t>
      </w:r>
      <w:r w:rsidR="00C9726D" w:rsidRPr="00C554CD">
        <w:rPr>
          <w:rFonts w:ascii="Palatino Linotype" w:hAnsi="Palatino Linotype" w:cs="Arial"/>
          <w:color w:val="000000" w:themeColor="text1"/>
        </w:rPr>
        <w:t xml:space="preserve">emitió su respuesta </w:t>
      </w:r>
      <w:r w:rsidR="00333814" w:rsidRPr="00C554CD">
        <w:rPr>
          <w:rFonts w:ascii="Palatino Linotype" w:hAnsi="Palatino Linotype" w:cs="Arial"/>
          <w:color w:val="000000" w:themeColor="text1"/>
        </w:rPr>
        <w:t xml:space="preserve">a través </w:t>
      </w:r>
      <w:r w:rsidR="00D855C6" w:rsidRPr="00C554CD">
        <w:rPr>
          <w:rFonts w:ascii="Palatino Linotype" w:hAnsi="Palatino Linotype" w:cs="Arial"/>
          <w:color w:val="000000" w:themeColor="text1"/>
        </w:rPr>
        <w:t>de</w:t>
      </w:r>
      <w:r w:rsidR="00EE0F47" w:rsidRPr="00C554CD">
        <w:rPr>
          <w:rFonts w:ascii="Palatino Linotype" w:hAnsi="Palatino Linotype" w:cs="Arial"/>
          <w:color w:val="000000" w:themeColor="text1"/>
        </w:rPr>
        <w:t>l</w:t>
      </w:r>
      <w:r w:rsidR="00D855C6" w:rsidRPr="00C554CD">
        <w:rPr>
          <w:rFonts w:ascii="Palatino Linotype" w:hAnsi="Palatino Linotype" w:cs="Arial"/>
          <w:color w:val="000000" w:themeColor="text1"/>
        </w:rPr>
        <w:t xml:space="preserve"> archivo electrónico denominado </w:t>
      </w:r>
      <w:r w:rsidR="00EE0F47" w:rsidRPr="00C554CD">
        <w:rPr>
          <w:rFonts w:ascii="Palatino Linotype" w:hAnsi="Palatino Linotype" w:cs="Arial"/>
          <w:b/>
          <w:i/>
          <w:color w:val="000000" w:themeColor="text1"/>
        </w:rPr>
        <w:t>RESPUESTA 00106-2022.pdf</w:t>
      </w:r>
      <w:r w:rsidR="00EE0F47" w:rsidRPr="00C554CD">
        <w:rPr>
          <w:rFonts w:ascii="Palatino Linotype" w:hAnsi="Palatino Linotype" w:cs="Arial"/>
          <w:color w:val="000000" w:themeColor="text1"/>
        </w:rPr>
        <w:t>, cuyo contenido</w:t>
      </w:r>
      <w:r w:rsidR="00D36479" w:rsidRPr="00C554CD">
        <w:rPr>
          <w:rFonts w:ascii="Palatino Linotype" w:hAnsi="Palatino Linotype" w:cs="Arial"/>
          <w:color w:val="000000" w:themeColor="text1"/>
        </w:rPr>
        <w:t xml:space="preserve"> </w:t>
      </w:r>
      <w:r w:rsidR="00EE0F47" w:rsidRPr="00C554CD">
        <w:rPr>
          <w:rFonts w:ascii="Palatino Linotype" w:hAnsi="Palatino Linotype" w:cs="Arial"/>
          <w:i/>
          <w:color w:val="000000" w:themeColor="text1"/>
        </w:rPr>
        <w:t>grosso modo</w:t>
      </w:r>
      <w:r w:rsidR="00EE0F47" w:rsidRPr="00C554CD">
        <w:rPr>
          <w:rFonts w:ascii="Palatino Linotype" w:hAnsi="Palatino Linotype" w:cs="Arial"/>
          <w:color w:val="000000" w:themeColor="text1"/>
        </w:rPr>
        <w:t xml:space="preserve"> </w:t>
      </w:r>
      <w:r w:rsidR="00D855C6" w:rsidRPr="00C554CD">
        <w:rPr>
          <w:rFonts w:ascii="Palatino Linotype" w:hAnsi="Palatino Linotype" w:cs="Arial"/>
          <w:color w:val="000000" w:themeColor="text1"/>
        </w:rPr>
        <w:t>es el siguiente</w:t>
      </w:r>
      <w:r w:rsidR="00C96E1C" w:rsidRPr="00C554CD">
        <w:rPr>
          <w:rFonts w:ascii="Palatino Linotype" w:hAnsi="Palatino Linotype" w:cs="Arial"/>
          <w:color w:val="000000" w:themeColor="text1"/>
        </w:rPr>
        <w:t>:</w:t>
      </w:r>
    </w:p>
    <w:p w14:paraId="68C03ED7" w14:textId="77777777" w:rsidR="00EE0F47" w:rsidRPr="00C554CD" w:rsidRDefault="00EE0F47" w:rsidP="00EE0F47">
      <w:pPr>
        <w:pStyle w:val="Prrafodelista"/>
        <w:spacing w:line="360" w:lineRule="auto"/>
        <w:ind w:left="0"/>
        <w:jc w:val="both"/>
        <w:rPr>
          <w:rFonts w:ascii="Palatino Linotype" w:hAnsi="Palatino Linotype" w:cs="Arial"/>
          <w:color w:val="000000" w:themeColor="text1"/>
        </w:rPr>
      </w:pPr>
    </w:p>
    <w:p w14:paraId="12E6CEA9" w14:textId="14DE575E" w:rsidR="0057770D" w:rsidRPr="00C554CD" w:rsidRDefault="00EE0F47" w:rsidP="00EE0F47">
      <w:pPr>
        <w:pStyle w:val="Prrafodelista"/>
        <w:spacing w:line="360" w:lineRule="auto"/>
        <w:ind w:left="0"/>
        <w:jc w:val="center"/>
        <w:rPr>
          <w:rFonts w:ascii="Palatino Linotype" w:hAnsi="Palatino Linotype" w:cs="Arial"/>
          <w:color w:val="000000" w:themeColor="text1"/>
        </w:rPr>
      </w:pPr>
      <w:r w:rsidRPr="00C554CD">
        <w:rPr>
          <w:rFonts w:ascii="Palatino Linotype" w:hAnsi="Palatino Linotype" w:cs="Arial"/>
          <w:noProof/>
          <w:color w:val="000000" w:themeColor="text1"/>
          <w:lang w:val="es-MX" w:eastAsia="es-MX"/>
        </w:rPr>
        <w:drawing>
          <wp:inline distT="0" distB="0" distL="0" distR="0" wp14:anchorId="4B8D15D9" wp14:editId="1DC0F273">
            <wp:extent cx="5329325" cy="1641509"/>
            <wp:effectExtent l="19050" t="19050" r="2413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9048" cy="1644504"/>
                    </a:xfrm>
                    <a:prstGeom prst="rect">
                      <a:avLst/>
                    </a:prstGeom>
                    <a:noFill/>
                    <a:ln>
                      <a:solidFill>
                        <a:schemeClr val="tx1"/>
                      </a:solidFill>
                    </a:ln>
                  </pic:spPr>
                </pic:pic>
              </a:graphicData>
            </a:graphic>
          </wp:inline>
        </w:drawing>
      </w:r>
    </w:p>
    <w:p w14:paraId="6150537F" w14:textId="4080FCBA" w:rsidR="006211B5" w:rsidRPr="00C554CD" w:rsidRDefault="007C3FD0" w:rsidP="00EE0F47">
      <w:pPr>
        <w:pStyle w:val="Prrafodelista"/>
        <w:spacing w:line="360" w:lineRule="auto"/>
        <w:ind w:left="0"/>
        <w:jc w:val="center"/>
        <w:rPr>
          <w:rFonts w:ascii="Palatino Linotype" w:hAnsi="Palatino Linotype" w:cs="Arial"/>
          <w:b/>
          <w:color w:val="000000" w:themeColor="text1"/>
          <w:sz w:val="28"/>
        </w:rPr>
      </w:pPr>
      <w:r w:rsidRPr="00C554CD">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551236DD" w:rsidR="009417CA" w:rsidRPr="00C554CD"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C554CD">
        <w:rPr>
          <w:rFonts w:ascii="Palatino Linotype" w:hAnsi="Palatino Linotype" w:cs="Arial"/>
          <w:color w:val="000000" w:themeColor="text1"/>
        </w:rPr>
        <w:t xml:space="preserve">El día </w:t>
      </w:r>
      <w:r w:rsidR="00EE0F47" w:rsidRPr="00C554CD">
        <w:rPr>
          <w:rFonts w:ascii="Palatino Linotype" w:hAnsi="Palatino Linotype" w:cs="Arial"/>
          <w:color w:val="000000" w:themeColor="text1"/>
        </w:rPr>
        <w:t>dieciséis</w:t>
      </w:r>
      <w:r w:rsidRPr="00C554CD">
        <w:rPr>
          <w:rFonts w:ascii="Palatino Linotype" w:hAnsi="Palatino Linotype" w:cs="Arial"/>
          <w:color w:val="000000" w:themeColor="text1"/>
        </w:rPr>
        <w:t xml:space="preserve"> (</w:t>
      </w:r>
      <w:r w:rsidR="00EE0F47" w:rsidRPr="00C554CD">
        <w:rPr>
          <w:rFonts w:ascii="Palatino Linotype" w:hAnsi="Palatino Linotype" w:cs="Arial"/>
          <w:color w:val="000000" w:themeColor="text1"/>
        </w:rPr>
        <w:t>16</w:t>
      </w:r>
      <w:r w:rsidRPr="00C554CD">
        <w:rPr>
          <w:rFonts w:ascii="Palatino Linotype" w:hAnsi="Palatino Linotype" w:cs="Arial"/>
          <w:color w:val="000000" w:themeColor="text1"/>
        </w:rPr>
        <w:t xml:space="preserve">) de </w:t>
      </w:r>
      <w:r w:rsidR="00EE0F47" w:rsidRPr="00C554CD">
        <w:rPr>
          <w:rFonts w:ascii="Palatino Linotype" w:hAnsi="Palatino Linotype" w:cs="Arial"/>
          <w:color w:val="000000" w:themeColor="text1"/>
        </w:rPr>
        <w:t>marz</w:t>
      </w:r>
      <w:r w:rsidR="00380C30" w:rsidRPr="00C554CD">
        <w:rPr>
          <w:rFonts w:ascii="Palatino Linotype" w:hAnsi="Palatino Linotype" w:cs="Arial"/>
          <w:color w:val="000000" w:themeColor="text1"/>
        </w:rPr>
        <w:t>o</w:t>
      </w:r>
      <w:r w:rsidRPr="00C554CD">
        <w:rPr>
          <w:rFonts w:ascii="Palatino Linotype" w:hAnsi="Palatino Linotype" w:cs="Arial"/>
          <w:color w:val="000000" w:themeColor="text1"/>
        </w:rPr>
        <w:t xml:space="preserve"> de dos mil </w:t>
      </w:r>
      <w:r w:rsidR="00380C30" w:rsidRPr="00C554CD">
        <w:rPr>
          <w:rFonts w:ascii="Palatino Linotype" w:hAnsi="Palatino Linotype" w:cs="Arial"/>
          <w:color w:val="000000" w:themeColor="text1"/>
        </w:rPr>
        <w:t xml:space="preserve">veintidós; </w:t>
      </w:r>
      <w:r w:rsidR="001B0A9C" w:rsidRPr="00C554CD">
        <w:rPr>
          <w:rFonts w:ascii="Palatino Linotype" w:hAnsi="Palatino Linotype" w:cs="Arial"/>
          <w:color w:val="000000" w:themeColor="text1"/>
        </w:rPr>
        <w:t>la particular</w:t>
      </w:r>
      <w:r w:rsidR="00227483" w:rsidRPr="00C554CD">
        <w:rPr>
          <w:rFonts w:ascii="Palatino Linotype" w:hAnsi="Palatino Linotype" w:cs="Arial"/>
          <w:color w:val="000000" w:themeColor="text1"/>
        </w:rPr>
        <w:t xml:space="preserve"> interpuso recurso de revisión</w:t>
      </w:r>
      <w:r w:rsidR="00665B98" w:rsidRPr="00C554CD">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C554CD">
        <w:rPr>
          <w:rFonts w:ascii="Palatino Linotype" w:hAnsi="Palatino Linotype" w:cs="Arial"/>
          <w:color w:val="000000" w:themeColor="text1"/>
        </w:rPr>
        <w:t>donde se señaló lo siguiente</w:t>
      </w:r>
      <w:r w:rsidR="009417CA" w:rsidRPr="00C554CD">
        <w:rPr>
          <w:rFonts w:ascii="Palatino Linotype" w:hAnsi="Palatino Linotype" w:cs="Arial"/>
          <w:color w:val="000000" w:themeColor="text1"/>
        </w:rPr>
        <w:t>:</w:t>
      </w:r>
    </w:p>
    <w:p w14:paraId="21935EB1" w14:textId="77777777" w:rsidR="00B00B6B" w:rsidRPr="00C554CD" w:rsidRDefault="00B00B6B" w:rsidP="00B00B6B">
      <w:pPr>
        <w:pStyle w:val="Prrafodelista"/>
        <w:spacing w:line="360" w:lineRule="auto"/>
        <w:ind w:left="0"/>
        <w:jc w:val="both"/>
        <w:rPr>
          <w:rFonts w:ascii="Palatino Linotype" w:hAnsi="Palatino Linotype" w:cs="Arial"/>
          <w:color w:val="000000" w:themeColor="text1"/>
        </w:rPr>
      </w:pPr>
    </w:p>
    <w:p w14:paraId="277E4464" w14:textId="2851E608" w:rsidR="009417CA" w:rsidRPr="00C554CD" w:rsidRDefault="009417CA" w:rsidP="00EE0F4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C554CD">
        <w:rPr>
          <w:rStyle w:val="Ttulo2Car"/>
          <w:rFonts w:ascii="Palatino Linotype" w:hAnsi="Palatino Linotype"/>
          <w:b/>
          <w:color w:val="000000" w:themeColor="text1"/>
          <w:sz w:val="24"/>
          <w:szCs w:val="24"/>
        </w:rPr>
        <w:t>Acto impugnado</w:t>
      </w:r>
      <w:bookmarkEnd w:id="1"/>
      <w:r w:rsidRPr="00C554CD">
        <w:rPr>
          <w:rStyle w:val="Ttulo2Car"/>
          <w:rFonts w:ascii="Palatino Linotype" w:hAnsi="Palatino Linotype"/>
          <w:b/>
          <w:color w:val="000000" w:themeColor="text1"/>
          <w:sz w:val="24"/>
          <w:szCs w:val="24"/>
        </w:rPr>
        <w:t xml:space="preserve">: </w:t>
      </w:r>
      <w:r w:rsidRPr="00C554CD">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EE0F47" w:rsidRPr="00C554CD">
        <w:rPr>
          <w:rStyle w:val="Ttulo2Car"/>
          <w:rFonts w:ascii="Palatino Linotype" w:hAnsi="Palatino Linotype"/>
          <w:i/>
          <w:color w:val="000000" w:themeColor="text1"/>
          <w:sz w:val="24"/>
          <w:szCs w:val="24"/>
        </w:rPr>
        <w:t>Respuesta de fecha 01 de marzo del 2022 recaída a la solicitud con número de folio 000106/PJUDICI/IP/2022</w:t>
      </w:r>
      <w:r w:rsidRPr="00C554CD">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554CD">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C554CD">
        <w:rPr>
          <w:rFonts w:ascii="Palatino Linotype" w:hAnsi="Palatino Linotype"/>
          <w:b/>
          <w:color w:val="000000" w:themeColor="text1"/>
        </w:rPr>
        <w:t>(Sic)</w:t>
      </w:r>
    </w:p>
    <w:p w14:paraId="32126754" w14:textId="77777777" w:rsidR="009417CA" w:rsidRPr="00C554CD" w:rsidRDefault="009417CA" w:rsidP="002D73EF">
      <w:pPr>
        <w:tabs>
          <w:tab w:val="left" w:pos="0"/>
        </w:tabs>
        <w:spacing w:line="360" w:lineRule="auto"/>
        <w:ind w:right="49"/>
        <w:jc w:val="both"/>
        <w:rPr>
          <w:rFonts w:ascii="Palatino Linotype" w:hAnsi="Palatino Linotype"/>
          <w:color w:val="000000" w:themeColor="text1"/>
        </w:rPr>
      </w:pPr>
    </w:p>
    <w:p w14:paraId="0712C16F" w14:textId="398CA350" w:rsidR="009417CA" w:rsidRPr="00C554CD" w:rsidRDefault="009417CA" w:rsidP="00EE0F47">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C554CD">
        <w:rPr>
          <w:rStyle w:val="Ttulo2Car"/>
          <w:rFonts w:ascii="Palatino Linotype" w:hAnsi="Palatino Linotype"/>
          <w:b/>
          <w:color w:val="000000" w:themeColor="text1"/>
          <w:sz w:val="24"/>
          <w:szCs w:val="24"/>
        </w:rPr>
        <w:lastRenderedPageBreak/>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554CD">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C554CD">
        <w:rPr>
          <w:rFonts w:ascii="Palatino Linotype" w:hAnsi="Palatino Linotype"/>
          <w:i/>
          <w:color w:val="000000" w:themeColor="text1"/>
        </w:rPr>
        <w:t xml:space="preserve">“La Ley de Transparencia y Acceso a la Información Pública del Estado de México y Municipios, en su numeral 179 dispone que el recurso de revisión es un medio de protección otorgado a los particulares, para hacer valer su derecho de acceso a la información, por lo que dicha disposición legal establece una serie de supuestos que generan la procedencia del recurso en comento, destacando las hipótesis previstas en las fracciones V y XIII del citado artículo, cuyo contenido se hace consistir en que la revisión será procedente contra la “entrega de información incompleta” (fracción V); y por otra parte, el recurso igualmente será procedente ante “la falta, deficiencia o insuficiencia de la fundamentación y/o motivación en la respuesta” (fracción XIII); En el caso concreto, en fecha 16 de febrero del 2022 se tuvo por recibida la solicitud presentada por la suscrita a través de la plataforma de SAIMEX, misma a la que fue asignada el número 000106/PJUDICI/IP/2022 y que se acompaña como anexo 1. Ahora bien, posteriormente en fecha 01 de marzo del 2022, el sujeto obligado dio contestación a mi solicitud, la cual se adjunta como anexo 2; sin embargo, la información entregada resulta incompleta, aunado a que la fundamentación y motivación de la respuesta emitida es deficiente por las siguientes razones: • Respecto a la información peticionada por la suscrita (marcada con el numeral 1) según el contenido de mi solicitud presentada en el portal de SAIMEX, referente a “informar detalladamente el proceso de selección que se utiliza para designar al personal de nuevo ingreso en los puestos o categorías de TECNICO JUDICIAL y ARCHIVISTA JUDICIAL en los Juzgados Civiles de Primera Instancia que forman parte del Poder Judicial”; tenemos que el sujeto obligado a través de su unidad de transparencia dio respuesta a lo solicitado en los siguientes términos 1.- Respecto al proceso de selección para </w:t>
      </w:r>
      <w:r w:rsidR="00EE0F47" w:rsidRPr="00C554CD">
        <w:rPr>
          <w:rFonts w:ascii="Palatino Linotype" w:hAnsi="Palatino Linotype"/>
          <w:i/>
          <w:color w:val="000000" w:themeColor="text1"/>
        </w:rPr>
        <w:lastRenderedPageBreak/>
        <w:t xml:space="preserve">Técnico Judicial y Archivista Judicial, se cuenta con los Lineamientos para el Reclutamiento, Selección y Contratación de Personal de Unidades Administrativas del Poder Judicial del Estado de México, publicados en la Circular No. 45/2020 en el periódico Oficial Gaceta del Gobierno http://legislacion.edomex.gob..mx/node/33348 [sic] Así de la respuesta recién transcrita se logra advertir lo siguiente: en primer lugar, el sujeto obligado, pretende dar respuesta a la solicitud, remitiendo a la Circular 45/2020 bajo el argumento que esta ultima contiene los Lineamientos para el Reclutamiento, Selección y Contratación de Personal de Unidades Administrativas del Poder Judicial del Estado de México y para tal efecto proporciona el link para acceder a dicho instrumento. Ahora bien, una vez analizado el contenido de dicha circular y más concretamente de los Lineamientos que refiere el sujeto obligado, se concluye que la información solicitada NO FUE ENTREGADA, pues del contenido de los precitados lineamientos en ningún aparatado se hace referencia “al proceso de selección utilizado para designar al personal de nuevo ingreso en los puestos o categorías de técnico judicial y archivista judicial en los Juzgados Civiles de Primera Instancia que forman parte del Poder Judicial” (precisamente la información peticionada). Sin que pase desapercibido el contenido de los artículos 3, 5 y 6 de los aludidos Lineamientos para el Reclutamiento, Selección y Contratación de Personal” que en esencia prevén lo siguiente: primero, que la dirección de personal a través de departamento de reclutamiento, selección de personal y relaciones laborales es la unidad encargada de llevar a cabo la preselección de aspirantes de nuevo ingreso (artículo 3); segundo, que la unidades administrativas enviaran a la dirección de personal sus solicitudes y/o propuestas de aspirantes a ocupar un puesto vacante (artículo 5); y tercero, que el departamento será el receptor de currículos vitae </w:t>
      </w:r>
      <w:r w:rsidR="00EE0F47" w:rsidRPr="00C554CD">
        <w:rPr>
          <w:rFonts w:ascii="Palatino Linotype" w:hAnsi="Palatino Linotype"/>
          <w:i/>
          <w:color w:val="000000" w:themeColor="text1"/>
        </w:rPr>
        <w:lastRenderedPageBreak/>
        <w:t xml:space="preserve">internos y externos (artículo 6). No obstante lo anterior, persiste la incertidumbre sobre el proceso de selección para designar al personal de nuevo ingreso en los puestos o categorías de técnico judicial y archivista judicial, toda vez que el diverso numeral 4 de los multicitados Lineamientos, establece que, para los aspirantes a ocupar un puesto considerado de carrera judicial, el proceso de selección se llevara a cabo conforme a la Ley Orgánica del Poder Judicial del Estado de México; al Reglamento de la Escuela Judicial Estado de México y demás normatividad aplicable. Sin embargo, de la respuesta emitida por el sujeto obligado a través de la unidad de transparencia, es deficiente en su fundamentación y motivación, toda vez que NO expresa las razones y fundamentos que permitan conocer si los puestos de Técnico Judicial y Archivista Judicial son considerados de carrera judicial o no, de aquí que se estima que la información entrega es incompleta. En resumen, el sujeto obligado al emitir su respuesta entrego incompleta la información que le fuera solicitada, pues bien es cierto atendió lo peticionado en los puntos 2 y 3; igual de cierto es, que en lo relativo al punto 1, OMITE entregar la información solicitada, lo cual deriva a raíz de que su respuesta es ambigua, ello al no tener plena certeza sobre cual es proceso de selección que debe seguirse para el personal de nuevo ingreso en los puestos de “técnico judicial” y “archivista judicial”, ya que, por una parte conforme a los artículos 3, 5 y 6 de los lineamientos, se tiene que las unidades administrativas son las encargadas de enviar a la dirección de personal sus solicitudes y/o propuestas de aspirantes para ocupar un puesto vacante; y por otra parte, el artículo 4 de los mismos lineamientos, estatuye que el proceso de selección si se tratara de un puesto de carrera judicial será conforme con la Ley Orgánica del Poder Judicial del Estado de México y otras disposiciones, desconociendo si las categorías de “técnico judicial” y </w:t>
      </w:r>
      <w:r w:rsidR="00EE0F47" w:rsidRPr="00C554CD">
        <w:rPr>
          <w:rFonts w:ascii="Palatino Linotype" w:hAnsi="Palatino Linotype"/>
          <w:i/>
          <w:color w:val="000000" w:themeColor="text1"/>
        </w:rPr>
        <w:lastRenderedPageBreak/>
        <w:t>“archivista judicial” deben ser considerados o no, de carrera judicial y su fundamento.”</w:t>
      </w:r>
    </w:p>
    <w:p w14:paraId="4548D6BE" w14:textId="77777777" w:rsidR="00EE0F47" w:rsidRPr="00C554CD"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6631729" w14:textId="4F0D1F44" w:rsidR="00EE0F47" w:rsidRPr="00C554CD" w:rsidRDefault="00EE0F47" w:rsidP="007948A7">
      <w:pPr>
        <w:pStyle w:val="Prrafodelista"/>
        <w:numPr>
          <w:ilvl w:val="0"/>
          <w:numId w:val="2"/>
        </w:numPr>
        <w:tabs>
          <w:tab w:val="left" w:pos="0"/>
        </w:tabs>
        <w:spacing w:line="360" w:lineRule="auto"/>
        <w:ind w:left="709" w:right="49"/>
        <w:contextualSpacing/>
        <w:jc w:val="both"/>
        <w:rPr>
          <w:rFonts w:ascii="Palatino Linotype" w:hAnsi="Palatino Linotype" w:cs="Arial"/>
          <w:b/>
          <w:i/>
          <w:color w:val="000000" w:themeColor="text1"/>
        </w:rPr>
      </w:pPr>
      <w:r w:rsidRPr="00C554CD">
        <w:rPr>
          <w:rFonts w:ascii="Palatino Linotype" w:hAnsi="Palatino Linotype" w:cs="Arial"/>
          <w:color w:val="000000" w:themeColor="text1"/>
        </w:rPr>
        <w:t xml:space="preserve">Asimismo, adjuntó dos archivos electrónicos denominados </w:t>
      </w:r>
      <w:r w:rsidRPr="00C554CD">
        <w:rPr>
          <w:rFonts w:ascii="Palatino Linotype" w:hAnsi="Palatino Linotype" w:cs="Arial"/>
          <w:b/>
          <w:color w:val="000000" w:themeColor="text1"/>
        </w:rPr>
        <w:t xml:space="preserve">Solicitud.pdf </w:t>
      </w:r>
      <w:r w:rsidRPr="00C554CD">
        <w:rPr>
          <w:rFonts w:ascii="Palatino Linotype" w:hAnsi="Palatino Linotype" w:cs="Arial"/>
          <w:color w:val="000000" w:themeColor="text1"/>
        </w:rPr>
        <w:t xml:space="preserve">y </w:t>
      </w:r>
      <w:r w:rsidRPr="00C554CD">
        <w:rPr>
          <w:rFonts w:ascii="Palatino Linotype" w:hAnsi="Palatino Linotype" w:cs="Arial"/>
          <w:b/>
          <w:color w:val="000000" w:themeColor="text1"/>
        </w:rPr>
        <w:t>Respuesta.pdf</w:t>
      </w:r>
      <w:r w:rsidRPr="00C554CD">
        <w:rPr>
          <w:rFonts w:ascii="Palatino Linotype" w:hAnsi="Palatino Linotype" w:cs="Arial"/>
          <w:color w:val="000000" w:themeColor="text1"/>
        </w:rPr>
        <w:t xml:space="preserve">, que corresponden al acuse de la solicitud de información y a la respuesta emitida por el </w:t>
      </w:r>
      <w:r w:rsidRPr="00C554CD">
        <w:rPr>
          <w:rFonts w:ascii="Palatino Linotype" w:hAnsi="Palatino Linotype" w:cs="Arial"/>
          <w:b/>
          <w:color w:val="000000" w:themeColor="text1"/>
        </w:rPr>
        <w:t>SUJETO OBLIGADO</w:t>
      </w:r>
      <w:r w:rsidRPr="00C554CD">
        <w:rPr>
          <w:rFonts w:ascii="Palatino Linotype" w:hAnsi="Palatino Linotype" w:cs="Arial"/>
          <w:color w:val="000000" w:themeColor="text1"/>
        </w:rPr>
        <w:t>, por lo que al ya ser del conocimiento de las partes, se omite su inserción en obvio de repeticiones innecesarias.</w:t>
      </w:r>
    </w:p>
    <w:p w14:paraId="59C4E098" w14:textId="77777777" w:rsidR="007B4CF4" w:rsidRPr="00C554CD" w:rsidRDefault="007B4CF4" w:rsidP="002D73EF">
      <w:pPr>
        <w:spacing w:line="360" w:lineRule="auto"/>
        <w:rPr>
          <w:rFonts w:ascii="Palatino Linotype" w:hAnsi="Palatino Linotype" w:cs="Arial"/>
          <w:color w:val="000000" w:themeColor="text1"/>
        </w:rPr>
      </w:pPr>
    </w:p>
    <w:p w14:paraId="18403F73" w14:textId="7BD90159" w:rsidR="00E5024B" w:rsidRPr="00C554CD"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C554CD">
        <w:rPr>
          <w:rFonts w:ascii="Palatino Linotype" w:eastAsia="Calibri" w:hAnsi="Palatino Linotype" w:cs="Arial"/>
        </w:rPr>
        <w:t xml:space="preserve">Se </w:t>
      </w:r>
      <w:r w:rsidRPr="00C554CD">
        <w:rPr>
          <w:rFonts w:ascii="Palatino Linotype" w:hAnsi="Palatino Linotype" w:cs="Arial"/>
          <w:color w:val="000000" w:themeColor="text1"/>
        </w:rPr>
        <w:t>registró</w:t>
      </w:r>
      <w:r w:rsidR="00EB2DE6" w:rsidRPr="00C554CD">
        <w:rPr>
          <w:rFonts w:ascii="Palatino Linotype" w:eastAsia="Calibri" w:hAnsi="Palatino Linotype" w:cs="Arial"/>
        </w:rPr>
        <w:t xml:space="preserve"> el R</w:t>
      </w:r>
      <w:r w:rsidRPr="00C554CD">
        <w:rPr>
          <w:rFonts w:ascii="Palatino Linotype" w:eastAsia="Calibri" w:hAnsi="Palatino Linotype" w:cs="Arial"/>
        </w:rPr>
        <w:t xml:space="preserve">ecurso de </w:t>
      </w:r>
      <w:r w:rsidR="00EB2DE6" w:rsidRPr="00C554CD">
        <w:rPr>
          <w:rFonts w:ascii="Palatino Linotype" w:eastAsia="Calibri" w:hAnsi="Palatino Linotype" w:cs="Arial"/>
        </w:rPr>
        <w:t>R</w:t>
      </w:r>
      <w:r w:rsidRPr="00C554CD">
        <w:rPr>
          <w:rFonts w:ascii="Palatino Linotype" w:eastAsia="Calibri" w:hAnsi="Palatino Linotype" w:cs="Arial"/>
        </w:rPr>
        <w:t>evisión bajo el número de expediente al rubro indicado,</w:t>
      </w:r>
      <w:r w:rsidR="003C26A0" w:rsidRPr="00C554CD">
        <w:rPr>
          <w:rFonts w:ascii="Palatino Linotype" w:eastAsia="Calibri" w:hAnsi="Palatino Linotype" w:cs="Arial"/>
        </w:rPr>
        <w:t xml:space="preserve"> y</w:t>
      </w:r>
      <w:r w:rsidRPr="00C554CD">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C554CD">
        <w:rPr>
          <w:rFonts w:ascii="Palatino Linotype" w:eastAsia="Calibri" w:hAnsi="Palatino Linotype" w:cs="Arial"/>
        </w:rPr>
        <w:t xml:space="preserve"> </w:t>
      </w:r>
      <w:r w:rsidRPr="00C554CD">
        <w:rPr>
          <w:rFonts w:ascii="Palatino Linotype" w:eastAsia="Calibri" w:hAnsi="Palatino Linotype" w:cs="Arial"/>
        </w:rPr>
        <w:t>l</w:t>
      </w:r>
      <w:r w:rsidR="000B08A0" w:rsidRPr="00C554CD">
        <w:rPr>
          <w:rFonts w:ascii="Palatino Linotype" w:eastAsia="Calibri" w:hAnsi="Palatino Linotype" w:cs="Arial"/>
        </w:rPr>
        <w:t>a</w:t>
      </w:r>
      <w:r w:rsidR="00AA02A4" w:rsidRPr="00C554CD">
        <w:rPr>
          <w:rFonts w:ascii="Palatino Linotype" w:eastAsia="Calibri" w:hAnsi="Palatino Linotype" w:cs="Arial"/>
        </w:rPr>
        <w:t xml:space="preserve"> </w:t>
      </w:r>
      <w:r w:rsidRPr="00C554CD">
        <w:rPr>
          <w:rFonts w:ascii="Palatino Linotype" w:eastAsia="Calibri" w:hAnsi="Palatino Linotype" w:cs="Arial"/>
          <w:b/>
        </w:rPr>
        <w:t>Comisionad</w:t>
      </w:r>
      <w:r w:rsidR="000B08A0" w:rsidRPr="00C554CD">
        <w:rPr>
          <w:rFonts w:ascii="Palatino Linotype" w:eastAsia="Calibri" w:hAnsi="Palatino Linotype" w:cs="Arial"/>
          <w:b/>
        </w:rPr>
        <w:t>a</w:t>
      </w:r>
      <w:r w:rsidRPr="00C554CD">
        <w:rPr>
          <w:rFonts w:ascii="Palatino Linotype" w:eastAsia="Calibri" w:hAnsi="Palatino Linotype" w:cs="Arial"/>
          <w:b/>
        </w:rPr>
        <w:t xml:space="preserve"> </w:t>
      </w:r>
      <w:r w:rsidR="00AA02A4" w:rsidRPr="00C554CD">
        <w:rPr>
          <w:rFonts w:ascii="Palatino Linotype" w:eastAsia="Calibri" w:hAnsi="Palatino Linotype" w:cs="Arial"/>
          <w:b/>
        </w:rPr>
        <w:t>María del Rosario Mejía Ayala</w:t>
      </w:r>
      <w:r w:rsidRPr="00C554CD">
        <w:rPr>
          <w:rFonts w:ascii="Palatino Linotype" w:eastAsia="Calibri" w:hAnsi="Palatino Linotype" w:cs="Arial"/>
        </w:rPr>
        <w:t>, con el objeto de su análisis.</w:t>
      </w:r>
    </w:p>
    <w:p w14:paraId="3803A233" w14:textId="77777777" w:rsidR="00BE1923" w:rsidRPr="00C554CD" w:rsidRDefault="00BE1923" w:rsidP="00BE1923">
      <w:pPr>
        <w:pStyle w:val="Prrafodelista"/>
        <w:spacing w:line="360" w:lineRule="auto"/>
        <w:ind w:left="0"/>
        <w:jc w:val="both"/>
        <w:rPr>
          <w:rFonts w:ascii="Palatino Linotype" w:eastAsia="Calibri" w:hAnsi="Palatino Linotype" w:cs="Arial"/>
        </w:rPr>
      </w:pPr>
    </w:p>
    <w:p w14:paraId="75061726" w14:textId="51C9BB02" w:rsidR="005123A8" w:rsidRPr="00C554CD" w:rsidRDefault="000B08A0" w:rsidP="00B00B6B">
      <w:pPr>
        <w:pStyle w:val="Prrafodelista"/>
        <w:numPr>
          <w:ilvl w:val="0"/>
          <w:numId w:val="7"/>
        </w:numPr>
        <w:spacing w:line="360" w:lineRule="auto"/>
        <w:ind w:left="0" w:firstLine="0"/>
        <w:jc w:val="both"/>
        <w:rPr>
          <w:rFonts w:ascii="Palatino Linotype" w:hAnsi="Palatino Linotype"/>
          <w:color w:val="000000"/>
        </w:rPr>
      </w:pPr>
      <w:r w:rsidRPr="00C554CD">
        <w:rPr>
          <w:rFonts w:ascii="Palatino Linotype" w:hAnsi="Palatino Linotype"/>
          <w:color w:val="000000"/>
        </w:rPr>
        <w:t>La</w:t>
      </w:r>
      <w:r w:rsidR="009417CA" w:rsidRPr="00C554CD">
        <w:rPr>
          <w:rFonts w:ascii="Palatino Linotype" w:hAnsi="Palatino Linotype"/>
          <w:color w:val="000000"/>
        </w:rPr>
        <w:t xml:space="preserve"> Comisionad</w:t>
      </w:r>
      <w:r w:rsidRPr="00C554CD">
        <w:rPr>
          <w:rFonts w:ascii="Palatino Linotype" w:hAnsi="Palatino Linotype"/>
          <w:color w:val="000000"/>
        </w:rPr>
        <w:t>a</w:t>
      </w:r>
      <w:r w:rsidR="009417CA" w:rsidRPr="00C554CD">
        <w:rPr>
          <w:rFonts w:ascii="Palatino Linotype" w:hAnsi="Palatino Linotype"/>
          <w:color w:val="000000"/>
        </w:rPr>
        <w:t xml:space="preserve"> Ponente</w:t>
      </w:r>
      <w:r w:rsidR="00EB2DE6" w:rsidRPr="00C554CD">
        <w:rPr>
          <w:rFonts w:ascii="Palatino Linotype" w:hAnsi="Palatino Linotype"/>
          <w:color w:val="000000"/>
        </w:rPr>
        <w:t xml:space="preserve"> </w:t>
      </w:r>
      <w:r w:rsidR="009417CA" w:rsidRPr="00C554CD">
        <w:rPr>
          <w:rFonts w:ascii="Palatino Linotype" w:hAnsi="Palatino Linotype"/>
          <w:color w:val="000000"/>
        </w:rPr>
        <w:t xml:space="preserve">con fundamento en lo dispuesto por el artículo 185 </w:t>
      </w:r>
      <w:r w:rsidR="009417CA" w:rsidRPr="00C554CD">
        <w:rPr>
          <w:rFonts w:ascii="Palatino Linotype" w:eastAsia="Calibri" w:hAnsi="Palatino Linotype" w:cs="Arial"/>
        </w:rPr>
        <w:t>fracción</w:t>
      </w:r>
      <w:r w:rsidR="009417CA" w:rsidRPr="00C554CD">
        <w:rPr>
          <w:rFonts w:ascii="Palatino Linotype" w:hAnsi="Palatino Linotype"/>
          <w:color w:val="000000"/>
        </w:rPr>
        <w:t xml:space="preserve"> II de la ley de la materia, a través del </w:t>
      </w:r>
      <w:r w:rsidR="009417CA" w:rsidRPr="00C554CD">
        <w:rPr>
          <w:rFonts w:ascii="Palatino Linotype" w:hAnsi="Palatino Linotype"/>
          <w:b/>
          <w:color w:val="000000"/>
        </w:rPr>
        <w:t xml:space="preserve">acuerdo de admisión </w:t>
      </w:r>
      <w:r w:rsidR="009417CA" w:rsidRPr="00C554CD">
        <w:rPr>
          <w:rFonts w:ascii="Palatino Linotype" w:hAnsi="Palatino Linotype"/>
          <w:color w:val="000000"/>
        </w:rPr>
        <w:t xml:space="preserve">de fecha </w:t>
      </w:r>
      <w:r w:rsidR="00EE0F47" w:rsidRPr="00C554CD">
        <w:rPr>
          <w:rFonts w:ascii="Palatino Linotype" w:hAnsi="Palatino Linotype"/>
          <w:color w:val="000000"/>
        </w:rPr>
        <w:t>veintidós</w:t>
      </w:r>
      <w:r w:rsidR="009417CA" w:rsidRPr="00C554CD">
        <w:rPr>
          <w:rFonts w:ascii="Palatino Linotype" w:hAnsi="Palatino Linotype"/>
          <w:color w:val="000000"/>
        </w:rPr>
        <w:t xml:space="preserve"> (</w:t>
      </w:r>
      <w:r w:rsidR="00EE0F47" w:rsidRPr="00C554CD">
        <w:rPr>
          <w:rFonts w:ascii="Palatino Linotype" w:hAnsi="Palatino Linotype"/>
          <w:color w:val="000000"/>
        </w:rPr>
        <w:t>22</w:t>
      </w:r>
      <w:r w:rsidR="009417CA" w:rsidRPr="00C554CD">
        <w:rPr>
          <w:rFonts w:ascii="Palatino Linotype" w:hAnsi="Palatino Linotype"/>
          <w:color w:val="000000"/>
        </w:rPr>
        <w:t xml:space="preserve">) de </w:t>
      </w:r>
      <w:r w:rsidR="002D73EF" w:rsidRPr="00C554CD">
        <w:rPr>
          <w:rFonts w:ascii="Palatino Linotype" w:hAnsi="Palatino Linotype"/>
          <w:color w:val="000000"/>
        </w:rPr>
        <w:t>marz</w:t>
      </w:r>
      <w:r w:rsidR="00A56F2C" w:rsidRPr="00C554CD">
        <w:rPr>
          <w:rFonts w:ascii="Palatino Linotype" w:hAnsi="Palatino Linotype"/>
          <w:color w:val="000000"/>
        </w:rPr>
        <w:t>o</w:t>
      </w:r>
      <w:r w:rsidR="009417CA" w:rsidRPr="00C554CD">
        <w:rPr>
          <w:rFonts w:ascii="Palatino Linotype" w:hAnsi="Palatino Linotype"/>
          <w:color w:val="000000"/>
        </w:rPr>
        <w:t xml:space="preserve"> de dos mil </w:t>
      </w:r>
      <w:r w:rsidR="00A56F2C" w:rsidRPr="00C554CD">
        <w:rPr>
          <w:rFonts w:ascii="Palatino Linotype" w:hAnsi="Palatino Linotype"/>
          <w:color w:val="000000"/>
        </w:rPr>
        <w:t>veintidós</w:t>
      </w:r>
      <w:r w:rsidR="009417CA" w:rsidRPr="00C554CD">
        <w:rPr>
          <w:rFonts w:ascii="Palatino Linotype" w:hAnsi="Palatino Linotype"/>
          <w:color w:val="000000"/>
        </w:rPr>
        <w:t xml:space="preserve">, puso a disposición de las partes el expediente electrónico vía SAIMEX a efecto de que en un plazo máximo de siete días manifestaran lo que a </w:t>
      </w:r>
      <w:r w:rsidRPr="00C554CD">
        <w:rPr>
          <w:rFonts w:ascii="Palatino Linotype" w:hAnsi="Palatino Linotype"/>
          <w:color w:val="000000"/>
        </w:rPr>
        <w:t xml:space="preserve">su </w:t>
      </w:r>
      <w:r w:rsidR="009417CA" w:rsidRPr="00C554CD">
        <w:rPr>
          <w:rFonts w:ascii="Palatino Linotype" w:hAnsi="Palatino Linotype"/>
          <w:color w:val="000000"/>
        </w:rPr>
        <w:t xml:space="preserve">derecho conviniera, ofrecieran pruebas y alegatos según corresponda al caso concreto, de esta forma para que el </w:t>
      </w:r>
      <w:r w:rsidR="009417CA" w:rsidRPr="00C554CD">
        <w:rPr>
          <w:rFonts w:ascii="Palatino Linotype" w:hAnsi="Palatino Linotype"/>
          <w:b/>
          <w:color w:val="000000"/>
        </w:rPr>
        <w:t xml:space="preserve">SUJETO OBLIGADO </w:t>
      </w:r>
      <w:r w:rsidR="009417CA" w:rsidRPr="00C554CD">
        <w:rPr>
          <w:rFonts w:ascii="Palatino Linotype" w:hAnsi="Palatino Linotype"/>
          <w:color w:val="000000"/>
        </w:rPr>
        <w:t>presentara el Informe Justificado procedente.</w:t>
      </w:r>
    </w:p>
    <w:p w14:paraId="11DF70B4" w14:textId="77777777" w:rsidR="004F1024" w:rsidRPr="00C554CD" w:rsidRDefault="004F1024" w:rsidP="004F1024">
      <w:pPr>
        <w:pStyle w:val="Prrafodelista"/>
        <w:rPr>
          <w:rFonts w:ascii="Palatino Linotype" w:hAnsi="Palatino Linotype"/>
          <w:color w:val="000000"/>
        </w:rPr>
      </w:pPr>
    </w:p>
    <w:p w14:paraId="26EC5D4D" w14:textId="6677E819" w:rsidR="00FD71C1" w:rsidRPr="00C554CD" w:rsidRDefault="003365B8" w:rsidP="00BE1923">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lastRenderedPageBreak/>
        <w:t xml:space="preserve">El </w:t>
      </w:r>
      <w:r w:rsidRPr="00C554CD">
        <w:rPr>
          <w:rFonts w:ascii="Palatino Linotype" w:hAnsi="Palatino Linotype"/>
          <w:b/>
        </w:rPr>
        <w:t>SUJETO OBLIGADO</w:t>
      </w:r>
      <w:r w:rsidRPr="00C554CD">
        <w:rPr>
          <w:rFonts w:ascii="Palatino Linotype" w:hAnsi="Palatino Linotype"/>
        </w:rPr>
        <w:t xml:space="preserve"> </w:t>
      </w:r>
      <w:r w:rsidR="006F5A13" w:rsidRPr="00C554CD">
        <w:rPr>
          <w:rFonts w:ascii="Palatino Linotype" w:hAnsi="Palatino Linotype"/>
        </w:rPr>
        <w:t>fue omiso en rendir el informe justificado correspondiente.</w:t>
      </w:r>
      <w:r w:rsidRPr="00C554CD">
        <w:rPr>
          <w:rFonts w:ascii="Palatino Linotype" w:hAnsi="Palatino Linotype"/>
        </w:rPr>
        <w:t xml:space="preserve"> </w:t>
      </w:r>
      <w:r w:rsidR="006F5A13" w:rsidRPr="00C554CD">
        <w:rPr>
          <w:rFonts w:ascii="Palatino Linotype" w:hAnsi="Palatino Linotype"/>
        </w:rPr>
        <w:t>P</w:t>
      </w:r>
      <w:r w:rsidRPr="00C554CD">
        <w:rPr>
          <w:rFonts w:ascii="Palatino Linotype" w:hAnsi="Palatino Linotype"/>
        </w:rPr>
        <w:t xml:space="preserve">or su parte </w:t>
      </w:r>
      <w:r w:rsidR="00491AD4" w:rsidRPr="00C554CD">
        <w:rPr>
          <w:rFonts w:ascii="Palatino Linotype" w:hAnsi="Palatino Linotype"/>
          <w:b/>
        </w:rPr>
        <w:t>LA RECURRENTE</w:t>
      </w:r>
      <w:r w:rsidR="00967F31" w:rsidRPr="00C554CD">
        <w:rPr>
          <w:rFonts w:ascii="Palatino Linotype" w:hAnsi="Palatino Linotype"/>
        </w:rPr>
        <w:t xml:space="preserve"> </w:t>
      </w:r>
      <w:r w:rsidR="002D73EF" w:rsidRPr="00C554CD">
        <w:rPr>
          <w:rFonts w:ascii="Palatino Linotype" w:hAnsi="Palatino Linotype"/>
        </w:rPr>
        <w:t xml:space="preserve">no </w:t>
      </w:r>
      <w:r w:rsidRPr="00C554CD">
        <w:rPr>
          <w:rFonts w:ascii="Palatino Linotype" w:hAnsi="Palatino Linotype"/>
        </w:rPr>
        <w:t>realiz</w:t>
      </w:r>
      <w:r w:rsidR="007144AE" w:rsidRPr="00C554CD">
        <w:rPr>
          <w:rFonts w:ascii="Palatino Linotype" w:hAnsi="Palatino Linotype"/>
        </w:rPr>
        <w:t>ó</w:t>
      </w:r>
      <w:r w:rsidRPr="00C554CD">
        <w:rPr>
          <w:rFonts w:ascii="Palatino Linotype" w:hAnsi="Palatino Linotype"/>
        </w:rPr>
        <w:t xml:space="preserve"> manifestaciones que a su derecho </w:t>
      </w:r>
      <w:r w:rsidR="00967F31" w:rsidRPr="00C554CD">
        <w:rPr>
          <w:rFonts w:ascii="Palatino Linotype" w:hAnsi="Palatino Linotype"/>
        </w:rPr>
        <w:t>convin</w:t>
      </w:r>
      <w:r w:rsidR="002D73EF" w:rsidRPr="00C554CD">
        <w:rPr>
          <w:rFonts w:ascii="Palatino Linotype" w:hAnsi="Palatino Linotype"/>
        </w:rPr>
        <w:t>iera y asistiera.</w:t>
      </w:r>
    </w:p>
    <w:p w14:paraId="11C8E1C5" w14:textId="77777777" w:rsidR="00EE0F47" w:rsidRPr="00C554CD" w:rsidRDefault="00EE0F47" w:rsidP="00EE0F47">
      <w:pPr>
        <w:pStyle w:val="Prrafodelista"/>
        <w:rPr>
          <w:rFonts w:ascii="Palatino Linotype" w:hAnsi="Palatino Linotype"/>
        </w:rPr>
      </w:pPr>
    </w:p>
    <w:p w14:paraId="684794B0" w14:textId="3BC0F319" w:rsidR="006F5A13" w:rsidRPr="00C554CD" w:rsidRDefault="00EB2DE6" w:rsidP="00487D81">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La Comisionada Ponente mediante acuerdo</w:t>
      </w:r>
      <w:r w:rsidR="00F00198" w:rsidRPr="00C554CD">
        <w:rPr>
          <w:rFonts w:ascii="Palatino Linotype" w:hAnsi="Palatino Linotype"/>
        </w:rPr>
        <w:t xml:space="preserve">s de fecha </w:t>
      </w:r>
      <w:r w:rsidR="006B2532" w:rsidRPr="00C554CD">
        <w:rPr>
          <w:rFonts w:ascii="Palatino Linotype" w:hAnsi="Palatino Linotype"/>
        </w:rPr>
        <w:t>veintitrés</w:t>
      </w:r>
      <w:r w:rsidRPr="00C554CD">
        <w:rPr>
          <w:rFonts w:ascii="Palatino Linotype" w:hAnsi="Palatino Linotype"/>
        </w:rPr>
        <w:t xml:space="preserve"> (</w:t>
      </w:r>
      <w:r w:rsidR="00EE0F47" w:rsidRPr="00C554CD">
        <w:rPr>
          <w:rFonts w:ascii="Palatino Linotype" w:hAnsi="Palatino Linotype"/>
        </w:rPr>
        <w:t>2</w:t>
      </w:r>
      <w:r w:rsidR="006B2532" w:rsidRPr="00C554CD">
        <w:rPr>
          <w:rFonts w:ascii="Palatino Linotype" w:hAnsi="Palatino Linotype"/>
        </w:rPr>
        <w:t>3</w:t>
      </w:r>
      <w:r w:rsidRPr="00C554CD">
        <w:rPr>
          <w:rFonts w:ascii="Palatino Linotype" w:hAnsi="Palatino Linotype"/>
        </w:rPr>
        <w:t xml:space="preserve">) de </w:t>
      </w:r>
      <w:r w:rsidR="006F5A13" w:rsidRPr="00C554CD">
        <w:rPr>
          <w:rFonts w:ascii="Palatino Linotype" w:hAnsi="Palatino Linotype"/>
        </w:rPr>
        <w:t>junio</w:t>
      </w:r>
      <w:r w:rsidR="004F32F2" w:rsidRPr="00C554CD">
        <w:rPr>
          <w:rFonts w:ascii="Palatino Linotype" w:hAnsi="Palatino Linotype"/>
        </w:rPr>
        <w:t xml:space="preserve"> </w:t>
      </w:r>
      <w:r w:rsidRPr="00C554CD">
        <w:rPr>
          <w:rFonts w:ascii="Palatino Linotype" w:hAnsi="Palatino Linotype"/>
        </w:rPr>
        <w:t xml:space="preserve">de dos mil </w:t>
      </w:r>
      <w:r w:rsidR="003E62B7" w:rsidRPr="00C554CD">
        <w:rPr>
          <w:rFonts w:ascii="Palatino Linotype" w:hAnsi="Palatino Linotype"/>
        </w:rPr>
        <w:t>veintidós</w:t>
      </w:r>
      <w:r w:rsidR="00F00198" w:rsidRPr="00C554CD">
        <w:rPr>
          <w:rFonts w:ascii="Palatino Linotype" w:hAnsi="Palatino Linotype"/>
        </w:rPr>
        <w:t xml:space="preserve">, </w:t>
      </w:r>
      <w:r w:rsidR="004F32F2" w:rsidRPr="00C554CD">
        <w:rPr>
          <w:rFonts w:ascii="Palatino Linotype" w:hAnsi="Palatino Linotype"/>
        </w:rPr>
        <w:t xml:space="preserve">decretó el cierre de instrucción y </w:t>
      </w:r>
      <w:r w:rsidR="00F00198" w:rsidRPr="00C554CD">
        <w:rPr>
          <w:rFonts w:ascii="Palatino Linotype" w:hAnsi="Palatino Linotype"/>
        </w:rPr>
        <w:t xml:space="preserve">amplió el termino para resolver </w:t>
      </w:r>
      <w:r w:rsidR="004F32F2" w:rsidRPr="00C554CD">
        <w:rPr>
          <w:rFonts w:ascii="Palatino Linotype" w:hAnsi="Palatino Linotype"/>
        </w:rPr>
        <w:t>respectivamente</w:t>
      </w:r>
      <w:r w:rsidR="007B4CF4" w:rsidRPr="00C554CD">
        <w:rPr>
          <w:rFonts w:ascii="Palatino Linotype" w:hAnsi="Palatino Linotype" w:cs="Arial"/>
        </w:rPr>
        <w:t xml:space="preserve">, </w:t>
      </w:r>
      <w:r w:rsidR="009417CA" w:rsidRPr="00C554CD">
        <w:rPr>
          <w:rFonts w:ascii="Palatino Linotype" w:hAnsi="Palatino Linotype" w:cs="Arial"/>
        </w:rPr>
        <w:t>por lo que no habiendo más que hacer constar, y -----------</w:t>
      </w:r>
      <w:bookmarkStart w:id="209" w:name="_Toc491791302"/>
      <w:bookmarkStart w:id="210" w:name="_Toc74778592"/>
    </w:p>
    <w:p w14:paraId="2FA1AAE8" w14:textId="77777777" w:rsidR="00EE0F47" w:rsidRPr="00C554CD" w:rsidRDefault="00EE0F47" w:rsidP="007948A7">
      <w:pPr>
        <w:rPr>
          <w:rFonts w:ascii="Palatino Linotype" w:hAnsi="Palatino Linotype"/>
        </w:rPr>
      </w:pPr>
    </w:p>
    <w:p w14:paraId="425AF908" w14:textId="69A958DC" w:rsidR="009417CA" w:rsidRPr="00C554CD"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C554CD">
        <w:rPr>
          <w:rFonts w:ascii="Palatino Linotype" w:hAnsi="Palatino Linotype"/>
          <w:b/>
          <w:color w:val="000000" w:themeColor="text1"/>
          <w:sz w:val="28"/>
        </w:rPr>
        <w:t>CONSIDERANDO</w:t>
      </w:r>
      <w:bookmarkEnd w:id="209"/>
      <w:bookmarkEnd w:id="210"/>
      <w:bookmarkEnd w:id="211"/>
    </w:p>
    <w:p w14:paraId="6B045C1B" w14:textId="77777777" w:rsidR="00BE1923" w:rsidRPr="00C554CD"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C554CD" w:rsidRDefault="009417CA" w:rsidP="00BE1923">
      <w:pPr>
        <w:pStyle w:val="Ttulo2"/>
        <w:spacing w:before="0" w:line="360" w:lineRule="auto"/>
        <w:rPr>
          <w:rFonts w:ascii="Palatino Linotype" w:hAnsi="Palatino Linotype"/>
          <w:b/>
          <w:color w:val="auto"/>
          <w:sz w:val="24"/>
          <w:szCs w:val="24"/>
        </w:rPr>
      </w:pPr>
      <w:bookmarkStart w:id="214" w:name="_Toc87274187"/>
      <w:r w:rsidRPr="00C554CD">
        <w:rPr>
          <w:rFonts w:ascii="Palatino Linotype" w:hAnsi="Palatino Linotype"/>
          <w:b/>
          <w:color w:val="auto"/>
          <w:sz w:val="24"/>
          <w:szCs w:val="24"/>
        </w:rPr>
        <w:t>PRIMERO. De la competencia</w:t>
      </w:r>
      <w:bookmarkEnd w:id="212"/>
      <w:bookmarkEnd w:id="213"/>
      <w:bookmarkEnd w:id="214"/>
    </w:p>
    <w:p w14:paraId="482E8AC6" w14:textId="77777777" w:rsidR="009417CA" w:rsidRPr="00C554CD" w:rsidRDefault="009417CA" w:rsidP="00BE1923">
      <w:pPr>
        <w:spacing w:line="360" w:lineRule="auto"/>
        <w:rPr>
          <w:rFonts w:ascii="Palatino Linotype" w:hAnsi="Palatino Linotype"/>
          <w:lang w:eastAsia="en-US"/>
        </w:rPr>
      </w:pPr>
    </w:p>
    <w:p w14:paraId="3C8EB508" w14:textId="1478EE7C" w:rsidR="009417CA" w:rsidRPr="00C554CD"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C554CD">
        <w:rPr>
          <w:rFonts w:ascii="Palatino Linotype" w:hAnsi="Palatino Linotype"/>
          <w:color w:val="000000" w:themeColor="text1"/>
        </w:rPr>
        <w:lastRenderedPageBreak/>
        <w:t>Transparencia, Acceso a la Información Pública y Protección de Datos Personales del Estado de México y Municipios.</w:t>
      </w:r>
    </w:p>
    <w:p w14:paraId="3A74BB21" w14:textId="77777777" w:rsidR="004A744E" w:rsidRPr="00C554CD"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C554C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C554CD">
        <w:rPr>
          <w:rFonts w:ascii="Palatino Linotype" w:hAnsi="Palatino Linotype"/>
          <w:b/>
          <w:bCs/>
          <w:color w:val="000000" w:themeColor="text1"/>
        </w:rPr>
        <w:t>SEGUNDO.</w:t>
      </w:r>
      <w:bookmarkStart w:id="218" w:name="_Toc491791304"/>
      <w:bookmarkStart w:id="219" w:name="_Toc74778594"/>
      <w:bookmarkEnd w:id="215"/>
      <w:bookmarkEnd w:id="216"/>
      <w:r w:rsidR="009417CA" w:rsidRPr="00C554CD">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C554CD" w:rsidRDefault="009417CA" w:rsidP="00BE1923">
      <w:pPr>
        <w:spacing w:line="360" w:lineRule="auto"/>
        <w:rPr>
          <w:rFonts w:ascii="Palatino Linotype" w:hAnsi="Palatino Linotype"/>
          <w:lang w:eastAsia="en-US"/>
        </w:rPr>
      </w:pPr>
    </w:p>
    <w:p w14:paraId="30820BC9" w14:textId="28E0DCDC" w:rsidR="00F17E65" w:rsidRPr="00C554CD"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C554CD">
        <w:rPr>
          <w:rFonts w:ascii="Palatino Linotype" w:eastAsia="Calibri" w:hAnsi="Palatino Linotype" w:cs="Arial"/>
        </w:rPr>
        <w:t xml:space="preserve">El medio de impugnación fue presentado a través del </w:t>
      </w:r>
      <w:r w:rsidR="007A69F1" w:rsidRPr="00C554CD">
        <w:rPr>
          <w:rFonts w:ascii="Palatino Linotype" w:eastAsia="Calibri" w:hAnsi="Palatino Linotype" w:cs="Arial"/>
          <w:b/>
        </w:rPr>
        <w:t>SAIMEX</w:t>
      </w:r>
      <w:r w:rsidRPr="00C554CD">
        <w:rPr>
          <w:rFonts w:ascii="Palatino Linotype" w:eastAsia="Calibri" w:hAnsi="Palatino Linotype" w:cs="Arial"/>
          <w:b/>
        </w:rPr>
        <w:t>,</w:t>
      </w:r>
      <w:r w:rsidRPr="00C554C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554CD">
        <w:rPr>
          <w:rFonts w:ascii="Palatino Linotype" w:eastAsia="Calibri" w:hAnsi="Palatino Linotype" w:cs="Arial"/>
          <w:b/>
        </w:rPr>
        <w:t>SUJETO OBLIGADO</w:t>
      </w:r>
      <w:r w:rsidR="00BF45DC" w:rsidRPr="00C554CD">
        <w:rPr>
          <w:rFonts w:ascii="Palatino Linotype" w:eastAsia="Calibri" w:hAnsi="Palatino Linotype" w:cs="Arial"/>
        </w:rPr>
        <w:t xml:space="preserve"> entregó</w:t>
      </w:r>
      <w:r w:rsidRPr="00C554CD">
        <w:rPr>
          <w:rFonts w:ascii="Palatino Linotype" w:eastAsia="Calibri" w:hAnsi="Palatino Linotype" w:cs="Arial"/>
        </w:rPr>
        <w:t xml:space="preserve"> su respuesta el día </w:t>
      </w:r>
      <w:r w:rsidR="007948A7" w:rsidRPr="00C554CD">
        <w:rPr>
          <w:rFonts w:ascii="Palatino Linotype" w:eastAsia="Calibri" w:hAnsi="Palatino Linotype" w:cs="Arial"/>
        </w:rPr>
        <w:t>uno</w:t>
      </w:r>
      <w:r w:rsidRPr="00C554CD">
        <w:rPr>
          <w:rFonts w:ascii="Palatino Linotype" w:eastAsia="Calibri" w:hAnsi="Palatino Linotype" w:cs="Arial"/>
        </w:rPr>
        <w:t xml:space="preserve"> (</w:t>
      </w:r>
      <w:r w:rsidR="006F5A13" w:rsidRPr="00C554CD">
        <w:rPr>
          <w:rFonts w:ascii="Palatino Linotype" w:eastAsia="Calibri" w:hAnsi="Palatino Linotype" w:cs="Arial"/>
        </w:rPr>
        <w:t>0</w:t>
      </w:r>
      <w:r w:rsidR="007948A7" w:rsidRPr="00C554CD">
        <w:rPr>
          <w:rFonts w:ascii="Palatino Linotype" w:eastAsia="Calibri" w:hAnsi="Palatino Linotype" w:cs="Arial"/>
        </w:rPr>
        <w:t>1</w:t>
      </w:r>
      <w:r w:rsidRPr="00C554CD">
        <w:rPr>
          <w:rFonts w:ascii="Palatino Linotype" w:eastAsia="Calibri" w:hAnsi="Palatino Linotype" w:cs="Arial"/>
        </w:rPr>
        <w:t xml:space="preserve">) de </w:t>
      </w:r>
      <w:r w:rsidR="007948A7" w:rsidRPr="00C554CD">
        <w:rPr>
          <w:rFonts w:ascii="Palatino Linotype" w:eastAsia="Calibri" w:hAnsi="Palatino Linotype" w:cs="Arial"/>
        </w:rPr>
        <w:t>marz</w:t>
      </w:r>
      <w:r w:rsidR="004F32F2" w:rsidRPr="00C554CD">
        <w:rPr>
          <w:rFonts w:ascii="Palatino Linotype" w:eastAsia="Calibri" w:hAnsi="Palatino Linotype" w:cs="Arial"/>
        </w:rPr>
        <w:t>o</w:t>
      </w:r>
      <w:r w:rsidRPr="00C554CD">
        <w:rPr>
          <w:rFonts w:ascii="Palatino Linotype" w:eastAsia="Calibri" w:hAnsi="Palatino Linotype" w:cs="Arial"/>
        </w:rPr>
        <w:t xml:space="preserve"> de dos mil </w:t>
      </w:r>
      <w:r w:rsidR="004F32F2" w:rsidRPr="00C554CD">
        <w:rPr>
          <w:rFonts w:ascii="Palatino Linotype" w:eastAsia="Calibri" w:hAnsi="Palatino Linotype" w:cs="Arial"/>
        </w:rPr>
        <w:t>veintidós</w:t>
      </w:r>
      <w:r w:rsidRPr="00C554CD">
        <w:rPr>
          <w:rFonts w:ascii="Palatino Linotype" w:eastAsia="Calibri" w:hAnsi="Palatino Linotype" w:cs="Arial"/>
        </w:rPr>
        <w:t xml:space="preserve">, </w:t>
      </w:r>
      <w:r w:rsidRPr="00C554CD">
        <w:rPr>
          <w:rFonts w:ascii="Palatino Linotype" w:hAnsi="Palatino Linotype" w:cs="Arial"/>
        </w:rPr>
        <w:t xml:space="preserve">de tal forma que el plazo para interponer el recurso transcurrió del día </w:t>
      </w:r>
      <w:r w:rsidR="007948A7" w:rsidRPr="00C554CD">
        <w:rPr>
          <w:rFonts w:ascii="Palatino Linotype" w:hAnsi="Palatino Linotype" w:cs="Arial"/>
        </w:rPr>
        <w:t>tres</w:t>
      </w:r>
      <w:r w:rsidRPr="00C554CD">
        <w:rPr>
          <w:rFonts w:ascii="Palatino Linotype" w:hAnsi="Palatino Linotype" w:cs="Arial"/>
        </w:rPr>
        <w:t xml:space="preserve"> (</w:t>
      </w:r>
      <w:r w:rsidR="006F5A13" w:rsidRPr="00C554CD">
        <w:rPr>
          <w:rFonts w:ascii="Palatino Linotype" w:hAnsi="Palatino Linotype" w:cs="Arial"/>
        </w:rPr>
        <w:t>0</w:t>
      </w:r>
      <w:r w:rsidR="007948A7" w:rsidRPr="00C554CD">
        <w:rPr>
          <w:rFonts w:ascii="Palatino Linotype" w:hAnsi="Palatino Linotype" w:cs="Arial"/>
        </w:rPr>
        <w:t>3</w:t>
      </w:r>
      <w:r w:rsidRPr="00C554CD">
        <w:rPr>
          <w:rFonts w:ascii="Palatino Linotype" w:hAnsi="Palatino Linotype" w:cs="Arial"/>
        </w:rPr>
        <w:t>)</w:t>
      </w:r>
      <w:r w:rsidR="00006DF7" w:rsidRPr="00C554CD">
        <w:rPr>
          <w:rFonts w:ascii="Palatino Linotype" w:hAnsi="Palatino Linotype" w:cs="Arial"/>
        </w:rPr>
        <w:t xml:space="preserve"> </w:t>
      </w:r>
      <w:r w:rsidR="007948A7" w:rsidRPr="00C554CD">
        <w:rPr>
          <w:rFonts w:ascii="Palatino Linotype" w:hAnsi="Palatino Linotype" w:cs="Arial"/>
        </w:rPr>
        <w:t xml:space="preserve">al veinticuatro (24) </w:t>
      </w:r>
      <w:r w:rsidR="004F32F2" w:rsidRPr="00C554CD">
        <w:rPr>
          <w:rFonts w:ascii="Palatino Linotype" w:hAnsi="Palatino Linotype" w:cs="Arial"/>
        </w:rPr>
        <w:t xml:space="preserve">de </w:t>
      </w:r>
      <w:r w:rsidR="006F5A13" w:rsidRPr="00C554CD">
        <w:rPr>
          <w:rFonts w:ascii="Palatino Linotype" w:hAnsi="Palatino Linotype" w:cs="Arial"/>
        </w:rPr>
        <w:t>marz</w:t>
      </w:r>
      <w:r w:rsidR="004F32F2" w:rsidRPr="00C554CD">
        <w:rPr>
          <w:rFonts w:ascii="Palatino Linotype" w:hAnsi="Palatino Linotype" w:cs="Arial"/>
        </w:rPr>
        <w:t xml:space="preserve">o </w:t>
      </w:r>
      <w:r w:rsidRPr="00C554CD">
        <w:rPr>
          <w:rFonts w:ascii="Palatino Linotype" w:hAnsi="Palatino Linotype" w:cs="Arial"/>
        </w:rPr>
        <w:t xml:space="preserve">de dos mil </w:t>
      </w:r>
      <w:r w:rsidR="00ED68FE" w:rsidRPr="00C554CD">
        <w:rPr>
          <w:rFonts w:ascii="Palatino Linotype" w:hAnsi="Palatino Linotype" w:cs="Arial"/>
        </w:rPr>
        <w:t>veintidós</w:t>
      </w:r>
      <w:r w:rsidRPr="00C554CD">
        <w:rPr>
          <w:rFonts w:ascii="Palatino Linotype" w:hAnsi="Palatino Linotype" w:cs="Arial"/>
        </w:rPr>
        <w:t xml:space="preserve">; en consecuencia, </w:t>
      </w:r>
      <w:r w:rsidR="004F32F2" w:rsidRPr="00C554CD">
        <w:rPr>
          <w:rFonts w:ascii="Palatino Linotype" w:hAnsi="Palatino Linotype" w:cs="Arial"/>
        </w:rPr>
        <w:t>e</w:t>
      </w:r>
      <w:r w:rsidRPr="00C554CD">
        <w:rPr>
          <w:rFonts w:ascii="Palatino Linotype" w:hAnsi="Palatino Linotype" w:cs="Arial"/>
        </w:rPr>
        <w:t xml:space="preserve">l ahora recurrente presentó su inconformidad el día </w:t>
      </w:r>
      <w:r w:rsidR="007948A7" w:rsidRPr="00C554CD">
        <w:rPr>
          <w:rFonts w:ascii="Palatino Linotype" w:hAnsi="Palatino Linotype" w:cs="Arial"/>
        </w:rPr>
        <w:t xml:space="preserve">dieciséis </w:t>
      </w:r>
      <w:r w:rsidRPr="00C554CD">
        <w:rPr>
          <w:rFonts w:ascii="Palatino Linotype" w:hAnsi="Palatino Linotype" w:cs="Arial"/>
        </w:rPr>
        <w:t>(</w:t>
      </w:r>
      <w:r w:rsidR="007948A7" w:rsidRPr="00C554CD">
        <w:rPr>
          <w:rFonts w:ascii="Palatino Linotype" w:hAnsi="Palatino Linotype" w:cs="Arial"/>
        </w:rPr>
        <w:t>16</w:t>
      </w:r>
      <w:r w:rsidRPr="00C554CD">
        <w:rPr>
          <w:rFonts w:ascii="Palatino Linotype" w:hAnsi="Palatino Linotype" w:cs="Arial"/>
        </w:rPr>
        <w:t>) de</w:t>
      </w:r>
      <w:r w:rsidR="00DB5531" w:rsidRPr="00C554CD">
        <w:rPr>
          <w:rFonts w:ascii="Palatino Linotype" w:hAnsi="Palatino Linotype" w:cs="Arial"/>
        </w:rPr>
        <w:t xml:space="preserve"> </w:t>
      </w:r>
      <w:r w:rsidR="007948A7" w:rsidRPr="00C554CD">
        <w:rPr>
          <w:rFonts w:ascii="Palatino Linotype" w:hAnsi="Palatino Linotype" w:cs="Arial"/>
        </w:rPr>
        <w:t>marz</w:t>
      </w:r>
      <w:r w:rsidR="0097601F" w:rsidRPr="00C554CD">
        <w:rPr>
          <w:rFonts w:ascii="Palatino Linotype" w:hAnsi="Palatino Linotype" w:cs="Arial"/>
        </w:rPr>
        <w:t>o</w:t>
      </w:r>
      <w:r w:rsidRPr="00C554CD">
        <w:rPr>
          <w:rFonts w:ascii="Palatino Linotype" w:hAnsi="Palatino Linotype" w:cs="Arial"/>
        </w:rPr>
        <w:t xml:space="preserve"> de dos mil </w:t>
      </w:r>
      <w:r w:rsidR="00BC4CE2" w:rsidRPr="00C554CD">
        <w:rPr>
          <w:rFonts w:ascii="Palatino Linotype" w:hAnsi="Palatino Linotype" w:cs="Arial"/>
        </w:rPr>
        <w:t>veintidós</w:t>
      </w:r>
      <w:r w:rsidRPr="00C554CD">
        <w:rPr>
          <w:rFonts w:ascii="Palatino Linotype" w:hAnsi="Palatino Linotype" w:cs="Arial"/>
        </w:rPr>
        <w:t xml:space="preserve">; es decir </w:t>
      </w:r>
      <w:r w:rsidR="0034421A" w:rsidRPr="00C554CD">
        <w:rPr>
          <w:rFonts w:ascii="Palatino Linotype" w:hAnsi="Palatino Linotype" w:cs="Arial"/>
        </w:rPr>
        <w:t>dentro del lapso temporal legalmente establecido para tal efecto</w:t>
      </w:r>
      <w:r w:rsidR="00F17E65" w:rsidRPr="00C554CD">
        <w:rPr>
          <w:rFonts w:ascii="Palatino Linotype" w:hAnsi="Palatino Linotype"/>
          <w:lang w:val="es-MX"/>
        </w:rPr>
        <w:t>.</w:t>
      </w:r>
    </w:p>
    <w:p w14:paraId="4224AF31" w14:textId="77777777" w:rsidR="004F32F2" w:rsidRPr="00C554CD" w:rsidRDefault="004F32F2" w:rsidP="004F32F2">
      <w:pPr>
        <w:pStyle w:val="Prrafodelista"/>
        <w:spacing w:line="360" w:lineRule="auto"/>
        <w:ind w:left="0"/>
        <w:jc w:val="both"/>
        <w:rPr>
          <w:rFonts w:ascii="Palatino Linotype" w:hAnsi="Palatino Linotype" w:cs="Arial"/>
          <w:sz w:val="22"/>
          <w:szCs w:val="20"/>
        </w:rPr>
      </w:pPr>
    </w:p>
    <w:p w14:paraId="269A32B1" w14:textId="0E185617" w:rsidR="00F17E65" w:rsidRPr="00C554CD" w:rsidRDefault="004F32F2" w:rsidP="00BE1923">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lang w:val="es-MX"/>
        </w:rPr>
        <w:t>Asimismo</w:t>
      </w:r>
      <w:r w:rsidR="00F17E65" w:rsidRPr="00C554CD">
        <w:rPr>
          <w:rFonts w:ascii="Palatino Linotype" w:eastAsia="Calibri" w:hAnsi="Palatino Linotype" w:cs="Arial"/>
        </w:rPr>
        <w:t xml:space="preserve">, el escrito contiene las formalidades previstas por el artículo 180 último párrafo de la Ley de la materia actual, por lo que es procedente que este Instituto de </w:t>
      </w:r>
      <w:r w:rsidR="00F17E65" w:rsidRPr="00C554CD">
        <w:rPr>
          <w:rFonts w:ascii="Palatino Linotype" w:eastAsia="Palatino Linotype" w:hAnsi="Palatino Linotype" w:cs="Palatino Linotype"/>
        </w:rPr>
        <w:t>Transparencia</w:t>
      </w:r>
      <w:r w:rsidR="00F17E65" w:rsidRPr="00C554CD">
        <w:rPr>
          <w:rFonts w:ascii="Palatino Linotype" w:eastAsia="Calibri" w:hAnsi="Palatino Linotype" w:cs="Arial"/>
        </w:rPr>
        <w:t>, Acceso a la Información Pública y Protección de Datos Personales del Estado de México y Municipios, conozca y resuelva el presente recurso.</w:t>
      </w:r>
    </w:p>
    <w:p w14:paraId="2873721A" w14:textId="77777777" w:rsidR="00484252" w:rsidRPr="00C554CD" w:rsidRDefault="00484252" w:rsidP="00F42014">
      <w:pPr>
        <w:rPr>
          <w:rFonts w:ascii="Palatino Linotype" w:hAnsi="Palatino Linotype"/>
        </w:rPr>
      </w:pPr>
    </w:p>
    <w:p w14:paraId="6E205F1F" w14:textId="38DED0B2" w:rsidR="009417CA" w:rsidRPr="00C554CD" w:rsidRDefault="00C76CBA" w:rsidP="00BE1923">
      <w:pPr>
        <w:pStyle w:val="Ttulo1"/>
        <w:spacing w:before="0" w:line="360" w:lineRule="auto"/>
        <w:rPr>
          <w:rFonts w:ascii="Palatino Linotype" w:hAnsi="Palatino Linotype"/>
          <w:b/>
          <w:color w:val="000000" w:themeColor="text1"/>
          <w:sz w:val="24"/>
        </w:rPr>
      </w:pPr>
      <w:bookmarkStart w:id="222" w:name="_Toc87274189"/>
      <w:r w:rsidRPr="00C554CD">
        <w:rPr>
          <w:rFonts w:ascii="Palatino Linotype" w:hAnsi="Palatino Linotype" w:cs="Arial"/>
          <w:b/>
          <w:color w:val="000000" w:themeColor="text1"/>
          <w:sz w:val="24"/>
        </w:rPr>
        <w:t>TERCER</w:t>
      </w:r>
      <w:r w:rsidR="009417CA" w:rsidRPr="00C554CD">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C554CD">
        <w:rPr>
          <w:rFonts w:ascii="Palatino Linotype" w:hAnsi="Palatino Linotype"/>
          <w:b/>
          <w:color w:val="000000" w:themeColor="text1"/>
          <w:sz w:val="24"/>
        </w:rPr>
        <w:t>De</w:t>
      </w:r>
      <w:r w:rsidR="009531A2" w:rsidRPr="00C554CD">
        <w:rPr>
          <w:rFonts w:ascii="Palatino Linotype" w:hAnsi="Palatino Linotype"/>
          <w:b/>
          <w:color w:val="000000" w:themeColor="text1"/>
          <w:sz w:val="24"/>
        </w:rPr>
        <w:t xml:space="preserve"> previo y especial pronunciamiento</w:t>
      </w:r>
      <w:r w:rsidR="009417CA" w:rsidRPr="00C554CD">
        <w:rPr>
          <w:rFonts w:ascii="Palatino Linotype" w:hAnsi="Palatino Linotype"/>
          <w:b/>
          <w:color w:val="000000" w:themeColor="text1"/>
          <w:sz w:val="24"/>
        </w:rPr>
        <w:t>.</w:t>
      </w:r>
      <w:bookmarkEnd w:id="221"/>
      <w:bookmarkEnd w:id="222"/>
      <w:bookmarkEnd w:id="223"/>
      <w:bookmarkEnd w:id="224"/>
      <w:bookmarkEnd w:id="225"/>
    </w:p>
    <w:p w14:paraId="6F615E47" w14:textId="77777777" w:rsidR="009531A2" w:rsidRPr="00C554CD" w:rsidRDefault="009531A2" w:rsidP="009531A2">
      <w:pPr>
        <w:rPr>
          <w:lang w:eastAsia="es-ES"/>
        </w:rPr>
      </w:pPr>
    </w:p>
    <w:p w14:paraId="1C2B64E6" w14:textId="77777777" w:rsidR="009531A2" w:rsidRPr="00C554CD" w:rsidRDefault="009531A2" w:rsidP="009531A2">
      <w:pPr>
        <w:pStyle w:val="Prrafodelista"/>
        <w:numPr>
          <w:ilvl w:val="0"/>
          <w:numId w:val="2"/>
        </w:numPr>
        <w:spacing w:line="360" w:lineRule="auto"/>
        <w:ind w:left="284" w:firstLine="0"/>
        <w:jc w:val="center"/>
        <w:rPr>
          <w:rFonts w:ascii="Palatino Linotype" w:hAnsi="Palatino Linotype"/>
          <w:b/>
        </w:rPr>
      </w:pPr>
      <w:r w:rsidRPr="00C554CD">
        <w:rPr>
          <w:rFonts w:ascii="Palatino Linotype" w:hAnsi="Palatino Linotype"/>
          <w:b/>
        </w:rPr>
        <w:t>Argumentos a considerar en las resoluciones a los recursos de revisión para justificar los fallos emitidos fuera del plazo legal de 45 días.</w:t>
      </w:r>
    </w:p>
    <w:p w14:paraId="47CA8852" w14:textId="77777777" w:rsidR="009531A2" w:rsidRPr="00C554CD" w:rsidRDefault="009531A2" w:rsidP="009531A2">
      <w:pPr>
        <w:spacing w:line="360" w:lineRule="auto"/>
        <w:ind w:left="-567"/>
        <w:jc w:val="center"/>
        <w:rPr>
          <w:rFonts w:ascii="Palatino Linotype" w:hAnsi="Palatino Linotype"/>
          <w:sz w:val="18"/>
        </w:rPr>
      </w:pPr>
    </w:p>
    <w:p w14:paraId="3FDC978B"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lastRenderedPageBreak/>
        <w:t xml:space="preserve">Este organismo garante no pasa por alto justificar, que la dilación en la resolución del </w:t>
      </w:r>
      <w:r w:rsidRPr="00C554CD">
        <w:rPr>
          <w:rFonts w:ascii="Palatino Linotype" w:hAnsi="Palatino Linotype"/>
          <w:lang w:val="es-MX"/>
        </w:rPr>
        <w:t>presente</w:t>
      </w:r>
      <w:r w:rsidRPr="00C554CD">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CAE7C9A" w14:textId="77777777" w:rsidR="009531A2" w:rsidRPr="00C554CD" w:rsidRDefault="009531A2" w:rsidP="009531A2">
      <w:pPr>
        <w:spacing w:line="360" w:lineRule="auto"/>
        <w:jc w:val="both"/>
        <w:rPr>
          <w:rFonts w:ascii="Palatino Linotype" w:hAnsi="Palatino Linotype"/>
          <w:sz w:val="18"/>
        </w:rPr>
      </w:pPr>
    </w:p>
    <w:p w14:paraId="1CEECFE7"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AA8DFD" w14:textId="77777777" w:rsidR="009531A2" w:rsidRPr="00C554CD" w:rsidRDefault="009531A2" w:rsidP="009531A2">
      <w:pPr>
        <w:spacing w:line="360" w:lineRule="auto"/>
        <w:jc w:val="both"/>
        <w:rPr>
          <w:rFonts w:ascii="Palatino Linotype" w:hAnsi="Palatino Linotype"/>
          <w:sz w:val="18"/>
        </w:rPr>
      </w:pPr>
    </w:p>
    <w:p w14:paraId="7A15D7CE"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05032E" w14:textId="77777777" w:rsidR="009531A2" w:rsidRPr="00C554CD" w:rsidRDefault="009531A2" w:rsidP="009531A2">
      <w:pPr>
        <w:spacing w:line="360" w:lineRule="auto"/>
        <w:jc w:val="both"/>
        <w:rPr>
          <w:rFonts w:ascii="Palatino Linotype" w:hAnsi="Palatino Linotype"/>
          <w:sz w:val="18"/>
        </w:rPr>
      </w:pPr>
    </w:p>
    <w:p w14:paraId="6257D39A"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En ese sentido, el legislador fijó los términos procesales en las leyes, de manera general, sin que pudiera prever la variada gama de casos que son resueltos </w:t>
      </w:r>
      <w:r w:rsidRPr="00C554CD">
        <w:rPr>
          <w:rFonts w:ascii="Palatino Linotype" w:hAnsi="Palatino Linotype"/>
        </w:rPr>
        <w:lastRenderedPageBreak/>
        <w:t xml:space="preserve">por los órganos jurisdiccionales o cuasi jurisdiccionales, tanto por la complejidad de los hechos, como por el número de casos que conocen. </w:t>
      </w:r>
    </w:p>
    <w:p w14:paraId="5E5D9741" w14:textId="77777777" w:rsidR="009531A2" w:rsidRPr="00C554CD" w:rsidRDefault="009531A2" w:rsidP="009531A2">
      <w:pPr>
        <w:spacing w:line="360" w:lineRule="auto"/>
        <w:jc w:val="both"/>
        <w:rPr>
          <w:rFonts w:ascii="Palatino Linotype" w:hAnsi="Palatino Linotype"/>
          <w:sz w:val="18"/>
        </w:rPr>
      </w:pPr>
    </w:p>
    <w:p w14:paraId="4780906C"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A316A15" w14:textId="77777777" w:rsidR="009531A2" w:rsidRPr="00C554CD" w:rsidRDefault="009531A2" w:rsidP="009531A2">
      <w:pPr>
        <w:spacing w:line="360" w:lineRule="auto"/>
        <w:jc w:val="both"/>
        <w:rPr>
          <w:rFonts w:ascii="Palatino Linotype" w:hAnsi="Palatino Linotype"/>
          <w:sz w:val="18"/>
        </w:rPr>
      </w:pPr>
    </w:p>
    <w:p w14:paraId="44BF8238" w14:textId="77777777" w:rsidR="009531A2" w:rsidRPr="00C554CD" w:rsidRDefault="009531A2" w:rsidP="009531A2">
      <w:pPr>
        <w:pStyle w:val="Prrafodelista"/>
        <w:numPr>
          <w:ilvl w:val="0"/>
          <w:numId w:val="41"/>
        </w:numPr>
        <w:spacing w:line="360" w:lineRule="auto"/>
        <w:contextualSpacing/>
        <w:jc w:val="both"/>
        <w:rPr>
          <w:rFonts w:ascii="Palatino Linotype" w:hAnsi="Palatino Linotype"/>
        </w:rPr>
      </w:pPr>
      <w:r w:rsidRPr="00C554CD">
        <w:rPr>
          <w:rFonts w:ascii="Palatino Linotype" w:hAnsi="Palatino Linotype"/>
        </w:rPr>
        <w:t xml:space="preserve">Complejidad del Asunto: La complejidad de la prueba, la pluralidad de sujetos procesales, el tiempo transcurrido, las características y contexto del recurso. </w:t>
      </w:r>
    </w:p>
    <w:p w14:paraId="01F368FA" w14:textId="77777777" w:rsidR="009531A2" w:rsidRPr="00C554CD" w:rsidRDefault="009531A2" w:rsidP="009531A2">
      <w:pPr>
        <w:pStyle w:val="Prrafodelista"/>
        <w:spacing w:line="360" w:lineRule="auto"/>
        <w:ind w:left="927"/>
        <w:jc w:val="both"/>
        <w:rPr>
          <w:rFonts w:ascii="Palatino Linotype" w:hAnsi="Palatino Linotype"/>
        </w:rPr>
      </w:pPr>
    </w:p>
    <w:p w14:paraId="720EEEFF" w14:textId="77777777" w:rsidR="009531A2" w:rsidRPr="00C554CD" w:rsidRDefault="009531A2" w:rsidP="009531A2">
      <w:pPr>
        <w:pStyle w:val="Prrafodelista"/>
        <w:numPr>
          <w:ilvl w:val="0"/>
          <w:numId w:val="41"/>
        </w:numPr>
        <w:spacing w:line="360" w:lineRule="auto"/>
        <w:contextualSpacing/>
        <w:jc w:val="both"/>
        <w:rPr>
          <w:rFonts w:ascii="Palatino Linotype" w:hAnsi="Palatino Linotype"/>
        </w:rPr>
      </w:pPr>
      <w:r w:rsidRPr="00C554CD">
        <w:rPr>
          <w:rFonts w:ascii="Palatino Linotype" w:hAnsi="Palatino Linotype"/>
        </w:rPr>
        <w:t>Actividad Procesal del interesado. Acciones u omisiones del interesado.</w:t>
      </w:r>
    </w:p>
    <w:p w14:paraId="41F3A4F9" w14:textId="77777777" w:rsidR="009531A2" w:rsidRPr="00C554CD" w:rsidRDefault="009531A2" w:rsidP="009531A2">
      <w:pPr>
        <w:spacing w:line="360" w:lineRule="auto"/>
        <w:jc w:val="both"/>
        <w:rPr>
          <w:rFonts w:ascii="Palatino Linotype" w:hAnsi="Palatino Linotype"/>
        </w:rPr>
      </w:pPr>
    </w:p>
    <w:p w14:paraId="3B0CCA6F" w14:textId="77777777" w:rsidR="009531A2" w:rsidRPr="00C554CD" w:rsidRDefault="009531A2" w:rsidP="009531A2">
      <w:pPr>
        <w:pStyle w:val="Prrafodelista"/>
        <w:numPr>
          <w:ilvl w:val="0"/>
          <w:numId w:val="41"/>
        </w:numPr>
        <w:spacing w:line="360" w:lineRule="auto"/>
        <w:contextualSpacing/>
        <w:jc w:val="both"/>
        <w:rPr>
          <w:rFonts w:ascii="Palatino Linotype" w:hAnsi="Palatino Linotype"/>
        </w:rPr>
      </w:pPr>
      <w:r w:rsidRPr="00C554CD">
        <w:rPr>
          <w:rFonts w:ascii="Palatino Linotype" w:hAnsi="Palatino Linotype"/>
        </w:rPr>
        <w:t>Conducta de la Autoridad: Las Acciones u omisiones realizadas en el procedimiento. Así como si la autoridad actuó con la debida diligencia.</w:t>
      </w:r>
    </w:p>
    <w:p w14:paraId="74BEE654" w14:textId="77777777" w:rsidR="009531A2" w:rsidRPr="00C554CD" w:rsidRDefault="009531A2" w:rsidP="009531A2">
      <w:pPr>
        <w:pStyle w:val="Prrafodelista"/>
        <w:spacing w:line="360" w:lineRule="auto"/>
        <w:rPr>
          <w:rFonts w:ascii="Palatino Linotype" w:hAnsi="Palatino Linotype"/>
        </w:rPr>
      </w:pPr>
    </w:p>
    <w:p w14:paraId="5A9714D5" w14:textId="77777777" w:rsidR="009531A2" w:rsidRPr="00C554CD" w:rsidRDefault="009531A2" w:rsidP="009531A2">
      <w:pPr>
        <w:spacing w:line="360" w:lineRule="auto"/>
        <w:ind w:left="567"/>
        <w:jc w:val="both"/>
        <w:rPr>
          <w:rFonts w:ascii="Palatino Linotype" w:hAnsi="Palatino Linotype"/>
        </w:rPr>
      </w:pPr>
      <w:r w:rsidRPr="00C554CD">
        <w:rPr>
          <w:rFonts w:ascii="Palatino Linotype" w:hAnsi="Palatino Linotype"/>
        </w:rPr>
        <w:t>d) La afectación generada en la situación jurídica de la persona involucrada en el proceso: Violación a sus derechos humanos.</w:t>
      </w:r>
    </w:p>
    <w:p w14:paraId="71071401" w14:textId="77777777" w:rsidR="009531A2" w:rsidRPr="00C554CD" w:rsidRDefault="009531A2" w:rsidP="009531A2">
      <w:pPr>
        <w:spacing w:line="360" w:lineRule="auto"/>
        <w:jc w:val="both"/>
        <w:rPr>
          <w:rFonts w:ascii="Palatino Linotype" w:hAnsi="Palatino Linotype"/>
        </w:rPr>
      </w:pPr>
    </w:p>
    <w:p w14:paraId="37976865"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554CD">
        <w:rPr>
          <w:rFonts w:ascii="Palatino Linotype" w:hAnsi="Palatino Linotype"/>
        </w:rPr>
        <w:lastRenderedPageBreak/>
        <w:t>relación con la actuación del funcionario, como ha acontecido en el caso que nos ocupa.</w:t>
      </w:r>
    </w:p>
    <w:p w14:paraId="468CB23F" w14:textId="77777777" w:rsidR="009531A2" w:rsidRPr="00C554CD" w:rsidRDefault="009531A2" w:rsidP="009531A2">
      <w:pPr>
        <w:spacing w:line="360" w:lineRule="auto"/>
        <w:jc w:val="both"/>
        <w:rPr>
          <w:rFonts w:ascii="Palatino Linotype" w:hAnsi="Palatino Linotype"/>
          <w:sz w:val="18"/>
        </w:rPr>
      </w:pPr>
    </w:p>
    <w:p w14:paraId="1E9F06A3"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b/>
        </w:rPr>
      </w:pPr>
      <w:r w:rsidRPr="00C554CD">
        <w:rPr>
          <w:rFonts w:ascii="Palatino Linotype" w:hAnsi="Palatino Linotype"/>
        </w:rPr>
        <w:t xml:space="preserve">Argumento que encuentra sustento en la jurisprudencia P./J. 32/92 emitida por el Pleno de la Suprema Corte de Justicia de la Nación de rubro </w:t>
      </w:r>
      <w:r w:rsidRPr="00C554C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554CD">
        <w:rPr>
          <w:rFonts w:ascii="Palatino Linotype" w:hAnsi="Palatino Linotype"/>
        </w:rPr>
        <w:t>, visible en la Gaceta del Seminario Judicial de la Federación con el registro digital 205635.</w:t>
      </w:r>
    </w:p>
    <w:p w14:paraId="55CE5655" w14:textId="77777777" w:rsidR="009531A2" w:rsidRPr="00C554CD" w:rsidRDefault="009531A2" w:rsidP="009531A2">
      <w:pPr>
        <w:spacing w:line="360" w:lineRule="auto"/>
        <w:jc w:val="both"/>
        <w:rPr>
          <w:rFonts w:ascii="Palatino Linotype" w:hAnsi="Palatino Linotype"/>
          <w:sz w:val="18"/>
        </w:rPr>
      </w:pPr>
    </w:p>
    <w:p w14:paraId="67D2E0C7"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0633B2" w14:textId="77777777" w:rsidR="009531A2" w:rsidRPr="00C554CD" w:rsidRDefault="009531A2" w:rsidP="009531A2">
      <w:pPr>
        <w:spacing w:line="360" w:lineRule="auto"/>
        <w:jc w:val="both"/>
        <w:rPr>
          <w:rFonts w:ascii="Palatino Linotype" w:hAnsi="Palatino Linotype"/>
          <w:sz w:val="18"/>
        </w:rPr>
      </w:pPr>
    </w:p>
    <w:p w14:paraId="28FA01BE"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1A2193D8" w14:textId="77777777" w:rsidR="009531A2" w:rsidRPr="00C554CD" w:rsidRDefault="009531A2" w:rsidP="009531A2">
      <w:pPr>
        <w:spacing w:line="360" w:lineRule="auto"/>
        <w:jc w:val="both"/>
        <w:rPr>
          <w:rFonts w:ascii="Palatino Linotype" w:hAnsi="Palatino Linotype"/>
          <w:sz w:val="18"/>
        </w:rPr>
      </w:pPr>
    </w:p>
    <w:p w14:paraId="15317354" w14:textId="77777777" w:rsidR="009531A2" w:rsidRPr="00C554CD" w:rsidRDefault="009531A2" w:rsidP="009531A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522174A" w14:textId="77777777" w:rsidR="009531A2" w:rsidRPr="00C554CD" w:rsidRDefault="009531A2" w:rsidP="009531A2">
      <w:pPr>
        <w:spacing w:line="360" w:lineRule="auto"/>
        <w:jc w:val="both"/>
        <w:rPr>
          <w:rFonts w:ascii="Palatino Linotype" w:hAnsi="Palatino Linotype"/>
        </w:rPr>
      </w:pPr>
    </w:p>
    <w:p w14:paraId="27E42715" w14:textId="77777777" w:rsidR="009531A2" w:rsidRPr="00C554CD" w:rsidRDefault="009531A2" w:rsidP="009531A2">
      <w:pPr>
        <w:spacing w:line="360" w:lineRule="auto"/>
        <w:ind w:left="426" w:right="474"/>
        <w:jc w:val="both"/>
        <w:rPr>
          <w:rFonts w:ascii="Palatino Linotype" w:hAnsi="Palatino Linotype"/>
        </w:rPr>
      </w:pPr>
      <w:r w:rsidRPr="00C554CD">
        <w:rPr>
          <w:rFonts w:ascii="Palatino Linotype" w:hAnsi="Palatino Linotype"/>
        </w:rPr>
        <w:t xml:space="preserve"> </w:t>
      </w:r>
      <w:r w:rsidRPr="00C554CD">
        <w:rPr>
          <w:rFonts w:ascii="Palatino Linotype" w:hAnsi="Palatino Linotype"/>
          <w:i/>
        </w:rPr>
        <w:t>“PLAZO RAZONABLE PARA RESOLVER. DIMENSIÓN Y EFECTOS DE ESTE CONCEPTO CUANDO SE ADUCE EXCESIVA CARGA DE TRABAJO.”</w:t>
      </w:r>
      <w:r w:rsidRPr="00C554CD">
        <w:rPr>
          <w:rFonts w:ascii="Palatino Linotype" w:hAnsi="Palatino Linotype"/>
        </w:rPr>
        <w:t xml:space="preserve"> consultable en el Seminario Judicial de la Federación y su gaceta, con el registro digital 2002351.</w:t>
      </w:r>
    </w:p>
    <w:p w14:paraId="76BC291E" w14:textId="77777777" w:rsidR="009531A2" w:rsidRPr="00C554CD" w:rsidRDefault="009531A2" w:rsidP="009531A2">
      <w:pPr>
        <w:spacing w:line="360" w:lineRule="auto"/>
        <w:ind w:left="426" w:right="474"/>
        <w:jc w:val="both"/>
        <w:rPr>
          <w:rFonts w:ascii="Palatino Linotype" w:hAnsi="Palatino Linotype"/>
          <w:b/>
        </w:rPr>
      </w:pPr>
    </w:p>
    <w:p w14:paraId="2B825198" w14:textId="77777777" w:rsidR="009531A2" w:rsidRPr="00C554CD" w:rsidRDefault="009531A2" w:rsidP="009531A2">
      <w:pPr>
        <w:spacing w:line="360" w:lineRule="auto"/>
        <w:ind w:left="426" w:right="474"/>
        <w:jc w:val="both"/>
        <w:rPr>
          <w:rFonts w:ascii="Palatino Linotype" w:hAnsi="Palatino Linotype"/>
        </w:rPr>
      </w:pPr>
      <w:r w:rsidRPr="00C554CD">
        <w:rPr>
          <w:rFonts w:ascii="Palatino Linotype" w:hAnsi="Palatino Linotype"/>
          <w:i/>
        </w:rPr>
        <w:t>“PLAZO RAZONABLE PARA RESOLVER. CONCEPTO Y ELEMENTOS QUE LO INTEGRAN A LA LUZ DEL DERECHO INTERNACIONAL DE LOS DERECHOS HUMANOS.”</w:t>
      </w:r>
      <w:r w:rsidRPr="00C554CD">
        <w:rPr>
          <w:rFonts w:ascii="Palatino Linotype" w:hAnsi="Palatino Linotype"/>
        </w:rPr>
        <w:t>, visible en el Seminario Judicial de la Federación y su gaceta, con el registro digital 2002350.</w:t>
      </w:r>
    </w:p>
    <w:p w14:paraId="6C6C9209" w14:textId="77777777" w:rsidR="009531A2" w:rsidRPr="00C554CD" w:rsidRDefault="009531A2" w:rsidP="009531A2">
      <w:pPr>
        <w:rPr>
          <w:lang w:eastAsia="es-ES"/>
        </w:rPr>
      </w:pPr>
    </w:p>
    <w:p w14:paraId="056AC74D" w14:textId="77777777" w:rsidR="009531A2" w:rsidRPr="00C554CD" w:rsidRDefault="009531A2" w:rsidP="009531A2">
      <w:pPr>
        <w:rPr>
          <w:lang w:eastAsia="es-ES"/>
        </w:rPr>
      </w:pPr>
    </w:p>
    <w:p w14:paraId="2807DFD8" w14:textId="4A96B1B2" w:rsidR="009531A2" w:rsidRPr="00C554CD" w:rsidRDefault="009531A2" w:rsidP="009531A2">
      <w:pPr>
        <w:pStyle w:val="Ttulo1"/>
        <w:spacing w:before="0" w:line="360" w:lineRule="auto"/>
        <w:rPr>
          <w:rFonts w:ascii="Palatino Linotype" w:hAnsi="Palatino Linotype"/>
          <w:b/>
          <w:color w:val="000000" w:themeColor="text1"/>
          <w:sz w:val="24"/>
        </w:rPr>
      </w:pPr>
      <w:r w:rsidRPr="00C554CD">
        <w:rPr>
          <w:rFonts w:ascii="Palatino Linotype" w:hAnsi="Palatino Linotype" w:cs="Arial"/>
          <w:b/>
          <w:color w:val="000000" w:themeColor="text1"/>
          <w:sz w:val="24"/>
        </w:rPr>
        <w:t xml:space="preserve">CUARTO. </w:t>
      </w:r>
      <w:r w:rsidRPr="00C554CD">
        <w:rPr>
          <w:rFonts w:ascii="Palatino Linotype" w:hAnsi="Palatino Linotype"/>
          <w:b/>
          <w:color w:val="000000" w:themeColor="text1"/>
          <w:sz w:val="24"/>
        </w:rPr>
        <w:t xml:space="preserve">Del planteamiento de la </w:t>
      </w:r>
      <w:r w:rsidRPr="00C554CD">
        <w:rPr>
          <w:rFonts w:ascii="Palatino Linotype" w:hAnsi="Palatino Linotype"/>
          <w:b/>
          <w:i/>
          <w:color w:val="000000" w:themeColor="text1"/>
          <w:sz w:val="24"/>
        </w:rPr>
        <w:t>Litis</w:t>
      </w:r>
      <w:r w:rsidRPr="00C554CD">
        <w:rPr>
          <w:rFonts w:ascii="Palatino Linotype" w:hAnsi="Palatino Linotype"/>
          <w:b/>
          <w:color w:val="000000" w:themeColor="text1"/>
          <w:sz w:val="24"/>
        </w:rPr>
        <w:t>.</w:t>
      </w:r>
    </w:p>
    <w:p w14:paraId="4A3D7576" w14:textId="42E5C5A5" w:rsidR="009417CA" w:rsidRPr="00C554CD"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C554CD">
        <w:rPr>
          <w:rFonts w:ascii="Palatino Linotype" w:hAnsi="Palatino Linotype"/>
        </w:rPr>
        <w:t xml:space="preserve">Se solicitó, la siguiente información </w:t>
      </w:r>
      <w:r w:rsidR="00FD71C1" w:rsidRPr="00C554CD">
        <w:rPr>
          <w:rFonts w:ascii="Palatino Linotype" w:hAnsi="Palatino Linotype"/>
        </w:rPr>
        <w:t>a modo desagregado</w:t>
      </w:r>
      <w:r w:rsidRPr="00C554CD">
        <w:rPr>
          <w:rFonts w:ascii="Palatino Linotype" w:hAnsi="Palatino Linotype"/>
        </w:rPr>
        <w:t>:</w:t>
      </w:r>
    </w:p>
    <w:p w14:paraId="7B2D9506" w14:textId="77777777" w:rsidR="00C42E34" w:rsidRPr="00C554CD" w:rsidRDefault="00C42E34" w:rsidP="00C42E34">
      <w:pPr>
        <w:pStyle w:val="Prrafodelista"/>
        <w:spacing w:line="360" w:lineRule="auto"/>
        <w:ind w:left="0"/>
        <w:jc w:val="both"/>
        <w:rPr>
          <w:rFonts w:ascii="Palatino Linotype" w:hAnsi="Palatino Linotype"/>
          <w:lang w:val="es-MX" w:eastAsia="en-US"/>
        </w:rPr>
      </w:pPr>
    </w:p>
    <w:p w14:paraId="2AA3D89F" w14:textId="0BE12C6E" w:rsidR="007948A7" w:rsidRPr="00C554CD" w:rsidRDefault="007948A7" w:rsidP="007948A7">
      <w:pPr>
        <w:pStyle w:val="Prrafodelista"/>
        <w:numPr>
          <w:ilvl w:val="2"/>
          <w:numId w:val="33"/>
        </w:numPr>
        <w:spacing w:line="360" w:lineRule="auto"/>
        <w:ind w:left="851" w:right="616"/>
        <w:jc w:val="both"/>
        <w:rPr>
          <w:rFonts w:ascii="Palatino Linotype" w:hAnsi="Palatino Linotype" w:cs="Arial"/>
        </w:rPr>
      </w:pPr>
      <w:r w:rsidRPr="00C554CD">
        <w:rPr>
          <w:rFonts w:ascii="Palatino Linotype" w:hAnsi="Palatino Linotype" w:cs="Arial"/>
          <w:lang w:val="es-MX" w:eastAsia="es-MX"/>
        </w:rPr>
        <w:t xml:space="preserve">Proceso de selección empleado para la designación del personal de nuevo ingreso en los </w:t>
      </w:r>
      <w:r w:rsidR="001B0A9C" w:rsidRPr="00C554CD">
        <w:rPr>
          <w:rFonts w:ascii="Palatino Linotype" w:hAnsi="Palatino Linotype" w:cs="Arial"/>
          <w:lang w:val="es-MX" w:eastAsia="es-MX"/>
        </w:rPr>
        <w:t>cargo</w:t>
      </w:r>
      <w:r w:rsidRPr="00C554CD">
        <w:rPr>
          <w:rFonts w:ascii="Palatino Linotype" w:hAnsi="Palatino Linotype" w:cs="Arial"/>
          <w:lang w:val="es-MX" w:eastAsia="es-MX"/>
        </w:rPr>
        <w:t>s de Técnico Judicial y Archivista Judicial</w:t>
      </w:r>
      <w:r w:rsidR="001B0A9C" w:rsidRPr="00C554CD">
        <w:rPr>
          <w:rFonts w:ascii="Palatino Linotype" w:hAnsi="Palatino Linotype" w:cs="Arial"/>
          <w:lang w:val="es-MX" w:eastAsia="es-MX"/>
        </w:rPr>
        <w:t>,</w:t>
      </w:r>
      <w:r w:rsidRPr="00C554CD">
        <w:rPr>
          <w:rFonts w:ascii="Palatino Linotype" w:hAnsi="Palatino Linotype" w:cs="Arial"/>
          <w:lang w:val="es-MX" w:eastAsia="es-MX"/>
        </w:rPr>
        <w:t xml:space="preserve"> en Juzgados Civiles de Primera Instancia;</w:t>
      </w:r>
      <w:r w:rsidR="001B0A9C" w:rsidRPr="00C554CD">
        <w:rPr>
          <w:rFonts w:ascii="Palatino Linotype" w:hAnsi="Palatino Linotype" w:cs="Arial"/>
          <w:lang w:val="es-MX" w:eastAsia="es-MX"/>
        </w:rPr>
        <w:t xml:space="preserve"> y</w:t>
      </w:r>
    </w:p>
    <w:p w14:paraId="4A1FB456" w14:textId="4A486C18" w:rsidR="007948A7" w:rsidRPr="00C554CD" w:rsidRDefault="007948A7" w:rsidP="007948A7">
      <w:pPr>
        <w:pStyle w:val="Prrafodelista"/>
        <w:numPr>
          <w:ilvl w:val="2"/>
          <w:numId w:val="33"/>
        </w:numPr>
        <w:spacing w:line="360" w:lineRule="auto"/>
        <w:ind w:left="851" w:right="616"/>
        <w:jc w:val="both"/>
        <w:rPr>
          <w:rFonts w:ascii="Palatino Linotype" w:hAnsi="Palatino Linotype" w:cs="Arial"/>
        </w:rPr>
      </w:pPr>
      <w:r w:rsidRPr="00C554CD">
        <w:rPr>
          <w:rFonts w:ascii="Palatino Linotype" w:hAnsi="Palatino Linotype" w:cs="Arial"/>
          <w:lang w:val="es-MX" w:eastAsia="es-MX"/>
        </w:rPr>
        <w:lastRenderedPageBreak/>
        <w:t>Número de plazas disponibles para ocupar l</w:t>
      </w:r>
      <w:r w:rsidR="006B2532" w:rsidRPr="00C554CD">
        <w:rPr>
          <w:rFonts w:ascii="Palatino Linotype" w:hAnsi="Palatino Linotype" w:cs="Arial"/>
          <w:lang w:val="es-MX" w:eastAsia="es-MX"/>
        </w:rPr>
        <w:t>os</w:t>
      </w:r>
      <w:r w:rsidRPr="00C554CD">
        <w:rPr>
          <w:rFonts w:ascii="Palatino Linotype" w:hAnsi="Palatino Linotype" w:cs="Arial"/>
          <w:lang w:val="es-MX" w:eastAsia="es-MX"/>
        </w:rPr>
        <w:t xml:space="preserve"> cargo</w:t>
      </w:r>
      <w:r w:rsidR="006B2532" w:rsidRPr="00C554CD">
        <w:rPr>
          <w:rFonts w:ascii="Palatino Linotype" w:hAnsi="Palatino Linotype" w:cs="Arial"/>
          <w:lang w:val="es-MX" w:eastAsia="es-MX"/>
        </w:rPr>
        <w:t>s</w:t>
      </w:r>
      <w:r w:rsidRPr="00C554CD">
        <w:rPr>
          <w:rFonts w:ascii="Palatino Linotype" w:hAnsi="Palatino Linotype" w:cs="Arial"/>
          <w:lang w:val="es-MX" w:eastAsia="es-MX"/>
        </w:rPr>
        <w:t xml:space="preserve"> de Técnico Judicial </w:t>
      </w:r>
      <w:r w:rsidR="001B0A9C" w:rsidRPr="00C554CD">
        <w:rPr>
          <w:rFonts w:ascii="Palatino Linotype" w:hAnsi="Palatino Linotype" w:cs="Arial"/>
          <w:lang w:val="es-MX" w:eastAsia="es-MX"/>
        </w:rPr>
        <w:t xml:space="preserve">y Archivista Judicial </w:t>
      </w:r>
      <w:r w:rsidRPr="00C554CD">
        <w:rPr>
          <w:rFonts w:ascii="Palatino Linotype" w:hAnsi="Palatino Linotype" w:cs="Arial"/>
          <w:lang w:val="es-MX" w:eastAsia="es-MX"/>
        </w:rPr>
        <w:t>en los Juzgados Tercero Civil, Quinto Civil y Séptimo Civil del Distrito Judicial de Chalco</w:t>
      </w:r>
      <w:r w:rsidR="006B2532" w:rsidRPr="00C554CD">
        <w:rPr>
          <w:rFonts w:ascii="Palatino Linotype" w:hAnsi="Palatino Linotype" w:cs="Arial"/>
          <w:lang w:val="es-MX" w:eastAsia="es-MX"/>
        </w:rPr>
        <w:t>,</w:t>
      </w:r>
      <w:r w:rsidR="001B0A9C" w:rsidRPr="00C554CD">
        <w:rPr>
          <w:rFonts w:ascii="Palatino Linotype" w:hAnsi="Palatino Linotype" w:cs="Arial"/>
          <w:lang w:val="es-MX" w:eastAsia="es-MX"/>
        </w:rPr>
        <w:t xml:space="preserve"> con residencia en Amecameca.</w:t>
      </w:r>
    </w:p>
    <w:p w14:paraId="2D2BA9B3" w14:textId="77777777" w:rsidR="007948A7" w:rsidRPr="00C554CD" w:rsidRDefault="007948A7" w:rsidP="007948A7">
      <w:pPr>
        <w:pStyle w:val="Prrafodelista"/>
        <w:rPr>
          <w:rFonts w:ascii="Palatino Linotype" w:hAnsi="Palatino Linotype" w:cs="Arial"/>
          <w:lang w:val="es-MX" w:eastAsia="es-MX"/>
        </w:rPr>
      </w:pPr>
    </w:p>
    <w:p w14:paraId="45F5E30A" w14:textId="3EC8B264" w:rsidR="009417CA" w:rsidRPr="00C554CD" w:rsidRDefault="009417CA" w:rsidP="00AA0697">
      <w:pPr>
        <w:pStyle w:val="Prrafodelista"/>
        <w:numPr>
          <w:ilvl w:val="0"/>
          <w:numId w:val="7"/>
        </w:numPr>
        <w:spacing w:line="360" w:lineRule="auto"/>
        <w:ind w:left="0" w:firstLine="0"/>
        <w:jc w:val="both"/>
        <w:rPr>
          <w:rFonts w:ascii="Palatino Linotype" w:hAnsi="Palatino Linotype" w:cs="Arial"/>
        </w:rPr>
      </w:pPr>
      <w:r w:rsidRPr="00C554CD">
        <w:rPr>
          <w:rFonts w:ascii="Palatino Linotype" w:hAnsi="Palatino Linotype" w:cs="Arial"/>
        </w:rPr>
        <w:t xml:space="preserve">En </w:t>
      </w:r>
      <w:r w:rsidRPr="00C554CD">
        <w:rPr>
          <w:rFonts w:ascii="Palatino Linotype" w:hAnsi="Palatino Linotype"/>
        </w:rPr>
        <w:t>respuesta</w:t>
      </w:r>
      <w:r w:rsidR="001B0A9C" w:rsidRPr="00C554CD">
        <w:rPr>
          <w:rFonts w:ascii="Palatino Linotype" w:hAnsi="Palatino Linotype"/>
        </w:rPr>
        <w:t>,</w:t>
      </w:r>
      <w:r w:rsidRPr="00C554CD">
        <w:rPr>
          <w:rFonts w:ascii="Palatino Linotype" w:hAnsi="Palatino Linotype" w:cs="Arial"/>
        </w:rPr>
        <w:t xml:space="preserve"> el </w:t>
      </w:r>
      <w:r w:rsidRPr="00C554CD">
        <w:rPr>
          <w:rFonts w:ascii="Palatino Linotype" w:hAnsi="Palatino Linotype" w:cs="Arial"/>
          <w:b/>
        </w:rPr>
        <w:t>SUJETO OBLIGADO,</w:t>
      </w:r>
      <w:r w:rsidRPr="00C554CD">
        <w:rPr>
          <w:rFonts w:ascii="Palatino Linotype" w:hAnsi="Palatino Linotype" w:cs="Arial"/>
        </w:rPr>
        <w:t xml:space="preserve"> </w:t>
      </w:r>
      <w:r w:rsidR="00540AF8" w:rsidRPr="00C554CD">
        <w:rPr>
          <w:rFonts w:ascii="Palatino Linotype" w:hAnsi="Palatino Linotype" w:cs="Arial"/>
        </w:rPr>
        <w:t xml:space="preserve">remitió </w:t>
      </w:r>
      <w:r w:rsidR="001B0A9C" w:rsidRPr="00C554CD">
        <w:rPr>
          <w:rFonts w:ascii="Palatino Linotype" w:hAnsi="Palatino Linotype" w:cs="Arial"/>
        </w:rPr>
        <w:t>un escrito en el que emitió un pronunciamiento a cada una de los rubros que integraron la solicitud de información</w:t>
      </w:r>
      <w:r w:rsidR="00F42014" w:rsidRPr="00C554CD">
        <w:rPr>
          <w:rFonts w:ascii="Palatino Linotype" w:hAnsi="Palatino Linotype" w:cs="Arial"/>
        </w:rPr>
        <w:t>;</w:t>
      </w:r>
      <w:r w:rsidR="003835F9" w:rsidRPr="00C554CD">
        <w:rPr>
          <w:rFonts w:ascii="Palatino Linotype" w:hAnsi="Palatino Linotype" w:cs="Arial"/>
        </w:rPr>
        <w:t xml:space="preserve"> i</w:t>
      </w:r>
      <w:r w:rsidRPr="00C554CD">
        <w:rPr>
          <w:rFonts w:ascii="Palatino Linotype" w:hAnsi="Palatino Linotype" w:cs="Arial"/>
        </w:rPr>
        <w:t>nconforme con la res</w:t>
      </w:r>
      <w:r w:rsidR="00C77050" w:rsidRPr="00C554CD">
        <w:rPr>
          <w:rFonts w:ascii="Palatino Linotype" w:hAnsi="Palatino Linotype" w:cs="Arial"/>
        </w:rPr>
        <w:t xml:space="preserve">puesta, </w:t>
      </w:r>
      <w:r w:rsidR="001B0A9C" w:rsidRPr="00C554CD">
        <w:rPr>
          <w:rFonts w:ascii="Palatino Linotype" w:hAnsi="Palatino Linotype" w:cs="Arial"/>
        </w:rPr>
        <w:t>la solicitante</w:t>
      </w:r>
      <w:r w:rsidR="00317CDA" w:rsidRPr="00C554CD">
        <w:rPr>
          <w:rFonts w:ascii="Palatino Linotype" w:hAnsi="Palatino Linotype" w:cs="Arial"/>
        </w:rPr>
        <w:t xml:space="preserve"> interpuso</w:t>
      </w:r>
      <w:r w:rsidRPr="00C554CD">
        <w:rPr>
          <w:rFonts w:ascii="Palatino Linotype" w:hAnsi="Palatino Linotype" w:cs="Arial"/>
        </w:rPr>
        <w:t xml:space="preserve"> recurso de revisión, </w:t>
      </w:r>
      <w:r w:rsidR="00F42014" w:rsidRPr="00C554CD">
        <w:rPr>
          <w:rFonts w:ascii="Palatino Linotype" w:hAnsi="Palatino Linotype" w:cs="Arial"/>
        </w:rPr>
        <w:t>exponiendo</w:t>
      </w:r>
      <w:r w:rsidRPr="00C554CD">
        <w:rPr>
          <w:rFonts w:ascii="Palatino Linotype" w:hAnsi="Palatino Linotype" w:cs="Arial"/>
        </w:rPr>
        <w:t xml:space="preserve"> </w:t>
      </w:r>
      <w:r w:rsidR="00C77050" w:rsidRPr="00C554CD">
        <w:rPr>
          <w:rFonts w:ascii="Palatino Linotype" w:hAnsi="Palatino Linotype" w:cs="Arial"/>
          <w:i/>
        </w:rPr>
        <w:t>grosso modo</w:t>
      </w:r>
      <w:r w:rsidR="00C77050" w:rsidRPr="00C554CD">
        <w:rPr>
          <w:rFonts w:ascii="Palatino Linotype" w:hAnsi="Palatino Linotype" w:cs="Arial"/>
        </w:rPr>
        <w:t xml:space="preserve"> </w:t>
      </w:r>
      <w:r w:rsidR="001B0A9C" w:rsidRPr="00C554CD">
        <w:rPr>
          <w:rFonts w:ascii="Palatino Linotype" w:hAnsi="Palatino Linotype" w:cs="Arial"/>
        </w:rPr>
        <w:t>la entrega de información incompleta</w:t>
      </w:r>
      <w:r w:rsidR="00580905" w:rsidRPr="00C554CD">
        <w:rPr>
          <w:rFonts w:ascii="Palatino Linotype" w:hAnsi="Palatino Linotype" w:cs="Arial"/>
        </w:rPr>
        <w:t>.</w:t>
      </w:r>
    </w:p>
    <w:p w14:paraId="1A2A0718" w14:textId="77777777" w:rsidR="00283930" w:rsidRPr="00C554CD" w:rsidRDefault="00283930" w:rsidP="00283930">
      <w:pPr>
        <w:pStyle w:val="Prrafodelista"/>
        <w:rPr>
          <w:rFonts w:ascii="Palatino Linotype" w:hAnsi="Palatino Linotype" w:cs="Arial"/>
        </w:rPr>
      </w:pPr>
    </w:p>
    <w:p w14:paraId="646B010A" w14:textId="36CFA842" w:rsidR="009417CA" w:rsidRPr="00C554CD"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C554CD">
        <w:rPr>
          <w:rFonts w:ascii="Palatino Linotype" w:eastAsia="MS Mincho" w:hAnsi="Palatino Linotype" w:cs="Arial"/>
        </w:rPr>
        <w:t xml:space="preserve">En </w:t>
      </w:r>
      <w:r w:rsidRPr="00C554CD">
        <w:rPr>
          <w:rFonts w:ascii="Palatino Linotype" w:hAnsi="Palatino Linotype" w:cs="Arial"/>
        </w:rPr>
        <w:t xml:space="preserve">dichas condiciones, la </w:t>
      </w:r>
      <w:r w:rsidRPr="00C554CD">
        <w:rPr>
          <w:rFonts w:ascii="Palatino Linotype" w:hAnsi="Palatino Linotype" w:cs="Arial"/>
          <w:i/>
        </w:rPr>
        <w:t>Litis</w:t>
      </w:r>
      <w:r w:rsidRPr="00C554CD">
        <w:rPr>
          <w:rFonts w:ascii="Palatino Linotype" w:hAnsi="Palatino Linotype" w:cs="Arial"/>
        </w:rPr>
        <w:t xml:space="preserve"> a resolver en </w:t>
      </w:r>
      <w:r w:rsidR="003E7EB6" w:rsidRPr="00C554CD">
        <w:rPr>
          <w:rFonts w:ascii="Palatino Linotype" w:hAnsi="Palatino Linotype" w:cs="Arial"/>
        </w:rPr>
        <w:t>el presente</w:t>
      </w:r>
      <w:r w:rsidRPr="00C554CD">
        <w:rPr>
          <w:rFonts w:ascii="Palatino Linotype" w:hAnsi="Palatino Linotype" w:cs="Arial"/>
        </w:rPr>
        <w:t xml:space="preserve"> recurso de revisión, se circunscribe a determinar si </w:t>
      </w:r>
      <w:r w:rsidRPr="00C554CD">
        <w:rPr>
          <w:rFonts w:ascii="Palatino Linotype" w:eastAsia="MS Mincho" w:hAnsi="Palatino Linotype" w:cs="Arial"/>
        </w:rPr>
        <w:t xml:space="preserve">se actualizan la causal de procedencia prevista en el </w:t>
      </w:r>
      <w:r w:rsidRPr="00C554CD">
        <w:rPr>
          <w:rFonts w:ascii="Palatino Linotype" w:eastAsia="MS Mincho" w:hAnsi="Palatino Linotype" w:cs="Arial"/>
          <w:b/>
        </w:rPr>
        <w:t>artículo 179</w:t>
      </w:r>
      <w:r w:rsidRPr="00C554CD">
        <w:rPr>
          <w:rFonts w:ascii="Palatino Linotype" w:eastAsia="MS Mincho" w:hAnsi="Palatino Linotype" w:cs="Arial"/>
        </w:rPr>
        <w:t xml:space="preserve">, </w:t>
      </w:r>
      <w:r w:rsidR="00580905" w:rsidRPr="00C554CD">
        <w:rPr>
          <w:rFonts w:ascii="Palatino Linotype" w:eastAsia="MS Mincho" w:hAnsi="Palatino Linotype" w:cs="Arial"/>
        </w:rPr>
        <w:t>fracción</w:t>
      </w:r>
      <w:r w:rsidRPr="00C554CD">
        <w:rPr>
          <w:rFonts w:ascii="Palatino Linotype" w:eastAsia="MS Mincho" w:hAnsi="Palatino Linotype" w:cs="Arial"/>
        </w:rPr>
        <w:t xml:space="preserve"> </w:t>
      </w:r>
      <w:r w:rsidR="00C77050" w:rsidRPr="00C554CD">
        <w:rPr>
          <w:rFonts w:ascii="Palatino Linotype" w:eastAsia="MS Mincho" w:hAnsi="Palatino Linotype" w:cs="Arial"/>
          <w:b/>
        </w:rPr>
        <w:t>V</w:t>
      </w:r>
      <w:r w:rsidR="0039460E" w:rsidRPr="00C554CD">
        <w:rPr>
          <w:rFonts w:ascii="Palatino Linotype" w:eastAsia="MS Mincho" w:hAnsi="Palatino Linotype" w:cs="Arial"/>
          <w:b/>
        </w:rPr>
        <w:t xml:space="preserve"> </w:t>
      </w:r>
      <w:r w:rsidRPr="00C554CD">
        <w:rPr>
          <w:rFonts w:ascii="Palatino Linotype" w:eastAsia="MS Mincho" w:hAnsi="Palatino Linotype" w:cs="Arial"/>
        </w:rPr>
        <w:t xml:space="preserve">de la </w:t>
      </w:r>
      <w:r w:rsidRPr="00C554CD">
        <w:rPr>
          <w:rFonts w:ascii="Palatino Linotype" w:eastAsia="MS Mincho" w:hAnsi="Palatino Linotype" w:cs="Arial"/>
          <w:b/>
        </w:rPr>
        <w:t xml:space="preserve">Ley de Transparencia y Acceso a la Información </w:t>
      </w:r>
      <w:r w:rsidRPr="00C554CD">
        <w:rPr>
          <w:rFonts w:ascii="Palatino Linotype" w:hAnsi="Palatino Linotype" w:cs="Arial"/>
        </w:rPr>
        <w:t>Pública</w:t>
      </w:r>
      <w:r w:rsidRPr="00C554CD">
        <w:rPr>
          <w:rFonts w:ascii="Palatino Linotype" w:eastAsia="MS Mincho" w:hAnsi="Palatino Linotype" w:cs="Arial"/>
          <w:b/>
        </w:rPr>
        <w:t xml:space="preserve"> del Estado de México y Municipios</w:t>
      </w:r>
      <w:r w:rsidRPr="00C554CD">
        <w:rPr>
          <w:rFonts w:ascii="Palatino Linotype" w:eastAsia="MS Mincho" w:hAnsi="Palatino Linotype" w:cs="Arial"/>
        </w:rPr>
        <w:t xml:space="preserve">; </w:t>
      </w:r>
      <w:r w:rsidR="00580905" w:rsidRPr="00C554CD">
        <w:rPr>
          <w:rFonts w:ascii="Palatino Linotype" w:hAnsi="Palatino Linotype" w:cs="Arial"/>
          <w:color w:val="000000" w:themeColor="text1"/>
        </w:rPr>
        <w:t>fracción</w:t>
      </w:r>
      <w:r w:rsidRPr="00C554CD">
        <w:rPr>
          <w:rFonts w:ascii="Palatino Linotype" w:hAnsi="Palatino Linotype" w:cs="Arial"/>
          <w:color w:val="000000" w:themeColor="text1"/>
        </w:rPr>
        <w:t xml:space="preserve"> que determina la hipótesis jurídica de </w:t>
      </w:r>
      <w:r w:rsidR="001B0A9C" w:rsidRPr="00C554CD">
        <w:rPr>
          <w:rFonts w:ascii="Palatino Linotype" w:hAnsi="Palatino Linotype" w:cs="Arial"/>
          <w:b/>
          <w:color w:val="000000" w:themeColor="text1"/>
        </w:rPr>
        <w:t>la entrega de información incompleta</w:t>
      </w:r>
      <w:r w:rsidRPr="00C554CD">
        <w:rPr>
          <w:rFonts w:ascii="Palatino Linotype" w:hAnsi="Palatino Linotype" w:cs="Arial"/>
          <w:color w:val="000000" w:themeColor="text1"/>
        </w:rPr>
        <w:t xml:space="preserve">, </w:t>
      </w:r>
      <w:r w:rsidRPr="00C554CD">
        <w:rPr>
          <w:rFonts w:ascii="Palatino Linotype" w:eastAsia="MS Mincho" w:hAnsi="Palatino Linotype" w:cs="Arial"/>
        </w:rPr>
        <w:t xml:space="preserve">causal de la que se dolió </w:t>
      </w:r>
      <w:r w:rsidR="001B0A9C" w:rsidRPr="00C554CD">
        <w:rPr>
          <w:rFonts w:ascii="Palatino Linotype" w:eastAsia="MS Mincho" w:hAnsi="Palatino Linotype" w:cs="Arial"/>
        </w:rPr>
        <w:t>la particular</w:t>
      </w:r>
      <w:r w:rsidRPr="00C554CD">
        <w:rPr>
          <w:rFonts w:ascii="Palatino Linotype" w:eastAsia="MS Mincho" w:hAnsi="Palatino Linotype" w:cs="Arial"/>
        </w:rPr>
        <w:t xml:space="preserve"> recurrente al momento de interponer su recurso de revisión,</w:t>
      </w:r>
      <w:r w:rsidRPr="00C554CD">
        <w:rPr>
          <w:rFonts w:ascii="Palatino Linotype" w:hAnsi="Palatino Linotype" w:cs="Arial"/>
          <w:color w:val="000000" w:themeColor="text1"/>
        </w:rPr>
        <w:t xml:space="preserve"> por lo que se</w:t>
      </w:r>
      <w:r w:rsidRPr="00C554CD">
        <w:rPr>
          <w:rFonts w:ascii="Palatino Linotype" w:hAnsi="Palatino Linotype" w:cs="Arial"/>
          <w:color w:val="000000" w:themeColor="text1"/>
          <w:szCs w:val="23"/>
        </w:rPr>
        <w:t xml:space="preserve"> determinará si el </w:t>
      </w:r>
      <w:r w:rsidRPr="00C554CD">
        <w:rPr>
          <w:rFonts w:ascii="Palatino Linotype" w:hAnsi="Palatino Linotype" w:cs="Arial"/>
          <w:b/>
          <w:color w:val="000000" w:themeColor="text1"/>
          <w:szCs w:val="23"/>
        </w:rPr>
        <w:t>SUJETO</w:t>
      </w:r>
      <w:r w:rsidRPr="00C554CD">
        <w:rPr>
          <w:rFonts w:ascii="Palatino Linotype" w:hAnsi="Palatino Linotype" w:cs="Arial"/>
          <w:color w:val="000000" w:themeColor="text1"/>
          <w:szCs w:val="23"/>
        </w:rPr>
        <w:t xml:space="preserve"> </w:t>
      </w:r>
      <w:r w:rsidRPr="00C554CD">
        <w:rPr>
          <w:rFonts w:ascii="Palatino Linotype" w:hAnsi="Palatino Linotype" w:cs="Arial"/>
          <w:b/>
          <w:color w:val="000000" w:themeColor="text1"/>
          <w:szCs w:val="23"/>
        </w:rPr>
        <w:t>OBLIGADO</w:t>
      </w:r>
      <w:r w:rsidRPr="00C554CD">
        <w:rPr>
          <w:rFonts w:ascii="Palatino Linotype" w:hAnsi="Palatino Linotype" w:cs="Arial"/>
          <w:color w:val="000000" w:themeColor="text1"/>
          <w:szCs w:val="23"/>
        </w:rPr>
        <w:t xml:space="preserve"> con su respuesta ciertamente </w:t>
      </w:r>
      <w:r w:rsidRPr="00C554CD">
        <w:rPr>
          <w:rFonts w:ascii="Palatino Linotype" w:hAnsi="Palatino Linotype"/>
          <w:color w:val="000000" w:themeColor="text1"/>
        </w:rPr>
        <w:t>actualiza la causal de referencia</w:t>
      </w:r>
      <w:r w:rsidRPr="00C554CD">
        <w:rPr>
          <w:rFonts w:ascii="Palatino Linotype" w:hAnsi="Palatino Linotype" w:cs="Arial"/>
          <w:color w:val="000000" w:themeColor="text1"/>
        </w:rPr>
        <w:t>; asimismo, determinar si se vulnera el derecho de acceso a la información d</w:t>
      </w:r>
      <w:r w:rsidR="001B0A9C" w:rsidRPr="00C554CD">
        <w:rPr>
          <w:rFonts w:ascii="Palatino Linotype" w:hAnsi="Palatino Linotype" w:cs="Arial"/>
          <w:color w:val="000000" w:themeColor="text1"/>
        </w:rPr>
        <w:t>e la particular</w:t>
      </w:r>
      <w:r w:rsidRPr="00C554CD">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C554CD" w:rsidRDefault="009417CA" w:rsidP="00BE1923">
      <w:pPr>
        <w:pStyle w:val="Prrafodelista"/>
        <w:spacing w:line="360" w:lineRule="auto"/>
        <w:rPr>
          <w:rFonts w:ascii="Palatino Linotype" w:eastAsia="MS Mincho" w:hAnsi="Palatino Linotype" w:cs="Arial"/>
        </w:rPr>
      </w:pPr>
    </w:p>
    <w:p w14:paraId="2C201A05" w14:textId="2D120257" w:rsidR="009417CA" w:rsidRPr="00C554CD" w:rsidRDefault="009531A2"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C554CD">
        <w:rPr>
          <w:rFonts w:ascii="Palatino Linotype" w:hAnsi="Palatino Linotype"/>
          <w:b/>
          <w:color w:val="000000" w:themeColor="text1"/>
          <w:sz w:val="24"/>
        </w:rPr>
        <w:lastRenderedPageBreak/>
        <w:t>QUIN</w:t>
      </w:r>
      <w:r w:rsidR="00822012" w:rsidRPr="00C554CD">
        <w:rPr>
          <w:rFonts w:ascii="Palatino Linotype" w:hAnsi="Palatino Linotype"/>
          <w:b/>
          <w:color w:val="000000" w:themeColor="text1"/>
          <w:sz w:val="24"/>
        </w:rPr>
        <w:t>T</w:t>
      </w:r>
      <w:r w:rsidR="009417CA" w:rsidRPr="00C554CD">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C554CD" w:rsidRDefault="0039460E" w:rsidP="0039460E">
      <w:pPr>
        <w:rPr>
          <w:lang w:eastAsia="en-US"/>
        </w:rPr>
      </w:pPr>
    </w:p>
    <w:p w14:paraId="027D0966" w14:textId="77777777" w:rsidR="00C93C30" w:rsidRPr="00C554CD"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Primeramente es menester precisar</w:t>
      </w:r>
      <w:r w:rsidRPr="00C554CD">
        <w:rPr>
          <w:rFonts w:ascii="Palatino Linotype" w:hAnsi="Palatino Linotype"/>
          <w:bCs/>
          <w:color w:val="000000" w:themeColor="text1"/>
          <w:lang w:val="es-MX"/>
        </w:rPr>
        <w:t xml:space="preserve"> que </w:t>
      </w:r>
      <w:r w:rsidRPr="00C554CD">
        <w:rPr>
          <w:rFonts w:ascii="Palatino Linotype" w:hAnsi="Palatino Linotype"/>
          <w:bCs/>
          <w:color w:val="000000" w:themeColor="text1"/>
        </w:rPr>
        <w:t xml:space="preserve">este Órgano Garante parte del hecho que el Derecho de </w:t>
      </w:r>
      <w:r w:rsidRPr="00C554CD">
        <w:rPr>
          <w:rFonts w:ascii="Palatino Linotype" w:eastAsia="MS Mincho" w:hAnsi="Palatino Linotype" w:cs="Arial"/>
        </w:rPr>
        <w:t>Acceso</w:t>
      </w:r>
      <w:r w:rsidRPr="00C554CD">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554CD">
        <w:rPr>
          <w:rFonts w:ascii="Palatino Linotype" w:hAnsi="Palatino Linotype"/>
          <w:b/>
          <w:bCs/>
          <w:color w:val="000000" w:themeColor="text1"/>
        </w:rPr>
        <w:t>SUJETO OBLIGADO</w:t>
      </w:r>
      <w:r w:rsidRPr="00C554CD">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54CD">
        <w:rPr>
          <w:rFonts w:ascii="Palatino Linotype" w:hAnsi="Palatino Linotype"/>
          <w:b/>
          <w:bCs/>
          <w:color w:val="000000" w:themeColor="text1"/>
        </w:rPr>
        <w:t xml:space="preserve">Constitución Política de los Estados Unidos Mexicanos </w:t>
      </w:r>
      <w:r w:rsidRPr="00C554CD">
        <w:rPr>
          <w:rFonts w:ascii="Palatino Linotype" w:hAnsi="Palatino Linotype"/>
          <w:bCs/>
          <w:color w:val="000000" w:themeColor="text1"/>
        </w:rPr>
        <w:t xml:space="preserve">al señalar la obligación de “promover, respetar, proteger y </w:t>
      </w:r>
      <w:r w:rsidRPr="00C554CD">
        <w:rPr>
          <w:rFonts w:ascii="Palatino Linotype" w:hAnsi="Palatino Linotype"/>
          <w:b/>
          <w:bCs/>
          <w:color w:val="000000" w:themeColor="text1"/>
        </w:rPr>
        <w:t>garantizar</w:t>
      </w:r>
      <w:r w:rsidRPr="00C554CD">
        <w:rPr>
          <w:rFonts w:ascii="Palatino Linotype" w:hAnsi="Palatino Linotype"/>
          <w:bCs/>
          <w:color w:val="000000" w:themeColor="text1"/>
        </w:rPr>
        <w:t xml:space="preserve"> los derechos humanos”, entre los cuales se encuentra dicho derecho.</w:t>
      </w:r>
    </w:p>
    <w:p w14:paraId="11DE4FB2" w14:textId="77777777" w:rsidR="00C93C30" w:rsidRPr="00C554CD"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C554CD"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 xml:space="preserve">Por </w:t>
      </w:r>
      <w:r w:rsidRPr="00C554CD">
        <w:rPr>
          <w:rFonts w:ascii="Palatino Linotype" w:hAnsi="Palatino Linotype"/>
          <w:color w:val="000000" w:themeColor="text1"/>
          <w:lang w:val="es-MX"/>
        </w:rPr>
        <w:t xml:space="preserve">lo anterior, se deduce que el derecho de acceso a la información pública es un </w:t>
      </w:r>
      <w:r w:rsidRPr="00C554CD">
        <w:rPr>
          <w:rFonts w:ascii="Palatino Linotype" w:hAnsi="Palatino Linotype"/>
          <w:color w:val="000000" w:themeColor="text1"/>
        </w:rPr>
        <w:t>derecho</w:t>
      </w:r>
      <w:r w:rsidRPr="00C554CD">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C554CD" w:rsidRDefault="00C93C30" w:rsidP="00C93C30">
      <w:pPr>
        <w:pStyle w:val="Prrafodelista"/>
        <w:rPr>
          <w:rFonts w:ascii="Palatino Linotype" w:hAnsi="Palatino Linotype"/>
          <w:color w:val="000000" w:themeColor="text1"/>
        </w:rPr>
      </w:pPr>
    </w:p>
    <w:p w14:paraId="289871E1" w14:textId="77777777" w:rsidR="00C93C30" w:rsidRPr="00C554CD"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 xml:space="preserve">Así las cosas, </w:t>
      </w:r>
      <w:r w:rsidRPr="00C554CD">
        <w:rPr>
          <w:rFonts w:ascii="Palatino Linotype" w:hAnsi="Palatino Linotype"/>
          <w:color w:val="000000" w:themeColor="text1"/>
          <w:lang w:val="es-MX"/>
        </w:rPr>
        <w:t xml:space="preserve">podemos definir el Derecho de Acceso a la Información Pública como: </w:t>
      </w:r>
      <w:r w:rsidRPr="00C554CD">
        <w:rPr>
          <w:rFonts w:ascii="Palatino Linotype" w:hAnsi="Palatino Linotype"/>
          <w:i/>
          <w:color w:val="000000" w:themeColor="text1"/>
          <w:lang w:val="es-MX"/>
        </w:rPr>
        <w:t>La igualdad de oportunidades para recibir, buscar e impartir información</w:t>
      </w:r>
      <w:r w:rsidRPr="00C554CD">
        <w:rPr>
          <w:rFonts w:ascii="Palatino Linotype" w:hAnsi="Palatino Linotype"/>
          <w:i/>
          <w:color w:val="000000" w:themeColor="text1"/>
          <w:vertAlign w:val="superscript"/>
          <w:lang w:val="es-MX"/>
        </w:rPr>
        <w:footnoteReference w:id="1"/>
      </w:r>
      <w:r w:rsidRPr="00C554CD">
        <w:rPr>
          <w:rFonts w:ascii="Palatino Linotype" w:hAnsi="Palatino Linotype"/>
          <w:i/>
          <w:color w:val="000000" w:themeColor="text1"/>
          <w:lang w:val="es-MX"/>
        </w:rPr>
        <w:t xml:space="preserve">en posesión de cualquier autoridad, entidad, órgano y organismo de los poderes Ejecutivo, Legislativo y </w:t>
      </w:r>
      <w:r w:rsidRPr="00C554CD">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C554CD">
        <w:rPr>
          <w:rFonts w:ascii="Palatino Linotype" w:hAnsi="Palatino Linotype"/>
          <w:i/>
          <w:color w:val="000000" w:themeColor="text1"/>
          <w:vertAlign w:val="superscript"/>
          <w:lang w:val="es-MX"/>
        </w:rPr>
        <w:footnoteReference w:id="2"/>
      </w:r>
      <w:r w:rsidRPr="00C554CD">
        <w:rPr>
          <w:rFonts w:ascii="Palatino Linotype" w:hAnsi="Palatino Linotype"/>
          <w:color w:val="000000" w:themeColor="text1"/>
          <w:lang w:val="es-MX"/>
        </w:rPr>
        <w:t>que se constituye como una herramienta fundamental para ejercer</w:t>
      </w:r>
      <w:r w:rsidRPr="00C554CD">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554CD">
        <w:rPr>
          <w:rFonts w:ascii="Palatino Linotype" w:hAnsi="Palatino Linotype"/>
          <w:i/>
          <w:color w:val="000000" w:themeColor="text1"/>
          <w:vertAlign w:val="superscript"/>
          <w:lang w:val="es-MX"/>
        </w:rPr>
        <w:footnoteReference w:id="3"/>
      </w:r>
      <w:r w:rsidRPr="00C554CD">
        <w:rPr>
          <w:rFonts w:ascii="Palatino Linotype" w:hAnsi="Palatino Linotype"/>
          <w:i/>
          <w:color w:val="000000" w:themeColor="text1"/>
          <w:lang w:val="es-MX"/>
        </w:rPr>
        <w:t xml:space="preserve"> </w:t>
      </w:r>
      <w:r w:rsidRPr="00C554CD">
        <w:rPr>
          <w:rFonts w:ascii="Palatino Linotype" w:hAnsi="Palatino Linotype"/>
          <w:color w:val="000000" w:themeColor="text1"/>
          <w:lang w:val="es-MX"/>
        </w:rPr>
        <w:t>fomentando</w:t>
      </w:r>
      <w:r w:rsidRPr="00C554CD">
        <w:rPr>
          <w:rFonts w:ascii="Palatino Linotype" w:hAnsi="Palatino Linotype"/>
          <w:i/>
          <w:color w:val="000000" w:themeColor="text1"/>
          <w:lang w:val="es-MX"/>
        </w:rPr>
        <w:t xml:space="preserve"> la transparencia de las actividades estatales y </w:t>
      </w:r>
      <w:r w:rsidRPr="00C554CD">
        <w:rPr>
          <w:rFonts w:ascii="Palatino Linotype" w:hAnsi="Palatino Linotype"/>
          <w:color w:val="000000" w:themeColor="text1"/>
          <w:lang w:val="es-MX"/>
        </w:rPr>
        <w:t>promoviendo</w:t>
      </w:r>
      <w:r w:rsidRPr="00C554CD">
        <w:rPr>
          <w:rFonts w:ascii="Palatino Linotype" w:hAnsi="Palatino Linotype"/>
          <w:i/>
          <w:color w:val="000000" w:themeColor="text1"/>
          <w:lang w:val="es-MX"/>
        </w:rPr>
        <w:t xml:space="preserve"> la responsabilidad de los funcionarios sobre su gestión pública,</w:t>
      </w:r>
      <w:r w:rsidRPr="00C554CD">
        <w:rPr>
          <w:rFonts w:ascii="Palatino Linotype" w:hAnsi="Palatino Linotype"/>
          <w:i/>
          <w:color w:val="000000" w:themeColor="text1"/>
          <w:vertAlign w:val="superscript"/>
          <w:lang w:val="es-MX"/>
        </w:rPr>
        <w:footnoteReference w:id="4"/>
      </w:r>
      <w:r w:rsidRPr="00C554CD">
        <w:rPr>
          <w:rFonts w:ascii="Palatino Linotype" w:hAnsi="Palatino Linotype"/>
          <w:color w:val="000000" w:themeColor="text1"/>
          <w:lang w:val="es-MX"/>
        </w:rPr>
        <w:t>que permite</w:t>
      </w:r>
      <w:r w:rsidRPr="00C554CD">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C554CD" w:rsidRDefault="00C93C30" w:rsidP="00C93C30">
      <w:pPr>
        <w:pStyle w:val="Prrafodelista"/>
        <w:rPr>
          <w:rFonts w:ascii="Palatino Linotype" w:hAnsi="Palatino Linotype"/>
          <w:color w:val="000000" w:themeColor="text1"/>
        </w:rPr>
      </w:pPr>
    </w:p>
    <w:p w14:paraId="1AB2137B" w14:textId="77777777" w:rsidR="00C93C30" w:rsidRPr="00C554CD"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 xml:space="preserve">Por otro lado, </w:t>
      </w:r>
      <w:r w:rsidRPr="00C554CD">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C554CD" w:rsidRDefault="00C93C30" w:rsidP="00C93C30">
      <w:pPr>
        <w:pStyle w:val="Prrafodelista"/>
        <w:spacing w:line="360" w:lineRule="auto"/>
        <w:ind w:left="0"/>
        <w:jc w:val="both"/>
        <w:rPr>
          <w:rFonts w:ascii="Palatino Linotype" w:eastAsia="MS Mincho" w:hAnsi="Palatino Linotype" w:cs="Arial"/>
        </w:rPr>
      </w:pPr>
    </w:p>
    <w:p w14:paraId="37D3C744" w14:textId="0F93034A" w:rsidR="001B0A9C" w:rsidRPr="00C554CD" w:rsidRDefault="00580905" w:rsidP="001B0A9C">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color w:val="000000"/>
        </w:rPr>
        <w:lastRenderedPageBreak/>
        <w:t xml:space="preserve">Acotado lo </w:t>
      </w:r>
      <w:r w:rsidRPr="00C554CD">
        <w:rPr>
          <w:rFonts w:ascii="Palatino Linotype" w:hAnsi="Palatino Linotype"/>
          <w:color w:val="000000" w:themeColor="text1"/>
        </w:rPr>
        <w:t>anterior</w:t>
      </w:r>
      <w:r w:rsidRPr="00C554CD">
        <w:rPr>
          <w:rFonts w:ascii="Palatino Linotype" w:hAnsi="Palatino Linotype"/>
          <w:color w:val="000000"/>
        </w:rPr>
        <w:t xml:space="preserve">, es dable primeramente señalar, que como se desprende del planteamiento de la </w:t>
      </w:r>
      <w:r w:rsidRPr="00C554CD">
        <w:rPr>
          <w:rFonts w:ascii="Palatino Linotype" w:hAnsi="Palatino Linotype"/>
          <w:i/>
        </w:rPr>
        <w:t>Litis</w:t>
      </w:r>
      <w:r w:rsidRPr="00C554CD">
        <w:rPr>
          <w:rFonts w:ascii="Palatino Linotype" w:hAnsi="Palatino Linotype"/>
          <w:i/>
          <w:color w:val="000000"/>
        </w:rPr>
        <w:t xml:space="preserve">, </w:t>
      </w:r>
      <w:r w:rsidRPr="00C554CD">
        <w:rPr>
          <w:rFonts w:ascii="Palatino Linotype" w:hAnsi="Palatino Linotype"/>
          <w:color w:val="000000"/>
        </w:rPr>
        <w:t>l</w:t>
      </w:r>
      <w:r w:rsidR="006B2532" w:rsidRPr="00C554CD">
        <w:rPr>
          <w:rFonts w:ascii="Palatino Linotype" w:hAnsi="Palatino Linotype"/>
          <w:color w:val="000000"/>
        </w:rPr>
        <w:t>a</w:t>
      </w:r>
      <w:r w:rsidRPr="00C554CD">
        <w:rPr>
          <w:rFonts w:ascii="Palatino Linotype" w:hAnsi="Palatino Linotype"/>
          <w:color w:val="000000"/>
        </w:rPr>
        <w:t xml:space="preserve"> hoy </w:t>
      </w:r>
      <w:r w:rsidRPr="00C554CD">
        <w:rPr>
          <w:rFonts w:ascii="Palatino Linotype" w:hAnsi="Palatino Linotype"/>
          <w:b/>
          <w:color w:val="000000"/>
        </w:rPr>
        <w:t>RECURRENTE</w:t>
      </w:r>
      <w:r w:rsidRPr="00C554CD">
        <w:rPr>
          <w:rFonts w:ascii="Palatino Linotype" w:hAnsi="Palatino Linotype"/>
          <w:color w:val="000000"/>
        </w:rPr>
        <w:t>, se inconforma</w:t>
      </w:r>
      <w:r w:rsidR="005C07C0" w:rsidRPr="00C554CD">
        <w:rPr>
          <w:rFonts w:ascii="Palatino Linotype" w:hAnsi="Palatino Linotype"/>
          <w:color w:val="000000"/>
        </w:rPr>
        <w:t xml:space="preserve"> </w:t>
      </w:r>
      <w:r w:rsidR="00041871" w:rsidRPr="00C554CD">
        <w:rPr>
          <w:rFonts w:ascii="Palatino Linotype" w:hAnsi="Palatino Linotype"/>
          <w:color w:val="000000"/>
        </w:rPr>
        <w:t>porque no se le entrega lo solicitado</w:t>
      </w:r>
      <w:r w:rsidR="001B0A9C" w:rsidRPr="00C554CD">
        <w:rPr>
          <w:rFonts w:ascii="Palatino Linotype" w:hAnsi="Palatino Linotype"/>
          <w:color w:val="000000"/>
        </w:rPr>
        <w:t xml:space="preserve"> de manera completa</w:t>
      </w:r>
      <w:r w:rsidR="00AA0697" w:rsidRPr="00C554CD">
        <w:rPr>
          <w:rFonts w:ascii="Palatino Linotype" w:hAnsi="Palatino Linotype"/>
          <w:color w:val="000000"/>
        </w:rPr>
        <w:t>; sin embargo, como se desprende</w:t>
      </w:r>
      <w:r w:rsidR="003D1020" w:rsidRPr="00C554CD">
        <w:rPr>
          <w:rFonts w:ascii="Palatino Linotype" w:hAnsi="Palatino Linotype"/>
          <w:color w:val="000000"/>
        </w:rPr>
        <w:t xml:space="preserve"> del </w:t>
      </w:r>
      <w:r w:rsidR="00540AF8" w:rsidRPr="00C554CD">
        <w:rPr>
          <w:rFonts w:ascii="Palatino Linotype" w:hAnsi="Palatino Linotype"/>
          <w:color w:val="000000"/>
        </w:rPr>
        <w:t>archivo electrónico denominado</w:t>
      </w:r>
      <w:r w:rsidR="003D1020" w:rsidRPr="00C554CD">
        <w:rPr>
          <w:rFonts w:ascii="Palatino Linotype" w:hAnsi="Palatino Linotype"/>
          <w:color w:val="000000"/>
        </w:rPr>
        <w:t xml:space="preserve"> </w:t>
      </w:r>
      <w:r w:rsidR="001B0A9C" w:rsidRPr="00C554CD">
        <w:rPr>
          <w:rFonts w:ascii="Palatino Linotype" w:hAnsi="Palatino Linotype"/>
          <w:b/>
          <w:i/>
          <w:color w:val="000000"/>
        </w:rPr>
        <w:t>RESPUESTA 00106-2022.pdf</w:t>
      </w:r>
      <w:r w:rsidR="005775C7" w:rsidRPr="00C554CD">
        <w:rPr>
          <w:rFonts w:ascii="Palatino Linotype" w:hAnsi="Palatino Linotype"/>
          <w:b/>
          <w:color w:val="000000"/>
        </w:rPr>
        <w:t xml:space="preserve">, </w:t>
      </w:r>
      <w:r w:rsidR="001B0A9C" w:rsidRPr="00C554CD">
        <w:rPr>
          <w:rFonts w:ascii="Palatino Linotype" w:hAnsi="Palatino Linotype"/>
          <w:color w:val="000000"/>
        </w:rPr>
        <w:t xml:space="preserve">el </w:t>
      </w:r>
      <w:r w:rsidR="001B0A9C" w:rsidRPr="00C554CD">
        <w:rPr>
          <w:rFonts w:ascii="Palatino Linotype" w:hAnsi="Palatino Linotype"/>
          <w:b/>
          <w:color w:val="000000"/>
        </w:rPr>
        <w:t>SUJETO OBLIGADO</w:t>
      </w:r>
      <w:r w:rsidR="006B2532" w:rsidRPr="00C554CD">
        <w:rPr>
          <w:rFonts w:ascii="Palatino Linotype" w:hAnsi="Palatino Linotype"/>
          <w:color w:val="000000"/>
        </w:rPr>
        <w:t xml:space="preserve"> ciertamente</w:t>
      </w:r>
      <w:r w:rsidR="001B0A9C" w:rsidRPr="00C554CD">
        <w:rPr>
          <w:rFonts w:ascii="Palatino Linotype" w:hAnsi="Palatino Linotype"/>
          <w:color w:val="000000"/>
        </w:rPr>
        <w:t xml:space="preserve"> dio atención a los requerimientos, colmando los extremos que integraron la solicitud de información, como se observa del siguiente cuadro comparativo:</w:t>
      </w:r>
    </w:p>
    <w:p w14:paraId="0A55F1A4" w14:textId="77777777" w:rsidR="001B0A9C" w:rsidRPr="00C554CD" w:rsidRDefault="001B0A9C" w:rsidP="001B0A9C">
      <w:pPr>
        <w:pStyle w:val="Prrafodelista"/>
        <w:rPr>
          <w:rFonts w:ascii="Palatino Linotype" w:hAnsi="Palatino Linotype"/>
        </w:rPr>
      </w:pPr>
    </w:p>
    <w:tbl>
      <w:tblPr>
        <w:tblStyle w:val="Tablaconcuadrcula"/>
        <w:tblW w:w="0" w:type="auto"/>
        <w:tblLook w:val="04A0" w:firstRow="1" w:lastRow="0" w:firstColumn="1" w:lastColumn="0" w:noHBand="0" w:noVBand="1"/>
      </w:tblPr>
      <w:tblGrid>
        <w:gridCol w:w="2942"/>
        <w:gridCol w:w="3999"/>
        <w:gridCol w:w="1887"/>
      </w:tblGrid>
      <w:tr w:rsidR="001B0A9C" w:rsidRPr="00C554CD" w14:paraId="5E53522F" w14:textId="77777777" w:rsidTr="001B0A9C">
        <w:tc>
          <w:tcPr>
            <w:tcW w:w="2942" w:type="dxa"/>
          </w:tcPr>
          <w:p w14:paraId="63AE2C99" w14:textId="3F9E5106" w:rsidR="001B0A9C" w:rsidRPr="00C554CD" w:rsidRDefault="001B0A9C" w:rsidP="001B0A9C">
            <w:pPr>
              <w:pStyle w:val="Prrafodelista"/>
              <w:ind w:left="0"/>
              <w:jc w:val="center"/>
              <w:rPr>
                <w:rFonts w:ascii="Palatino Linotype" w:hAnsi="Palatino Linotype"/>
                <w:b/>
              </w:rPr>
            </w:pPr>
            <w:r w:rsidRPr="00C554CD">
              <w:rPr>
                <w:rFonts w:ascii="Palatino Linotype" w:hAnsi="Palatino Linotype"/>
                <w:b/>
              </w:rPr>
              <w:t>Solicitud de información</w:t>
            </w:r>
          </w:p>
        </w:tc>
        <w:tc>
          <w:tcPr>
            <w:tcW w:w="3999" w:type="dxa"/>
          </w:tcPr>
          <w:p w14:paraId="2BF1DDCC" w14:textId="3EF73B5C" w:rsidR="001B0A9C" w:rsidRPr="00C554CD" w:rsidRDefault="001B0A9C" w:rsidP="001B0A9C">
            <w:pPr>
              <w:pStyle w:val="Prrafodelista"/>
              <w:ind w:left="0"/>
              <w:jc w:val="center"/>
              <w:rPr>
                <w:rFonts w:ascii="Palatino Linotype" w:hAnsi="Palatino Linotype"/>
                <w:b/>
              </w:rPr>
            </w:pPr>
            <w:r w:rsidRPr="00C554CD">
              <w:rPr>
                <w:rFonts w:ascii="Palatino Linotype" w:hAnsi="Palatino Linotype"/>
                <w:b/>
              </w:rPr>
              <w:t>Respuesta</w:t>
            </w:r>
          </w:p>
        </w:tc>
        <w:tc>
          <w:tcPr>
            <w:tcW w:w="1887" w:type="dxa"/>
          </w:tcPr>
          <w:p w14:paraId="78D6AA61" w14:textId="604CAC6B" w:rsidR="001B0A9C" w:rsidRPr="00C554CD" w:rsidRDefault="001B0A9C" w:rsidP="001B0A9C">
            <w:pPr>
              <w:pStyle w:val="Prrafodelista"/>
              <w:ind w:left="0"/>
              <w:jc w:val="center"/>
              <w:rPr>
                <w:rFonts w:ascii="Palatino Linotype" w:hAnsi="Palatino Linotype"/>
                <w:b/>
              </w:rPr>
            </w:pPr>
            <w:r w:rsidRPr="00C554CD">
              <w:rPr>
                <w:rFonts w:ascii="Palatino Linotype" w:hAnsi="Palatino Linotype"/>
                <w:b/>
              </w:rPr>
              <w:t>Cumplimiento</w:t>
            </w:r>
          </w:p>
        </w:tc>
      </w:tr>
      <w:tr w:rsidR="001B0A9C" w:rsidRPr="00C554CD" w14:paraId="3C27645D" w14:textId="77777777" w:rsidTr="001B0A9C">
        <w:tc>
          <w:tcPr>
            <w:tcW w:w="2942" w:type="dxa"/>
          </w:tcPr>
          <w:p w14:paraId="3D84B429" w14:textId="4C620BF1" w:rsidR="001B0A9C" w:rsidRPr="00C554CD" w:rsidRDefault="001B0A9C" w:rsidP="001B0A9C">
            <w:pPr>
              <w:pStyle w:val="Prrafodelista"/>
              <w:ind w:left="0"/>
              <w:jc w:val="both"/>
              <w:rPr>
                <w:rFonts w:ascii="Palatino Linotype" w:hAnsi="Palatino Linotype"/>
              </w:rPr>
            </w:pPr>
            <w:r w:rsidRPr="00C554CD">
              <w:rPr>
                <w:rFonts w:ascii="Palatino Linotype" w:hAnsi="Palatino Linotype"/>
              </w:rPr>
              <w:t>Proceso de selección empleado para la designación del personal de nuevo ingreso en los cargos de Técnico Judicial y Archivista Judicial, en Juzgados Civiles de Primera Instancia; y</w:t>
            </w:r>
          </w:p>
        </w:tc>
        <w:tc>
          <w:tcPr>
            <w:tcW w:w="3999" w:type="dxa"/>
          </w:tcPr>
          <w:p w14:paraId="3792F284" w14:textId="77777777" w:rsidR="001B0A9C" w:rsidRPr="00C554CD" w:rsidRDefault="00A22E1F" w:rsidP="00A22E1F">
            <w:pPr>
              <w:pStyle w:val="Prrafodelista"/>
              <w:ind w:left="0"/>
              <w:jc w:val="both"/>
              <w:rPr>
                <w:rFonts w:ascii="Palatino Linotype" w:hAnsi="Palatino Linotype"/>
              </w:rPr>
            </w:pPr>
            <w:r w:rsidRPr="00C554CD">
              <w:rPr>
                <w:rFonts w:ascii="Palatino Linotype" w:hAnsi="Palatino Linotype"/>
              </w:rPr>
              <w:t>Se refiere proceso de selección para Técnico Judicial y Archivista Judicial, se cuenta con los Lineamientos para el Reclutamiento, Selección y Contratación de Personal de Unidades Administrativas del Poder Judicial del Estado de México, publicados en la Circular No. 45/2020 en el periódico Oficial Gaceta del Gobierno.</w:t>
            </w:r>
          </w:p>
          <w:p w14:paraId="27004FA1" w14:textId="45C87DE7" w:rsidR="00A22E1F" w:rsidRPr="00C554CD" w:rsidRDefault="00A22E1F" w:rsidP="00A22E1F">
            <w:pPr>
              <w:pStyle w:val="Prrafodelista"/>
              <w:ind w:left="0"/>
              <w:jc w:val="both"/>
              <w:rPr>
                <w:rFonts w:ascii="Palatino Linotype" w:hAnsi="Palatino Linotype"/>
              </w:rPr>
            </w:pPr>
          </w:p>
        </w:tc>
        <w:tc>
          <w:tcPr>
            <w:tcW w:w="1887" w:type="dxa"/>
          </w:tcPr>
          <w:p w14:paraId="51FB98F2" w14:textId="10527797" w:rsidR="001B0A9C" w:rsidRPr="00C554CD" w:rsidRDefault="001B0A9C" w:rsidP="001B0A9C">
            <w:pPr>
              <w:pStyle w:val="Prrafodelista"/>
              <w:spacing w:line="360" w:lineRule="auto"/>
              <w:ind w:left="0"/>
              <w:jc w:val="both"/>
              <w:rPr>
                <w:rFonts w:ascii="Palatino Linotype" w:hAnsi="Palatino Linotype"/>
              </w:rPr>
            </w:pPr>
            <w:r w:rsidRPr="00C554CD">
              <w:rPr>
                <w:rFonts w:ascii="Palatino Linotype" w:hAnsi="Palatino Linotype"/>
              </w:rPr>
              <w:t>Si colma</w:t>
            </w:r>
          </w:p>
        </w:tc>
      </w:tr>
      <w:tr w:rsidR="001B0A9C" w:rsidRPr="00C554CD" w14:paraId="4D160538" w14:textId="77777777" w:rsidTr="001B0A9C">
        <w:tc>
          <w:tcPr>
            <w:tcW w:w="2942" w:type="dxa"/>
          </w:tcPr>
          <w:p w14:paraId="4E422591" w14:textId="1E3FDEA6" w:rsidR="001B0A9C" w:rsidRPr="00C554CD" w:rsidRDefault="001B0A9C" w:rsidP="001B0A9C">
            <w:pPr>
              <w:pStyle w:val="Prrafodelista"/>
              <w:ind w:left="0"/>
              <w:jc w:val="both"/>
              <w:rPr>
                <w:rFonts w:ascii="Palatino Linotype" w:hAnsi="Palatino Linotype"/>
              </w:rPr>
            </w:pPr>
            <w:r w:rsidRPr="00C554CD">
              <w:rPr>
                <w:rFonts w:ascii="Palatino Linotype" w:hAnsi="Palatino Linotype"/>
              </w:rPr>
              <w:t>Número de plazas disponibles para ocupar el cargo de Técnico Judicial y Archivista Judicial en los Juzgados Tercero Civil, Quinto Civil y Séptimo Civil del Distrito Judicial de Chalco con residencia en Amecameca.</w:t>
            </w:r>
          </w:p>
        </w:tc>
        <w:tc>
          <w:tcPr>
            <w:tcW w:w="3999" w:type="dxa"/>
          </w:tcPr>
          <w:p w14:paraId="5AA80716" w14:textId="3027E24D" w:rsidR="001B0A9C" w:rsidRPr="00C554CD" w:rsidRDefault="00A22E1F" w:rsidP="00A22E1F">
            <w:pPr>
              <w:pStyle w:val="Prrafodelista"/>
              <w:ind w:left="0"/>
              <w:jc w:val="both"/>
              <w:rPr>
                <w:rFonts w:ascii="Palatino Linotype" w:hAnsi="Palatino Linotype"/>
              </w:rPr>
            </w:pPr>
            <w:r w:rsidRPr="00C554CD">
              <w:rPr>
                <w:rFonts w:ascii="Palatino Linotype" w:hAnsi="Palatino Linotype"/>
              </w:rPr>
              <w:t>Se refiere que no existe ninguna plaza vacante para los cargos de referencia en los juzgados señalados.</w:t>
            </w:r>
          </w:p>
        </w:tc>
        <w:tc>
          <w:tcPr>
            <w:tcW w:w="1887" w:type="dxa"/>
          </w:tcPr>
          <w:p w14:paraId="7B24C7E8" w14:textId="03D71D60" w:rsidR="001B0A9C" w:rsidRPr="00C554CD" w:rsidRDefault="001B0A9C" w:rsidP="001B0A9C">
            <w:pPr>
              <w:pStyle w:val="Prrafodelista"/>
              <w:spacing w:line="360" w:lineRule="auto"/>
              <w:ind w:left="0"/>
              <w:jc w:val="both"/>
              <w:rPr>
                <w:rFonts w:ascii="Palatino Linotype" w:hAnsi="Palatino Linotype"/>
              </w:rPr>
            </w:pPr>
            <w:r w:rsidRPr="00C554CD">
              <w:rPr>
                <w:rFonts w:ascii="Palatino Linotype" w:hAnsi="Palatino Linotype"/>
              </w:rPr>
              <w:t>Si colma</w:t>
            </w:r>
          </w:p>
        </w:tc>
      </w:tr>
    </w:tbl>
    <w:p w14:paraId="1597BC3F" w14:textId="68BDE7AF" w:rsidR="00A22E1F" w:rsidRPr="00C554CD" w:rsidRDefault="00A22E1F" w:rsidP="00041871">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lastRenderedPageBreak/>
        <w:t xml:space="preserve">Lo anterior es así, ya que el </w:t>
      </w:r>
      <w:r w:rsidRPr="00C554CD">
        <w:rPr>
          <w:rFonts w:ascii="Palatino Linotype" w:hAnsi="Palatino Linotype"/>
          <w:b/>
        </w:rPr>
        <w:t>SUJETO OBLIGADO</w:t>
      </w:r>
      <w:r w:rsidR="006B2532" w:rsidRPr="00C554CD">
        <w:rPr>
          <w:rFonts w:ascii="Palatino Linotype" w:hAnsi="Palatino Linotype"/>
        </w:rPr>
        <w:t xml:space="preserve"> </w:t>
      </w:r>
      <w:r w:rsidR="002D01BB" w:rsidRPr="00C554CD">
        <w:rPr>
          <w:rFonts w:ascii="Palatino Linotype" w:hAnsi="Palatino Linotype"/>
        </w:rPr>
        <w:t xml:space="preserve">respecto a la primer solicitud, </w:t>
      </w:r>
      <w:r w:rsidR="006B2532" w:rsidRPr="00C554CD">
        <w:rPr>
          <w:rFonts w:ascii="Palatino Linotype" w:hAnsi="Palatino Linotype"/>
        </w:rPr>
        <w:t>señaló</w:t>
      </w:r>
      <w:r w:rsidRPr="00C554CD">
        <w:rPr>
          <w:rFonts w:ascii="Palatino Linotype" w:hAnsi="Palatino Linotype"/>
        </w:rPr>
        <w:t xml:space="preserve"> el soporte documental, donde conste o se advierte el proceso de selección del interés de la hoy solicitante; toda vez que el derecho de acceso a la información pública, es un derecho que versa sobre documentos, por lo que este se colma con la entrega de los documentos donde conste o se advierta la información </w:t>
      </w:r>
      <w:r w:rsidR="006B2532" w:rsidRPr="00C554CD">
        <w:rPr>
          <w:rFonts w:ascii="Palatino Linotype" w:hAnsi="Palatino Linotype"/>
        </w:rPr>
        <w:t xml:space="preserve">solicitada </w:t>
      </w:r>
      <w:r w:rsidRPr="00C554CD">
        <w:rPr>
          <w:rFonts w:ascii="Palatino Linotype" w:hAnsi="Palatino Linotype"/>
        </w:rPr>
        <w:t xml:space="preserve">y que </w:t>
      </w:r>
      <w:r w:rsidR="006B2532" w:rsidRPr="00C554CD">
        <w:rPr>
          <w:rFonts w:ascii="Palatino Linotype" w:hAnsi="Palatino Linotype"/>
        </w:rPr>
        <w:t>haya sido generada, poseída</w:t>
      </w:r>
      <w:r w:rsidRPr="00C554CD">
        <w:rPr>
          <w:rFonts w:ascii="Palatino Linotype" w:hAnsi="Palatino Linotype"/>
        </w:rPr>
        <w:t xml:space="preserve"> o administrad</w:t>
      </w:r>
      <w:r w:rsidR="006B2532" w:rsidRPr="00C554CD">
        <w:rPr>
          <w:rFonts w:ascii="Palatino Linotype" w:hAnsi="Palatino Linotype"/>
        </w:rPr>
        <w:t>a</w:t>
      </w:r>
      <w:r w:rsidRPr="00C554CD">
        <w:rPr>
          <w:rFonts w:ascii="Palatino Linotype" w:hAnsi="Palatino Linotype"/>
        </w:rPr>
        <w:t xml:space="preserve"> por los sujetos obligados.</w:t>
      </w:r>
    </w:p>
    <w:p w14:paraId="27EAE3F1" w14:textId="77777777" w:rsidR="00A22E1F" w:rsidRPr="00C554CD" w:rsidRDefault="00A22E1F" w:rsidP="00A22E1F">
      <w:pPr>
        <w:pStyle w:val="Prrafodelista"/>
        <w:spacing w:line="360" w:lineRule="auto"/>
        <w:ind w:left="0"/>
        <w:jc w:val="both"/>
        <w:rPr>
          <w:rFonts w:ascii="Palatino Linotype" w:hAnsi="Palatino Linotype"/>
        </w:rPr>
      </w:pPr>
    </w:p>
    <w:p w14:paraId="070C5EB4" w14:textId="586E0A8D" w:rsidR="00A22E1F" w:rsidRPr="00C554CD" w:rsidRDefault="00A22E1F" w:rsidP="006B253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Empero, la </w:t>
      </w:r>
      <w:r w:rsidRPr="00C554CD">
        <w:rPr>
          <w:rFonts w:ascii="Palatino Linotype" w:hAnsi="Palatino Linotype"/>
          <w:b/>
        </w:rPr>
        <w:t>RECURRENTE</w:t>
      </w:r>
      <w:r w:rsidRPr="00C554CD">
        <w:rPr>
          <w:rFonts w:ascii="Palatino Linotype" w:hAnsi="Palatino Linotype"/>
        </w:rPr>
        <w:t xml:space="preserve"> se inconforma manifestando</w:t>
      </w:r>
      <w:r w:rsidR="00364B2F" w:rsidRPr="00C554CD">
        <w:rPr>
          <w:rFonts w:ascii="Palatino Linotype" w:hAnsi="Palatino Linotype"/>
        </w:rPr>
        <w:t xml:space="preserve"> que del análisis al contenido los Lineamientos de mérito, no se hace referencia en ningún apartado de manera expresa </w:t>
      </w:r>
      <w:r w:rsidR="00364B2F" w:rsidRPr="00C554CD">
        <w:rPr>
          <w:rFonts w:ascii="Palatino Linotype" w:hAnsi="Palatino Linotype"/>
          <w:i/>
        </w:rPr>
        <w:t>“al proceso de selección utilizado para designar al personal de nuevo ingreso en los puestos o categorías de técnico judicial y archivista judicial en los Juzgados Civiles de Primera Instancia que forman parte del Poder Judicial” (precisamente la información peticionada)”</w:t>
      </w:r>
      <w:r w:rsidR="006B2532" w:rsidRPr="00C554CD">
        <w:rPr>
          <w:rFonts w:ascii="Palatino Linotype" w:hAnsi="Palatino Linotype"/>
        </w:rPr>
        <w:t>;</w:t>
      </w:r>
      <w:r w:rsidR="002D01BB" w:rsidRPr="00C554CD">
        <w:rPr>
          <w:rFonts w:ascii="Palatino Linotype" w:hAnsi="Palatino Linotype"/>
        </w:rPr>
        <w:t xml:space="preserve"> y</w:t>
      </w:r>
      <w:r w:rsidR="006B2532" w:rsidRPr="00C554CD">
        <w:rPr>
          <w:rFonts w:ascii="Palatino Linotype" w:hAnsi="Palatino Linotype"/>
          <w:i/>
        </w:rPr>
        <w:t xml:space="preserve"> “…relativo al punto 1, OMITE entregar la información solicitada, lo cual deriva a raíz de que su respuesta es ambigua, ello al no tener plena certeza sobre cual es proceso de selección que debe seguirse para el personal de nuevo ingreso en los puestos de “técnico judicial” y “archivista judicial”, ya que, por una parte conforme a los artículos 3, 5 y 6 de los lineamientos, se tiene que las unidades administrativas son las encargadas de enviar a la dirección de personal sus solicitudes y/o propuestas de aspirantes para ocupar un puesto vacante…”</w:t>
      </w:r>
    </w:p>
    <w:p w14:paraId="24AA9264" w14:textId="77777777" w:rsidR="002D01BB" w:rsidRPr="00C554CD" w:rsidRDefault="002D01BB" w:rsidP="002D01BB">
      <w:pPr>
        <w:pStyle w:val="Prrafodelista"/>
        <w:rPr>
          <w:rFonts w:ascii="Palatino Linotype" w:hAnsi="Palatino Linotype"/>
        </w:rPr>
      </w:pPr>
    </w:p>
    <w:p w14:paraId="14A0B043" w14:textId="4BB2963F" w:rsidR="00364B2F" w:rsidRPr="00C554CD" w:rsidRDefault="00364B2F" w:rsidP="006B2532">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Efectivamente, de su contenido no se aprecia un apartado específico para dichos cargos (y para ninguna plaza o puesto en específico) dentro de un juzgado en especial; toda vez que como su nombre lo indica, </w:t>
      </w:r>
      <w:r w:rsidR="006B2532" w:rsidRPr="00C554CD">
        <w:rPr>
          <w:rFonts w:ascii="Palatino Linotype" w:hAnsi="Palatino Linotype"/>
        </w:rPr>
        <w:t>corresponde a</w:t>
      </w:r>
      <w:r w:rsidRPr="00C554CD">
        <w:rPr>
          <w:rFonts w:ascii="Palatino Linotype" w:hAnsi="Palatino Linotype"/>
        </w:rPr>
        <w:t xml:space="preserve"> Lineamientos </w:t>
      </w:r>
      <w:r w:rsidR="006B2532" w:rsidRPr="00C554CD">
        <w:rPr>
          <w:rFonts w:ascii="Palatino Linotype" w:hAnsi="Palatino Linotype"/>
        </w:rPr>
        <w:lastRenderedPageBreak/>
        <w:t>emitidos para el seguimiento de</w:t>
      </w:r>
      <w:r w:rsidRPr="00C554CD">
        <w:rPr>
          <w:rFonts w:ascii="Palatino Linotype" w:hAnsi="Palatino Linotype"/>
        </w:rPr>
        <w:t xml:space="preserve">l reclutamiento, selección y contratación de personal los cuales </w:t>
      </w:r>
      <w:r w:rsidRPr="00C554CD">
        <w:rPr>
          <w:rFonts w:ascii="Palatino Linotype" w:hAnsi="Palatino Linotype"/>
          <w:shd w:val="clear" w:color="auto" w:fill="FFFFFF" w:themeFill="background1"/>
        </w:rPr>
        <w:t xml:space="preserve">son utilizados de manera general para </w:t>
      </w:r>
      <w:r w:rsidR="006B2532" w:rsidRPr="00C554CD">
        <w:rPr>
          <w:rFonts w:ascii="Palatino Linotype" w:hAnsi="Palatino Linotype"/>
          <w:shd w:val="clear" w:color="auto" w:fill="FFFFFF" w:themeFill="background1"/>
        </w:rPr>
        <w:t>la</w:t>
      </w:r>
      <w:r w:rsidRPr="00C554CD">
        <w:rPr>
          <w:rFonts w:ascii="Palatino Linotype" w:hAnsi="Palatino Linotype"/>
          <w:shd w:val="clear" w:color="auto" w:fill="FFFFFF" w:themeFill="background1"/>
        </w:rPr>
        <w:t xml:space="preserve"> selección de personal , </w:t>
      </w:r>
      <w:r w:rsidR="006B2532" w:rsidRPr="00C554CD">
        <w:rPr>
          <w:rFonts w:ascii="Palatino Linotype" w:hAnsi="Palatino Linotype"/>
          <w:shd w:val="clear" w:color="auto" w:fill="FFFFFF" w:themeFill="background1"/>
        </w:rPr>
        <w:t>así</w:t>
      </w:r>
      <w:r w:rsidRPr="00C554CD">
        <w:rPr>
          <w:rFonts w:ascii="Palatino Linotype" w:hAnsi="Palatino Linotype"/>
          <w:shd w:val="clear" w:color="auto" w:fill="FFFFFF" w:themeFill="background1"/>
        </w:rPr>
        <w:t xml:space="preserve"> como para identificar y preseleccionar a los aspirante a formar parte de las diversas </w:t>
      </w:r>
      <w:r w:rsidR="006B2532" w:rsidRPr="00C554CD">
        <w:rPr>
          <w:rFonts w:ascii="Palatino Linotype" w:hAnsi="Palatino Linotype"/>
          <w:shd w:val="clear" w:color="auto" w:fill="FFFFFF" w:themeFill="background1"/>
        </w:rPr>
        <w:t>áreas</w:t>
      </w:r>
      <w:r w:rsidRPr="00C554CD">
        <w:rPr>
          <w:rFonts w:ascii="Palatino Linotype" w:hAnsi="Palatino Linotype"/>
          <w:shd w:val="clear" w:color="auto" w:fill="FFFFFF" w:themeFill="background1"/>
        </w:rPr>
        <w:t xml:space="preserve"> que integran la estructura </w:t>
      </w:r>
      <w:r w:rsidR="006B2532" w:rsidRPr="00C554CD">
        <w:rPr>
          <w:rFonts w:ascii="Palatino Linotype" w:hAnsi="Palatino Linotype"/>
          <w:shd w:val="clear" w:color="auto" w:fill="FFFFFF" w:themeFill="background1"/>
        </w:rPr>
        <w:t>orgánica</w:t>
      </w:r>
      <w:r w:rsidRPr="00C554CD">
        <w:rPr>
          <w:rFonts w:ascii="Palatino Linotype" w:hAnsi="Palatino Linotype"/>
          <w:shd w:val="clear" w:color="auto" w:fill="FFFFFF" w:themeFill="background1"/>
        </w:rPr>
        <w:t xml:space="preserve"> del </w:t>
      </w:r>
      <w:r w:rsidRPr="00C554CD">
        <w:rPr>
          <w:rFonts w:ascii="Palatino Linotype" w:hAnsi="Palatino Linotype"/>
          <w:b/>
          <w:shd w:val="clear" w:color="auto" w:fill="FFFFFF" w:themeFill="background1"/>
        </w:rPr>
        <w:t>SUJETO OBLIGADO</w:t>
      </w:r>
      <w:r w:rsidR="006B2532" w:rsidRPr="00C554CD">
        <w:rPr>
          <w:rFonts w:ascii="Palatino Linotype" w:hAnsi="Palatino Linotype"/>
          <w:shd w:val="clear" w:color="auto" w:fill="FFFFFF" w:themeFill="background1"/>
        </w:rPr>
        <w:t>. Dicho</w:t>
      </w:r>
      <w:r w:rsidR="006B2532" w:rsidRPr="00C554CD">
        <w:rPr>
          <w:rFonts w:ascii="Palatino Linotype" w:hAnsi="Palatino Linotype"/>
        </w:rPr>
        <w:t xml:space="preserve"> de otra manera los criterios o lineamientos generales </w:t>
      </w:r>
      <w:r w:rsidR="002D01BB" w:rsidRPr="00C554CD">
        <w:rPr>
          <w:rFonts w:ascii="Palatino Linotype" w:hAnsi="Palatino Linotype"/>
        </w:rPr>
        <w:t>corresponden a</w:t>
      </w:r>
      <w:r w:rsidR="006B2532" w:rsidRPr="00C554CD">
        <w:rPr>
          <w:rFonts w:ascii="Palatino Linotype" w:hAnsi="Palatino Linotype"/>
        </w:rPr>
        <w:t xml:space="preserve"> una guía c</w:t>
      </w:r>
      <w:r w:rsidR="00280F11" w:rsidRPr="00C554CD">
        <w:rPr>
          <w:rFonts w:ascii="Palatino Linotype" w:hAnsi="Palatino Linotype"/>
        </w:rPr>
        <w:t>on el propósito de establecer una</w:t>
      </w:r>
      <w:r w:rsidR="006B2532" w:rsidRPr="00C554CD">
        <w:rPr>
          <w:rFonts w:ascii="Palatino Linotype" w:hAnsi="Palatino Linotype"/>
        </w:rPr>
        <w:t xml:space="preserve"> </w:t>
      </w:r>
      <w:r w:rsidR="00280F11" w:rsidRPr="00C554CD">
        <w:rPr>
          <w:rFonts w:ascii="Palatino Linotype" w:hAnsi="Palatino Linotype"/>
        </w:rPr>
        <w:t xml:space="preserve">secuencia de pasos para que un ente público, una </w:t>
      </w:r>
      <w:r w:rsidR="006B2532" w:rsidRPr="00C554CD">
        <w:rPr>
          <w:rFonts w:ascii="Palatino Linotype" w:hAnsi="Palatino Linotype"/>
        </w:rPr>
        <w:t>organización o área consiga realizar sus funciones. Así como definir el orden, tiempo establecido, reglas o</w:t>
      </w:r>
      <w:r w:rsidR="002D01BB" w:rsidRPr="00C554CD">
        <w:rPr>
          <w:rFonts w:ascii="Palatino Linotype" w:hAnsi="Palatino Linotype"/>
        </w:rPr>
        <w:t xml:space="preserve"> políticas,</w:t>
      </w:r>
      <w:r w:rsidR="00280F11" w:rsidRPr="00C554CD">
        <w:rPr>
          <w:rFonts w:ascii="Palatino Linotype" w:hAnsi="Palatino Linotype"/>
        </w:rPr>
        <w:t xml:space="preserve"> responsables de </w:t>
      </w:r>
      <w:r w:rsidR="006B2532" w:rsidRPr="00C554CD">
        <w:rPr>
          <w:rFonts w:ascii="Palatino Linotype" w:hAnsi="Palatino Linotype"/>
        </w:rPr>
        <w:t xml:space="preserve">actividades </w:t>
      </w:r>
      <w:r w:rsidR="00280F11" w:rsidRPr="00C554CD">
        <w:rPr>
          <w:rFonts w:ascii="Palatino Linotype" w:hAnsi="Palatino Linotype"/>
        </w:rPr>
        <w:t>concretas</w:t>
      </w:r>
      <w:r w:rsidR="002D01BB" w:rsidRPr="00C554CD">
        <w:rPr>
          <w:rFonts w:ascii="Palatino Linotype" w:hAnsi="Palatino Linotype"/>
        </w:rPr>
        <w:t>, etc</w:t>
      </w:r>
      <w:r w:rsidR="006B2532" w:rsidRPr="00C554CD">
        <w:rPr>
          <w:rFonts w:ascii="Palatino Linotype" w:hAnsi="Palatino Linotype"/>
        </w:rPr>
        <w:t>.</w:t>
      </w:r>
    </w:p>
    <w:p w14:paraId="24ACB3C8" w14:textId="77777777" w:rsidR="00280F11" w:rsidRPr="00C554CD" w:rsidRDefault="00280F11" w:rsidP="00280F11">
      <w:pPr>
        <w:pStyle w:val="Prrafodelista"/>
        <w:spacing w:line="360" w:lineRule="auto"/>
        <w:ind w:left="0"/>
        <w:jc w:val="both"/>
        <w:rPr>
          <w:rFonts w:ascii="Palatino Linotype" w:hAnsi="Palatino Linotype"/>
        </w:rPr>
      </w:pPr>
    </w:p>
    <w:p w14:paraId="2E4192E2" w14:textId="5E90D271" w:rsidR="00280F11" w:rsidRPr="00C554CD" w:rsidRDefault="00280F11" w:rsidP="00280F11">
      <w:pPr>
        <w:pStyle w:val="Prrafodelista"/>
        <w:numPr>
          <w:ilvl w:val="0"/>
          <w:numId w:val="7"/>
        </w:numPr>
        <w:spacing w:line="360" w:lineRule="auto"/>
        <w:ind w:left="0" w:firstLine="0"/>
        <w:jc w:val="both"/>
        <w:rPr>
          <w:rFonts w:ascii="Palatino Linotype" w:hAnsi="Palatino Linotype"/>
        </w:rPr>
      </w:pPr>
      <w:r w:rsidRPr="00C554CD">
        <w:rPr>
          <w:rFonts w:ascii="Palatino Linotype" w:hAnsi="Palatino Linotype"/>
        </w:rPr>
        <w:t xml:space="preserve">Luego entonces se advierte que con la entrega del soporte documental de referencia se tiene por colmado el punto de referencia, ya que contrario a lo que se expuso en el escrito del recurso de revisión, relativo a: </w:t>
      </w:r>
      <w:r w:rsidRPr="00C554CD">
        <w:rPr>
          <w:rFonts w:ascii="Palatino Linotype" w:hAnsi="Palatino Linotype"/>
          <w:i/>
        </w:rPr>
        <w:t xml:space="preserve">“informar detalladamente el proceso de selección que se utiliza para designar al personal de nuevo ingreso en los puestos o categorías de…”; </w:t>
      </w:r>
      <w:r w:rsidRPr="00C554CD">
        <w:rPr>
          <w:rFonts w:ascii="Palatino Linotype" w:hAnsi="Palatino Linotype"/>
        </w:rPr>
        <w:t>se concluye con claridad que no corresponde al ejercicio del derecho de acceso a la información, sino al derecho de petición.</w:t>
      </w:r>
    </w:p>
    <w:p w14:paraId="74E63295" w14:textId="77777777" w:rsidR="00280F11" w:rsidRPr="00C554CD" w:rsidRDefault="00280F11" w:rsidP="00280F11">
      <w:pPr>
        <w:pStyle w:val="Prrafodelista"/>
        <w:rPr>
          <w:rFonts w:ascii="Palatino Linotype" w:hAnsi="Palatino Linotype"/>
        </w:rPr>
      </w:pPr>
    </w:p>
    <w:p w14:paraId="10184CFF" w14:textId="723C245D"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color w:val="000000" w:themeColor="text1"/>
        </w:rPr>
      </w:pPr>
      <w:r w:rsidRPr="00C554CD">
        <w:rPr>
          <w:rFonts w:ascii="Palatino Linotype" w:hAnsi="Palatino Linotype"/>
          <w:color w:val="000000"/>
        </w:rPr>
        <w:t xml:space="preserve">En ese sentido es dable insistir en que </w:t>
      </w:r>
      <w:r w:rsidRPr="00C554CD">
        <w:rPr>
          <w:rFonts w:ascii="Palatino Linotype" w:hAnsi="Palatino Linotype"/>
        </w:rPr>
        <w:t>el derecho de acceso a la información, es un</w:t>
      </w:r>
      <w:r w:rsidR="002D01BB" w:rsidRPr="00C554CD">
        <w:rPr>
          <w:rFonts w:ascii="Palatino Linotype" w:hAnsi="Palatino Linotype"/>
        </w:rPr>
        <w:t xml:space="preserve"> </w:t>
      </w:r>
      <w:r w:rsidRPr="00C554CD">
        <w:rPr>
          <w:rFonts w:ascii="Palatino Linotype" w:hAnsi="Palatino Linotype"/>
        </w:rPr>
        <w:t>derecho</w:t>
      </w:r>
      <w:r w:rsidRPr="00C554CD">
        <w:rPr>
          <w:rFonts w:ascii="Palatino Linotype" w:hAnsi="Palatino Linotype"/>
          <w:u w:val="single"/>
        </w:rPr>
        <w:t xml:space="preserve"> que versa </w:t>
      </w:r>
      <w:r w:rsidRPr="00C554CD">
        <w:rPr>
          <w:rFonts w:ascii="Palatino Linotype" w:hAnsi="Palatino Linotype"/>
          <w:color w:val="000000" w:themeColor="text1"/>
          <w:u w:val="single"/>
        </w:rPr>
        <w:t>sobre</w:t>
      </w:r>
      <w:r w:rsidRPr="00C554CD">
        <w:rPr>
          <w:rFonts w:ascii="Palatino Linotype" w:hAnsi="Palatino Linotype"/>
          <w:u w:val="single"/>
        </w:rPr>
        <w:t xml:space="preserve"> documentos, por lo que realizar preguntas, dudas o cuestionamientos</w:t>
      </w:r>
      <w:r w:rsidRPr="00C554CD">
        <w:rPr>
          <w:rFonts w:ascii="Palatino Linotype" w:hAnsi="Palatino Linotype"/>
        </w:rPr>
        <w:t xml:space="preserve">, ciertamente </w:t>
      </w:r>
      <w:r w:rsidRPr="00C554CD">
        <w:rPr>
          <w:rFonts w:ascii="Palatino Linotype" w:hAnsi="Palatino Linotype" w:cs="Arial"/>
          <w:color w:val="000000" w:themeColor="text1"/>
        </w:rPr>
        <w:t>debe entenderse por derecho de petición y no por derecho de acceso a la información pública.</w:t>
      </w:r>
    </w:p>
    <w:p w14:paraId="0F4E9B52" w14:textId="77777777" w:rsidR="00280F11" w:rsidRPr="00C554CD" w:rsidRDefault="00280F11" w:rsidP="00280F11">
      <w:pPr>
        <w:pStyle w:val="Prrafodelista"/>
        <w:rPr>
          <w:rFonts w:ascii="Palatino Linotype" w:hAnsi="Palatino Linotype" w:cs="Arial"/>
          <w:color w:val="000000" w:themeColor="text1"/>
        </w:rPr>
      </w:pPr>
    </w:p>
    <w:p w14:paraId="55A9539B" w14:textId="77777777"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i/>
          <w:color w:val="000000" w:themeColor="text1"/>
        </w:rPr>
      </w:pPr>
      <w:r w:rsidRPr="00C554CD">
        <w:rPr>
          <w:rFonts w:ascii="Palatino Linotype" w:hAnsi="Palatino Linotype"/>
        </w:rPr>
        <w:t>Por</w:t>
      </w:r>
      <w:r w:rsidRPr="00C554CD">
        <w:rPr>
          <w:rFonts w:ascii="Palatino Linotype" w:hAnsi="Palatino Linotype" w:cs="Arial"/>
          <w:color w:val="000000" w:themeColor="text1"/>
        </w:rPr>
        <w:t xml:space="preserve"> lo que respecta a la definición de derecho de petición, el Maestro Ignacio Burgoa </w:t>
      </w:r>
      <w:r w:rsidRPr="00C554CD">
        <w:rPr>
          <w:rFonts w:ascii="Palatino Linotype" w:hAnsi="Palatino Linotype"/>
          <w:color w:val="000000"/>
        </w:rPr>
        <w:t>Orihuela</w:t>
      </w:r>
      <w:r w:rsidRPr="00C554CD">
        <w:rPr>
          <w:rFonts w:ascii="Palatino Linotype" w:hAnsi="Palatino Linotype" w:cs="Arial"/>
          <w:color w:val="000000" w:themeColor="text1"/>
        </w:rPr>
        <w:t xml:space="preserve"> refiere: “…</w:t>
      </w:r>
      <w:r w:rsidRPr="00C554CD">
        <w:rPr>
          <w:rFonts w:ascii="Palatino Linotype" w:hAnsi="Palatino Linotype" w:cs="Arial"/>
          <w:i/>
          <w:color w:val="000000" w:themeColor="text1"/>
        </w:rPr>
        <w:t xml:space="preserve">es un Derecho Público subjetivo individual de la Garantía </w:t>
      </w:r>
      <w:r w:rsidRPr="00C554CD">
        <w:rPr>
          <w:rFonts w:ascii="Palatino Linotype" w:hAnsi="Palatino Linotype"/>
          <w:color w:val="000000"/>
        </w:rPr>
        <w:t>Respectiva</w:t>
      </w:r>
      <w:r w:rsidRPr="00C554CD">
        <w:rPr>
          <w:rFonts w:ascii="Palatino Linotype" w:hAnsi="Palatino Linotype" w:cs="Arial"/>
          <w:i/>
          <w:color w:val="000000" w:themeColor="text1"/>
        </w:rPr>
        <w:t xml:space="preserve"> Consagrada en el Artículo 8 de la Ley Fundamental. En tal virtud, la persona </w:t>
      </w:r>
      <w:r w:rsidRPr="00C554CD">
        <w:rPr>
          <w:rFonts w:ascii="Palatino Linotype" w:hAnsi="Palatino Linotype" w:cs="Arial"/>
          <w:i/>
          <w:color w:val="000000" w:themeColor="text1"/>
        </w:rPr>
        <w:lastRenderedPageBreak/>
        <w:t>tiene la facultad de acudir a cualquier autoridad, formulando una solicitud o instancia escrito de cualquier índole, la cual adopta, específicamente, el carácter de simple petición administrativa, acción o recurso, etc.</w:t>
      </w:r>
      <w:r w:rsidRPr="00C554CD">
        <w:rPr>
          <w:rStyle w:val="Refdenotaalpie"/>
          <w:rFonts w:ascii="Palatino Linotype" w:hAnsi="Palatino Linotype"/>
          <w:i/>
          <w:color w:val="000000" w:themeColor="text1"/>
        </w:rPr>
        <w:t xml:space="preserve"> </w:t>
      </w:r>
      <w:r w:rsidRPr="00C554CD">
        <w:rPr>
          <w:rStyle w:val="Refdenotaalpie"/>
          <w:rFonts w:ascii="Palatino Linotype" w:hAnsi="Palatino Linotype"/>
          <w:i/>
          <w:color w:val="000000" w:themeColor="text1"/>
        </w:rPr>
        <w:footnoteReference w:id="5"/>
      </w:r>
      <w:r w:rsidRPr="00C554CD">
        <w:rPr>
          <w:rFonts w:ascii="Palatino Linotype" w:hAnsi="Palatino Linotype"/>
          <w:i/>
          <w:color w:val="000000" w:themeColor="text1"/>
        </w:rPr>
        <w:t>“</w:t>
      </w:r>
      <w:r w:rsidRPr="00C554CD">
        <w:rPr>
          <w:rFonts w:ascii="Palatino Linotype" w:hAnsi="Palatino Linotype" w:cs="Arial"/>
          <w:i/>
          <w:color w:val="000000" w:themeColor="text1"/>
        </w:rPr>
        <w:t xml:space="preserve"> (Sic)</w:t>
      </w:r>
    </w:p>
    <w:p w14:paraId="5BF951B3" w14:textId="77777777" w:rsidR="00280F11" w:rsidRPr="00C554CD" w:rsidRDefault="00280F11" w:rsidP="00280F11">
      <w:pPr>
        <w:pStyle w:val="Prrafodelista"/>
        <w:rPr>
          <w:rFonts w:ascii="Palatino Linotype" w:hAnsi="Palatino Linotype" w:cs="Arial"/>
          <w:i/>
          <w:color w:val="000000" w:themeColor="text1"/>
        </w:rPr>
      </w:pPr>
    </w:p>
    <w:p w14:paraId="06C02B8E" w14:textId="77777777"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i/>
          <w:color w:val="000000" w:themeColor="text1"/>
        </w:rPr>
      </w:pPr>
      <w:r w:rsidRPr="00C554CD">
        <w:rPr>
          <w:rFonts w:ascii="Palatino Linotype" w:hAnsi="Palatino Linotype" w:cs="Arial"/>
          <w:color w:val="000000" w:themeColor="text1"/>
        </w:rPr>
        <w:t xml:space="preserve">Por </w:t>
      </w:r>
      <w:r w:rsidRPr="00C554CD">
        <w:rPr>
          <w:rFonts w:ascii="Palatino Linotype" w:hAnsi="Palatino Linotype"/>
        </w:rPr>
        <w:t>su</w:t>
      </w:r>
      <w:r w:rsidRPr="00C554CD">
        <w:rPr>
          <w:rFonts w:ascii="Palatino Linotype" w:hAnsi="Palatino Linotype" w:cs="Arial"/>
          <w:color w:val="000000" w:themeColor="text1"/>
        </w:rPr>
        <w:t xml:space="preserve"> parte, </w:t>
      </w:r>
      <w:r w:rsidRPr="00C554CD">
        <w:rPr>
          <w:rFonts w:ascii="Palatino Linotype" w:hAnsi="Palatino Linotype"/>
        </w:rPr>
        <w:t>David</w:t>
      </w:r>
      <w:r w:rsidRPr="00C554CD">
        <w:rPr>
          <w:rFonts w:ascii="Palatino Linotype" w:hAnsi="Palatino Linotype" w:cs="Arial"/>
          <w:color w:val="000000" w:themeColor="text1"/>
        </w:rPr>
        <w:t xml:space="preserve"> Cienfuegos Salgado, concibe al derecho de petición como </w:t>
      </w:r>
      <w:r w:rsidRPr="00C554CD">
        <w:rPr>
          <w:rFonts w:ascii="Palatino Linotype" w:hAnsi="Palatino Linotype" w:cs="Arial"/>
          <w:i/>
          <w:color w:val="000000" w:themeColor="text1"/>
        </w:rPr>
        <w:t xml:space="preserve">“el </w:t>
      </w:r>
      <w:r w:rsidRPr="00C554CD">
        <w:rPr>
          <w:rFonts w:ascii="Palatino Linotype" w:hAnsi="Palatino Linotype"/>
        </w:rPr>
        <w:t>derecho</w:t>
      </w:r>
      <w:r w:rsidRPr="00C554CD">
        <w:rPr>
          <w:rFonts w:ascii="Palatino Linotype" w:hAnsi="Palatino Linotype" w:cs="Arial"/>
          <w:i/>
          <w:color w:val="000000" w:themeColor="text1"/>
        </w:rPr>
        <w:t xml:space="preserve"> de toda persona a ser escuchado por quienes ejercen el poder público.</w:t>
      </w:r>
      <w:r w:rsidRPr="00C554CD">
        <w:rPr>
          <w:rStyle w:val="Refdenotaalpie"/>
          <w:rFonts w:ascii="Palatino Linotype" w:hAnsi="Palatino Linotype"/>
          <w:i/>
          <w:color w:val="000000" w:themeColor="text1"/>
        </w:rPr>
        <w:t xml:space="preserve"> </w:t>
      </w:r>
      <w:r w:rsidRPr="00C554CD">
        <w:rPr>
          <w:rStyle w:val="Refdenotaalpie"/>
          <w:rFonts w:ascii="Palatino Linotype" w:hAnsi="Palatino Linotype"/>
          <w:i/>
          <w:color w:val="000000" w:themeColor="text1"/>
        </w:rPr>
        <w:footnoteReference w:id="6"/>
      </w:r>
      <w:r w:rsidRPr="00C554CD">
        <w:rPr>
          <w:rFonts w:ascii="Palatino Linotype" w:hAnsi="Palatino Linotype" w:cs="Arial"/>
          <w:i/>
          <w:color w:val="000000" w:themeColor="text1"/>
        </w:rPr>
        <w:t xml:space="preserve">” </w:t>
      </w:r>
    </w:p>
    <w:p w14:paraId="15538CCD" w14:textId="77777777" w:rsidR="00280F11" w:rsidRPr="00C554CD" w:rsidRDefault="00280F11" w:rsidP="00280F11">
      <w:pPr>
        <w:pStyle w:val="Prrafodelista"/>
        <w:rPr>
          <w:rFonts w:ascii="Palatino Linotype" w:hAnsi="Palatino Linotype" w:cs="Arial"/>
          <w:i/>
          <w:color w:val="000000" w:themeColor="text1"/>
        </w:rPr>
      </w:pPr>
    </w:p>
    <w:p w14:paraId="414D6060" w14:textId="5C885123"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i/>
          <w:color w:val="000000" w:themeColor="text1"/>
        </w:rPr>
      </w:pPr>
      <w:r w:rsidRPr="00C554CD">
        <w:rPr>
          <w:rFonts w:ascii="Palatino Linotype" w:hAnsi="Palatino Linotype" w:cs="Arial"/>
          <w:color w:val="000000" w:themeColor="text1"/>
        </w:rPr>
        <w:t xml:space="preserve">A este respecto, y </w:t>
      </w:r>
      <w:r w:rsidR="002D01BB" w:rsidRPr="00C554CD">
        <w:rPr>
          <w:rFonts w:ascii="Palatino Linotype" w:hAnsi="Palatino Linotype" w:cs="Arial"/>
          <w:b/>
          <w:color w:val="000000" w:themeColor="text1"/>
        </w:rPr>
        <w:t>PARA DIFERENCIAR</w:t>
      </w:r>
      <w:r w:rsidR="002D01BB" w:rsidRPr="00C554CD">
        <w:rPr>
          <w:rFonts w:ascii="Palatino Linotype" w:hAnsi="Palatino Linotype" w:cs="Arial"/>
          <w:color w:val="000000" w:themeColor="text1"/>
        </w:rPr>
        <w:t xml:space="preserve"> </w:t>
      </w:r>
      <w:r w:rsidRPr="00C554CD">
        <w:rPr>
          <w:rFonts w:ascii="Palatino Linotype" w:hAnsi="Palatino Linotype" w:cs="Arial"/>
          <w:color w:val="000000" w:themeColor="text1"/>
        </w:rPr>
        <w:t xml:space="preserve">el derecho de petición al derecho de acceso a la información, resulta conducente señalar que José Guadalupe Robles, conceptualiza el derecho a la información como </w:t>
      </w:r>
      <w:r w:rsidRPr="00C554CD">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554CD">
        <w:rPr>
          <w:rStyle w:val="Refdenotaalpie"/>
          <w:rFonts w:ascii="Palatino Linotype" w:hAnsi="Palatino Linotype"/>
          <w:i/>
          <w:color w:val="000000" w:themeColor="text1"/>
        </w:rPr>
        <w:t xml:space="preserve"> </w:t>
      </w:r>
      <w:r w:rsidRPr="00C554CD">
        <w:rPr>
          <w:rStyle w:val="Refdenotaalpie"/>
          <w:rFonts w:ascii="Palatino Linotype" w:hAnsi="Palatino Linotype"/>
          <w:i/>
          <w:color w:val="000000" w:themeColor="text1"/>
        </w:rPr>
        <w:footnoteReference w:id="7"/>
      </w:r>
      <w:r w:rsidRPr="00C554CD">
        <w:rPr>
          <w:rFonts w:ascii="Palatino Linotype" w:hAnsi="Palatino Linotype" w:cs="Arial"/>
          <w:i/>
          <w:color w:val="000000" w:themeColor="text1"/>
        </w:rPr>
        <w:t xml:space="preserve">“(Sic) </w:t>
      </w:r>
    </w:p>
    <w:p w14:paraId="50771CCA" w14:textId="77777777" w:rsidR="00280F11" w:rsidRPr="00C554CD" w:rsidRDefault="00280F11" w:rsidP="00280F11">
      <w:pPr>
        <w:pStyle w:val="Prrafodelista"/>
        <w:rPr>
          <w:rFonts w:ascii="Palatino Linotype" w:hAnsi="Palatino Linotype" w:cs="Arial"/>
          <w:i/>
          <w:color w:val="000000" w:themeColor="text1"/>
        </w:rPr>
      </w:pPr>
    </w:p>
    <w:p w14:paraId="04984A07" w14:textId="77777777"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i/>
          <w:color w:val="000000" w:themeColor="text1"/>
        </w:rPr>
      </w:pPr>
      <w:r w:rsidRPr="00C554CD">
        <w:rPr>
          <w:rFonts w:ascii="Palatino Linotype" w:hAnsi="Palatino Linotype" w:cs="Arial"/>
          <w:color w:val="000000" w:themeColor="text1"/>
        </w:rPr>
        <w:t>Además</w:t>
      </w:r>
      <w:r w:rsidRPr="00C554CD">
        <w:rPr>
          <w:rFonts w:ascii="Palatino Linotype" w:hAnsi="Palatino Linotype" w:cs="Arial"/>
          <w:color w:val="000000" w:themeColor="text1"/>
          <w:lang w:eastAsia="es-MX"/>
        </w:rPr>
        <w:t xml:space="preserve">, el derecho a la información constituye una prerrogativa a acceder a </w:t>
      </w:r>
      <w:r w:rsidRPr="00C554CD">
        <w:rPr>
          <w:rFonts w:ascii="Palatino Linotype" w:hAnsi="Palatino Linotype" w:cs="Arial"/>
          <w:color w:val="000000" w:themeColor="text1"/>
        </w:rPr>
        <w:t>documentación</w:t>
      </w:r>
      <w:r w:rsidRPr="00C554CD">
        <w:rPr>
          <w:rFonts w:ascii="Palatino Linotype" w:hAnsi="Palatino Linotype" w:cs="Arial"/>
          <w:color w:val="000000" w:themeColor="text1"/>
          <w:lang w:eastAsia="es-MX"/>
        </w:rPr>
        <w:t xml:space="preserve"> en </w:t>
      </w:r>
      <w:r w:rsidRPr="00C554CD">
        <w:rPr>
          <w:rFonts w:ascii="Palatino Linotype" w:hAnsi="Palatino Linotype" w:cs="Arial"/>
          <w:color w:val="000000" w:themeColor="text1"/>
        </w:rPr>
        <w:t>poder</w:t>
      </w:r>
      <w:r w:rsidRPr="00C554CD">
        <w:rPr>
          <w:rFonts w:ascii="Palatino Linotype" w:hAnsi="Palatino Linotype" w:cs="Arial"/>
          <w:color w:val="000000" w:themeColor="text1"/>
          <w:lang w:eastAsia="es-MX"/>
        </w:rPr>
        <w:t xml:space="preserve"> de los Sujetos Obligados, </w:t>
      </w:r>
      <w:r w:rsidRPr="00C554CD">
        <w:rPr>
          <w:rFonts w:ascii="Palatino Linotype" w:hAnsi="Palatino Linotype" w:cs="Arial"/>
          <w:color w:val="000000" w:themeColor="text1"/>
          <w:u w:val="single"/>
          <w:lang w:eastAsia="es-MX"/>
        </w:rPr>
        <w:t>no así a realizar cuestionamientos</w:t>
      </w:r>
      <w:r w:rsidRPr="00C554CD">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C554CD">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w:t>
      </w:r>
      <w:r w:rsidRPr="00C554CD">
        <w:rPr>
          <w:rFonts w:ascii="Palatino Linotype" w:hAnsi="Palatino Linotype" w:cs="Arial"/>
          <w:i/>
          <w:color w:val="000000" w:themeColor="text1"/>
          <w:lang w:eastAsia="es-MX"/>
        </w:rPr>
        <w:lastRenderedPageBreak/>
        <w:t xml:space="preserve">funciones de autoridad, con las excepciones taxativas que establezca la ley en una sociedad democrática.” (Sic) </w:t>
      </w:r>
      <w:r w:rsidRPr="00C554CD">
        <w:rPr>
          <w:rStyle w:val="Refdenotaalpie"/>
          <w:rFonts w:ascii="Palatino Linotype" w:hAnsi="Palatino Linotype" w:cs="Arial"/>
          <w:i/>
          <w:color w:val="000000" w:themeColor="text1"/>
          <w:lang w:eastAsia="es-MX"/>
        </w:rPr>
        <w:footnoteReference w:id="8"/>
      </w:r>
    </w:p>
    <w:p w14:paraId="615C9D72" w14:textId="77777777" w:rsidR="00280F11" w:rsidRPr="00C554CD" w:rsidRDefault="00280F11" w:rsidP="00280F11">
      <w:pPr>
        <w:pStyle w:val="Prrafodelista"/>
        <w:rPr>
          <w:rFonts w:ascii="Palatino Linotype" w:hAnsi="Palatino Linotype" w:cs="Arial"/>
          <w:i/>
          <w:color w:val="000000" w:themeColor="text1"/>
        </w:rPr>
      </w:pPr>
    </w:p>
    <w:p w14:paraId="39111361" w14:textId="77777777"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color w:val="000000" w:themeColor="text1"/>
        </w:rPr>
      </w:pPr>
      <w:r w:rsidRPr="00C554CD">
        <w:rPr>
          <w:rFonts w:ascii="Palatino Linotype" w:hAnsi="Palatino Linotype" w:cs="Arial"/>
          <w:color w:val="000000" w:themeColor="text1"/>
          <w:lang w:eastAsia="es-MX"/>
        </w:rPr>
        <w:t>Ahora</w:t>
      </w:r>
      <w:r w:rsidRPr="00C554CD">
        <w:rPr>
          <w:rFonts w:ascii="Palatino Linotype" w:hAnsi="Palatino Linotype" w:cs="Arial"/>
          <w:color w:val="000000" w:themeColor="text1"/>
        </w:rPr>
        <w:t xml:space="preserve"> bien, para entender los alcances de la información pública se considera </w:t>
      </w:r>
      <w:r w:rsidRPr="00C554CD">
        <w:rPr>
          <w:rFonts w:ascii="Palatino Linotype" w:hAnsi="Palatino Linotype" w:cs="Arial"/>
          <w:color w:val="000000" w:themeColor="text1"/>
          <w:lang w:eastAsia="es-MX"/>
        </w:rPr>
        <w:t>importante</w:t>
      </w:r>
      <w:r w:rsidRPr="00C554CD">
        <w:rPr>
          <w:rFonts w:ascii="Palatino Linotype" w:hAnsi="Palatino Linotype" w:cs="Arial"/>
          <w:color w:val="000000" w:themeColor="text1"/>
        </w:rPr>
        <w:t xml:space="preserve"> citar el criterio </w:t>
      </w:r>
      <w:r w:rsidRPr="00C554CD">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554CD">
        <w:rPr>
          <w:rFonts w:ascii="Palatino Linotype" w:hAnsi="Palatino Linotype" w:cs="Arial"/>
          <w:color w:val="000000" w:themeColor="text1"/>
        </w:rPr>
        <w:t>cuyo rubro y texto dispone:</w:t>
      </w:r>
    </w:p>
    <w:p w14:paraId="5F213878" w14:textId="77777777" w:rsidR="00280F11" w:rsidRPr="00C554CD" w:rsidRDefault="00280F11" w:rsidP="00280F11">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C554CD">
        <w:rPr>
          <w:rFonts w:ascii="Palatino Linotype" w:hAnsi="Palatino Linotype" w:cs="Arial"/>
          <w:b/>
          <w:i/>
          <w:color w:val="000000" w:themeColor="text1"/>
        </w:rPr>
        <w:t>“CRITERIO 0002-11</w:t>
      </w:r>
    </w:p>
    <w:p w14:paraId="18803155" w14:textId="77777777" w:rsidR="00280F11" w:rsidRPr="00C554CD"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554CD">
        <w:rPr>
          <w:rFonts w:ascii="Palatino Linotype" w:hAnsi="Palatino Linotype" w:cs="Arial"/>
          <w:b/>
          <w:i/>
          <w:color w:val="000000" w:themeColor="text1"/>
        </w:rPr>
        <w:t xml:space="preserve">INFORMACIÓN PÚBLICA, CONCEPTO DE, EN MATERIA DE TRANSPARENCIA. INTERPRETACIÓN TEMÁTICA DE LOS ARTÍCULOS 2, FRACCIÓN </w:t>
      </w:r>
      <w:r w:rsidRPr="00C554CD">
        <w:rPr>
          <w:rFonts w:ascii="Palatino Linotype" w:hAnsi="Palatino Linotype" w:cs="Arial"/>
          <w:b/>
          <w:bCs/>
          <w:i/>
          <w:color w:val="000000" w:themeColor="text1"/>
        </w:rPr>
        <w:t xml:space="preserve">V, XV, Y XVI, </w:t>
      </w:r>
      <w:r w:rsidRPr="00C554CD">
        <w:rPr>
          <w:rFonts w:ascii="Palatino Linotype" w:hAnsi="Palatino Linotype" w:cs="Arial"/>
          <w:b/>
          <w:i/>
          <w:color w:val="000000" w:themeColor="text1"/>
        </w:rPr>
        <w:t>32, 4,11 Y 41.</w:t>
      </w:r>
      <w:r w:rsidRPr="00C554CD">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F14646" w14:textId="77777777" w:rsidR="00280F11" w:rsidRPr="00C554CD"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554CD">
        <w:rPr>
          <w:rFonts w:ascii="Palatino Linotype" w:hAnsi="Palatino Linotype" w:cs="Arial"/>
          <w:i/>
          <w:color w:val="000000" w:themeColor="text1"/>
        </w:rPr>
        <w:t>En consecuencia el acceso a la información se refiere a que se cumplan cualquiera de los siguientes tres supuestos:</w:t>
      </w:r>
    </w:p>
    <w:p w14:paraId="2B21AE58" w14:textId="77777777" w:rsidR="00280F11" w:rsidRPr="00C554CD"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554CD">
        <w:rPr>
          <w:rFonts w:ascii="Palatino Linotype" w:hAnsi="Palatino Linotype" w:cs="Arial"/>
          <w:i/>
          <w:color w:val="000000" w:themeColor="text1"/>
        </w:rPr>
        <w:lastRenderedPageBreak/>
        <w:t>Que se trate de información registrada en cualquier soporte documental, que en ejercicio de las atribuciones conferidas, sea generada por los Sujetos Obligados;</w:t>
      </w:r>
    </w:p>
    <w:p w14:paraId="462A2150" w14:textId="77777777" w:rsidR="00280F11" w:rsidRPr="00C554CD"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554CD">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594CCE81" w14:textId="77777777" w:rsidR="00280F11" w:rsidRPr="00C554CD" w:rsidRDefault="00280F11" w:rsidP="00280F11">
      <w:pPr>
        <w:autoSpaceDE w:val="0"/>
        <w:autoSpaceDN w:val="0"/>
        <w:adjustRightInd w:val="0"/>
        <w:spacing w:line="360" w:lineRule="auto"/>
        <w:ind w:left="567" w:right="567"/>
        <w:jc w:val="both"/>
        <w:rPr>
          <w:rFonts w:ascii="Palatino Linotype" w:hAnsi="Palatino Linotype" w:cs="Arial"/>
          <w:i/>
          <w:color w:val="000000" w:themeColor="text1"/>
        </w:rPr>
      </w:pPr>
      <w:r w:rsidRPr="00C554CD">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729B1FE6" w14:textId="77777777" w:rsidR="00280F11" w:rsidRPr="00C554CD" w:rsidRDefault="00280F11" w:rsidP="00280F11">
      <w:pPr>
        <w:autoSpaceDE w:val="0"/>
        <w:autoSpaceDN w:val="0"/>
        <w:adjustRightInd w:val="0"/>
        <w:spacing w:line="360" w:lineRule="auto"/>
        <w:ind w:left="567" w:right="567"/>
        <w:jc w:val="both"/>
        <w:rPr>
          <w:rFonts w:ascii="Palatino Linotype" w:hAnsi="Palatino Linotype" w:cs="Arial"/>
          <w:i/>
          <w:color w:val="000000" w:themeColor="text1"/>
        </w:rPr>
      </w:pPr>
    </w:p>
    <w:p w14:paraId="4423B01E" w14:textId="77777777" w:rsidR="00280F11" w:rsidRPr="00C554CD" w:rsidRDefault="00280F11" w:rsidP="00280F11">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s="Arial"/>
          <w:color w:val="000000" w:themeColor="text1"/>
        </w:rPr>
        <w:t xml:space="preserve">De </w:t>
      </w:r>
      <w:r w:rsidRPr="00C554CD">
        <w:rPr>
          <w:rFonts w:ascii="Palatino Linotype" w:hAnsi="Palatino Linotype" w:cs="Arial"/>
          <w:color w:val="000000" w:themeColor="text1"/>
          <w:lang w:eastAsia="es-MX"/>
        </w:rPr>
        <w:t>lo</w:t>
      </w:r>
      <w:r w:rsidRPr="00C554CD">
        <w:rPr>
          <w:rFonts w:ascii="Palatino Linotype" w:hAnsi="Palatino Linotype" w:cs="Arial"/>
          <w:color w:val="000000" w:themeColor="text1"/>
        </w:rPr>
        <w:t xml:space="preserve"> anterior, se puede concluir que la distinción entre el derecho de petición y el </w:t>
      </w:r>
      <w:r w:rsidRPr="00C554CD">
        <w:rPr>
          <w:rFonts w:ascii="Palatino Linotype" w:hAnsi="Palatino Linotype" w:cs="Arial"/>
          <w:color w:val="000000" w:themeColor="text1"/>
          <w:lang w:eastAsia="es-MX"/>
        </w:rPr>
        <w:t>derecho</w:t>
      </w:r>
      <w:r w:rsidRPr="00C554CD">
        <w:rPr>
          <w:rFonts w:ascii="Palatino Linotype" w:hAnsi="Palatino Linotype" w:cs="Arial"/>
          <w:color w:val="000000" w:themeColor="text1"/>
        </w:rPr>
        <w:t xml:space="preserve"> de acceso a la información estriba, principalmente, en que en el primero de ellos </w:t>
      </w:r>
      <w:r w:rsidRPr="00C554CD">
        <w:rPr>
          <w:rFonts w:ascii="Palatino Linotype" w:hAnsi="Palatino Linotype" w:cs="Arial"/>
          <w:color w:val="000000" w:themeColor="text1"/>
          <w:lang w:eastAsia="es-MX"/>
        </w:rPr>
        <w:t xml:space="preserve">la pretensión del peticionario consiste generalmente en obligar a la autoridad responsable a que </w:t>
      </w:r>
      <w:r w:rsidRPr="00C554CD">
        <w:rPr>
          <w:rFonts w:ascii="Palatino Linotype" w:hAnsi="Palatino Linotype" w:cs="Arial"/>
          <w:b/>
          <w:color w:val="000000" w:themeColor="text1"/>
          <w:u w:val="single"/>
          <w:lang w:eastAsia="es-MX"/>
        </w:rPr>
        <w:t>actúe en el sentido de contestar lo solicitado</w:t>
      </w:r>
      <w:r w:rsidRPr="00C554CD">
        <w:rPr>
          <w:rFonts w:ascii="Palatino Linotype" w:hAnsi="Palatino Linotype" w:cs="Arial"/>
          <w:color w:val="000000" w:themeColor="text1"/>
          <w:lang w:eastAsia="es-MX"/>
        </w:rPr>
        <w:t xml:space="preserve">; mientras que en el </w:t>
      </w:r>
      <w:r w:rsidRPr="00C554CD">
        <w:rPr>
          <w:rFonts w:ascii="Palatino Linotype" w:hAnsi="Palatino Linotype" w:cs="Arial"/>
          <w:bCs/>
          <w:color w:val="000000" w:themeColor="text1"/>
          <w:lang w:eastAsia="es-CO"/>
        </w:rPr>
        <w:t>segundo supuesto, la petición se encamina primordialmente a</w:t>
      </w:r>
      <w:r w:rsidRPr="00C554CD">
        <w:rPr>
          <w:rFonts w:ascii="Palatino Linotype" w:hAnsi="Palatino Linotype" w:cs="Arial"/>
          <w:color w:val="000000" w:themeColor="text1"/>
        </w:rPr>
        <w:t xml:space="preserve"> permitir el </w:t>
      </w:r>
      <w:r w:rsidRPr="00C554CD">
        <w:rPr>
          <w:rFonts w:ascii="Palatino Linotype" w:hAnsi="Palatino Linotype" w:cs="Arial"/>
          <w:color w:val="000000" w:themeColor="text1"/>
          <w:lang w:eastAsia="es-CO"/>
        </w:rPr>
        <w:t xml:space="preserve">acceso a datos, registros y todo tipo de información pública </w:t>
      </w:r>
      <w:r w:rsidRPr="00C554CD">
        <w:rPr>
          <w:rFonts w:ascii="Palatino Linotype" w:hAnsi="Palatino Linotype" w:cs="Arial"/>
          <w:b/>
          <w:color w:val="000000" w:themeColor="text1"/>
          <w:u w:val="single"/>
          <w:lang w:eastAsia="es-CO"/>
        </w:rPr>
        <w:t>que conste en documentos</w:t>
      </w:r>
      <w:r w:rsidRPr="00C554CD">
        <w:rPr>
          <w:rFonts w:ascii="Palatino Linotype" w:hAnsi="Palatino Linotype" w:cs="Arial"/>
          <w:color w:val="000000" w:themeColor="text1"/>
          <w:lang w:eastAsia="es-CO"/>
        </w:rPr>
        <w:t xml:space="preserve">, sea generada o se encuentre en posesión de </w:t>
      </w:r>
      <w:r w:rsidRPr="00C554CD">
        <w:rPr>
          <w:rFonts w:ascii="Palatino Linotype" w:hAnsi="Palatino Linotype" w:cs="Arial"/>
          <w:color w:val="000000" w:themeColor="text1"/>
        </w:rPr>
        <w:t>la autoridad.</w:t>
      </w:r>
    </w:p>
    <w:p w14:paraId="28284897" w14:textId="77777777" w:rsidR="00280F11" w:rsidRPr="00C554CD" w:rsidRDefault="00280F11" w:rsidP="00280F11">
      <w:pPr>
        <w:spacing w:line="360" w:lineRule="auto"/>
        <w:contextualSpacing/>
        <w:jc w:val="both"/>
        <w:rPr>
          <w:rFonts w:ascii="Palatino Linotype" w:hAnsi="Palatino Linotype"/>
          <w:color w:val="000000" w:themeColor="text1"/>
        </w:rPr>
      </w:pPr>
    </w:p>
    <w:p w14:paraId="2C758C98" w14:textId="0F3C044F" w:rsidR="00280F11" w:rsidRPr="00C554CD" w:rsidRDefault="00280F11" w:rsidP="00280F11">
      <w:pPr>
        <w:pStyle w:val="Prrafodelista"/>
        <w:numPr>
          <w:ilvl w:val="0"/>
          <w:numId w:val="7"/>
        </w:numPr>
        <w:spacing w:line="360" w:lineRule="auto"/>
        <w:ind w:left="0" w:firstLine="0"/>
        <w:jc w:val="both"/>
        <w:rPr>
          <w:rFonts w:ascii="Palatino Linotype" w:hAnsi="Palatino Linotype" w:cs="Arial"/>
          <w:i/>
          <w:lang w:eastAsia="es-MX"/>
        </w:rPr>
      </w:pPr>
      <w:r w:rsidRPr="00C554CD">
        <w:rPr>
          <w:rFonts w:ascii="Palatino Linotype" w:hAnsi="Palatino Linotype"/>
          <w:color w:val="000000" w:themeColor="text1"/>
        </w:rPr>
        <w:t xml:space="preserve">En ese orden de ideas, es dable también señalar </w:t>
      </w:r>
      <w:r w:rsidRPr="00C554CD">
        <w:rPr>
          <w:rFonts w:ascii="Palatino Linotype" w:hAnsi="Palatino Linotype"/>
          <w:color w:val="000000" w:themeColor="text1"/>
          <w:u w:val="single"/>
        </w:rPr>
        <w:t xml:space="preserve">que los sujetos obligados tampoco se encuentran compelidos a generar documentos </w:t>
      </w:r>
      <w:r w:rsidRPr="00C554CD">
        <w:rPr>
          <w:rFonts w:ascii="Palatino Linotype" w:hAnsi="Palatino Linotype"/>
          <w:i/>
          <w:color w:val="000000" w:themeColor="text1"/>
          <w:u w:val="single"/>
        </w:rPr>
        <w:t>Ad hoc</w:t>
      </w:r>
      <w:r w:rsidRPr="00C554CD">
        <w:rPr>
          <w:rFonts w:ascii="Palatino Linotype" w:hAnsi="Palatino Linotype"/>
          <w:color w:val="000000" w:themeColor="text1"/>
        </w:rPr>
        <w:t>, pues se reitera que el derecho de acceso a la información, es un derecho que versa sobre documentos que los sujetos obligados, generen, posean o administren,</w:t>
      </w:r>
      <w:r w:rsidRPr="00C554CD">
        <w:rPr>
          <w:rFonts w:ascii="Palatino Linotype" w:hAnsi="Palatino Linotype"/>
          <w:b/>
          <w:color w:val="000000" w:themeColor="text1"/>
        </w:rPr>
        <w:t xml:space="preserve"> </w:t>
      </w:r>
      <w:r w:rsidRPr="00C554CD">
        <w:rPr>
          <w:rFonts w:ascii="Palatino Linotype" w:hAnsi="Palatino Linotype"/>
          <w:b/>
          <w:color w:val="000000" w:themeColor="text1"/>
          <w:u w:val="single"/>
        </w:rPr>
        <w:t>previo a la interposición de la solicitud de información,</w:t>
      </w:r>
      <w:r w:rsidRPr="00C554CD">
        <w:rPr>
          <w:rFonts w:ascii="Palatino Linotype" w:hAnsi="Palatino Linotype"/>
          <w:b/>
          <w:color w:val="000000" w:themeColor="text1"/>
        </w:rPr>
        <w:t xml:space="preserve"> </w:t>
      </w:r>
      <w:r w:rsidRPr="00C554CD">
        <w:rPr>
          <w:rFonts w:ascii="Palatino Linotype" w:hAnsi="Palatino Linotype"/>
          <w:b/>
          <w:color w:val="000000" w:themeColor="text1"/>
          <w:u w:val="single"/>
        </w:rPr>
        <w:t>no así a generar nuevos documentos con la finalidad de satisfacer las pretensiones particulares de los solicitantes</w:t>
      </w:r>
      <w:r w:rsidRPr="00C554CD">
        <w:rPr>
          <w:rFonts w:ascii="Palatino Linotype" w:hAnsi="Palatino Linotype"/>
          <w:color w:val="000000" w:themeColor="text1"/>
        </w:rPr>
        <w:t xml:space="preserve">, </w:t>
      </w:r>
      <w:r w:rsidRPr="00C554CD">
        <w:rPr>
          <w:rFonts w:ascii="Palatino Linotype" w:eastAsia="MS Mincho" w:hAnsi="Palatino Linotype" w:cs="Arial"/>
        </w:rPr>
        <w:lastRenderedPageBreak/>
        <w:t>c</w:t>
      </w:r>
      <w:r w:rsidRPr="00C554CD">
        <w:rPr>
          <w:rFonts w:ascii="Palatino Linotype" w:hAnsi="Palatino Linotype" w:cs="Arial"/>
        </w:rPr>
        <w:t xml:space="preserve">omo apoyo a lo anterior, es aplicable por analogía el </w:t>
      </w:r>
      <w:r w:rsidRPr="00C554CD">
        <w:rPr>
          <w:rFonts w:ascii="Palatino Linotype" w:hAnsi="Palatino Linotype" w:cs="Arial"/>
          <w:b/>
        </w:rPr>
        <w:t>Criterio 03/17</w:t>
      </w:r>
      <w:r w:rsidRPr="00C554CD">
        <w:rPr>
          <w:rFonts w:ascii="Palatino Linotype" w:hAnsi="Palatino Linotype" w:cs="Arial"/>
        </w:rPr>
        <w:t>, emitido por el Pleno del Instituto Nacional de Transparencia, Acceso a la Información y Protección de Datos Personales (INAI)</w:t>
      </w:r>
      <w:r w:rsidRPr="00C554CD">
        <w:rPr>
          <w:rFonts w:ascii="Palatino Linotype" w:hAnsi="Palatino Linotype" w:cs="Arial"/>
          <w:bCs/>
        </w:rPr>
        <w:t>, que a la letra dice:</w:t>
      </w:r>
    </w:p>
    <w:p w14:paraId="349F5E7D" w14:textId="77777777" w:rsidR="00280F11" w:rsidRPr="00C554CD" w:rsidRDefault="00280F11" w:rsidP="00280F11">
      <w:pPr>
        <w:pStyle w:val="Prrafodelista"/>
        <w:spacing w:line="360" w:lineRule="auto"/>
        <w:rPr>
          <w:rFonts w:ascii="Palatino Linotype" w:hAnsi="Palatino Linotype" w:cs="Arial"/>
          <w:i/>
          <w:lang w:eastAsia="es-MX"/>
        </w:rPr>
      </w:pPr>
    </w:p>
    <w:p w14:paraId="60F8AEE2" w14:textId="77777777" w:rsidR="00280F11" w:rsidRPr="00C554CD" w:rsidRDefault="00280F11" w:rsidP="00280F11">
      <w:pPr>
        <w:pStyle w:val="Prrafodelista"/>
        <w:spacing w:line="360" w:lineRule="auto"/>
        <w:ind w:left="567" w:right="616"/>
        <w:jc w:val="both"/>
        <w:rPr>
          <w:rFonts w:ascii="Palatino Linotype" w:hAnsi="Palatino Linotype" w:cs="Arial"/>
          <w:bCs/>
          <w:i/>
        </w:rPr>
      </w:pPr>
      <w:r w:rsidRPr="00C554CD">
        <w:rPr>
          <w:rFonts w:ascii="Palatino Linotype" w:hAnsi="Palatino Linotype" w:cs="Arial"/>
          <w:b/>
          <w:bCs/>
          <w:i/>
        </w:rPr>
        <w:t xml:space="preserve">“No existe obligación de elaborar documentos ad hoc para atender las solicitudes de acceso a la información. </w:t>
      </w:r>
      <w:r w:rsidRPr="00C554CD">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5A0D43" w14:textId="77777777" w:rsidR="00280F11" w:rsidRPr="00C554CD" w:rsidRDefault="00280F11" w:rsidP="00280F11">
      <w:pPr>
        <w:pStyle w:val="Prrafodelista"/>
        <w:spacing w:line="360" w:lineRule="auto"/>
        <w:ind w:left="567" w:right="616"/>
        <w:jc w:val="both"/>
        <w:rPr>
          <w:rFonts w:ascii="Palatino Linotype" w:hAnsi="Palatino Linotype" w:cs="Arial"/>
          <w:bCs/>
          <w:i/>
        </w:rPr>
      </w:pPr>
    </w:p>
    <w:p w14:paraId="7CBB9229" w14:textId="77777777" w:rsidR="00280F11" w:rsidRPr="00C554CD" w:rsidRDefault="00280F11" w:rsidP="00280F11">
      <w:pPr>
        <w:pStyle w:val="Prrafodelista"/>
        <w:spacing w:line="360" w:lineRule="auto"/>
        <w:ind w:left="567" w:right="616"/>
        <w:jc w:val="both"/>
        <w:rPr>
          <w:rFonts w:ascii="Palatino Linotype" w:hAnsi="Palatino Linotype" w:cs="Arial"/>
          <w:b/>
          <w:bCs/>
          <w:i/>
        </w:rPr>
      </w:pPr>
      <w:r w:rsidRPr="00C554CD">
        <w:rPr>
          <w:rFonts w:ascii="Palatino Linotype" w:hAnsi="Palatino Linotype" w:cs="Arial"/>
          <w:b/>
          <w:bCs/>
          <w:i/>
        </w:rPr>
        <w:t>Resoluciones:</w:t>
      </w:r>
    </w:p>
    <w:p w14:paraId="42E33265" w14:textId="77777777" w:rsidR="00280F11" w:rsidRPr="00C554CD" w:rsidRDefault="00280F11" w:rsidP="00280F11">
      <w:pPr>
        <w:pStyle w:val="Prrafodelista"/>
        <w:spacing w:line="360" w:lineRule="auto"/>
        <w:ind w:left="567" w:right="618"/>
        <w:jc w:val="both"/>
        <w:rPr>
          <w:rFonts w:ascii="Palatino Linotype" w:hAnsi="Palatino Linotype" w:cs="Arial"/>
          <w:bCs/>
          <w:i/>
        </w:rPr>
      </w:pPr>
      <w:r w:rsidRPr="00C554CD">
        <w:rPr>
          <w:rFonts w:ascii="Palatino Linotype" w:hAnsi="Palatino Linotype" w:cs="Arial"/>
          <w:bCs/>
          <w:i/>
        </w:rPr>
        <w:t>RRA 0050/16. Instituto Nacional para la Evaluación de la Educación. 13 julio de 2016. Por unanimidad. Comisionado Ponente: Francisco Javier Acuña Llamas.</w:t>
      </w:r>
    </w:p>
    <w:p w14:paraId="21111E24" w14:textId="77777777" w:rsidR="00280F11" w:rsidRPr="00C554CD" w:rsidRDefault="00280F11" w:rsidP="00280F11">
      <w:pPr>
        <w:pStyle w:val="Prrafodelista"/>
        <w:spacing w:line="360" w:lineRule="auto"/>
        <w:ind w:left="567" w:right="618"/>
        <w:jc w:val="both"/>
        <w:rPr>
          <w:rFonts w:ascii="Palatino Linotype" w:hAnsi="Palatino Linotype" w:cs="Arial"/>
          <w:bCs/>
          <w:i/>
        </w:rPr>
      </w:pPr>
      <w:r w:rsidRPr="00C554CD">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28BE0F90" w14:textId="77777777" w:rsidR="00280F11" w:rsidRPr="00C554CD" w:rsidRDefault="00280F11" w:rsidP="00280F11">
      <w:pPr>
        <w:pStyle w:val="Prrafodelista"/>
        <w:spacing w:line="360" w:lineRule="auto"/>
        <w:ind w:left="567" w:right="618"/>
        <w:jc w:val="both"/>
        <w:rPr>
          <w:rFonts w:ascii="Palatino Linotype" w:hAnsi="Palatino Linotype" w:cs="Arial"/>
          <w:bCs/>
          <w:i/>
        </w:rPr>
      </w:pPr>
      <w:r w:rsidRPr="00C554CD">
        <w:rPr>
          <w:rFonts w:ascii="Palatino Linotype" w:hAnsi="Palatino Linotype" w:cs="Arial"/>
          <w:bCs/>
          <w:i/>
        </w:rPr>
        <w:lastRenderedPageBreak/>
        <w:t>RRA 1889/16. Secretaría de Hacienda y Crédito Público. 05 de octubre de 2016. Por unanimidad. Comisionada Ponente. Ximena Puente de la Mora.”</w:t>
      </w:r>
    </w:p>
    <w:p w14:paraId="1E67E1E7" w14:textId="77777777" w:rsidR="00280F11" w:rsidRPr="00C554CD" w:rsidRDefault="00280F11" w:rsidP="00280F11">
      <w:pPr>
        <w:pStyle w:val="Prrafodelista"/>
        <w:spacing w:line="360" w:lineRule="auto"/>
        <w:ind w:left="567" w:right="618"/>
        <w:jc w:val="both"/>
        <w:rPr>
          <w:rFonts w:ascii="Palatino Linotype" w:hAnsi="Palatino Linotype" w:cs="Arial"/>
          <w:bCs/>
          <w:i/>
        </w:rPr>
      </w:pPr>
    </w:p>
    <w:p w14:paraId="1252258D" w14:textId="5A10CAA5" w:rsidR="00280F11" w:rsidRPr="00C554CD" w:rsidRDefault="00280F11" w:rsidP="006C669E">
      <w:pPr>
        <w:pStyle w:val="Prrafodelista"/>
        <w:numPr>
          <w:ilvl w:val="0"/>
          <w:numId w:val="7"/>
        </w:numPr>
        <w:tabs>
          <w:tab w:val="left" w:pos="142"/>
        </w:tabs>
        <w:spacing w:before="240" w:after="240" w:line="360" w:lineRule="auto"/>
        <w:ind w:left="0" w:right="51" w:firstLine="0"/>
        <w:contextualSpacing/>
        <w:jc w:val="both"/>
        <w:rPr>
          <w:rFonts w:ascii="Palatino Linotype" w:eastAsia="Calibri" w:hAnsi="Palatino Linotype"/>
        </w:rPr>
      </w:pPr>
      <w:r w:rsidRPr="00C554CD">
        <w:rPr>
          <w:rFonts w:ascii="Palatino Linotype" w:eastAsia="MS Mincho" w:hAnsi="Palatino Linotype" w:cs="Arial"/>
        </w:rPr>
        <w:t>Seguidamente, deviene la solicitud tocante</w:t>
      </w:r>
      <w:r w:rsidR="006C669E" w:rsidRPr="00C554CD">
        <w:rPr>
          <w:rFonts w:ascii="Palatino Linotype" w:eastAsia="MS Mincho" w:hAnsi="Palatino Linotype" w:cs="Arial"/>
        </w:rPr>
        <w:t xml:space="preserve"> al número de plazas disponibles para ocupar el cargo de Técnico Judicial y Archivista Judicial en los Juzgados Tercero Civil, Quinto Civil y Séptimo Civil del Distrito Judicial de Chalco con residencia en Amecameca, cuya respuesta emitida no fue combatida ni se expresaron agravios al respecto; incluso se señala expresamente lo siguiente: </w:t>
      </w:r>
      <w:r w:rsidR="006C669E" w:rsidRPr="00C554CD">
        <w:rPr>
          <w:rFonts w:ascii="Palatino Linotype" w:eastAsia="MS Mincho" w:hAnsi="Palatino Linotype" w:cs="Arial"/>
          <w:i/>
        </w:rPr>
        <w:t>"...pues bien es cierto atendió lo peticionado en los puntos 2 y 3; igual de cierto es, que en lo relativo al punto 1, OMITE entregar la información solicitada..."</w:t>
      </w:r>
    </w:p>
    <w:p w14:paraId="56373487" w14:textId="77777777" w:rsidR="006C669E" w:rsidRPr="00C554CD" w:rsidRDefault="006C669E" w:rsidP="006C669E">
      <w:pPr>
        <w:pStyle w:val="Prrafodelista"/>
        <w:tabs>
          <w:tab w:val="left" w:pos="142"/>
        </w:tabs>
        <w:spacing w:before="240" w:after="240" w:line="360" w:lineRule="auto"/>
        <w:ind w:left="0" w:right="51"/>
        <w:contextualSpacing/>
        <w:jc w:val="both"/>
        <w:rPr>
          <w:rFonts w:ascii="Palatino Linotype" w:eastAsia="Calibri" w:hAnsi="Palatino Linotype"/>
        </w:rPr>
      </w:pPr>
    </w:p>
    <w:p w14:paraId="57452B45" w14:textId="77777777" w:rsidR="006C669E" w:rsidRPr="00C554CD"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eastAsia="MS Mincho" w:hAnsi="Palatino Linotype" w:cs="Arial"/>
        </w:rPr>
      </w:pPr>
      <w:r w:rsidRPr="00C554CD">
        <w:rPr>
          <w:rFonts w:ascii="Palatino Linotype" w:eastAsia="MS Mincho" w:hAnsi="Palatino Linotype" w:cs="Arial"/>
        </w:rPr>
        <w:t xml:space="preserve">Luego entonces, al no existir inconformidad respecto al resto de información solicitada inicialmente ni del resto de información remitida en calidad de respuesta, es que se tienen por </w:t>
      </w:r>
      <w:r w:rsidRPr="00C554CD">
        <w:rPr>
          <w:rFonts w:ascii="Palatino Linotype" w:hAnsi="Palatino Linotype"/>
          <w:color w:val="000000" w:themeColor="text1"/>
        </w:rPr>
        <w:t>colmados</w:t>
      </w:r>
      <w:r w:rsidRPr="00C554CD">
        <w:rPr>
          <w:rFonts w:ascii="Palatino Linotype" w:eastAsia="MS Mincho" w:hAnsi="Palatino Linotype" w:cs="Arial"/>
        </w:rPr>
        <w:t>, ya</w:t>
      </w:r>
      <w:r w:rsidRPr="00C554CD">
        <w:rPr>
          <w:rFonts w:ascii="Palatino Linotype" w:hAnsi="Palatino Linotype" w:cs="Arial"/>
          <w:b/>
        </w:rPr>
        <w:t xml:space="preserve"> </w:t>
      </w:r>
      <w:r w:rsidRPr="00C554CD">
        <w:rPr>
          <w:rFonts w:ascii="Palatino Linotype" w:hAnsi="Palatino Linotype" w:cs="Arial"/>
        </w:rPr>
        <w:t xml:space="preserve">que la falta de impugnación respecto de los requerimientos que no fueron manifestados en el recurso de revisión, debe entenderse como </w:t>
      </w:r>
      <w:r w:rsidRPr="00C554CD">
        <w:rPr>
          <w:rFonts w:ascii="Palatino Linotype" w:hAnsi="Palatino Linotype" w:cs="Arial"/>
          <w:b/>
        </w:rPr>
        <w:t>actos consentidos</w:t>
      </w:r>
      <w:r w:rsidRPr="00C554CD">
        <w:rPr>
          <w:rFonts w:ascii="Palatino Linotype" w:hAnsi="Palatino Linotype" w:cs="Arial"/>
        </w:rPr>
        <w:t>.</w:t>
      </w:r>
    </w:p>
    <w:p w14:paraId="6382721B" w14:textId="77777777" w:rsidR="006C669E" w:rsidRPr="00C554CD" w:rsidRDefault="006C669E" w:rsidP="006C669E">
      <w:pPr>
        <w:pStyle w:val="Prrafodelista"/>
        <w:rPr>
          <w:rFonts w:ascii="Palatino Linotype" w:eastAsia="MS Mincho" w:hAnsi="Palatino Linotype" w:cs="Arial"/>
        </w:rPr>
      </w:pPr>
    </w:p>
    <w:p w14:paraId="1399DEAB" w14:textId="77777777" w:rsidR="006C669E" w:rsidRPr="00C554CD"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rPr>
      </w:pPr>
      <w:r w:rsidRPr="00C554CD">
        <w:rPr>
          <w:rFonts w:ascii="Palatino Linotype" w:eastAsia="MS Mincho" w:hAnsi="Palatino Linotype" w:cs="Arial"/>
        </w:rPr>
        <w:t>Esto</w:t>
      </w:r>
      <w:r w:rsidRPr="00C554CD">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4A5E8E7E" w14:textId="77777777" w:rsidR="006C669E" w:rsidRPr="00C554CD" w:rsidRDefault="006C669E" w:rsidP="006C669E">
      <w:pPr>
        <w:pStyle w:val="Prrafodelista"/>
        <w:spacing w:line="360" w:lineRule="auto"/>
        <w:ind w:left="502" w:right="426"/>
        <w:jc w:val="both"/>
        <w:rPr>
          <w:rFonts w:ascii="Palatino Linotype" w:hAnsi="Palatino Linotype" w:cs="Arial"/>
          <w:i/>
        </w:rPr>
      </w:pPr>
      <w:r w:rsidRPr="00C554CD">
        <w:rPr>
          <w:rFonts w:ascii="Palatino Linotype" w:hAnsi="Palatino Linotype" w:cs="Arial"/>
          <w:b/>
          <w:bCs/>
          <w:i/>
          <w:iCs/>
        </w:rPr>
        <w:lastRenderedPageBreak/>
        <w:t>“REVISIÓN EN AMPARO. LOS RESOLUTIVOS NO COMBATIDOS DEBEN DECLARARSE FIRMES. </w:t>
      </w:r>
      <w:r w:rsidRPr="00C554CD">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C554CD">
        <w:rPr>
          <w:rFonts w:ascii="Palatino Linotype" w:hAnsi="Palatino Linotype" w:cs="Arial"/>
          <w:i/>
          <w:iCs/>
        </w:rPr>
        <w:t> Esto es, en el caso referido, no obstante que la materia de la revisión comprende a todos los resolutivos que afectan a EL RECURRENTE, </w:t>
      </w:r>
      <w:r w:rsidRPr="00C554CD">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554CD">
        <w:rPr>
          <w:rFonts w:ascii="Palatino Linotype" w:hAnsi="Palatino Linotype" w:cs="Arial"/>
          <w:i/>
          <w:iCs/>
        </w:rPr>
        <w:t>.”</w:t>
      </w:r>
    </w:p>
    <w:p w14:paraId="288D4314" w14:textId="77777777" w:rsidR="006C669E" w:rsidRPr="00C554CD" w:rsidRDefault="006C669E" w:rsidP="006C669E">
      <w:pPr>
        <w:pStyle w:val="Prrafodelista"/>
        <w:spacing w:line="360" w:lineRule="auto"/>
        <w:ind w:left="502" w:right="426"/>
        <w:jc w:val="both"/>
        <w:rPr>
          <w:rFonts w:ascii="Palatino Linotype" w:hAnsi="Palatino Linotype" w:cs="Arial"/>
        </w:rPr>
      </w:pPr>
      <w:r w:rsidRPr="00C554CD">
        <w:rPr>
          <w:rFonts w:ascii="Palatino Linotype" w:hAnsi="Palatino Linotype" w:cs="Arial"/>
        </w:rPr>
        <w:t>(Énfasis añadido)</w:t>
      </w:r>
    </w:p>
    <w:p w14:paraId="4E531ECC" w14:textId="77777777" w:rsidR="006C669E" w:rsidRPr="00C554CD" w:rsidRDefault="006C669E" w:rsidP="006C669E">
      <w:pPr>
        <w:pStyle w:val="Prrafodelista"/>
        <w:spacing w:line="360" w:lineRule="auto"/>
        <w:ind w:left="502" w:right="426"/>
        <w:jc w:val="both"/>
        <w:rPr>
          <w:rFonts w:ascii="Palatino Linotype" w:hAnsi="Palatino Linotype" w:cs="Arial"/>
        </w:rPr>
      </w:pPr>
    </w:p>
    <w:p w14:paraId="65D14B5A" w14:textId="75D821F9" w:rsidR="006C669E" w:rsidRPr="00C554CD"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rPr>
      </w:pPr>
      <w:r w:rsidRPr="00C554CD">
        <w:rPr>
          <w:rFonts w:ascii="Palatino Linotype" w:hAnsi="Palatino Linotype" w:cs="Arial"/>
        </w:rPr>
        <w:t xml:space="preserve">Consecuentemente, </w:t>
      </w:r>
      <w:r w:rsidRPr="00C554CD">
        <w:rPr>
          <w:rFonts w:ascii="Palatino Linotype" w:hAnsi="Palatino Linotype" w:cs="Arial"/>
          <w:b/>
        </w:rPr>
        <w:t xml:space="preserve">la parte de la respuesta que no fue impugnada debe </w:t>
      </w:r>
      <w:r w:rsidRPr="00C554CD">
        <w:rPr>
          <w:rFonts w:ascii="Palatino Linotype" w:eastAsia="MS Mincho" w:hAnsi="Palatino Linotype" w:cs="Arial"/>
        </w:rPr>
        <w:t>declararse</w:t>
      </w:r>
      <w:r w:rsidRPr="00C554CD">
        <w:rPr>
          <w:rFonts w:ascii="Palatino Linotype" w:hAnsi="Palatino Linotype" w:cs="Arial"/>
          <w:b/>
        </w:rPr>
        <w:t xml:space="preserve"> consentida por la recurrente, toda vez que no realizó </w:t>
      </w:r>
      <w:r w:rsidRPr="00C554CD">
        <w:rPr>
          <w:rFonts w:ascii="Palatino Linotype" w:eastAsia="MS Mincho" w:hAnsi="Palatino Linotype" w:cs="Arial"/>
        </w:rPr>
        <w:t>manifestaciones</w:t>
      </w:r>
      <w:r w:rsidRPr="00C554CD">
        <w:rPr>
          <w:rFonts w:ascii="Palatino Linotype" w:hAnsi="Palatino Linotype" w:cs="Arial"/>
          <w:b/>
        </w:rPr>
        <w:t xml:space="preserve"> de inconformidad</w:t>
      </w:r>
      <w:r w:rsidRPr="00C554CD">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2944B455" w14:textId="77777777" w:rsidR="006C669E" w:rsidRPr="00C554CD" w:rsidRDefault="006C669E" w:rsidP="006C669E">
      <w:pPr>
        <w:pStyle w:val="Prrafodelista"/>
        <w:spacing w:line="360" w:lineRule="auto"/>
        <w:ind w:left="0"/>
        <w:jc w:val="both"/>
        <w:rPr>
          <w:rFonts w:ascii="Palatino Linotype" w:hAnsi="Palatino Linotype" w:cs="Arial"/>
        </w:rPr>
      </w:pPr>
    </w:p>
    <w:p w14:paraId="4BC6E54A" w14:textId="77777777" w:rsidR="006C669E" w:rsidRPr="00C554CD" w:rsidRDefault="006C669E" w:rsidP="006C669E">
      <w:pPr>
        <w:pStyle w:val="Prrafodelista"/>
        <w:spacing w:line="360" w:lineRule="auto"/>
        <w:ind w:left="502" w:right="426"/>
        <w:jc w:val="both"/>
        <w:rPr>
          <w:rFonts w:ascii="Palatino Linotype" w:hAnsi="Palatino Linotype" w:cs="Arial"/>
          <w:i/>
        </w:rPr>
      </w:pPr>
      <w:r w:rsidRPr="00C554CD">
        <w:rPr>
          <w:rFonts w:ascii="Palatino Linotype" w:hAnsi="Palatino Linotype" w:cs="Arial"/>
          <w:b/>
          <w:bCs/>
          <w:i/>
          <w:iCs/>
        </w:rPr>
        <w:t>“ACTOS CONSENTIDOS. SON LOS QUE NO SE IMPUGNAN MEDIANTE EL RECURSO IDÓNEO. </w:t>
      </w:r>
      <w:r w:rsidRPr="00C554CD">
        <w:rPr>
          <w:rFonts w:ascii="Palatino Linotype" w:hAnsi="Palatino Linotype" w:cs="Arial"/>
          <w:i/>
          <w:iCs/>
          <w:u w:val="single"/>
        </w:rPr>
        <w:t>Debe reputarse como consentido el acto que no se impugnó por el medio establecido por la ley</w:t>
      </w:r>
      <w:r w:rsidRPr="00C554CD">
        <w:rPr>
          <w:rFonts w:ascii="Palatino Linotype" w:hAnsi="Palatino Linotype" w:cs="Arial"/>
          <w:i/>
          <w:iCs/>
        </w:rPr>
        <w:t xml:space="preserve">, ya que si se hizo uso de otro no previsto por ella o si se hace una simple manifestación de inconformidad, tales actuaciones no producen efectos jurídicos tendientes a revocar, confirmar o </w:t>
      </w:r>
      <w:r w:rsidRPr="00C554CD">
        <w:rPr>
          <w:rFonts w:ascii="Palatino Linotype" w:hAnsi="Palatino Linotype" w:cs="Arial"/>
          <w:i/>
          <w:iCs/>
        </w:rPr>
        <w:lastRenderedPageBreak/>
        <w:t>modificar el acto reclamado en amparo, lo que significa consentimiento del mismo por falta de impugnación eficaz.”</w:t>
      </w:r>
    </w:p>
    <w:p w14:paraId="28571B81" w14:textId="77777777" w:rsidR="006C669E" w:rsidRPr="00C554CD" w:rsidRDefault="006C669E" w:rsidP="006C669E">
      <w:pPr>
        <w:pStyle w:val="Prrafodelista"/>
        <w:spacing w:line="360" w:lineRule="auto"/>
        <w:ind w:left="502" w:right="426"/>
        <w:jc w:val="both"/>
        <w:rPr>
          <w:rFonts w:ascii="Palatino Linotype" w:hAnsi="Palatino Linotype" w:cs="Arial"/>
        </w:rPr>
      </w:pPr>
      <w:r w:rsidRPr="00C554CD">
        <w:rPr>
          <w:rFonts w:ascii="Palatino Linotype" w:hAnsi="Palatino Linotype" w:cs="Arial"/>
        </w:rPr>
        <w:t>(Énfasis añadido)</w:t>
      </w:r>
    </w:p>
    <w:p w14:paraId="30C6F29D" w14:textId="77777777" w:rsidR="006C669E" w:rsidRPr="00C554CD" w:rsidRDefault="006C669E" w:rsidP="006C669E">
      <w:pPr>
        <w:pStyle w:val="Prrafodelista"/>
        <w:spacing w:line="360" w:lineRule="auto"/>
        <w:ind w:left="0"/>
        <w:jc w:val="both"/>
        <w:rPr>
          <w:rFonts w:ascii="Palatino Linotype" w:eastAsia="MS Mincho" w:hAnsi="Palatino Linotype" w:cs="Arial"/>
        </w:rPr>
      </w:pPr>
    </w:p>
    <w:p w14:paraId="5B564734" w14:textId="77777777" w:rsidR="006C669E" w:rsidRPr="00C554CD"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eastAsia="MS Mincho" w:hAnsi="Palatino Linotype" w:cs="Arial"/>
        </w:rPr>
      </w:pPr>
      <w:r w:rsidRPr="00C554CD">
        <w:rPr>
          <w:rFonts w:ascii="Palatino Linotype" w:eastAsia="MS Mincho" w:hAnsi="Palatino Linotype" w:cs="Arial"/>
        </w:rPr>
        <w:t xml:space="preserve">Así las cosas, al </w:t>
      </w:r>
      <w:r w:rsidRPr="00C554CD">
        <w:rPr>
          <w:rFonts w:ascii="Palatino Linotype" w:hAnsi="Palatino Linotype" w:cs="Arial"/>
        </w:rPr>
        <w:t>no</w:t>
      </w:r>
      <w:r w:rsidRPr="00C554CD">
        <w:rPr>
          <w:rFonts w:ascii="Palatino Linotype" w:eastAsia="MS Mincho" w:hAnsi="Palatino Linotype" w:cs="Arial"/>
        </w:rPr>
        <w:t xml:space="preserve"> pronunciarse respecto de las respuestas que allí se vertieron se </w:t>
      </w:r>
      <w:r w:rsidRPr="00C554CD">
        <w:rPr>
          <w:rFonts w:ascii="Palatino Linotype" w:hAnsi="Palatino Linotype" w:cs="Arial"/>
        </w:rPr>
        <w:t>considera</w:t>
      </w:r>
      <w:r w:rsidRPr="00C554CD">
        <w:rPr>
          <w:rFonts w:ascii="Palatino Linotype" w:eastAsia="MS Mincho" w:hAnsi="Palatino Linotype" w:cs="Arial"/>
        </w:rPr>
        <w:t xml:space="preserve"> que se encuentra conforme con ellas, pues se insiste su inconformidad radicó en </w:t>
      </w:r>
      <w:r w:rsidRPr="00C554CD">
        <w:rPr>
          <w:rFonts w:ascii="Palatino Linotype" w:eastAsia="MS Mincho" w:hAnsi="Palatino Linotype" w:cs="Arial"/>
          <w:b/>
        </w:rPr>
        <w:t>la falta de pronunciamiento de todos los rubros</w:t>
      </w:r>
      <w:r w:rsidRPr="00C554CD">
        <w:rPr>
          <w:rFonts w:ascii="Palatino Linotype" w:eastAsia="MS Mincho" w:hAnsi="Palatino Linotype" w:cs="Arial"/>
        </w:rPr>
        <w:t>; asimismo no pasa inadvertido que al igual que en el punto anterior, este Instituto no está facultado para dudar de la veracidad de la información entregada.</w:t>
      </w:r>
    </w:p>
    <w:p w14:paraId="0B7404A9" w14:textId="77777777" w:rsidR="006C669E" w:rsidRPr="00C554CD" w:rsidRDefault="006C669E" w:rsidP="006C669E">
      <w:pPr>
        <w:pStyle w:val="Prrafodelista"/>
        <w:tabs>
          <w:tab w:val="left" w:pos="142"/>
        </w:tabs>
        <w:spacing w:before="240" w:after="240" w:line="360" w:lineRule="auto"/>
        <w:ind w:left="0" w:right="51"/>
        <w:contextualSpacing/>
        <w:jc w:val="both"/>
        <w:rPr>
          <w:rFonts w:ascii="Palatino Linotype" w:eastAsia="MS Mincho" w:hAnsi="Palatino Linotype" w:cs="Arial"/>
        </w:rPr>
      </w:pPr>
    </w:p>
    <w:p w14:paraId="7D03AB50" w14:textId="65B7D5B8" w:rsidR="00A100C0" w:rsidRPr="00C554CD" w:rsidRDefault="006C669E"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222222"/>
          <w:lang w:eastAsia="es-MX"/>
        </w:rPr>
      </w:pPr>
      <w:r w:rsidRPr="00C554CD">
        <w:rPr>
          <w:rFonts w:ascii="Palatino Linotype" w:hAnsi="Palatino Linotype"/>
        </w:rPr>
        <w:t xml:space="preserve">Por último, debe señalarse que la hoy </w:t>
      </w:r>
      <w:r w:rsidRPr="00C554CD">
        <w:rPr>
          <w:rFonts w:ascii="Palatino Linotype" w:hAnsi="Palatino Linotype"/>
          <w:b/>
        </w:rPr>
        <w:t>RECURRENTE</w:t>
      </w:r>
      <w:r w:rsidRPr="00C554CD">
        <w:rPr>
          <w:rFonts w:ascii="Palatino Linotype" w:hAnsi="Palatino Linotype"/>
        </w:rPr>
        <w:t xml:space="preserve"> al momento de interponer el recurso de revisión, expuso lo siguiente: </w:t>
      </w:r>
      <w:r w:rsidRPr="00C554CD">
        <w:rPr>
          <w:rFonts w:ascii="Palatino Linotype" w:hAnsi="Palatino Linotype"/>
          <w:i/>
        </w:rPr>
        <w:t xml:space="preserve">“…si las categorías de “técnico judicial” y “archivista judicial” </w:t>
      </w:r>
      <w:r w:rsidRPr="00C554CD">
        <w:rPr>
          <w:rFonts w:ascii="Palatino Linotype" w:hAnsi="Palatino Linotype"/>
          <w:b/>
          <w:i/>
        </w:rPr>
        <w:t>deben ser considerados o no, de carrera judicial y su fundamento.</w:t>
      </w:r>
      <w:r w:rsidRPr="00C554CD">
        <w:rPr>
          <w:rFonts w:ascii="Palatino Linotype" w:hAnsi="Palatino Linotype"/>
          <w:i/>
        </w:rPr>
        <w:t>”</w:t>
      </w:r>
      <w:r w:rsidR="00A100C0" w:rsidRPr="00C554CD">
        <w:rPr>
          <w:rFonts w:ascii="Palatino Linotype" w:hAnsi="Palatino Linotype"/>
          <w:i/>
        </w:rPr>
        <w:t xml:space="preserve"> </w:t>
      </w:r>
      <w:r w:rsidR="00A100C0" w:rsidRPr="00C554CD">
        <w:rPr>
          <w:rFonts w:ascii="Palatino Linotype" w:hAnsi="Palatino Linotype"/>
        </w:rPr>
        <w:t xml:space="preserve">Al respecto </w:t>
      </w:r>
      <w:r w:rsidR="00A100C0" w:rsidRPr="00C554CD">
        <w:rPr>
          <w:rFonts w:ascii="Palatino Linotype" w:hAnsi="Palatino Linotype" w:cs="Arial"/>
          <w:color w:val="000000" w:themeColor="text1"/>
        </w:rPr>
        <w:t>corresponden a solicitudes que</w:t>
      </w:r>
      <w:r w:rsidR="00A100C0" w:rsidRPr="00C554CD">
        <w:rPr>
          <w:rFonts w:ascii="Palatino Linotype" w:hAnsi="Palatino Linotype"/>
          <w:color w:val="000000"/>
        </w:rPr>
        <w:t xml:space="preserve"> no fueron materia de la solicitud de información inicial, lo cual </w:t>
      </w:r>
      <w:r w:rsidR="00A100C0" w:rsidRPr="00C554CD">
        <w:rPr>
          <w:rFonts w:ascii="Palatino Linotype" w:hAnsi="Palatino Linotype" w:cs="Arial"/>
          <w:color w:val="000000" w:themeColor="text1"/>
        </w:rPr>
        <w:t xml:space="preserve">se entiende como una </w:t>
      </w:r>
      <w:r w:rsidR="00A100C0" w:rsidRPr="00C554CD">
        <w:rPr>
          <w:rFonts w:ascii="Palatino Linotype" w:hAnsi="Palatino Linotype" w:cs="Arial"/>
          <w:b/>
          <w:bCs/>
          <w:i/>
          <w:iCs/>
          <w:color w:val="000000" w:themeColor="text1"/>
        </w:rPr>
        <w:t xml:space="preserve">Plus Petitio </w:t>
      </w:r>
      <w:r w:rsidR="00A100C0" w:rsidRPr="00C554CD">
        <w:rPr>
          <w:rFonts w:ascii="Palatino Linotype" w:hAnsi="Palatino Linotype" w:cs="Arial"/>
          <w:color w:val="000000" w:themeColor="text1"/>
        </w:rPr>
        <w:t>a su petición inicial que no puede abordarse</w:t>
      </w:r>
      <w:r w:rsidR="00A100C0" w:rsidRPr="00C554CD">
        <w:rPr>
          <w:rFonts w:ascii="Palatino Linotype" w:hAnsi="Palatino Linotype" w:cs="Arial"/>
          <w:i/>
          <w:iCs/>
          <w:color w:val="000000" w:themeColor="text1"/>
        </w:rPr>
        <w:t>.</w:t>
      </w:r>
    </w:p>
    <w:p w14:paraId="658E1CD6" w14:textId="77777777" w:rsidR="009531A2" w:rsidRPr="00C554CD" w:rsidRDefault="009531A2" w:rsidP="009531A2">
      <w:pPr>
        <w:pStyle w:val="Prrafodelista"/>
        <w:rPr>
          <w:rFonts w:ascii="Palatino Linotype" w:hAnsi="Palatino Linotype" w:cs="Arial"/>
          <w:color w:val="222222"/>
          <w:lang w:eastAsia="es-MX"/>
        </w:rPr>
      </w:pPr>
    </w:p>
    <w:p w14:paraId="18E674DA" w14:textId="77777777" w:rsidR="00A100C0" w:rsidRPr="00C554CD" w:rsidRDefault="00A100C0"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C554CD">
        <w:rPr>
          <w:rFonts w:ascii="Palatino Linotype" w:hAnsi="Palatino Linotype"/>
          <w:color w:val="000000"/>
        </w:rPr>
        <w:t>Robusteciendo</w:t>
      </w:r>
      <w:r w:rsidRPr="00C554CD">
        <w:rPr>
          <w:rFonts w:ascii="Palatino Linotype" w:hAnsi="Palatino Linotype" w:cs="Arial"/>
          <w:color w:val="000000" w:themeColor="text1"/>
        </w:rPr>
        <w:t xml:space="preserve"> lo anterior, tiene aplicación al respecto por analogía la tesis aislada </w:t>
      </w:r>
      <w:r w:rsidRPr="00C554CD">
        <w:rPr>
          <w:rFonts w:ascii="Palatino Linotype" w:hAnsi="Palatino Linotype"/>
        </w:rPr>
        <w:t>número</w:t>
      </w:r>
      <w:r w:rsidRPr="00C554CD">
        <w:rPr>
          <w:rFonts w:ascii="Palatino Linotype" w:hAnsi="Palatino Linotype" w:cs="Arial"/>
          <w:color w:val="000000" w:themeColor="text1"/>
        </w:rPr>
        <w:t xml:space="preserve"> I.8o.A.136 A, de la Novena Época, publicada en el Semanario Oficial de la Federación y su Gaceta Tomo XXIX, Marzo de 2009, página 2887, con número de registro 167607, que lleva por rubro y texto los siguientes:</w:t>
      </w:r>
    </w:p>
    <w:p w14:paraId="5C1D9E2B" w14:textId="77777777" w:rsidR="00A100C0" w:rsidRPr="00C554CD" w:rsidRDefault="00A100C0" w:rsidP="00A100C0">
      <w:pPr>
        <w:pStyle w:val="Prrafodelista"/>
        <w:rPr>
          <w:rFonts w:ascii="Palatino Linotype" w:hAnsi="Palatino Linotype" w:cs="Arial"/>
          <w:color w:val="000000" w:themeColor="text1"/>
        </w:rPr>
      </w:pPr>
    </w:p>
    <w:p w14:paraId="7749C2B1" w14:textId="77777777" w:rsidR="00A100C0" w:rsidRPr="00C554CD" w:rsidRDefault="00A100C0" w:rsidP="00A100C0">
      <w:pPr>
        <w:shd w:val="clear" w:color="auto" w:fill="FFFFFF"/>
        <w:spacing w:line="360" w:lineRule="auto"/>
        <w:ind w:left="709" w:right="616"/>
        <w:jc w:val="both"/>
        <w:rPr>
          <w:rFonts w:ascii="Palatino Linotype" w:hAnsi="Palatino Linotype" w:cs="Arial"/>
          <w:i/>
          <w:color w:val="000000" w:themeColor="text1"/>
          <w:lang w:val="es-ES"/>
        </w:rPr>
      </w:pPr>
      <w:r w:rsidRPr="00C554CD">
        <w:rPr>
          <w:rFonts w:ascii="Palatino Linotype" w:hAnsi="Palatino Linotype" w:cs="Arial"/>
          <w:b/>
          <w:bCs/>
          <w:i/>
          <w:iCs/>
          <w:color w:val="000000" w:themeColor="text1"/>
          <w:lang w:val="es-ES"/>
        </w:rPr>
        <w:t xml:space="preserve">“TRANSPARENCIA Y ACCESO A LA INFORMACIÓN PÚBLICA GUBERNAMENTAL. LOS ARTÍCULOS 1, 2 Y 6 DE LA LEY FEDERAL </w:t>
      </w:r>
      <w:r w:rsidRPr="00C554CD">
        <w:rPr>
          <w:rFonts w:ascii="Palatino Linotype" w:hAnsi="Palatino Linotype" w:cs="Arial"/>
          <w:b/>
          <w:bCs/>
          <w:i/>
          <w:iCs/>
          <w:color w:val="000000" w:themeColor="text1"/>
          <w:lang w:val="es-ES"/>
        </w:rPr>
        <w:lastRenderedPageBreak/>
        <w:t>RELATIVA, NO DEBEN INTERPRETARSE EN EL SENTIDO DE PERMITIR AL GOBERNADO QUE A SU ARBITRIO SOLICITE COPIA DE DOCUMENTOS QUE NO OBREN EN LOS EXPEDIENTES DE LOS SUJETOS OBLIGADOS, O SEAN DISTINTOS A LOS DE SU PETICIÓN INICIAL.</w:t>
      </w:r>
    </w:p>
    <w:p w14:paraId="63BEEFCB" w14:textId="77777777" w:rsidR="00A100C0" w:rsidRPr="00C554CD" w:rsidRDefault="00A100C0" w:rsidP="00A100C0">
      <w:pPr>
        <w:pStyle w:val="Prrafodelista"/>
        <w:shd w:val="clear" w:color="auto" w:fill="FFFFFF"/>
        <w:spacing w:line="360" w:lineRule="auto"/>
        <w:ind w:left="709" w:right="567"/>
        <w:jc w:val="both"/>
        <w:rPr>
          <w:rFonts w:ascii="Palatino Linotype" w:hAnsi="Palatino Linotype" w:cs="Arial"/>
          <w:i/>
          <w:iCs/>
          <w:color w:val="000000" w:themeColor="text1"/>
        </w:rPr>
      </w:pPr>
      <w:r w:rsidRPr="00C554CD">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F022360" w14:textId="77777777" w:rsidR="00A100C0" w:rsidRPr="00C554CD" w:rsidRDefault="00A100C0" w:rsidP="00A100C0">
      <w:pPr>
        <w:pStyle w:val="Prrafodelista"/>
        <w:shd w:val="clear" w:color="auto" w:fill="FFFFFF"/>
        <w:spacing w:line="360" w:lineRule="auto"/>
        <w:ind w:left="567" w:right="567"/>
        <w:jc w:val="both"/>
        <w:rPr>
          <w:rFonts w:ascii="Palatino Linotype" w:hAnsi="Palatino Linotype" w:cs="Arial"/>
          <w:i/>
          <w:iCs/>
          <w:color w:val="000000" w:themeColor="text1"/>
        </w:rPr>
      </w:pPr>
    </w:p>
    <w:p w14:paraId="0013F18C" w14:textId="6E02C103" w:rsidR="00A100C0" w:rsidRPr="00C554CD" w:rsidRDefault="00A100C0"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C554CD">
        <w:rPr>
          <w:rFonts w:ascii="Palatino Linotype" w:hAnsi="Palatino Linotype"/>
          <w:color w:val="000000"/>
        </w:rPr>
        <w:lastRenderedPageBreak/>
        <w:t>Asimismo</w:t>
      </w:r>
      <w:r w:rsidRPr="00C554CD">
        <w:rPr>
          <w:rFonts w:ascii="Palatino Linotype" w:hAnsi="Palatino Linotype" w:cs="Arial"/>
          <w:color w:val="000000" w:themeColor="text1"/>
        </w:rPr>
        <w:t xml:space="preserve">, ha sido criterio del Instituto Nacional de Transparencia, Acceso a la </w:t>
      </w:r>
      <w:r w:rsidRPr="00C554CD">
        <w:rPr>
          <w:rFonts w:ascii="Palatino Linotype" w:hAnsi="Palatino Linotype"/>
          <w:color w:val="000000"/>
        </w:rPr>
        <w:t>Información</w:t>
      </w:r>
      <w:r w:rsidRPr="00C554CD">
        <w:rPr>
          <w:rFonts w:ascii="Palatino Linotype" w:hAnsi="Palatino Linotype" w:cs="Arial"/>
          <w:color w:val="000000" w:themeColor="text1"/>
        </w:rPr>
        <w:t xml:space="preserve"> y Protección de Datos Personales bajo el </w:t>
      </w:r>
      <w:r w:rsidRPr="00C554CD">
        <w:rPr>
          <w:rFonts w:ascii="Palatino Linotype" w:hAnsi="Palatino Linotype" w:cs="Arial"/>
          <w:b/>
          <w:color w:val="000000" w:themeColor="text1"/>
        </w:rPr>
        <w:t>Criterio número</w:t>
      </w:r>
      <w:r w:rsidRPr="00C554CD">
        <w:rPr>
          <w:rFonts w:ascii="Palatino Linotype" w:hAnsi="Palatino Linotype" w:cs="Arial"/>
          <w:color w:val="000000" w:themeColor="text1"/>
        </w:rPr>
        <w:t xml:space="preserve"> </w:t>
      </w:r>
      <w:r w:rsidRPr="00C554CD">
        <w:rPr>
          <w:rFonts w:ascii="Palatino Linotype" w:hAnsi="Palatino Linotype" w:cs="Arial"/>
          <w:b/>
          <w:color w:val="000000" w:themeColor="text1"/>
        </w:rPr>
        <w:t>01/17</w:t>
      </w:r>
      <w:r w:rsidRPr="00C554CD">
        <w:rPr>
          <w:rFonts w:ascii="Palatino Linotype" w:hAnsi="Palatino Linotype" w:cs="Arial"/>
          <w:color w:val="000000" w:themeColor="text1"/>
        </w:rPr>
        <w:t xml:space="preserve"> que </w:t>
      </w:r>
      <w:r w:rsidRPr="00C554CD">
        <w:rPr>
          <w:rFonts w:ascii="Palatino Linotype" w:hAnsi="Palatino Linotype" w:cs="Arial"/>
          <w:bCs/>
          <w:color w:val="000000" w:themeColor="text1"/>
          <w:u w:val="single"/>
        </w:rPr>
        <w:t>resulta improcedente ampliar las solicitudes de información pública</w:t>
      </w:r>
      <w:r w:rsidRPr="00C554CD">
        <w:rPr>
          <w:rFonts w:ascii="Palatino Linotype" w:hAnsi="Palatino Linotype" w:cs="Arial"/>
          <w:color w:val="000000" w:themeColor="text1"/>
          <w:u w:val="single"/>
        </w:rPr>
        <w:t xml:space="preserve"> o de datos personales a través de la interposición del recurso de revisión</w:t>
      </w:r>
      <w:r w:rsidRPr="00C554CD">
        <w:rPr>
          <w:rFonts w:ascii="Palatino Linotype" w:hAnsi="Palatino Linotype" w:cs="Arial"/>
          <w:color w:val="000000" w:themeColor="text1"/>
        </w:rPr>
        <w:t xml:space="preserve">, como se estima acontece en el presente asunto, al aumentar datos a la solicitud inicial, </w:t>
      </w:r>
      <w:r w:rsidRPr="00C554CD">
        <w:rPr>
          <w:rFonts w:ascii="Palatino Linotype" w:hAnsi="Palatino Linotype" w:cs="Arial"/>
          <w:b/>
          <w:bCs/>
          <w:color w:val="000000" w:themeColor="text1"/>
        </w:rPr>
        <w:t>por lo que se insiste no se puede entrar al estudio de la información novedosa</w:t>
      </w:r>
      <w:r w:rsidRPr="00C554CD">
        <w:rPr>
          <w:rFonts w:ascii="Palatino Linotype" w:hAnsi="Palatino Linotype" w:cs="Arial"/>
          <w:color w:val="000000" w:themeColor="text1"/>
        </w:rPr>
        <w:t>, criterio que es de la literalidad siguiente:</w:t>
      </w:r>
    </w:p>
    <w:p w14:paraId="182628E8" w14:textId="77777777" w:rsidR="00A100C0" w:rsidRPr="00C554CD" w:rsidRDefault="00A100C0" w:rsidP="00A100C0">
      <w:pPr>
        <w:pStyle w:val="Prrafodelista"/>
        <w:spacing w:line="360" w:lineRule="auto"/>
        <w:ind w:left="0"/>
        <w:jc w:val="both"/>
        <w:rPr>
          <w:rFonts w:ascii="Palatino Linotype" w:hAnsi="Palatino Linotype" w:cs="Arial"/>
          <w:color w:val="000000" w:themeColor="text1"/>
        </w:rPr>
      </w:pPr>
    </w:p>
    <w:p w14:paraId="0AFC03BC" w14:textId="77777777" w:rsidR="00A100C0" w:rsidRPr="00C554CD" w:rsidRDefault="00A100C0" w:rsidP="00A100C0">
      <w:pPr>
        <w:spacing w:line="360" w:lineRule="auto"/>
        <w:ind w:left="567" w:right="567"/>
        <w:jc w:val="both"/>
        <w:rPr>
          <w:rFonts w:ascii="Palatino Linotype" w:hAnsi="Palatino Linotype" w:cs="Arial"/>
          <w:b/>
          <w:i/>
        </w:rPr>
      </w:pPr>
      <w:r w:rsidRPr="00C554CD">
        <w:rPr>
          <w:rFonts w:ascii="Palatino Linotype" w:hAnsi="Palatino Linotype" w:cs="Arial"/>
          <w:b/>
          <w:i/>
        </w:rPr>
        <w:t xml:space="preserve">“Es improcedente ampliar las solicitudes de acceso a información, a través de la interposición del recurso de revisión. </w:t>
      </w:r>
      <w:r w:rsidRPr="00C554CD">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27EDF4" w14:textId="77777777" w:rsidR="00A100C0" w:rsidRPr="00C554CD" w:rsidRDefault="00A100C0" w:rsidP="00A100C0">
      <w:pPr>
        <w:spacing w:line="360" w:lineRule="auto"/>
        <w:ind w:left="993" w:right="567"/>
        <w:jc w:val="both"/>
        <w:rPr>
          <w:rFonts w:ascii="Palatino Linotype" w:hAnsi="Palatino Linotype" w:cs="Arial"/>
          <w:b/>
          <w:i/>
        </w:rPr>
      </w:pPr>
    </w:p>
    <w:p w14:paraId="73E062D4" w14:textId="77777777" w:rsidR="00A100C0" w:rsidRPr="00C554CD" w:rsidRDefault="00A100C0" w:rsidP="00A100C0">
      <w:pPr>
        <w:spacing w:line="360" w:lineRule="auto"/>
        <w:ind w:left="851" w:right="567"/>
        <w:jc w:val="both"/>
        <w:rPr>
          <w:rFonts w:ascii="Palatino Linotype" w:hAnsi="Palatino Linotype" w:cs="Arial"/>
          <w:b/>
          <w:i/>
        </w:rPr>
      </w:pPr>
      <w:r w:rsidRPr="00C554CD">
        <w:rPr>
          <w:rFonts w:ascii="Palatino Linotype" w:hAnsi="Palatino Linotype" w:cs="Arial"/>
          <w:b/>
          <w:i/>
        </w:rPr>
        <w:t>Resoluciones:</w:t>
      </w:r>
    </w:p>
    <w:p w14:paraId="023C47B7" w14:textId="77777777" w:rsidR="00A100C0" w:rsidRPr="00C554CD" w:rsidRDefault="00A100C0" w:rsidP="00A100C0">
      <w:pPr>
        <w:pStyle w:val="Prrafodelista"/>
        <w:numPr>
          <w:ilvl w:val="0"/>
          <w:numId w:val="28"/>
        </w:numPr>
        <w:spacing w:line="360" w:lineRule="auto"/>
        <w:ind w:left="851" w:right="567" w:hanging="284"/>
        <w:jc w:val="both"/>
        <w:rPr>
          <w:rFonts w:ascii="Palatino Linotype" w:hAnsi="Palatino Linotype" w:cs="Arial"/>
          <w:i/>
        </w:rPr>
      </w:pPr>
      <w:r w:rsidRPr="00C554CD">
        <w:rPr>
          <w:rFonts w:ascii="Palatino Linotype" w:hAnsi="Palatino Linotype" w:cs="Arial"/>
          <w:b/>
          <w:i/>
        </w:rPr>
        <w:t>RRA 0196/16.</w:t>
      </w:r>
      <w:r w:rsidRPr="00C554CD">
        <w:rPr>
          <w:rFonts w:ascii="Palatino Linotype" w:hAnsi="Palatino Linotype" w:cs="Arial"/>
          <w:i/>
        </w:rPr>
        <w:t xml:space="preserve"> Secretaría de Agricultura, Ganadería, Desarrollo Rural, Pesca y Alimentación. 13 de julio de 2016. Por unanimidad. Comisionado Ponente Joel Salas Suárez.</w:t>
      </w:r>
    </w:p>
    <w:p w14:paraId="5D97E51C" w14:textId="77777777" w:rsidR="00A100C0" w:rsidRPr="00C554CD" w:rsidRDefault="00A100C0" w:rsidP="00A100C0">
      <w:pPr>
        <w:pStyle w:val="Prrafodelista"/>
        <w:numPr>
          <w:ilvl w:val="0"/>
          <w:numId w:val="28"/>
        </w:numPr>
        <w:spacing w:line="360" w:lineRule="auto"/>
        <w:ind w:left="851" w:right="567" w:hanging="284"/>
        <w:jc w:val="both"/>
        <w:rPr>
          <w:rFonts w:ascii="Palatino Linotype" w:hAnsi="Palatino Linotype" w:cs="Arial"/>
          <w:i/>
        </w:rPr>
      </w:pPr>
      <w:r w:rsidRPr="00C554CD">
        <w:rPr>
          <w:rFonts w:ascii="Palatino Linotype" w:hAnsi="Palatino Linotype" w:cs="Arial"/>
          <w:b/>
          <w:i/>
        </w:rPr>
        <w:lastRenderedPageBreak/>
        <w:t xml:space="preserve">RRA 0130/16. </w:t>
      </w:r>
      <w:r w:rsidRPr="00C554CD">
        <w:rPr>
          <w:rFonts w:ascii="Palatino Linotype" w:hAnsi="Palatino Linotype" w:cs="Arial"/>
          <w:i/>
        </w:rPr>
        <w:t xml:space="preserve">Comisión Nacional del Agua. 09 de agosto de 2016. Por unanimidad. Comisionado Ponente </w:t>
      </w:r>
      <w:r w:rsidRPr="00C554CD">
        <w:rPr>
          <w:rFonts w:ascii="Palatino Linotype" w:hAnsi="Palatino Linotype"/>
          <w:i/>
          <w:color w:val="000000"/>
        </w:rPr>
        <w:t>María Patricia Kurczyn Villalobos.</w:t>
      </w:r>
    </w:p>
    <w:p w14:paraId="273D54C4" w14:textId="77777777" w:rsidR="00A100C0" w:rsidRPr="00C554CD" w:rsidRDefault="00A100C0" w:rsidP="00A100C0">
      <w:pPr>
        <w:pStyle w:val="Prrafodelista"/>
        <w:shd w:val="clear" w:color="auto" w:fill="FFFFFF"/>
        <w:spacing w:line="360" w:lineRule="auto"/>
        <w:ind w:left="851" w:right="567"/>
        <w:jc w:val="both"/>
        <w:rPr>
          <w:rFonts w:ascii="Palatino Linotype" w:hAnsi="Palatino Linotype" w:cs="Arial"/>
          <w:i/>
        </w:rPr>
      </w:pPr>
      <w:r w:rsidRPr="00C554CD">
        <w:rPr>
          <w:rFonts w:ascii="Palatino Linotype" w:hAnsi="Palatino Linotype" w:cs="Arial"/>
          <w:b/>
          <w:i/>
        </w:rPr>
        <w:t>RRA 0342/16.</w:t>
      </w:r>
      <w:r w:rsidRPr="00C554CD">
        <w:rPr>
          <w:rFonts w:ascii="Palatino Linotype" w:hAnsi="Palatino Linotype" w:cs="Arial"/>
          <w:i/>
        </w:rPr>
        <w:t xml:space="preserve"> Colegio de Bachilleres. 24 de agosto de 2016. Por unanimidad. Comisionada Ponente Ximena Puente de la Mora.”</w:t>
      </w:r>
    </w:p>
    <w:p w14:paraId="76E9BBC4" w14:textId="77777777" w:rsidR="00A100C0" w:rsidRPr="00C554CD" w:rsidRDefault="00A100C0" w:rsidP="00A100C0">
      <w:pPr>
        <w:shd w:val="clear" w:color="auto" w:fill="FFFFFF"/>
        <w:spacing w:line="360" w:lineRule="auto"/>
        <w:ind w:right="567"/>
        <w:jc w:val="both"/>
        <w:rPr>
          <w:rFonts w:ascii="Palatino Linotype" w:hAnsi="Palatino Linotype" w:cs="Arial"/>
        </w:rPr>
      </w:pPr>
    </w:p>
    <w:p w14:paraId="28E03D9C" w14:textId="09F886B5" w:rsidR="00260E9A" w:rsidRPr="00C554CD" w:rsidRDefault="00260E9A" w:rsidP="00260E9A">
      <w:pPr>
        <w:pStyle w:val="Prrafodelista"/>
        <w:numPr>
          <w:ilvl w:val="0"/>
          <w:numId w:val="7"/>
        </w:numPr>
        <w:spacing w:line="360" w:lineRule="auto"/>
        <w:ind w:left="0" w:firstLine="0"/>
        <w:jc w:val="both"/>
        <w:rPr>
          <w:rFonts w:ascii="Palatino Linotype" w:hAnsi="Palatino Linotype"/>
          <w:color w:val="000000" w:themeColor="text1"/>
        </w:rPr>
      </w:pPr>
      <w:r w:rsidRPr="00C554CD">
        <w:rPr>
          <w:rFonts w:ascii="Palatino Linotype" w:hAnsi="Palatino Linotype"/>
          <w:color w:val="000000" w:themeColor="text1"/>
        </w:rPr>
        <w:t xml:space="preserve">Así, en mérito de lo expuesto en líneas anteriores se estima que resultan </w:t>
      </w:r>
      <w:r w:rsidRPr="00C554CD">
        <w:rPr>
          <w:rFonts w:ascii="Palatino Linotype" w:hAnsi="Palatino Linotype"/>
          <w:b/>
          <w:color w:val="000000" w:themeColor="text1"/>
        </w:rPr>
        <w:t>infundadas</w:t>
      </w:r>
      <w:r w:rsidRPr="00C554CD">
        <w:rPr>
          <w:rFonts w:ascii="Palatino Linotype" w:hAnsi="Palatino Linotype"/>
          <w:color w:val="000000" w:themeColor="text1"/>
        </w:rPr>
        <w:t xml:space="preserve"> </w:t>
      </w:r>
      <w:r w:rsidRPr="00C554CD">
        <w:rPr>
          <w:rFonts w:ascii="Palatino Linotype" w:hAnsi="Palatino Linotype" w:cs="Arial"/>
        </w:rPr>
        <w:t>las</w:t>
      </w:r>
      <w:r w:rsidRPr="00C554CD">
        <w:rPr>
          <w:rFonts w:ascii="Palatino Linotype" w:hAnsi="Palatino Linotype"/>
          <w:color w:val="000000" w:themeColor="text1"/>
        </w:rPr>
        <w:t xml:space="preserve"> razones o </w:t>
      </w:r>
      <w:r w:rsidRPr="00C554CD">
        <w:rPr>
          <w:rFonts w:ascii="Palatino Linotype" w:hAnsi="Palatino Linotype" w:cs="Arial"/>
        </w:rPr>
        <w:t>motivos</w:t>
      </w:r>
      <w:r w:rsidRPr="00C554CD">
        <w:rPr>
          <w:rFonts w:ascii="Palatino Linotype" w:hAnsi="Palatino Linotype"/>
          <w:color w:val="000000" w:themeColor="text1"/>
        </w:rPr>
        <w:t xml:space="preserve"> de inconformidad que arguye </w:t>
      </w:r>
      <w:r w:rsidR="00491AD4" w:rsidRPr="00C554CD">
        <w:rPr>
          <w:rFonts w:ascii="Palatino Linotype" w:hAnsi="Palatino Linotype"/>
          <w:b/>
          <w:color w:val="000000" w:themeColor="text1"/>
        </w:rPr>
        <w:t>LA RECURRENTE</w:t>
      </w:r>
      <w:r w:rsidRPr="00C554CD">
        <w:rPr>
          <w:rFonts w:ascii="Palatino Linotype" w:hAnsi="Palatino Linotype"/>
          <w:color w:val="000000" w:themeColor="text1"/>
        </w:rPr>
        <w:t xml:space="preserve">, por </w:t>
      </w:r>
      <w:r w:rsidRPr="00C554CD">
        <w:rPr>
          <w:rFonts w:ascii="Palatino Linotype" w:hAnsi="Palatino Linotype" w:cs="Arial"/>
        </w:rPr>
        <w:t>ello</w:t>
      </w:r>
      <w:r w:rsidRPr="00C554CD">
        <w:rPr>
          <w:rFonts w:ascii="Palatino Linotype" w:hAnsi="Palatino Linotype"/>
          <w:color w:val="000000" w:themeColor="text1"/>
        </w:rPr>
        <w:t xml:space="preserve"> con fundamento en el artículo 186, fracción II, de la Ley de Transparencia y Acceso a la </w:t>
      </w:r>
      <w:r w:rsidRPr="00C554CD">
        <w:rPr>
          <w:rFonts w:ascii="Palatino Linotype" w:hAnsi="Palatino Linotype" w:cs="Arial"/>
        </w:rPr>
        <w:t>Información</w:t>
      </w:r>
      <w:r w:rsidRPr="00C554CD">
        <w:rPr>
          <w:rFonts w:ascii="Palatino Linotype" w:hAnsi="Palatino Linotype"/>
          <w:color w:val="000000" w:themeColor="text1"/>
        </w:rPr>
        <w:t xml:space="preserve"> Pública del Estado de México y Municipios, se </w:t>
      </w:r>
      <w:r w:rsidRPr="00C554CD">
        <w:rPr>
          <w:rFonts w:ascii="Palatino Linotype" w:hAnsi="Palatino Linotype"/>
          <w:b/>
          <w:color w:val="000000" w:themeColor="text1"/>
        </w:rPr>
        <w:t>CONFIRMA</w:t>
      </w:r>
      <w:r w:rsidRPr="00C554CD">
        <w:rPr>
          <w:rFonts w:ascii="Palatino Linotype" w:hAnsi="Palatino Linotype"/>
          <w:color w:val="000000" w:themeColor="text1"/>
        </w:rPr>
        <w:t xml:space="preserve"> la respuesta a la solicitud de información pública </w:t>
      </w:r>
      <w:r w:rsidR="00491AD4" w:rsidRPr="00C554CD">
        <w:rPr>
          <w:rFonts w:ascii="Palatino Linotype" w:hAnsi="Palatino Linotype"/>
          <w:b/>
          <w:color w:val="000000" w:themeColor="text1"/>
        </w:rPr>
        <w:t>00106/PJUDICI/IP/2022</w:t>
      </w:r>
      <w:r w:rsidRPr="00C554CD">
        <w:rPr>
          <w:rFonts w:ascii="Palatino Linotype" w:hAnsi="Palatino Linotype"/>
          <w:color w:val="000000" w:themeColor="text1"/>
        </w:rPr>
        <w:t>, que ha sido materia del presente fallo, por lo que</w:t>
      </w:r>
      <w:r w:rsidRPr="00C554CD">
        <w:rPr>
          <w:rFonts w:ascii="Palatino Linotype" w:hAnsi="Palatino Linotype"/>
          <w:color w:val="000000" w:themeColor="text1"/>
          <w:lang w:eastAsia="es-MX"/>
        </w:rPr>
        <w:t xml:space="preserve"> este </w:t>
      </w:r>
      <w:r w:rsidRPr="00C554CD">
        <w:rPr>
          <w:rFonts w:ascii="Palatino Linotype" w:hAnsi="Palatino Linotype"/>
          <w:b/>
          <w:bCs/>
          <w:color w:val="000000" w:themeColor="text1"/>
          <w:lang w:eastAsia="es-MX"/>
        </w:rPr>
        <w:t>ÓRGANO GARANTE</w:t>
      </w:r>
      <w:r w:rsidRPr="00C554CD">
        <w:rPr>
          <w:rFonts w:ascii="Palatino Linotype" w:hAnsi="Palatino Linotype"/>
          <w:color w:val="000000" w:themeColor="text1"/>
          <w:lang w:eastAsia="es-MX"/>
        </w:rPr>
        <w:t xml:space="preserve"> emite los siguientes:</w:t>
      </w:r>
    </w:p>
    <w:p w14:paraId="6D0F9657" w14:textId="77777777" w:rsidR="00D66546" w:rsidRPr="00C554CD" w:rsidRDefault="00D66546" w:rsidP="00D66546">
      <w:pPr>
        <w:pStyle w:val="Prrafodelista"/>
        <w:rPr>
          <w:rFonts w:ascii="Palatino Linotype" w:hAnsi="Palatino Linotype"/>
          <w:color w:val="000000" w:themeColor="text1"/>
        </w:rPr>
      </w:pPr>
    </w:p>
    <w:p w14:paraId="40BE9D81" w14:textId="77777777" w:rsidR="007C7F08" w:rsidRPr="00C554CD"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C554CD">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C554CD">
        <w:rPr>
          <w:rFonts w:ascii="Palatino Linotype" w:eastAsia="Calibri" w:hAnsi="Palatino Linotype"/>
          <w:b/>
          <w:color w:val="000000" w:themeColor="text1"/>
          <w:sz w:val="24"/>
          <w:szCs w:val="24"/>
          <w:lang w:val="es-ES"/>
        </w:rPr>
        <w:t xml:space="preserve"> </w:t>
      </w:r>
    </w:p>
    <w:p w14:paraId="01B08FF4" w14:textId="77777777" w:rsidR="004F1024" w:rsidRPr="00C554CD" w:rsidRDefault="004F1024" w:rsidP="004F1024">
      <w:pPr>
        <w:spacing w:line="360" w:lineRule="auto"/>
        <w:rPr>
          <w:rFonts w:eastAsia="Calibri"/>
          <w:lang w:val="es-ES" w:eastAsia="es-ES"/>
        </w:rPr>
      </w:pPr>
    </w:p>
    <w:p w14:paraId="7DD2D279" w14:textId="7303C790" w:rsidR="00260E9A" w:rsidRPr="00C554CD" w:rsidRDefault="00260E9A" w:rsidP="00260E9A">
      <w:pPr>
        <w:spacing w:line="360" w:lineRule="auto"/>
        <w:jc w:val="both"/>
        <w:rPr>
          <w:rFonts w:ascii="Palatino Linotype" w:hAnsi="Palatino Linotype" w:cs="Arial"/>
          <w:bCs/>
        </w:rPr>
      </w:pPr>
      <w:r w:rsidRPr="00C554CD">
        <w:rPr>
          <w:rFonts w:ascii="Palatino Linotype" w:hAnsi="Palatino Linotype" w:cs="Arial"/>
          <w:b/>
          <w:bCs/>
        </w:rPr>
        <w:t>PRIMERO</w:t>
      </w:r>
      <w:r w:rsidRPr="00C554CD">
        <w:rPr>
          <w:rFonts w:ascii="Palatino Linotype" w:hAnsi="Palatino Linotype" w:cs="Arial"/>
        </w:rPr>
        <w:t>. Resultan infundadas las</w:t>
      </w:r>
      <w:r w:rsidRPr="00C554CD">
        <w:rPr>
          <w:rFonts w:ascii="Palatino Linotype" w:hAnsi="Palatino Linotype" w:cs="Arial"/>
          <w:b/>
        </w:rPr>
        <w:t xml:space="preserve"> </w:t>
      </w:r>
      <w:r w:rsidRPr="00C554CD">
        <w:rPr>
          <w:rFonts w:ascii="Palatino Linotype" w:hAnsi="Palatino Linotype" w:cs="Arial"/>
          <w:lang w:val="es-ES"/>
        </w:rPr>
        <w:t xml:space="preserve">razones o motivos de inconformidad hechos valer </w:t>
      </w:r>
      <w:r w:rsidRPr="00C554CD">
        <w:rPr>
          <w:rFonts w:ascii="Palatino Linotype" w:eastAsia="Calibri" w:hAnsi="Palatino Linotype" w:cs="Arial"/>
          <w:lang w:val="es-ES"/>
        </w:rPr>
        <w:t xml:space="preserve">en el recurso de revisión </w:t>
      </w:r>
      <w:r w:rsidR="00491AD4" w:rsidRPr="00C554CD">
        <w:rPr>
          <w:rFonts w:ascii="Palatino Linotype" w:hAnsi="Palatino Linotype" w:cs="Arial"/>
          <w:b/>
          <w:bCs/>
        </w:rPr>
        <w:t>04003/INFOEM/IP/RR/2022</w:t>
      </w:r>
      <w:r w:rsidRPr="00C554CD">
        <w:rPr>
          <w:rFonts w:ascii="Palatino Linotype" w:hAnsi="Palatino Linotype" w:cs="Arial"/>
          <w:b/>
          <w:bCs/>
        </w:rPr>
        <w:t xml:space="preserve">, </w:t>
      </w:r>
      <w:r w:rsidRPr="00C554CD">
        <w:rPr>
          <w:rFonts w:ascii="Palatino Linotype" w:hAnsi="Palatino Linotype" w:cs="Arial"/>
          <w:bCs/>
        </w:rPr>
        <w:t xml:space="preserve">en términos del </w:t>
      </w:r>
      <w:r w:rsidRPr="00C554CD">
        <w:rPr>
          <w:rFonts w:ascii="Palatino Linotype" w:hAnsi="Palatino Linotype" w:cs="Arial"/>
          <w:b/>
          <w:bCs/>
        </w:rPr>
        <w:t>Considerando</w:t>
      </w:r>
      <w:r w:rsidRPr="00C554CD">
        <w:rPr>
          <w:rFonts w:ascii="Palatino Linotype" w:hAnsi="Palatino Linotype" w:cs="Arial"/>
          <w:bCs/>
        </w:rPr>
        <w:t xml:space="preserve"> </w:t>
      </w:r>
      <w:r w:rsidR="009531A2" w:rsidRPr="00C554CD">
        <w:rPr>
          <w:rFonts w:ascii="Palatino Linotype" w:hAnsi="Palatino Linotype" w:cs="Arial"/>
          <w:b/>
          <w:bCs/>
        </w:rPr>
        <w:t>QUINTO</w:t>
      </w:r>
      <w:r w:rsidRPr="00C554CD">
        <w:rPr>
          <w:rFonts w:ascii="Palatino Linotype" w:hAnsi="Palatino Linotype" w:cs="Arial"/>
          <w:bCs/>
        </w:rPr>
        <w:t xml:space="preserve"> de la presente resolución.</w:t>
      </w:r>
    </w:p>
    <w:p w14:paraId="1BE164F8" w14:textId="77777777" w:rsidR="00260E9A" w:rsidRPr="00C554CD" w:rsidRDefault="00260E9A" w:rsidP="00260E9A">
      <w:pPr>
        <w:spacing w:line="360" w:lineRule="auto"/>
        <w:jc w:val="both"/>
        <w:rPr>
          <w:rFonts w:ascii="Palatino Linotype" w:hAnsi="Palatino Linotype" w:cs="Arial"/>
        </w:rPr>
      </w:pPr>
    </w:p>
    <w:p w14:paraId="30EB3F0F" w14:textId="2CAEF1EF" w:rsidR="00260E9A" w:rsidRPr="00C554CD" w:rsidRDefault="00260E9A" w:rsidP="00260E9A">
      <w:pPr>
        <w:spacing w:line="360" w:lineRule="auto"/>
        <w:jc w:val="both"/>
        <w:rPr>
          <w:rFonts w:ascii="Palatino Linotype" w:eastAsia="Calibri" w:hAnsi="Palatino Linotype" w:cs="Arial"/>
          <w:lang w:val="es-ES"/>
        </w:rPr>
      </w:pPr>
      <w:r w:rsidRPr="00C554CD">
        <w:rPr>
          <w:rFonts w:ascii="Palatino Linotype" w:hAnsi="Palatino Linotype"/>
          <w:b/>
        </w:rPr>
        <w:t>SEGUNDO.</w:t>
      </w:r>
      <w:r w:rsidRPr="00C554CD">
        <w:rPr>
          <w:rStyle w:val="Ttulo2Car"/>
          <w:rFonts w:ascii="Palatino Linotype" w:hAnsi="Palatino Linotype"/>
          <w:sz w:val="24"/>
          <w:szCs w:val="24"/>
        </w:rPr>
        <w:t xml:space="preserve"> </w:t>
      </w:r>
      <w:r w:rsidRPr="00C554CD">
        <w:rPr>
          <w:rFonts w:ascii="Palatino Linotype" w:eastAsia="Calibri" w:hAnsi="Palatino Linotype" w:cs="Arial"/>
          <w:lang w:val="es-ES"/>
        </w:rPr>
        <w:t>Se</w:t>
      </w:r>
      <w:r w:rsidRPr="00C554CD">
        <w:rPr>
          <w:rFonts w:ascii="Palatino Linotype" w:eastAsia="Calibri" w:hAnsi="Palatino Linotype" w:cs="Arial"/>
          <w:b/>
          <w:lang w:val="es-ES"/>
        </w:rPr>
        <w:t xml:space="preserve"> CONFIRMA </w:t>
      </w:r>
      <w:r w:rsidR="00912AEC" w:rsidRPr="00C554CD">
        <w:rPr>
          <w:rFonts w:ascii="Palatino Linotype" w:eastAsia="Calibri" w:hAnsi="Palatino Linotype" w:cs="Arial"/>
          <w:lang w:val="es-ES"/>
        </w:rPr>
        <w:t>la respuesta emitida por el</w:t>
      </w:r>
      <w:r w:rsidRPr="00C554CD">
        <w:rPr>
          <w:rFonts w:ascii="Palatino Linotype" w:eastAsia="Calibri" w:hAnsi="Palatino Linotype" w:cs="Arial"/>
          <w:lang w:val="es-ES"/>
        </w:rPr>
        <w:t xml:space="preserve"> </w:t>
      </w:r>
      <w:r w:rsidR="00491AD4" w:rsidRPr="00C554CD">
        <w:rPr>
          <w:rFonts w:ascii="Palatino Linotype" w:hAnsi="Palatino Linotype"/>
          <w:b/>
        </w:rPr>
        <w:t>Poder Judicial</w:t>
      </w:r>
      <w:r w:rsidRPr="00C554CD">
        <w:rPr>
          <w:rFonts w:ascii="Palatino Linotype" w:hAnsi="Palatino Linotype"/>
          <w:b/>
        </w:rPr>
        <w:t xml:space="preserve"> </w:t>
      </w:r>
      <w:r w:rsidRPr="00C554CD">
        <w:rPr>
          <w:rFonts w:ascii="Palatino Linotype" w:eastAsia="Calibri" w:hAnsi="Palatino Linotype" w:cs="Arial"/>
          <w:lang w:val="es-ES"/>
        </w:rPr>
        <w:t xml:space="preserve">a la solicitud de información </w:t>
      </w:r>
      <w:r w:rsidR="00491AD4" w:rsidRPr="00C554CD">
        <w:rPr>
          <w:rFonts w:ascii="Palatino Linotype" w:eastAsia="Calibri" w:hAnsi="Palatino Linotype" w:cs="Arial"/>
          <w:b/>
          <w:lang w:val="es-ES"/>
        </w:rPr>
        <w:t>00106/PJUDICI/IP/2022</w:t>
      </w:r>
      <w:r w:rsidRPr="00C554CD">
        <w:rPr>
          <w:rFonts w:ascii="Palatino Linotype" w:eastAsia="Calibri" w:hAnsi="Palatino Linotype" w:cs="Arial"/>
          <w:lang w:val="es-ES"/>
        </w:rPr>
        <w:t xml:space="preserve">. </w:t>
      </w:r>
    </w:p>
    <w:p w14:paraId="4BDEE86F" w14:textId="77777777" w:rsidR="00260E9A" w:rsidRPr="00C554CD" w:rsidRDefault="00260E9A" w:rsidP="00260E9A">
      <w:pPr>
        <w:spacing w:line="360" w:lineRule="auto"/>
        <w:jc w:val="both"/>
        <w:rPr>
          <w:rFonts w:ascii="Palatino Linotype" w:eastAsia="Calibri" w:hAnsi="Palatino Linotype" w:cs="Arial"/>
          <w:lang w:val="es-ES"/>
        </w:rPr>
      </w:pPr>
    </w:p>
    <w:p w14:paraId="4187B6D4" w14:textId="77777777" w:rsidR="00260E9A" w:rsidRPr="00C554CD" w:rsidRDefault="00260E9A" w:rsidP="00260E9A">
      <w:pPr>
        <w:shd w:val="clear" w:color="auto" w:fill="FFFFFF"/>
        <w:spacing w:line="360" w:lineRule="auto"/>
        <w:jc w:val="both"/>
        <w:rPr>
          <w:rFonts w:ascii="Palatino Linotype" w:eastAsia="MS Mincho" w:hAnsi="Palatino Linotype"/>
          <w:color w:val="000000" w:themeColor="text1"/>
          <w:shd w:val="clear" w:color="auto" w:fill="FFFFFF"/>
        </w:rPr>
      </w:pPr>
      <w:bookmarkStart w:id="242" w:name="_Toc461648590"/>
      <w:bookmarkStart w:id="243" w:name="_Toc461648682"/>
      <w:bookmarkStart w:id="244" w:name="_Toc462228049"/>
      <w:bookmarkStart w:id="245" w:name="_Toc462228129"/>
      <w:bookmarkStart w:id="246" w:name="_Toc496099789"/>
      <w:bookmarkStart w:id="247" w:name="_Toc496100166"/>
      <w:bookmarkStart w:id="248" w:name="_Toc499756977"/>
      <w:bookmarkStart w:id="249" w:name="_Toc499757020"/>
      <w:bookmarkStart w:id="250" w:name="_Toc504377974"/>
      <w:r w:rsidRPr="00C554CD">
        <w:rPr>
          <w:rFonts w:ascii="Palatino Linotype" w:hAnsi="Palatino Linotype" w:cs="Arial"/>
          <w:b/>
        </w:rPr>
        <w:t>TERCERO.</w:t>
      </w:r>
      <w:bookmarkEnd w:id="242"/>
      <w:bookmarkEnd w:id="243"/>
      <w:bookmarkEnd w:id="244"/>
      <w:bookmarkEnd w:id="245"/>
      <w:bookmarkEnd w:id="246"/>
      <w:bookmarkEnd w:id="247"/>
      <w:bookmarkEnd w:id="248"/>
      <w:bookmarkEnd w:id="249"/>
      <w:bookmarkEnd w:id="250"/>
      <w:r w:rsidRPr="00C554CD">
        <w:rPr>
          <w:rFonts w:ascii="Palatino Linotype" w:hAnsi="Palatino Linotype" w:cs="Arial"/>
          <w:b/>
        </w:rPr>
        <w:t xml:space="preserve"> </w:t>
      </w:r>
      <w:r w:rsidRPr="00C554CD">
        <w:rPr>
          <w:rFonts w:ascii="Palatino Linotype" w:eastAsia="Palatino Linotype" w:hAnsi="Palatino Linotype" w:cs="Palatino Linotype"/>
          <w:b/>
        </w:rPr>
        <w:t xml:space="preserve">Notifíquese </w:t>
      </w:r>
      <w:r w:rsidRPr="00C554CD">
        <w:rPr>
          <w:rFonts w:ascii="Palatino Linotype" w:eastAsia="Palatino Linotype" w:hAnsi="Palatino Linotype" w:cs="Palatino Linotype"/>
        </w:rPr>
        <w:t xml:space="preserve">al Titular de la Unidad de Transparencia del </w:t>
      </w:r>
      <w:r w:rsidRPr="00C554CD">
        <w:rPr>
          <w:rFonts w:ascii="Palatino Linotype" w:eastAsia="Palatino Linotype" w:hAnsi="Palatino Linotype" w:cs="Palatino Linotype"/>
          <w:b/>
        </w:rPr>
        <w:t xml:space="preserve">SUJETO OBLIGADO </w:t>
      </w:r>
      <w:r w:rsidRPr="00C554CD">
        <w:rPr>
          <w:rFonts w:ascii="Palatino Linotype" w:eastAsia="Palatino Linotype" w:hAnsi="Palatino Linotype" w:cs="Palatino Linotype"/>
        </w:rPr>
        <w:t>vía SAIMEX, para su conocimiento</w:t>
      </w:r>
      <w:r w:rsidRPr="00C554CD">
        <w:rPr>
          <w:rFonts w:ascii="Palatino Linotype" w:eastAsia="MS Mincho" w:hAnsi="Palatino Linotype"/>
          <w:color w:val="000000" w:themeColor="text1"/>
          <w:shd w:val="clear" w:color="auto" w:fill="FFFFFF"/>
        </w:rPr>
        <w:t>.</w:t>
      </w:r>
    </w:p>
    <w:p w14:paraId="05A0F351" w14:textId="52528450" w:rsidR="00260E9A" w:rsidRPr="00C554CD"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554CD">
        <w:rPr>
          <w:rFonts w:ascii="Palatino Linotype" w:hAnsi="Palatino Linotype" w:cs="Arial"/>
          <w:b/>
        </w:rPr>
        <w:lastRenderedPageBreak/>
        <w:t>CUARTO</w:t>
      </w:r>
      <w:r w:rsidRPr="00C554CD">
        <w:rPr>
          <w:rFonts w:ascii="Palatino Linotype" w:hAnsi="Palatino Linotype"/>
          <w:b/>
          <w:color w:val="222222"/>
          <w:lang w:eastAsia="es-ES_tradnl"/>
        </w:rPr>
        <w:t xml:space="preserve">. Notifíquese </w:t>
      </w:r>
      <w:r w:rsidRPr="00C554CD">
        <w:rPr>
          <w:rFonts w:ascii="Palatino Linotype" w:hAnsi="Palatino Linotype"/>
          <w:color w:val="222222"/>
          <w:lang w:eastAsia="es-ES_tradnl"/>
        </w:rPr>
        <w:t>a</w:t>
      </w:r>
      <w:r w:rsidR="00A100C0" w:rsidRPr="00C554CD">
        <w:rPr>
          <w:rFonts w:ascii="Palatino Linotype" w:hAnsi="Palatino Linotype"/>
          <w:color w:val="222222"/>
          <w:lang w:eastAsia="es-ES_tradnl"/>
        </w:rPr>
        <w:t xml:space="preserve"> </w:t>
      </w:r>
      <w:r w:rsidR="00A100C0" w:rsidRPr="00C554CD">
        <w:rPr>
          <w:rFonts w:ascii="Palatino Linotype" w:hAnsi="Palatino Linotype"/>
          <w:b/>
          <w:color w:val="222222"/>
          <w:lang w:eastAsia="es-ES_tradnl"/>
        </w:rPr>
        <w:t>LA</w:t>
      </w:r>
      <w:r w:rsidRPr="00C554CD">
        <w:rPr>
          <w:rFonts w:ascii="Palatino Linotype" w:hAnsi="Palatino Linotype"/>
          <w:b/>
        </w:rPr>
        <w:t xml:space="preserve"> RECURRENTE</w:t>
      </w:r>
      <w:r w:rsidRPr="00C554CD">
        <w:rPr>
          <w:rFonts w:ascii="Palatino Linotype" w:hAnsi="Palatino Linotype"/>
          <w:color w:val="222222"/>
          <w:lang w:eastAsia="es-ES_tradnl"/>
        </w:rPr>
        <w:t xml:space="preserve"> la presente resolución vía SAIMEX</w:t>
      </w:r>
      <w:r w:rsidRPr="00C554CD">
        <w:rPr>
          <w:rFonts w:ascii="Palatino Linotype" w:eastAsia="MS Mincho" w:hAnsi="Palatino Linotype"/>
          <w:color w:val="000000" w:themeColor="text1"/>
          <w:shd w:val="clear" w:color="auto" w:fill="FFFFFF"/>
        </w:rPr>
        <w:t>.</w:t>
      </w:r>
    </w:p>
    <w:p w14:paraId="0AA31C55" w14:textId="77777777" w:rsidR="00260E9A" w:rsidRPr="00C554CD" w:rsidRDefault="00260E9A" w:rsidP="00260E9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E829B4F" w14:textId="7035570E" w:rsidR="00260E9A" w:rsidRPr="00C554CD"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554CD">
        <w:rPr>
          <w:rFonts w:ascii="Palatino Linotype" w:hAnsi="Palatino Linotype"/>
          <w:b/>
          <w:color w:val="222222"/>
          <w:lang w:eastAsia="es-ES_tradnl"/>
        </w:rPr>
        <w:t xml:space="preserve">QUINTO. </w:t>
      </w:r>
      <w:r w:rsidR="00A100C0" w:rsidRPr="00C554CD">
        <w:rPr>
          <w:rFonts w:ascii="Palatino Linotype" w:eastAsia="MS Mincho" w:hAnsi="Palatino Linotype"/>
        </w:rPr>
        <w:t xml:space="preserve">Se hace del conocimiento de </w:t>
      </w:r>
      <w:r w:rsidR="00491AD4" w:rsidRPr="00C554CD">
        <w:rPr>
          <w:rFonts w:ascii="Palatino Linotype" w:eastAsia="MS Mincho" w:hAnsi="Palatino Linotype"/>
          <w:b/>
        </w:rPr>
        <w:t>LA RECURRENTE</w:t>
      </w:r>
      <w:r w:rsidRPr="00C554CD">
        <w:rPr>
          <w:rFonts w:ascii="Palatino Linotype" w:hAnsi="Palatino Linotype"/>
        </w:rPr>
        <w:t xml:space="preserve"> </w:t>
      </w:r>
      <w:r w:rsidRPr="00C554C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554CD">
        <w:rPr>
          <w:rFonts w:ascii="Palatino Linotype" w:eastAsia="MS Mincho" w:hAnsi="Palatino Linotype"/>
          <w:bCs/>
        </w:rPr>
        <w:t>vía juicio de amparo</w:t>
      </w:r>
      <w:r w:rsidRPr="00C554CD">
        <w:rPr>
          <w:rFonts w:ascii="Palatino Linotype" w:eastAsia="MS Mincho" w:hAnsi="Palatino Linotype"/>
        </w:rPr>
        <w:t> en los términos de las leyes aplicables.</w:t>
      </w:r>
    </w:p>
    <w:p w14:paraId="3F49E300" w14:textId="77777777" w:rsidR="00B37D2F" w:rsidRPr="00C554CD" w:rsidRDefault="00B37D2F"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9A32335" w14:textId="77777777" w:rsidR="00853445" w:rsidRDefault="00853445" w:rsidP="00853445">
      <w:pPr>
        <w:spacing w:before="240" w:after="240" w:line="360" w:lineRule="auto"/>
        <w:jc w:val="both"/>
        <w:rPr>
          <w:rFonts w:ascii="Palatino Linotype" w:hAnsi="Palatino Linotype"/>
        </w:rPr>
      </w:pPr>
      <w:r w:rsidRPr="00C554C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251" w:name="_GoBack"/>
      <w:bookmarkEnd w:id="251"/>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9"/>
      <w:footerReference w:type="default" r:id="rId10"/>
      <w:headerReference w:type="first" r:id="rId11"/>
      <w:footerReference w:type="first" r:id="rId12"/>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3BB5" w14:textId="77777777" w:rsidR="00AB5B31" w:rsidRDefault="00AB5B31" w:rsidP="00C80F8C">
      <w:r>
        <w:separator/>
      </w:r>
    </w:p>
  </w:endnote>
  <w:endnote w:type="continuationSeparator" w:id="0">
    <w:p w14:paraId="17193A80" w14:textId="77777777" w:rsidR="00AB5B31" w:rsidRDefault="00AB5B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EDFB7F4"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54CD">
      <w:rPr>
        <w:rFonts w:ascii="Arial" w:hAnsi="Arial" w:cs="Arial"/>
        <w:b/>
        <w:bCs/>
        <w:noProof/>
        <w:sz w:val="20"/>
        <w:szCs w:val="20"/>
      </w:rPr>
      <w:t>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54CD">
      <w:rPr>
        <w:rFonts w:ascii="Arial" w:hAnsi="Arial" w:cs="Arial"/>
        <w:b/>
        <w:bCs/>
        <w:noProof/>
        <w:sz w:val="20"/>
        <w:szCs w:val="20"/>
      </w:rPr>
      <w:t>30</w:t>
    </w:r>
    <w:r>
      <w:rPr>
        <w:rFonts w:ascii="Arial" w:hAnsi="Arial" w:cs="Arial"/>
        <w:b/>
        <w:bCs/>
        <w:sz w:val="20"/>
        <w:szCs w:val="20"/>
      </w:rPr>
      <w:fldChar w:fldCharType="end"/>
    </w:r>
  </w:p>
  <w:p w14:paraId="1192A578" w14:textId="77777777" w:rsidR="004F32F2" w:rsidRDefault="004F32F2" w:rsidP="00935A0D">
    <w:pPr>
      <w:pStyle w:val="Piedepgina"/>
      <w:rPr>
        <w:rFonts w:ascii="Times New Roman" w:hAnsi="Times New Roman" w:cs="Times New Roman"/>
      </w:rPr>
    </w:pPr>
  </w:p>
  <w:p w14:paraId="14A770F8" w14:textId="77777777" w:rsidR="004F32F2" w:rsidRDefault="004F32F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F9E92A0"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54C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54CD">
      <w:rPr>
        <w:rFonts w:ascii="Arial" w:hAnsi="Arial" w:cs="Arial"/>
        <w:b/>
        <w:bCs/>
        <w:noProof/>
        <w:sz w:val="20"/>
        <w:szCs w:val="20"/>
      </w:rPr>
      <w:t>30</w:t>
    </w:r>
    <w:r>
      <w:rPr>
        <w:rFonts w:ascii="Arial" w:hAnsi="Arial" w:cs="Arial"/>
        <w:b/>
        <w:bCs/>
        <w:sz w:val="20"/>
        <w:szCs w:val="20"/>
      </w:rPr>
      <w:fldChar w:fldCharType="end"/>
    </w:r>
  </w:p>
  <w:p w14:paraId="5D98ABD5" w14:textId="77777777" w:rsidR="004F32F2" w:rsidRDefault="004F32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AE82A" w14:textId="77777777" w:rsidR="00AB5B31" w:rsidRDefault="00AB5B31" w:rsidP="00C80F8C">
      <w:r>
        <w:separator/>
      </w:r>
    </w:p>
  </w:footnote>
  <w:footnote w:type="continuationSeparator" w:id="0">
    <w:p w14:paraId="5C6DAE5A" w14:textId="77777777" w:rsidR="00AB5B31" w:rsidRDefault="00AB5B31" w:rsidP="00C80F8C">
      <w:r>
        <w:continuationSeparator/>
      </w:r>
    </w:p>
  </w:footnote>
  <w:footnote w:id="1">
    <w:p w14:paraId="3CA21227"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4F32F2" w:rsidRDefault="004F32F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74774266" w14:textId="77777777" w:rsidR="00280F11" w:rsidRPr="00E70844" w:rsidRDefault="00280F11" w:rsidP="00280F11">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14:paraId="1E3B3B64" w14:textId="77777777" w:rsidR="00280F11" w:rsidRPr="009064F6" w:rsidRDefault="00280F11" w:rsidP="00280F11">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14:paraId="61623A60" w14:textId="77777777" w:rsidR="00280F11" w:rsidRPr="00E70844" w:rsidRDefault="00280F11" w:rsidP="00280F11">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14:paraId="106666EB" w14:textId="77777777" w:rsidR="00280F11" w:rsidRPr="00E70844" w:rsidRDefault="00280F11" w:rsidP="00280F11">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43870A61" w14:textId="77777777" w:rsidR="00280F11" w:rsidRPr="00CE236E" w:rsidRDefault="00280F11" w:rsidP="00280F11">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F32F2" w14:paraId="6B4E3B81" w14:textId="77777777" w:rsidTr="007E2BE8">
      <w:tc>
        <w:tcPr>
          <w:tcW w:w="2552" w:type="dxa"/>
          <w:vAlign w:val="center"/>
          <w:hideMark/>
        </w:tcPr>
        <w:p w14:paraId="0ABBC6C0" w14:textId="7C21B4C9"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670A132" w:rsidR="004F32F2" w:rsidRPr="008C5395" w:rsidRDefault="00A100C0" w:rsidP="006F5A13">
          <w:pPr>
            <w:jc w:val="both"/>
            <w:rPr>
              <w:rFonts w:ascii="Palatino Linotype" w:hAnsi="Palatino Linotype"/>
              <w:b/>
              <w:sz w:val="21"/>
              <w:szCs w:val="21"/>
              <w:lang w:val="es-ES_tradnl"/>
            </w:rPr>
          </w:pPr>
          <w:r>
            <w:rPr>
              <w:rFonts w:ascii="Palatino Linotype" w:hAnsi="Palatino Linotype" w:cs="Arial"/>
              <w:b/>
              <w:bCs/>
              <w:sz w:val="21"/>
              <w:szCs w:val="21"/>
            </w:rPr>
            <w:t>04003</w:t>
          </w:r>
          <w:r w:rsidR="004F32F2">
            <w:rPr>
              <w:rFonts w:ascii="Palatino Linotype" w:hAnsi="Palatino Linotype" w:cs="Arial"/>
              <w:b/>
              <w:bCs/>
              <w:sz w:val="21"/>
              <w:szCs w:val="21"/>
            </w:rPr>
            <w:t>/INFOEM/IP/RR/2022</w:t>
          </w:r>
        </w:p>
      </w:tc>
    </w:tr>
    <w:tr w:rsidR="004F32F2" w14:paraId="31CB780F" w14:textId="77777777" w:rsidTr="007E2BE8">
      <w:trPr>
        <w:trHeight w:val="228"/>
      </w:trPr>
      <w:tc>
        <w:tcPr>
          <w:tcW w:w="2552" w:type="dxa"/>
          <w:vAlign w:val="center"/>
          <w:hideMark/>
        </w:tcPr>
        <w:p w14:paraId="4F49CB4A" w14:textId="6C7F970E"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03AA81D" w:rsidR="004F32F2" w:rsidRPr="008C5395" w:rsidRDefault="00A100C0" w:rsidP="006211B5">
          <w:pPr>
            <w:jc w:val="both"/>
            <w:rPr>
              <w:rFonts w:ascii="Palatino Linotype" w:hAnsi="Palatino Linotype"/>
              <w:b/>
              <w:sz w:val="21"/>
              <w:szCs w:val="21"/>
              <w:lang w:val="es-ES_tradnl"/>
            </w:rPr>
          </w:pPr>
          <w:r w:rsidRPr="00A100C0">
            <w:rPr>
              <w:rFonts w:ascii="Palatino Linotype" w:hAnsi="Palatino Linotype"/>
              <w:b/>
              <w:sz w:val="21"/>
              <w:szCs w:val="21"/>
            </w:rPr>
            <w:t>Poder Judicial</w:t>
          </w:r>
        </w:p>
      </w:tc>
    </w:tr>
    <w:tr w:rsidR="004F32F2" w14:paraId="69050F56" w14:textId="77777777" w:rsidTr="007E2BE8">
      <w:tc>
        <w:tcPr>
          <w:tcW w:w="2552" w:type="dxa"/>
          <w:vAlign w:val="center"/>
          <w:hideMark/>
        </w:tcPr>
        <w:p w14:paraId="65C9B735" w14:textId="71CA0DD8" w:rsidR="004F32F2" w:rsidRPr="008C5395" w:rsidRDefault="004F32F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F32F2" w:rsidRPr="008C5395" w:rsidRDefault="004F32F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F32F2" w:rsidRDefault="004F32F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F32F2" w:rsidRDefault="004F32F2"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F32F2" w14:paraId="477E149B" w14:textId="77777777" w:rsidTr="00750CDE">
      <w:tc>
        <w:tcPr>
          <w:tcW w:w="2551" w:type="dxa"/>
          <w:vAlign w:val="center"/>
          <w:hideMark/>
        </w:tcPr>
        <w:p w14:paraId="5C0586E4" w14:textId="77777777" w:rsidR="004F32F2" w:rsidRPr="008C5395" w:rsidRDefault="004F32F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D80114F" w:rsidR="004F32F2" w:rsidRPr="001C1420" w:rsidRDefault="00491AD4" w:rsidP="006211B5">
          <w:pPr>
            <w:jc w:val="both"/>
            <w:rPr>
              <w:rFonts w:ascii="Palatino Linotype" w:hAnsi="Palatino Linotype"/>
              <w:b/>
              <w:sz w:val="21"/>
              <w:szCs w:val="21"/>
              <w:lang w:val="es-ES_tradnl"/>
            </w:rPr>
          </w:pPr>
          <w:r>
            <w:rPr>
              <w:rFonts w:ascii="Palatino Linotype" w:hAnsi="Palatino Linotype" w:cs="Arial"/>
              <w:b/>
              <w:bCs/>
              <w:sz w:val="21"/>
              <w:szCs w:val="21"/>
            </w:rPr>
            <w:t>04003</w:t>
          </w:r>
          <w:r w:rsidR="004F32F2">
            <w:rPr>
              <w:rFonts w:ascii="Palatino Linotype" w:hAnsi="Palatino Linotype" w:cs="Arial"/>
              <w:b/>
              <w:bCs/>
              <w:sz w:val="21"/>
              <w:szCs w:val="21"/>
            </w:rPr>
            <w:t>/INFOEM/IP/RR/2022</w:t>
          </w:r>
        </w:p>
      </w:tc>
    </w:tr>
    <w:tr w:rsidR="004F32F2" w14:paraId="5B5BE21C" w14:textId="77777777" w:rsidTr="00750CDE">
      <w:tc>
        <w:tcPr>
          <w:tcW w:w="2551" w:type="dxa"/>
          <w:vAlign w:val="center"/>
          <w:hideMark/>
        </w:tcPr>
        <w:p w14:paraId="4AE96902" w14:textId="77777777" w:rsidR="004F32F2" w:rsidRPr="008C5395" w:rsidRDefault="004F32F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F210659" w:rsidR="004F32F2" w:rsidRPr="001C1420" w:rsidRDefault="00C554CD" w:rsidP="000A3F51">
          <w:pPr>
            <w:rPr>
              <w:rFonts w:ascii="Palatino Linotype" w:hAnsi="Palatino Linotype"/>
              <w:b/>
              <w:sz w:val="21"/>
              <w:szCs w:val="21"/>
            </w:rPr>
          </w:pPr>
          <w:r>
            <w:rPr>
              <w:rFonts w:ascii="Palatino Linotype" w:hAnsi="Palatino Linotype"/>
              <w:b/>
              <w:sz w:val="21"/>
              <w:szCs w:val="21"/>
            </w:rPr>
            <w:t>XXX XXXXXX XXXX</w:t>
          </w:r>
        </w:p>
      </w:tc>
    </w:tr>
    <w:tr w:rsidR="004F32F2" w14:paraId="22601A11" w14:textId="77777777" w:rsidTr="00750CDE">
      <w:trPr>
        <w:trHeight w:val="228"/>
      </w:trPr>
      <w:tc>
        <w:tcPr>
          <w:tcW w:w="2551" w:type="dxa"/>
          <w:vAlign w:val="center"/>
          <w:hideMark/>
        </w:tcPr>
        <w:p w14:paraId="6EFE221D" w14:textId="337D5087"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33BBE11" w:rsidR="004F32F2" w:rsidRPr="001C1420" w:rsidRDefault="00491AD4" w:rsidP="006211B5">
          <w:pPr>
            <w:ind w:left="35" w:hanging="35"/>
            <w:jc w:val="both"/>
            <w:rPr>
              <w:rFonts w:ascii="Palatino Linotype" w:hAnsi="Palatino Linotype"/>
              <w:sz w:val="21"/>
              <w:szCs w:val="21"/>
            </w:rPr>
          </w:pPr>
          <w:r w:rsidRPr="00491AD4">
            <w:rPr>
              <w:rFonts w:ascii="Palatino Linotype" w:hAnsi="Palatino Linotype"/>
              <w:b/>
              <w:sz w:val="21"/>
              <w:szCs w:val="21"/>
            </w:rPr>
            <w:t>Poder Judicial</w:t>
          </w:r>
        </w:p>
      </w:tc>
    </w:tr>
    <w:tr w:rsidR="004F32F2" w14:paraId="2D6C630E" w14:textId="77777777" w:rsidTr="00750CDE">
      <w:tc>
        <w:tcPr>
          <w:tcW w:w="2551" w:type="dxa"/>
          <w:vAlign w:val="center"/>
          <w:hideMark/>
        </w:tcPr>
        <w:p w14:paraId="5BD4C6DB" w14:textId="40502EEE"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F32F2" w:rsidRPr="001C1420" w:rsidRDefault="004F32F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F32F2" w:rsidRDefault="004F32F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4"/>
  </w:num>
  <w:num w:numId="3">
    <w:abstractNumId w:val="22"/>
  </w:num>
  <w:num w:numId="4">
    <w:abstractNumId w:val="30"/>
  </w:num>
  <w:num w:numId="5">
    <w:abstractNumId w:val="26"/>
  </w:num>
  <w:num w:numId="6">
    <w:abstractNumId w:val="12"/>
  </w:num>
  <w:num w:numId="7">
    <w:abstractNumId w:val="25"/>
  </w:num>
  <w:num w:numId="8">
    <w:abstractNumId w:val="2"/>
  </w:num>
  <w:num w:numId="9">
    <w:abstractNumId w:val="17"/>
  </w:num>
  <w:num w:numId="10">
    <w:abstractNumId w:val="10"/>
  </w:num>
  <w:num w:numId="11">
    <w:abstractNumId w:val="21"/>
  </w:num>
  <w:num w:numId="12">
    <w:abstractNumId w:val="18"/>
  </w:num>
  <w:num w:numId="13">
    <w:abstractNumId w:val="29"/>
  </w:num>
  <w:num w:numId="14">
    <w:abstractNumId w:val="23"/>
  </w:num>
  <w:num w:numId="15">
    <w:abstractNumId w:val="7"/>
  </w:num>
  <w:num w:numId="16">
    <w:abstractNumId w:val="5"/>
  </w:num>
  <w:num w:numId="17">
    <w:abstractNumId w:val="31"/>
  </w:num>
  <w:num w:numId="18">
    <w:abstractNumId w:val="35"/>
  </w:num>
  <w:num w:numId="19">
    <w:abstractNumId w:val="39"/>
  </w:num>
  <w:num w:numId="20">
    <w:abstractNumId w:val="3"/>
  </w:num>
  <w:num w:numId="21">
    <w:abstractNumId w:val="36"/>
  </w:num>
  <w:num w:numId="22">
    <w:abstractNumId w:val="24"/>
  </w:num>
  <w:num w:numId="23">
    <w:abstractNumId w:val="8"/>
  </w:num>
  <w:num w:numId="24">
    <w:abstractNumId w:val="37"/>
  </w:num>
  <w:num w:numId="25">
    <w:abstractNumId w:val="15"/>
  </w:num>
  <w:num w:numId="26">
    <w:abstractNumId w:val="13"/>
  </w:num>
  <w:num w:numId="27">
    <w:abstractNumId w:val="16"/>
  </w:num>
  <w:num w:numId="28">
    <w:abstractNumId w:val="27"/>
  </w:num>
  <w:num w:numId="29">
    <w:abstractNumId w:val="0"/>
  </w:num>
  <w:num w:numId="30">
    <w:abstractNumId w:val="6"/>
  </w:num>
  <w:num w:numId="31">
    <w:abstractNumId w:val="14"/>
  </w:num>
  <w:num w:numId="32">
    <w:abstractNumId w:val="38"/>
  </w:num>
  <w:num w:numId="33">
    <w:abstractNumId w:val="1"/>
  </w:num>
  <w:num w:numId="34">
    <w:abstractNumId w:val="33"/>
  </w:num>
  <w:num w:numId="35">
    <w:abstractNumId w:val="4"/>
  </w:num>
  <w:num w:numId="36">
    <w:abstractNumId w:val="9"/>
  </w:num>
  <w:num w:numId="37">
    <w:abstractNumId w:val="20"/>
  </w:num>
  <w:num w:numId="38">
    <w:abstractNumId w:val="19"/>
  </w:num>
  <w:num w:numId="39">
    <w:abstractNumId w:val="32"/>
  </w:num>
  <w:num w:numId="40">
    <w:abstractNumId w:val="28"/>
  </w:num>
  <w:num w:numId="4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2D84"/>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535"/>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53445"/>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B76"/>
    <w:rsid w:val="00AB10AD"/>
    <w:rsid w:val="00AB155A"/>
    <w:rsid w:val="00AB2A1E"/>
    <w:rsid w:val="00AB3832"/>
    <w:rsid w:val="00AB5B31"/>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014"/>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54CD"/>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1149-A6C0-4BF3-B68A-50F0EC10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30</Pages>
  <Words>6442</Words>
  <Characters>35433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2019-04-02T22:25:00Z</cp:lastPrinted>
  <dcterms:created xsi:type="dcterms:W3CDTF">2022-05-26T18:20:00Z</dcterms:created>
  <dcterms:modified xsi:type="dcterms:W3CDTF">2022-08-11T19:38:00Z</dcterms:modified>
</cp:coreProperties>
</file>