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B57" w:rsidRDefault="00661C30">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ocho de junio de dos mil veintidós.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formados con motivo de los recursos de revisión </w:t>
      </w:r>
      <w:r>
        <w:rPr>
          <w:rFonts w:ascii="Palatino Linotype" w:eastAsia="Palatino Linotype" w:hAnsi="Palatino Linotype" w:cs="Palatino Linotype"/>
          <w:b/>
        </w:rPr>
        <w:t xml:space="preserve">02289/INFOEM/IP/RR/2022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02290/INFOEM/IP/RR/2022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acumulados,</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un particular que no proporcionó nombre o seudónimo,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por parte del </w:t>
      </w:r>
      <w:r>
        <w:rPr>
          <w:rFonts w:ascii="Palatino Linotype" w:eastAsia="Palatino Linotype" w:hAnsi="Palatino Linotype" w:cs="Palatino Linotype"/>
          <w:b/>
        </w:rPr>
        <w:t xml:space="preserve">Organismo Público Descentralizado para la Prestación de Los Servicios de Agua Potable Alcantarillado y Saneamiento del Municipio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rsidR="00CF1B57" w:rsidRDefault="00661C30">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Solicitudes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 xml:space="preserve">diez de enero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ante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las solicitudes de acceso a la información pública, a las que se les asignaron los números </w:t>
      </w:r>
      <w:r>
        <w:rPr>
          <w:rFonts w:ascii="Palatino Linotype" w:eastAsia="Palatino Linotype" w:hAnsi="Palatino Linotype" w:cs="Palatino Linotype"/>
          <w:b/>
        </w:rPr>
        <w:t xml:space="preserve">00001/OASMETEPEC/IP/2022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00002/OASMETEPEC/IP/2022, </w:t>
      </w:r>
      <w:r>
        <w:rPr>
          <w:rFonts w:ascii="Palatino Linotype" w:eastAsia="Palatino Linotype" w:hAnsi="Palatino Linotype" w:cs="Palatino Linotype"/>
        </w:rPr>
        <w:t>mediante las cuales requirió la información siguiente:</w:t>
      </w:r>
    </w:p>
    <w:tbl>
      <w:tblPr>
        <w:tblStyle w:val="a4"/>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CF1B57">
        <w:trPr>
          <w:jc w:val="center"/>
        </w:trPr>
        <w:tc>
          <w:tcPr>
            <w:tcW w:w="2972" w:type="dxa"/>
            <w:vAlign w:val="center"/>
          </w:tcPr>
          <w:p w:rsidR="00CF1B57" w:rsidRDefault="00661C30">
            <w:pPr>
              <w:jc w:val="center"/>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sz w:val="20"/>
                <w:szCs w:val="20"/>
              </w:rPr>
              <w:lastRenderedPageBreak/>
              <w:t>Solicitud 00001/OASMETEPEC/IP/2022</w:t>
            </w:r>
          </w:p>
        </w:tc>
        <w:tc>
          <w:tcPr>
            <w:tcW w:w="5856" w:type="dxa"/>
            <w:vAlign w:val="center"/>
          </w:tcPr>
          <w:p w:rsidR="00CF1B57" w:rsidRDefault="00661C30">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“Solicito el comprobante de pago de agua del C. Fernando Gustavo Flores Fernández realizado el 3 de enero de 2022."” (sic)</w:t>
            </w:r>
          </w:p>
        </w:tc>
      </w:tr>
      <w:tr w:rsidR="00CF1B57">
        <w:trPr>
          <w:jc w:val="center"/>
        </w:trPr>
        <w:tc>
          <w:tcPr>
            <w:tcW w:w="2972" w:type="dxa"/>
            <w:vAlign w:val="center"/>
          </w:tcPr>
          <w:p w:rsidR="00CF1B57" w:rsidRDefault="00661C3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00002/OASMETEPEC/IP/2022</w:t>
            </w:r>
          </w:p>
        </w:tc>
        <w:tc>
          <w:tcPr>
            <w:tcW w:w="5856" w:type="dxa"/>
            <w:vAlign w:val="center"/>
          </w:tcPr>
          <w:p w:rsidR="00CF1B57" w:rsidRDefault="00661C30">
            <w:pPr>
              <w:pBdr>
                <w:top w:val="nil"/>
                <w:left w:val="nil"/>
                <w:bottom w:val="nil"/>
                <w:right w:val="nil"/>
                <w:between w:val="nil"/>
              </w:pBdr>
              <w:jc w:val="center"/>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“Solicito todos los comprobantes de pago de agua del C. Fernando Gustavo Flores Fernández." (sic)</w:t>
            </w:r>
          </w:p>
        </w:tc>
      </w:tr>
    </w:tbl>
    <w:p w:rsidR="00CF1B57" w:rsidRDefault="00CF1B57">
      <w:pPr>
        <w:spacing w:line="360" w:lineRule="auto"/>
        <w:ind w:right="900"/>
        <w:jc w:val="both"/>
        <w:rPr>
          <w:rFonts w:ascii="Palatino Linotype" w:eastAsia="Palatino Linotype" w:hAnsi="Palatino Linotype" w:cs="Palatino Linotype"/>
        </w:rPr>
      </w:pPr>
    </w:p>
    <w:p w:rsidR="00CF1B57" w:rsidRDefault="00661C30">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 a sus solicitudes.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 en ambos casos.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Prórroga.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solicitó prórroga mediante </w:t>
      </w:r>
      <w:r>
        <w:rPr>
          <w:rFonts w:ascii="Palatino Linotype" w:eastAsia="Palatino Linotype" w:hAnsi="Palatino Linotype" w:cs="Palatino Linotype"/>
          <w:b/>
        </w:rPr>
        <w:t xml:space="preserve">SAIMEX, </w:t>
      </w:r>
      <w:r>
        <w:rPr>
          <w:rFonts w:ascii="Palatino Linotype" w:eastAsia="Palatino Linotype" w:hAnsi="Palatino Linotype" w:cs="Palatino Linotype"/>
        </w:rPr>
        <w:t>argumentando lo siguiente:</w:t>
      </w:r>
    </w:p>
    <w:p w:rsidR="00CF1B57" w:rsidRDefault="00661C3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CF1B57" w:rsidRDefault="00661C3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anexa Acta de Sesión donde se aprueba la solicitud de </w:t>
      </w:r>
      <w:proofErr w:type="spellStart"/>
      <w:r>
        <w:rPr>
          <w:rFonts w:ascii="Palatino Linotype" w:eastAsia="Palatino Linotype" w:hAnsi="Palatino Linotype" w:cs="Palatino Linotype"/>
          <w:i/>
          <w:sz w:val="22"/>
          <w:szCs w:val="22"/>
        </w:rPr>
        <w:t>Prorroga</w:t>
      </w:r>
      <w:proofErr w:type="spellEnd"/>
      <w:r>
        <w:rPr>
          <w:rFonts w:ascii="Palatino Linotype" w:eastAsia="Palatino Linotype" w:hAnsi="Palatino Linotype" w:cs="Palatino Linotype"/>
          <w:i/>
          <w:sz w:val="22"/>
          <w:szCs w:val="22"/>
        </w:rPr>
        <w:t>...”</w:t>
      </w:r>
    </w:p>
    <w:p w:rsidR="00CF1B57" w:rsidRDefault="00661C30">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anexó el archivo “</w:t>
      </w:r>
      <w:r>
        <w:rPr>
          <w:rFonts w:ascii="Palatino Linotype" w:eastAsia="Palatino Linotype" w:hAnsi="Palatino Linotype" w:cs="Palatino Linotype"/>
          <w:i/>
        </w:rPr>
        <w:t>Acta Primera Sesion.pdf</w:t>
      </w:r>
      <w:r>
        <w:rPr>
          <w:rFonts w:ascii="Palatino Linotype" w:eastAsia="Palatino Linotype" w:hAnsi="Palatino Linotype" w:cs="Palatino Linotype"/>
        </w:rPr>
        <w:t xml:space="preserve">”, que contiene el Acta de la Primera Sesión Ordinaria del Comité de Transparencia, celebrada el día veintiocho de enero de dos mil veintidós, mediante la cual, como puntos tres y cuatro del orden del día,  se sometió a consideración de los integrantes la ampliación de término hasta por siete días hábiles, para dar contestación a las solicitudes de información identificadas con los números de folio 00001/OASMETEPEC/IP/2022 y 00002/OASMETEPEC/IP/2022 con fundamento en lo señalado en los artículos 45, 46, 47, 49, fracción II y 163 párrafo segundo de la Ley de Transparencia y Acceso a la </w:t>
      </w:r>
      <w:r>
        <w:rPr>
          <w:rFonts w:ascii="Palatino Linotype" w:eastAsia="Palatino Linotype" w:hAnsi="Palatino Linotype" w:cs="Palatino Linotype"/>
        </w:rPr>
        <w:lastRenderedPageBreak/>
        <w:t xml:space="preserve">Información Pública del Estado de México y Municipios, argumentando el Director de Administración y Finanzas que aunado a las cargas de trabajo, la información aún se encuentra siendo recabada y debidamente verificada, con la finalidad de dar cabal cumplimiento con lo requerido, confirmándose la prórroga por unanimidad de votos de los integrantes mediante los acuerdos CT/SO/05/2022 y CT/SO/06/2022.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diez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las solicitudes de acceso a la información a través de SAIMEX, sustancialmente en los términos siguientes:</w:t>
      </w:r>
    </w:p>
    <w:tbl>
      <w:tblPr>
        <w:tblStyle w:val="a5"/>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CF1B57">
        <w:trPr>
          <w:jc w:val="center"/>
        </w:trPr>
        <w:tc>
          <w:tcPr>
            <w:tcW w:w="2972" w:type="dxa"/>
            <w:vAlign w:val="center"/>
          </w:tcPr>
          <w:p w:rsidR="00CF1B57" w:rsidRDefault="00661C3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00001/OASMETEPEC/IP/2022</w:t>
            </w:r>
          </w:p>
        </w:tc>
        <w:tc>
          <w:tcPr>
            <w:tcW w:w="5856" w:type="dxa"/>
            <w:vAlign w:val="center"/>
          </w:tcPr>
          <w:p w:rsidR="00CF1B57" w:rsidRDefault="00661C30">
            <w:pPr>
              <w:jc w:val="center"/>
              <w:rPr>
                <w:rFonts w:ascii="Palatino Linotype" w:eastAsia="Palatino Linotype" w:hAnsi="Palatino Linotype" w:cs="Palatino Linotype"/>
                <w:i/>
              </w:rPr>
            </w:pPr>
            <w:r>
              <w:rPr>
                <w:rFonts w:ascii="Palatino Linotype" w:eastAsia="Palatino Linotype" w:hAnsi="Palatino Linotype" w:cs="Palatino Linotype"/>
                <w:i/>
                <w:sz w:val="20"/>
                <w:szCs w:val="20"/>
              </w:rPr>
              <w:t>“Se adjunta Acta OPDAPAS/UT/SEO/001/2022 de la Primera Sesión Extraordinaria del Comité de Transparencia de fecha 09 de febrero del presente año, con la aprobación de la versión pública del comprobante de pago de agua del C.” (sic)</w:t>
            </w:r>
          </w:p>
        </w:tc>
      </w:tr>
      <w:tr w:rsidR="00CF1B57">
        <w:trPr>
          <w:jc w:val="center"/>
        </w:trPr>
        <w:tc>
          <w:tcPr>
            <w:tcW w:w="2972" w:type="dxa"/>
            <w:vAlign w:val="center"/>
          </w:tcPr>
          <w:p w:rsidR="00CF1B57" w:rsidRDefault="00661C30">
            <w:pPr>
              <w:jc w:val="center"/>
              <w:rPr>
                <w:rFonts w:ascii="Palatino Linotype" w:eastAsia="Palatino Linotype" w:hAnsi="Palatino Linotype" w:cs="Palatino Linotype"/>
              </w:rPr>
            </w:pPr>
            <w:r>
              <w:rPr>
                <w:rFonts w:ascii="Palatino Linotype" w:eastAsia="Palatino Linotype" w:hAnsi="Palatino Linotype" w:cs="Palatino Linotype"/>
                <w:b/>
                <w:sz w:val="20"/>
                <w:szCs w:val="20"/>
              </w:rPr>
              <w:t>Solicitud 00002/OASMETEPEC/IP/2022</w:t>
            </w:r>
          </w:p>
        </w:tc>
        <w:tc>
          <w:tcPr>
            <w:tcW w:w="5856" w:type="dxa"/>
            <w:vAlign w:val="center"/>
          </w:tcPr>
          <w:p w:rsidR="00CF1B57" w:rsidRDefault="00661C30">
            <w:pPr>
              <w:pBdr>
                <w:top w:val="nil"/>
                <w:left w:val="nil"/>
                <w:bottom w:val="nil"/>
                <w:right w:val="nil"/>
                <w:between w:val="nil"/>
              </w:pBdr>
              <w:jc w:val="center"/>
              <w:rPr>
                <w:rFonts w:ascii="Palatino Linotype" w:eastAsia="Palatino Linotype" w:hAnsi="Palatino Linotype" w:cs="Palatino Linotype"/>
                <w:sz w:val="20"/>
                <w:szCs w:val="20"/>
              </w:rPr>
            </w:pPr>
            <w:r>
              <w:rPr>
                <w:rFonts w:ascii="Palatino Linotype" w:eastAsia="Palatino Linotype" w:hAnsi="Palatino Linotype" w:cs="Palatino Linotype"/>
                <w:i/>
                <w:sz w:val="20"/>
                <w:szCs w:val="20"/>
              </w:rPr>
              <w:t>“Se adjunta Acta OPDAPAS/UT/SEO/001/2022 de la Primera Sesión Extraordinaria del Comité de Transparencia de fecha 09 de febrero del presente año, con la aprobación de la versión pública de los comprobantes de pago de agua del C" (sic)</w:t>
            </w:r>
          </w:p>
        </w:tc>
      </w:tr>
    </w:tbl>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archivos:</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w:t>
      </w:r>
      <w:r>
        <w:rPr>
          <w:rFonts w:ascii="Palatino Linotype" w:eastAsia="Palatino Linotype" w:hAnsi="Palatino Linotype" w:cs="Palatino Linotype"/>
          <w:i/>
        </w:rPr>
        <w:t>respuesta 01.pdf”,</w:t>
      </w:r>
      <w:r>
        <w:rPr>
          <w:rFonts w:ascii="Palatino Linotype" w:eastAsia="Palatino Linotype" w:hAnsi="Palatino Linotype" w:cs="Palatino Linotype"/>
        </w:rPr>
        <w:t xml:space="preserve"> que contiene el oficio OPDAPAS/UT/019/2022, signado por la Titular de la Unidad de Transparencia, mediante el cual notifica la respuesta a la persona solicitante en los mismos términos vertidos en SAIMEX, asimismo, agrega la digitalización, en versión pública del Comprobante Fiscal Digital por Internet por pago de derechos del servicio de agua potable y alcantarillado, cubiertos por la </w:t>
      </w:r>
      <w:r>
        <w:rPr>
          <w:rFonts w:ascii="Palatino Linotype" w:eastAsia="Palatino Linotype" w:hAnsi="Palatino Linotype" w:cs="Palatino Linotype"/>
        </w:rPr>
        <w:lastRenderedPageBreak/>
        <w:t>persona referida en la solicitud de información, en fecha tres de enero de dos mil veintidós.</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xml:space="preserve">- “respuesta 02.pdf”, </w:t>
      </w:r>
      <w:r>
        <w:rPr>
          <w:rFonts w:ascii="Palatino Linotype" w:eastAsia="Palatino Linotype" w:hAnsi="Palatino Linotype" w:cs="Palatino Linotype"/>
        </w:rPr>
        <w:t>que contiene el oficio OPDAPAS/UT/020/2022, signado por la Titular de la Unidad de Transparencia, mediante el cual notifica la respuesta a la persona solicitante en los mismos términos vertidos en SAIMEX, asimismo, agrega la digitalización, en versión pública de los Comprobantes Fiscales Digitales por Internet por pago de derechos del servicio de agua potable y alcantarillado, cubiertos por el la persona referida en la solicitud de información, en fechas veintiséis de noviembre de dos mil veinte, catorce de enero de dos mil veintiuno y tres de enero de dos mil veintidós.</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i/>
        </w:rPr>
        <w:t xml:space="preserve">- “Acta Primera extraordinaria.pdf”, </w:t>
      </w:r>
      <w:r>
        <w:rPr>
          <w:rFonts w:ascii="Palatino Linotype" w:eastAsia="Palatino Linotype" w:hAnsi="Palatino Linotype" w:cs="Palatino Linotype"/>
        </w:rPr>
        <w:t>que contiene</w:t>
      </w:r>
      <w:r>
        <w:rPr>
          <w:rFonts w:ascii="Palatino Linotype" w:eastAsia="Palatino Linotype" w:hAnsi="Palatino Linotype" w:cs="Palatino Linotype"/>
          <w:i/>
        </w:rPr>
        <w:t xml:space="preserve"> </w:t>
      </w:r>
      <w:r>
        <w:rPr>
          <w:rFonts w:ascii="Palatino Linotype" w:eastAsia="Palatino Linotype" w:hAnsi="Palatino Linotype" w:cs="Palatino Linotype"/>
        </w:rPr>
        <w:t>el Acta de la Primera Sesión Extraordinaria del Comité de Transparencia mediante la cual, como puntos tres y cuatro del orden del día, se sometió a consideración de los integrantes la clasificación de nombre, número de cuenta, código QR, RFC, Número de serie del CSD, Sello digital, Serie y Folio,  como confidencial, al constituir datos personales que identifican o hacen identificable a una persona física, con la finalidad de emitir la versión pública de los documentos mediante los cuales se dio cumplimiento a las solicitudes con número de folio 00001/OASMETEPEC/IP/2022 y 00002/OASMETEPEC/IP/2022, aprobándose por unanimidad de votos la clasificación mediante  los acuerdos CT/SEO/12/2022 y  CT/SEO/13/2022.</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 los recursos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 en ambos casos:</w:t>
      </w:r>
    </w:p>
    <w:p w:rsidR="00CF1B57" w:rsidRDefault="00661C30">
      <w:pPr>
        <w:tabs>
          <w:tab w:val="left" w:pos="2745"/>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rsidR="00CF1B57" w:rsidRDefault="00661C30">
      <w:pPr>
        <w:tabs>
          <w:tab w:val="left" w:pos="993"/>
        </w:tabs>
        <w:spacing w:before="240" w:after="240" w:line="360" w:lineRule="auto"/>
        <w:ind w:left="851" w:right="902"/>
        <w:jc w:val="center"/>
        <w:rPr>
          <w:rFonts w:ascii="Palatino Linotype" w:eastAsia="Palatino Linotype" w:hAnsi="Palatino Linotype" w:cs="Palatino Linotype"/>
          <w:b/>
          <w:sz w:val="28"/>
          <w:szCs w:val="28"/>
        </w:rPr>
      </w:pPr>
      <w:r>
        <w:rPr>
          <w:rFonts w:ascii="Palatino Linotype" w:eastAsia="Palatino Linotype" w:hAnsi="Palatino Linotype" w:cs="Palatino Linotype"/>
          <w:i/>
          <w:sz w:val="22"/>
          <w:szCs w:val="22"/>
        </w:rPr>
        <w:t>“La respuesta proporcionada por el Sujeto Obligado.” (</w:t>
      </w:r>
      <w:proofErr w:type="gramStart"/>
      <w:r>
        <w:rPr>
          <w:rFonts w:ascii="Palatino Linotype" w:eastAsia="Palatino Linotype" w:hAnsi="Palatino Linotype" w:cs="Palatino Linotype"/>
          <w:i/>
          <w:sz w:val="22"/>
          <w:szCs w:val="22"/>
        </w:rPr>
        <w:t>sic</w:t>
      </w:r>
      <w:proofErr w:type="gramEnd"/>
      <w:r>
        <w:rPr>
          <w:rFonts w:ascii="Palatino Linotype" w:eastAsia="Palatino Linotype" w:hAnsi="Palatino Linotype" w:cs="Palatino Linotype"/>
          <w:i/>
          <w:sz w:val="22"/>
          <w:szCs w:val="22"/>
        </w:rPr>
        <w:t>)</w:t>
      </w:r>
    </w:p>
    <w:p w:rsidR="00CF1B57" w:rsidRDefault="00661C30">
      <w:pPr>
        <w:tabs>
          <w:tab w:val="left" w:pos="1695"/>
        </w:tabs>
        <w:spacing w:line="360" w:lineRule="auto"/>
        <w:jc w:val="both"/>
        <w:rPr>
          <w:rFonts w:ascii="Palatino Linotype" w:eastAsia="Palatino Linotype" w:hAnsi="Palatino Linotype" w:cs="Palatino Linotype"/>
          <w:sz w:val="2"/>
          <w:szCs w:val="2"/>
        </w:rPr>
      </w:pPr>
      <w:r>
        <w:rPr>
          <w:rFonts w:ascii="Palatino Linotype" w:eastAsia="Palatino Linotype" w:hAnsi="Palatino Linotype" w:cs="Palatino Linotype"/>
          <w:b/>
        </w:rPr>
        <w:tab/>
      </w:r>
    </w:p>
    <w:p w:rsidR="00CF1B57" w:rsidRDefault="00661C3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rsidR="00CF1B57" w:rsidRDefault="00CF1B57">
      <w:pPr>
        <w:spacing w:line="360" w:lineRule="auto"/>
        <w:jc w:val="both"/>
        <w:rPr>
          <w:rFonts w:ascii="Palatino Linotype" w:eastAsia="Palatino Linotype" w:hAnsi="Palatino Linotype" w:cs="Palatino Linotype"/>
          <w:sz w:val="2"/>
          <w:szCs w:val="2"/>
        </w:rPr>
      </w:pPr>
    </w:p>
    <w:p w:rsidR="00CF1B57" w:rsidRDefault="00661C30">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w:t>
      </w:r>
      <w:r>
        <w:rPr>
          <w:rFonts w:ascii="Palatino Linotype" w:eastAsia="Palatino Linotype" w:hAnsi="Palatino Linotype" w:cs="Palatino Linotype"/>
          <w:i/>
          <w:sz w:val="22"/>
          <w:szCs w:val="22"/>
        </w:rPr>
        <w:lastRenderedPageBreak/>
        <w:t>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rsidR="00CF1B57" w:rsidRDefault="00661C30">
      <w:pPr>
        <w:spacing w:before="240" w:after="240" w:line="360" w:lineRule="auto"/>
        <w:ind w:right="51"/>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Anexos: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los presentes recursos de revisión se turnó por el sistema electrónico del Instituto de Transparencia, Acceso a la Información Pública y Protección de Datos Personales del Estado de México y Municipios, a los Comisionados</w:t>
      </w:r>
      <w:r>
        <w:rPr>
          <w:rFonts w:ascii="Palatino Linotype" w:eastAsia="Palatino Linotype" w:hAnsi="Palatino Linotype" w:cs="Palatino Linotype"/>
          <w:b/>
        </w:rPr>
        <w:t xml:space="preserve"> Guadalupe Ramírez Peña </w:t>
      </w:r>
      <w:r>
        <w:rPr>
          <w:rFonts w:ascii="Palatino Linotype" w:eastAsia="Palatino Linotype" w:hAnsi="Palatino Linotype" w:cs="Palatino Linotype"/>
        </w:rPr>
        <w:lastRenderedPageBreak/>
        <w:t>y</w:t>
      </w:r>
      <w:r>
        <w:rPr>
          <w:rFonts w:ascii="Palatino Linotype" w:eastAsia="Palatino Linotype" w:hAnsi="Palatino Linotype" w:cs="Palatino Linotype"/>
          <w:b/>
        </w:rPr>
        <w:t xml:space="preserve"> José Martínez Vilchis, </w:t>
      </w:r>
      <w:r>
        <w:rPr>
          <w:rFonts w:ascii="Palatino Linotype" w:eastAsia="Palatino Linotype" w:hAnsi="Palatino Linotype" w:cs="Palatino Linotype"/>
        </w:rPr>
        <w:t xml:space="preserve">a efecto de que analizaran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rsidR="00CF1B57" w:rsidRDefault="00661C30">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6.</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 los Recursos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Con fecha</w:t>
      </w:r>
      <w:r>
        <w:rPr>
          <w:rFonts w:ascii="Palatino Linotype" w:eastAsia="Palatino Linotype" w:hAnsi="Palatino Linotype" w:cs="Palatino Linotype"/>
          <w:b/>
        </w:rPr>
        <w:t xml:space="preserve"> cuatro de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rsidR="00CF1B57" w:rsidRDefault="00661C3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Acumulación de los recursos de revisión. </w:t>
      </w:r>
      <w:r>
        <w:rPr>
          <w:rFonts w:ascii="Palatino Linotype" w:eastAsia="Palatino Linotype" w:hAnsi="Palatino Linotype" w:cs="Palatino Linotype"/>
        </w:rPr>
        <w:t xml:space="preserve">Al respecto cabe señalar, que el Pleno de este Instituto, en la </w:t>
      </w:r>
      <w:r>
        <w:rPr>
          <w:rFonts w:ascii="Palatino Linotype" w:eastAsia="Palatino Linotype" w:hAnsi="Palatino Linotype" w:cs="Palatino Linotype"/>
          <w:b/>
        </w:rPr>
        <w:t>Novena Sesión Ordinaria</w:t>
      </w:r>
      <w:r>
        <w:rPr>
          <w:rFonts w:ascii="Palatino Linotype" w:eastAsia="Palatino Linotype" w:hAnsi="Palatino Linotype" w:cs="Palatino Linotype"/>
        </w:rPr>
        <w:t xml:space="preserve"> de fecha</w:t>
      </w:r>
      <w:r>
        <w:rPr>
          <w:rFonts w:ascii="Palatino Linotype" w:eastAsia="Palatino Linotype" w:hAnsi="Palatino Linotype" w:cs="Palatino Linotype"/>
          <w:b/>
        </w:rPr>
        <w:t xml:space="preserve"> nueve de marzo de dos mil veintidós</w:t>
      </w:r>
      <w:r>
        <w:rPr>
          <w:rFonts w:ascii="Palatino Linotype" w:eastAsia="Palatino Linotype" w:hAnsi="Palatino Linotype" w:cs="Palatino Linotype"/>
        </w:rPr>
        <w:t xml:space="preserve">, ordenó la acumulación de los expedientes citados y el turno de los mismos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para que formulara y presentara el proyecto de resolución correspondiente, notificándose a las partes.</w:t>
      </w:r>
    </w:p>
    <w:p w:rsidR="00CF1B57" w:rsidRDefault="00661C30">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Lo anterior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rsidR="00CF1B57" w:rsidRDefault="00661C30">
      <w:pPr>
        <w:widowControl w:val="0"/>
        <w:spacing w:before="240" w:after="24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rsidR="00CF1B57" w:rsidRDefault="00661C30">
      <w:pPr>
        <w:widowControl w:val="0"/>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rPr>
        <w:t>cuando las partes</w:t>
      </w:r>
      <w:r>
        <w:rPr>
          <w:rFonts w:ascii="Palatino Linotype" w:eastAsia="Palatino Linotype" w:hAnsi="Palatino Linotype" w:cs="Palatino Linotype"/>
          <w:i/>
          <w:sz w:val="22"/>
          <w:szCs w:val="22"/>
        </w:rPr>
        <w:t xml:space="preserve"> o los actos administrativos sean iguales, se trate de actos conexos o </w:t>
      </w:r>
      <w:r>
        <w:rPr>
          <w:rFonts w:ascii="Palatino Linotype" w:eastAsia="Palatino Linotype" w:hAnsi="Palatino Linotype" w:cs="Palatino Linotype"/>
          <w:b/>
          <w:i/>
          <w:sz w:val="22"/>
          <w:szCs w:val="22"/>
        </w:rPr>
        <w:t>resulte conveniente el trámite unificado de los asuntos, para evitar la emisión de resoluciones contradictorias</w:t>
      </w:r>
      <w:r>
        <w:rPr>
          <w:rFonts w:ascii="Palatino Linotype" w:eastAsia="Palatino Linotype" w:hAnsi="Palatino Linotype" w:cs="Palatino Linotype"/>
          <w:i/>
          <w:sz w:val="22"/>
          <w:szCs w:val="22"/>
        </w:rPr>
        <w:t>. La misma regla se aplicará, en lo conducente, para la separación de los expedientes.”</w:t>
      </w:r>
    </w:p>
    <w:p w:rsidR="00CF1B57" w:rsidRDefault="00661C30">
      <w:pPr>
        <w:widowControl w:val="0"/>
        <w:spacing w:before="120" w:after="120"/>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rsidR="00CF1B57" w:rsidRDefault="00661C30">
      <w:pPr>
        <w:widowControl w:val="0"/>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195.-</w:t>
      </w:r>
      <w:r>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 xml:space="preserve">De las constancias que obran en los expedientes electrónicos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rsidR="00CF1B57" w:rsidRDefault="00661C30">
      <w:pPr>
        <w:spacing w:before="240" w:after="240"/>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10225" cy="1609725"/>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17560"/>
                    <a:stretch>
                      <a:fillRect/>
                    </a:stretch>
                  </pic:blipFill>
                  <pic:spPr>
                    <a:xfrm>
                      <a:off x="0" y="0"/>
                      <a:ext cx="5610225" cy="1609725"/>
                    </a:xfrm>
                    <a:prstGeom prst="rect">
                      <a:avLst/>
                    </a:prstGeom>
                    <a:ln/>
                  </pic:spPr>
                </pic:pic>
              </a:graphicData>
            </a:graphic>
          </wp:inline>
        </w:drawing>
      </w:r>
    </w:p>
    <w:p w:rsidR="00CF1B57" w:rsidRDefault="00661C30">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rPr>
        <w:lastRenderedPageBreak/>
        <w:drawing>
          <wp:inline distT="0" distB="0" distL="0" distR="0">
            <wp:extent cx="5610225" cy="1571625"/>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19117"/>
                    <a:stretch>
                      <a:fillRect/>
                    </a:stretch>
                  </pic:blipFill>
                  <pic:spPr>
                    <a:xfrm>
                      <a:off x="0" y="0"/>
                      <a:ext cx="5610225" cy="1571625"/>
                    </a:xfrm>
                    <a:prstGeom prst="rect">
                      <a:avLst/>
                    </a:prstGeom>
                    <a:ln/>
                  </pic:spPr>
                </pic:pic>
              </a:graphicData>
            </a:graphic>
          </wp:inline>
        </w:drawing>
      </w:r>
    </w:p>
    <w:p w:rsidR="00CF1B57" w:rsidRDefault="00661C3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fechas </w:t>
      </w:r>
      <w:r>
        <w:rPr>
          <w:rFonts w:ascii="Palatino Linotype" w:eastAsia="Palatino Linotype" w:hAnsi="Palatino Linotype" w:cs="Palatino Linotype"/>
          <w:b/>
        </w:rPr>
        <w:t>diecisiete de marzo y tres de junio de dos mil veintidós,</w:t>
      </w:r>
      <w:r>
        <w:rPr>
          <w:rFonts w:ascii="Palatino Linotype" w:eastAsia="Palatino Linotype" w:hAnsi="Palatino Linotype" w:cs="Palatino Linotype"/>
        </w:rPr>
        <w:t xml:space="preserve"> se notificó el cierre de instrucción en términos de la fracción VI del artículo 185 de la Ley de Transparencia y Acceso a la Información Pública del Estado de México y Municipios.</w:t>
      </w:r>
    </w:p>
    <w:p w:rsidR="00CF1B57" w:rsidRDefault="00661C30">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10.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trece de mayo de dos mil veintidós</w:t>
      </w:r>
      <w:r>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CF1B57" w:rsidRDefault="00661C30">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F1B57" w:rsidRDefault="00661C30">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 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F1B57" w:rsidRDefault="00661C30">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 los Recursos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previstos en el artículo 178 de la Ley de Transparencia y Acceso a la Información </w:t>
      </w:r>
      <w:r>
        <w:rPr>
          <w:rFonts w:ascii="Palatino Linotype" w:eastAsia="Palatino Linotype" w:hAnsi="Palatino Linotype" w:cs="Palatino Linotype"/>
        </w:rPr>
        <w:lastRenderedPageBreak/>
        <w:t xml:space="preserve">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las respuestas a las solicitudes de información el día </w:t>
      </w:r>
      <w:r>
        <w:rPr>
          <w:rFonts w:ascii="Palatino Linotype" w:eastAsia="Palatino Linotype" w:hAnsi="Palatino Linotype" w:cs="Palatino Linotype"/>
          <w:b/>
        </w:rPr>
        <w:t>diez</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febrero de dos mil veintidós, </w:t>
      </w:r>
      <w:r>
        <w:rPr>
          <w:rFonts w:ascii="Palatino Linotype" w:eastAsia="Palatino Linotype" w:hAnsi="Palatino Linotype" w:cs="Palatino Linotype"/>
        </w:rPr>
        <w:t xml:space="preserve">mientras que los recursos de revisión interpuestos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tuvieron por presentados el día </w:t>
      </w:r>
      <w:r>
        <w:rPr>
          <w:rFonts w:ascii="Palatino Linotype" w:eastAsia="Palatino Linotype" w:hAnsi="Palatino Linotype" w:cs="Palatino Linotype"/>
          <w:b/>
        </w:rPr>
        <w:t xml:space="preserve"> veintiocho de febrero de dos mil veintidós</w:t>
      </w:r>
      <w:r>
        <w:rPr>
          <w:rFonts w:ascii="Palatino Linotype" w:eastAsia="Palatino Linotype" w:hAnsi="Palatino Linotype" w:cs="Palatino Linotype"/>
        </w:rPr>
        <w:t>, esto es, al décimo segundo día hábil posterior en que tuvo conocimiento de la respuesta impugnada, en cada uno de las solicitudes de información.</w:t>
      </w:r>
    </w:p>
    <w:p w:rsidR="00CF1B57" w:rsidRDefault="00661C30">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 xml:space="preserve">En este sentido, al considerar las fechas en que se formularon las solicitudes y la fecha en que respondió a estas el </w:t>
      </w:r>
      <w:r>
        <w:rPr>
          <w:rFonts w:ascii="Palatino Linotype" w:eastAsia="Palatino Linotype" w:hAnsi="Palatino Linotype" w:cs="Palatino Linotype"/>
          <w:b/>
        </w:rPr>
        <w:t>Sujeto Obligado</w:t>
      </w:r>
      <w:r>
        <w:rPr>
          <w:rFonts w:ascii="Palatino Linotype" w:eastAsia="Palatino Linotype" w:hAnsi="Palatino Linotype" w:cs="Palatino Linotype"/>
        </w:rPr>
        <w:t>; así como la fecha en que se interpusieron los recursos de revisión, se concluye que los presentes recursos de revisión se encuentran dentro de los márgenes temporales previstos las disposiciones legales referidas.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efecto de sustentar lo anterior, es de suma importancia mencionar que si bien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 proporcionó un nombre </w:t>
      </w:r>
      <w:r>
        <w:rPr>
          <w:rFonts w:ascii="Palatino Linotype" w:eastAsia="Palatino Linotype" w:hAnsi="Palatino Linotype" w:cs="Palatino Linotype"/>
        </w:rPr>
        <w:t xml:space="preserve">como se advierte en el detalle de </w:t>
      </w:r>
      <w:r>
        <w:rPr>
          <w:rFonts w:ascii="Palatino Linotype" w:eastAsia="Palatino Linotype" w:hAnsi="Palatino Linotype" w:cs="Palatino Linotype"/>
        </w:rPr>
        <w:lastRenderedPageBreak/>
        <w:t>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F1B57" w:rsidRDefault="00661C30">
      <w:pPr>
        <w:spacing w:before="120" w:after="120"/>
        <w:ind w:left="851" w:right="902"/>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Las solicitudes anónimas</w:t>
      </w:r>
      <w:r>
        <w:rPr>
          <w:rFonts w:ascii="Palatino Linotype" w:eastAsia="Palatino Linotype" w:hAnsi="Palatino Linotype" w:cs="Palatino Linotype"/>
          <w:i/>
          <w:sz w:val="22"/>
          <w:szCs w:val="22"/>
        </w:rPr>
        <w:t xml:space="preserve">, con nombre incompleto o seudónimo </w:t>
      </w:r>
      <w:r>
        <w:rPr>
          <w:rFonts w:ascii="Palatino Linotype" w:eastAsia="Palatino Linotype" w:hAnsi="Palatino Linotype" w:cs="Palatino Linotype"/>
          <w:b/>
          <w:i/>
          <w:sz w:val="22"/>
          <w:szCs w:val="22"/>
        </w:rPr>
        <w:t>serán procedentes para su trámite por parte del sujeto obligado ante quien se presente</w:t>
      </w:r>
      <w:r>
        <w:rPr>
          <w:rFonts w:ascii="Palatino Linotype" w:eastAsia="Palatino Linotype" w:hAnsi="Palatino Linotype" w:cs="Palatino Linotype"/>
          <w:i/>
          <w:sz w:val="22"/>
          <w:szCs w:val="22"/>
        </w:rPr>
        <w:t>. No podrá requerirse información adicional con motivo del nombre proporcionado por el solicitante."</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por lo que, en el presente caso, al haber sido presentado el recurso de revisión vía SAIMEX, dicho requisito resulta innecesario.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 los recursos, según lo manifestado por el recurrente en sus motivos de inconformidad, de acuerdo al artículo 179, fracción I del ordenamiento legal citado, que a la letra dice: </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La negativa a la información solicitada;”</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Análisis de las causales de sobreseimiento. </w:t>
      </w:r>
      <w:r>
        <w:rPr>
          <w:rFonts w:ascii="Palatino Linotype" w:eastAsia="Palatino Linotype" w:hAnsi="Palatino Linotype" w:cs="Palatino Linotype"/>
        </w:rPr>
        <w:t xml:space="preserve">De manera preliminar  conviene analizar si se actualiza alguna de las causales de sobreseimiento del recurso de revisión de conformidad con lo establecido en el artículo 192 de la Ley Transparencia y Acceso a la Información Pública del Estado de México y Municipios, señala que el Recurso de Revisión será sobreseído en todo o en parte, cuando, una vez admitido, se actualice alguno de los siguientes supuestos: </w:t>
      </w:r>
    </w:p>
    <w:p w:rsidR="00CF1B57" w:rsidRDefault="00661C30">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El Recurrente se desista expresamente; </w:t>
      </w:r>
    </w:p>
    <w:p w:rsidR="00CF1B57" w:rsidRDefault="00661C30">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Recurrente fallezca o, tratándose de personas morales se disuelva; </w:t>
      </w:r>
    </w:p>
    <w:p w:rsidR="00CF1B57" w:rsidRDefault="00661C30">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El Sujeto Obligado modifique la respuesta o la revoque, de tal manera que el recurso de revisión quede sin materia; </w:t>
      </w:r>
    </w:p>
    <w:p w:rsidR="00CF1B57" w:rsidRDefault="00661C30">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Admitido el recurso de revisión, aparezca alguna causal de improcedencia; y, </w:t>
      </w:r>
    </w:p>
    <w:p w:rsidR="00CF1B57" w:rsidRDefault="00661C30">
      <w:pPr>
        <w:spacing w:before="240" w:after="240" w:line="276"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Cuando por cualquier motivo quede sin materia el recurso de revisión.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de los autos que corren agregados a los expedientes en los que se actúa, no fue posible advertir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hubiera desistido, fallecido o hubiera aparecido una causal de improcedencia durante el trámite del presente Recurso, por lo que no se actualizan dichas causales de sobreseimiento.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susceptible de análisis la actualización del supuesto jurídico previsto en la fracción V, del artículo 192, de la Ley en cita, mismo que dispone que el Recurso de Revisión será sobreseído cuando por cualquier motivo quede sin materia el </w:t>
      </w:r>
      <w:r>
        <w:rPr>
          <w:rFonts w:ascii="Palatino Linotype" w:eastAsia="Palatino Linotype" w:hAnsi="Palatino Linotype" w:cs="Palatino Linotype"/>
        </w:rPr>
        <w:lastRenderedPageBreak/>
        <w:t>recurso de revisión. Ello derivado de las documentales que integran los expedientes que nos ocupan.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y a fin de verificar si el acto descrito dejó sin materia el presente Recurso de Revisión, se procede a la relatoría de las actuaciones efectuadas por las partes durante el procedimiento de acceso a la información pública, con el propósito de dar claridad en el tratamiento del tema en estudio.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solicitudes de información motivo de los recursos de revisión que ahora se resuelven, se advierte que la persona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proporcione información consistente en lo siguiente:</w:t>
      </w:r>
    </w:p>
    <w:p w:rsidR="00CF1B57" w:rsidRDefault="00661C30">
      <w:pPr>
        <w:tabs>
          <w:tab w:val="left" w:pos="1134"/>
        </w:tabs>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la persona referida en las solicitudes:</w:t>
      </w:r>
    </w:p>
    <w:p w:rsidR="00CF1B57" w:rsidRDefault="00661C30">
      <w:pPr>
        <w:numPr>
          <w:ilvl w:val="0"/>
          <w:numId w:val="1"/>
        </w:numPr>
        <w:pBdr>
          <w:top w:val="nil"/>
          <w:left w:val="nil"/>
          <w:bottom w:val="nil"/>
          <w:right w:val="nil"/>
          <w:between w:val="nil"/>
        </w:pBdr>
        <w:spacing w:before="240" w:line="360" w:lineRule="auto"/>
        <w:ind w:right="49"/>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rPr>
        <w:t>Comprobante de pago de agua realizado el 03 de febrero de 2022.</w:t>
      </w:r>
    </w:p>
    <w:p w:rsidR="00CF1B57" w:rsidRDefault="00661C30">
      <w:pPr>
        <w:numPr>
          <w:ilvl w:val="0"/>
          <w:numId w:val="1"/>
        </w:num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Todos los comprobantes de pago de agua.</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la Unidad de Transparencia, remitió, en versión pública tres Comprobantes Fiscales Digitales por Internet por pago de derechos del servicio de agua potable y alcantarillado, cubiertos por la persona referida en la solicitud de información, en fechas veintiséis de noviembre de dos mil veinte, catorce de enero de dos mil veintiuno y tres de enero de dos mil veintidós.</w:t>
      </w:r>
    </w:p>
    <w:p w:rsidR="00CF1B57" w:rsidRDefault="00661C3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agregó el Acta de la Primera Sesión Extraordinaria del Comité de Transparencia celebrada el nueve de febrero de dos mil veintidós mediante la cual, como puntos tres y cuatro del orden del día, se sometió a consideración de los integrantes la clasificación de nombre, número de cuenta, código QR, RFC, Número d serie del CSD, Sello digital, Serie y Folio, como información como confidencial, al constituir datos personales que identifican o hacen identificable a una persona física, con la finalidad de emitir la versión pública de los documentos mediante los cuales se dio cumplimiento a las solicitudes con número de folio 00001/OASMETEPEC/IP/2022 y 00002/OASMETEPEC/IP/2022, aprobándose por unanimidad de votos la clasificación mediante  los acuerdos CT/SEO/12/2022 y  CT/SEO/13/2022. </w:t>
      </w:r>
    </w:p>
    <w:p w:rsidR="00CF1B57" w:rsidRDefault="00661C30">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argumentos, al no estar conforme con los términos de la respuesta proporcionada, el particular interpuso los recursos de revisión que nos ocupan, mediante los cuales señaló como motivo de inconformidad,  que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era deficiente al incumplir con las diversas disposiciones señaladas por la Ley de Transparencia y Acceso a la Información Pública y demás normatividad aplicable, solicitando al Pleno del Instituto de Transparencia, Acceso a la Información Pública y Protección de Datos Personales del Estado de México y Municipios tenga a bien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entrega de la información solicitada, asimismo, de conformidad con el artículo 223 </w:t>
      </w:r>
      <w:r>
        <w:rPr>
          <w:rFonts w:ascii="Palatino Linotype" w:eastAsia="Palatino Linotype" w:hAnsi="Palatino Linotype" w:cs="Palatino Linotype"/>
        </w:rPr>
        <w:lastRenderedPageBreak/>
        <w:t xml:space="preserve">de la Ley de transparencia local, solicitó dar vista a la Contraloría Interna y Órgano de Control y Vigilancia en términos de la Ley de Responsabilidades de los Servidores Públicos del Estado y Municipios, para que determine el grado de responsabilidad en que hubiera incurrido el </w:t>
      </w:r>
      <w:r>
        <w:rPr>
          <w:rFonts w:ascii="Palatino Linotype" w:eastAsia="Palatino Linotype" w:hAnsi="Palatino Linotype" w:cs="Palatino Linotype"/>
          <w:b/>
        </w:rPr>
        <w:t>Sujeto Obligado.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tesitura, toda vez que la materia de las solicitudes, que versa sobre los comprobantes de pago de derechos por el servicio de agua realizados por una persona específica, y que en atención al requerimiento de información,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entregó, en versión pública, los Comprobantes Fiscales Digitales por Internet por pago de derechos del servicio de agua potable y alcantarillado correspondientes, a primera vista se entendería que el Derecho Humano de Acceso a la Información ha quedado satisfecho, en virtud de que fueron remitidos los documentos en los que se advierte la información solicitada.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dada la naturaleza de la información que se solicitó, es conveniente referir que la documentación comprobatoria del pago de derechos por el servicio de agua potable, alcantarillado y saneamiento, en poder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al relacionarse con </w:t>
      </w:r>
      <w:r>
        <w:rPr>
          <w:rFonts w:ascii="Palatino Linotype" w:eastAsia="Palatino Linotype" w:hAnsi="Palatino Linotype" w:cs="Palatino Linotype"/>
          <w:b/>
        </w:rPr>
        <w:t xml:space="preserve"> </w:t>
      </w:r>
      <w:r>
        <w:rPr>
          <w:rFonts w:ascii="Palatino Linotype" w:eastAsia="Palatino Linotype" w:hAnsi="Palatino Linotype" w:cs="Palatino Linotype"/>
        </w:rPr>
        <w:t>información generada en cumplimiento de las obligaciones fiscales de los particulares, y obtenida en ejercicio de las facultades de comprobación de las autoridades competentes,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corresponde con información fiscal que debe ser clasificada como confidencial al actualizar el supuesto previsto en el artículo 143, </w:t>
      </w:r>
      <w:r>
        <w:rPr>
          <w:rFonts w:ascii="Palatino Linotype" w:eastAsia="Palatino Linotype" w:hAnsi="Palatino Linotype" w:cs="Palatino Linotype"/>
        </w:rPr>
        <w:lastRenderedPageBreak/>
        <w:t>fracción II, de la Ley de Transparencia y Acceso a la Información Pública del Estado de México y Municipios, que es del tenor literal siguiente:</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xml:space="preserve">. Para los efectos de esta Ley </w:t>
      </w:r>
      <w:r>
        <w:rPr>
          <w:rFonts w:ascii="Palatino Linotype" w:eastAsia="Palatino Linotype" w:hAnsi="Palatino Linotype" w:cs="Palatino Linotype"/>
          <w:b/>
          <w:i/>
          <w:sz w:val="22"/>
          <w:szCs w:val="22"/>
        </w:rPr>
        <w:t>se considera información confidencial,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clasificada como tal, de manera permanente</w:t>
      </w:r>
      <w:r>
        <w:rPr>
          <w:rFonts w:ascii="Palatino Linotype" w:eastAsia="Palatino Linotype" w:hAnsi="Palatino Linotype" w:cs="Palatino Linotype"/>
          <w:i/>
          <w:sz w:val="22"/>
          <w:szCs w:val="22"/>
        </w:rPr>
        <w:t>, por su naturaleza, cuando:</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secretos</w:t>
      </w:r>
      <w:r>
        <w:rPr>
          <w:rFonts w:ascii="Palatino Linotype" w:eastAsia="Palatino Linotype" w:hAnsi="Palatino Linotype" w:cs="Palatino Linotype"/>
          <w:i/>
          <w:sz w:val="22"/>
          <w:szCs w:val="22"/>
        </w:rPr>
        <w:t xml:space="preserve"> bancario, fiduciario, industrial, comercial, </w:t>
      </w:r>
      <w:r>
        <w:rPr>
          <w:rFonts w:ascii="Palatino Linotype" w:eastAsia="Palatino Linotype" w:hAnsi="Palatino Linotype" w:cs="Palatino Linotype"/>
          <w:b/>
          <w:i/>
          <w:sz w:val="22"/>
          <w:szCs w:val="22"/>
        </w:rPr>
        <w:t>fiscal,</w:t>
      </w:r>
      <w:r>
        <w:rPr>
          <w:rFonts w:ascii="Palatino Linotype" w:eastAsia="Palatino Linotype" w:hAnsi="Palatino Linotype" w:cs="Palatino Linotype"/>
          <w:i/>
          <w:sz w:val="22"/>
          <w:szCs w:val="22"/>
        </w:rPr>
        <w:t xml:space="preserve"> bursátil y postal, cuya titularidad corresponda a particulares, sujetos de derecho internacional o a sujetos obligados cuando no involucren el ejercicio de recursos públicos; y”</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 efecto de sustentar lo anterior, es necesario señalar que, de conformidad con el artículo 55 del Código Financiero del Estado de México, los servidores públicos que intervienen en trámites relativos a la aplicación de dicho Código, están obligados a guardar en absoluta reserva o confidencialidad, lo concerniente a las declaraciones y datos que proporcionen los particulares, o terceros relacionados con ellos, así como los obtenidos en el ejercicio de las facultades de comprobación, a saber:</w:t>
      </w:r>
    </w:p>
    <w:p w:rsidR="00CF1B57" w:rsidRDefault="00661C30">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55.- Los servidores públicos que intervengan en trámites</w:t>
      </w:r>
      <w:r>
        <w:rPr>
          <w:rFonts w:ascii="Palatino Linotype" w:eastAsia="Palatino Linotype" w:hAnsi="Palatino Linotype" w:cs="Palatino Linotype"/>
          <w:i/>
          <w:sz w:val="22"/>
          <w:szCs w:val="22"/>
        </w:rPr>
        <w:t xml:space="preserve"> relativos a la aplicación de este Código, están obligados a </w:t>
      </w:r>
      <w:r>
        <w:rPr>
          <w:rFonts w:ascii="Palatino Linotype" w:eastAsia="Palatino Linotype" w:hAnsi="Palatino Linotype" w:cs="Palatino Linotype"/>
          <w:b/>
          <w:i/>
          <w:sz w:val="22"/>
          <w:szCs w:val="22"/>
          <w:u w:val="single"/>
        </w:rPr>
        <w:t>guardar en absoluta reserva o confidencialidad</w:t>
      </w:r>
      <w:r>
        <w:rPr>
          <w:rFonts w:ascii="Palatino Linotype" w:eastAsia="Palatino Linotype" w:hAnsi="Palatino Linotype" w:cs="Palatino Linotype"/>
          <w:i/>
          <w:sz w:val="22"/>
          <w:szCs w:val="22"/>
        </w:rPr>
        <w:t xml:space="preserve">, según sea el caso, </w:t>
      </w:r>
      <w:r>
        <w:rPr>
          <w:rFonts w:ascii="Palatino Linotype" w:eastAsia="Palatino Linotype" w:hAnsi="Palatino Linotype" w:cs="Palatino Linotype"/>
          <w:b/>
          <w:i/>
          <w:sz w:val="22"/>
          <w:szCs w:val="22"/>
        </w:rPr>
        <w:t>lo concerniente a las declaraciones y datos que proporcionen los particulares</w:t>
      </w:r>
      <w:r>
        <w:rPr>
          <w:rFonts w:ascii="Palatino Linotype" w:eastAsia="Palatino Linotype" w:hAnsi="Palatino Linotype" w:cs="Palatino Linotype"/>
          <w:i/>
          <w:sz w:val="22"/>
          <w:szCs w:val="22"/>
        </w:rPr>
        <w:t xml:space="preserve"> o terceros relacionados con ellos, así como los obtenidos en el ejercicio de las facultades de comprobación.”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su parte el artículo 129 del Código Financiero del Estado de México, </w:t>
      </w:r>
      <w:proofErr w:type="gramStart"/>
      <w:r>
        <w:rPr>
          <w:rFonts w:ascii="Palatino Linotype" w:eastAsia="Palatino Linotype" w:hAnsi="Palatino Linotype" w:cs="Palatino Linotype"/>
        </w:rPr>
        <w:t>las personas físicas o jurídico</w:t>
      </w:r>
      <w:proofErr w:type="gramEnd"/>
      <w:r>
        <w:rPr>
          <w:rFonts w:ascii="Palatino Linotype" w:eastAsia="Palatino Linotype" w:hAnsi="Palatino Linotype" w:cs="Palatino Linotype"/>
        </w:rPr>
        <w:t xml:space="preserve"> colectivas que reciban, entre otros servicios, los de suministro de agua potable, drenaje y alcantarillado, están obligadas al pago de derechos, a saber:</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Están obligadas al pago de los derechos</w:t>
      </w:r>
      <w:r>
        <w:rPr>
          <w:rFonts w:ascii="Palatino Linotype" w:eastAsia="Palatino Linotype" w:hAnsi="Palatino Linotype" w:cs="Palatino Linotype"/>
          <w:i/>
          <w:sz w:val="22"/>
          <w:szCs w:val="22"/>
        </w:rPr>
        <w:t xml:space="preserve"> previstos en esta sección, las personas físicas o jurídicas colectivas que reciban cualesquiera de los siguientes servicios:</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Suministro de agua potable</w:t>
      </w:r>
      <w:r>
        <w:rPr>
          <w:rFonts w:ascii="Palatino Linotype" w:eastAsia="Palatino Linotype" w:hAnsi="Palatino Linotype" w:cs="Palatino Linotype"/>
          <w:i/>
          <w:sz w:val="22"/>
          <w:szCs w:val="22"/>
        </w:rPr>
        <w:t xml:space="preserve">.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Suministro de agua en bloque proporcionada por autoridades municipales o sus descentralizadas a conjuntos urbanos y lotificaciones para condominio.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Drenaje y alcantarillado.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Autorización de derivaciones.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Por el control para el establecimiento de los sistemas de agua potable y de alcantarillado en conjuntos urbanos y lotificaciones para condominio.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Conexión de la toma para el suministro de agua en bloque proporcionada por autoridades municipales o sus descentralizadas.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Recepción de los caudales de aguas residuales para su tratamiento.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Reparación de aparatos medidores de consumo de agua.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w:t>
      </w:r>
      <w:r>
        <w:rPr>
          <w:rFonts w:ascii="Palatino Linotype" w:eastAsia="Palatino Linotype" w:hAnsi="Palatino Linotype" w:cs="Palatino Linotype"/>
          <w:i/>
          <w:sz w:val="22"/>
          <w:szCs w:val="22"/>
        </w:rPr>
        <w:t xml:space="preserve">. Instalaciones de aparatos medidores de agua.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w:t>
      </w:r>
      <w:r>
        <w:rPr>
          <w:rFonts w:ascii="Palatino Linotype" w:eastAsia="Palatino Linotype" w:hAnsi="Palatino Linotype" w:cs="Palatino Linotype"/>
          <w:i/>
          <w:sz w:val="22"/>
          <w:szCs w:val="22"/>
        </w:rPr>
        <w:t xml:space="preserve">. Dictamen de factibilidad de servicios para conjuntos urbanos, subdivisiones y lotificaciones para condominios.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w:t>
      </w:r>
      <w:r>
        <w:rPr>
          <w:rFonts w:ascii="Palatino Linotype" w:eastAsia="Palatino Linotype" w:hAnsi="Palatino Linotype" w:cs="Palatino Linotype"/>
          <w:i/>
          <w:sz w:val="22"/>
          <w:szCs w:val="22"/>
        </w:rPr>
        <w:t xml:space="preserve"> Reconexión o </w:t>
      </w:r>
      <w:proofErr w:type="spellStart"/>
      <w:r>
        <w:rPr>
          <w:rFonts w:ascii="Palatino Linotype" w:eastAsia="Palatino Linotype" w:hAnsi="Palatino Linotype" w:cs="Palatino Linotype"/>
          <w:i/>
          <w:sz w:val="22"/>
          <w:szCs w:val="22"/>
        </w:rPr>
        <w:t>reestablecimiento</w:t>
      </w:r>
      <w:proofErr w:type="spellEnd"/>
      <w:r>
        <w:rPr>
          <w:rFonts w:ascii="Palatino Linotype" w:eastAsia="Palatino Linotype" w:hAnsi="Palatino Linotype" w:cs="Palatino Linotype"/>
          <w:i/>
          <w:sz w:val="22"/>
          <w:szCs w:val="22"/>
        </w:rPr>
        <w:t xml:space="preserve"> a los sistemas de agua potable.</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w:t>
      </w:r>
      <w:r>
        <w:rPr>
          <w:rFonts w:ascii="Palatino Linotype" w:eastAsia="Palatino Linotype" w:hAnsi="Palatino Linotype" w:cs="Palatino Linotype"/>
          <w:i/>
          <w:sz w:val="22"/>
          <w:szCs w:val="22"/>
        </w:rPr>
        <w:t xml:space="preserve">. Conexión de agua y drenaje. </w:t>
      </w:r>
    </w:p>
    <w:p w:rsidR="00CF1B57" w:rsidRDefault="00661C30">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XIII</w:t>
      </w:r>
      <w:r>
        <w:rPr>
          <w:rFonts w:ascii="Palatino Linotype" w:eastAsia="Palatino Linotype" w:hAnsi="Palatino Linotype" w:cs="Palatino Linotype"/>
          <w:i/>
          <w:sz w:val="22"/>
          <w:szCs w:val="22"/>
        </w:rPr>
        <w:t xml:space="preserve">. Expedición o renovación del permiso de distribución de agua a través de pipa a consumidores. </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El consejo directivo del organismo público descentralizado de carácter municipal para la prestación de los servicios previstos en esta Sección, podrá acordar la realización de programas de apoyo a la regularización en el cumplimiento de obligaciones fiscales, mediante el otorgamiento de carácter general de subsidios de recargos y condonación de multas, que deberá proponerse a consideración del Ayuntamiento y, en su caso, publicarse en el Periódico Oficial.</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usuarios del servicio de agua potable, drenaje, alcantarillado y recepción de los caudales de aguas residuales para su tratamiento están obligados a realizar el pago de los derechos derivados de la prestación del servicio, cuando se encuentren asentados en áreas urbanizables, susceptibles de ser integradas a los centros de población. </w:t>
      </w:r>
    </w:p>
    <w:p w:rsidR="00CF1B57" w:rsidRDefault="00661C30">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contratación de los servicios de agua y drenaje solo será necesario presentar cualquier tipo de comprobante del domicilio donde se instalarán dichos servicios y, en estos casos, el recibo que expida la autoridad será innominado. Para que en el contrato y recibo se registre el nombre del usuario, se presentarán los documentos que acrediten la respectiva propiedad o legal posesión.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si bien los recibos por concepto del pago de derechos por el suministro de agua es información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administra, a estos no les reviste el carácter de información pública, toda vez que la secrecía de la misma, al constituir secreto fiscal, está protegida por disposición legal, por lo que tampoco puede ser entregada en versión pública, máxime que en el caso concreto, se trata del cumplimiento de una obligación por parte de una persona identificada en el ámbito de su esfera privada.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cabe mencionar que la información relacionada con el pago de contribuciones, no está sujeta a temporalidad alguna de clasificación y únicamente pueden tener acceso a ella los titulares de la misma, sus representantes legales y los </w:t>
      </w:r>
      <w:r>
        <w:rPr>
          <w:rFonts w:ascii="Palatino Linotype" w:eastAsia="Palatino Linotype" w:hAnsi="Palatino Linotype" w:cs="Palatino Linotype"/>
        </w:rPr>
        <w:lastRenderedPageBreak/>
        <w:t>servidores públicos facultados para ello, por lo que no procede su entrega vía una solicitud de acceso a información pública, ya que al no existir ejercicio de recursos públicos, este tipo de información no reviste un interés público, por el contrario entra dentro del aspecto privado de las personas físicas o jurídico-colectivas, pues la clasificación de la misma no se da en función del tipo de propietario sino de la naturaleza fiscal de la información.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a lo anterior, la tesis aislada con número 1a. CVII/2013 (10a.), emitida por la Primera Sala de la Suprema Corte de Justicia de la Nación, publicada en el Semanario Judicial de la Federación y su Gaceta, Libro XIX, Tomo 1, página 970, de abril de 2013, Décima Época, materia administrativa, de rubro y texto siguiente: </w:t>
      </w:r>
    </w:p>
    <w:p w:rsidR="00CF1B57" w:rsidRDefault="00661C30">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SECRETO FISCAL. CONCEPTO DE</w:t>
      </w:r>
      <w:r>
        <w:rPr>
          <w:rFonts w:ascii="Palatino Linotype" w:eastAsia="Palatino Linotype" w:hAnsi="Palatino Linotype" w:cs="Palatino Linotype"/>
          <w:i/>
          <w:sz w:val="22"/>
          <w:szCs w:val="22"/>
        </w:rPr>
        <w:t xml:space="preserve">. El artículo 69 del Código Fiscal de la Federación establece </w:t>
      </w:r>
      <w:r>
        <w:rPr>
          <w:rFonts w:ascii="Palatino Linotype" w:eastAsia="Palatino Linotype" w:hAnsi="Palatino Linotype" w:cs="Palatino Linotype"/>
          <w:b/>
          <w:i/>
          <w:sz w:val="22"/>
          <w:szCs w:val="22"/>
        </w:rPr>
        <w:t>la obligación de reserva absoluta en lo concerniente a la información tributaria del contribuyente</w:t>
      </w:r>
      <w:r>
        <w:rPr>
          <w:rFonts w:ascii="Palatino Linotype" w:eastAsia="Palatino Linotype" w:hAnsi="Palatino Linotype" w:cs="Palatino Linotype"/>
          <w:i/>
          <w:sz w:val="22"/>
          <w:szCs w:val="22"/>
        </w:rPr>
        <w:t xml:space="preserve"> (declaraciones y datos suministrados por los contribuyentes o por terceros con ellos relacionados, así como los obtenidos en el ejercicio de las facultades de comprobación), </w:t>
      </w:r>
      <w:r>
        <w:rPr>
          <w:rFonts w:ascii="Palatino Linotype" w:eastAsia="Palatino Linotype" w:hAnsi="Palatino Linotype" w:cs="Palatino Linotype"/>
          <w:b/>
          <w:i/>
          <w:sz w:val="22"/>
          <w:szCs w:val="22"/>
        </w:rPr>
        <w:t>a cargo del personal de la autoridad fiscal que intervenga en los trámites relativos a la aplicación de disposiciones fiscales</w:t>
      </w:r>
      <w:r>
        <w:rPr>
          <w:rFonts w:ascii="Palatino Linotype" w:eastAsia="Palatino Linotype" w:hAnsi="Palatino Linotype" w:cs="Palatino Linotype"/>
          <w:i/>
          <w:sz w:val="22"/>
          <w:szCs w:val="22"/>
        </w:rPr>
        <w:t xml:space="preserve">. Así, en principio, </w:t>
      </w:r>
      <w:r>
        <w:rPr>
          <w:rFonts w:ascii="Palatino Linotype" w:eastAsia="Palatino Linotype" w:hAnsi="Palatino Linotype" w:cs="Palatino Linotype"/>
          <w:b/>
          <w:i/>
          <w:sz w:val="22"/>
          <w:szCs w:val="22"/>
        </w:rPr>
        <w:t>dicha medida legislativa establece una concreta carga -de no hacer- impuesta al personal -servidores públicos- de la autoridad fiscal</w:t>
      </w:r>
      <w:r>
        <w:rPr>
          <w:rFonts w:ascii="Palatino Linotype" w:eastAsia="Palatino Linotype" w:hAnsi="Palatino Linotype" w:cs="Palatino Linotype"/>
          <w:i/>
          <w:sz w:val="22"/>
          <w:szCs w:val="22"/>
        </w:rPr>
        <w:t xml:space="preserve">, consistente en que al aplicar las disposiciones fiscales no deben revelar de ninguna forma información tributaria de los contribuyentes. En esto precisamente, desde la perspectiva del derecho positivo, consiste el `secreto fiscal´. Por ende, la intervención legislativa por la cual se estableció el secreto fiscal no se encuentra diseñada normativamente como un principio o derecho fundamental, sino más bien como una regla-fin en </w:t>
      </w:r>
      <w:r>
        <w:rPr>
          <w:rFonts w:ascii="Palatino Linotype" w:eastAsia="Palatino Linotype" w:hAnsi="Palatino Linotype" w:cs="Palatino Linotype"/>
          <w:i/>
          <w:sz w:val="22"/>
          <w:szCs w:val="22"/>
        </w:rPr>
        <w:lastRenderedPageBreak/>
        <w:t>los términos señalados. Pero la reserva del secreto fiscal no es absoluta, tal y como lo dispone el mismo artículo 69, con independencia de que en principio así se encuentre establecido textualmente, sino relativa al establecer dicho precepto distintas excepciones al respecto.”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aprecia, el </w:t>
      </w:r>
      <w:r>
        <w:rPr>
          <w:rFonts w:ascii="Palatino Linotype" w:eastAsia="Palatino Linotype" w:hAnsi="Palatino Linotype" w:cs="Palatino Linotype"/>
          <w:b/>
        </w:rPr>
        <w:t>secreto fiscal</w:t>
      </w:r>
      <w:r>
        <w:rPr>
          <w:rFonts w:ascii="Palatino Linotype" w:eastAsia="Palatino Linotype" w:hAnsi="Palatino Linotype" w:cs="Palatino Linotype"/>
        </w:rPr>
        <w:t xml:space="preserve"> consiste en la </w:t>
      </w:r>
      <w:r>
        <w:rPr>
          <w:rFonts w:ascii="Palatino Linotype" w:eastAsia="Palatino Linotype" w:hAnsi="Palatino Linotype" w:cs="Palatino Linotype"/>
          <w:b/>
        </w:rPr>
        <w:t>obligación de protección absoluta</w:t>
      </w:r>
      <w:r>
        <w:rPr>
          <w:rFonts w:ascii="Palatino Linotype" w:eastAsia="Palatino Linotype" w:hAnsi="Palatino Linotype" w:cs="Palatino Linotype"/>
        </w:rPr>
        <w:t xml:space="preserve"> en lo concerniente </w:t>
      </w:r>
      <w:r>
        <w:rPr>
          <w:rFonts w:ascii="Palatino Linotype" w:eastAsia="Palatino Linotype" w:hAnsi="Palatino Linotype" w:cs="Palatino Linotype"/>
          <w:b/>
        </w:rPr>
        <w:t>a la información tributaria del contribuyente</w:t>
      </w:r>
      <w:r>
        <w:rPr>
          <w:rFonts w:ascii="Palatino Linotype" w:eastAsia="Palatino Linotype" w:hAnsi="Palatino Linotype" w:cs="Palatino Linotype"/>
        </w:rPr>
        <w:t xml:space="preserve"> (declaraciones y datos suministrados por los contribuyentes o por terceros con ellos relacionados, así como los obtenidos en el ejercicio de las facultades de comprobación), </w:t>
      </w:r>
      <w:r>
        <w:rPr>
          <w:rFonts w:ascii="Palatino Linotype" w:eastAsia="Palatino Linotype" w:hAnsi="Palatino Linotype" w:cs="Palatino Linotype"/>
          <w:b/>
        </w:rPr>
        <w:t>a cargo del personal de la autoridad fiscal que intervenga en los trámites relativos a la aplicación de disposiciones fiscales.</w:t>
      </w:r>
      <w:r>
        <w:rPr>
          <w:rFonts w:ascii="Palatino Linotype" w:eastAsia="Palatino Linotype" w:hAnsi="Palatino Linotype" w:cs="Palatino Linotype"/>
        </w:rPr>
        <w:t xml:space="preserve"> </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cual, se traduce en una concreta carga -de no hacer- impuesta a la autoridad fiscal, consistente en que al aplicar las disposiciones fiscales no deben revelar de ninguna forma información tributaria de los contribuyentes. En tal sentido, no procede la entrega de la versión pública de los comprobantes de pago de derechos por el servicio de agua potable, de personas físicas identificadas o identificables, toda vez que se trata de información de contribuyentes sobre la cual prevalece el secreto fiscal.</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lo expuesto </w:t>
      </w:r>
      <w:r>
        <w:rPr>
          <w:rFonts w:ascii="Palatino Linotype" w:eastAsia="Palatino Linotype" w:hAnsi="Palatino Linotype" w:cs="Palatino Linotype"/>
          <w:b/>
        </w:rPr>
        <w:t>los documentos que obran en el Organismo Público Descentralizado para la Prestación de los Servicios de Agua Potable Alcantarillado y Saneamiento del Municipio de Metepec (en su calidad de autoridad fiscal</w:t>
      </w:r>
      <w:r>
        <w:rPr>
          <w:rFonts w:ascii="Palatino Linotype" w:eastAsia="Palatino Linotype" w:hAnsi="Palatino Linotype" w:cs="Palatino Linotype"/>
        </w:rPr>
        <w:t xml:space="preserve">), en donde conste el pago de derechos por el servicio de suministro </w:t>
      </w:r>
      <w:r>
        <w:rPr>
          <w:rFonts w:ascii="Palatino Linotype" w:eastAsia="Palatino Linotype" w:hAnsi="Palatino Linotype" w:cs="Palatino Linotype"/>
        </w:rPr>
        <w:lastRenderedPageBreak/>
        <w:t xml:space="preserve">de agua realizado por la persona referida en la solicitud en su carácter de los propietario o poseedor del bien inmueble, objeto de la prestación de dicho servicio,  actualiza el supuesto de confidencialidad establecido en el artículo 143, fracción II, de la Ley de Transparencia y Acceso a la Información Pública del Estado de México y Municipios, 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seguir el procedimiento establecido en el artículo 168 de la misma Ley y proporcionar el Acuerdo mediante el cual se confirmara la clasificación de las documentales solicitadas, como información confidencial.</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como se mencionó en líneas anteriores,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en respuesta tres Comprobantes Fiscales Digitales por Internet por pago de derechos del servicio de agua potable y alcantarillado de la persona referida en la solicitud, en versión pública, por lo que a nada práctico llevaría ordenar la emisión del respectivo acuerdo de clasificación, en virtud de que la información ya es del conocimiento de la persona solicitante, sin embargo, se conmina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para que en  próximas ocasiones se apegue a las disposiciones y procedimientos que la normatividad de la materia prevé a efecto de que no vuelva a vulnerar el Derecho a la protección de los datos personales que obran en su poder derivado del ejercicio de sus atribuciones.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mismo tiempo, al considerar este Organismo Garante que podía actualizarse alguna de las causas de responsabilidad administrativa para los servidores públicos, </w:t>
      </w:r>
      <w:r>
        <w:rPr>
          <w:rFonts w:ascii="Palatino Linotype" w:eastAsia="Palatino Linotype" w:hAnsi="Palatino Linotype" w:cs="Palatino Linotype"/>
        </w:rPr>
        <w:lastRenderedPageBreak/>
        <w:t xml:space="preserve">previstas en el artículo 165 de la Ley de Protección de Datos Personales en Posesión de Sujetos Obligados del Estado de México y Municipios, al haberse expuesto datos cuya naturaleza es de carácter confidencial, con fundamento en los artículos 190 y 223 de la Ley Adjetiva, resulta procedente dar vista al Titular de la Dirección General de Protección de Datos Personales de este Órgano, 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Sujeto Obligado para que este determine lo que conforme derecho corresponda, cuyo resultado deberá ser informado a este Instituto.</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no escapa de la óptica de este Órgano Garante que la persona solicitante, a través de sus recursos de revisión, solicitó a este Instituto, se le diera vista a la Contraloría Interna y Órgano de Control y Vigilancia en términos de la Ley de Responsabilidades de los Servidores Públicos del Estado y Municipios, a efectos de que dicho Órgano determinara el grado de responsabilidad, al considerar posibles </w:t>
      </w:r>
      <w:r>
        <w:rPr>
          <w:rFonts w:ascii="Palatino Linotype" w:eastAsia="Palatino Linotype" w:hAnsi="Palatino Linotype" w:cs="Palatino Linotype"/>
        </w:rPr>
        <w:lastRenderedPageBreak/>
        <w:t>causas de responsabilidad administrativa por el incumplimiento a las disposiciones previstas en los artículos 161, 163 segundo párrafo y 177 de la Ley de Transparencia y Acceso a la Información Pública del Estado de México y Municipios, sin embargo, es preciso hacer de su conocimiento que el recurso de revisión no es la vía para instaurar procedimientos de responsabilidad administrativa, no obstante, se dejan a salvo sus derechos para que en caso de considerarlo oportuno a sus intereses, ejerza dicha acción ante las instancias correspondientes.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los argumentos expuestos, si bien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respuesta proporcionó los Comprobantes Fiscales Digitales por Internet por pago de derechos del servicio de agua potable de la persona referida en la solicitud, que se traduce en lo solicitado, no es posible confirmar la respuesta, al tratarse de información que le reviste el carácter de confidencial, sin embargo, se actualiza la causal de sobreseimiento que prevé que por cualquier causa quede sin materia el Recurso de Revisión, ello en atención a que el presente asunto se inició bajo el motivo de inconformidad, que describe que se negó el acceso a la información,  lo cual resulta infundado, pues en análisis a la respuesta, la información entregada si coincide con lo solicitado; por tanto, es pertinente </w:t>
      </w:r>
      <w:r>
        <w:rPr>
          <w:rFonts w:ascii="Palatino Linotype" w:eastAsia="Palatino Linotype" w:hAnsi="Palatino Linotype" w:cs="Palatino Linotype"/>
          <w:b/>
        </w:rPr>
        <w:t xml:space="preserve">Sobreseer </w:t>
      </w:r>
      <w:r>
        <w:rPr>
          <w:rFonts w:ascii="Palatino Linotype" w:eastAsia="Palatino Linotype" w:hAnsi="Palatino Linotype" w:cs="Palatino Linotype"/>
        </w:rPr>
        <w:t xml:space="preserve">los presentes Recursos de Revisión en atención a que se actualizó la causal de sobreseimiento prevista en el artículo 192 fracción V de la Ley de Transparencia y Acceso a la Información Pública del Estado de México y Municipios citada con antelación, en atención a que los </w:t>
      </w:r>
      <w:r>
        <w:rPr>
          <w:rFonts w:ascii="Palatino Linotype" w:eastAsia="Palatino Linotype" w:hAnsi="Palatino Linotype" w:cs="Palatino Linotype"/>
        </w:rPr>
        <w:lastRenderedPageBreak/>
        <w:t>medios de impugnación quedaron sin materia, ya que los motivos de inconformidad resultaron infundados y desvirtuados.</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F1B57" w:rsidRDefault="00661C30">
      <w:pPr>
        <w:numPr>
          <w:ilvl w:val="0"/>
          <w:numId w:val="2"/>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CF1B57" w:rsidRDefault="00661C3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Se</w:t>
      </w:r>
      <w:r>
        <w:rPr>
          <w:rFonts w:ascii="Palatino Linotype" w:eastAsia="Palatino Linotype" w:hAnsi="Palatino Linotype" w:cs="Palatino Linotype"/>
          <w:b/>
        </w:rPr>
        <w:t xml:space="preserve"> Sobreseen </w:t>
      </w:r>
      <w:r>
        <w:rPr>
          <w:rFonts w:ascii="Palatino Linotype" w:eastAsia="Palatino Linotype" w:hAnsi="Palatino Linotype" w:cs="Palatino Linotype"/>
        </w:rPr>
        <w:t xml:space="preserve">los recursos de revisión número </w:t>
      </w:r>
      <w:r>
        <w:rPr>
          <w:rFonts w:ascii="Palatino Linotype" w:eastAsia="Palatino Linotype" w:hAnsi="Palatino Linotype" w:cs="Palatino Linotype"/>
          <w:b/>
        </w:rPr>
        <w:t xml:space="preserve">02289/INFOEM/IP/RR/2022 </w:t>
      </w:r>
      <w:r>
        <w:rPr>
          <w:rFonts w:ascii="Palatino Linotype" w:eastAsia="Palatino Linotype" w:hAnsi="Palatino Linotype" w:cs="Palatino Linotype"/>
        </w:rPr>
        <w:t xml:space="preserve">y </w:t>
      </w:r>
      <w:r>
        <w:rPr>
          <w:rFonts w:ascii="Palatino Linotype" w:eastAsia="Palatino Linotype" w:hAnsi="Palatino Linotype" w:cs="Palatino Linotype"/>
          <w:b/>
        </w:rPr>
        <w:t xml:space="preserve">02290/INFOEM/IP/RR/2022,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Tercero </w:t>
      </w:r>
      <w:r>
        <w:rPr>
          <w:rFonts w:ascii="Palatino Linotype" w:eastAsia="Palatino Linotype" w:hAnsi="Palatino Linotype" w:cs="Palatino Linotype"/>
        </w:rPr>
        <w:t>de la presente resolución, por haber quedado sin materia al actualizar el supuesto previsto en artículo 192, fracción V de la Ley de Transparencia y Acceso a la Información Pública del Estado de México y Municipios.</w:t>
      </w:r>
    </w:p>
    <w:p w:rsidR="00CF1B57" w:rsidRDefault="00661C30">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Notifíquese, </w:t>
      </w:r>
      <w:r>
        <w:rPr>
          <w:rFonts w:ascii="Palatino Linotype" w:eastAsia="Palatino Linotype" w:hAnsi="Palatino Linotype" w:cs="Palatino Linotype"/>
        </w:rPr>
        <w:t xml:space="preserve">al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su conocimiento.</w:t>
      </w:r>
    </w:p>
    <w:p w:rsidR="00CF1B57" w:rsidRDefault="00661C30">
      <w:pPr>
        <w:spacing w:before="240" w:after="240" w:line="360" w:lineRule="auto"/>
        <w:jc w:val="both"/>
        <w:rPr>
          <w:rFonts w:ascii="Palatino Linotype" w:eastAsia="Palatino Linotype" w:hAnsi="Palatino Linotype" w:cs="Palatino Linotype"/>
        </w:rPr>
      </w:pPr>
      <w:bookmarkStart w:id="5" w:name="_heading=h.tyjcwt"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w:t>
      </w:r>
      <w:r>
        <w:rPr>
          <w:rFonts w:ascii="Palatino Linotype" w:eastAsia="Palatino Linotype" w:hAnsi="Palatino Linotype" w:cs="Palatino Linotype"/>
        </w:rPr>
        <w:t>, 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podrá impugnarla vía el Juicio de Amparo en los términos de las leyes aplicables.</w:t>
      </w:r>
    </w:p>
    <w:p w:rsidR="00CF1B57" w:rsidRDefault="00661C30">
      <w:pPr>
        <w:spacing w:before="240" w:after="240" w:line="360" w:lineRule="auto"/>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b/>
        </w:rPr>
        <w:t>Cuarto. Gírese</w:t>
      </w:r>
      <w:r>
        <w:rPr>
          <w:rFonts w:ascii="Palatino Linotype" w:eastAsia="Palatino Linotype" w:hAnsi="Palatino Linotype" w:cs="Palatino Linotype"/>
        </w:rPr>
        <w:t xml:space="preserve"> oficio a la Dirección General de Protección de Datos Personales de este Instituto de conformidad con el artículo 24, fracciones V, XI, XII y XIII  del Reglamento Interior del Instituto de Transparencia, Acceso a la Información Pública y Protección de Datos Personales del Estado de México y Municipios, para que actúe en razón de su competencia, en términos de lo expuesto en el Considerando </w:t>
      </w:r>
      <w:r>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p>
    <w:p w:rsidR="00CF1B57" w:rsidRDefault="00661C3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SHARON CRISTINA MORALES MARTÍNEZ; MARÍA DEL ROSARIO MEJÍA AYALA; GUADALUPE RAMÍREZ PEÑA Y LUIS GUSTAVO PARRA NORIEGA; EN LA VIGÉSIMO PRIMERA SESIÓN ORDINARIA CELEBRADA EL OCHO DE JUNIO DE DOS MIL VEINTIDÓS, ANTE EL SECRETARIO TÉCNICO DEL PLENO, ALEXIS TAPIA RAMÍREZ.</w:t>
      </w:r>
    </w:p>
    <w:p w:rsidR="00CF1B57" w:rsidRDefault="00CF1B57">
      <w:pPr>
        <w:spacing w:before="240" w:after="240" w:line="360" w:lineRule="auto"/>
        <w:jc w:val="both"/>
        <w:rPr>
          <w:rFonts w:ascii="Palatino Linotype" w:eastAsia="Palatino Linotype" w:hAnsi="Palatino Linotype" w:cs="Palatino Linotype"/>
        </w:rPr>
      </w:pPr>
    </w:p>
    <w:p w:rsidR="00CF1B57" w:rsidRDefault="00CF1B57">
      <w:pPr>
        <w:spacing w:before="240" w:after="240" w:line="360" w:lineRule="auto"/>
        <w:jc w:val="both"/>
        <w:rPr>
          <w:rFonts w:ascii="Palatino Linotype" w:eastAsia="Palatino Linotype" w:hAnsi="Palatino Linotype" w:cs="Palatino Linotype"/>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p w:rsidR="00CF1B57" w:rsidRDefault="00CF1B57">
      <w:pPr>
        <w:spacing w:before="240" w:after="240"/>
        <w:jc w:val="both"/>
        <w:rPr>
          <w:rFonts w:ascii="Palatino Linotype" w:eastAsia="Palatino Linotype" w:hAnsi="Palatino Linotype" w:cs="Palatino Linotype"/>
          <w:sz w:val="20"/>
          <w:szCs w:val="20"/>
        </w:rPr>
      </w:pPr>
    </w:p>
    <w:sectPr w:rsidR="00CF1B5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102" w:rsidRDefault="00661C30">
      <w:r>
        <w:separator/>
      </w:r>
    </w:p>
  </w:endnote>
  <w:endnote w:type="continuationSeparator" w:id="0">
    <w:p w:rsidR="00FC6102" w:rsidRDefault="0066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57" w:rsidRDefault="00661C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5E63">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5E6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CF1B57" w:rsidRDefault="00CF1B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57" w:rsidRDefault="00661C3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5E6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5E6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rsidR="00CF1B57" w:rsidRDefault="00CF1B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102" w:rsidRDefault="00661C30">
      <w:r>
        <w:separator/>
      </w:r>
    </w:p>
  </w:footnote>
  <w:footnote w:type="continuationSeparator" w:id="0">
    <w:p w:rsidR="00FC6102" w:rsidRDefault="00661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57" w:rsidRDefault="00661C3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-1079500</wp:posOffset>
          </wp:positionH>
          <wp:positionV relativeFrom="paragraph">
            <wp:posOffset>-106680</wp:posOffset>
          </wp:positionV>
          <wp:extent cx="7809865" cy="10165715"/>
          <wp:effectExtent l="0" t="0" r="635" b="6985"/>
          <wp:wrapNone/>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CF1B57">
      <w:tc>
        <w:tcPr>
          <w:tcW w:w="2489" w:type="dxa"/>
          <w:shd w:val="clear" w:color="auto" w:fill="auto"/>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F1B57" w:rsidRDefault="00661C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02289/INFOEM/IP/RR/2022 y acumulado</w:t>
          </w:r>
        </w:p>
      </w:tc>
    </w:tr>
    <w:tr w:rsidR="00CF1B57">
      <w:trPr>
        <w:trHeight w:val="228"/>
      </w:trPr>
      <w:tc>
        <w:tcPr>
          <w:tcW w:w="2489" w:type="dxa"/>
          <w:shd w:val="clear" w:color="auto" w:fill="auto"/>
          <w:vAlign w:val="center"/>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F1B57" w:rsidRDefault="00661C3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p>
      </w:tc>
    </w:tr>
    <w:tr w:rsidR="00CF1B57">
      <w:tc>
        <w:tcPr>
          <w:tcW w:w="2489" w:type="dxa"/>
          <w:shd w:val="clear" w:color="auto" w:fill="auto"/>
          <w:vAlign w:val="center"/>
        </w:tcPr>
        <w:p w:rsidR="00CF1B57" w:rsidRDefault="00661C3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F1B57" w:rsidRDefault="00661C3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F1B57" w:rsidRDefault="00661C30">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B57" w:rsidRDefault="007A760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568BFB17" wp14:editId="532C945F">
          <wp:simplePos x="0" y="0"/>
          <wp:positionH relativeFrom="page">
            <wp:align>left</wp:align>
          </wp:positionH>
          <wp:positionV relativeFrom="paragraph">
            <wp:posOffset>10160</wp:posOffset>
          </wp:positionV>
          <wp:extent cx="7809865" cy="10165715"/>
          <wp:effectExtent l="0" t="0" r="635" b="6985"/>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CF1B57">
      <w:tc>
        <w:tcPr>
          <w:tcW w:w="2551" w:type="dxa"/>
          <w:shd w:val="clear" w:color="auto" w:fill="auto"/>
          <w:vAlign w:val="center"/>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CF1B57" w:rsidRDefault="00661C3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02289/INFOEM/IP/RR/2022 y acumulado</w:t>
          </w:r>
        </w:p>
      </w:tc>
    </w:tr>
    <w:tr w:rsidR="00CF1B57">
      <w:trPr>
        <w:trHeight w:val="130"/>
      </w:trPr>
      <w:tc>
        <w:tcPr>
          <w:tcW w:w="2551" w:type="dxa"/>
          <w:shd w:val="clear" w:color="auto" w:fill="auto"/>
          <w:vAlign w:val="center"/>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CF1B57" w:rsidRDefault="00CF1B57">
          <w:pPr>
            <w:ind w:left="-45"/>
            <w:jc w:val="both"/>
            <w:rPr>
              <w:rFonts w:ascii="Palatino Linotype" w:eastAsia="Palatino Linotype" w:hAnsi="Palatino Linotype" w:cs="Palatino Linotype"/>
              <w:b/>
              <w:sz w:val="22"/>
              <w:szCs w:val="22"/>
            </w:rPr>
          </w:pPr>
        </w:p>
      </w:tc>
    </w:tr>
    <w:tr w:rsidR="00CF1B57">
      <w:trPr>
        <w:trHeight w:val="228"/>
      </w:trPr>
      <w:tc>
        <w:tcPr>
          <w:tcW w:w="2551" w:type="dxa"/>
          <w:shd w:val="clear" w:color="auto" w:fill="auto"/>
          <w:vAlign w:val="center"/>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CF1B57" w:rsidRDefault="00661C3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p>
      </w:tc>
    </w:tr>
    <w:tr w:rsidR="00CF1B57">
      <w:tc>
        <w:tcPr>
          <w:tcW w:w="2551" w:type="dxa"/>
          <w:shd w:val="clear" w:color="auto" w:fill="auto"/>
          <w:vAlign w:val="center"/>
        </w:tcPr>
        <w:p w:rsidR="00CF1B57" w:rsidRDefault="00661C3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CF1B57" w:rsidRDefault="00661C3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F1B57" w:rsidRDefault="00CF1B5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71281"/>
    <w:multiLevelType w:val="multilevel"/>
    <w:tmpl w:val="363C1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DA4CCA"/>
    <w:multiLevelType w:val="multilevel"/>
    <w:tmpl w:val="62C6A532"/>
    <w:lvl w:ilvl="0">
      <w:start w:val="3"/>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57"/>
    <w:rsid w:val="00661C30"/>
    <w:rsid w:val="007A760B"/>
    <w:rsid w:val="00CF1B57"/>
    <w:rsid w:val="00DF5E63"/>
    <w:rsid w:val="00FC61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33DC0A-09DC-4170-A9F7-50B71FA1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U8z8F+7j72YukMoy3e8BdbiWA==">AMUW2mWcDQvchSsaTw5NLHOZozwQQjg5FvtcvApD5jumRfOYS6KfoJSRuwjPJsrXiOfNqSk95xIVA8F1GLPz2cQorRLUo7UT76HVZEQ3cTZ12ZoTpG5ZYRyW/jXN8z7RD2m8k3jaSIBfnBaGkWH29fJCMucrIkWauVf/O95wuspGsUjycwFjFsD3EPUrwws4OhbbA5FqDqsd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5941</Words>
  <Characters>32680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2022-07-07T19:30:00Z</dcterms:created>
  <dcterms:modified xsi:type="dcterms:W3CDTF">2022-07-07T19:30:00Z</dcterms:modified>
</cp:coreProperties>
</file>