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7ED9E" w14:textId="77777777" w:rsidR="000B7D70" w:rsidRDefault="001D713A">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mayo de dos mil veintidós. </w:t>
      </w:r>
    </w:p>
    <w:p w14:paraId="2A83A3B0" w14:textId="664E83A2" w:rsidR="000B7D70" w:rsidRDefault="001D713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02324/INFOEM/IP/RR/2022, </w:t>
      </w:r>
      <w:r>
        <w:rPr>
          <w:rFonts w:ascii="Palatino Linotype" w:eastAsia="Palatino Linotype" w:hAnsi="Palatino Linotype" w:cs="Palatino Linotype"/>
        </w:rPr>
        <w:t xml:space="preserve">interpuesto por </w:t>
      </w:r>
      <w:r w:rsidR="006B0A35">
        <w:rPr>
          <w:rFonts w:ascii="Palatino Linotype" w:eastAsia="Palatino Linotype" w:hAnsi="Palatino Linotype" w:cs="Palatino Linotype"/>
          <w:b/>
        </w:rPr>
        <w:t xml:space="preserve">XXXXXXX </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Ayapango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172B4FE3" w14:textId="77777777" w:rsidR="000B7D70" w:rsidRDefault="001D713A">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I. </w:t>
      </w:r>
      <w:r>
        <w:rPr>
          <w:rFonts w:ascii="Palatino Linotype" w:eastAsia="Palatino Linotype" w:hAnsi="Palatino Linotype" w:cs="Palatino Linotype"/>
          <w:b/>
        </w:rPr>
        <w:tab/>
        <w:t>A N T E C E D E N T E S</w:t>
      </w:r>
    </w:p>
    <w:p w14:paraId="73A46CBC"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00011/AYAPANGO/IP/2022, </w:t>
      </w:r>
      <w:r>
        <w:rPr>
          <w:rFonts w:ascii="Palatino Linotype" w:eastAsia="Palatino Linotype" w:hAnsi="Palatino Linotype" w:cs="Palatino Linotype"/>
        </w:rPr>
        <w:t>mediante la cual requirió la información siguiente:</w:t>
      </w:r>
    </w:p>
    <w:p w14:paraId="05EC6E1F" w14:textId="77777777" w:rsidR="000B7D70" w:rsidRDefault="001D713A">
      <w:pPr>
        <w:spacing w:line="360" w:lineRule="auto"/>
        <w:ind w:left="540" w:right="918"/>
        <w:jc w:val="both"/>
        <w:rPr>
          <w:rFonts w:ascii="Palatino Linotype" w:eastAsia="Palatino Linotype" w:hAnsi="Palatino Linotype" w:cs="Palatino Linotype"/>
        </w:rPr>
      </w:pPr>
      <w:bookmarkStart w:id="1" w:name="_heading=h.gjdgxs" w:colFirst="0" w:colLast="0"/>
      <w:bookmarkEnd w:id="1"/>
      <w:r>
        <w:t>“</w:t>
      </w:r>
      <w:r>
        <w:rPr>
          <w:rFonts w:ascii="Palatino Linotype" w:eastAsia="Palatino Linotype" w:hAnsi="Palatino Linotype" w:cs="Palatino Linotype"/>
          <w:i/>
        </w:rPr>
        <w:t xml:space="preserve">SOLICITO COPIA DE LOS MANUALES DE PROCEDIMIENTOS DE LAS DEPENDENCIAS MENCIONADAS EN EL ARTICULO 40 FRACCIONES DE LA I A LA IV DEL BANDO MUNICIPAL 2021 DE </w:t>
      </w:r>
      <w:r>
        <w:rPr>
          <w:rFonts w:ascii="Palatino Linotype" w:eastAsia="Palatino Linotype" w:hAnsi="Palatino Linotype" w:cs="Palatino Linotype"/>
          <w:b/>
          <w:i/>
          <w:u w:val="single"/>
        </w:rPr>
        <w:t>CUAUTITLAN IZCALLI,</w:t>
      </w:r>
      <w:r>
        <w:rPr>
          <w:rFonts w:ascii="Palatino Linotype" w:eastAsia="Palatino Linotype" w:hAnsi="Palatino Linotype" w:cs="Palatino Linotype"/>
          <w:i/>
        </w:rPr>
        <w:t xml:space="preserve"> ESTADO DE MEXICO ASI COMO EL DE LAS Y DE LA UNIDADES ADMINISTRATIVAS ADSCRITAS A LAS MISMAS. ELABORADO CONFORME A LAS LEYES Y </w:t>
      </w:r>
      <w:r>
        <w:rPr>
          <w:rFonts w:ascii="Palatino Linotype" w:eastAsia="Palatino Linotype" w:hAnsi="Palatino Linotype" w:cs="Palatino Linotype"/>
          <w:i/>
        </w:rPr>
        <w:lastRenderedPageBreak/>
        <w:t xml:space="preserve">REGLAMENTACIÓN DE IGUAL O MAYOR JERARQUIA Y DEMÁS RELATIVAS Y APLICABLES VIGENTES A LA FECHA CONFROME AL ARTÍCULO 19 FRACCION V DEL REGLAMENTO INTERIOR DE LA ADMINISTRACIÓN PUBLICA MUNICIPAL DE </w:t>
      </w:r>
      <w:r>
        <w:rPr>
          <w:rFonts w:ascii="Palatino Linotype" w:eastAsia="Palatino Linotype" w:hAnsi="Palatino Linotype" w:cs="Palatino Linotype"/>
          <w:i/>
          <w:u w:val="single"/>
        </w:rPr>
        <w:t>CUAUTITLÁN IZCALLI, ESTADO DE MEXICO;</w:t>
      </w:r>
      <w:r>
        <w:rPr>
          <w:rFonts w:ascii="Palatino Linotype" w:eastAsia="Palatino Linotype" w:hAnsi="Palatino Linotype" w:cs="Palatino Linotype"/>
          <w:i/>
        </w:rPr>
        <w:t xml:space="preserve"> 2) SOLICITO COPIA DE LOS MANUALES DE PROCEDIMIENTOS DE TODAS LAS DEPENDENCIAS DE LA ADMINISTRACION PUBLICA MUNICIPAL DE</w:t>
      </w:r>
      <w:r>
        <w:rPr>
          <w:rFonts w:ascii="Palatino Linotype" w:eastAsia="Palatino Linotype" w:hAnsi="Palatino Linotype" w:cs="Palatino Linotype"/>
          <w:i/>
          <w:u w:val="single"/>
        </w:rPr>
        <w:t xml:space="preserve"> CUAUTITAL IZCALLI.</w:t>
      </w:r>
      <w:r>
        <w:rPr>
          <w:rFonts w:ascii="Palatino Linotype" w:eastAsia="Palatino Linotype" w:hAnsi="Palatino Linotype" w:cs="Palatino Linotype"/>
        </w:rPr>
        <w:t>” (sic)</w:t>
      </w:r>
    </w:p>
    <w:p w14:paraId="5A495E9F" w14:textId="77777777" w:rsidR="000B7D70" w:rsidRDefault="000B7D70">
      <w:pPr>
        <w:jc w:val="both"/>
        <w:rPr>
          <w:rFonts w:ascii="Palatino Linotype" w:eastAsia="Palatino Linotype" w:hAnsi="Palatino Linotype" w:cs="Palatino Linotype"/>
          <w:i/>
        </w:rPr>
      </w:pPr>
    </w:p>
    <w:p w14:paraId="4BBFDEEA" w14:textId="77777777" w:rsidR="000B7D70" w:rsidRDefault="001D713A">
      <w:pPr>
        <w:spacing w:line="360" w:lineRule="auto"/>
        <w:ind w:left="720" w:right="49" w:hanging="720"/>
        <w:jc w:val="both"/>
        <w:rPr>
          <w:rFonts w:ascii="Palatino Linotype" w:eastAsia="Palatino Linotype" w:hAnsi="Palatino Linotype" w:cs="Palatino Linotype"/>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no adjuntó archivos a su solicitud.</w:t>
      </w:r>
    </w:p>
    <w:p w14:paraId="1AD79917"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5C18D847"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veinticinco de enero de dos mil veintidós,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402DFC3A" w14:textId="77777777" w:rsidR="000B7D70" w:rsidRDefault="001D713A">
      <w:pPr>
        <w:spacing w:before="240" w:after="24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i/>
          <w:sz w:val="22"/>
          <w:szCs w:val="22"/>
        </w:rPr>
        <w:t>00011/AYAPANGO/IP/2022 BUENA TARDE Aprovecho este medio para saludarle, al tiempo que hago entrega de la respuesta emitida por Dirección de UIPPE a la solicitud con número 00011/AYAPANGO/IP/2022. Sin otro particular, quedo a sus órdenes. ATENTAMENTE: C. DULCE MARIA CARMONA CANSECO TITULAR DE LA UNIDAD DE INFORMACIÓN PÚBLICA ATENTAMENTE L. EN C.E DULCE MARIA CARMONA CANSECO Unidad de Transparencia Ayuntamiento de Ayapango</w:t>
      </w:r>
    </w:p>
    <w:p w14:paraId="3F320E25" w14:textId="77777777" w:rsidR="000B7D70" w:rsidRDefault="001D713A">
      <w:pPr>
        <w:spacing w:before="240" w:after="240" w:line="276" w:lineRule="auto"/>
        <w:ind w:left="566" w:right="6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E556972" w14:textId="77777777" w:rsidR="000B7D70" w:rsidRDefault="001D713A">
      <w:pPr>
        <w:spacing w:before="240" w:after="240" w:line="276" w:lineRule="auto"/>
        <w:ind w:left="566" w:right="629"/>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P. L.L.L ANA KAREN GONZÁLEZ </w:t>
      </w:r>
      <w:proofErr w:type="spellStart"/>
      <w:r>
        <w:rPr>
          <w:rFonts w:ascii="Palatino Linotype" w:eastAsia="Palatino Linotype" w:hAnsi="Palatino Linotype" w:cs="Palatino Linotype"/>
          <w:i/>
          <w:sz w:val="22"/>
          <w:szCs w:val="22"/>
        </w:rPr>
        <w:t>GONZÁLEZ</w:t>
      </w:r>
      <w:proofErr w:type="spellEnd"/>
      <w:r>
        <w:rPr>
          <w:rFonts w:ascii="Palatino Linotype" w:eastAsia="Palatino Linotype" w:hAnsi="Palatino Linotype" w:cs="Palatino Linotype"/>
          <w:i/>
        </w:rPr>
        <w:t>” (Sic)</w:t>
      </w:r>
    </w:p>
    <w:p w14:paraId="2DBB299C" w14:textId="77777777" w:rsidR="000B7D70" w:rsidRDefault="001D713A">
      <w:pPr>
        <w:spacing w:before="240" w:after="240" w:line="360" w:lineRule="auto"/>
        <w:ind w:left="566" w:right="62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documento</w:t>
      </w:r>
      <w:r>
        <w:t xml:space="preserve"> </w:t>
      </w:r>
      <w:r>
        <w:rPr>
          <w:rFonts w:ascii="Palatino Linotype" w:eastAsia="Palatino Linotype" w:hAnsi="Palatino Linotype" w:cs="Palatino Linotype"/>
          <w:b/>
          <w:i/>
        </w:rPr>
        <w:t>“Respuesta de oficio00011.pdf</w:t>
      </w:r>
      <w:r>
        <w:rPr>
          <w:rFonts w:ascii="Palatino Linotype" w:eastAsia="Palatino Linotype" w:hAnsi="Palatino Linotype" w:cs="Palatino Linotype"/>
        </w:rPr>
        <w:t>”, el cual se muestra a continuación:</w:t>
      </w:r>
    </w:p>
    <w:p w14:paraId="00380E6E" w14:textId="77777777" w:rsidR="000B7D70" w:rsidRDefault="001D713A">
      <w:pPr>
        <w:spacing w:before="240" w:after="240" w:line="360" w:lineRule="auto"/>
        <w:ind w:left="566" w:right="629"/>
        <w:jc w:val="both"/>
        <w:rPr>
          <w:rFonts w:ascii="Palatino Linotype" w:eastAsia="Palatino Linotype" w:hAnsi="Palatino Linotype" w:cs="Palatino Linotype"/>
        </w:rPr>
      </w:pPr>
      <w:r>
        <w:rPr>
          <w:noProof/>
          <w:lang w:val="es-MX"/>
        </w:rPr>
        <w:drawing>
          <wp:inline distT="0" distB="0" distL="0" distR="0" wp14:anchorId="2A9DDF63" wp14:editId="058FB5A8">
            <wp:extent cx="4693661" cy="5330809"/>
            <wp:effectExtent l="0" t="0" r="0" b="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48371" t="14182" r="14120" b="10079"/>
                    <a:stretch>
                      <a:fillRect/>
                    </a:stretch>
                  </pic:blipFill>
                  <pic:spPr>
                    <a:xfrm>
                      <a:off x="0" y="0"/>
                      <a:ext cx="4693661" cy="5330809"/>
                    </a:xfrm>
                    <a:prstGeom prst="rect">
                      <a:avLst/>
                    </a:prstGeom>
                    <a:ln/>
                  </pic:spPr>
                </pic:pic>
              </a:graphicData>
            </a:graphic>
          </wp:inline>
        </w:drawing>
      </w:r>
    </w:p>
    <w:p w14:paraId="018E53C1"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Solicitud Concluida.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notificó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 la conclusión de la solicitud de acceso a la información, como se aprecia a continuación:</w:t>
      </w:r>
    </w:p>
    <w:p w14:paraId="4C2FB2A9" w14:textId="77777777" w:rsidR="000B7D70" w:rsidRDefault="000B7D70">
      <w:pPr>
        <w:spacing w:before="240" w:after="240" w:line="360" w:lineRule="auto"/>
        <w:jc w:val="both"/>
        <w:rPr>
          <w:rFonts w:ascii="Palatino Linotype" w:eastAsia="Palatino Linotype" w:hAnsi="Palatino Linotype" w:cs="Palatino Linotype"/>
        </w:rPr>
      </w:pPr>
    </w:p>
    <w:p w14:paraId="5CE5D14D" w14:textId="77777777" w:rsidR="000B7D70" w:rsidRDefault="001D713A">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75389597" wp14:editId="16CFBE77">
            <wp:extent cx="5612130" cy="1164445"/>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7862" t="28666" r="11234" b="56246"/>
                    <a:stretch>
                      <a:fillRect/>
                    </a:stretch>
                  </pic:blipFill>
                  <pic:spPr>
                    <a:xfrm>
                      <a:off x="0" y="0"/>
                      <a:ext cx="5612130" cy="1164445"/>
                    </a:xfrm>
                    <a:prstGeom prst="rect">
                      <a:avLst/>
                    </a:prstGeom>
                    <a:ln/>
                  </pic:spPr>
                </pic:pic>
              </a:graphicData>
            </a:graphic>
          </wp:inline>
        </w:drawing>
      </w:r>
    </w:p>
    <w:p w14:paraId="779B5634"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1D4703ED" w14:textId="77777777" w:rsidR="000B7D70" w:rsidRDefault="001D713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486E5877" w14:textId="77777777" w:rsidR="000B7D70" w:rsidRDefault="000B7D70">
      <w:pPr>
        <w:spacing w:line="360" w:lineRule="auto"/>
        <w:jc w:val="both"/>
        <w:rPr>
          <w:rFonts w:ascii="Palatino Linotype" w:eastAsia="Palatino Linotype" w:hAnsi="Palatino Linotype" w:cs="Palatino Linotype"/>
          <w:b/>
        </w:rPr>
      </w:pPr>
    </w:p>
    <w:p w14:paraId="4C449E01" w14:textId="77777777" w:rsidR="000B7D70" w:rsidRDefault="001D713A">
      <w:pPr>
        <w:spacing w:line="360" w:lineRule="auto"/>
        <w:ind w:left="709" w:right="629"/>
        <w:jc w:val="both"/>
        <w:rPr>
          <w:rFonts w:ascii="Palatino Linotype" w:eastAsia="Palatino Linotype" w:hAnsi="Palatino Linotype" w:cs="Palatino Linotype"/>
          <w:i/>
        </w:rPr>
      </w:pPr>
      <w:r>
        <w:rPr>
          <w:rFonts w:ascii="Palatino Linotype" w:eastAsia="Palatino Linotype" w:hAnsi="Palatino Linotype" w:cs="Palatino Linotype"/>
          <w:i/>
        </w:rPr>
        <w:t>“falta información.” (sic)</w:t>
      </w:r>
    </w:p>
    <w:p w14:paraId="7F6E5EDB" w14:textId="77777777" w:rsidR="000B7D70" w:rsidRDefault="000B7D70">
      <w:pPr>
        <w:spacing w:line="360" w:lineRule="auto"/>
        <w:ind w:right="629"/>
        <w:jc w:val="both"/>
        <w:rPr>
          <w:rFonts w:ascii="Palatino Linotype" w:eastAsia="Palatino Linotype" w:hAnsi="Palatino Linotype" w:cs="Palatino Linotype"/>
          <w:b/>
        </w:rPr>
      </w:pPr>
    </w:p>
    <w:p w14:paraId="4839F73C" w14:textId="77777777" w:rsidR="000B7D70" w:rsidRDefault="001D713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Sin emitir</w:t>
      </w:r>
      <w:r>
        <w:rPr>
          <w:rFonts w:ascii="Palatino Linotype" w:eastAsia="Palatino Linotype" w:hAnsi="Palatino Linotype" w:cs="Palatino Linotype"/>
          <w:b/>
        </w:rPr>
        <w:t xml:space="preserve"> Razones o motivos de inconformidad.</w:t>
      </w:r>
    </w:p>
    <w:p w14:paraId="72CEA66A" w14:textId="77777777" w:rsidR="000B7D70" w:rsidRDefault="000B7D70">
      <w:pPr>
        <w:spacing w:line="360" w:lineRule="auto"/>
        <w:jc w:val="both"/>
        <w:rPr>
          <w:rFonts w:ascii="Palatino Linotype" w:eastAsia="Palatino Linotype" w:hAnsi="Palatino Linotype" w:cs="Palatino Linotype"/>
          <w:b/>
        </w:rPr>
      </w:pPr>
    </w:p>
    <w:p w14:paraId="7CD326BE" w14:textId="77777777" w:rsidR="000B7D70" w:rsidRDefault="001D713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particular adjunto el </w:t>
      </w:r>
      <w:r>
        <w:rPr>
          <w:rFonts w:ascii="Palatino Linotype" w:eastAsia="Palatino Linotype" w:hAnsi="Palatino Linotype" w:cs="Palatino Linotype"/>
          <w:b/>
        </w:rPr>
        <w:t xml:space="preserve">Archivo1646075415537, </w:t>
      </w:r>
      <w:r>
        <w:rPr>
          <w:rFonts w:ascii="Palatino Linotype" w:eastAsia="Palatino Linotype" w:hAnsi="Palatino Linotype" w:cs="Palatino Linotype"/>
        </w:rPr>
        <w:t>que no fue posible visualizar.</w:t>
      </w:r>
    </w:p>
    <w:p w14:paraId="4B823924" w14:textId="77777777" w:rsidR="000B7D70" w:rsidRDefault="000B7D70">
      <w:pPr>
        <w:spacing w:line="360" w:lineRule="auto"/>
        <w:jc w:val="both"/>
        <w:rPr>
          <w:rFonts w:ascii="Palatino Linotype" w:eastAsia="Palatino Linotype" w:hAnsi="Palatino Linotype" w:cs="Palatino Linotype"/>
          <w:sz w:val="2"/>
          <w:szCs w:val="2"/>
        </w:rPr>
      </w:pPr>
    </w:p>
    <w:p w14:paraId="5DD6E621"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fecha </w:t>
      </w:r>
      <w:r>
        <w:rPr>
          <w:rFonts w:ascii="Palatino Linotype" w:eastAsia="Palatino Linotype" w:hAnsi="Palatino Linotype" w:cs="Palatino Linotype"/>
          <w:b/>
        </w:rPr>
        <w:t>veintiocho de enero de dos mil veintidós,</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 xml:space="preserve">a efecto de que analice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184767D7" w14:textId="77777777" w:rsidR="000B7D70" w:rsidRDefault="001D713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informe justificado.</w:t>
      </w:r>
    </w:p>
    <w:p w14:paraId="06677382" w14:textId="77777777" w:rsidR="000B7D70" w:rsidRDefault="001D713A">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remite informe justificado, como se muestra en la siguiente captura de pantalla:</w:t>
      </w:r>
      <w:r>
        <w:rPr>
          <w:rFonts w:ascii="Palatino Linotype" w:eastAsia="Palatino Linotype" w:hAnsi="Palatino Linotype" w:cs="Palatino Linotype"/>
          <w:b/>
        </w:rPr>
        <w:t xml:space="preserve"> </w:t>
      </w:r>
    </w:p>
    <w:p w14:paraId="49C6F1E1" w14:textId="77777777" w:rsidR="000B7D70" w:rsidRDefault="001D713A">
      <w:pPr>
        <w:widowControl w:val="0"/>
        <w:spacing w:before="240" w:after="240" w:line="360" w:lineRule="auto"/>
        <w:jc w:val="both"/>
        <w:rPr>
          <w:rFonts w:ascii="Palatino Linotype" w:eastAsia="Palatino Linotype" w:hAnsi="Palatino Linotype" w:cs="Palatino Linotype"/>
          <w:b/>
          <w:highlight w:val="yellow"/>
        </w:rPr>
      </w:pPr>
      <w:r>
        <w:rPr>
          <w:noProof/>
          <w:lang w:val="es-MX"/>
        </w:rPr>
        <w:drawing>
          <wp:inline distT="0" distB="0" distL="0" distR="0" wp14:anchorId="3ACA9167" wp14:editId="083902C6">
            <wp:extent cx="5563477" cy="1556858"/>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279" t="24442" r="52478" b="55039"/>
                    <a:stretch>
                      <a:fillRect/>
                    </a:stretch>
                  </pic:blipFill>
                  <pic:spPr>
                    <a:xfrm>
                      <a:off x="0" y="0"/>
                      <a:ext cx="5563477" cy="1556858"/>
                    </a:xfrm>
                    <a:prstGeom prst="rect">
                      <a:avLst/>
                    </a:prstGeom>
                    <a:ln/>
                  </pic:spPr>
                </pic:pic>
              </a:graphicData>
            </a:graphic>
          </wp:inline>
        </w:drawing>
      </w:r>
    </w:p>
    <w:p w14:paraId="703A32A8" w14:textId="77777777" w:rsidR="000B7D70" w:rsidRDefault="001D713A">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03B642C8" w14:textId="77777777" w:rsidR="000B7D70" w:rsidRDefault="001D713A">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veintiocho de abril de dos mil veintidós</w:t>
      </w:r>
      <w:r>
        <w:rPr>
          <w:rFonts w:ascii="Palatino Linotype" w:eastAsia="Palatino Linotype" w:hAnsi="Palatino Linotype" w:cs="Palatino Linotype"/>
        </w:rPr>
        <w:t xml:space="preserve">, la Comisionada ponente determinó el cierre de instrucción en términos de la fracción VI del artículo 185 de </w:t>
      </w:r>
      <w:r>
        <w:rPr>
          <w:rFonts w:ascii="Palatino Linotype" w:eastAsia="Palatino Linotype" w:hAnsi="Palatino Linotype" w:cs="Palatino Linotype"/>
        </w:rPr>
        <w:lastRenderedPageBreak/>
        <w:t>la Ley de Transparencia y Acceso a la Información Pública del Estado de México y Municipios.</w:t>
      </w:r>
    </w:p>
    <w:p w14:paraId="022CADEE" w14:textId="77777777" w:rsidR="003A79E9" w:rsidRDefault="003A79E9" w:rsidP="003A79E9">
      <w:pPr>
        <w:widowControl w:val="0"/>
        <w:tabs>
          <w:tab w:val="left" w:pos="709"/>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color w:val="000000"/>
        </w:rPr>
        <w:t xml:space="preserve">seis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14:paraId="07192A94" w14:textId="77777777" w:rsidR="000B7D70" w:rsidRDefault="001D713A">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B831C33" w14:textId="77777777" w:rsidR="000B7D70" w:rsidRDefault="001D713A">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II. </w:t>
      </w:r>
      <w:r>
        <w:rPr>
          <w:rFonts w:ascii="Palatino Linotype" w:eastAsia="Palatino Linotype" w:hAnsi="Palatino Linotype" w:cs="Palatino Linotype"/>
          <w:b/>
        </w:rPr>
        <w:tab/>
        <w:t>C O N S I D E R A N D O S</w:t>
      </w:r>
    </w:p>
    <w:p w14:paraId="1FDDB659"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17A93932" w14:textId="77777777" w:rsidR="000B7D70" w:rsidRDefault="001D713A">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Análisis de las Causales de Improcedencia y Sobreseimiento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5203E3DE" w14:textId="77777777" w:rsidR="000B7D70" w:rsidRDefault="001D713A">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“Improcedencia: </w:t>
      </w:r>
      <w:r>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14:paraId="7A499808"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745A69AF" w14:textId="77777777" w:rsidR="000B7D70" w:rsidRDefault="001D713A">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5454D" w14:textId="77777777" w:rsidR="000B7D70" w:rsidRDefault="001D713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w:t>
      </w:r>
      <w:r>
        <w:rPr>
          <w:rFonts w:ascii="Palatino Linotype" w:eastAsia="Palatino Linotype" w:hAnsi="Palatino Linotype" w:cs="Palatino Linotype"/>
        </w:rPr>
        <w:lastRenderedPageBreak/>
        <w:t>interponer recurso de revisión de manera directa o por medios electrónicos dentro de los quince días hábiles siguientes a la fecha de notificación de la respuesta.</w:t>
      </w:r>
    </w:p>
    <w:p w14:paraId="38907603" w14:textId="77777777" w:rsidR="000B7D70" w:rsidRDefault="001D713A">
      <w:pPr>
        <w:spacing w:before="240" w:after="240" w:line="360" w:lineRule="auto"/>
        <w:ind w:right="-1134"/>
        <w:jc w:val="both"/>
        <w:rPr>
          <w:rFonts w:ascii="Palatino Linotype" w:eastAsia="Palatino Linotype" w:hAnsi="Palatino Linotype" w:cs="Palatino Linotype"/>
        </w:rPr>
      </w:pPr>
      <w:r>
        <w:rPr>
          <w:rFonts w:ascii="Palatino Linotype" w:eastAsia="Palatino Linotype" w:hAnsi="Palatino Linotype" w:cs="Palatino Linotype"/>
        </w:rPr>
        <w:t>Por su parte los artículos 186, 191 y 192 de la Ley en cita, disponen lo siguiente:</w:t>
      </w:r>
    </w:p>
    <w:p w14:paraId="190C1F2B" w14:textId="77777777" w:rsidR="000B7D70" w:rsidRDefault="001D713A">
      <w:pPr>
        <w:spacing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186.</w:t>
      </w:r>
      <w:r>
        <w:rPr>
          <w:rFonts w:ascii="Palatino Linotype" w:eastAsia="Palatino Linotype" w:hAnsi="Palatino Linotype" w:cs="Palatino Linotype"/>
          <w:i/>
          <w:sz w:val="22"/>
          <w:szCs w:val="22"/>
        </w:rPr>
        <w:t xml:space="preserve"> Las resoluciones del Instituto podrán: </w:t>
      </w:r>
    </w:p>
    <w:p w14:paraId="01147271" w14:textId="77777777" w:rsidR="000B7D70" w:rsidRDefault="001D713A">
      <w:pPr>
        <w:spacing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Desechar o sobreseer el recurso; </w:t>
      </w:r>
    </w:p>
    <w:p w14:paraId="087706E9" w14:textId="77777777" w:rsidR="000B7D70" w:rsidRDefault="001D713A">
      <w:pPr>
        <w:spacing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50D26A" w14:textId="77777777" w:rsidR="000B7D70" w:rsidRDefault="001D713A">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191. </w:t>
      </w:r>
      <w:r>
        <w:rPr>
          <w:rFonts w:ascii="Palatino Linotype" w:eastAsia="Palatino Linotype" w:hAnsi="Palatino Linotype" w:cs="Palatino Linotype"/>
          <w:i/>
          <w:sz w:val="22"/>
          <w:szCs w:val="22"/>
        </w:rPr>
        <w:t>El recurso será desechado por improcedente cuando:</w:t>
      </w:r>
    </w:p>
    <w:p w14:paraId="0CA51393"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Sea extemporáneo por haber transcurrido el plazo establecido en la presente Ley, a partir de la respuesta;</w:t>
      </w:r>
    </w:p>
    <w:p w14:paraId="33ECAF24"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1A07CF86"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No actualice alguno de los supuestos previstos en la presente Ley;</w:t>
      </w:r>
    </w:p>
    <w:p w14:paraId="38B0FA2F"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No se haya desahogado la prevención en los términos establecidos en la presente Ley;</w:t>
      </w:r>
    </w:p>
    <w:p w14:paraId="787AA0E2"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Se impugne la veracidad de la información proporcionada;</w:t>
      </w:r>
    </w:p>
    <w:p w14:paraId="137AE6B4"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Se trate de una consulta, o trámite en específico; y</w:t>
      </w:r>
    </w:p>
    <w:p w14:paraId="6CF150BE" w14:textId="77777777" w:rsidR="000B7D70" w:rsidRDefault="001D713A">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El recurrente amplíe su solicitud en el recurso de revisión, únicamente respecto de los nuevos contenidos.”</w:t>
      </w:r>
    </w:p>
    <w:p w14:paraId="00B38290" w14:textId="77777777" w:rsidR="000B7D70" w:rsidRDefault="000B7D70">
      <w:pPr>
        <w:spacing w:before="120" w:after="120" w:line="276" w:lineRule="auto"/>
        <w:ind w:left="851" w:right="902"/>
        <w:jc w:val="both"/>
        <w:rPr>
          <w:rFonts w:ascii="Palatino Linotype" w:eastAsia="Palatino Linotype" w:hAnsi="Palatino Linotype" w:cs="Palatino Linotype"/>
          <w:i/>
          <w:sz w:val="22"/>
          <w:szCs w:val="22"/>
        </w:rPr>
      </w:pPr>
    </w:p>
    <w:p w14:paraId="01A47368" w14:textId="77777777" w:rsidR="000B7D70" w:rsidRDefault="001D713A">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CEC0CE4" w14:textId="77777777" w:rsidR="000B7D70" w:rsidRDefault="001D713A">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El recurrente se desista expresamente del recurso;</w:t>
      </w:r>
    </w:p>
    <w:p w14:paraId="26B736F8" w14:textId="77777777" w:rsidR="000B7D70" w:rsidRDefault="001D713A">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El recurrente fallezca o, tratándose de personas jurídicas colectivas, se disuelva;</w:t>
      </w:r>
    </w:p>
    <w:p w14:paraId="5DC492C2" w14:textId="77777777" w:rsidR="000B7D70" w:rsidRDefault="001D713A">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III. </w:t>
      </w:r>
      <w:r>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593F09AF" w14:textId="77777777" w:rsidR="000B7D70" w:rsidRDefault="001D713A">
      <w:pPr>
        <w:spacing w:before="120" w:after="12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626361A1" w14:textId="77777777" w:rsidR="000B7D70" w:rsidRDefault="001D713A">
      <w:pPr>
        <w:spacing w:before="120" w:after="120" w:line="276" w:lineRule="auto"/>
        <w:ind w:left="1134"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Cuando por cualquier motivo quede sin materia el recurso</w:t>
      </w:r>
      <w:r>
        <w:rPr>
          <w:rFonts w:ascii="Palatino Linotype" w:eastAsia="Palatino Linotype" w:hAnsi="Palatino Linotype" w:cs="Palatino Linotype"/>
          <w:sz w:val="22"/>
          <w:szCs w:val="22"/>
        </w:rPr>
        <w:t>.”</w:t>
      </w:r>
    </w:p>
    <w:p w14:paraId="19A53C46" w14:textId="77777777" w:rsidR="000B7D70" w:rsidRDefault="001D713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73061AA6" w14:textId="77777777" w:rsidR="000B7D70" w:rsidRDefault="001D713A">
      <w:pPr>
        <w:spacing w:before="240" w:after="240" w:line="360" w:lineRule="auto"/>
        <w:ind w:right="49"/>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En esta tesitura, es evidente que no se puede invocar el precepto legal 191 de la Ley en cita ulteriormente a que ha sido admitido, determinando la actualización de un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porque está ya sería posterior a la etapa procedimental en la que debió desecharse.</w:t>
      </w:r>
    </w:p>
    <w:p w14:paraId="4C394E9C" w14:textId="77777777" w:rsidR="000B7D70" w:rsidRDefault="001D713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14:paraId="4D899DB3" w14:textId="77777777" w:rsidR="000B7D70" w:rsidRDefault="001D713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I del artículo 191 de la misma Ley, por no existir elementos de procedencia.</w:t>
      </w:r>
    </w:p>
    <w:p w14:paraId="3373AC80" w14:textId="77777777" w:rsidR="000B7D70" w:rsidRDefault="001D713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afirma así, en virtud de que no escapa de la óptica de este Organismo Garante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respuesta a la solicitud de información el día </w:t>
      </w:r>
      <w:r>
        <w:rPr>
          <w:rFonts w:ascii="Palatino Linotype" w:eastAsia="Palatino Linotype" w:hAnsi="Palatino Linotype" w:cs="Palatino Linotype"/>
          <w:b/>
        </w:rPr>
        <w:t xml:space="preserve">veinticinco de enero de dos mil veintidós, </w:t>
      </w:r>
      <w:r>
        <w:rPr>
          <w:rFonts w:ascii="Palatino Linotype" w:eastAsia="Palatino Linotype" w:hAnsi="Palatino Linotype" w:cs="Palatino Linotype"/>
        </w:rPr>
        <w:t xml:space="preserve">mientras que el particular interpuso el recurso de revisión que nos ocupa hasta el día </w:t>
      </w:r>
      <w:r>
        <w:rPr>
          <w:rFonts w:ascii="Palatino Linotype" w:eastAsia="Palatino Linotype" w:hAnsi="Palatino Linotype" w:cs="Palatino Linotype"/>
          <w:b/>
        </w:rPr>
        <w:t xml:space="preserve">veintiocho de febrero de dos mil veintidós, </w:t>
      </w:r>
      <w:r>
        <w:rPr>
          <w:rFonts w:ascii="Palatino Linotype" w:eastAsia="Palatino Linotype" w:hAnsi="Palatino Linotype" w:cs="Palatino Linotype"/>
        </w:rPr>
        <w:t xml:space="preserve"> de tal suerte que transcurrieron más de quince días hábiles desde la notificación de la respuesta, hasta el día de la interposición del medio de impugnación.</w:t>
      </w:r>
    </w:p>
    <w:p w14:paraId="77AD877C" w14:textId="77777777" w:rsidR="000B7D70" w:rsidRDefault="001D713A">
      <w:pPr>
        <w:spacing w:before="280" w:after="280" w:line="360" w:lineRule="auto"/>
        <w:jc w:val="both"/>
      </w:pPr>
      <w:r>
        <w:rPr>
          <w:rFonts w:ascii="Palatino Linotype" w:eastAsia="Palatino Linotype" w:hAnsi="Palatino Linotype" w:cs="Palatino Linotype"/>
        </w:rPr>
        <w:t xml:space="preserve">Lo anterior se afirma así, en virtud de que el plazo de quince días previsto en el artículo 178 de la Ley de Transparencia y Acceso a la Información Pública del Estado de México y Municipios citado con antelación, comenzó a computarse a partir del día </w:t>
      </w:r>
      <w:r>
        <w:rPr>
          <w:rFonts w:ascii="Palatino Linotype" w:eastAsia="Palatino Linotype" w:hAnsi="Palatino Linotype" w:cs="Palatino Linotype"/>
          <w:b/>
        </w:rPr>
        <w:t>veintiséis de enero de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u w:val="single"/>
        </w:rPr>
        <w:t xml:space="preserve">feneció el día </w:t>
      </w:r>
      <w:r>
        <w:rPr>
          <w:rFonts w:ascii="Palatino Linotype" w:eastAsia="Palatino Linotype" w:hAnsi="Palatino Linotype" w:cs="Palatino Linotype"/>
          <w:b/>
          <w:u w:val="single"/>
        </w:rPr>
        <w:t xml:space="preserve">dieciséis de febrero de dos mil </w:t>
      </w:r>
      <w:r w:rsidRPr="003A79E9">
        <w:rPr>
          <w:rFonts w:ascii="Palatino Linotype" w:eastAsia="Palatino Linotype" w:hAnsi="Palatino Linotype" w:cs="Palatino Linotype"/>
          <w:b/>
          <w:u w:val="single"/>
        </w:rPr>
        <w:t>veintidós</w:t>
      </w:r>
      <w:r w:rsidRPr="003A79E9">
        <w:rPr>
          <w:rFonts w:ascii="Palatino Linotype" w:eastAsia="Palatino Linotype" w:hAnsi="Palatino Linotype" w:cs="Palatino Linotype"/>
        </w:rPr>
        <w:t>,  sin to</w:t>
      </w:r>
      <w:r w:rsidR="003A79E9" w:rsidRPr="003A79E9">
        <w:rPr>
          <w:rFonts w:ascii="Palatino Linotype" w:eastAsia="Palatino Linotype" w:hAnsi="Palatino Linotype" w:cs="Palatino Linotype"/>
        </w:rPr>
        <w:t>mar en cuenta e</w:t>
      </w:r>
      <w:r w:rsidRPr="003A79E9">
        <w:rPr>
          <w:rFonts w:ascii="Palatino Linotype" w:eastAsia="Palatino Linotype" w:hAnsi="Palatino Linotype" w:cs="Palatino Linotype"/>
        </w:rPr>
        <w:t>l día siete de febrero de dos mil veintidós</w:t>
      </w:r>
      <w:r w:rsidR="003A79E9" w:rsidRPr="003A79E9">
        <w:rPr>
          <w:rFonts w:ascii="Palatino Linotype" w:eastAsia="Palatino Linotype" w:hAnsi="Palatino Linotype" w:cs="Palatino Linotype"/>
        </w:rPr>
        <w:t xml:space="preserve"> que presentó suspensión de labores, así como el veintinueve y treinta de enero, y cinco, seis, doce y trece</w:t>
      </w:r>
      <w:r w:rsidRPr="003A79E9">
        <w:rPr>
          <w:rFonts w:ascii="Palatino Linotype" w:eastAsia="Palatino Linotype" w:hAnsi="Palatino Linotype" w:cs="Palatino Linotype"/>
        </w:rPr>
        <w:t xml:space="preserve"> </w:t>
      </w:r>
      <w:r w:rsidR="003A79E9" w:rsidRPr="003A79E9">
        <w:rPr>
          <w:rFonts w:ascii="Palatino Linotype" w:eastAsia="Palatino Linotype" w:hAnsi="Palatino Linotype" w:cs="Palatino Linotype"/>
        </w:rPr>
        <w:t>de febrero de dos mil veintidós que son días inhábiles</w:t>
      </w:r>
      <w:r w:rsidRPr="003A79E9">
        <w:rPr>
          <w:rFonts w:ascii="Palatino Linotype" w:eastAsia="Palatino Linotype" w:hAnsi="Palatino Linotype" w:cs="Palatino Linotype"/>
        </w:rPr>
        <w:t>,</w:t>
      </w:r>
      <w:r>
        <w:rPr>
          <w:rFonts w:ascii="Palatino Linotype" w:eastAsia="Palatino Linotype" w:hAnsi="Palatino Linotype" w:cs="Palatino Linotype"/>
        </w:rPr>
        <w:t xml:space="preserve"> en términos del artículo 3, fracción X</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la Materia y el ACUERDO </w:t>
      </w:r>
      <w:r>
        <w:rPr>
          <w:rFonts w:ascii="Palatino Linotype" w:eastAsia="Palatino Linotype" w:hAnsi="Palatino Linotype" w:cs="Palatino Linotype"/>
        </w:rPr>
        <w:lastRenderedPageBreak/>
        <w:t>SEGUNDO del Acuerdo por el cual se expide el Calendario Oficial en Materia de Transparencia, Acceso a la Información Pública y Protección de Datos Personales del Estado de México y Municipios, así como de labores de este Organismo Garante para el año dos mil veintidós y enero del dos mil veintitrés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w:t>
      </w:r>
    </w:p>
    <w:p w14:paraId="573389D8"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es evidente que el presente asunto actualiza la causal de improcedencia enunciada en el artículo 191 fracción I de la Ley de Transparencia y Acceso a la Información Pública del Estado de México y Municipios, en virtud de que el recurso de revisión fue presentado fuera del plazo señalado en el artículo 178 de la Ley de la Materia; situación que trae aparejada el sobreseimiento, atendiendo a lo dispuesto en el artículo 192 fracción IV del citado ordenamiento legal. </w:t>
      </w:r>
    </w:p>
    <w:p w14:paraId="6F3C0F96" w14:textId="77777777" w:rsidR="000B7D70" w:rsidRDefault="001D713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Sirve como criterio orientador, lo establecido en la Jurisprudencia 1ª.J3/99 de la Novena Época, emitida por la Primera Sala de la Suprema Corte de Justicia de la Nación, publicada en el Semanario Judicial de la Federación y su Gaceta, que en lo conducente dispone: </w:t>
      </w:r>
    </w:p>
    <w:p w14:paraId="6E2EF1D0" w14:textId="77777777" w:rsidR="000B7D70" w:rsidRDefault="001D713A">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IMPROCEDENCIA. ESTUDIO PREFERENCIAL DE LAS CAUSALES PREVISTAS EN EL ARTÍCULO 73 DE LA LEY DE AMPARO.</w:t>
      </w:r>
      <w:r>
        <w:rPr>
          <w:rFonts w:ascii="Palatino Linotype" w:eastAsia="Palatino Linotype" w:hAnsi="Palatino Linotype" w:cs="Palatino Linotype"/>
          <w:i/>
          <w:sz w:val="22"/>
          <w:szCs w:val="22"/>
        </w:rPr>
        <w:t xml:space="preserve"> 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19FFB060" w14:textId="77777777" w:rsidR="000B7D70" w:rsidRDefault="001D713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Atento a los razonamientos lógico jurídicos que han quedado precisados y toda vez que el  </w:t>
      </w:r>
      <w:r>
        <w:rPr>
          <w:rFonts w:ascii="Palatino Linotype" w:eastAsia="Palatino Linotype" w:hAnsi="Palatino Linotype" w:cs="Palatino Linotype"/>
          <w:i/>
        </w:rPr>
        <w:t xml:space="preserve">sobreseimiento </w:t>
      </w:r>
      <w:r>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Pr>
          <w:rFonts w:ascii="Palatino Linotype" w:eastAsia="Palatino Linotype" w:hAnsi="Palatino Linotype" w:cs="Palatino Linotype"/>
          <w:b/>
        </w:rPr>
        <w:t>SOBRESEIMIENTO, NO PERMITE ENTRAR AL ESTUDIO DE LAS CUESTIONES DE FONDO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b/>
        </w:rPr>
        <w:t>.</w:t>
      </w:r>
    </w:p>
    <w:p w14:paraId="011E1770"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w:t>
      </w:r>
      <w:r>
        <w:rPr>
          <w:rFonts w:ascii="Palatino Linotype" w:eastAsia="Palatino Linotype" w:hAnsi="Palatino Linotype" w:cs="Palatino Linotype"/>
          <w:i/>
        </w:rPr>
        <w:t>sobreseer</w:t>
      </w:r>
      <w:r>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VI y 192 fracción IV de mismo ordenamiento legal, citados con anterioridad, pues se actualizó una causal de improcedencia; ya que fue interpuesto fuera del plazo legal establecido para tal efecto.</w:t>
      </w:r>
    </w:p>
    <w:p w14:paraId="7A75DEE1"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16F44A9D" w14:textId="77777777" w:rsidR="000B7D70" w:rsidRDefault="001D713A">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34DF2534" w14:textId="77777777" w:rsidR="000B7D70" w:rsidRDefault="001D713A">
      <w:pPr>
        <w:spacing w:before="240" w:after="240" w:line="360" w:lineRule="auto"/>
        <w:jc w:val="both"/>
        <w:rPr>
          <w:rFonts w:ascii="Palatino Linotype" w:eastAsia="Palatino Linotype" w:hAnsi="Palatino Linotype" w:cs="Palatino Linotype"/>
          <w:b/>
        </w:rPr>
      </w:pPr>
      <w:bookmarkStart w:id="4" w:name="_heading=h.1fob9te" w:colFirst="0" w:colLast="0"/>
      <w:bookmarkEnd w:id="4"/>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rPr>
        <w:t xml:space="preserve">02324/INFOEM/IP/RR/2022, </w:t>
      </w:r>
      <w:r>
        <w:rPr>
          <w:rFonts w:ascii="Palatino Linotype" w:eastAsia="Palatino Linotype" w:hAnsi="Palatino Linotype" w:cs="Palatino Linotype"/>
        </w:rPr>
        <w:t xml:space="preserve">por actualizarse la causal de improcedencia establecida en la fracción I del artículo 191, de la Ley de Transparencia y Acceso a la Información Pública del Estado de México y Municipios, en términos del Considerando </w:t>
      </w:r>
      <w:r>
        <w:rPr>
          <w:rFonts w:ascii="Palatino Linotype" w:eastAsia="Palatino Linotype" w:hAnsi="Palatino Linotype" w:cs="Palatino Linotype"/>
          <w:b/>
        </w:rPr>
        <w:t>Segundo</w:t>
      </w:r>
      <w:r>
        <w:rPr>
          <w:rFonts w:ascii="Palatino Linotype" w:eastAsia="Palatino Linotype" w:hAnsi="Palatino Linotype" w:cs="Palatino Linotype"/>
        </w:rPr>
        <w:t xml:space="preserve"> de la presente Resolución.</w:t>
      </w:r>
      <w:r>
        <w:rPr>
          <w:rFonts w:ascii="Palatino Linotype" w:eastAsia="Palatino Linotype" w:hAnsi="Palatino Linotype" w:cs="Palatino Linotype"/>
          <w:b/>
        </w:rPr>
        <w:t xml:space="preserve"> </w:t>
      </w:r>
    </w:p>
    <w:p w14:paraId="6FA31042"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a</w:t>
      </w:r>
      <w:r>
        <w:rPr>
          <w:rFonts w:ascii="Palatino Linotype" w:eastAsia="Palatino Linotype" w:hAnsi="Palatino Linotype" w:cs="Palatino Linotype"/>
        </w:rPr>
        <w:t xml:space="preserv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w:t>
      </w:r>
    </w:p>
    <w:p w14:paraId="5DB3A20B"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F5C79C1" w14:textId="77777777" w:rsidR="000B7D70" w:rsidRDefault="001D71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w:t>
      </w:r>
      <w:r>
        <w:rPr>
          <w:rFonts w:ascii="Palatino Linotype" w:eastAsia="Palatino Linotype" w:hAnsi="Palatino Linotype" w:cs="Palatino Linotype"/>
        </w:rPr>
        <w:lastRenderedPageBreak/>
        <w:t>EL ONCE DE MAYO DE DOS MIL VEINTIDÓS, ANTE EL SECRETARIO TÉCNICO DEL PLENO, ALEXIS TAPIA RAMÍREZ.</w:t>
      </w:r>
    </w:p>
    <w:p w14:paraId="29B7C153" w14:textId="0C44B945" w:rsidR="000B7D70" w:rsidRDefault="00FD62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38441A4" wp14:editId="6D54AA82">
                <wp:simplePos x="0" y="0"/>
                <wp:positionH relativeFrom="column">
                  <wp:posOffset>291464</wp:posOffset>
                </wp:positionH>
                <wp:positionV relativeFrom="paragraph">
                  <wp:posOffset>425450</wp:posOffset>
                </wp:positionV>
                <wp:extent cx="5019675" cy="565785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019675" cy="5657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75F06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95pt,33.5pt" to="418.2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IyvAEAAMUDAAAOAAAAZHJzL2Uyb0RvYy54bWysU02P0zAQvSPxHyzfaZJK6S5R0z10BRcE&#10;FbA/wOuMG0v+0tg06b9n7LZZBEgrIS52xp73Zt7zZPswW8NOgFF71/NmVXMGTvpBu2PPn75/eHfP&#10;WUzCDcJ4Bz0/Q+QPu7dvtlPoYO1HbwZARiQudlPo+ZhS6KoqyhGsiCsfwNGl8mhFohCP1YBiInZr&#10;qnVdb6rJ4xDQS4iRTh8vl3xX+JUCmb4oFSEx03PqLZUVy/qc12q3Fd0RRRi1vLYh/qELK7SjogvV&#10;o0iC/UD9B5XVEn30Kq2kt5VXSksoGkhNU/+m5tsoAhQtZE4Mi03x/9HKz6cDMj3Q23HmhKUn2tND&#10;yeSRYd5Ykz2aQuwode8OeI1iOGAWPCu0eScpbC6+nhdfYU5M0mFbN+83dy1nku7aTXt33xbnqxd4&#10;wJg+grcsf/TcaJeFi06cPsVEJSn1lkJBbufSQPlKZwM52bivoEgMlVwXdBkj2BtkJ0EDIKQEl4og&#10;4ivZGaa0MQuwfh14zc9QKCO2gJvXwQuiVPYuLWCrnce/EaT51rK65N8cuOjOFjz74VyeplhDs1Ic&#10;u851HsZf4wJ/+ft2PwEAAP//AwBQSwMEFAAGAAgAAAAhAM/mOWDdAAAACQEAAA8AAABkcnMvZG93&#10;bnJldi54bWxMj8tOwzAURPdI/IN1kdhRh9CGJOSmQkhILGlgwdKJL3kQP2S7Tfr3mBVdjmY0c6ba&#10;r2pmJ3J+NBrhfpMAI90ZOeoe4fPj9S4H5oPQUsxGE8KZPOzr66tKlNIs+kCnJvQslmhfCoQhBFty&#10;7ruBlPAbY0lH79s4JUKUrufSiSWWq5mnSZJxJUYdFwZh6WWg7qc5KoQv107p23mxqZmyppgspe8H&#10;Qry9WZ+fgAVaw38Y/vAjOtSRqTVHLT2bEba7IiYRssd4Kfr5Q7YF1iIUuzwBXlf88kH9CwAA//8D&#10;AFBLAQItABQABgAIAAAAIQC2gziS/gAAAOEBAAATAAAAAAAAAAAAAAAAAAAAAABbQ29udGVudF9U&#10;eXBlc10ueG1sUEsBAi0AFAAGAAgAAAAhADj9If/WAAAAlAEAAAsAAAAAAAAAAAAAAAAALwEAAF9y&#10;ZWxzLy5yZWxzUEsBAi0AFAAGAAgAAAAhAN/3EjK8AQAAxQMAAA4AAAAAAAAAAAAAAAAALgIAAGRy&#10;cy9lMm9Eb2MueG1sUEsBAi0AFAAGAAgAAAAhAM/mOWDdAAAACQEAAA8AAAAAAAAAAAAAAAAAFgQA&#10;AGRycy9kb3ducmV2LnhtbFBLBQYAAAAABAAEAPMAAAAgBQAAAAA=&#10;" strokecolor="#4f81bd [3204]" strokeweight="2pt">
                <v:shadow on="t" color="black" opacity="24903f" origin=",.5" offset="0,.55556mm"/>
              </v:line>
            </w:pict>
          </mc:Fallback>
        </mc:AlternateContent>
      </w:r>
    </w:p>
    <w:p w14:paraId="09804953" w14:textId="77777777" w:rsidR="000B7D70" w:rsidRDefault="000B7D70">
      <w:pPr>
        <w:spacing w:before="240" w:after="240" w:line="360" w:lineRule="auto"/>
        <w:jc w:val="both"/>
        <w:rPr>
          <w:rFonts w:ascii="Palatino Linotype" w:eastAsia="Palatino Linotype" w:hAnsi="Palatino Linotype" w:cs="Palatino Linotype"/>
        </w:rPr>
      </w:pPr>
    </w:p>
    <w:p w14:paraId="1989A329" w14:textId="77777777" w:rsidR="000B7D70" w:rsidRDefault="000B7D70">
      <w:pPr>
        <w:spacing w:before="240" w:after="240" w:line="360" w:lineRule="auto"/>
        <w:jc w:val="both"/>
        <w:rPr>
          <w:rFonts w:ascii="Palatino Linotype" w:eastAsia="Palatino Linotype" w:hAnsi="Palatino Linotype" w:cs="Palatino Linotype"/>
        </w:rPr>
      </w:pPr>
    </w:p>
    <w:p w14:paraId="5045239A" w14:textId="77777777" w:rsidR="000B7D70" w:rsidRDefault="000B7D70">
      <w:pPr>
        <w:spacing w:before="240" w:after="240" w:line="360" w:lineRule="auto"/>
        <w:jc w:val="both"/>
        <w:rPr>
          <w:rFonts w:ascii="Palatino Linotype" w:eastAsia="Palatino Linotype" w:hAnsi="Palatino Linotype" w:cs="Palatino Linotype"/>
        </w:rPr>
      </w:pPr>
    </w:p>
    <w:p w14:paraId="07739E45" w14:textId="77777777" w:rsidR="000B7D70" w:rsidRDefault="000B7D70">
      <w:pPr>
        <w:spacing w:before="240" w:after="240" w:line="360" w:lineRule="auto"/>
        <w:jc w:val="both"/>
        <w:rPr>
          <w:rFonts w:ascii="Palatino Linotype" w:eastAsia="Palatino Linotype" w:hAnsi="Palatino Linotype" w:cs="Palatino Linotype"/>
        </w:rPr>
      </w:pPr>
    </w:p>
    <w:p w14:paraId="798B6FF1" w14:textId="77777777" w:rsidR="000B7D70" w:rsidRDefault="000B7D70">
      <w:pPr>
        <w:spacing w:before="240" w:after="240" w:line="360" w:lineRule="auto"/>
        <w:jc w:val="both"/>
        <w:rPr>
          <w:rFonts w:ascii="Palatino Linotype" w:eastAsia="Palatino Linotype" w:hAnsi="Palatino Linotype" w:cs="Palatino Linotype"/>
        </w:rPr>
      </w:pPr>
    </w:p>
    <w:p w14:paraId="75525733" w14:textId="77777777" w:rsidR="000B7D70" w:rsidRDefault="000B7D70">
      <w:pPr>
        <w:spacing w:before="240" w:after="240" w:line="360" w:lineRule="auto"/>
        <w:jc w:val="both"/>
        <w:rPr>
          <w:rFonts w:ascii="Palatino Linotype" w:eastAsia="Palatino Linotype" w:hAnsi="Palatino Linotype" w:cs="Palatino Linotype"/>
        </w:rPr>
      </w:pPr>
    </w:p>
    <w:p w14:paraId="72E83A08" w14:textId="77777777" w:rsidR="000B7D70" w:rsidRDefault="000B7D70">
      <w:pPr>
        <w:spacing w:before="240" w:after="240" w:line="360" w:lineRule="auto"/>
        <w:jc w:val="both"/>
        <w:rPr>
          <w:rFonts w:ascii="Palatino Linotype" w:eastAsia="Palatino Linotype" w:hAnsi="Palatino Linotype" w:cs="Palatino Linotype"/>
        </w:rPr>
      </w:pPr>
    </w:p>
    <w:p w14:paraId="52074482" w14:textId="77777777" w:rsidR="000B7D70" w:rsidRDefault="000B7D70">
      <w:pPr>
        <w:spacing w:before="240" w:after="240" w:line="360" w:lineRule="auto"/>
        <w:jc w:val="both"/>
        <w:rPr>
          <w:rFonts w:ascii="Palatino Linotype" w:eastAsia="Palatino Linotype" w:hAnsi="Palatino Linotype" w:cs="Palatino Linotype"/>
        </w:rPr>
      </w:pPr>
    </w:p>
    <w:p w14:paraId="7BDC15F3" w14:textId="77777777" w:rsidR="000B7D70" w:rsidRDefault="000B7D70">
      <w:pPr>
        <w:spacing w:before="240" w:after="240" w:line="360" w:lineRule="auto"/>
        <w:jc w:val="both"/>
        <w:rPr>
          <w:rFonts w:ascii="Palatino Linotype" w:eastAsia="Palatino Linotype" w:hAnsi="Palatino Linotype" w:cs="Palatino Linotype"/>
        </w:rPr>
      </w:pPr>
    </w:p>
    <w:p w14:paraId="45430C9B" w14:textId="77777777" w:rsidR="000B7D70" w:rsidRDefault="000B7D70">
      <w:pPr>
        <w:spacing w:before="240" w:after="240" w:line="360" w:lineRule="auto"/>
        <w:jc w:val="both"/>
        <w:rPr>
          <w:rFonts w:ascii="Palatino Linotype" w:eastAsia="Palatino Linotype" w:hAnsi="Palatino Linotype" w:cs="Palatino Linotype"/>
        </w:rPr>
      </w:pPr>
    </w:p>
    <w:p w14:paraId="38475D91" w14:textId="77777777" w:rsidR="000B7D70" w:rsidRDefault="000B7D70">
      <w:pPr>
        <w:spacing w:before="240" w:after="240" w:line="360" w:lineRule="auto"/>
        <w:jc w:val="both"/>
        <w:rPr>
          <w:rFonts w:ascii="Palatino Linotype" w:eastAsia="Palatino Linotype" w:hAnsi="Palatino Linotype" w:cs="Palatino Linotype"/>
        </w:rPr>
      </w:pPr>
    </w:p>
    <w:p w14:paraId="24DD538D" w14:textId="77777777" w:rsidR="000B7D70" w:rsidRDefault="000B7D70">
      <w:pPr>
        <w:spacing w:before="240" w:after="240" w:line="360" w:lineRule="auto"/>
        <w:jc w:val="both"/>
        <w:rPr>
          <w:rFonts w:ascii="Palatino Linotype" w:eastAsia="Palatino Linotype" w:hAnsi="Palatino Linotype" w:cs="Palatino Linotype"/>
        </w:rPr>
      </w:pPr>
    </w:p>
    <w:p w14:paraId="59DB13D3" w14:textId="77777777" w:rsidR="000B7D70" w:rsidRDefault="000B7D70">
      <w:pPr>
        <w:spacing w:before="240" w:after="240" w:line="360" w:lineRule="auto"/>
        <w:jc w:val="both"/>
        <w:rPr>
          <w:rFonts w:ascii="Palatino Linotype" w:eastAsia="Palatino Linotype" w:hAnsi="Palatino Linotype" w:cs="Palatino Linotype"/>
        </w:rPr>
      </w:pPr>
    </w:p>
    <w:p w14:paraId="44946A0E" w14:textId="77777777" w:rsidR="000B7D70" w:rsidRDefault="000B7D70">
      <w:pPr>
        <w:spacing w:before="240" w:after="240" w:line="360" w:lineRule="auto"/>
        <w:jc w:val="both"/>
        <w:rPr>
          <w:rFonts w:ascii="Palatino Linotype" w:eastAsia="Palatino Linotype" w:hAnsi="Palatino Linotype" w:cs="Palatino Linotype"/>
        </w:rPr>
      </w:pPr>
    </w:p>
    <w:p w14:paraId="0CB58437" w14:textId="77777777" w:rsidR="000B7D70" w:rsidRDefault="000B7D70">
      <w:pPr>
        <w:spacing w:before="240" w:after="240" w:line="360" w:lineRule="auto"/>
        <w:jc w:val="both"/>
        <w:rPr>
          <w:rFonts w:ascii="Palatino Linotype" w:eastAsia="Palatino Linotype" w:hAnsi="Palatino Linotype" w:cs="Palatino Linotype"/>
          <w:sz w:val="20"/>
          <w:szCs w:val="20"/>
        </w:rPr>
      </w:pPr>
    </w:p>
    <w:sectPr w:rsidR="000B7D70">
      <w:headerReference w:type="default" r:id="rId11"/>
      <w:footerReference w:type="default" r:id="rId12"/>
      <w:headerReference w:type="first" r:id="rId13"/>
      <w:footerReference w:type="first" r:id="rId14"/>
      <w:pgSz w:w="12240" w:h="15840"/>
      <w:pgMar w:top="2694"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5CFD4" w14:textId="77777777" w:rsidR="00EB67E2" w:rsidRDefault="00EB67E2">
      <w:r>
        <w:separator/>
      </w:r>
    </w:p>
  </w:endnote>
  <w:endnote w:type="continuationSeparator" w:id="0">
    <w:p w14:paraId="1BA2571B" w14:textId="77777777" w:rsidR="00EB67E2" w:rsidRDefault="00EB6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2208" w14:textId="77777777" w:rsidR="000B7D70" w:rsidRDefault="000B7D70">
    <w:pPr>
      <w:tabs>
        <w:tab w:val="center" w:pos="4252"/>
        <w:tab w:val="right" w:pos="8504"/>
      </w:tabs>
      <w:spacing w:line="360" w:lineRule="auto"/>
      <w:ind w:right="51"/>
      <w:jc w:val="both"/>
      <w:rPr>
        <w:rFonts w:ascii="Palatino Linotype" w:eastAsia="Palatino Linotype" w:hAnsi="Palatino Linotype" w:cs="Palatino Linotype"/>
      </w:rPr>
    </w:pPr>
  </w:p>
  <w:p w14:paraId="69C967F1" w14:textId="77777777" w:rsidR="000B7D70" w:rsidRDefault="001D713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0A35">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0A35">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p>
  <w:p w14:paraId="6EA57CFD" w14:textId="77777777" w:rsidR="000B7D70" w:rsidRDefault="001D713A">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val="es-MX"/>
      </w:rPr>
      <mc:AlternateContent>
        <mc:Choice Requires="wpg">
          <w:drawing>
            <wp:anchor distT="0" distB="0" distL="114300" distR="114300" simplePos="0" relativeHeight="251660288" behindDoc="0" locked="0" layoutInCell="1" hidden="0" allowOverlap="1" wp14:anchorId="10E6231C" wp14:editId="67DDB273">
              <wp:simplePos x="0" y="0"/>
              <wp:positionH relativeFrom="column">
                <wp:posOffset>1168400</wp:posOffset>
              </wp:positionH>
              <wp:positionV relativeFrom="paragraph">
                <wp:posOffset>8166100</wp:posOffset>
              </wp:positionV>
              <wp:extent cx="4659905" cy="422654"/>
              <wp:effectExtent l="0" t="0" r="0" b="0"/>
              <wp:wrapNone/>
              <wp:docPr id="87" name="Rectángulo redondeado 87"/>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3333"/>
                          </a:srgbClr>
                        </a:outerShdw>
                      </a:effectLst>
                    </wps:spPr>
                    <wps:txbx>
                      <w:txbxContent>
                        <w:p w14:paraId="076953BD" w14:textId="77777777" w:rsidR="000B7D70" w:rsidRDefault="000B7D7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1168400</wp:posOffset>
              </wp:positionH>
              <wp:positionV relativeFrom="paragraph">
                <wp:posOffset>8166100</wp:posOffset>
              </wp:positionV>
              <wp:extent cx="4659905" cy="422654"/>
              <wp:effectExtent b="0" l="0" r="0" t="0"/>
              <wp:wrapNone/>
              <wp:docPr id="8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659905" cy="422654"/>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B455" w14:textId="77777777" w:rsidR="000B7D70" w:rsidRDefault="001D713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0A3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0A35">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p>
  <w:p w14:paraId="538FF21A" w14:textId="77777777" w:rsidR="000B7D70" w:rsidRDefault="000B7D7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CC0CB" w14:textId="77777777" w:rsidR="00EB67E2" w:rsidRDefault="00EB67E2">
      <w:r>
        <w:separator/>
      </w:r>
    </w:p>
  </w:footnote>
  <w:footnote w:type="continuationSeparator" w:id="0">
    <w:p w14:paraId="56856AD1" w14:textId="77777777" w:rsidR="00EB67E2" w:rsidRDefault="00EB67E2">
      <w:r>
        <w:continuationSeparator/>
      </w:r>
    </w:p>
  </w:footnote>
  <w:footnote w:id="1">
    <w:p w14:paraId="247425D9" w14:textId="77777777" w:rsidR="000B7D70" w:rsidRDefault="001D71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Pr>
          <w:rFonts w:ascii="Palatino Linotype" w:eastAsia="Palatino Linotype" w:hAnsi="Palatino Linotype" w:cs="Palatino Linotype"/>
          <w:i/>
          <w:color w:val="000000"/>
          <w:sz w:val="16"/>
          <w:szCs w:val="16"/>
        </w:rPr>
        <w:t>desechamiento</w:t>
      </w:r>
      <w:proofErr w:type="spellEnd"/>
      <w:r>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6DCCCAD" w14:textId="77777777" w:rsidR="000B7D70" w:rsidRDefault="000B7D70">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2FA4D055" w14:textId="77777777" w:rsidR="000B7D70" w:rsidRDefault="001D713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60D90B4B" w14:textId="77777777" w:rsidR="000B7D70" w:rsidRDefault="001D713A">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Días: Todos los días del año a excepción de los sábados, los domingos e inhábiles en términos de lo previsto en el calendario oficial que para tal efecto apruebe el Pleno del Instituto;</w:t>
      </w:r>
    </w:p>
  </w:footnote>
  <w:footnote w:id="3">
    <w:p w14:paraId="019321DA" w14:textId="77777777" w:rsidR="000B7D70" w:rsidRDefault="001D713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https://www.infoem.org.mx/doc/acuerdos/20211215_ORD_45_CALENDARIO_OFICIAL_2022_ENERO_2023.pdf</w:t>
      </w:r>
    </w:p>
  </w:footnote>
  <w:footnote w:id="4">
    <w:p w14:paraId="0486675D" w14:textId="77777777" w:rsidR="000B7D70" w:rsidRDefault="001D71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33812FC" w14:textId="77777777" w:rsidR="000B7D70" w:rsidRDefault="001D713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E264B" w14:textId="77777777" w:rsidR="000B7D70" w:rsidRDefault="000B7D70">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457001EF" w14:textId="77777777" w:rsidR="000B7D70" w:rsidRDefault="001D713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E3CD9E0" wp14:editId="3F7F477C">
          <wp:simplePos x="0" y="0"/>
          <wp:positionH relativeFrom="column">
            <wp:posOffset>-1080129</wp:posOffset>
          </wp:positionH>
          <wp:positionV relativeFrom="paragraph">
            <wp:posOffset>-450209</wp:posOffset>
          </wp:positionV>
          <wp:extent cx="7809865" cy="10165715"/>
          <wp:effectExtent l="0" t="0" r="0" b="0"/>
          <wp:wrapNone/>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0B7D70" w14:paraId="6B3C833E" w14:textId="77777777">
      <w:tc>
        <w:tcPr>
          <w:tcW w:w="2489" w:type="dxa"/>
          <w:shd w:val="clear" w:color="auto" w:fill="auto"/>
        </w:tcPr>
        <w:p w14:paraId="7506FCDF"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81FE90E" w14:textId="77777777" w:rsidR="000B7D70" w:rsidRDefault="001D713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02324/INFOEM/IP/RR/2022 </w:t>
          </w:r>
        </w:p>
      </w:tc>
    </w:tr>
    <w:tr w:rsidR="000B7D70" w14:paraId="0B23A303" w14:textId="77777777">
      <w:trPr>
        <w:trHeight w:val="228"/>
      </w:trPr>
      <w:tc>
        <w:tcPr>
          <w:tcW w:w="2489" w:type="dxa"/>
          <w:shd w:val="clear" w:color="auto" w:fill="auto"/>
          <w:vAlign w:val="center"/>
        </w:tcPr>
        <w:p w14:paraId="0B83D478"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B7AA548" w14:textId="77777777" w:rsidR="000B7D70" w:rsidRDefault="001D713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Ayapango</w:t>
          </w:r>
        </w:p>
      </w:tc>
    </w:tr>
    <w:tr w:rsidR="000B7D70" w14:paraId="0531F280" w14:textId="77777777">
      <w:tc>
        <w:tcPr>
          <w:tcW w:w="2489" w:type="dxa"/>
          <w:shd w:val="clear" w:color="auto" w:fill="auto"/>
          <w:vAlign w:val="center"/>
        </w:tcPr>
        <w:p w14:paraId="7131541F" w14:textId="77777777" w:rsidR="000B7D70" w:rsidRDefault="001D713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C7525A5" w14:textId="77777777" w:rsidR="000B7D70" w:rsidRDefault="001D713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30DDE2" w14:textId="77777777" w:rsidR="000B7D70" w:rsidRDefault="001D713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378A7" w14:textId="77777777" w:rsidR="000B7D70" w:rsidRDefault="000B7D7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f2"/>
      <w:tblW w:w="5812" w:type="dxa"/>
      <w:tblInd w:w="2977" w:type="dxa"/>
      <w:tblLayout w:type="fixed"/>
      <w:tblLook w:val="0400" w:firstRow="0" w:lastRow="0" w:firstColumn="0" w:lastColumn="0" w:noHBand="0" w:noVBand="1"/>
    </w:tblPr>
    <w:tblGrid>
      <w:gridCol w:w="2551"/>
      <w:gridCol w:w="3261"/>
    </w:tblGrid>
    <w:tr w:rsidR="000B7D70" w14:paraId="6DCC9392" w14:textId="77777777">
      <w:tc>
        <w:tcPr>
          <w:tcW w:w="2551" w:type="dxa"/>
          <w:shd w:val="clear" w:color="auto" w:fill="auto"/>
          <w:vAlign w:val="center"/>
        </w:tcPr>
        <w:p w14:paraId="0F885F69"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7DC0F038" w14:textId="77777777" w:rsidR="000B7D70" w:rsidRDefault="001D713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02324/INFOEM/IP/RR/2022 </w:t>
          </w:r>
        </w:p>
      </w:tc>
    </w:tr>
    <w:tr w:rsidR="000B7D70" w14:paraId="004D235B" w14:textId="77777777">
      <w:trPr>
        <w:trHeight w:val="130"/>
      </w:trPr>
      <w:tc>
        <w:tcPr>
          <w:tcW w:w="2551" w:type="dxa"/>
          <w:shd w:val="clear" w:color="auto" w:fill="auto"/>
          <w:vAlign w:val="center"/>
        </w:tcPr>
        <w:p w14:paraId="5C46325C"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0C06EA09" w14:textId="77FE7A59" w:rsidR="000B7D70" w:rsidRDefault="006B0A35">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p>
      </w:tc>
    </w:tr>
    <w:tr w:rsidR="000B7D70" w14:paraId="319AF37B" w14:textId="77777777">
      <w:trPr>
        <w:trHeight w:val="228"/>
      </w:trPr>
      <w:tc>
        <w:tcPr>
          <w:tcW w:w="2551" w:type="dxa"/>
          <w:shd w:val="clear" w:color="auto" w:fill="auto"/>
          <w:vAlign w:val="center"/>
        </w:tcPr>
        <w:p w14:paraId="2A52037F"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275CE3C6" w14:textId="77777777" w:rsidR="000B7D70" w:rsidRDefault="001D713A">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Ayapango</w:t>
          </w:r>
        </w:p>
      </w:tc>
    </w:tr>
    <w:tr w:rsidR="000B7D70" w14:paraId="5D163A4E" w14:textId="77777777">
      <w:tc>
        <w:tcPr>
          <w:tcW w:w="2551" w:type="dxa"/>
          <w:shd w:val="clear" w:color="auto" w:fill="auto"/>
          <w:vAlign w:val="center"/>
        </w:tcPr>
        <w:p w14:paraId="207B7347" w14:textId="77777777" w:rsidR="000B7D70" w:rsidRDefault="001D71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3B022A1C" w14:textId="77777777" w:rsidR="000B7D70" w:rsidRDefault="001D713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C79CC6" w14:textId="77777777" w:rsidR="000B7D70" w:rsidRDefault="001D713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F13D858" wp14:editId="775F7764">
          <wp:simplePos x="0" y="0"/>
          <wp:positionH relativeFrom="column">
            <wp:posOffset>-1090924</wp:posOffset>
          </wp:positionH>
          <wp:positionV relativeFrom="paragraph">
            <wp:posOffset>-1154424</wp:posOffset>
          </wp:positionV>
          <wp:extent cx="7809865" cy="10165715"/>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2D2168"/>
    <w:multiLevelType w:val="multilevel"/>
    <w:tmpl w:val="9C98089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F70BDC"/>
    <w:multiLevelType w:val="multilevel"/>
    <w:tmpl w:val="54EC699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D70"/>
    <w:rsid w:val="000B7D70"/>
    <w:rsid w:val="001D713A"/>
    <w:rsid w:val="003A79E9"/>
    <w:rsid w:val="00454086"/>
    <w:rsid w:val="006B0A35"/>
    <w:rsid w:val="006F0937"/>
    <w:rsid w:val="00800573"/>
    <w:rsid w:val="00B4222C"/>
    <w:rsid w:val="00BD7376"/>
    <w:rsid w:val="00EB67E2"/>
    <w:rsid w:val="00F604F8"/>
    <w:rsid w:val="00FD62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B2807"/>
  <w15:docId w15:val="{BC1C27EA-D644-4D5D-BAA7-3CC656D6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4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dM8L1GtKYRbu0uCpHzj8tmEiCQ==">AMUW2mX2deDtQGgTZXnj5DSvKP1KTr53n+xIaUspOZFnj3rCv3N6TyvT1lhN/8Wfc1ikAIH5X+ToWbbrNG3uQ4UXkIvbcIfnhosk0nu2xfnH1cFSOvyfR2qBuzII1/YOsUUg50JwuYOUoM2WSgwyN3uuN82Zx5zT8C7bQPEhuE2ZAUmcMP0g0sEDk8r6HRHjA3EkAlBau4an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2497</Words>
  <Characters>13735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cp:lastPrinted>2022-05-16T05:52:00Z</cp:lastPrinted>
  <dcterms:created xsi:type="dcterms:W3CDTF">2022-05-13T16:27:00Z</dcterms:created>
  <dcterms:modified xsi:type="dcterms:W3CDTF">2022-06-06T16:49:00Z</dcterms:modified>
</cp:coreProperties>
</file>