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50" w:rsidRDefault="00E04E8B">
      <w:pPr>
        <w:spacing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mayo de dos mil veintidós. </w:t>
      </w:r>
    </w:p>
    <w:p w:rsidR="00152C50" w:rsidRDefault="00152C50">
      <w:pPr>
        <w:spacing w:line="360" w:lineRule="auto"/>
        <w:jc w:val="both"/>
        <w:rPr>
          <w:rFonts w:ascii="Palatino Linotype" w:eastAsia="Palatino Linotype" w:hAnsi="Palatino Linotype" w:cs="Palatino Linotype"/>
          <w:b/>
        </w:rPr>
      </w:pPr>
    </w:p>
    <w:p w:rsidR="00152C50" w:rsidRDefault="00E04E8B">
      <w:pPr>
        <w:spacing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00824/INFOEM/IP/RR/2022</w:t>
      </w:r>
      <w:r>
        <w:rPr>
          <w:rFonts w:ascii="Palatino Linotype" w:eastAsia="Palatino Linotype" w:hAnsi="Palatino Linotype" w:cs="Palatino Linotype"/>
        </w:rPr>
        <w:t>, interpuesto por una persona usuaria del Sistema de Acceso a la Información Mexiquense (SAIMEX), que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identificada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la solicitud de acceso a la información con número de identificación </w:t>
      </w:r>
      <w:r>
        <w:rPr>
          <w:rFonts w:ascii="Palatino Linotype" w:eastAsia="Palatino Linotype" w:hAnsi="Palatino Linotype" w:cs="Palatino Linotype"/>
          <w:b/>
        </w:rPr>
        <w:t>00026/TEOLOYU/IP/2022,</w:t>
      </w:r>
      <w:r>
        <w:rPr>
          <w:rFonts w:ascii="Palatino Linotype" w:eastAsia="Palatino Linotype" w:hAnsi="Palatino Linotype" w:cs="Palatino Linotype"/>
        </w:rPr>
        <w:t xml:space="preserve"> emitida por el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a quien en lo sucesivo se le denominará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es que procede a dictar la presente resolución con base en los siguientes: </w:t>
      </w:r>
    </w:p>
    <w:p w:rsidR="00152C50" w:rsidRDefault="00152C50">
      <w:pPr>
        <w:spacing w:line="360" w:lineRule="auto"/>
        <w:jc w:val="both"/>
        <w:rPr>
          <w:rFonts w:ascii="Palatino Linotype" w:eastAsia="Palatino Linotype" w:hAnsi="Palatino Linotype" w:cs="Palatino Linotype"/>
        </w:rPr>
      </w:pPr>
      <w:bookmarkStart w:id="2" w:name="_heading=h.w5sic3ip2uvt" w:colFirst="0" w:colLast="0"/>
      <w:bookmarkEnd w:id="2"/>
    </w:p>
    <w:p w:rsidR="00152C50" w:rsidRDefault="00E04E8B">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152C50" w:rsidRDefault="00152C50">
      <w:pPr>
        <w:spacing w:line="360" w:lineRule="auto"/>
        <w:jc w:val="center"/>
        <w:rPr>
          <w:rFonts w:ascii="Palatino Linotype" w:eastAsia="Palatino Linotype" w:hAnsi="Palatino Linotype" w:cs="Palatino Linotype"/>
          <w:b/>
          <w:sz w:val="28"/>
          <w:szCs w:val="28"/>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diecisiete de enero de dos mil veintidós,</w:t>
      </w:r>
      <w:r>
        <w:rPr>
          <w:rFonts w:ascii="Palatino Linotype" w:eastAsia="Palatino Linotype" w:hAnsi="Palatino Linotype" w:cs="Palatino Linotype"/>
        </w:rPr>
        <w:t xml:space="preserve"> la entonces persona solicitante,</w:t>
      </w:r>
      <w:r>
        <w:rPr>
          <w:rFonts w:ascii="Palatino Linotype" w:eastAsia="Palatino Linotype" w:hAnsi="Palatino Linotype" w:cs="Palatino Linotype"/>
          <w:b/>
        </w:rPr>
        <w:t xml:space="preserve"> </w:t>
      </w:r>
      <w:r>
        <w:rPr>
          <w:rFonts w:ascii="Palatino Linotype" w:eastAsia="Palatino Linotype" w:hAnsi="Palatino Linotype" w:cs="Palatino Linotype"/>
        </w:rPr>
        <w:t>presentó a través del Sistema de Acceso a la Información Mexiquense (SAIMEX)</w:t>
      </w:r>
      <w:r>
        <w:rPr>
          <w:rFonts w:ascii="Palatino Linotype" w:eastAsia="Palatino Linotype" w:hAnsi="Palatino Linotype" w:cs="Palatino Linotype"/>
          <w:b/>
        </w:rPr>
        <w:t>,</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00026/TEOLOYU/IP/2022, </w:t>
      </w:r>
      <w:r>
        <w:rPr>
          <w:rFonts w:ascii="Palatino Linotype" w:eastAsia="Palatino Linotype" w:hAnsi="Palatino Linotype" w:cs="Palatino Linotype"/>
        </w:rPr>
        <w:t xml:space="preserve">mediante la cual requirió lo siguiente: </w:t>
      </w:r>
    </w:p>
    <w:p w:rsidR="00152C50" w:rsidRDefault="00152C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152C50" w:rsidRDefault="00E04E8B">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bookmarkStart w:id="3" w:name="_heading=h.gjdgxs" w:colFirst="0" w:colLast="0"/>
      <w:bookmarkEnd w:id="3"/>
      <w:r>
        <w:rPr>
          <w:rFonts w:ascii="Palatino Linotype" w:eastAsia="Palatino Linotype" w:hAnsi="Palatino Linotype" w:cs="Palatino Linotype"/>
          <w:i/>
          <w:color w:val="404040"/>
          <w:sz w:val="22"/>
          <w:szCs w:val="22"/>
        </w:rPr>
        <w:t>“solicito saber cuantos recusros de revision tienen el ayuntamiento de teoloyucan en la unidad de transparencia” (sic)</w:t>
      </w:r>
    </w:p>
    <w:p w:rsidR="00152C50" w:rsidRDefault="00152C50">
      <w:pPr>
        <w:pBdr>
          <w:top w:val="nil"/>
          <w:left w:val="nil"/>
          <w:bottom w:val="nil"/>
          <w:right w:val="nil"/>
          <w:between w:val="nil"/>
        </w:pBdr>
        <w:ind w:right="864"/>
        <w:jc w:val="both"/>
        <w:rPr>
          <w:rFonts w:ascii="Palatino Linotype" w:eastAsia="Palatino Linotype" w:hAnsi="Palatino Linotype" w:cs="Palatino Linotype"/>
          <w:i/>
          <w:color w:val="404040"/>
          <w:sz w:val="22"/>
          <w:szCs w:val="22"/>
        </w:rPr>
      </w:pPr>
    </w:p>
    <w:p w:rsidR="00152C50" w:rsidRDefault="00E04E8B">
      <w:pPr>
        <w:pBdr>
          <w:top w:val="nil"/>
          <w:left w:val="nil"/>
          <w:bottom w:val="nil"/>
          <w:right w:val="nil"/>
          <w:between w:val="nil"/>
        </w:pBdr>
        <w:spacing w:line="360" w:lineRule="auto"/>
        <w:ind w:right="864"/>
        <w:jc w:val="both"/>
        <w:rPr>
          <w:rFonts w:ascii="Palatino Linotype" w:eastAsia="Palatino Linotype" w:hAnsi="Palatino Linotype" w:cs="Palatino Linotype"/>
          <w:color w:val="404040"/>
          <w:sz w:val="22"/>
          <w:szCs w:val="22"/>
        </w:rPr>
      </w:pPr>
      <w:r>
        <w:rPr>
          <w:rFonts w:ascii="Palatino Linotype" w:eastAsia="Palatino Linotype" w:hAnsi="Palatino Linotype" w:cs="Palatino Linotype"/>
          <w:b/>
          <w:color w:val="404040"/>
        </w:rPr>
        <w:t>Modalidad de Entrega:</w:t>
      </w:r>
      <w:r>
        <w:rPr>
          <w:rFonts w:ascii="Palatino Linotype" w:eastAsia="Palatino Linotype" w:hAnsi="Palatino Linotype" w:cs="Palatino Linotype"/>
          <w:color w:val="404040"/>
        </w:rPr>
        <w:t xml:space="preserve"> A través del SAIMEX.</w:t>
      </w: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febrero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respondió a la solicitud de información en los términos siguientes:</w:t>
      </w:r>
    </w:p>
    <w:p w:rsidR="00152C50" w:rsidRDefault="00152C50">
      <w:pPr>
        <w:pBdr>
          <w:top w:val="nil"/>
          <w:left w:val="nil"/>
          <w:bottom w:val="nil"/>
          <w:right w:val="nil"/>
          <w:between w:val="nil"/>
        </w:pBdr>
        <w:ind w:left="864" w:right="864"/>
        <w:jc w:val="both"/>
        <w:rPr>
          <w:i/>
          <w:color w:val="404040"/>
          <w:sz w:val="22"/>
          <w:szCs w:val="22"/>
        </w:rPr>
      </w:pPr>
    </w:p>
    <w:p w:rsidR="00152C50" w:rsidRDefault="00E04E8B">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“Derivado de la entrega-recepción de la nueva administración 2022-2024 y de que no había personal que pudiera atender las solicitudes de información hasta el día 26 de enero del presente año, hasta ahora podemos dar respuesta a su solicitud, en respuesta le notifoco que hasta el día de hoy 04 de febrero de 2022 </w:t>
      </w:r>
      <w:r>
        <w:rPr>
          <w:rFonts w:ascii="Palatino Linotype" w:eastAsia="Palatino Linotype" w:hAnsi="Palatino Linotype" w:cs="Palatino Linotype"/>
          <w:b/>
          <w:i/>
          <w:color w:val="404040"/>
          <w:sz w:val="22"/>
          <w:szCs w:val="22"/>
          <w:u w:val="single"/>
        </w:rPr>
        <w:t>existe un recurso de revisión</w:t>
      </w:r>
      <w:r>
        <w:rPr>
          <w:rFonts w:ascii="Palatino Linotype" w:eastAsia="Palatino Linotype" w:hAnsi="Palatino Linotype" w:cs="Palatino Linotype"/>
          <w:i/>
          <w:color w:val="404040"/>
          <w:sz w:val="22"/>
          <w:szCs w:val="22"/>
        </w:rPr>
        <w:t>” (sic)</w:t>
      </w:r>
    </w:p>
    <w:p w:rsidR="00152C50" w:rsidRDefault="00152C50">
      <w:pPr>
        <w:ind w:right="49"/>
        <w:jc w:val="both"/>
        <w:rPr>
          <w:rFonts w:ascii="Palatino Linotype" w:eastAsia="Palatino Linotype" w:hAnsi="Palatino Linotype" w:cs="Palatino Linotype"/>
          <w:b/>
        </w:rPr>
      </w:pPr>
    </w:p>
    <w:p w:rsidR="00152C50" w:rsidRDefault="00E04E8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catorce de febrero de dos mil veintidós, </w:t>
      </w:r>
      <w:r>
        <w:rPr>
          <w:rFonts w:ascii="Palatino Linotype" w:eastAsia="Palatino Linotype" w:hAnsi="Palatino Linotype" w:cs="Palatino Linotype"/>
        </w:rPr>
        <w:t>inconforme con la respuesta, la persona solicitante presentó el recurso de revisión en el que manifestó lo siguiente:</w:t>
      </w:r>
    </w:p>
    <w:p w:rsidR="00152C50" w:rsidRDefault="00152C50">
      <w:pPr>
        <w:spacing w:line="360" w:lineRule="auto"/>
        <w:ind w:right="49"/>
        <w:jc w:val="both"/>
        <w:rPr>
          <w:rFonts w:ascii="Palatino Linotype" w:eastAsia="Palatino Linotype" w:hAnsi="Palatino Linotype" w:cs="Palatino Linotype"/>
          <w:b/>
        </w:rPr>
      </w:pPr>
    </w:p>
    <w:p w:rsidR="00152C50" w:rsidRDefault="00E04E8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152C50" w:rsidRDefault="00152C50">
      <w:pPr>
        <w:spacing w:line="360" w:lineRule="auto"/>
        <w:ind w:left="851" w:right="900"/>
        <w:jc w:val="both"/>
        <w:rPr>
          <w:rFonts w:ascii="Palatino Linotype" w:eastAsia="Palatino Linotype" w:hAnsi="Palatino Linotype" w:cs="Palatino Linotype"/>
          <w:i/>
          <w:sz w:val="2"/>
          <w:szCs w:val="2"/>
        </w:rPr>
      </w:pPr>
    </w:p>
    <w:p w:rsidR="00152C50" w:rsidRDefault="00152C50">
      <w:pPr>
        <w:pBdr>
          <w:top w:val="nil"/>
          <w:left w:val="nil"/>
          <w:bottom w:val="nil"/>
          <w:right w:val="nil"/>
          <w:between w:val="nil"/>
        </w:pBdr>
        <w:ind w:left="864" w:right="864"/>
        <w:jc w:val="both"/>
        <w:rPr>
          <w:i/>
          <w:color w:val="404040"/>
          <w:sz w:val="22"/>
          <w:szCs w:val="22"/>
        </w:rPr>
      </w:pPr>
    </w:p>
    <w:p w:rsidR="00152C50" w:rsidRDefault="00E04E8B">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“la titular de la unidad de transparencia oculta informacion, ademas de no darla clara y fidedigna” (sic)</w:t>
      </w:r>
    </w:p>
    <w:p w:rsidR="00152C50" w:rsidRDefault="00152C50">
      <w:pPr>
        <w:spacing w:line="360" w:lineRule="auto"/>
        <w:ind w:right="49"/>
        <w:jc w:val="both"/>
        <w:rPr>
          <w:rFonts w:ascii="Palatino Linotype" w:eastAsia="Palatino Linotype" w:hAnsi="Palatino Linotype" w:cs="Palatino Linotype"/>
          <w:b/>
        </w:rPr>
      </w:pPr>
    </w:p>
    <w:p w:rsidR="00152C50" w:rsidRDefault="00E04E8B">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la inconformidad: </w:t>
      </w:r>
    </w:p>
    <w:p w:rsidR="00152C50" w:rsidRDefault="00152C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152C50" w:rsidRDefault="00E04E8B">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“la titular de la unidad de transparencia oculta informacion, ademas de no darla clara y fidedigna" (sic)</w:t>
      </w:r>
    </w:p>
    <w:p w:rsidR="00152C50" w:rsidRDefault="00152C50">
      <w:pPr>
        <w:spacing w:line="360" w:lineRule="auto"/>
        <w:jc w:val="both"/>
        <w:rPr>
          <w:rFonts w:ascii="Palatino Linotype" w:eastAsia="Palatino Linotype" w:hAnsi="Palatino Linotype" w:cs="Palatino Linotype"/>
          <w:sz w:val="2"/>
          <w:szCs w:val="2"/>
        </w:rPr>
      </w:pPr>
    </w:p>
    <w:p w:rsidR="00152C50" w:rsidRDefault="00152C50">
      <w:pPr>
        <w:spacing w:line="360" w:lineRule="auto"/>
        <w:jc w:val="both"/>
        <w:rPr>
          <w:rFonts w:ascii="Palatino Linotype" w:eastAsia="Palatino Linotype" w:hAnsi="Palatino Linotype" w:cs="Palatino Linotype"/>
          <w:b/>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conformidad con el artículo 185 fracción I de la Ley de Transparencia y Acceso a la Información Pública del Estado de México y Municipios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el presente recurso de revisión se turnó por el sistema electrónico del Instituto de Transparencia, </w:t>
      </w:r>
      <w:r>
        <w:rPr>
          <w:rFonts w:ascii="Palatino Linotype" w:eastAsia="Palatino Linotype" w:hAnsi="Palatino Linotype" w:cs="Palatino Linotype"/>
        </w:rPr>
        <w:lastRenderedPageBreak/>
        <w:t xml:space="preserve">Acceso a la Información Pública y Protección de Datos Personales del Estado de México y Municipios, a la Comisionada Ponente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152C50" w:rsidRDefault="00152C50">
      <w:pPr>
        <w:spacing w:line="360" w:lineRule="auto"/>
        <w:jc w:val="both"/>
        <w:rPr>
          <w:rFonts w:ascii="Palatino Linotype" w:eastAsia="Palatino Linotype" w:hAnsi="Palatino Linotype" w:cs="Palatino Linotype"/>
          <w:b/>
        </w:rPr>
      </w:pPr>
    </w:p>
    <w:p w:rsidR="00152C50" w:rsidRDefault="00E04E8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diecisiete de febrero dos mil veintidós, </w:t>
      </w:r>
      <w:r>
        <w:rPr>
          <w:rFonts w:ascii="Palatino Linotype" w:eastAsia="Palatino Linotype" w:hAnsi="Palatino Linotype" w:cs="Palatino Linotype"/>
        </w:rPr>
        <w:t xml:space="preserve">este Instituto, admitió a trámite el recurso de revisión,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presentara su </w:t>
      </w:r>
      <w:r>
        <w:rPr>
          <w:rFonts w:ascii="Palatino Linotype" w:eastAsia="Palatino Linotype" w:hAnsi="Palatino Linotype" w:cs="Palatino Linotype"/>
          <w:b/>
        </w:rPr>
        <w:t>Informe Justificado.</w:t>
      </w:r>
    </w:p>
    <w:p w:rsidR="00152C50" w:rsidRDefault="00152C50">
      <w:pPr>
        <w:widowControl w:val="0"/>
        <w:spacing w:line="360" w:lineRule="auto"/>
        <w:jc w:val="both"/>
        <w:rPr>
          <w:rFonts w:ascii="Palatino Linotype" w:eastAsia="Palatino Linotype" w:hAnsi="Palatino Linotype" w:cs="Palatino Linotype"/>
          <w:b/>
        </w:rPr>
      </w:pPr>
    </w:p>
    <w:p w:rsidR="00152C50" w:rsidRDefault="00E04E8B">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quince de marzo de dos mil veintidós, </w:t>
      </w:r>
      <w:r>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remitió el archivo electrónico identificado como “</w:t>
      </w:r>
      <w:r>
        <w:rPr>
          <w:rFonts w:ascii="Palatino Linotype" w:eastAsia="Palatino Linotype" w:hAnsi="Palatino Linotype" w:cs="Palatino Linotype"/>
          <w:i/>
        </w:rPr>
        <w:t>Informe Justificado RR 824.pdf”,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consistente dos fojas que contienen el oficio  </w:t>
      </w:r>
      <w:r>
        <w:rPr>
          <w:rFonts w:ascii="Palatino Linotype" w:eastAsia="Palatino Linotype" w:hAnsi="Palatino Linotype" w:cs="Palatino Linotype"/>
          <w:i/>
        </w:rPr>
        <w:t>UT/KMP/213/2022</w:t>
      </w:r>
      <w:r>
        <w:rPr>
          <w:rFonts w:ascii="Palatino Linotype" w:eastAsia="Palatino Linotype" w:hAnsi="Palatino Linotype" w:cs="Palatino Linotype"/>
        </w:rPr>
        <w:t>, de fecha quince de marzo de dos mil veintidós, suscrito y signado por la Titular de la Unidad de Transparencia del Ayuntamiento de Teoloyucan, por medio del cual expresó lo siguiente:</w:t>
      </w:r>
    </w:p>
    <w:p w:rsidR="00152C50" w:rsidRDefault="00152C50">
      <w:pPr>
        <w:widowControl w:val="0"/>
        <w:spacing w:line="360" w:lineRule="auto"/>
        <w:jc w:val="both"/>
        <w:rPr>
          <w:rFonts w:ascii="Palatino Linotype" w:eastAsia="Palatino Linotype" w:hAnsi="Palatino Linotype" w:cs="Palatino Linotype"/>
        </w:rPr>
      </w:pPr>
    </w:p>
    <w:p w:rsidR="00152C50" w:rsidRDefault="00E04E8B">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“La Unidad de Transparencia al momento de realizar el estudio y análisis del requerimiento formulado a efecto de poder determinar el área competente para su atención, observó que del requerimiento se desprende que solicita el número de recursos de revisión de la Unidad de Transparencia.  </w:t>
      </w:r>
    </w:p>
    <w:p w:rsidR="00152C50" w:rsidRDefault="00E04E8B">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En ese orden de ideas, me permito manifestarle que la Unidad de Transparencia se encuentra trabajando para darle respuesta a las solicitudes de información pública. </w:t>
      </w:r>
    </w:p>
    <w:p w:rsidR="00152C50" w:rsidRDefault="00E04E8B">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 xml:space="preserve">Cabe señalar que la información que requiere es de </w:t>
      </w:r>
      <w:r>
        <w:rPr>
          <w:rFonts w:ascii="Palatino Linotype" w:eastAsia="Palatino Linotype" w:hAnsi="Palatino Linotype" w:cs="Palatino Linotype"/>
          <w:b/>
          <w:i/>
          <w:color w:val="404040"/>
          <w:sz w:val="22"/>
          <w:szCs w:val="22"/>
          <w:u w:val="single"/>
        </w:rPr>
        <w:t xml:space="preserve">28 recursos de revisión en el año 2022 </w:t>
      </w:r>
      <w:r>
        <w:rPr>
          <w:rFonts w:ascii="Palatino Linotype" w:eastAsia="Palatino Linotype" w:hAnsi="Palatino Linotype" w:cs="Palatino Linotype"/>
          <w:i/>
          <w:color w:val="404040"/>
          <w:sz w:val="22"/>
          <w:szCs w:val="22"/>
        </w:rPr>
        <w:t>y para prueba de ello adjunto una captura de pantalla del sistema SAIMEX:” (sic)</w:t>
      </w:r>
    </w:p>
    <w:p w:rsidR="00152C50" w:rsidRDefault="00152C50">
      <w:pPr>
        <w:spacing w:line="276" w:lineRule="auto"/>
      </w:pPr>
    </w:p>
    <w:p w:rsidR="00152C50" w:rsidRDefault="00E04E8B">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el </w:t>
      </w:r>
      <w:r>
        <w:rPr>
          <w:rFonts w:ascii="Palatino Linotype" w:eastAsia="Palatino Linotype" w:hAnsi="Palatino Linotype" w:cs="Palatino Linotype"/>
          <w:b/>
        </w:rPr>
        <w:t>cuatro de abril de dos mil veintidós,</w:t>
      </w:r>
      <w:r>
        <w:rPr>
          <w:rFonts w:ascii="Palatino Linotype" w:eastAsia="Palatino Linotype" w:hAnsi="Palatino Linotype" w:cs="Palatino Linotype"/>
        </w:rPr>
        <w:t xml:space="preserve"> se notificó a</w:t>
      </w:r>
      <w:r w:rsidR="0079471F">
        <w:rPr>
          <w:rFonts w:ascii="Palatino Linotype" w:eastAsia="Palatino Linotype" w:hAnsi="Palatino Linotype" w:cs="Palatino Linotype"/>
        </w:rPr>
        <w:t>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para su conocimiento y para que manifestara lo que a su derecho asistiera y conviniera. </w:t>
      </w:r>
    </w:p>
    <w:p w:rsidR="00152C50" w:rsidRDefault="00152C50">
      <w:pPr>
        <w:widowControl w:val="0"/>
        <w:spacing w:line="360" w:lineRule="auto"/>
        <w:jc w:val="both"/>
        <w:rPr>
          <w:rFonts w:ascii="Palatino Linotype" w:eastAsia="Palatino Linotype" w:hAnsi="Palatino Linotype" w:cs="Palatino Linotype"/>
        </w:rPr>
      </w:pPr>
    </w:p>
    <w:p w:rsidR="00152C50" w:rsidRDefault="00E04E8B">
      <w:pPr>
        <w:widowControl w:val="0"/>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realizó manifestaciones, formuló alegatos ni ofreció medios de prueba. </w:t>
      </w:r>
    </w:p>
    <w:p w:rsidR="00152C50" w:rsidRDefault="00152C50">
      <w:pPr>
        <w:widowControl w:val="0"/>
        <w:spacing w:line="360" w:lineRule="auto"/>
        <w:jc w:val="both"/>
        <w:rPr>
          <w:rFonts w:ascii="Palatino Linotype" w:eastAsia="Palatino Linotype" w:hAnsi="Palatino Linotype" w:cs="Palatino Linotype"/>
          <w:b/>
        </w:rPr>
      </w:pPr>
    </w:p>
    <w:p w:rsidR="00152C50" w:rsidRDefault="00E04E8B">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Ampliación del plazo. </w:t>
      </w:r>
      <w:r>
        <w:rPr>
          <w:rFonts w:ascii="Palatino Linotype" w:eastAsia="Palatino Linotype" w:hAnsi="Palatino Linotype" w:cs="Palatino Linotype"/>
        </w:rPr>
        <w:t xml:space="preserve">El </w:t>
      </w:r>
      <w:r>
        <w:rPr>
          <w:rFonts w:ascii="Palatino Linotype" w:eastAsia="Palatino Linotype" w:hAnsi="Palatino Linotype" w:cs="Palatino Linotype"/>
          <w:b/>
        </w:rPr>
        <w:t>cuatro de abril de dos mil veintidós</w:t>
      </w:r>
      <w:r>
        <w:rPr>
          <w:rFonts w:ascii="Palatino Linotype" w:eastAsia="Palatino Linotype" w:hAnsi="Palatino Linotype" w:cs="Palatino Linotype"/>
        </w:rPr>
        <w:t xml:space="preserve">, este Organismo Garante, con fundamento en el artículo 181, párrafo tercero, de la Ley de Transparencia, determinó mediante el acuerdo respectivo, ampliar por quince días hábiles adicionales el plazo para emitir la presente resolución. </w:t>
      </w:r>
    </w:p>
    <w:p w:rsidR="00152C50" w:rsidRDefault="00152C50">
      <w:pPr>
        <w:widowControl w:val="0"/>
        <w:spacing w:line="360" w:lineRule="auto"/>
        <w:jc w:val="both"/>
        <w:rPr>
          <w:rFonts w:ascii="Palatino Linotype" w:eastAsia="Palatino Linotype" w:hAnsi="Palatino Linotype" w:cs="Palatino Linotype"/>
          <w:b/>
        </w:rPr>
      </w:pPr>
    </w:p>
    <w:p w:rsidR="00152C50" w:rsidRDefault="00E04E8B">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 la instrumental de actuaciones, el </w:t>
      </w:r>
      <w:r w:rsidRPr="00B96EED">
        <w:rPr>
          <w:rFonts w:ascii="Palatino Linotype" w:eastAsia="Palatino Linotype" w:hAnsi="Palatino Linotype" w:cs="Palatino Linotype"/>
        </w:rPr>
        <w:t xml:space="preserve">día </w:t>
      </w:r>
      <w:r w:rsidR="00B96EED" w:rsidRPr="00B96EED">
        <w:rPr>
          <w:rFonts w:ascii="Palatino Linotype" w:eastAsia="Palatino Linotype" w:hAnsi="Palatino Linotype" w:cs="Palatino Linotype"/>
          <w:b/>
        </w:rPr>
        <w:t>veintiocho</w:t>
      </w:r>
      <w:r w:rsidRPr="00B96EED">
        <w:rPr>
          <w:rFonts w:ascii="Palatino Linotype" w:eastAsia="Palatino Linotype" w:hAnsi="Palatino Linotype" w:cs="Palatino Linotype"/>
          <w:b/>
        </w:rPr>
        <w:t xml:space="preserve"> de abril de dos </w:t>
      </w:r>
      <w:r>
        <w:rPr>
          <w:rFonts w:ascii="Palatino Linotype" w:eastAsia="Palatino Linotype" w:hAnsi="Palatino Linotype" w:cs="Palatino Linotype"/>
          <w:b/>
        </w:rPr>
        <w:t>mil veintidós</w:t>
      </w:r>
      <w:r>
        <w:rPr>
          <w:rFonts w:ascii="Palatino Linotype" w:eastAsia="Palatino Linotype" w:hAnsi="Palatino Linotype" w:cs="Palatino Linotype"/>
        </w:rPr>
        <w:t>, es que la Comisionada Ponente determinó el cierre de instrucción en términos de la fracción VI del artículo 185 de la L</w:t>
      </w:r>
      <w:r w:rsidR="00B96EED">
        <w:rPr>
          <w:rFonts w:ascii="Palatino Linotype" w:eastAsia="Palatino Linotype" w:hAnsi="Palatino Linotype" w:cs="Palatino Linotype"/>
        </w:rPr>
        <w:t xml:space="preserve">ey de Transparencia y Acceso a la Información Pública del Estado de México y Municipios. </w:t>
      </w:r>
    </w:p>
    <w:p w:rsidR="0079471F" w:rsidRPr="000D66F2" w:rsidRDefault="0079471F" w:rsidP="0079471F">
      <w:pPr>
        <w:widowControl w:val="0"/>
        <w:spacing w:before="240" w:after="240" w:line="360" w:lineRule="auto"/>
        <w:jc w:val="both"/>
        <w:rPr>
          <w:rFonts w:ascii="Palatino Linotype" w:eastAsia="Palatino Linotype" w:hAnsi="Palatino Linotype" w:cs="Palatino Linotype"/>
        </w:rPr>
      </w:pPr>
      <w:r w:rsidRPr="000D66F2">
        <w:rPr>
          <w:rFonts w:ascii="Palatino Linotype" w:eastAsia="Palatino Linotype" w:hAnsi="Palatino Linotype" w:cs="Palatino Linotype"/>
        </w:rPr>
        <w:t>En razón de que fue debidamente sustanciado el expediente electrónico y no existe</w:t>
      </w:r>
      <w:r>
        <w:rPr>
          <w:rFonts w:ascii="Palatino Linotype" w:eastAsia="Palatino Linotype" w:hAnsi="Palatino Linotype" w:cs="Palatino Linotype"/>
        </w:rPr>
        <w:t xml:space="preserve"> </w:t>
      </w:r>
      <w:r w:rsidRPr="000D66F2">
        <w:rPr>
          <w:rFonts w:ascii="Palatino Linotype" w:eastAsia="Palatino Linotype" w:hAnsi="Palatino Linotype" w:cs="Palatino Linotype"/>
        </w:rPr>
        <w:t>diligencia pendiente de desahogo, se emite la Re</w:t>
      </w:r>
      <w:r>
        <w:rPr>
          <w:rFonts w:ascii="Palatino Linotype" w:eastAsia="Palatino Linotype" w:hAnsi="Palatino Linotype" w:cs="Palatino Linotype"/>
        </w:rPr>
        <w:t xml:space="preserve">solución que conforme a Derecho </w:t>
      </w:r>
      <w:r w:rsidRPr="000D66F2">
        <w:rPr>
          <w:rFonts w:ascii="Palatino Linotype" w:eastAsia="Palatino Linotype" w:hAnsi="Palatino Linotype" w:cs="Palatino Linotype"/>
        </w:rPr>
        <w:t>proceda, de acuerdo con los siguientes:</w:t>
      </w:r>
      <w:r w:rsidRPr="000D66F2">
        <w:rPr>
          <w:rFonts w:ascii="Palatino Linotype" w:eastAsia="Palatino Linotype" w:hAnsi="Palatino Linotype" w:cs="Palatino Linotype"/>
          <w:b/>
        </w:rPr>
        <w:t xml:space="preserve"> </w:t>
      </w:r>
    </w:p>
    <w:p w:rsidR="00152C50" w:rsidRDefault="00E04E8B">
      <w:pPr>
        <w:widowControl w:val="0"/>
        <w:spacing w:line="360" w:lineRule="auto"/>
        <w:jc w:val="center"/>
        <w:rPr>
          <w:rFonts w:ascii="Palatino Linotype" w:eastAsia="Palatino Linotype" w:hAnsi="Palatino Linotype" w:cs="Palatino Linotype"/>
          <w:b/>
        </w:rPr>
      </w:pPr>
      <w:bookmarkStart w:id="4" w:name="_heading=h.tyjcwt" w:colFirst="0" w:colLast="0"/>
      <w:bookmarkEnd w:id="4"/>
      <w:r>
        <w:rPr>
          <w:rFonts w:ascii="Palatino Linotype" w:eastAsia="Palatino Linotype" w:hAnsi="Palatino Linotype" w:cs="Palatino Linotype"/>
          <w:b/>
        </w:rPr>
        <w:lastRenderedPageBreak/>
        <w:t>C O N S I D E R A N D O</w:t>
      </w:r>
    </w:p>
    <w:p w:rsidR="00152C50" w:rsidRDefault="00152C50">
      <w:pPr>
        <w:widowControl w:val="0"/>
        <w:spacing w:line="360" w:lineRule="auto"/>
        <w:jc w:val="center"/>
        <w:rPr>
          <w:rFonts w:ascii="Palatino Linotype" w:eastAsia="Palatino Linotype" w:hAnsi="Palatino Linotype" w:cs="Palatino Linotype"/>
          <w:b/>
        </w:rPr>
      </w:pPr>
    </w:p>
    <w:p w:rsidR="00152C50" w:rsidRDefault="00E04E8B">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bookmarkStart w:id="5" w:name="_heading=h.1fob9te" w:colFirst="0" w:colLast="0"/>
      <w:bookmarkEnd w:id="5"/>
      <w:r>
        <w:rPr>
          <w:rFonts w:ascii="Palatino Linotype" w:eastAsia="Palatino Linotype" w:hAnsi="Palatino Linotype" w:cs="Palatino Linotype"/>
          <w:b/>
          <w:color w:val="000000"/>
        </w:rPr>
        <w:t>PRIMERO. 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52C50" w:rsidRDefault="00152C50">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152C50" w:rsidRDefault="00152C50">
      <w:pPr>
        <w:spacing w:line="360" w:lineRule="auto"/>
        <w:jc w:val="both"/>
        <w:rPr>
          <w:rFonts w:ascii="Palatino Linotype" w:eastAsia="Palatino Linotype" w:hAnsi="Palatino Linotype" w:cs="Palatino Linotype"/>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toda vez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cuatro de febrero de dos mil veintidós, </w:t>
      </w:r>
      <w:r>
        <w:rPr>
          <w:rFonts w:ascii="Palatino Linotype" w:eastAsia="Palatino Linotype" w:hAnsi="Palatino Linotype" w:cs="Palatino Linotype"/>
        </w:rPr>
        <w:lastRenderedPageBreak/>
        <w:t xml:space="preserve">mientras que el recurso de revisión fue interpuesto el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esto es, el quinto día hábil posterior al que tuvo conocimiento de la respuesta impugnada.</w:t>
      </w:r>
    </w:p>
    <w:p w:rsidR="00152C50" w:rsidRDefault="00E04E8B">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Es de suma importancia mencionar que, si bien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52C50" w:rsidRDefault="00E04E8B">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152C50" w:rsidRDefault="00152C50">
      <w:pPr>
        <w:spacing w:line="360" w:lineRule="auto"/>
        <w:jc w:val="both"/>
        <w:rPr>
          <w:rFonts w:ascii="Palatino Linotype" w:eastAsia="Palatino Linotype" w:hAnsi="Palatino Linotype" w:cs="Palatino Linotype"/>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152C50" w:rsidRDefault="00152C50">
      <w:pPr>
        <w:spacing w:line="360" w:lineRule="auto"/>
        <w:jc w:val="both"/>
        <w:rPr>
          <w:rFonts w:ascii="Palatino Linotype" w:eastAsia="Palatino Linotype" w:hAnsi="Palatino Linotype" w:cs="Palatino Linotype"/>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 del ordenamiento legal citado, que a la letra dice: </w:t>
      </w:r>
    </w:p>
    <w:p w:rsidR="00152C50" w:rsidRDefault="00152C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152C50" w:rsidRDefault="00E04E8B">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Artículo 179. El recurso de revisión es un medio de protección que la Ley otorga a los particulares, para hacer valer su derecho de acceso a la información pública, y procederá en contra de las siguientes causas:</w:t>
      </w:r>
    </w:p>
    <w:p w:rsidR="00152C50" w:rsidRDefault="00152C50"/>
    <w:p w:rsidR="00152C50" w:rsidRDefault="00E04E8B">
      <w:pPr>
        <w:numPr>
          <w:ilvl w:val="0"/>
          <w:numId w:val="1"/>
        </w:numPr>
        <w:pBdr>
          <w:top w:val="nil"/>
          <w:left w:val="nil"/>
          <w:bottom w:val="nil"/>
          <w:right w:val="nil"/>
          <w:between w:val="nil"/>
        </w:pBdr>
        <w:ind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 xml:space="preserve">La negativa a la información solicitada; </w:t>
      </w:r>
    </w:p>
    <w:p w:rsidR="00152C50" w:rsidRDefault="00E04E8B">
      <w:pPr>
        <w:pBdr>
          <w:top w:val="nil"/>
          <w:left w:val="nil"/>
          <w:bottom w:val="nil"/>
          <w:right w:val="nil"/>
          <w:between w:val="nil"/>
        </w:pBdr>
        <w:ind w:left="864" w:right="864"/>
        <w:jc w:val="both"/>
        <w:rPr>
          <w:i/>
          <w:color w:val="404040"/>
        </w:rPr>
      </w:pPr>
      <w:r>
        <w:rPr>
          <w:i/>
          <w:color w:val="404040"/>
        </w:rPr>
        <w:t>...</w:t>
      </w:r>
    </w:p>
    <w:p w:rsidR="00152C50" w:rsidRDefault="00E04E8B">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sidRPr="00B96EED">
        <w:rPr>
          <w:rFonts w:ascii="Palatino Linotype" w:eastAsia="Palatino Linotype" w:hAnsi="Palatino Linotype" w:cs="Palatino Linotype"/>
          <w:b/>
          <w:i/>
          <w:color w:val="404040"/>
          <w:sz w:val="22"/>
          <w:szCs w:val="22"/>
        </w:rPr>
        <w:t>V</w:t>
      </w:r>
      <w:r>
        <w:rPr>
          <w:rFonts w:ascii="Palatino Linotype" w:eastAsia="Palatino Linotype" w:hAnsi="Palatino Linotype" w:cs="Palatino Linotype"/>
          <w:b/>
          <w:i/>
          <w:color w:val="404040"/>
          <w:sz w:val="22"/>
          <w:szCs w:val="22"/>
        </w:rPr>
        <w:t xml:space="preserve">. </w:t>
      </w:r>
      <w:r w:rsidR="00B96EED">
        <w:rPr>
          <w:rFonts w:ascii="Palatino Linotype" w:eastAsia="Palatino Linotype" w:hAnsi="Palatino Linotype" w:cs="Palatino Linotype"/>
          <w:b/>
          <w:i/>
          <w:color w:val="404040"/>
          <w:sz w:val="22"/>
          <w:szCs w:val="22"/>
        </w:rPr>
        <w:t xml:space="preserve"> </w:t>
      </w:r>
      <w:r w:rsidR="00B96EED">
        <w:rPr>
          <w:rFonts w:ascii="Palatino Linotype" w:eastAsia="Palatino Linotype" w:hAnsi="Palatino Linotype" w:cs="Palatino Linotype"/>
          <w:b/>
          <w:i/>
          <w:color w:val="404040"/>
          <w:sz w:val="22"/>
          <w:szCs w:val="22"/>
        </w:rPr>
        <w:tab/>
        <w:t xml:space="preserve">  </w:t>
      </w:r>
      <w:r>
        <w:rPr>
          <w:rFonts w:ascii="Palatino Linotype" w:eastAsia="Palatino Linotype" w:hAnsi="Palatino Linotype" w:cs="Palatino Linotype"/>
          <w:b/>
          <w:i/>
          <w:color w:val="404040"/>
          <w:sz w:val="22"/>
          <w:szCs w:val="22"/>
        </w:rPr>
        <w:t>La entrega de la información incompleta;</w:t>
      </w:r>
    </w:p>
    <w:p w:rsidR="00152C50" w:rsidRDefault="00E04E8B">
      <w:pPr>
        <w:pBdr>
          <w:top w:val="nil"/>
          <w:left w:val="nil"/>
          <w:bottom w:val="nil"/>
          <w:right w:val="nil"/>
          <w:between w:val="nil"/>
        </w:pBdr>
        <w:ind w:left="864" w:right="864"/>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w:t>
      </w:r>
    </w:p>
    <w:p w:rsidR="00152C50" w:rsidRDefault="00152C50">
      <w:pPr>
        <w:pBdr>
          <w:top w:val="nil"/>
          <w:left w:val="nil"/>
          <w:bottom w:val="nil"/>
          <w:right w:val="nil"/>
          <w:between w:val="nil"/>
        </w:pBdr>
        <w:tabs>
          <w:tab w:val="left" w:pos="0"/>
        </w:tabs>
        <w:ind w:right="49"/>
        <w:jc w:val="both"/>
        <w:rPr>
          <w:rFonts w:ascii="Palatino Linotype" w:eastAsia="Palatino Linotype" w:hAnsi="Palatino Linotype" w:cs="Palatino Linotype"/>
          <w:b/>
          <w:color w:val="000000"/>
        </w:rPr>
      </w:pPr>
    </w:p>
    <w:p w:rsidR="00152C50" w:rsidRDefault="00E04E8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color w:val="000000"/>
        </w:rPr>
        <w:t>Derivado de los documentos enviados por 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en la etapa correspondiente a las manifestaciones, conviene analizar las causas de sobreseimiento que establece la Ley de Transparencia, bajo los argumentos siguientes:</w:t>
      </w:r>
    </w:p>
    <w:p w:rsidR="00152C50" w:rsidRDefault="00152C50">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rPr>
        <w:t>Es importante precisar que, en el asunto que se resuelve, el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solicitó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el número de recursos de revisión en la Unidad de Transparencia del Ayuntamiento de Teoloyucan. </w:t>
      </w:r>
    </w:p>
    <w:p w:rsidR="00152C50" w:rsidRDefault="00152C50">
      <w:pPr>
        <w:pBdr>
          <w:top w:val="nil"/>
          <w:left w:val="nil"/>
          <w:bottom w:val="nil"/>
          <w:right w:val="nil"/>
          <w:between w:val="nil"/>
        </w:pBdr>
        <w:ind w:left="720" w:hanging="360"/>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su respuesta, el</w:t>
      </w:r>
      <w:r>
        <w:rPr>
          <w:rFonts w:ascii="Palatino Linotype" w:eastAsia="Palatino Linotype" w:hAnsi="Palatino Linotype" w:cs="Palatino Linotype"/>
          <w:b/>
          <w:color w:val="000000"/>
        </w:rPr>
        <w:t xml:space="preserve"> SUJETO OBLIGADO </w:t>
      </w:r>
      <w:r>
        <w:rPr>
          <w:rFonts w:ascii="Palatino Linotype" w:eastAsia="Palatino Linotype" w:hAnsi="Palatino Linotype" w:cs="Palatino Linotype"/>
          <w:color w:val="000000"/>
        </w:rPr>
        <w:t>manifestó que la Unidad de Transparencia del Ayuntamiento de Teoloyucan, hasta el día de emisión de la respuesta, contaba con un recurso de revisión.</w:t>
      </w:r>
    </w:p>
    <w:p w:rsidR="00152C50" w:rsidRDefault="00152C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es conveniente referir, que si bien es cierto, se vulneró el derecho de acceso a la información pública del particular, ya que de manera errónea manifestó que en ese momento solo contaba con un recurso de revisión, también lo es que, una vez interpuesto el medio de inconformidad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en uso de su derecho, a través del Informe Justificado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remitió el oficio </w:t>
      </w:r>
      <w:r>
        <w:rPr>
          <w:rFonts w:ascii="Palatino Linotype" w:eastAsia="Palatino Linotype" w:hAnsi="Palatino Linotype" w:cs="Palatino Linotype"/>
          <w:i/>
          <w:color w:val="000000"/>
        </w:rPr>
        <w:t>UT/KMP/213/2022</w:t>
      </w:r>
      <w:r>
        <w:rPr>
          <w:rFonts w:ascii="Palatino Linotype" w:eastAsia="Palatino Linotype" w:hAnsi="Palatino Linotype" w:cs="Palatino Linotype"/>
          <w:color w:val="000000"/>
        </w:rPr>
        <w:t xml:space="preserve"> de fecha quince de marzo de dos mil veintidós, suscrito por la </w:t>
      </w:r>
      <w:r>
        <w:rPr>
          <w:rFonts w:ascii="Palatino Linotype" w:eastAsia="Palatino Linotype" w:hAnsi="Palatino Linotype" w:cs="Palatino Linotype"/>
          <w:color w:val="000000"/>
        </w:rPr>
        <w:lastRenderedPageBreak/>
        <w:t xml:space="preserve">Titular de la Unidad de Transparencia del Ayuntamiento de Teoloyucan, en el que </w:t>
      </w:r>
      <w:r w:rsidR="00B96EED">
        <w:rPr>
          <w:rFonts w:ascii="Palatino Linotype" w:eastAsia="Palatino Linotype" w:hAnsi="Palatino Linotype" w:cs="Palatino Linotype"/>
          <w:noProof/>
          <w:color w:val="000000"/>
          <w:lang w:val="es-MX"/>
        </w:rPr>
        <w:drawing>
          <wp:anchor distT="0" distB="0" distL="114300" distR="114300" simplePos="0" relativeHeight="251658240" behindDoc="0" locked="0" layoutInCell="1" hidden="0" allowOverlap="1" wp14:anchorId="74BBFC4A" wp14:editId="6ACA9B84">
            <wp:simplePos x="0" y="0"/>
            <wp:positionH relativeFrom="margin">
              <wp:posOffset>-318135</wp:posOffset>
            </wp:positionH>
            <wp:positionV relativeFrom="margin">
              <wp:posOffset>657860</wp:posOffset>
            </wp:positionV>
            <wp:extent cx="6242050" cy="6848475"/>
            <wp:effectExtent l="0" t="0" r="6350" b="9525"/>
            <wp:wrapSquare wrapText="bothSides" distT="0" distB="0" distL="114300" distR="11430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31373" t="11094" r="31402" b="8856"/>
                    <a:stretch>
                      <a:fillRect/>
                    </a:stretch>
                  </pic:blipFill>
                  <pic:spPr>
                    <a:xfrm>
                      <a:off x="0" y="0"/>
                      <a:ext cx="6242050" cy="6848475"/>
                    </a:xfrm>
                    <a:prstGeom prst="rect">
                      <a:avLst/>
                    </a:prstGeom>
                    <a:ln/>
                  </pic:spPr>
                </pic:pic>
              </a:graphicData>
            </a:graphic>
            <wp14:sizeRelV relativeFrom="margin">
              <wp14:pctHeight>0</wp14:pctHeight>
            </wp14:sizeRelV>
          </wp:anchor>
        </w:drawing>
      </w:r>
      <w:r>
        <w:rPr>
          <w:rFonts w:ascii="Palatino Linotype" w:eastAsia="Palatino Linotype" w:hAnsi="Palatino Linotype" w:cs="Palatino Linotype"/>
          <w:color w:val="000000"/>
        </w:rPr>
        <w:t xml:space="preserve">se advierte el contenido siguiente: </w:t>
      </w:r>
    </w:p>
    <w:p w:rsidR="00B96EED" w:rsidRPr="00B96EED" w:rsidRDefault="00B96EE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noProof/>
          <w:lang w:val="es-MX"/>
        </w:rPr>
        <w:lastRenderedPageBreak/>
        <mc:AlternateContent>
          <mc:Choice Requires="wps">
            <w:drawing>
              <wp:anchor distT="0" distB="0" distL="114300" distR="114300" simplePos="0" relativeHeight="251660288" behindDoc="0" locked="0" layoutInCell="1" hidden="0" allowOverlap="1" wp14:anchorId="50686732" wp14:editId="504BCA32">
                <wp:simplePos x="0" y="0"/>
                <wp:positionH relativeFrom="column">
                  <wp:posOffset>672466</wp:posOffset>
                </wp:positionH>
                <wp:positionV relativeFrom="paragraph">
                  <wp:posOffset>2839085</wp:posOffset>
                </wp:positionV>
                <wp:extent cx="4781550" cy="1079500"/>
                <wp:effectExtent l="0" t="0" r="19050" b="25400"/>
                <wp:wrapNone/>
                <wp:docPr id="29" name="Rectángulo 29"/>
                <wp:cNvGraphicFramePr/>
                <a:graphic xmlns:a="http://schemas.openxmlformats.org/drawingml/2006/main">
                  <a:graphicData uri="http://schemas.microsoft.com/office/word/2010/wordprocessingShape">
                    <wps:wsp>
                      <wps:cNvSpPr/>
                      <wps:spPr>
                        <a:xfrm>
                          <a:off x="0" y="0"/>
                          <a:ext cx="4781550" cy="1079500"/>
                        </a:xfrm>
                        <a:prstGeom prst="rect">
                          <a:avLst/>
                        </a:prstGeom>
                        <a:noFill/>
                        <a:ln w="12700" cap="flat" cmpd="sng">
                          <a:solidFill>
                            <a:srgbClr val="FF0000"/>
                          </a:solidFill>
                          <a:prstDash val="solid"/>
                          <a:round/>
                          <a:headEnd type="none" w="sm" len="sm"/>
                          <a:tailEnd type="none" w="sm" len="sm"/>
                        </a:ln>
                      </wps:spPr>
                      <wps:txbx>
                        <w:txbxContent>
                          <w:p w:rsidR="00152C50" w:rsidRDefault="00152C50">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0686732" id="Rectángulo 29" o:spid="_x0000_s1026" style="position:absolute;left:0;text-align:left;margin-left:52.95pt;margin-top:223.55pt;width:376.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" filled="f" strokecolor="red" strokeweight="1pt">
                <v:stroke startarrowwidth="narrow" startarrowlength="short" endarrowwidth="narrow" endarrowlength="short" joinstyle="round"/>
                <v:textbox inset="2.53958mm,2.53958mm,2.53958mm,2.53958mm">
                  <w:txbxContent>
                    <w:p w:rsidR="00152C50" w:rsidRDefault="00152C50">
                      <w:pPr>
                        <w:textDirection w:val="btLr"/>
                      </w:pPr>
                    </w:p>
                  </w:txbxContent>
                </v:textbox>
              </v:rect>
            </w:pict>
          </mc:Fallback>
        </mc:AlternateContent>
      </w:r>
      <w:r>
        <w:rPr>
          <w:noProof/>
          <w:lang w:val="es-MX"/>
        </w:rPr>
        <w:drawing>
          <wp:anchor distT="0" distB="0" distL="114300" distR="114300" simplePos="0" relativeHeight="251659264" behindDoc="0" locked="0" layoutInCell="1" hidden="0" allowOverlap="1" wp14:anchorId="504E6889" wp14:editId="6B0D2CAE">
            <wp:simplePos x="0" y="0"/>
            <wp:positionH relativeFrom="margin">
              <wp:posOffset>-70485</wp:posOffset>
            </wp:positionH>
            <wp:positionV relativeFrom="margin">
              <wp:posOffset>153035</wp:posOffset>
            </wp:positionV>
            <wp:extent cx="5743575" cy="6896100"/>
            <wp:effectExtent l="19050" t="19050" r="28575" b="19050"/>
            <wp:wrapSquare wrapText="bothSides" distT="0" distB="0" distL="114300" distR="11430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31708" t="11077" r="32106" b="21749"/>
                    <a:stretch>
                      <a:fillRect/>
                    </a:stretch>
                  </pic:blipFill>
                  <pic:spPr>
                    <a:xfrm>
                      <a:off x="0" y="0"/>
                      <a:ext cx="5743575" cy="6896100"/>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Los documentos antes referidos</w:t>
      </w:r>
      <w:r>
        <w:rPr>
          <w:rFonts w:ascii="Palatino Linotype" w:eastAsia="Palatino Linotype" w:hAnsi="Palatino Linotype" w:cs="Palatino Linotype"/>
          <w:color w:val="000000"/>
        </w:rPr>
        <w:t xml:space="preserve"> muestran que la Titular de la Unidad de Transparencia del Ayuntamiento de Teoloyucan respondió a la solicitud de información, quien de conformidad con lo dispuesto en el artículo 53  fracción IX de la Ley de Transparencia y Acceso a la Información Pública del Estado de México y Municipios le corresponde llevar un registro de las resoluciones a los recursos de revisión que se hayan emitido en contra de sus respuestas, así como el cumplimiento de las mismas; precepto normativo que es del tenor literal siguiente: </w:t>
      </w:r>
    </w:p>
    <w:p w:rsidR="00152C50" w:rsidRDefault="00152C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141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rsidR="00152C50" w:rsidRDefault="00E04E8B">
      <w:pPr>
        <w:pBdr>
          <w:top w:val="nil"/>
          <w:left w:val="nil"/>
          <w:bottom w:val="nil"/>
          <w:right w:val="nil"/>
          <w:between w:val="nil"/>
        </w:pBdr>
        <w:tabs>
          <w:tab w:val="left" w:pos="141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52C50" w:rsidRDefault="00E04E8B">
      <w:pPr>
        <w:pBdr>
          <w:top w:val="nil"/>
          <w:left w:val="nil"/>
          <w:bottom w:val="nil"/>
          <w:right w:val="nil"/>
          <w:between w:val="nil"/>
        </w:pBdr>
        <w:tabs>
          <w:tab w:val="left" w:pos="141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w:t>
      </w:r>
      <w:r>
        <w:rPr>
          <w:rFonts w:ascii="Palatino Linotype" w:eastAsia="Palatino Linotype" w:hAnsi="Palatino Linotype" w:cs="Palatino Linotype"/>
          <w:b/>
          <w:i/>
          <w:sz w:val="22"/>
          <w:szCs w:val="22"/>
          <w:u w:val="single"/>
        </w:rPr>
        <w:t>resolución a los recursos de revisión que se hayan emitido en contra de sus respuestas y del cumplimiento de las mismas</w:t>
      </w:r>
      <w:r>
        <w:rPr>
          <w:rFonts w:ascii="Palatino Linotype" w:eastAsia="Palatino Linotype" w:hAnsi="Palatino Linotype" w:cs="Palatino Linotype"/>
          <w:i/>
          <w:sz w:val="22"/>
          <w:szCs w:val="22"/>
        </w:rPr>
        <w:t>;</w:t>
      </w:r>
    </w:p>
    <w:p w:rsidR="00152C50" w:rsidRDefault="00E04E8B">
      <w:pPr>
        <w:pBdr>
          <w:top w:val="nil"/>
          <w:left w:val="nil"/>
          <w:bottom w:val="nil"/>
          <w:right w:val="nil"/>
          <w:between w:val="nil"/>
        </w:pBdr>
        <w:tabs>
          <w:tab w:val="left" w:pos="1418"/>
        </w:tabs>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w:t>
      </w:r>
    </w:p>
    <w:p w:rsidR="00152C50" w:rsidRDefault="00152C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5C21A8"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del precepto normativo se desprende que la Titular de la Unidad de Transparencia es el Servidor Público Habilitado con las facultades, competencias y funciones para atender el requerimiento formulado por el particular en la solicitud de información </w:t>
      </w:r>
      <w:r>
        <w:rPr>
          <w:rFonts w:ascii="Palatino Linotype" w:eastAsia="Palatino Linotype" w:hAnsi="Palatino Linotype" w:cs="Palatino Linotype"/>
          <w:b/>
          <w:color w:val="000000"/>
        </w:rPr>
        <w:t>00026/TEOLOYU/IP/2022</w:t>
      </w:r>
      <w:r>
        <w:rPr>
          <w:rFonts w:ascii="Palatino Linotype" w:eastAsia="Palatino Linotype" w:hAnsi="Palatino Linotype" w:cs="Palatino Linotype"/>
          <w:color w:val="000000"/>
        </w:rPr>
        <w:t>;</w:t>
      </w:r>
      <w:r w:rsidR="005C21A8">
        <w:rPr>
          <w:rFonts w:ascii="Palatino Linotype" w:eastAsia="Palatino Linotype" w:hAnsi="Palatino Linotype" w:cs="Palatino Linotype"/>
          <w:color w:val="000000"/>
        </w:rPr>
        <w:t xml:space="preserve"> tan es así que, al ser usuario del Sistema </w:t>
      </w:r>
      <w:r w:rsidR="005C21A8" w:rsidRPr="005C21A8">
        <w:rPr>
          <w:rFonts w:ascii="Palatino Linotype" w:eastAsia="Palatino Linotype" w:hAnsi="Palatino Linotype" w:cs="Palatino Linotype"/>
          <w:color w:val="000000"/>
        </w:rPr>
        <w:t xml:space="preserve">de Acceso a la Información Mexiquense (SAIMEX) remitió la captura de pantalla </w:t>
      </w:r>
      <w:r w:rsidR="005C21A8">
        <w:rPr>
          <w:rFonts w:ascii="Palatino Linotype" w:eastAsia="Palatino Linotype" w:hAnsi="Palatino Linotype" w:cs="Palatino Linotype"/>
          <w:color w:val="000000"/>
        </w:rPr>
        <w:t xml:space="preserve">en la que se </w:t>
      </w:r>
      <w:r w:rsidRPr="005C21A8">
        <w:rPr>
          <w:rFonts w:ascii="Palatino Linotype" w:eastAsia="Palatino Linotype" w:hAnsi="Palatino Linotype" w:cs="Palatino Linotype"/>
        </w:rPr>
        <w:t>observa</w:t>
      </w:r>
      <w:r w:rsidR="005C21A8">
        <w:rPr>
          <w:rFonts w:ascii="Palatino Linotype" w:eastAsia="Palatino Linotype" w:hAnsi="Palatino Linotype" w:cs="Palatino Linotype"/>
        </w:rPr>
        <w:t>n</w:t>
      </w:r>
      <w:r w:rsidRPr="005C21A8">
        <w:rPr>
          <w:rFonts w:ascii="Palatino Linotype" w:eastAsia="Palatino Linotype" w:hAnsi="Palatino Linotype" w:cs="Palatino Linotype"/>
        </w:rPr>
        <w:t xml:space="preserve"> un total de </w:t>
      </w:r>
      <w:r w:rsidRPr="005C21A8">
        <w:rPr>
          <w:rFonts w:ascii="Palatino Linotype" w:eastAsia="Palatino Linotype" w:hAnsi="Palatino Linotype" w:cs="Palatino Linotype"/>
          <w:color w:val="000000"/>
        </w:rPr>
        <w:t xml:space="preserve"> 28 recursos de revisión</w:t>
      </w:r>
      <w:r w:rsidR="005C21A8">
        <w:rPr>
          <w:rFonts w:ascii="Palatino Linotype" w:eastAsia="Palatino Linotype" w:hAnsi="Palatino Linotype" w:cs="Palatino Linotype"/>
          <w:color w:val="000000"/>
        </w:rPr>
        <w:t xml:space="preserve"> registrados.</w:t>
      </w:r>
    </w:p>
    <w:p w:rsidR="00152C50" w:rsidRDefault="005C21A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w:t>
      </w:r>
    </w:p>
    <w:p w:rsidR="00152C50" w:rsidRDefault="00E04E8B">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con dicha información se estima que se colmó el Derecho de Acceso a la Información ejercido por el particular toda vez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remite mediante Informe Justificado los datos solicitados, con lo que se despeja y aclara los puntos requeridos por el particular en la solicitud primigenia. </w:t>
      </w:r>
    </w:p>
    <w:p w:rsidR="00152C50" w:rsidRDefault="00E04E8B">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w:t>
      </w:r>
      <w:r>
        <w:rPr>
          <w:rFonts w:ascii="Palatino Linotype" w:eastAsia="Palatino Linotype" w:hAnsi="Palatino Linotype" w:cs="Palatino Linotype"/>
        </w:rPr>
        <w:t>i</w:t>
      </w:r>
      <w:r>
        <w:rPr>
          <w:rFonts w:ascii="Palatino Linotype" w:eastAsia="Palatino Linotype" w:hAnsi="Palatino Linotype" w:cs="Palatino Linotype"/>
          <w:color w:val="000000"/>
        </w:rPr>
        <w:t xml:space="preserve">mismo, es necesario señalar que éste </w:t>
      </w:r>
      <w:r>
        <w:rPr>
          <w:rFonts w:ascii="Palatino Linotype" w:eastAsia="Palatino Linotype" w:hAnsi="Palatino Linotype" w:cs="Palatino Linotype"/>
        </w:rPr>
        <w:t>Organismo</w:t>
      </w:r>
      <w:r>
        <w:rPr>
          <w:rFonts w:ascii="Palatino Linotype" w:eastAsia="Palatino Linotype" w:hAnsi="Palatino Linotype" w:cs="Palatino Linotype"/>
          <w:color w:val="000000"/>
        </w:rPr>
        <w:t xml:space="preserve">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152C50" w:rsidRDefault="00152C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2C50" w:rsidRDefault="00E04E8B">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rsidR="00152C50" w:rsidRDefault="00E04E8B">
      <w:pPr>
        <w:spacing w:before="240" w:after="36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Pr>
          <w:rFonts w:ascii="Palatino Linotype" w:eastAsia="Palatino Linotype" w:hAnsi="Palatino Linotype" w:cs="Palatino Linotype"/>
          <w:i/>
          <w:sz w:val="22"/>
          <w:szCs w:val="22"/>
        </w:rPr>
        <w:lastRenderedPageBreak/>
        <w:t>que permita al Instituto Federal de Acceso a la Información y Protección de Datos conocer, vía recurso revisión, al respecto.</w:t>
      </w:r>
    </w:p>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y ante la información adicional y precisa remitida vía informe justificado, conviene hacer alusión a lo que señala el artículo 192, fracción III de la Ley de Transparencia, a saber:</w:t>
      </w:r>
    </w:p>
    <w:p w:rsidR="00152C50" w:rsidRDefault="00152C50">
      <w:pPr>
        <w:pBdr>
          <w:top w:val="nil"/>
          <w:left w:val="nil"/>
          <w:bottom w:val="nil"/>
          <w:right w:val="nil"/>
          <w:between w:val="nil"/>
        </w:pBdr>
        <w:spacing w:line="360" w:lineRule="auto"/>
        <w:jc w:val="both"/>
        <w:rPr>
          <w:color w:val="000000"/>
        </w:rPr>
      </w:pPr>
    </w:p>
    <w:p w:rsidR="00152C50" w:rsidRDefault="00E04E8B">
      <w:pPr>
        <w:pBdr>
          <w:top w:val="nil"/>
          <w:left w:val="nil"/>
          <w:bottom w:val="nil"/>
          <w:right w:val="nil"/>
          <w:between w:val="nil"/>
        </w:pBdr>
        <w:spacing w:line="276" w:lineRule="auto"/>
        <w:ind w:left="864" w:right="616"/>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Artículo 192. El recurso será sobreseído, en todo o en parte, cuando una vez admitido, se actualicen alguno de los siguientes supuestos: </w:t>
      </w:r>
    </w:p>
    <w:p w:rsidR="00152C50" w:rsidRDefault="00E04E8B">
      <w:pPr>
        <w:pBdr>
          <w:top w:val="nil"/>
          <w:left w:val="nil"/>
          <w:bottom w:val="nil"/>
          <w:right w:val="nil"/>
          <w:between w:val="nil"/>
        </w:pBdr>
        <w:spacing w:line="276" w:lineRule="auto"/>
        <w:ind w:left="864" w:right="616"/>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w:t>
      </w:r>
    </w:p>
    <w:p w:rsidR="00152C50" w:rsidRDefault="00E04E8B">
      <w:pPr>
        <w:pBdr>
          <w:top w:val="nil"/>
          <w:left w:val="nil"/>
          <w:bottom w:val="nil"/>
          <w:right w:val="nil"/>
          <w:between w:val="nil"/>
        </w:pBdr>
        <w:spacing w:line="276" w:lineRule="auto"/>
        <w:ind w:left="864" w:right="616"/>
        <w:jc w:val="both"/>
        <w:rPr>
          <w:rFonts w:ascii="Palatino Linotype" w:eastAsia="Palatino Linotype" w:hAnsi="Palatino Linotype" w:cs="Palatino Linotype"/>
          <w:b/>
          <w:i/>
          <w:color w:val="404040"/>
          <w:sz w:val="22"/>
          <w:szCs w:val="22"/>
        </w:rPr>
      </w:pPr>
      <w:r>
        <w:rPr>
          <w:rFonts w:ascii="Palatino Linotype" w:eastAsia="Palatino Linotype" w:hAnsi="Palatino Linotype" w:cs="Palatino Linotype"/>
          <w:b/>
          <w:i/>
          <w:color w:val="404040"/>
          <w:sz w:val="22"/>
          <w:szCs w:val="22"/>
        </w:rPr>
        <w:t>III. El sujeto obligado responsable del acto, lo modifique o revoque de tal manera que el recurso de revisión quede sin materia;</w:t>
      </w:r>
    </w:p>
    <w:p w:rsidR="00152C50" w:rsidRDefault="00152C50"/>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rsidR="00152C50" w:rsidRDefault="00E04E8B">
      <w:pPr>
        <w:numPr>
          <w:ilvl w:val="0"/>
          <w:numId w:val="2"/>
        </w:num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Cuando el Sujeto Obligado modifique el acto impugnado, y</w:t>
      </w:r>
    </w:p>
    <w:p w:rsidR="00152C50" w:rsidRDefault="00E04E8B">
      <w:pPr>
        <w:numPr>
          <w:ilvl w:val="0"/>
          <w:numId w:val="2"/>
        </w:num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Cuando el Sujeto Obligado revoque el acto impugnado.</w:t>
      </w:r>
    </w:p>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Quedando en ambos casos el acto combatido sin materia o sin efectos.</w:t>
      </w:r>
    </w:p>
    <w:p w:rsidR="00152C50" w:rsidRDefault="00152C50">
      <w:pPr>
        <w:pBdr>
          <w:top w:val="nil"/>
          <w:left w:val="nil"/>
          <w:bottom w:val="nil"/>
          <w:right w:val="nil"/>
          <w:between w:val="nil"/>
        </w:pBdr>
        <w:spacing w:line="360" w:lineRule="auto"/>
        <w:jc w:val="both"/>
        <w:rPr>
          <w:color w:val="000000"/>
        </w:rPr>
      </w:pPr>
    </w:p>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152C50" w:rsidRDefault="00152C50">
      <w:pPr>
        <w:pBdr>
          <w:top w:val="nil"/>
          <w:left w:val="nil"/>
          <w:bottom w:val="nil"/>
          <w:right w:val="nil"/>
          <w:between w:val="nil"/>
        </w:pBdr>
        <w:spacing w:line="360" w:lineRule="auto"/>
        <w:jc w:val="both"/>
        <w:rPr>
          <w:color w:val="000000"/>
        </w:rPr>
      </w:pPr>
    </w:p>
    <w:p w:rsidR="00152C50" w:rsidRDefault="00E04E8B">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Por lo que hace a la revocación, </w:t>
      </w:r>
      <w:r>
        <w:rPr>
          <w:rFonts w:ascii="Palatino Linotype" w:eastAsia="Palatino Linotype" w:hAnsi="Palatino Linotype" w:cs="Palatino Linotype"/>
        </w:rPr>
        <w:t>esta</w:t>
      </w:r>
      <w:r>
        <w:rPr>
          <w:rFonts w:ascii="Palatino Linotype" w:eastAsia="Palatino Linotype" w:hAnsi="Palatino Linotype" w:cs="Palatino Linotype"/>
          <w:color w:val="000000"/>
        </w:rPr>
        <w:t xml:space="preserve"> se actualiza cuando el Sujeto Obligado deja sin efectos la primera respuesta o su primer acto y en su lugar emite otro con las </w:t>
      </w:r>
      <w:r>
        <w:rPr>
          <w:rFonts w:ascii="Palatino Linotype" w:eastAsia="Palatino Linotype" w:hAnsi="Palatino Linotype" w:cs="Palatino Linotype"/>
          <w:color w:val="000000"/>
        </w:rPr>
        <w:lastRenderedPageBreak/>
        <w:t>características y cualidades suficientes para dejar satisfecho el ejercicio del Derecho al Acceso a la Información Pública.</w:t>
      </w:r>
    </w:p>
    <w:p w:rsidR="00152C50" w:rsidRDefault="00152C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un acto impugnado queda sin efectos, cuando aún existiendo jurídicamente (esto es, que no se ha modificado, ni revocado) ya no genera ninguna consecuencia legal.</w:t>
      </w:r>
    </w:p>
    <w:p w:rsidR="00152C50" w:rsidRDefault="00152C50">
      <w:pPr>
        <w:pBdr>
          <w:top w:val="nil"/>
          <w:left w:val="nil"/>
          <w:bottom w:val="nil"/>
          <w:right w:val="nil"/>
          <w:between w:val="nil"/>
        </w:pBdr>
        <w:spacing w:line="360" w:lineRule="auto"/>
        <w:jc w:val="both"/>
        <w:rPr>
          <w:color w:val="000000"/>
        </w:rPr>
      </w:pPr>
    </w:p>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152C50" w:rsidRDefault="00152C50">
      <w:pPr>
        <w:pBdr>
          <w:top w:val="nil"/>
          <w:left w:val="nil"/>
          <w:bottom w:val="nil"/>
          <w:right w:val="nil"/>
          <w:between w:val="nil"/>
        </w:pBdr>
        <w:spacing w:line="360" w:lineRule="auto"/>
        <w:jc w:val="both"/>
        <w:rPr>
          <w:color w:val="000000"/>
        </w:rPr>
      </w:pPr>
    </w:p>
    <w:p w:rsidR="00152C50" w:rsidRDefault="00E04E8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en el caso concreto, es evidente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u w:val="single"/>
        </w:rPr>
        <w:t xml:space="preserve">modificó </w:t>
      </w:r>
      <w:r>
        <w:rPr>
          <w:rFonts w:ascii="Palatino Linotype" w:eastAsia="Palatino Linotype" w:hAnsi="Palatino Linotype" w:cs="Palatino Linotype"/>
          <w:color w:val="000000"/>
        </w:rPr>
        <w:t>su respuesta, ya que, a través de su pronunciamiento emitido en la etapa de manifestaciones, proporcionó la información requerida.</w:t>
      </w:r>
    </w:p>
    <w:p w:rsidR="00152C50" w:rsidRDefault="00152C50">
      <w:pPr>
        <w:pBdr>
          <w:top w:val="nil"/>
          <w:left w:val="nil"/>
          <w:bottom w:val="nil"/>
          <w:right w:val="nil"/>
          <w:between w:val="nil"/>
        </w:pBdr>
        <w:spacing w:line="360" w:lineRule="auto"/>
        <w:jc w:val="both"/>
        <w:rPr>
          <w:b/>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este modo, cuando un Sujeto Obligado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antes de que se dicte resolución definitiva por parte de esta Autoridad en materia de Acceso a la Información, entrega la información solicitada o completa la respuesta que en un primer momento fue incompleta o no correspondió con lo solicitado; el recurso de revisión que al efecto se haya interpuesto queda sin materia lo que imposibilita el estudio de fondo de la litis planteada, debido a que la afectación en su esfera de derechos fue restituida por la propia autoridad que emitió el acto motivo de impugnación.</w:t>
      </w: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tanto, para que se actualice el sobreseimiento de un recurso de revisión, el Sujeto Obligado puede entregar o completar la información al momento de rendir su Informe Justificado dentro de los siete días previstos para manifestar lo que a su derecho convenga, lo anterior también puede ocurrir si entrega la información después de ese lapso, pero antes del cierre de instrucción, como el caso que aquí se estudia.</w:t>
      </w:r>
    </w:p>
    <w:p w:rsidR="00152C50" w:rsidRDefault="00152C50">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Pleno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con la información enviada, </w:t>
      </w:r>
      <w:r>
        <w:rPr>
          <w:rFonts w:ascii="Palatino Linotype" w:eastAsia="Palatino Linotype" w:hAnsi="Palatino Linotype" w:cs="Palatino Linotype"/>
          <w:b/>
          <w:color w:val="000000"/>
        </w:rPr>
        <w:t>MODIFICA</w:t>
      </w:r>
      <w:r>
        <w:rPr>
          <w:rFonts w:ascii="Palatino Linotype" w:eastAsia="Palatino Linotype" w:hAnsi="Palatino Linotype" w:cs="Palatino Linotype"/>
          <w:color w:val="000000"/>
        </w:rPr>
        <w:t xml:space="preserve"> el acto que le dio origen al recurso de revisión, por lo que trae como consecuencia que el mismo quede sin materia, actualizándose de este modo, la hipótesis jurídica contenida en la fracción III del citado artículo 192.</w:t>
      </w:r>
    </w:p>
    <w:p w:rsidR="00152C50" w:rsidRDefault="00152C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Así, siendo el sobreseimiento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w:t>
      </w:r>
      <w:r>
        <w:rPr>
          <w:rFonts w:ascii="Palatino Linotype" w:eastAsia="Palatino Linotype" w:hAnsi="Palatino Linotype" w:cs="Palatino Linotype"/>
          <w:b/>
          <w:color w:val="000000"/>
        </w:rPr>
        <w:t>.</w:t>
      </w:r>
    </w:p>
    <w:p w:rsidR="00152C50" w:rsidRDefault="00152C50">
      <w:pPr>
        <w:pBdr>
          <w:top w:val="nil"/>
          <w:left w:val="nil"/>
          <w:bottom w:val="nil"/>
          <w:right w:val="nil"/>
          <w:between w:val="nil"/>
        </w:pBdr>
        <w:spacing w:line="360" w:lineRule="auto"/>
        <w:rPr>
          <w:rFonts w:ascii="Palatino Linotype" w:eastAsia="Palatino Linotype" w:hAnsi="Palatino Linotype" w:cs="Palatino Linotype"/>
          <w:color w:val="000000"/>
        </w:rPr>
      </w:pPr>
    </w:p>
    <w:p w:rsidR="00152C50" w:rsidRDefault="00E04E8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en términos del artículo 186 fracción I este Pleno del Instituto de Transparencia, Acceso a la Información Pública y Protección de Datos Personales del Estado de México y Municipios, determina el </w:t>
      </w:r>
      <w:r>
        <w:rPr>
          <w:rFonts w:ascii="Palatino Linotype" w:eastAsia="Palatino Linotype" w:hAnsi="Palatino Linotype" w:cs="Palatino Linotype"/>
          <w:b/>
          <w:color w:val="000000"/>
        </w:rPr>
        <w:t xml:space="preserve">SOBRESEIMIENTO </w:t>
      </w:r>
      <w:r>
        <w:rPr>
          <w:rFonts w:ascii="Palatino Linotype" w:eastAsia="Palatino Linotype" w:hAnsi="Palatino Linotype" w:cs="Palatino Linotype"/>
          <w:color w:val="000000"/>
        </w:rPr>
        <w:t xml:space="preserve">del presente recurso de revisión, toda vez que la afectación al Derecho de Acceso a la Información Pública establecido constitucionalmente a favor del particular ha sido </w:t>
      </w:r>
      <w:r>
        <w:rPr>
          <w:rFonts w:ascii="Palatino Linotype" w:eastAsia="Palatino Linotype" w:hAnsi="Palatino Linotype" w:cs="Palatino Linotype"/>
          <w:color w:val="000000"/>
        </w:rPr>
        <w:lastRenderedPageBreak/>
        <w:t>resarcida al proporcionar la información que ha sido observada por este Organismo Garante.</w:t>
      </w:r>
    </w:p>
    <w:p w:rsidR="00152C50" w:rsidRDefault="00152C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152C50" w:rsidRDefault="00E04E8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52C50" w:rsidRDefault="00152C50">
      <w:pPr>
        <w:tabs>
          <w:tab w:val="left" w:pos="709"/>
        </w:tabs>
        <w:spacing w:line="360" w:lineRule="auto"/>
        <w:jc w:val="both"/>
        <w:rPr>
          <w:rFonts w:ascii="Palatino Linotype" w:eastAsia="Palatino Linotype" w:hAnsi="Palatino Linotype" w:cs="Palatino Linotype"/>
        </w:rPr>
      </w:pPr>
    </w:p>
    <w:p w:rsidR="00152C50" w:rsidRDefault="00E04E8B">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52C50" w:rsidRDefault="00E04E8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highlight w:val="white"/>
        </w:rPr>
        <w:t xml:space="preserve">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highlight w:val="white"/>
        </w:rPr>
        <w:t>00824/INFOEM/IP/RR/2022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porque al modificar  la respuesta a la solicitud de acceso a la información </w:t>
      </w:r>
      <w:r>
        <w:rPr>
          <w:rFonts w:ascii="Palatino Linotype" w:eastAsia="Palatino Linotype" w:hAnsi="Palatino Linotype" w:cs="Palatino Linotype"/>
          <w:b/>
        </w:rPr>
        <w:t>00026/TEOLOYU/IP/2022</w:t>
      </w:r>
      <w:r>
        <w:rPr>
          <w:rFonts w:ascii="Palatino Linotype" w:eastAsia="Palatino Linotype" w:hAnsi="Palatino Linotype" w:cs="Palatino Linotype"/>
        </w:rPr>
        <w:t xml:space="preserve"> el recurso de revisión quedó sin materia en términos del Considerando Tercero de la presente resolución</w:t>
      </w:r>
      <w:r>
        <w:rPr>
          <w:rFonts w:ascii="Palatino Linotype" w:eastAsia="Palatino Linotype" w:hAnsi="Palatino Linotype" w:cs="Palatino Linotype"/>
          <w:b/>
        </w:rPr>
        <w:t>.</w:t>
      </w:r>
    </w:p>
    <w:p w:rsidR="00152C50" w:rsidRDefault="00E04E8B">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 la Titular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su conocimiento. </w:t>
      </w:r>
    </w:p>
    <w:p w:rsidR="00152C50" w:rsidRDefault="00E04E8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52C50" w:rsidRDefault="00152C50">
      <w:pPr>
        <w:spacing w:line="360" w:lineRule="auto"/>
        <w:jc w:val="both"/>
        <w:rPr>
          <w:rFonts w:ascii="Palatino Linotype" w:eastAsia="Palatino Linotype" w:hAnsi="Palatino Linotype" w:cs="Palatino Linotype"/>
        </w:rPr>
      </w:pPr>
    </w:p>
    <w:p w:rsidR="00152C50" w:rsidRDefault="00E04E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 </w:t>
      </w: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p w:rsidR="00152C50" w:rsidRDefault="00152C50">
      <w:pPr>
        <w:spacing w:line="360" w:lineRule="auto"/>
        <w:jc w:val="both"/>
        <w:rPr>
          <w:rFonts w:ascii="Palatino Linotype" w:eastAsia="Palatino Linotype" w:hAnsi="Palatino Linotype" w:cs="Palatino Linotype"/>
          <w:sz w:val="20"/>
          <w:szCs w:val="20"/>
        </w:rPr>
      </w:pPr>
    </w:p>
    <w:sectPr w:rsidR="00152C5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762" w:rsidRDefault="00E70762">
      <w:r>
        <w:separator/>
      </w:r>
    </w:p>
  </w:endnote>
  <w:endnote w:type="continuationSeparator" w:id="0">
    <w:p w:rsidR="00E70762" w:rsidRDefault="00E7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50" w:rsidRDefault="00E04E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7680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7680A">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152C50" w:rsidRDefault="00152C5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50" w:rsidRDefault="00E04E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C020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C020F">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152C50" w:rsidRDefault="00152C5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762" w:rsidRDefault="00E70762">
      <w:r>
        <w:separator/>
      </w:r>
    </w:p>
  </w:footnote>
  <w:footnote w:type="continuationSeparator" w:id="0">
    <w:p w:rsidR="00E70762" w:rsidRDefault="00E70762">
      <w:r>
        <w:continuationSeparator/>
      </w:r>
    </w:p>
  </w:footnote>
  <w:footnote w:id="1">
    <w:p w:rsidR="00152C50" w:rsidRDefault="00E04E8B">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lo sucesivo, LTAIPEMM o Ley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50" w:rsidRDefault="00E04E8B">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-708023</wp:posOffset>
          </wp:positionH>
          <wp:positionV relativeFrom="paragraph">
            <wp:posOffset>-415288</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152C50">
      <w:tc>
        <w:tcPr>
          <w:tcW w:w="2489" w:type="dxa"/>
          <w:shd w:val="clear" w:color="auto" w:fill="auto"/>
        </w:tcPr>
        <w:p w:rsidR="00152C50" w:rsidRDefault="00E04E8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152C50" w:rsidRDefault="00E04E8B">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00824/INFOEM/IP/RR/2022</w:t>
          </w:r>
        </w:p>
      </w:tc>
    </w:tr>
    <w:tr w:rsidR="00152C50">
      <w:trPr>
        <w:trHeight w:val="228"/>
      </w:trPr>
      <w:tc>
        <w:tcPr>
          <w:tcW w:w="2489" w:type="dxa"/>
          <w:shd w:val="clear" w:color="auto" w:fill="auto"/>
          <w:vAlign w:val="center"/>
        </w:tcPr>
        <w:p w:rsidR="00152C50" w:rsidRDefault="00E04E8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152C50" w:rsidRDefault="00E04E8B">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152C50">
      <w:tc>
        <w:tcPr>
          <w:tcW w:w="2489" w:type="dxa"/>
          <w:shd w:val="clear" w:color="auto" w:fill="auto"/>
          <w:vAlign w:val="center"/>
        </w:tcPr>
        <w:p w:rsidR="00152C50" w:rsidRDefault="00E04E8B">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152C50" w:rsidRDefault="00E04E8B">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r w:rsidR="00152C50">
      <w:tc>
        <w:tcPr>
          <w:tcW w:w="2489" w:type="dxa"/>
          <w:shd w:val="clear" w:color="auto" w:fill="auto"/>
          <w:vAlign w:val="center"/>
        </w:tcPr>
        <w:p w:rsidR="00152C50" w:rsidRDefault="00152C50">
          <w:pPr>
            <w:ind w:right="-108"/>
            <w:rPr>
              <w:rFonts w:ascii="Palatino Linotype" w:eastAsia="Palatino Linotype" w:hAnsi="Palatino Linotype" w:cs="Palatino Linotype"/>
              <w:b/>
            </w:rPr>
          </w:pPr>
        </w:p>
      </w:tc>
      <w:tc>
        <w:tcPr>
          <w:tcW w:w="3464" w:type="dxa"/>
          <w:shd w:val="clear" w:color="auto" w:fill="auto"/>
          <w:vAlign w:val="center"/>
        </w:tcPr>
        <w:p w:rsidR="00152C50" w:rsidRDefault="00152C50">
          <w:pPr>
            <w:ind w:right="175"/>
            <w:jc w:val="both"/>
            <w:rPr>
              <w:rFonts w:ascii="Palatino Linotype" w:eastAsia="Palatino Linotype" w:hAnsi="Palatino Linotype" w:cs="Palatino Linotype"/>
              <w:b/>
            </w:rPr>
          </w:pPr>
        </w:p>
      </w:tc>
    </w:tr>
  </w:tbl>
  <w:p w:rsidR="00152C50" w:rsidRDefault="00E04E8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C50" w:rsidRDefault="00E04E8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-756283</wp:posOffset>
          </wp:positionH>
          <wp:positionV relativeFrom="paragraph">
            <wp:posOffset>-424178</wp:posOffset>
          </wp:positionV>
          <wp:extent cx="7809865" cy="10165715"/>
          <wp:effectExtent l="0" t="0" r="0" b="0"/>
          <wp:wrapNone/>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551"/>
      <w:gridCol w:w="3544"/>
    </w:tblGrid>
    <w:tr w:rsidR="00152C50">
      <w:tc>
        <w:tcPr>
          <w:tcW w:w="2551" w:type="dxa"/>
          <w:shd w:val="clear" w:color="auto" w:fill="auto"/>
          <w:vAlign w:val="center"/>
        </w:tcPr>
        <w:p w:rsidR="00152C50" w:rsidRDefault="00E04E8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152C50" w:rsidRDefault="00E04E8B">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00824/INFOEM/IP/RR/2022</w:t>
          </w:r>
        </w:p>
      </w:tc>
    </w:tr>
    <w:tr w:rsidR="00152C50">
      <w:trPr>
        <w:trHeight w:val="130"/>
      </w:trPr>
      <w:tc>
        <w:tcPr>
          <w:tcW w:w="2551" w:type="dxa"/>
          <w:shd w:val="clear" w:color="auto" w:fill="auto"/>
          <w:vAlign w:val="center"/>
        </w:tcPr>
        <w:p w:rsidR="00152C50" w:rsidRDefault="00E04E8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152C50" w:rsidRDefault="00152C50">
          <w:pPr>
            <w:jc w:val="both"/>
            <w:rPr>
              <w:rFonts w:ascii="Palatino Linotype" w:eastAsia="Palatino Linotype" w:hAnsi="Palatino Linotype" w:cs="Palatino Linotype"/>
              <w:b/>
            </w:rPr>
          </w:pPr>
        </w:p>
      </w:tc>
    </w:tr>
    <w:tr w:rsidR="00152C50">
      <w:trPr>
        <w:trHeight w:val="228"/>
      </w:trPr>
      <w:tc>
        <w:tcPr>
          <w:tcW w:w="2551" w:type="dxa"/>
          <w:shd w:val="clear" w:color="auto" w:fill="auto"/>
          <w:vAlign w:val="center"/>
        </w:tcPr>
        <w:p w:rsidR="00152C50" w:rsidRDefault="00E04E8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152C50" w:rsidRDefault="00E04E8B">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152C50">
      <w:tc>
        <w:tcPr>
          <w:tcW w:w="2551" w:type="dxa"/>
          <w:shd w:val="clear" w:color="auto" w:fill="auto"/>
          <w:vAlign w:val="center"/>
        </w:tcPr>
        <w:p w:rsidR="00152C50" w:rsidRDefault="00E04E8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152C50" w:rsidRDefault="00E04E8B">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152C50" w:rsidRDefault="00152C5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153E7"/>
    <w:multiLevelType w:val="multilevel"/>
    <w:tmpl w:val="284E8EB2"/>
    <w:lvl w:ilvl="0">
      <w:start w:val="1"/>
      <w:numFmt w:val="upp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A0DC2"/>
    <w:multiLevelType w:val="multilevel"/>
    <w:tmpl w:val="F6CA239A"/>
    <w:lvl w:ilvl="0">
      <w:start w:val="1"/>
      <w:numFmt w:val="upperRoman"/>
      <w:lvlText w:val="%1."/>
      <w:lvlJc w:val="left"/>
      <w:pPr>
        <w:ind w:left="1584" w:hanging="72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50"/>
    <w:rsid w:val="00152C50"/>
    <w:rsid w:val="002453DF"/>
    <w:rsid w:val="004C020F"/>
    <w:rsid w:val="0057680A"/>
    <w:rsid w:val="005C21A8"/>
    <w:rsid w:val="006729B1"/>
    <w:rsid w:val="0079471F"/>
    <w:rsid w:val="00AD00C4"/>
    <w:rsid w:val="00B46C7B"/>
    <w:rsid w:val="00B96EED"/>
    <w:rsid w:val="00D40E75"/>
    <w:rsid w:val="00DF431E"/>
    <w:rsid w:val="00E04E8B"/>
    <w:rsid w:val="00E707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0B9F9-DEDD-43E7-9A48-46A7903B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
    <w:name w:val="4"/>
    <w:basedOn w:val="TableNormal1"/>
    <w:rPr>
      <w:sz w:val="22"/>
      <w:szCs w:val="22"/>
    </w:rPr>
    <w:tblPr>
      <w:tblStyleRowBandSize w:val="1"/>
      <w:tblStyleColBandSize w:val="1"/>
      <w:tblCellMar>
        <w:left w:w="108" w:type="dxa"/>
        <w:right w:w="108" w:type="dxa"/>
      </w:tblCellMar>
    </w:tblPr>
  </w:style>
  <w:style w:type="table" w:customStyle="1" w:styleId="3">
    <w:name w:val="3"/>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1"/>
    <w:rPr>
      <w:sz w:val="22"/>
      <w:szCs w:val="22"/>
    </w:rPr>
    <w:tblPr>
      <w:tblStyleRowBandSize w:val="1"/>
      <w:tblStyleColBandSize w:val="1"/>
      <w:tblCellMar>
        <w:left w:w="115" w:type="dxa"/>
        <w:right w:w="115" w:type="dxa"/>
      </w:tblCellMar>
    </w:tblPr>
  </w:style>
  <w:style w:type="table" w:customStyle="1" w:styleId="a0">
    <w:basedOn w:val="TableNormal1"/>
    <w:rPr>
      <w:sz w:val="22"/>
      <w:szCs w:val="22"/>
    </w:rPr>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F11DE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F11DE3"/>
    <w:rPr>
      <w:i/>
      <w:iCs/>
      <w:color w:val="404040" w:themeColor="text1" w:themeTint="BF"/>
    </w:rPr>
  </w:style>
  <w:style w:type="table" w:customStyle="1" w:styleId="a2">
    <w:basedOn w:val="TableNormal0"/>
    <w:rPr>
      <w:sz w:val="22"/>
      <w:szCs w:val="22"/>
    </w:rPr>
    <w:tblPr>
      <w:tblStyleRowBandSize w:val="1"/>
      <w:tblStyleColBandSize w:val="1"/>
      <w:tblCellMar>
        <w:left w:w="115" w:type="dxa"/>
        <w:right w:w="115" w:type="dxa"/>
      </w:tblCellMar>
    </w:tblPr>
  </w:style>
  <w:style w:type="table" w:customStyle="1" w:styleId="a3">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Osf0aW8nmunTnUsdPBpYSdReEQ==">AMUW2mVdqLFSHC8dkLEXcwmfiB2jXHnaYYaCsryxYaAynP5/kqZmoNbxYqDDMq9HpeeUaWx2KiWZ3+5bSaPVMpcdrabQ4LCNSd9dngLzC+ZArdy9ew0ntkoJ3UXEdYAn8L+f1yI+p7Bs+RLrIiiq9xEiMvDzPhcI63Ew9ajBmTrsnF1K4aQzb9jkrlSNZ9iE4zRyhaw0LGrH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2991</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2022-05-09T15:11:00Z</cp:lastPrinted>
  <dcterms:created xsi:type="dcterms:W3CDTF">2022-06-07T23:56:00Z</dcterms:created>
  <dcterms:modified xsi:type="dcterms:W3CDTF">2022-06-07T23:56:00Z</dcterms:modified>
</cp:coreProperties>
</file>