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19192"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CE743F" w:rsidRPr="00A35887">
        <w:rPr>
          <w:rFonts w:ascii="Palatino Linotype" w:eastAsia="Palatino Linotype" w:hAnsi="Palatino Linotype" w:cs="Palatino Linotype"/>
        </w:rPr>
        <w:t>treinta</w:t>
      </w:r>
      <w:r w:rsidRPr="00A35887">
        <w:rPr>
          <w:rFonts w:ascii="Palatino Linotype" w:eastAsia="Palatino Linotype" w:hAnsi="Palatino Linotype" w:cs="Palatino Linotype"/>
        </w:rPr>
        <w:t xml:space="preserve"> de noviembre de dos mil veintidós. </w:t>
      </w:r>
    </w:p>
    <w:p w14:paraId="628A7A02" w14:textId="77777777" w:rsidR="00ED3CB9" w:rsidRPr="00A35887" w:rsidRDefault="00ED3CB9">
      <w:pPr>
        <w:spacing w:line="360" w:lineRule="auto"/>
        <w:jc w:val="both"/>
        <w:rPr>
          <w:rFonts w:ascii="Palatino Linotype" w:eastAsia="Palatino Linotype" w:hAnsi="Palatino Linotype" w:cs="Palatino Linotype"/>
        </w:rPr>
      </w:pPr>
    </w:p>
    <w:p w14:paraId="7577951C"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b/>
          <w:sz w:val="28"/>
          <w:szCs w:val="28"/>
        </w:rPr>
        <w:t>VISTO</w:t>
      </w:r>
      <w:r w:rsidRPr="00A35887">
        <w:rPr>
          <w:rFonts w:ascii="Palatino Linotype" w:eastAsia="Palatino Linotype" w:hAnsi="Palatino Linotype" w:cs="Palatino Linotype"/>
        </w:rPr>
        <w:t xml:space="preserve"> el expediente formado con motivo del Recurso de Revisión </w:t>
      </w:r>
      <w:r w:rsidRPr="00A35887">
        <w:rPr>
          <w:rFonts w:ascii="Palatino Linotype" w:eastAsia="Palatino Linotype" w:hAnsi="Palatino Linotype" w:cs="Palatino Linotype"/>
          <w:b/>
        </w:rPr>
        <w:t xml:space="preserve">12957/INFOEM/IP/RR/2022, </w:t>
      </w:r>
      <w:r w:rsidRPr="00A35887">
        <w:rPr>
          <w:rFonts w:ascii="Palatino Linotype" w:eastAsia="Palatino Linotype" w:hAnsi="Palatino Linotype" w:cs="Palatino Linotype"/>
        </w:rPr>
        <w:t xml:space="preserve">promovido por un particular de forma anónima, a quien en lo sucesivo se le denominara como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en contra de la respuesta del </w:t>
      </w:r>
      <w:r w:rsidRPr="00A35887">
        <w:rPr>
          <w:rFonts w:ascii="Palatino Linotype" w:eastAsia="Palatino Linotype" w:hAnsi="Palatino Linotype" w:cs="Palatino Linotype"/>
          <w:b/>
        </w:rPr>
        <w:t xml:space="preserve">Ayuntamiento de Metepec </w:t>
      </w:r>
      <w:r w:rsidRPr="00A35887">
        <w:rPr>
          <w:rFonts w:ascii="Palatino Linotype" w:eastAsia="Palatino Linotype" w:hAnsi="Palatino Linotype" w:cs="Palatino Linotype"/>
        </w:rPr>
        <w:t xml:space="preserve">en lo subsecuente se le denominará </w:t>
      </w:r>
      <w:r w:rsidRPr="00A35887">
        <w:rPr>
          <w:rFonts w:ascii="Palatino Linotype" w:eastAsia="Palatino Linotype" w:hAnsi="Palatino Linotype" w:cs="Palatino Linotype"/>
          <w:b/>
        </w:rPr>
        <w:t xml:space="preserve">EL SUJETO OBLIGADO, </w:t>
      </w:r>
      <w:r w:rsidRPr="00A35887">
        <w:rPr>
          <w:rFonts w:ascii="Palatino Linotype" w:eastAsia="Palatino Linotype" w:hAnsi="Palatino Linotype" w:cs="Palatino Linotype"/>
        </w:rPr>
        <w:t>se procede a dictar la presente resolución con base en lo siguiente:</w:t>
      </w:r>
    </w:p>
    <w:p w14:paraId="07A05314" w14:textId="77777777" w:rsidR="00ED3CB9" w:rsidRPr="00A35887" w:rsidRDefault="00ED3CB9">
      <w:pPr>
        <w:spacing w:line="360" w:lineRule="auto"/>
        <w:jc w:val="both"/>
        <w:rPr>
          <w:rFonts w:ascii="Palatino Linotype" w:eastAsia="Palatino Linotype" w:hAnsi="Palatino Linotype" w:cs="Palatino Linotype"/>
          <w:b/>
        </w:rPr>
      </w:pPr>
    </w:p>
    <w:p w14:paraId="2C9FDC24" w14:textId="77777777" w:rsidR="00ED3CB9" w:rsidRPr="00A35887" w:rsidRDefault="00F636EA">
      <w:pPr>
        <w:jc w:val="center"/>
        <w:rPr>
          <w:rFonts w:ascii="Palatino Linotype" w:eastAsia="Palatino Linotype" w:hAnsi="Palatino Linotype" w:cs="Palatino Linotype"/>
          <w:b/>
          <w:sz w:val="28"/>
          <w:szCs w:val="28"/>
        </w:rPr>
      </w:pPr>
      <w:r w:rsidRPr="00A35887">
        <w:rPr>
          <w:rFonts w:ascii="Palatino Linotype" w:eastAsia="Palatino Linotype" w:hAnsi="Palatino Linotype" w:cs="Palatino Linotype"/>
          <w:b/>
          <w:sz w:val="28"/>
          <w:szCs w:val="28"/>
        </w:rPr>
        <w:t>ANTECEDENTES</w:t>
      </w:r>
    </w:p>
    <w:p w14:paraId="0BCD1B8F" w14:textId="77777777" w:rsidR="00ED3CB9" w:rsidRPr="00A35887" w:rsidRDefault="00ED3CB9">
      <w:pPr>
        <w:rPr>
          <w:rFonts w:ascii="Palatino Linotype" w:eastAsia="Palatino Linotype" w:hAnsi="Palatino Linotype" w:cs="Palatino Linotype"/>
          <w:b/>
        </w:rPr>
      </w:pPr>
    </w:p>
    <w:p w14:paraId="56A7058E" w14:textId="77777777" w:rsidR="00ED3CB9" w:rsidRPr="00A35887" w:rsidRDefault="00F636EA">
      <w:pPr>
        <w:spacing w:line="360" w:lineRule="auto"/>
        <w:jc w:val="both"/>
        <w:rPr>
          <w:rFonts w:ascii="Palatino Linotype" w:eastAsia="Palatino Linotype" w:hAnsi="Palatino Linotype" w:cs="Palatino Linotype"/>
          <w:b/>
          <w:sz w:val="28"/>
          <w:szCs w:val="28"/>
        </w:rPr>
      </w:pPr>
      <w:r w:rsidRPr="00A35887">
        <w:rPr>
          <w:rFonts w:ascii="Palatino Linotype" w:eastAsia="Palatino Linotype" w:hAnsi="Palatino Linotype" w:cs="Palatino Linotype"/>
          <w:b/>
          <w:sz w:val="28"/>
          <w:szCs w:val="28"/>
        </w:rPr>
        <w:t>I.</w:t>
      </w:r>
      <w:r w:rsidRPr="00A35887">
        <w:rPr>
          <w:rFonts w:ascii="Palatino Linotype" w:eastAsia="Palatino Linotype" w:hAnsi="Palatino Linotype" w:cs="Palatino Linotype"/>
          <w:b/>
        </w:rPr>
        <w:t xml:space="preserve"> </w:t>
      </w:r>
      <w:r w:rsidRPr="00A35887">
        <w:rPr>
          <w:rFonts w:ascii="Palatino Linotype" w:eastAsia="Palatino Linotype" w:hAnsi="Palatino Linotype" w:cs="Palatino Linotype"/>
          <w:b/>
          <w:sz w:val="28"/>
          <w:szCs w:val="28"/>
        </w:rPr>
        <w:t>De la Solicitud de Información</w:t>
      </w:r>
    </w:p>
    <w:p w14:paraId="608CF2CC" w14:textId="77777777" w:rsidR="00ED3CB9" w:rsidRPr="00A35887" w:rsidRDefault="00F636EA">
      <w:pPr>
        <w:spacing w:line="360" w:lineRule="auto"/>
        <w:jc w:val="both"/>
        <w:rPr>
          <w:rFonts w:ascii="Palatino Linotype" w:eastAsia="Palatino Linotype" w:hAnsi="Palatino Linotype" w:cs="Palatino Linotype"/>
        </w:rPr>
      </w:pPr>
      <w:bookmarkStart w:id="0" w:name="_heading=h.ifuj3wtxm21l" w:colFirst="0" w:colLast="0"/>
      <w:bookmarkEnd w:id="0"/>
      <w:r w:rsidRPr="00A35887">
        <w:rPr>
          <w:rFonts w:ascii="Palatino Linotype" w:eastAsia="Palatino Linotype" w:hAnsi="Palatino Linotype" w:cs="Palatino Linotype"/>
        </w:rPr>
        <w:t xml:space="preserve">En fecha </w:t>
      </w:r>
      <w:r w:rsidRPr="00A35887">
        <w:rPr>
          <w:rFonts w:ascii="Palatino Linotype" w:eastAsia="Palatino Linotype" w:hAnsi="Palatino Linotype" w:cs="Palatino Linotype"/>
          <w:b/>
        </w:rPr>
        <w:t>doce de julio de dos mil veintidós</w:t>
      </w:r>
      <w:r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presentó a través del Sistema de Acceso a la Información Mexiquense, en lo subsecuente </w:t>
      </w:r>
      <w:r w:rsidRPr="00A35887">
        <w:rPr>
          <w:rFonts w:ascii="Palatino Linotype" w:eastAsia="Palatino Linotype" w:hAnsi="Palatino Linotype" w:cs="Palatino Linotype"/>
          <w:b/>
        </w:rPr>
        <w:t>EL SAIMEX</w:t>
      </w:r>
      <w:r w:rsidRPr="00A35887">
        <w:rPr>
          <w:rFonts w:ascii="Palatino Linotype" w:eastAsia="Palatino Linotype" w:hAnsi="Palatino Linotype" w:cs="Palatino Linotype"/>
        </w:rPr>
        <w:t xml:space="preserve"> ante </w:t>
      </w:r>
      <w:r w:rsidRPr="00A35887">
        <w:rPr>
          <w:rFonts w:ascii="Palatino Linotype" w:eastAsia="Palatino Linotype" w:hAnsi="Palatino Linotype" w:cs="Palatino Linotype"/>
          <w:b/>
        </w:rPr>
        <w:t>EL SUJETO OBLIGADO</w:t>
      </w:r>
      <w:r w:rsidRPr="00A35887">
        <w:rPr>
          <w:rFonts w:ascii="Palatino Linotype" w:eastAsia="Palatino Linotype" w:hAnsi="Palatino Linotype" w:cs="Palatino Linotype"/>
        </w:rPr>
        <w:t xml:space="preserve">, la solicitud de acceso a la información pública, a la que se le asignó el número de expediente </w:t>
      </w:r>
      <w:r w:rsidRPr="00A35887">
        <w:rPr>
          <w:rFonts w:ascii="Palatino Linotype" w:eastAsia="Palatino Linotype" w:hAnsi="Palatino Linotype" w:cs="Palatino Linotype"/>
          <w:b/>
        </w:rPr>
        <w:t xml:space="preserve">03781/METEPEC/IP/2022, </w:t>
      </w:r>
      <w:r w:rsidRPr="00A35887">
        <w:rPr>
          <w:rFonts w:ascii="Palatino Linotype" w:eastAsia="Palatino Linotype" w:hAnsi="Palatino Linotype" w:cs="Palatino Linotype"/>
        </w:rPr>
        <w:t>requirió, lo siguiente:</w:t>
      </w:r>
    </w:p>
    <w:p w14:paraId="1A4B70A0" w14:textId="77777777" w:rsidR="006C6688" w:rsidRPr="00A35887" w:rsidRDefault="006C6688">
      <w:pPr>
        <w:ind w:left="850" w:right="899"/>
        <w:jc w:val="both"/>
        <w:rPr>
          <w:rFonts w:ascii="Palatino Linotype" w:eastAsia="Palatino Linotype" w:hAnsi="Palatino Linotype" w:cs="Palatino Linotype"/>
          <w:i/>
          <w:sz w:val="22"/>
          <w:szCs w:val="22"/>
        </w:rPr>
      </w:pPr>
    </w:p>
    <w:p w14:paraId="5B2C6EE8" w14:textId="77777777" w:rsidR="00ED3CB9" w:rsidRPr="00A35887" w:rsidRDefault="00F636EA">
      <w:pPr>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“presupuesto para construir y desarrollar parques industriales en el estado de </w:t>
      </w:r>
      <w:proofErr w:type="spellStart"/>
      <w:r w:rsidRPr="00A35887">
        <w:rPr>
          <w:rFonts w:ascii="Palatino Linotype" w:eastAsia="Palatino Linotype" w:hAnsi="Palatino Linotype" w:cs="Palatino Linotype"/>
          <w:i/>
          <w:sz w:val="22"/>
          <w:szCs w:val="22"/>
        </w:rPr>
        <w:t>mexico</w:t>
      </w:r>
      <w:proofErr w:type="spellEnd"/>
      <w:r w:rsidRPr="00A35887">
        <w:rPr>
          <w:rFonts w:ascii="Palatino Linotype" w:eastAsia="Palatino Linotype" w:hAnsi="Palatino Linotype" w:cs="Palatino Linotype"/>
          <w:i/>
          <w:sz w:val="22"/>
          <w:szCs w:val="22"/>
        </w:rPr>
        <w:t>” (sic)</w:t>
      </w:r>
    </w:p>
    <w:p w14:paraId="52A7B0BE" w14:textId="77777777" w:rsidR="00ED3CB9" w:rsidRPr="00A35887" w:rsidRDefault="00ED3CB9">
      <w:pPr>
        <w:tabs>
          <w:tab w:val="left" w:pos="851"/>
        </w:tabs>
        <w:ind w:right="901"/>
        <w:jc w:val="both"/>
        <w:rPr>
          <w:rFonts w:ascii="Palatino Linotype" w:eastAsia="Palatino Linotype" w:hAnsi="Palatino Linotype" w:cs="Palatino Linotype"/>
          <w:sz w:val="22"/>
          <w:szCs w:val="22"/>
        </w:rPr>
      </w:pPr>
    </w:p>
    <w:p w14:paraId="06344989" w14:textId="77777777" w:rsidR="00ED3CB9" w:rsidRPr="00A35887" w:rsidRDefault="00ED3CB9">
      <w:pPr>
        <w:widowControl w:val="0"/>
        <w:spacing w:line="360" w:lineRule="auto"/>
        <w:jc w:val="both"/>
        <w:rPr>
          <w:rFonts w:ascii="Palatino Linotype" w:eastAsia="Palatino Linotype" w:hAnsi="Palatino Linotype" w:cs="Palatino Linotype"/>
          <w:b/>
        </w:rPr>
      </w:pPr>
    </w:p>
    <w:p w14:paraId="1EF5BE73" w14:textId="77777777" w:rsidR="00ED3CB9" w:rsidRPr="00A35887" w:rsidRDefault="00F636EA">
      <w:pPr>
        <w:widowControl w:val="0"/>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rPr>
        <w:t xml:space="preserve">MODALIDAD DE ENTREGA: </w:t>
      </w:r>
      <w:r w:rsidRPr="00A35887">
        <w:rPr>
          <w:rFonts w:ascii="Palatino Linotype" w:eastAsia="Palatino Linotype" w:hAnsi="Palatino Linotype" w:cs="Palatino Linotype"/>
        </w:rPr>
        <w:t xml:space="preserve">vía </w:t>
      </w:r>
      <w:r w:rsidRPr="00A35887">
        <w:rPr>
          <w:rFonts w:ascii="Palatino Linotype" w:eastAsia="Palatino Linotype" w:hAnsi="Palatino Linotype" w:cs="Palatino Linotype"/>
          <w:b/>
        </w:rPr>
        <w:t xml:space="preserve">SAIMEX </w:t>
      </w:r>
    </w:p>
    <w:p w14:paraId="549805A9" w14:textId="77777777" w:rsidR="00ED3CB9" w:rsidRPr="00A35887" w:rsidRDefault="00ED3CB9">
      <w:pPr>
        <w:widowControl w:val="0"/>
        <w:spacing w:line="360" w:lineRule="auto"/>
        <w:jc w:val="both"/>
        <w:rPr>
          <w:rFonts w:ascii="Palatino Linotype" w:eastAsia="Palatino Linotype" w:hAnsi="Palatino Linotype" w:cs="Palatino Linotype"/>
          <w:b/>
        </w:rPr>
      </w:pPr>
    </w:p>
    <w:p w14:paraId="671E13F6" w14:textId="77777777" w:rsidR="00ED3CB9" w:rsidRPr="00A35887" w:rsidRDefault="00F636EA">
      <w:pPr>
        <w:widowControl w:val="0"/>
        <w:spacing w:line="360" w:lineRule="auto"/>
        <w:jc w:val="both"/>
        <w:rPr>
          <w:rFonts w:ascii="Palatino Linotype" w:eastAsia="Palatino Linotype" w:hAnsi="Palatino Linotype" w:cs="Palatino Linotype"/>
          <w:b/>
          <w:sz w:val="28"/>
          <w:szCs w:val="28"/>
        </w:rPr>
      </w:pPr>
      <w:r w:rsidRPr="00A35887">
        <w:rPr>
          <w:rFonts w:ascii="Palatino Linotype" w:eastAsia="Palatino Linotype" w:hAnsi="Palatino Linotype" w:cs="Palatino Linotype"/>
          <w:b/>
          <w:sz w:val="28"/>
          <w:szCs w:val="28"/>
        </w:rPr>
        <w:lastRenderedPageBreak/>
        <w:t>II. Turno de requerimiento del Sujeto Obligado</w:t>
      </w:r>
    </w:p>
    <w:p w14:paraId="07F0AFF8" w14:textId="77777777" w:rsidR="00ED3CB9" w:rsidRPr="00A35887" w:rsidRDefault="00F636EA">
      <w:pPr>
        <w:spacing w:line="360" w:lineRule="auto"/>
        <w:jc w:val="both"/>
        <w:rPr>
          <w:rFonts w:ascii="Palatino Linotype" w:eastAsia="Palatino Linotype" w:hAnsi="Palatino Linotype" w:cs="Palatino Linotype"/>
          <w:b/>
          <w:sz w:val="28"/>
          <w:szCs w:val="28"/>
        </w:rPr>
      </w:pPr>
      <w:r w:rsidRPr="00A35887">
        <w:rPr>
          <w:rFonts w:ascii="Palatino Linotype" w:eastAsia="Palatino Linotype" w:hAnsi="Palatino Linotype" w:cs="Palatino Linotype"/>
        </w:rPr>
        <w:t>De las constancias que obran en los expedientes electrónicos del SAIMEX  se advierte en fecha trece de julio el turno de requerimiento hecho por el Titular de la Unidad de Transparencia, en términos de lo establecido por el artículo 162 de la Ley de Transparencia y Acceso a la Información Pública del Estado de México y Municipios.</w:t>
      </w:r>
    </w:p>
    <w:p w14:paraId="379B6A47" w14:textId="77777777" w:rsidR="00ED3CB9" w:rsidRPr="00A35887" w:rsidRDefault="00ED3CB9">
      <w:pPr>
        <w:spacing w:line="360" w:lineRule="auto"/>
        <w:jc w:val="both"/>
        <w:rPr>
          <w:rFonts w:ascii="Palatino Linotype" w:eastAsia="Palatino Linotype" w:hAnsi="Palatino Linotype" w:cs="Palatino Linotype"/>
          <w:b/>
          <w:sz w:val="28"/>
          <w:szCs w:val="28"/>
        </w:rPr>
      </w:pPr>
    </w:p>
    <w:p w14:paraId="6048ED93" w14:textId="77777777" w:rsidR="00ED3CB9" w:rsidRPr="00A35887" w:rsidRDefault="00F636EA">
      <w:pPr>
        <w:spacing w:line="360" w:lineRule="auto"/>
        <w:jc w:val="both"/>
        <w:rPr>
          <w:rFonts w:ascii="Palatino Linotype" w:eastAsia="Palatino Linotype" w:hAnsi="Palatino Linotype" w:cs="Palatino Linotype"/>
          <w:b/>
          <w:sz w:val="28"/>
          <w:szCs w:val="28"/>
        </w:rPr>
      </w:pPr>
      <w:r w:rsidRPr="00A35887">
        <w:rPr>
          <w:rFonts w:ascii="Palatino Linotype" w:eastAsia="Palatino Linotype" w:hAnsi="Palatino Linotype" w:cs="Palatino Linotype"/>
          <w:b/>
          <w:sz w:val="28"/>
          <w:szCs w:val="28"/>
        </w:rPr>
        <w:t>III. Respuesta del Sujeto Obligado</w:t>
      </w:r>
    </w:p>
    <w:p w14:paraId="68CEFAB0"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De las constancias que obran en el expediente electrónico del SAIMEX se observa que en fecha</w:t>
      </w:r>
      <w:r w:rsidRPr="00A35887">
        <w:rPr>
          <w:rFonts w:ascii="Palatino Linotype" w:eastAsia="Palatino Linotype" w:hAnsi="Palatino Linotype" w:cs="Palatino Linotype"/>
          <w:b/>
        </w:rPr>
        <w:t xml:space="preserve"> catorce de julio de dos mil veintidós</w:t>
      </w:r>
      <w:r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b/>
        </w:rPr>
        <w:t>EL SUJETO OBLIGADO</w:t>
      </w:r>
      <w:r w:rsidRPr="00A35887">
        <w:rPr>
          <w:rFonts w:ascii="Palatino Linotype" w:eastAsia="Palatino Linotype" w:hAnsi="Palatino Linotype" w:cs="Palatino Linotype"/>
        </w:rPr>
        <w:t xml:space="preserve"> dio respuesta en los términos siguientes: </w:t>
      </w:r>
    </w:p>
    <w:p w14:paraId="67742D6B" w14:textId="77777777" w:rsidR="00ED3CB9" w:rsidRPr="00A35887" w:rsidRDefault="00ED3CB9">
      <w:pPr>
        <w:spacing w:line="360" w:lineRule="auto"/>
        <w:jc w:val="both"/>
        <w:rPr>
          <w:rFonts w:ascii="Palatino Linotype" w:eastAsia="Palatino Linotype" w:hAnsi="Palatino Linotype" w:cs="Palatino Linotype"/>
        </w:rPr>
      </w:pPr>
    </w:p>
    <w:p w14:paraId="6EFF48E5" w14:textId="77777777" w:rsidR="00ED3CB9" w:rsidRPr="00A35887" w:rsidRDefault="00F636EA">
      <w:pPr>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 (Sic)</w:t>
      </w:r>
    </w:p>
    <w:p w14:paraId="529C7007"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 xml:space="preserve">Adjuntando a su respuesta el archivo denominado </w:t>
      </w:r>
      <w:r w:rsidRPr="00A35887">
        <w:rPr>
          <w:rFonts w:ascii="Palatino Linotype" w:eastAsia="Palatino Linotype" w:hAnsi="Palatino Linotype" w:cs="Palatino Linotype"/>
          <w:i/>
        </w:rPr>
        <w:t xml:space="preserve">3781.PDF, </w:t>
      </w:r>
      <w:r w:rsidRPr="00A35887">
        <w:rPr>
          <w:rFonts w:ascii="Palatino Linotype" w:eastAsia="Palatino Linotype" w:hAnsi="Palatino Linotype" w:cs="Palatino Linotype"/>
        </w:rPr>
        <w:t xml:space="preserve">del cual se advierte el oficio UT/MET/2567/2022 de fecha catorce de julio, mediante el cual el Titular de la </w:t>
      </w:r>
      <w:r w:rsidR="00CE743F" w:rsidRPr="00A35887">
        <w:rPr>
          <w:rFonts w:ascii="Palatino Linotype" w:eastAsia="Palatino Linotype" w:hAnsi="Palatino Linotype" w:cs="Palatino Linotype"/>
        </w:rPr>
        <w:t>Unidad</w:t>
      </w:r>
      <w:r w:rsidRPr="00A35887">
        <w:rPr>
          <w:rFonts w:ascii="Palatino Linotype" w:eastAsia="Palatino Linotype" w:hAnsi="Palatino Linotype" w:cs="Palatino Linotype"/>
        </w:rPr>
        <w:t xml:space="preserve"> de </w:t>
      </w:r>
      <w:r w:rsidR="00CE743F" w:rsidRPr="00A35887">
        <w:rPr>
          <w:rFonts w:ascii="Palatino Linotype" w:eastAsia="Palatino Linotype" w:hAnsi="Palatino Linotype" w:cs="Palatino Linotype"/>
        </w:rPr>
        <w:t>Transparencia</w:t>
      </w:r>
      <w:r w:rsidRPr="00A35887">
        <w:rPr>
          <w:rFonts w:ascii="Palatino Linotype" w:eastAsia="Palatino Linotype" w:hAnsi="Palatino Linotype" w:cs="Palatino Linotype"/>
        </w:rPr>
        <w:t xml:space="preserve"> refiere que el Comité de Transparencia del </w:t>
      </w:r>
      <w:r w:rsidRPr="00A35887">
        <w:rPr>
          <w:rFonts w:ascii="Palatino Linotype" w:eastAsia="Palatino Linotype" w:hAnsi="Palatino Linotype" w:cs="Palatino Linotype"/>
          <w:b/>
        </w:rPr>
        <w:t>SUEJTO OBLIGADO</w:t>
      </w:r>
      <w:r w:rsidRPr="00A35887">
        <w:rPr>
          <w:rFonts w:ascii="Palatino Linotype" w:eastAsia="Palatino Linotype" w:hAnsi="Palatino Linotype" w:cs="Palatino Linotype"/>
        </w:rPr>
        <w:t xml:space="preserve"> se declaró incompetente para conocer la </w:t>
      </w:r>
      <w:r w:rsidR="00CE743F" w:rsidRPr="00A35887">
        <w:rPr>
          <w:rFonts w:ascii="Palatino Linotype" w:eastAsia="Palatino Linotype" w:hAnsi="Palatino Linotype" w:cs="Palatino Linotype"/>
        </w:rPr>
        <w:t>información</w:t>
      </w:r>
      <w:r w:rsidRPr="00A35887">
        <w:rPr>
          <w:rFonts w:ascii="Palatino Linotype" w:eastAsia="Palatino Linotype" w:hAnsi="Palatino Linotype" w:cs="Palatino Linotype"/>
        </w:rPr>
        <w:t xml:space="preserve"> </w:t>
      </w:r>
      <w:proofErr w:type="spellStart"/>
      <w:r w:rsidRPr="00A35887">
        <w:rPr>
          <w:rFonts w:ascii="Palatino Linotype" w:eastAsia="Palatino Linotype" w:hAnsi="Palatino Linotype" w:cs="Palatino Linotype"/>
        </w:rPr>
        <w:t>solcitada</w:t>
      </w:r>
      <w:proofErr w:type="spellEnd"/>
      <w:r w:rsidRPr="00A35887">
        <w:rPr>
          <w:rFonts w:ascii="Palatino Linotype" w:eastAsia="Palatino Linotype" w:hAnsi="Palatino Linotype" w:cs="Palatino Linotype"/>
        </w:rPr>
        <w:t xml:space="preserve"> mediante el acuerdo 04/CT/MET/EXT-22/2022. </w:t>
      </w:r>
    </w:p>
    <w:p w14:paraId="568299AE" w14:textId="77777777" w:rsidR="00ED3CB9" w:rsidRPr="00A35887" w:rsidRDefault="00ED3CB9">
      <w:pPr>
        <w:spacing w:line="360" w:lineRule="auto"/>
        <w:jc w:val="both"/>
        <w:rPr>
          <w:rFonts w:ascii="Palatino Linotype" w:eastAsia="Palatino Linotype" w:hAnsi="Palatino Linotype" w:cs="Palatino Linotype"/>
        </w:rPr>
      </w:pPr>
    </w:p>
    <w:p w14:paraId="6B4E7995" w14:textId="77777777" w:rsidR="00ED3CB9" w:rsidRPr="00A35887" w:rsidRDefault="00F636EA">
      <w:pPr>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sz w:val="28"/>
          <w:szCs w:val="28"/>
        </w:rPr>
        <w:t>IV. Del Recurso de Revisión</w:t>
      </w:r>
      <w:r w:rsidRPr="00A35887">
        <w:rPr>
          <w:rFonts w:ascii="Palatino Linotype" w:eastAsia="Palatino Linotype" w:hAnsi="Palatino Linotype" w:cs="Palatino Linotype"/>
          <w:b/>
        </w:rPr>
        <w:t>.</w:t>
      </w:r>
    </w:p>
    <w:p w14:paraId="3C9B2D02" w14:textId="77777777" w:rsidR="00ED3CB9" w:rsidRPr="00A35887" w:rsidRDefault="00F636EA">
      <w:pPr>
        <w:widowControl w:val="0"/>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Inconforme con la respuesta del</w:t>
      </w:r>
      <w:r w:rsidRPr="00A35887">
        <w:rPr>
          <w:rFonts w:ascii="Palatino Linotype" w:eastAsia="Palatino Linotype" w:hAnsi="Palatino Linotype" w:cs="Palatino Linotype"/>
          <w:b/>
        </w:rPr>
        <w:t xml:space="preserve"> SUJETO OBLIGADO</w:t>
      </w:r>
      <w:r w:rsidRPr="00A35887">
        <w:rPr>
          <w:rFonts w:ascii="Palatino Linotype" w:eastAsia="Palatino Linotype" w:hAnsi="Palatino Linotype" w:cs="Palatino Linotype"/>
        </w:rPr>
        <w:t xml:space="preserve">, el veintidós de julio  de dos mil veintidós,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interpuso el Recurso de Revisión, mismo que al corresponder a un día inhábil por periodo vacacional se tuvo por presentado hasta el día </w:t>
      </w:r>
      <w:r w:rsidR="00CE743F" w:rsidRPr="00A35887">
        <w:rPr>
          <w:rFonts w:ascii="Palatino Linotype" w:eastAsia="Palatino Linotype" w:hAnsi="Palatino Linotype" w:cs="Palatino Linotype"/>
        </w:rPr>
        <w:t>hábil</w:t>
      </w:r>
      <w:r w:rsidRPr="00A35887">
        <w:rPr>
          <w:rFonts w:ascii="Palatino Linotype" w:eastAsia="Palatino Linotype" w:hAnsi="Palatino Linotype" w:cs="Palatino Linotype"/>
        </w:rPr>
        <w:t xml:space="preserve"> siguiente siendo este el primero de agosto de la anualidad, registrado en </w:t>
      </w:r>
      <w:r w:rsidRPr="00A35887">
        <w:rPr>
          <w:rFonts w:ascii="Palatino Linotype" w:eastAsia="Palatino Linotype" w:hAnsi="Palatino Linotype" w:cs="Palatino Linotype"/>
          <w:b/>
        </w:rPr>
        <w:t>EL SAIMEX</w:t>
      </w:r>
      <w:r w:rsidRPr="00A35887">
        <w:rPr>
          <w:rFonts w:ascii="Palatino Linotype" w:eastAsia="Palatino Linotype" w:hAnsi="Palatino Linotype" w:cs="Palatino Linotype"/>
        </w:rPr>
        <w:t xml:space="preserve"> y se le asignó el número de expediente </w:t>
      </w:r>
      <w:r w:rsidRPr="00A35887">
        <w:rPr>
          <w:rFonts w:ascii="Palatino Linotype" w:eastAsia="Palatino Linotype" w:hAnsi="Palatino Linotype" w:cs="Palatino Linotype"/>
          <w:b/>
        </w:rPr>
        <w:t xml:space="preserve">12957/INFOEM/IP/RR/2022, </w:t>
      </w:r>
      <w:r w:rsidRPr="00A35887">
        <w:rPr>
          <w:rFonts w:ascii="Palatino Linotype" w:eastAsia="Palatino Linotype" w:hAnsi="Palatino Linotype" w:cs="Palatino Linotype"/>
        </w:rPr>
        <w:t>donde los motivos de agravio del</w:t>
      </w:r>
      <w:r w:rsidRPr="00A35887">
        <w:rPr>
          <w:rFonts w:ascii="Palatino Linotype" w:eastAsia="Palatino Linotype" w:hAnsi="Palatino Linotype" w:cs="Palatino Linotype"/>
          <w:b/>
        </w:rPr>
        <w:t xml:space="preserve"> RECURRENTE </w:t>
      </w:r>
      <w:r w:rsidRPr="00A35887">
        <w:rPr>
          <w:rFonts w:ascii="Palatino Linotype" w:eastAsia="Palatino Linotype" w:hAnsi="Palatino Linotype" w:cs="Palatino Linotype"/>
        </w:rPr>
        <w:t>fueron los siguientes:</w:t>
      </w:r>
    </w:p>
    <w:p w14:paraId="281A8483" w14:textId="77777777" w:rsidR="00ED3CB9" w:rsidRPr="00A35887" w:rsidRDefault="00ED3CB9">
      <w:pPr>
        <w:widowControl w:val="0"/>
        <w:spacing w:line="360" w:lineRule="auto"/>
        <w:jc w:val="both"/>
        <w:rPr>
          <w:rFonts w:ascii="Palatino Linotype" w:eastAsia="Palatino Linotype" w:hAnsi="Palatino Linotype" w:cs="Palatino Linotype"/>
        </w:rPr>
      </w:pPr>
    </w:p>
    <w:p w14:paraId="1C5A66D1" w14:textId="77777777" w:rsidR="00ED3CB9" w:rsidRPr="00A35887" w:rsidRDefault="00F636EA">
      <w:pPr>
        <w:spacing w:line="360" w:lineRule="auto"/>
        <w:ind w:left="-57" w:right="-57"/>
        <w:jc w:val="both"/>
        <w:rPr>
          <w:rFonts w:ascii="Palatino Linotype" w:eastAsia="Palatino Linotype" w:hAnsi="Palatino Linotype" w:cs="Palatino Linotype"/>
          <w:b/>
          <w:u w:val="single"/>
        </w:rPr>
      </w:pPr>
      <w:r w:rsidRPr="00A35887">
        <w:rPr>
          <w:rFonts w:ascii="Palatino Linotype" w:eastAsia="Palatino Linotype" w:hAnsi="Palatino Linotype" w:cs="Palatino Linotype"/>
          <w:b/>
          <w:u w:val="single"/>
        </w:rPr>
        <w:t>Acto Impugnado:</w:t>
      </w:r>
      <w:r w:rsidRPr="00A35887">
        <w:rPr>
          <w:b/>
          <w:u w:val="single"/>
        </w:rPr>
        <w:t xml:space="preserve"> </w:t>
      </w:r>
    </w:p>
    <w:p w14:paraId="53270F81" w14:textId="77777777" w:rsidR="00ED3CB9" w:rsidRPr="00A35887" w:rsidRDefault="00F636EA">
      <w:pPr>
        <w:tabs>
          <w:tab w:val="left" w:pos="709"/>
        </w:tabs>
        <w:spacing w:before="66"/>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“No me indica el procedimiento que debo de seguir, para ingresar mi solicitud al sujeto obligado competente” (Sic)</w:t>
      </w:r>
    </w:p>
    <w:p w14:paraId="1C8AAED1" w14:textId="77777777" w:rsidR="00ED3CB9" w:rsidRPr="00A35887" w:rsidRDefault="00ED3CB9">
      <w:pPr>
        <w:ind w:right="899"/>
        <w:jc w:val="both"/>
        <w:rPr>
          <w:rFonts w:ascii="Palatino Linotype" w:eastAsia="Palatino Linotype" w:hAnsi="Palatino Linotype" w:cs="Palatino Linotype"/>
        </w:rPr>
      </w:pPr>
    </w:p>
    <w:p w14:paraId="0F61516F" w14:textId="77777777" w:rsidR="00ED3CB9" w:rsidRPr="00A35887" w:rsidRDefault="00F636EA">
      <w:pPr>
        <w:spacing w:line="360" w:lineRule="auto"/>
        <w:ind w:right="49"/>
        <w:jc w:val="both"/>
        <w:rPr>
          <w:rFonts w:ascii="Palatino Linotype" w:eastAsia="Palatino Linotype" w:hAnsi="Palatino Linotype" w:cs="Palatino Linotype"/>
          <w:b/>
          <w:u w:val="single"/>
        </w:rPr>
      </w:pPr>
      <w:r w:rsidRPr="00A35887">
        <w:rPr>
          <w:rFonts w:ascii="Palatino Linotype" w:eastAsia="Palatino Linotype" w:hAnsi="Palatino Linotype" w:cs="Palatino Linotype"/>
          <w:b/>
          <w:u w:val="single"/>
        </w:rPr>
        <w:t>Razones o motivos de inconformidad:</w:t>
      </w:r>
    </w:p>
    <w:p w14:paraId="237DCA12" w14:textId="77777777" w:rsidR="00ED3CB9" w:rsidRPr="00A35887" w:rsidRDefault="00F636EA">
      <w:pPr>
        <w:tabs>
          <w:tab w:val="left" w:pos="709"/>
        </w:tabs>
        <w:spacing w:before="66"/>
        <w:ind w:left="850" w:right="899"/>
        <w:jc w:val="both"/>
        <w:rPr>
          <w:rFonts w:ascii="Palatino Linotype" w:eastAsia="Palatino Linotype" w:hAnsi="Palatino Linotype" w:cs="Palatino Linotype"/>
        </w:rPr>
      </w:pPr>
      <w:r w:rsidRPr="00A35887">
        <w:rPr>
          <w:rFonts w:ascii="Palatino Linotype" w:eastAsia="Palatino Linotype" w:hAnsi="Palatino Linotype" w:cs="Palatino Linotype"/>
          <w:i/>
          <w:sz w:val="22"/>
          <w:szCs w:val="22"/>
        </w:rPr>
        <w:t>“No me indica el procedimiento que debo de seguir, para ingresar mi solicitud al sujeto obligado competente”</w:t>
      </w:r>
      <w:r w:rsidR="00CE743F" w:rsidRPr="00A35887">
        <w:rPr>
          <w:rFonts w:ascii="Palatino Linotype" w:eastAsia="Palatino Linotype" w:hAnsi="Palatino Linotype" w:cs="Palatino Linotype"/>
          <w:i/>
          <w:sz w:val="22"/>
          <w:szCs w:val="22"/>
        </w:rPr>
        <w:t xml:space="preserve"> </w:t>
      </w:r>
      <w:r w:rsidRPr="00A35887">
        <w:rPr>
          <w:rFonts w:ascii="Palatino Linotype" w:eastAsia="Palatino Linotype" w:hAnsi="Palatino Linotype" w:cs="Palatino Linotype"/>
          <w:i/>
          <w:sz w:val="22"/>
          <w:szCs w:val="22"/>
        </w:rPr>
        <w:t>(Sic)</w:t>
      </w:r>
    </w:p>
    <w:p w14:paraId="2BBDD79A" w14:textId="77777777" w:rsidR="00ED3CB9" w:rsidRPr="00A35887" w:rsidRDefault="00ED3CB9">
      <w:pPr>
        <w:spacing w:line="360" w:lineRule="auto"/>
        <w:jc w:val="both"/>
        <w:rPr>
          <w:rFonts w:ascii="Palatino Linotype" w:eastAsia="Palatino Linotype" w:hAnsi="Palatino Linotype" w:cs="Palatino Linotype"/>
        </w:rPr>
      </w:pPr>
    </w:p>
    <w:p w14:paraId="2D04F83A" w14:textId="77777777" w:rsidR="00CE743F" w:rsidRPr="00A35887" w:rsidRDefault="00CE743F">
      <w:pPr>
        <w:spacing w:line="360" w:lineRule="auto"/>
        <w:jc w:val="both"/>
        <w:rPr>
          <w:rFonts w:ascii="Palatino Linotype" w:eastAsia="Palatino Linotype" w:hAnsi="Palatino Linotype" w:cs="Palatino Linotype"/>
        </w:rPr>
      </w:pPr>
    </w:p>
    <w:p w14:paraId="32B39546" w14:textId="77777777" w:rsidR="00CE743F" w:rsidRPr="00A35887" w:rsidRDefault="00CE743F">
      <w:pPr>
        <w:spacing w:line="360" w:lineRule="auto"/>
        <w:jc w:val="both"/>
        <w:rPr>
          <w:rFonts w:ascii="Palatino Linotype" w:eastAsia="Palatino Linotype" w:hAnsi="Palatino Linotype" w:cs="Palatino Linotype"/>
        </w:rPr>
      </w:pPr>
    </w:p>
    <w:p w14:paraId="2E726DDB" w14:textId="77777777" w:rsidR="00ED3CB9" w:rsidRPr="00A35887" w:rsidRDefault="00F636EA">
      <w:pPr>
        <w:spacing w:line="360" w:lineRule="auto"/>
        <w:jc w:val="both"/>
        <w:rPr>
          <w:rFonts w:ascii="Palatino Linotype" w:eastAsia="Palatino Linotype" w:hAnsi="Palatino Linotype" w:cs="Palatino Linotype"/>
          <w:b/>
          <w:sz w:val="28"/>
          <w:szCs w:val="28"/>
        </w:rPr>
      </w:pPr>
      <w:r w:rsidRPr="00A35887">
        <w:rPr>
          <w:rFonts w:ascii="Palatino Linotype" w:eastAsia="Palatino Linotype" w:hAnsi="Palatino Linotype" w:cs="Palatino Linotype"/>
          <w:b/>
          <w:sz w:val="28"/>
          <w:szCs w:val="28"/>
        </w:rPr>
        <w:lastRenderedPageBreak/>
        <w:t xml:space="preserve">V. Del turno del Recurso de Revisión. </w:t>
      </w:r>
    </w:p>
    <w:p w14:paraId="76ED32B6"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El </w:t>
      </w:r>
      <w:r w:rsidRPr="00A35887">
        <w:rPr>
          <w:rFonts w:ascii="Palatino Linotype" w:eastAsia="Palatino Linotype" w:hAnsi="Palatino Linotype" w:cs="Palatino Linotype"/>
          <w:b/>
        </w:rPr>
        <w:t>veintidós de julio de dos mil veintidós</w:t>
      </w:r>
      <w:r w:rsidRPr="00A3588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A35887">
        <w:rPr>
          <w:rFonts w:ascii="Palatino Linotype" w:eastAsia="Palatino Linotype" w:hAnsi="Palatino Linotype" w:cs="Palatino Linotype"/>
          <w:b/>
        </w:rPr>
        <w:t>Comisionada Sharon Cristina Morales Martínez</w:t>
      </w:r>
      <w:r w:rsidRPr="00A35887">
        <w:rPr>
          <w:rFonts w:ascii="Palatino Linotype" w:eastAsia="Palatino Linotype" w:hAnsi="Palatino Linotype" w:cs="Palatino Linotype"/>
        </w:rPr>
        <w:t>; a efecto de decretar su admisión o desechamiento.</w:t>
      </w:r>
    </w:p>
    <w:p w14:paraId="04BF6D40" w14:textId="77777777" w:rsidR="00ED3CB9" w:rsidRPr="00A35887" w:rsidRDefault="00ED3CB9">
      <w:pPr>
        <w:spacing w:line="360" w:lineRule="auto"/>
        <w:jc w:val="both"/>
        <w:rPr>
          <w:rFonts w:ascii="Palatino Linotype" w:eastAsia="Palatino Linotype" w:hAnsi="Palatino Linotype" w:cs="Palatino Linotype"/>
        </w:rPr>
      </w:pPr>
    </w:p>
    <w:p w14:paraId="3ECEF0EA" w14:textId="77777777" w:rsidR="00ED3CB9" w:rsidRPr="00A35887" w:rsidRDefault="00F636EA">
      <w:pPr>
        <w:tabs>
          <w:tab w:val="center" w:pos="4252"/>
          <w:tab w:val="right" w:pos="8504"/>
        </w:tabs>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rPr>
        <w:t>a) Admisión del Recurso de Revisión</w:t>
      </w:r>
    </w:p>
    <w:p w14:paraId="23FD117C" w14:textId="77777777" w:rsidR="00ED3CB9" w:rsidRPr="00A35887" w:rsidRDefault="00F636EA">
      <w:pPr>
        <w:tabs>
          <w:tab w:val="center" w:pos="4252"/>
          <w:tab w:val="right" w:pos="8504"/>
        </w:tabs>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De las constancias que obran en el expediente electrónico del</w:t>
      </w:r>
      <w:r w:rsidRPr="00A35887">
        <w:rPr>
          <w:rFonts w:ascii="Palatino Linotype" w:eastAsia="Palatino Linotype" w:hAnsi="Palatino Linotype" w:cs="Palatino Linotype"/>
          <w:b/>
        </w:rPr>
        <w:t xml:space="preserve"> SAIMEX</w:t>
      </w:r>
      <w:r w:rsidRPr="00A35887">
        <w:rPr>
          <w:rFonts w:ascii="Palatino Linotype" w:eastAsia="Palatino Linotype" w:hAnsi="Palatino Linotype" w:cs="Palatino Linotype"/>
        </w:rPr>
        <w:t>, se advierte que en fecha</w:t>
      </w:r>
      <w:r w:rsidRPr="00A35887">
        <w:rPr>
          <w:rFonts w:ascii="Palatino Linotype" w:eastAsia="Palatino Linotype" w:hAnsi="Palatino Linotype" w:cs="Palatino Linotype"/>
          <w:b/>
        </w:rPr>
        <w:t xml:space="preserve"> tres de agosto de dos mil veintidós</w:t>
      </w:r>
      <w:r w:rsidRPr="00A35887">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A35887">
        <w:rPr>
          <w:rFonts w:ascii="Palatino Linotype" w:eastAsia="Palatino Linotype" w:hAnsi="Palatino Linotype" w:cs="Palatino Linotype"/>
          <w:b/>
        </w:rPr>
        <w:t xml:space="preserve"> </w:t>
      </w:r>
      <w:r w:rsidRPr="00A35887">
        <w:rPr>
          <w:rFonts w:ascii="Palatino Linotype" w:eastAsia="Palatino Linotype" w:hAnsi="Palatino Linotype" w:cs="Palatino Linotype"/>
        </w:rPr>
        <w:t>al</w:t>
      </w:r>
      <w:r w:rsidRPr="00A35887">
        <w:rPr>
          <w:rFonts w:ascii="Palatino Linotype" w:eastAsia="Palatino Linotype" w:hAnsi="Palatino Linotype" w:cs="Palatino Linotype"/>
          <w:b/>
        </w:rPr>
        <w:t xml:space="preserve"> RECURRENTE </w:t>
      </w:r>
      <w:r w:rsidRPr="00A35887">
        <w:rPr>
          <w:rFonts w:ascii="Palatino Linotype" w:eastAsia="Palatino Linotype" w:hAnsi="Palatino Linotype" w:cs="Palatino Linotype"/>
        </w:rPr>
        <w:t xml:space="preserve">manifestara lo que a su derecho conviniera, a efecto de presentar pruebas y alegatos; así como, para que </w:t>
      </w:r>
      <w:r w:rsidRPr="00A35887">
        <w:rPr>
          <w:rFonts w:ascii="Palatino Linotype" w:eastAsia="Palatino Linotype" w:hAnsi="Palatino Linotype" w:cs="Palatino Linotype"/>
          <w:b/>
        </w:rPr>
        <w:t xml:space="preserve">EL SUJETO OBLIGADO </w:t>
      </w:r>
      <w:r w:rsidRPr="00A35887">
        <w:rPr>
          <w:rFonts w:ascii="Palatino Linotype" w:eastAsia="Palatino Linotype" w:hAnsi="Palatino Linotype" w:cs="Palatino Linotype"/>
        </w:rPr>
        <w:t>rindiera el correspondiente</w:t>
      </w:r>
      <w:r w:rsidRPr="00A35887">
        <w:rPr>
          <w:rFonts w:ascii="Palatino Linotype" w:eastAsia="Palatino Linotype" w:hAnsi="Palatino Linotype" w:cs="Palatino Linotype"/>
          <w:b/>
        </w:rPr>
        <w:t xml:space="preserve"> </w:t>
      </w:r>
      <w:r w:rsidRPr="00A3588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E9478AC" w14:textId="77777777" w:rsidR="00ED3CB9" w:rsidRPr="00A35887" w:rsidRDefault="00ED3CB9">
      <w:pPr>
        <w:tabs>
          <w:tab w:val="center" w:pos="4252"/>
          <w:tab w:val="right" w:pos="8504"/>
        </w:tabs>
        <w:spacing w:line="360" w:lineRule="auto"/>
        <w:jc w:val="both"/>
        <w:rPr>
          <w:rFonts w:ascii="Palatino Linotype" w:eastAsia="Palatino Linotype" w:hAnsi="Palatino Linotype" w:cs="Palatino Linotype"/>
        </w:rPr>
      </w:pPr>
    </w:p>
    <w:p w14:paraId="60E621EB" w14:textId="77777777" w:rsidR="00ED3CB9" w:rsidRPr="00A35887" w:rsidRDefault="00F636EA">
      <w:pPr>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rPr>
        <w:t>b) Informe Justificado</w:t>
      </w:r>
    </w:p>
    <w:p w14:paraId="77B0207D" w14:textId="77777777" w:rsidR="00ED3CB9" w:rsidRPr="00A35887" w:rsidRDefault="00F636EA">
      <w:pPr>
        <w:widowControl w:val="0"/>
        <w:tabs>
          <w:tab w:val="left" w:pos="0"/>
        </w:tabs>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Conforme a las constancias que obran en el expediente del </w:t>
      </w:r>
      <w:r w:rsidRPr="00A35887">
        <w:rPr>
          <w:rFonts w:ascii="Palatino Linotype" w:eastAsia="Palatino Linotype" w:hAnsi="Palatino Linotype" w:cs="Palatino Linotype"/>
          <w:b/>
        </w:rPr>
        <w:t>SAIMEX,</w:t>
      </w:r>
      <w:r w:rsidRPr="00A35887">
        <w:rPr>
          <w:rFonts w:ascii="Palatino Linotype" w:eastAsia="Palatino Linotype" w:hAnsi="Palatino Linotype" w:cs="Palatino Linotype"/>
        </w:rPr>
        <w:t xml:space="preserve"> se desprende que atento a lo dispuesto en el artículo 185 de la Ley de Transparencia y Acceso a la </w:t>
      </w:r>
      <w:r w:rsidRPr="00A35887">
        <w:rPr>
          <w:rFonts w:ascii="Palatino Linotype" w:eastAsia="Palatino Linotype" w:hAnsi="Palatino Linotype" w:cs="Palatino Linotype"/>
        </w:rPr>
        <w:lastRenderedPageBreak/>
        <w:t xml:space="preserve">Información Pública del Estado de México y Municipios, dentro del término legalmente concedido al </w:t>
      </w:r>
      <w:r w:rsidRPr="00A35887">
        <w:rPr>
          <w:rFonts w:ascii="Palatino Linotype" w:eastAsia="Palatino Linotype" w:hAnsi="Palatino Linotype" w:cs="Palatino Linotype"/>
          <w:b/>
        </w:rPr>
        <w:t>RECURRENTE</w:t>
      </w:r>
      <w:r w:rsidRPr="00A35887">
        <w:rPr>
          <w:rFonts w:ascii="Palatino Linotype" w:eastAsia="Palatino Linotype" w:hAnsi="Palatino Linotype" w:cs="Palatino Linotype"/>
        </w:rPr>
        <w:t xml:space="preserve"> no presentó manifestaciones que a su derecho convinieran. Por su parte, </w:t>
      </w:r>
      <w:r w:rsidRPr="00A35887">
        <w:rPr>
          <w:rFonts w:ascii="Palatino Linotype" w:eastAsia="Palatino Linotype" w:hAnsi="Palatino Linotype" w:cs="Palatino Linotype"/>
          <w:b/>
        </w:rPr>
        <w:t>EL SUJETO OBLIGADO</w:t>
      </w:r>
      <w:r w:rsidRPr="00A35887">
        <w:rPr>
          <w:rFonts w:ascii="Palatino Linotype" w:eastAsia="Palatino Linotype" w:hAnsi="Palatino Linotype" w:cs="Palatino Linotype"/>
        </w:rPr>
        <w:t xml:space="preserve"> fue omiso en presentar su informe justificado correspondiente. </w:t>
      </w:r>
    </w:p>
    <w:p w14:paraId="3ADB5FBC" w14:textId="77777777" w:rsidR="00ED3CB9" w:rsidRPr="00A35887" w:rsidRDefault="00ED3CB9">
      <w:pPr>
        <w:widowControl w:val="0"/>
        <w:tabs>
          <w:tab w:val="left" w:pos="0"/>
        </w:tabs>
        <w:spacing w:line="360" w:lineRule="auto"/>
        <w:jc w:val="both"/>
        <w:rPr>
          <w:rFonts w:ascii="Palatino Linotype" w:eastAsia="Palatino Linotype" w:hAnsi="Palatino Linotype" w:cs="Palatino Linotype"/>
        </w:rPr>
      </w:pPr>
    </w:p>
    <w:p w14:paraId="0CF480BF" w14:textId="77777777" w:rsidR="00ED3CB9" w:rsidRPr="00A35887" w:rsidRDefault="00F636EA">
      <w:pPr>
        <w:widowControl w:val="0"/>
        <w:tabs>
          <w:tab w:val="left" w:pos="0"/>
        </w:tabs>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rPr>
        <w:t xml:space="preserve">c) De la ampliación </w:t>
      </w:r>
    </w:p>
    <w:p w14:paraId="1AFBE3E0" w14:textId="77777777" w:rsidR="00ED3CB9" w:rsidRPr="00A35887" w:rsidRDefault="00F636EA">
      <w:pPr>
        <w:spacing w:line="360" w:lineRule="auto"/>
        <w:jc w:val="both"/>
        <w:rPr>
          <w:rFonts w:ascii="Palatino Linotype" w:eastAsia="Palatino Linotype" w:hAnsi="Palatino Linotype" w:cs="Palatino Linotype"/>
        </w:rPr>
      </w:pPr>
      <w:bookmarkStart w:id="1" w:name="_heading=h.1fob9te" w:colFirst="0" w:colLast="0"/>
      <w:bookmarkEnd w:id="1"/>
      <w:r w:rsidRPr="00A35887">
        <w:rPr>
          <w:rFonts w:ascii="Palatino Linotype" w:eastAsia="Palatino Linotype" w:hAnsi="Palatino Linotype" w:cs="Palatino Linotype"/>
        </w:rPr>
        <w:t xml:space="preserve">En fecha </w:t>
      </w:r>
      <w:r w:rsidRPr="00A35887">
        <w:rPr>
          <w:rFonts w:ascii="Palatino Linotype" w:eastAsia="Palatino Linotype" w:hAnsi="Palatino Linotype" w:cs="Palatino Linotype"/>
          <w:b/>
        </w:rPr>
        <w:t>diecinueve de septiembre de dos mil veintidós</w:t>
      </w:r>
      <w:r w:rsidRPr="00A3588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C61BC99" w14:textId="77777777" w:rsidR="00ED3CB9" w:rsidRPr="00A35887" w:rsidRDefault="00ED3CB9">
      <w:pPr>
        <w:spacing w:line="360" w:lineRule="auto"/>
        <w:jc w:val="both"/>
        <w:rPr>
          <w:rFonts w:ascii="Palatino Linotype" w:eastAsia="Palatino Linotype" w:hAnsi="Palatino Linotype" w:cs="Palatino Linotype"/>
        </w:rPr>
      </w:pPr>
      <w:bookmarkStart w:id="2" w:name="_heading=h.vk1hlboevp3r" w:colFirst="0" w:colLast="0"/>
      <w:bookmarkEnd w:id="2"/>
    </w:p>
    <w:p w14:paraId="5C8D2A93"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A71FF2" w14:textId="77777777" w:rsidR="00ED3CB9" w:rsidRPr="00A35887" w:rsidRDefault="00ED3CB9">
      <w:pPr>
        <w:spacing w:line="360" w:lineRule="auto"/>
        <w:jc w:val="both"/>
        <w:rPr>
          <w:rFonts w:ascii="Palatino Linotype" w:eastAsia="Palatino Linotype" w:hAnsi="Palatino Linotype" w:cs="Palatino Linotype"/>
        </w:rPr>
      </w:pPr>
    </w:p>
    <w:p w14:paraId="5C8158E2"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A35887">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693BCB5D" w14:textId="77777777" w:rsidR="00ED3CB9" w:rsidRPr="00A35887" w:rsidRDefault="00ED3CB9">
      <w:pPr>
        <w:spacing w:line="360" w:lineRule="auto"/>
        <w:jc w:val="both"/>
        <w:rPr>
          <w:rFonts w:ascii="Palatino Linotype" w:eastAsia="Palatino Linotype" w:hAnsi="Palatino Linotype" w:cs="Palatino Linotype"/>
        </w:rPr>
      </w:pPr>
    </w:p>
    <w:p w14:paraId="35F592E4"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110215" w14:textId="77777777" w:rsidR="00ED3CB9" w:rsidRPr="00A35887" w:rsidRDefault="00ED3CB9">
      <w:pPr>
        <w:spacing w:line="360" w:lineRule="auto"/>
        <w:jc w:val="both"/>
        <w:rPr>
          <w:rFonts w:ascii="Palatino Linotype" w:eastAsia="Palatino Linotype" w:hAnsi="Palatino Linotype" w:cs="Palatino Linotype"/>
        </w:rPr>
      </w:pPr>
    </w:p>
    <w:p w14:paraId="0C899D86"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6CD282" w14:textId="77777777" w:rsidR="00ED3CB9" w:rsidRPr="00A35887" w:rsidRDefault="00ED3CB9">
      <w:pPr>
        <w:spacing w:line="360" w:lineRule="auto"/>
        <w:jc w:val="both"/>
        <w:rPr>
          <w:rFonts w:ascii="Palatino Linotype" w:eastAsia="Palatino Linotype" w:hAnsi="Palatino Linotype" w:cs="Palatino Linotype"/>
        </w:rPr>
      </w:pPr>
    </w:p>
    <w:p w14:paraId="67D47AE0"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7ABF4F" w14:textId="77777777" w:rsidR="00ED3CB9" w:rsidRPr="00A35887" w:rsidRDefault="00ED3CB9">
      <w:pPr>
        <w:spacing w:line="360" w:lineRule="auto"/>
        <w:jc w:val="both"/>
        <w:rPr>
          <w:rFonts w:ascii="Palatino Linotype" w:eastAsia="Palatino Linotype" w:hAnsi="Palatino Linotype" w:cs="Palatino Linotype"/>
        </w:rPr>
      </w:pPr>
    </w:p>
    <w:p w14:paraId="490A3508" w14:textId="77777777" w:rsidR="00ED3CB9" w:rsidRPr="00A35887" w:rsidRDefault="00F636EA">
      <w:pPr>
        <w:spacing w:line="360" w:lineRule="auto"/>
        <w:ind w:left="720"/>
        <w:jc w:val="both"/>
        <w:rPr>
          <w:rFonts w:ascii="Palatino Linotype" w:eastAsia="Palatino Linotype" w:hAnsi="Palatino Linotype" w:cs="Palatino Linotype"/>
        </w:rPr>
      </w:pPr>
      <w:r w:rsidRPr="00A35887">
        <w:rPr>
          <w:rFonts w:ascii="Palatino Linotype" w:eastAsia="Palatino Linotype" w:hAnsi="Palatino Linotype" w:cs="Palatino Linotype"/>
          <w:b/>
        </w:rPr>
        <w:t>a)</w:t>
      </w:r>
      <w:r w:rsidRPr="00A35887">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7A14CFF" w14:textId="77777777" w:rsidR="00ED3CB9" w:rsidRPr="00A35887" w:rsidRDefault="00F636EA">
      <w:pPr>
        <w:spacing w:line="360" w:lineRule="auto"/>
        <w:ind w:left="720"/>
        <w:jc w:val="both"/>
        <w:rPr>
          <w:rFonts w:ascii="Palatino Linotype" w:eastAsia="Palatino Linotype" w:hAnsi="Palatino Linotype" w:cs="Palatino Linotype"/>
        </w:rPr>
      </w:pPr>
      <w:r w:rsidRPr="00A35887">
        <w:rPr>
          <w:rFonts w:ascii="Palatino Linotype" w:eastAsia="Palatino Linotype" w:hAnsi="Palatino Linotype" w:cs="Palatino Linotype"/>
          <w:b/>
        </w:rPr>
        <w:t>b)</w:t>
      </w:r>
      <w:r w:rsidRPr="00A35887">
        <w:rPr>
          <w:rFonts w:ascii="Palatino Linotype" w:eastAsia="Palatino Linotype" w:hAnsi="Palatino Linotype" w:cs="Palatino Linotype"/>
        </w:rPr>
        <w:t xml:space="preserve"> Actividad Procesal del interesado: Acciones u omisiones del interesado.</w:t>
      </w:r>
    </w:p>
    <w:p w14:paraId="7213AB59" w14:textId="77777777" w:rsidR="00ED3CB9" w:rsidRPr="00A35887" w:rsidRDefault="00F636EA">
      <w:pPr>
        <w:spacing w:line="360" w:lineRule="auto"/>
        <w:ind w:left="720"/>
        <w:jc w:val="both"/>
        <w:rPr>
          <w:rFonts w:ascii="Palatino Linotype" w:eastAsia="Palatino Linotype" w:hAnsi="Palatino Linotype" w:cs="Palatino Linotype"/>
        </w:rPr>
      </w:pPr>
      <w:r w:rsidRPr="00A35887">
        <w:rPr>
          <w:rFonts w:ascii="Palatino Linotype" w:eastAsia="Palatino Linotype" w:hAnsi="Palatino Linotype" w:cs="Palatino Linotype"/>
          <w:b/>
        </w:rPr>
        <w:lastRenderedPageBreak/>
        <w:t>c)</w:t>
      </w:r>
      <w:r w:rsidRPr="00A35887">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77A177EE" w14:textId="77777777" w:rsidR="00ED3CB9" w:rsidRPr="00A35887" w:rsidRDefault="00F636EA">
      <w:pPr>
        <w:spacing w:line="360" w:lineRule="auto"/>
        <w:ind w:left="720"/>
        <w:jc w:val="both"/>
        <w:rPr>
          <w:rFonts w:ascii="Palatino Linotype" w:eastAsia="Palatino Linotype" w:hAnsi="Palatino Linotype" w:cs="Palatino Linotype"/>
        </w:rPr>
      </w:pPr>
      <w:r w:rsidRPr="00A35887">
        <w:rPr>
          <w:rFonts w:ascii="Palatino Linotype" w:eastAsia="Palatino Linotype" w:hAnsi="Palatino Linotype" w:cs="Palatino Linotype"/>
          <w:b/>
        </w:rPr>
        <w:t>d)</w:t>
      </w:r>
      <w:r w:rsidRPr="00A35887">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882D662" w14:textId="77777777" w:rsidR="00ED3CB9" w:rsidRPr="00A35887" w:rsidRDefault="00ED3CB9">
      <w:pPr>
        <w:spacing w:line="360" w:lineRule="auto"/>
        <w:jc w:val="both"/>
        <w:rPr>
          <w:rFonts w:ascii="Palatino Linotype" w:eastAsia="Palatino Linotype" w:hAnsi="Palatino Linotype" w:cs="Palatino Linotype"/>
        </w:rPr>
      </w:pPr>
    </w:p>
    <w:p w14:paraId="1E6716E4"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E5DF86" w14:textId="77777777" w:rsidR="00ED3CB9" w:rsidRPr="00A35887" w:rsidRDefault="00ED3CB9">
      <w:pPr>
        <w:spacing w:line="360" w:lineRule="auto"/>
        <w:jc w:val="both"/>
        <w:rPr>
          <w:rFonts w:ascii="Palatino Linotype" w:eastAsia="Palatino Linotype" w:hAnsi="Palatino Linotype" w:cs="Palatino Linotype"/>
        </w:rPr>
      </w:pPr>
    </w:p>
    <w:p w14:paraId="54BD0872"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Argumento que encuentra sustento en la jurisprudencia P./J. 32/92 emitida por el Pleno de la Suprema Corte de Justicia de la Nación de rubro “</w:t>
      </w:r>
      <w:r w:rsidRPr="00A3588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35887">
        <w:rPr>
          <w:rFonts w:ascii="Palatino Linotype" w:eastAsia="Palatino Linotype" w:hAnsi="Palatino Linotype" w:cs="Palatino Linotype"/>
        </w:rPr>
        <w:t>, visible en la Gaceta del Seminario Judicial de la Federación con el registro digital 205635.</w:t>
      </w:r>
    </w:p>
    <w:p w14:paraId="72F9E57D" w14:textId="77777777" w:rsidR="00ED3CB9" w:rsidRPr="00A35887" w:rsidRDefault="00ED3CB9">
      <w:pPr>
        <w:spacing w:line="360" w:lineRule="auto"/>
        <w:jc w:val="both"/>
        <w:rPr>
          <w:rFonts w:ascii="Palatino Linotype" w:eastAsia="Palatino Linotype" w:hAnsi="Palatino Linotype" w:cs="Palatino Linotype"/>
        </w:rPr>
      </w:pPr>
    </w:p>
    <w:p w14:paraId="77E5D1B6"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A35887">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AB2323" w14:textId="77777777" w:rsidR="00ED3CB9" w:rsidRPr="00A35887" w:rsidRDefault="00ED3CB9">
      <w:pPr>
        <w:spacing w:line="360" w:lineRule="auto"/>
        <w:jc w:val="both"/>
        <w:rPr>
          <w:rFonts w:ascii="Palatino Linotype" w:eastAsia="Palatino Linotype" w:hAnsi="Palatino Linotype" w:cs="Palatino Linotype"/>
        </w:rPr>
      </w:pPr>
    </w:p>
    <w:p w14:paraId="2E6FBE79"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FEAE9BF" w14:textId="77777777" w:rsidR="00ED3CB9" w:rsidRPr="00A35887" w:rsidRDefault="00ED3CB9">
      <w:pPr>
        <w:spacing w:line="360" w:lineRule="auto"/>
        <w:jc w:val="both"/>
        <w:rPr>
          <w:rFonts w:ascii="Palatino Linotype" w:eastAsia="Palatino Linotype" w:hAnsi="Palatino Linotype" w:cs="Palatino Linotype"/>
        </w:rPr>
      </w:pPr>
    </w:p>
    <w:p w14:paraId="42160A4C"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i/>
        </w:rPr>
        <w:t>“PLAZO RAZONABLE PARA RESOLVER. DIMENSIÓN Y EFECTOS DE ESTE CONCEPTO CUANDO SE ADUCE EXCESIVA CARGA DE TRABAJO.”</w:t>
      </w:r>
      <w:r w:rsidRPr="00A35887">
        <w:rPr>
          <w:rFonts w:ascii="Palatino Linotype" w:eastAsia="Palatino Linotype" w:hAnsi="Palatino Linotype" w:cs="Palatino Linotype"/>
        </w:rPr>
        <w:t xml:space="preserve"> consultable en el Seminario Judicial de la Federación y su gaceta, con el registro digital 2002351.</w:t>
      </w:r>
    </w:p>
    <w:p w14:paraId="6295CB24" w14:textId="77777777" w:rsidR="00ED3CB9" w:rsidRPr="00A35887" w:rsidRDefault="00ED3CB9">
      <w:pPr>
        <w:spacing w:line="360" w:lineRule="auto"/>
        <w:jc w:val="both"/>
        <w:rPr>
          <w:rFonts w:ascii="Palatino Linotype" w:eastAsia="Palatino Linotype" w:hAnsi="Palatino Linotype" w:cs="Palatino Linotype"/>
        </w:rPr>
      </w:pPr>
    </w:p>
    <w:p w14:paraId="279F1380"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i/>
        </w:rPr>
        <w:t>“PLAZO RAZONABLE PARA RESOLVER. CONCEPTO Y ELEMENTOS QUE LO INTEGRAN A LA LUZ DEL DERECHO INTERNACIONAL DE LOS DERECHOS HUMANOS.”</w:t>
      </w:r>
      <w:r w:rsidRPr="00A35887">
        <w:rPr>
          <w:rFonts w:ascii="Palatino Linotype" w:eastAsia="Palatino Linotype" w:hAnsi="Palatino Linotype" w:cs="Palatino Linotype"/>
        </w:rPr>
        <w:t>, visible en el Seminario Judicial de la Federación y su gaceta, con el registro digital 2002350.</w:t>
      </w:r>
    </w:p>
    <w:p w14:paraId="1CBBCCCD" w14:textId="77777777" w:rsidR="00ED3CB9" w:rsidRPr="00A35887" w:rsidRDefault="00ED3CB9">
      <w:pPr>
        <w:spacing w:line="360" w:lineRule="auto"/>
        <w:jc w:val="both"/>
        <w:rPr>
          <w:rFonts w:ascii="Palatino Linotype" w:eastAsia="Palatino Linotype" w:hAnsi="Palatino Linotype" w:cs="Palatino Linotype"/>
        </w:rPr>
      </w:pPr>
    </w:p>
    <w:p w14:paraId="6BAC89E5"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5330396" w14:textId="77777777" w:rsidR="00ED3CB9" w:rsidRPr="00A35887" w:rsidRDefault="00ED3CB9">
      <w:pPr>
        <w:spacing w:line="360" w:lineRule="auto"/>
        <w:jc w:val="both"/>
        <w:rPr>
          <w:rFonts w:ascii="Palatino Linotype" w:eastAsia="Palatino Linotype" w:hAnsi="Palatino Linotype" w:cs="Palatino Linotype"/>
        </w:rPr>
      </w:pPr>
    </w:p>
    <w:p w14:paraId="211D72D4" w14:textId="77777777" w:rsidR="00ED3CB9" w:rsidRPr="00A35887" w:rsidRDefault="00F636EA">
      <w:pPr>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rPr>
        <w:t>d) Cierre de Instrucción</w:t>
      </w:r>
    </w:p>
    <w:p w14:paraId="01CAE09F"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Por lo que, una vez analizado el estado procesal que guarda el expediente, en fecha </w:t>
      </w:r>
      <w:r w:rsidR="00CE743F" w:rsidRPr="00A35887">
        <w:rPr>
          <w:rFonts w:ascii="Palatino Linotype" w:eastAsia="Palatino Linotype" w:hAnsi="Palatino Linotype" w:cs="Palatino Linotype"/>
          <w:b/>
        </w:rPr>
        <w:t>veintinueve</w:t>
      </w:r>
      <w:r w:rsidRPr="00A35887">
        <w:rPr>
          <w:rFonts w:ascii="Palatino Linotype" w:eastAsia="Palatino Linotype" w:hAnsi="Palatino Linotype" w:cs="Palatino Linotype"/>
          <w:b/>
        </w:rPr>
        <w:t xml:space="preserve"> de noviembre de dos mil veintidós</w:t>
      </w:r>
      <w:r w:rsidRPr="00A35887">
        <w:rPr>
          <w:rFonts w:ascii="Palatino Linotype" w:eastAsia="Palatino Linotype" w:hAnsi="Palatino Linotype" w:cs="Palatino Linotype"/>
        </w:rPr>
        <w:t xml:space="preserve">, la </w:t>
      </w:r>
      <w:r w:rsidRPr="00A35887">
        <w:rPr>
          <w:rFonts w:ascii="Palatino Linotype" w:eastAsia="Palatino Linotype" w:hAnsi="Palatino Linotype" w:cs="Palatino Linotype"/>
          <w:b/>
        </w:rPr>
        <w:t xml:space="preserve">Comisionada Sharon Cristina Morales Martínez </w:t>
      </w:r>
      <w:r w:rsidRPr="00A3588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F17F0AD" w14:textId="77777777" w:rsidR="00ED3CB9" w:rsidRPr="00A35887" w:rsidRDefault="00ED3CB9">
      <w:pPr>
        <w:rPr>
          <w:rFonts w:ascii="Palatino Linotype" w:eastAsia="Palatino Linotype" w:hAnsi="Palatino Linotype" w:cs="Palatino Linotype"/>
          <w:b/>
          <w:sz w:val="28"/>
          <w:szCs w:val="28"/>
        </w:rPr>
      </w:pPr>
    </w:p>
    <w:p w14:paraId="3479108A" w14:textId="77777777" w:rsidR="00ED3CB9" w:rsidRPr="00A35887" w:rsidRDefault="00ED3CB9">
      <w:pPr>
        <w:jc w:val="center"/>
        <w:rPr>
          <w:rFonts w:ascii="Palatino Linotype" w:eastAsia="Palatino Linotype" w:hAnsi="Palatino Linotype" w:cs="Palatino Linotype"/>
          <w:b/>
          <w:sz w:val="28"/>
          <w:szCs w:val="28"/>
        </w:rPr>
      </w:pPr>
    </w:p>
    <w:p w14:paraId="237C59FF" w14:textId="77777777" w:rsidR="00ED3CB9" w:rsidRPr="00A35887" w:rsidRDefault="00F636EA">
      <w:pPr>
        <w:jc w:val="center"/>
        <w:rPr>
          <w:rFonts w:ascii="Palatino Linotype" w:eastAsia="Palatino Linotype" w:hAnsi="Palatino Linotype" w:cs="Palatino Linotype"/>
          <w:b/>
          <w:sz w:val="28"/>
          <w:szCs w:val="28"/>
        </w:rPr>
      </w:pPr>
      <w:r w:rsidRPr="00A35887">
        <w:rPr>
          <w:rFonts w:ascii="Palatino Linotype" w:eastAsia="Palatino Linotype" w:hAnsi="Palatino Linotype" w:cs="Palatino Linotype"/>
          <w:b/>
          <w:sz w:val="28"/>
          <w:szCs w:val="28"/>
        </w:rPr>
        <w:t>CONSIDERANDO</w:t>
      </w:r>
    </w:p>
    <w:p w14:paraId="749559A2" w14:textId="77777777" w:rsidR="00ED3CB9" w:rsidRPr="00A35887" w:rsidRDefault="00ED3CB9">
      <w:pPr>
        <w:jc w:val="center"/>
        <w:rPr>
          <w:rFonts w:ascii="Palatino Linotype" w:eastAsia="Palatino Linotype" w:hAnsi="Palatino Linotype" w:cs="Palatino Linotype"/>
          <w:b/>
          <w:sz w:val="28"/>
          <w:szCs w:val="28"/>
        </w:rPr>
      </w:pPr>
    </w:p>
    <w:p w14:paraId="209C9F6E" w14:textId="77777777" w:rsidR="00ED3CB9" w:rsidRPr="00A35887" w:rsidRDefault="00F636EA">
      <w:pPr>
        <w:widowControl w:val="0"/>
        <w:tabs>
          <w:tab w:val="left" w:pos="1701"/>
        </w:tabs>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b/>
          <w:sz w:val="28"/>
          <w:szCs w:val="28"/>
        </w:rPr>
        <w:t>PRIMERO.</w:t>
      </w:r>
      <w:r w:rsidRPr="00A35887">
        <w:rPr>
          <w:rFonts w:ascii="Palatino Linotype" w:eastAsia="Palatino Linotype" w:hAnsi="Palatino Linotype" w:cs="Palatino Linotype"/>
          <w:b/>
        </w:rPr>
        <w:t xml:space="preserve"> Competencia</w:t>
      </w:r>
      <w:r w:rsidRPr="00A35887">
        <w:rPr>
          <w:rFonts w:ascii="Palatino Linotype" w:eastAsia="Palatino Linotype" w:hAnsi="Palatino Linotype" w:cs="Palatino Linotype"/>
        </w:rPr>
        <w:t>.</w:t>
      </w:r>
      <w:r w:rsidRPr="00A35887">
        <w:rPr>
          <w:rFonts w:ascii="Palatino Linotype" w:eastAsia="Palatino Linotype" w:hAnsi="Palatino Linotype" w:cs="Palatino Linotype"/>
          <w:b/>
        </w:rPr>
        <w:t xml:space="preserve"> </w:t>
      </w:r>
    </w:p>
    <w:p w14:paraId="339CF0F0" w14:textId="77777777" w:rsidR="00ED3CB9" w:rsidRPr="00A35887" w:rsidRDefault="00F636EA">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A3588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A35887">
        <w:rPr>
          <w:rFonts w:ascii="Palatino Linotype" w:eastAsia="Palatino Linotype" w:hAnsi="Palatino Linotype" w:cs="Palatino Linotype"/>
        </w:rPr>
        <w:lastRenderedPageBreak/>
        <w:t>Pública del Estado de México y Municipios; y 9, fracciones I y XXIV y 11 del Reglamento Interior del Instituto de Transparencia, Acceso a la Información Pública y Protección de Datos Personales del Estado de México y Municipios.</w:t>
      </w:r>
    </w:p>
    <w:p w14:paraId="26D406F3" w14:textId="77777777" w:rsidR="00ED3CB9" w:rsidRPr="00A35887" w:rsidRDefault="00ED3CB9">
      <w:pPr>
        <w:spacing w:line="360" w:lineRule="auto"/>
        <w:jc w:val="both"/>
        <w:rPr>
          <w:rFonts w:ascii="Palatino Linotype" w:eastAsia="Palatino Linotype" w:hAnsi="Palatino Linotype" w:cs="Palatino Linotype"/>
          <w:b/>
          <w:sz w:val="28"/>
          <w:szCs w:val="28"/>
        </w:rPr>
      </w:pPr>
    </w:p>
    <w:p w14:paraId="2F1B5100" w14:textId="77777777" w:rsidR="00ED3CB9" w:rsidRPr="00A35887" w:rsidRDefault="00F636EA">
      <w:pPr>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sz w:val="28"/>
          <w:szCs w:val="28"/>
        </w:rPr>
        <w:t>SEGUNDO</w:t>
      </w:r>
      <w:r w:rsidRPr="00A35887">
        <w:rPr>
          <w:rFonts w:ascii="Palatino Linotype" w:eastAsia="Palatino Linotype" w:hAnsi="Palatino Linotype" w:cs="Palatino Linotype"/>
          <w:b/>
        </w:rPr>
        <w:t xml:space="preserve">. Interés. </w:t>
      </w:r>
    </w:p>
    <w:p w14:paraId="45FF33BB" w14:textId="77777777" w:rsidR="00ED3CB9" w:rsidRPr="00A35887" w:rsidRDefault="00F636EA">
      <w:pPr>
        <w:spacing w:line="360" w:lineRule="auto"/>
        <w:jc w:val="both"/>
        <w:rPr>
          <w:rFonts w:ascii="Palatino Linotype" w:eastAsia="Palatino Linotype" w:hAnsi="Palatino Linotype" w:cs="Palatino Linotype"/>
          <w:b/>
          <w:color w:val="000000"/>
        </w:rPr>
      </w:pPr>
      <w:r w:rsidRPr="00A35887">
        <w:rPr>
          <w:rFonts w:ascii="Palatino Linotype" w:eastAsia="Palatino Linotype" w:hAnsi="Palatino Linotype" w:cs="Palatino Linotype"/>
        </w:rPr>
        <w:t>El</w:t>
      </w:r>
      <w:r w:rsidRPr="00A3588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A35887">
        <w:rPr>
          <w:rFonts w:ascii="Palatino Linotype" w:eastAsia="Palatino Linotype" w:hAnsi="Palatino Linotype" w:cs="Palatino Linotype"/>
          <w:b/>
        </w:rPr>
        <w:t>EL</w:t>
      </w:r>
      <w:r w:rsidRPr="00A35887">
        <w:rPr>
          <w:rFonts w:ascii="Palatino Linotype" w:eastAsia="Palatino Linotype" w:hAnsi="Palatino Linotype" w:cs="Palatino Linotype"/>
          <w:b/>
          <w:color w:val="000000"/>
        </w:rPr>
        <w:t xml:space="preserve"> RECURRENTE,</w:t>
      </w:r>
      <w:r w:rsidRPr="00A35887">
        <w:rPr>
          <w:rFonts w:ascii="Palatino Linotype" w:eastAsia="Palatino Linotype" w:hAnsi="Palatino Linotype" w:cs="Palatino Linotype"/>
          <w:color w:val="000000"/>
        </w:rPr>
        <w:t xml:space="preserve"> quien es la misma persona que formuló la solicitud de acceso a la información pública al </w:t>
      </w:r>
      <w:r w:rsidRPr="00A35887">
        <w:rPr>
          <w:rFonts w:ascii="Palatino Linotype" w:eastAsia="Palatino Linotype" w:hAnsi="Palatino Linotype" w:cs="Palatino Linotype"/>
          <w:b/>
          <w:color w:val="000000"/>
        </w:rPr>
        <w:t xml:space="preserve">SUJETO OBLIGADO, </w:t>
      </w:r>
      <w:r w:rsidRPr="00A35887">
        <w:rPr>
          <w:rFonts w:ascii="Palatino Linotype" w:eastAsia="Palatino Linotype" w:hAnsi="Palatino Linotype" w:cs="Palatino Linotype"/>
          <w:color w:val="000000"/>
        </w:rPr>
        <w:t xml:space="preserve">pues para ello, es necesario que el particular ingrese al </w:t>
      </w:r>
      <w:r w:rsidRPr="00A35887">
        <w:rPr>
          <w:rFonts w:ascii="Palatino Linotype" w:eastAsia="Palatino Linotype" w:hAnsi="Palatino Linotype" w:cs="Palatino Linotype"/>
          <w:b/>
          <w:color w:val="000000"/>
        </w:rPr>
        <w:t xml:space="preserve">SAIMEX </w:t>
      </w:r>
      <w:r w:rsidRPr="00A35887">
        <w:rPr>
          <w:rFonts w:ascii="Palatino Linotype" w:eastAsia="Palatino Linotype" w:hAnsi="Palatino Linotype" w:cs="Palatino Linotype"/>
          <w:color w:val="000000"/>
        </w:rPr>
        <w:t>mediante la utilización de su clave de usuario y contraseña.</w:t>
      </w:r>
    </w:p>
    <w:p w14:paraId="6A7078C1" w14:textId="77777777" w:rsidR="00ED3CB9" w:rsidRPr="00A35887" w:rsidRDefault="00ED3CB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7D56C8F" w14:textId="77777777" w:rsidR="00ED3CB9" w:rsidRPr="00A35887" w:rsidRDefault="00F636EA">
      <w:pPr>
        <w:tabs>
          <w:tab w:val="center" w:pos="4252"/>
          <w:tab w:val="right" w:pos="8504"/>
        </w:tabs>
        <w:spacing w:line="360" w:lineRule="auto"/>
        <w:ind w:left="-57"/>
        <w:jc w:val="both"/>
        <w:rPr>
          <w:rFonts w:ascii="Palatino Linotype" w:eastAsia="Palatino Linotype" w:hAnsi="Palatino Linotype" w:cs="Palatino Linotype"/>
          <w:color w:val="000000"/>
        </w:rPr>
      </w:pPr>
      <w:r w:rsidRPr="00A35887">
        <w:rPr>
          <w:rFonts w:ascii="Palatino Linotype" w:eastAsia="Palatino Linotype" w:hAnsi="Palatino Linotype" w:cs="Palatino Linotype"/>
          <w:b/>
          <w:sz w:val="28"/>
          <w:szCs w:val="28"/>
        </w:rPr>
        <w:t>TERCERO.</w:t>
      </w:r>
      <w:r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b/>
          <w:color w:val="000000"/>
        </w:rPr>
        <w:t>Oportunidad</w:t>
      </w:r>
      <w:r w:rsidRPr="00A35887">
        <w:rPr>
          <w:rFonts w:ascii="Palatino Linotype" w:eastAsia="Palatino Linotype" w:hAnsi="Palatino Linotype" w:cs="Palatino Linotype"/>
          <w:color w:val="000000"/>
        </w:rPr>
        <w:t xml:space="preserve">. </w:t>
      </w:r>
    </w:p>
    <w:p w14:paraId="51B2B218" w14:textId="77777777" w:rsidR="00ED3CB9" w:rsidRPr="00A35887" w:rsidRDefault="00F636EA">
      <w:pPr>
        <w:widowControl w:val="0"/>
        <w:tabs>
          <w:tab w:val="left" w:pos="1701"/>
        </w:tabs>
        <w:spacing w:line="360" w:lineRule="auto"/>
        <w:ind w:right="49"/>
        <w:jc w:val="both"/>
        <w:rPr>
          <w:rFonts w:ascii="Palatino Linotype" w:eastAsia="Palatino Linotype" w:hAnsi="Palatino Linotype" w:cs="Palatino Linotype"/>
          <w:b/>
        </w:rPr>
      </w:pPr>
      <w:r w:rsidRPr="00A3588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A35887">
        <w:rPr>
          <w:rFonts w:ascii="Palatino Linotype" w:eastAsia="Palatino Linotype" w:hAnsi="Palatino Linotype" w:cs="Palatino Linotype"/>
          <w:b/>
        </w:rPr>
        <w:t xml:space="preserve">EL RECURRENTE </w:t>
      </w:r>
      <w:r w:rsidRPr="00A3588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F671E35" w14:textId="77777777" w:rsidR="00ED3CB9" w:rsidRPr="00A35887" w:rsidRDefault="00ED3CB9">
      <w:pPr>
        <w:ind w:left="720" w:right="709"/>
        <w:jc w:val="both"/>
        <w:rPr>
          <w:rFonts w:ascii="Palatino Linotype" w:eastAsia="Palatino Linotype" w:hAnsi="Palatino Linotype" w:cs="Palatino Linotype"/>
          <w:i/>
          <w:sz w:val="22"/>
          <w:szCs w:val="22"/>
        </w:rPr>
      </w:pPr>
    </w:p>
    <w:p w14:paraId="41FEA8C7" w14:textId="77777777" w:rsidR="00ED3CB9" w:rsidRPr="00A35887" w:rsidRDefault="00F636EA">
      <w:pPr>
        <w:ind w:left="851"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w:t>
      </w:r>
      <w:r w:rsidRPr="00A35887">
        <w:rPr>
          <w:rFonts w:ascii="Palatino Linotype" w:eastAsia="Palatino Linotype" w:hAnsi="Palatino Linotype" w:cs="Palatino Linotype"/>
          <w:b/>
          <w:i/>
          <w:sz w:val="22"/>
          <w:szCs w:val="22"/>
        </w:rPr>
        <w:t>Artículo 178.</w:t>
      </w:r>
      <w:r w:rsidRPr="00A3588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9DA5BE" w14:textId="77777777" w:rsidR="00ED3CB9" w:rsidRPr="00A35887" w:rsidRDefault="00ED3CB9">
      <w:pPr>
        <w:ind w:left="851" w:right="899"/>
        <w:jc w:val="both"/>
        <w:rPr>
          <w:rFonts w:ascii="Palatino Linotype" w:eastAsia="Palatino Linotype" w:hAnsi="Palatino Linotype" w:cs="Palatino Linotype"/>
          <w:i/>
          <w:sz w:val="22"/>
          <w:szCs w:val="22"/>
        </w:rPr>
      </w:pPr>
    </w:p>
    <w:p w14:paraId="77EC66DA" w14:textId="77777777" w:rsidR="00ED3CB9" w:rsidRPr="00A35887" w:rsidRDefault="00F636EA">
      <w:pPr>
        <w:ind w:left="851"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A35887">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4332AA90" w14:textId="77777777" w:rsidR="00ED3CB9" w:rsidRPr="00A35887" w:rsidRDefault="00ED3CB9">
      <w:pPr>
        <w:ind w:left="851" w:right="899"/>
        <w:jc w:val="both"/>
        <w:rPr>
          <w:rFonts w:ascii="Palatino Linotype" w:eastAsia="Palatino Linotype" w:hAnsi="Palatino Linotype" w:cs="Palatino Linotype"/>
          <w:i/>
          <w:sz w:val="22"/>
          <w:szCs w:val="22"/>
        </w:rPr>
      </w:pPr>
    </w:p>
    <w:p w14:paraId="09C62969" w14:textId="77777777" w:rsidR="00ED3CB9" w:rsidRPr="00A35887" w:rsidRDefault="00F636EA">
      <w:pPr>
        <w:ind w:left="851"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22F657B" w14:textId="77777777" w:rsidR="00ED3CB9" w:rsidRPr="00A35887" w:rsidRDefault="00ED3CB9">
      <w:pPr>
        <w:ind w:left="720" w:right="709"/>
        <w:jc w:val="both"/>
        <w:rPr>
          <w:rFonts w:ascii="Palatino Linotype" w:eastAsia="Palatino Linotype" w:hAnsi="Palatino Linotype" w:cs="Palatino Linotype"/>
          <w:i/>
          <w:sz w:val="22"/>
          <w:szCs w:val="22"/>
        </w:rPr>
      </w:pPr>
    </w:p>
    <w:p w14:paraId="3F54EC56" w14:textId="77777777" w:rsidR="00ED3CB9" w:rsidRPr="00A35887" w:rsidRDefault="00F636EA">
      <w:pPr>
        <w:spacing w:line="360" w:lineRule="auto"/>
        <w:jc w:val="both"/>
        <w:rPr>
          <w:rFonts w:ascii="Palatino Linotype" w:eastAsia="Palatino Linotype" w:hAnsi="Palatino Linotype" w:cs="Palatino Linotype"/>
        </w:rPr>
      </w:pPr>
      <w:bookmarkStart w:id="4" w:name="_heading=h.2et92p0" w:colFirst="0" w:colLast="0"/>
      <w:bookmarkEnd w:id="4"/>
      <w:r w:rsidRPr="00A35887">
        <w:rPr>
          <w:rFonts w:ascii="Palatino Linotype" w:eastAsia="Palatino Linotype" w:hAnsi="Palatino Linotype" w:cs="Palatino Linotype"/>
        </w:rPr>
        <w:t xml:space="preserve">En esa tesitura, atendiendo a que </w:t>
      </w:r>
      <w:r w:rsidRPr="00A35887">
        <w:rPr>
          <w:rFonts w:ascii="Palatino Linotype" w:eastAsia="Palatino Linotype" w:hAnsi="Palatino Linotype" w:cs="Palatino Linotype"/>
          <w:b/>
        </w:rPr>
        <w:t>EL SUJETO OBLIGADO</w:t>
      </w:r>
      <w:r w:rsidRPr="00A35887">
        <w:rPr>
          <w:rFonts w:ascii="Palatino Linotype" w:eastAsia="Palatino Linotype" w:hAnsi="Palatino Linotype" w:cs="Palatino Linotype"/>
        </w:rPr>
        <w:t xml:space="preserve"> notificó la respuesta a la solicitud de acceso a la información pública el día</w:t>
      </w:r>
      <w:r w:rsidRPr="00A35887">
        <w:rPr>
          <w:rFonts w:ascii="Palatino Linotype" w:eastAsia="Palatino Linotype" w:hAnsi="Palatino Linotype" w:cs="Palatino Linotype"/>
          <w:b/>
        </w:rPr>
        <w:t xml:space="preserve"> catorce de julio de dos mil veintidós</w:t>
      </w:r>
      <w:r w:rsidRPr="00A35887">
        <w:rPr>
          <w:rFonts w:ascii="Palatino Linotype" w:eastAsia="Palatino Linotype" w:hAnsi="Palatino Linotype" w:cs="Palatino Linotype"/>
        </w:rPr>
        <w:t>, así el plazo de quince días hábiles que el artículo 178 de la Ley de la materia otorga al</w:t>
      </w:r>
      <w:r w:rsidRPr="00A35887">
        <w:rPr>
          <w:rFonts w:ascii="Palatino Linotype" w:eastAsia="Palatino Linotype" w:hAnsi="Palatino Linotype" w:cs="Palatino Linotype"/>
          <w:b/>
        </w:rPr>
        <w:t xml:space="preserve"> RECURRENTE</w:t>
      </w:r>
      <w:r w:rsidRPr="00A35887">
        <w:rPr>
          <w:rFonts w:ascii="Palatino Linotype" w:eastAsia="Palatino Linotype" w:hAnsi="Palatino Linotype" w:cs="Palatino Linotype"/>
        </w:rPr>
        <w:t xml:space="preserve"> para presentar el respectivo Recurso de Revisión, transcurrió del</w:t>
      </w:r>
      <w:r w:rsidRPr="00A35887">
        <w:rPr>
          <w:rFonts w:ascii="Palatino Linotype" w:eastAsia="Palatino Linotype" w:hAnsi="Palatino Linotype" w:cs="Palatino Linotype"/>
          <w:b/>
        </w:rPr>
        <w:t xml:space="preserve"> quince de julio al dieciocho de agosto de dos mil veintidós, </w:t>
      </w:r>
      <w:r w:rsidRPr="00A35887">
        <w:rPr>
          <w:rFonts w:ascii="Palatino Linotype" w:eastAsia="Palatino Linotype" w:hAnsi="Palatino Linotype" w:cs="Palatino Linotype"/>
        </w:rPr>
        <w:t xml:space="preserve">sin contemplar en el cómputo los días dieciséis, diecisiete, </w:t>
      </w:r>
      <w:r w:rsidR="001D4DBB" w:rsidRPr="00A35887">
        <w:rPr>
          <w:rFonts w:ascii="Palatino Linotype" w:eastAsia="Palatino Linotype" w:hAnsi="Palatino Linotype" w:cs="Palatino Linotype"/>
        </w:rPr>
        <w:t>vientres</w:t>
      </w:r>
      <w:r w:rsidRPr="00A35887">
        <w:rPr>
          <w:rFonts w:ascii="Palatino Linotype" w:eastAsia="Palatino Linotype" w:hAnsi="Palatino Linotype" w:cs="Palatino Linotype"/>
        </w:rPr>
        <w:t xml:space="preserve">, veinticuatro, treinta, treinta y uno de julio, </w:t>
      </w:r>
      <w:r w:rsidR="001D4DBB" w:rsidRPr="00A35887">
        <w:rPr>
          <w:rFonts w:ascii="Palatino Linotype" w:eastAsia="Palatino Linotype" w:hAnsi="Palatino Linotype" w:cs="Palatino Linotype"/>
        </w:rPr>
        <w:t>así</w:t>
      </w:r>
      <w:r w:rsidRPr="00A35887">
        <w:rPr>
          <w:rFonts w:ascii="Palatino Linotype" w:eastAsia="Palatino Linotype" w:hAnsi="Palatino Linotype" w:cs="Palatino Linotype"/>
        </w:rPr>
        <w:t xml:space="preserve"> como  seis, siete, </w:t>
      </w:r>
      <w:r w:rsidR="001D4DBB" w:rsidRPr="00A35887">
        <w:rPr>
          <w:rFonts w:ascii="Palatino Linotype" w:eastAsia="Palatino Linotype" w:hAnsi="Palatino Linotype" w:cs="Palatino Linotype"/>
        </w:rPr>
        <w:t>trece</w:t>
      </w:r>
      <w:r w:rsidRPr="00A35887">
        <w:rPr>
          <w:rFonts w:ascii="Palatino Linotype" w:eastAsia="Palatino Linotype" w:hAnsi="Palatino Linotype" w:cs="Palatino Linotype"/>
        </w:rPr>
        <w:t xml:space="preserve"> y catorce de agosto por corresponder a sábados y domingos, considerados como días inhábiles, en términos del artículo 3, fracción X de la Ley de Transparencia y Acceso a la Información Pública del Estado de México y Municipios. </w:t>
      </w:r>
      <w:r w:rsidR="001D4DBB" w:rsidRPr="00A35887">
        <w:rPr>
          <w:rFonts w:ascii="Palatino Linotype" w:eastAsia="Palatino Linotype" w:hAnsi="Palatino Linotype" w:cs="Palatino Linotype"/>
        </w:rPr>
        <w:t>Exceptuando</w:t>
      </w:r>
      <w:r w:rsidRPr="00A35887">
        <w:rPr>
          <w:rFonts w:ascii="Palatino Linotype" w:eastAsia="Palatino Linotype" w:hAnsi="Palatino Linotype" w:cs="Palatino Linotype"/>
        </w:rPr>
        <w:t xml:space="preserve">  el periodo transcurrido del </w:t>
      </w:r>
      <w:r w:rsidR="001D4DBB" w:rsidRPr="00A35887">
        <w:rPr>
          <w:rFonts w:ascii="Palatino Linotype" w:eastAsia="Palatino Linotype" w:hAnsi="Palatino Linotype" w:cs="Palatino Linotype"/>
        </w:rPr>
        <w:t>dieciocho</w:t>
      </w:r>
      <w:r w:rsidRPr="00A35887">
        <w:rPr>
          <w:rFonts w:ascii="Palatino Linotype" w:eastAsia="Palatino Linotype" w:hAnsi="Palatino Linotype" w:cs="Palatino Linotype"/>
        </w:rPr>
        <w:t xml:space="preserve"> al veintinueve de julio de la anualidad, por ser considerados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A35887">
        <w:rPr>
          <w:rFonts w:ascii="Palatino Linotype" w:eastAsia="Palatino Linotype" w:hAnsi="Palatino Linotype" w:cs="Palatino Linotype"/>
          <w:vertAlign w:val="superscript"/>
        </w:rPr>
        <w:footnoteReference w:id="1"/>
      </w:r>
      <w:r w:rsidRPr="00A35887">
        <w:rPr>
          <w:rFonts w:ascii="Palatino Linotype" w:eastAsia="Palatino Linotype" w:hAnsi="Palatino Linotype" w:cs="Palatino Linotype"/>
        </w:rPr>
        <w:t>.</w:t>
      </w:r>
    </w:p>
    <w:p w14:paraId="37FB721D" w14:textId="77777777" w:rsidR="00ED3CB9" w:rsidRPr="00A35887" w:rsidRDefault="00ED3CB9">
      <w:pPr>
        <w:spacing w:line="360" w:lineRule="auto"/>
        <w:jc w:val="both"/>
        <w:rPr>
          <w:rFonts w:ascii="Palatino Linotype" w:eastAsia="Palatino Linotype" w:hAnsi="Palatino Linotype" w:cs="Palatino Linotype"/>
        </w:rPr>
      </w:pPr>
      <w:bookmarkStart w:id="5" w:name="_heading=h.1j5r03d45pmh" w:colFirst="0" w:colLast="0"/>
      <w:bookmarkEnd w:id="5"/>
    </w:p>
    <w:p w14:paraId="44559854" w14:textId="77777777" w:rsidR="00ED3CB9" w:rsidRPr="00A35887" w:rsidRDefault="00F636EA">
      <w:pPr>
        <w:spacing w:line="360" w:lineRule="auto"/>
        <w:jc w:val="both"/>
        <w:rPr>
          <w:rFonts w:ascii="Palatino Linotype" w:eastAsia="Palatino Linotype" w:hAnsi="Palatino Linotype" w:cs="Palatino Linotype"/>
        </w:rPr>
      </w:pPr>
      <w:bookmarkStart w:id="6" w:name="_heading=h.5rr2st44stcm" w:colFirst="0" w:colLast="0"/>
      <w:bookmarkEnd w:id="6"/>
      <w:r w:rsidRPr="00A35887">
        <w:rPr>
          <w:rFonts w:ascii="Palatino Linotype" w:eastAsia="Palatino Linotype" w:hAnsi="Palatino Linotype" w:cs="Palatino Linotype"/>
        </w:rPr>
        <w:lastRenderedPageBreak/>
        <w:t xml:space="preserve">En ese tenor, se advierte que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presentó el medio de impugnación al rubro anotado el día veintidós de julio, mismo que al corresponder a día inhábil por periodo vacacional, se tuvo por interpuesto el día hábil siguiente, siendo este el primero de agosto de dos mil veintidós y por lo tanto su interposición se considera oportuna. </w:t>
      </w:r>
    </w:p>
    <w:p w14:paraId="22C1A788" w14:textId="77777777" w:rsidR="00ED3CB9" w:rsidRPr="00A35887" w:rsidRDefault="00ED3CB9">
      <w:pPr>
        <w:spacing w:line="360" w:lineRule="auto"/>
        <w:ind w:right="49"/>
        <w:jc w:val="both"/>
        <w:rPr>
          <w:rFonts w:ascii="Palatino Linotype" w:eastAsia="Palatino Linotype" w:hAnsi="Palatino Linotype" w:cs="Palatino Linotype"/>
          <w:b/>
          <w:sz w:val="28"/>
          <w:szCs w:val="28"/>
        </w:rPr>
      </w:pPr>
    </w:p>
    <w:p w14:paraId="7A44DE26" w14:textId="77777777" w:rsidR="00ED3CB9" w:rsidRPr="00A35887" w:rsidRDefault="00F636EA">
      <w:pPr>
        <w:spacing w:line="360" w:lineRule="auto"/>
        <w:ind w:right="49"/>
        <w:jc w:val="both"/>
        <w:rPr>
          <w:rFonts w:ascii="Palatino Linotype" w:eastAsia="Palatino Linotype" w:hAnsi="Palatino Linotype" w:cs="Palatino Linotype"/>
          <w:b/>
        </w:rPr>
      </w:pPr>
      <w:r w:rsidRPr="00A35887">
        <w:rPr>
          <w:rFonts w:ascii="Palatino Linotype" w:eastAsia="Palatino Linotype" w:hAnsi="Palatino Linotype" w:cs="Palatino Linotype"/>
          <w:b/>
          <w:sz w:val="28"/>
          <w:szCs w:val="28"/>
        </w:rPr>
        <w:t>CUARTO</w:t>
      </w:r>
      <w:r w:rsidRPr="00A35887">
        <w:rPr>
          <w:rFonts w:ascii="Palatino Linotype" w:eastAsia="Palatino Linotype" w:hAnsi="Palatino Linotype" w:cs="Palatino Linotype"/>
          <w:b/>
        </w:rPr>
        <w:t xml:space="preserve">. Procedibilidad. </w:t>
      </w:r>
    </w:p>
    <w:p w14:paraId="3F0B5E87" w14:textId="77777777" w:rsidR="00ED3CB9" w:rsidRPr="00A35887" w:rsidRDefault="00F636EA">
      <w:pPr>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2362B4C" w14:textId="77777777" w:rsidR="00ED3CB9" w:rsidRPr="00A35887" w:rsidRDefault="00ED3CB9">
      <w:pPr>
        <w:spacing w:line="360" w:lineRule="auto"/>
        <w:ind w:right="49"/>
        <w:jc w:val="both"/>
        <w:rPr>
          <w:rFonts w:ascii="Palatino Linotype" w:eastAsia="Palatino Linotype" w:hAnsi="Palatino Linotype" w:cs="Palatino Linotype"/>
        </w:rPr>
      </w:pPr>
    </w:p>
    <w:p w14:paraId="6327DCAC" w14:textId="77777777" w:rsidR="00ED3CB9" w:rsidRPr="00A35887" w:rsidRDefault="00F636EA">
      <w:pPr>
        <w:tabs>
          <w:tab w:val="left" w:pos="851"/>
        </w:tabs>
        <w:ind w:left="851" w:right="901"/>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 xml:space="preserve">“Artículo 180. </w:t>
      </w:r>
      <w:r w:rsidRPr="00A35887">
        <w:rPr>
          <w:rFonts w:ascii="Palatino Linotype" w:eastAsia="Palatino Linotype" w:hAnsi="Palatino Linotype" w:cs="Palatino Linotype"/>
          <w:i/>
          <w:sz w:val="22"/>
          <w:szCs w:val="22"/>
        </w:rPr>
        <w:t>El Recurso de Revisión contendrá:</w:t>
      </w:r>
      <w:r w:rsidRPr="00A35887">
        <w:rPr>
          <w:rFonts w:ascii="Palatino Linotype" w:eastAsia="Palatino Linotype" w:hAnsi="Palatino Linotype" w:cs="Palatino Linotype"/>
          <w:b/>
          <w:i/>
          <w:sz w:val="22"/>
          <w:szCs w:val="22"/>
        </w:rPr>
        <w:t xml:space="preserve"> </w:t>
      </w:r>
    </w:p>
    <w:p w14:paraId="0B499911" w14:textId="77777777" w:rsidR="00ED3CB9" w:rsidRPr="00A35887" w:rsidRDefault="00F636EA">
      <w:pPr>
        <w:tabs>
          <w:tab w:val="left" w:pos="851"/>
        </w:tabs>
        <w:ind w:left="851" w:right="901"/>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w:t>
      </w:r>
    </w:p>
    <w:p w14:paraId="2181C7D7" w14:textId="77777777" w:rsidR="00ED3CB9" w:rsidRPr="00A35887" w:rsidRDefault="00F636EA">
      <w:pPr>
        <w:tabs>
          <w:tab w:val="left" w:pos="851"/>
        </w:tabs>
        <w:ind w:left="851" w:right="901"/>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b/>
          <w:i/>
          <w:sz w:val="22"/>
          <w:szCs w:val="22"/>
        </w:rPr>
        <w:t xml:space="preserve">II. El nombre del solicitante </w:t>
      </w:r>
      <w:r w:rsidRPr="00A35887">
        <w:rPr>
          <w:rFonts w:ascii="Palatino Linotype" w:eastAsia="Palatino Linotype" w:hAnsi="Palatino Linotype" w:cs="Palatino Linotype"/>
          <w:b/>
          <w:i/>
          <w:color w:val="222222"/>
          <w:sz w:val="22"/>
          <w:szCs w:val="22"/>
        </w:rPr>
        <w:t>que</w:t>
      </w:r>
      <w:r w:rsidRPr="00A35887">
        <w:rPr>
          <w:rFonts w:ascii="Palatino Linotype" w:eastAsia="Palatino Linotype" w:hAnsi="Palatino Linotype" w:cs="Palatino Linotype"/>
          <w:b/>
          <w:i/>
          <w:sz w:val="22"/>
          <w:szCs w:val="22"/>
        </w:rPr>
        <w:t xml:space="preserve"> recurre </w:t>
      </w:r>
      <w:r w:rsidRPr="00A35887">
        <w:rPr>
          <w:rFonts w:ascii="Palatino Linotype" w:eastAsia="Palatino Linotype" w:hAnsi="Palatino Linotype" w:cs="Palatino Linotype"/>
          <w:i/>
          <w:sz w:val="22"/>
          <w:szCs w:val="22"/>
        </w:rPr>
        <w:t>o de su representante y, en su caso, …</w:t>
      </w:r>
    </w:p>
    <w:p w14:paraId="0ADC5275" w14:textId="77777777" w:rsidR="00ED3CB9" w:rsidRPr="00A35887" w:rsidRDefault="00F636EA">
      <w:pPr>
        <w:tabs>
          <w:tab w:val="left" w:pos="851"/>
        </w:tabs>
        <w:ind w:left="851" w:right="901"/>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 xml:space="preserve">En caso de </w:t>
      </w:r>
      <w:r w:rsidRPr="00A35887">
        <w:rPr>
          <w:rFonts w:ascii="Palatino Linotype" w:eastAsia="Palatino Linotype" w:hAnsi="Palatino Linotype" w:cs="Palatino Linotype"/>
          <w:b/>
          <w:i/>
          <w:color w:val="222222"/>
          <w:sz w:val="22"/>
          <w:szCs w:val="22"/>
        </w:rPr>
        <w:t>que</w:t>
      </w:r>
      <w:r w:rsidRPr="00A3588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35887">
        <w:rPr>
          <w:rFonts w:ascii="Palatino Linotype" w:eastAsia="Palatino Linotype" w:hAnsi="Palatino Linotype" w:cs="Palatino Linotype"/>
          <w:i/>
          <w:sz w:val="22"/>
          <w:szCs w:val="22"/>
        </w:rPr>
        <w:t>, IV, VII y VIII.</w:t>
      </w:r>
      <w:r w:rsidRPr="00A35887">
        <w:rPr>
          <w:rFonts w:ascii="Palatino Linotype" w:eastAsia="Palatino Linotype" w:hAnsi="Palatino Linotype" w:cs="Palatino Linotype"/>
          <w:b/>
          <w:i/>
          <w:sz w:val="22"/>
          <w:szCs w:val="22"/>
        </w:rPr>
        <w:t>”</w:t>
      </w:r>
    </w:p>
    <w:p w14:paraId="415413B1" w14:textId="77777777" w:rsidR="00ED3CB9" w:rsidRPr="00A35887" w:rsidRDefault="00F636EA">
      <w:pPr>
        <w:tabs>
          <w:tab w:val="left" w:pos="851"/>
        </w:tabs>
        <w:ind w:left="851" w:right="901"/>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(Énfasis añadido)</w:t>
      </w:r>
    </w:p>
    <w:p w14:paraId="51844830" w14:textId="77777777" w:rsidR="00ED3CB9" w:rsidRPr="00A35887" w:rsidRDefault="00ED3CB9">
      <w:pPr>
        <w:tabs>
          <w:tab w:val="left" w:pos="851"/>
        </w:tabs>
        <w:ind w:right="901"/>
        <w:jc w:val="both"/>
        <w:rPr>
          <w:rFonts w:ascii="Palatino Linotype" w:eastAsia="Palatino Linotype" w:hAnsi="Palatino Linotype" w:cs="Palatino Linotype"/>
          <w:i/>
          <w:sz w:val="22"/>
          <w:szCs w:val="22"/>
        </w:rPr>
      </w:pPr>
    </w:p>
    <w:p w14:paraId="5AD23FF0"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35887">
        <w:rPr>
          <w:rFonts w:ascii="Palatino Linotype" w:eastAsia="Palatino Linotype" w:hAnsi="Palatino Linotype" w:cs="Palatino Linotype"/>
          <w:b/>
        </w:rPr>
        <w:t>;</w:t>
      </w:r>
      <w:r w:rsidRPr="00A35887">
        <w:rPr>
          <w:rFonts w:ascii="Palatino Linotype" w:eastAsia="Palatino Linotype" w:hAnsi="Palatino Linotype" w:cs="Palatino Linotype"/>
        </w:rPr>
        <w:t xml:space="preserve"> por lo que, en el presente caso, al haber sido presentado el Recurso de Revisión vía </w:t>
      </w:r>
      <w:r w:rsidRPr="00A35887">
        <w:rPr>
          <w:rFonts w:ascii="Palatino Linotype" w:eastAsia="Palatino Linotype" w:hAnsi="Palatino Linotype" w:cs="Palatino Linotype"/>
          <w:b/>
        </w:rPr>
        <w:t>SAIMEX</w:t>
      </w:r>
      <w:r w:rsidRPr="00A35887">
        <w:rPr>
          <w:rFonts w:ascii="Palatino Linotype" w:eastAsia="Palatino Linotype" w:hAnsi="Palatino Linotype" w:cs="Palatino Linotype"/>
        </w:rPr>
        <w:t>, dicho requisito resulta innecesario.</w:t>
      </w:r>
    </w:p>
    <w:p w14:paraId="4EEBC69C"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35887">
        <w:rPr>
          <w:rFonts w:ascii="Palatino Linotype" w:eastAsia="Palatino Linotype" w:hAnsi="Palatino Linotype" w:cs="Palatino Linotype"/>
          <w:b/>
          <w:u w:val="single"/>
        </w:rPr>
        <w:t xml:space="preserve">el nombre no es un requisito </w:t>
      </w:r>
      <w:r w:rsidRPr="00A35887">
        <w:rPr>
          <w:rFonts w:ascii="Palatino Linotype" w:eastAsia="Palatino Linotype" w:hAnsi="Palatino Linotype" w:cs="Palatino Linotype"/>
          <w:b/>
          <w:i/>
          <w:u w:val="single"/>
        </w:rPr>
        <w:t>sine qua non</w:t>
      </w:r>
      <w:r w:rsidRPr="00A3588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62F2224" w14:textId="77777777" w:rsidR="00ED3CB9" w:rsidRPr="00A35887" w:rsidRDefault="00ED3CB9">
      <w:pPr>
        <w:spacing w:line="360" w:lineRule="auto"/>
        <w:jc w:val="both"/>
        <w:rPr>
          <w:rFonts w:ascii="Palatino Linotype" w:eastAsia="Palatino Linotype" w:hAnsi="Palatino Linotype" w:cs="Palatino Linotype"/>
        </w:rPr>
      </w:pPr>
    </w:p>
    <w:p w14:paraId="193DA642" w14:textId="77777777" w:rsidR="00ED3CB9" w:rsidRPr="00A35887" w:rsidRDefault="00F636EA">
      <w:pPr>
        <w:spacing w:line="360" w:lineRule="auto"/>
        <w:jc w:val="both"/>
        <w:rPr>
          <w:rFonts w:ascii="Palatino Linotype" w:eastAsia="Palatino Linotype" w:hAnsi="Palatino Linotype" w:cs="Palatino Linotype"/>
          <w:sz w:val="22"/>
          <w:szCs w:val="22"/>
        </w:rPr>
      </w:pPr>
      <w:r w:rsidRPr="00A3588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D1FEA05" w14:textId="77777777" w:rsidR="00ED3CB9" w:rsidRPr="00A35887" w:rsidRDefault="00ED3CB9">
      <w:pPr>
        <w:tabs>
          <w:tab w:val="left" w:pos="851"/>
        </w:tabs>
        <w:ind w:left="851" w:right="901"/>
        <w:jc w:val="both"/>
        <w:rPr>
          <w:rFonts w:ascii="Palatino Linotype" w:eastAsia="Palatino Linotype" w:hAnsi="Palatino Linotype" w:cs="Palatino Linotype"/>
          <w:sz w:val="22"/>
          <w:szCs w:val="22"/>
        </w:rPr>
      </w:pPr>
    </w:p>
    <w:p w14:paraId="7C61BCEC"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Asimismo, se estima que el requisito relativo al nombre de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A35887">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35887">
        <w:rPr>
          <w:rFonts w:ascii="Palatino Linotype" w:eastAsia="Palatino Linotype" w:hAnsi="Palatino Linotype" w:cs="Palatino Linotype"/>
          <w:b/>
        </w:rPr>
        <w:t xml:space="preserve">EL RECURRENTE </w:t>
      </w:r>
      <w:r w:rsidRPr="00A35887">
        <w:rPr>
          <w:rFonts w:ascii="Palatino Linotype" w:eastAsia="Palatino Linotype" w:hAnsi="Palatino Linotype" w:cs="Palatino Linotype"/>
        </w:rPr>
        <w:t xml:space="preserve"> es la misma persona que realizó la solicitud de Acceso a la Información Pública que ahora se impugna.</w:t>
      </w:r>
    </w:p>
    <w:p w14:paraId="4C99945B" w14:textId="77777777" w:rsidR="00ED3CB9" w:rsidRPr="00A35887" w:rsidRDefault="00ED3CB9">
      <w:pPr>
        <w:tabs>
          <w:tab w:val="left" w:pos="851"/>
        </w:tabs>
        <w:ind w:left="851" w:right="901"/>
        <w:jc w:val="both"/>
        <w:rPr>
          <w:rFonts w:ascii="Palatino Linotype" w:eastAsia="Palatino Linotype" w:hAnsi="Palatino Linotype" w:cs="Palatino Linotype"/>
          <w:sz w:val="22"/>
          <w:szCs w:val="22"/>
        </w:rPr>
      </w:pPr>
    </w:p>
    <w:p w14:paraId="3ADD532E"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7CCE9AB" w14:textId="77777777" w:rsidR="00ED3CB9" w:rsidRPr="00A35887" w:rsidRDefault="00ED3CB9">
      <w:pPr>
        <w:spacing w:line="360" w:lineRule="auto"/>
        <w:ind w:right="49"/>
        <w:jc w:val="both"/>
        <w:rPr>
          <w:rFonts w:ascii="Palatino Linotype" w:eastAsia="Palatino Linotype" w:hAnsi="Palatino Linotype" w:cs="Palatino Linotype"/>
        </w:rPr>
      </w:pPr>
    </w:p>
    <w:p w14:paraId="6B2D3CC7" w14:textId="77777777" w:rsidR="00ED3CB9" w:rsidRPr="00A35887" w:rsidRDefault="00F636EA">
      <w:pPr>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sz w:val="28"/>
          <w:szCs w:val="28"/>
        </w:rPr>
        <w:t>QUINTO</w:t>
      </w:r>
      <w:r w:rsidRPr="00A35887">
        <w:rPr>
          <w:rFonts w:ascii="Palatino Linotype" w:eastAsia="Palatino Linotype" w:hAnsi="Palatino Linotype" w:cs="Palatino Linotype"/>
          <w:b/>
        </w:rPr>
        <w:t xml:space="preserve">. Estudio y resolución del asunto. </w:t>
      </w:r>
    </w:p>
    <w:p w14:paraId="4181A191" w14:textId="77777777" w:rsidR="00ED3CB9" w:rsidRPr="00A35887" w:rsidRDefault="00F636EA">
      <w:pPr>
        <w:tabs>
          <w:tab w:val="left" w:pos="709"/>
        </w:tabs>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En primera instancia es importante recordar que,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solicitó al </w:t>
      </w:r>
      <w:r w:rsidRPr="00A35887">
        <w:rPr>
          <w:rFonts w:ascii="Palatino Linotype" w:eastAsia="Palatino Linotype" w:hAnsi="Palatino Linotype" w:cs="Palatino Linotype"/>
          <w:b/>
        </w:rPr>
        <w:t>SUJETO OBLIGADO</w:t>
      </w:r>
      <w:r w:rsidRPr="00A35887">
        <w:rPr>
          <w:rFonts w:ascii="Palatino Linotype" w:eastAsia="Palatino Linotype" w:hAnsi="Palatino Linotype" w:cs="Palatino Linotype"/>
        </w:rPr>
        <w:t xml:space="preserve"> lo siguiente: </w:t>
      </w:r>
    </w:p>
    <w:p w14:paraId="25201A82" w14:textId="77777777" w:rsidR="00ED3CB9" w:rsidRPr="00A35887" w:rsidRDefault="00F636EA">
      <w:pPr>
        <w:ind w:left="850" w:right="899"/>
        <w:jc w:val="both"/>
        <w:rPr>
          <w:rFonts w:ascii="Palatino Linotype" w:eastAsia="Palatino Linotype" w:hAnsi="Palatino Linotype" w:cs="Palatino Linotype"/>
        </w:rPr>
      </w:pPr>
      <w:r w:rsidRPr="00A35887">
        <w:rPr>
          <w:rFonts w:ascii="Palatino Linotype" w:eastAsia="Palatino Linotype" w:hAnsi="Palatino Linotype" w:cs="Palatino Linotype"/>
          <w:i/>
          <w:sz w:val="22"/>
          <w:szCs w:val="22"/>
        </w:rPr>
        <w:t xml:space="preserve">“presupuesto para construir y desarrollar parques industriales en el estado de </w:t>
      </w:r>
      <w:proofErr w:type="spellStart"/>
      <w:r w:rsidRPr="00A35887">
        <w:rPr>
          <w:rFonts w:ascii="Palatino Linotype" w:eastAsia="Palatino Linotype" w:hAnsi="Palatino Linotype" w:cs="Palatino Linotype"/>
          <w:i/>
          <w:sz w:val="22"/>
          <w:szCs w:val="22"/>
        </w:rPr>
        <w:t>mexico</w:t>
      </w:r>
      <w:proofErr w:type="spellEnd"/>
      <w:r w:rsidRPr="00A35887">
        <w:rPr>
          <w:rFonts w:ascii="Palatino Linotype" w:eastAsia="Palatino Linotype" w:hAnsi="Palatino Linotype" w:cs="Palatino Linotype"/>
          <w:i/>
          <w:sz w:val="22"/>
          <w:szCs w:val="22"/>
        </w:rPr>
        <w:t>” (sic)</w:t>
      </w:r>
      <w:r w:rsidRPr="00A35887">
        <w:rPr>
          <w:rFonts w:ascii="Palatino Linotype" w:eastAsia="Palatino Linotype" w:hAnsi="Palatino Linotype" w:cs="Palatino Linotype"/>
        </w:rPr>
        <w:t xml:space="preserve"> </w:t>
      </w:r>
    </w:p>
    <w:p w14:paraId="5BA5B71B"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A lo que, </w:t>
      </w:r>
      <w:r w:rsidRPr="00A35887">
        <w:rPr>
          <w:rFonts w:ascii="Palatino Linotype" w:eastAsia="Palatino Linotype" w:hAnsi="Palatino Linotype" w:cs="Palatino Linotype"/>
          <w:b/>
        </w:rPr>
        <w:t>EL SUJETO OBLIGADO</w:t>
      </w:r>
      <w:r w:rsidRPr="00A35887">
        <w:rPr>
          <w:rFonts w:ascii="Palatino Linotype" w:eastAsia="Palatino Linotype" w:hAnsi="Palatino Linotype" w:cs="Palatino Linotype"/>
        </w:rPr>
        <w:t xml:space="preserve">  entregó en respuesta el oficio UT/MET/2567</w:t>
      </w:r>
      <w:r w:rsidR="001D4DBB" w:rsidRPr="00A35887">
        <w:rPr>
          <w:rFonts w:ascii="Palatino Linotype" w:eastAsia="Palatino Linotype" w:hAnsi="Palatino Linotype" w:cs="Palatino Linotype"/>
        </w:rPr>
        <w:t xml:space="preserve">/2022 de fecha catorce de julio de dos mil veintidós, </w:t>
      </w:r>
      <w:r w:rsidRPr="00A35887">
        <w:rPr>
          <w:rFonts w:ascii="Palatino Linotype" w:eastAsia="Palatino Linotype" w:hAnsi="Palatino Linotype" w:cs="Palatino Linotype"/>
        </w:rPr>
        <w:t xml:space="preserve">del cual se advierte que el Titular de la </w:t>
      </w:r>
      <w:r w:rsidRPr="00A35887">
        <w:rPr>
          <w:rFonts w:ascii="Palatino Linotype" w:eastAsia="Palatino Linotype" w:hAnsi="Palatino Linotype" w:cs="Palatino Linotype"/>
        </w:rPr>
        <w:lastRenderedPageBreak/>
        <w:t xml:space="preserve">Unidad de </w:t>
      </w:r>
      <w:r w:rsidR="001D4DBB" w:rsidRPr="00A35887">
        <w:rPr>
          <w:rFonts w:ascii="Palatino Linotype" w:eastAsia="Palatino Linotype" w:hAnsi="Palatino Linotype" w:cs="Palatino Linotype"/>
        </w:rPr>
        <w:t>Transparencia</w:t>
      </w:r>
      <w:r w:rsidRPr="00A35887">
        <w:rPr>
          <w:rFonts w:ascii="Palatino Linotype" w:eastAsia="Palatino Linotype" w:hAnsi="Palatino Linotype" w:cs="Palatino Linotype"/>
        </w:rPr>
        <w:t xml:space="preserve"> refiere que el Comité de Transparencia del </w:t>
      </w:r>
      <w:r w:rsidRPr="00A35887">
        <w:rPr>
          <w:rFonts w:ascii="Palatino Linotype" w:eastAsia="Palatino Linotype" w:hAnsi="Palatino Linotype" w:cs="Palatino Linotype"/>
          <w:b/>
        </w:rPr>
        <w:t>SUEJTO OBLIGADO</w:t>
      </w:r>
      <w:r w:rsidRPr="00A35887">
        <w:rPr>
          <w:rFonts w:ascii="Palatino Linotype" w:eastAsia="Palatino Linotype" w:hAnsi="Palatino Linotype" w:cs="Palatino Linotype"/>
        </w:rPr>
        <w:t xml:space="preserve"> se declaró incompetente para conocer la </w:t>
      </w:r>
      <w:r w:rsidR="001D4DBB" w:rsidRPr="00A35887">
        <w:rPr>
          <w:rFonts w:ascii="Palatino Linotype" w:eastAsia="Palatino Linotype" w:hAnsi="Palatino Linotype" w:cs="Palatino Linotype"/>
        </w:rPr>
        <w:t>información</w:t>
      </w:r>
      <w:r w:rsidRPr="00A35887">
        <w:rPr>
          <w:rFonts w:ascii="Palatino Linotype" w:eastAsia="Palatino Linotype" w:hAnsi="Palatino Linotype" w:cs="Palatino Linotype"/>
        </w:rPr>
        <w:t xml:space="preserve"> </w:t>
      </w:r>
      <w:r w:rsidR="001D4DBB" w:rsidRPr="00A35887">
        <w:rPr>
          <w:rFonts w:ascii="Palatino Linotype" w:eastAsia="Palatino Linotype" w:hAnsi="Palatino Linotype" w:cs="Palatino Linotype"/>
        </w:rPr>
        <w:t>solicitada</w:t>
      </w:r>
      <w:r w:rsidRPr="00A35887">
        <w:rPr>
          <w:rFonts w:ascii="Palatino Linotype" w:eastAsia="Palatino Linotype" w:hAnsi="Palatino Linotype" w:cs="Palatino Linotype"/>
        </w:rPr>
        <w:t xml:space="preserve"> mediante el acuerdo 04/CT/MET/EXT-22/2022, orientando al particular para que realizara su solicitud al Fideicomiso para el Desarrollo de Parques y Zonas Industriales del Estado de México. </w:t>
      </w:r>
    </w:p>
    <w:p w14:paraId="7F6E6464"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Por lo que, en un acto posterior la particular se inconforma, señalando que no se le informó el procedimiento para ingresar  su solicitud al Sujeto Obligado competente,</w:t>
      </w:r>
      <w:r w:rsidR="001D4DBB"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rPr>
        <w:t xml:space="preserve">lo que en consecuencia actualiza la causal de procedencia prevista por la Ley de Transparencia y Acceso a la Información Pública del Estado de México y Municipios en su artículo 179 fracción XIII que establece lo que a continuación se advierte:  </w:t>
      </w:r>
    </w:p>
    <w:p w14:paraId="490E4B83"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w:t>
      </w:r>
      <w:r w:rsidRPr="00A35887">
        <w:rPr>
          <w:rFonts w:ascii="Palatino Linotype" w:eastAsia="Palatino Linotype" w:hAnsi="Palatino Linotype" w:cs="Palatino Linotype"/>
          <w:b/>
          <w:i/>
          <w:sz w:val="22"/>
          <w:szCs w:val="22"/>
        </w:rPr>
        <w:t xml:space="preserve">Artículo 179. </w:t>
      </w:r>
      <w:r w:rsidRPr="00A35887">
        <w:rPr>
          <w:rFonts w:ascii="Palatino Linotype" w:eastAsia="Palatino Linotype" w:hAnsi="Palatino Linotype" w:cs="Palatino Linotype"/>
          <w:i/>
          <w:sz w:val="22"/>
          <w:szCs w:val="22"/>
        </w:rPr>
        <w:t>El recurso de revisión es un medio de protección que la Ley otorga a los particulares,</w:t>
      </w:r>
    </w:p>
    <w:p w14:paraId="4473ABBE"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para hacer valer su derecho de acceso a la información pública, y procederá en contra de las siguientes</w:t>
      </w:r>
    </w:p>
    <w:p w14:paraId="249078FC"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causas:</w:t>
      </w:r>
    </w:p>
    <w:p w14:paraId="557E10AC"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I. La negativa a la información solicitada;</w:t>
      </w:r>
    </w:p>
    <w:p w14:paraId="60526801"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II. La clasificación de la información;</w:t>
      </w:r>
    </w:p>
    <w:p w14:paraId="546CE02E"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III. La declaración de inexistencia de la información;</w:t>
      </w:r>
    </w:p>
    <w:p w14:paraId="6FE11B2D"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IV. La declaración de incompetencia por el sujeto obligado;</w:t>
      </w:r>
    </w:p>
    <w:p w14:paraId="29DC7EB7"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V. La entrega de información incompleta;</w:t>
      </w:r>
    </w:p>
    <w:p w14:paraId="0AF60594"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VI. La entrega de información que no corresponda con lo solicitado;</w:t>
      </w:r>
    </w:p>
    <w:p w14:paraId="1B40C31A"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VII. La falta de respuesta a una solicitud de acceso a la información;</w:t>
      </w:r>
    </w:p>
    <w:p w14:paraId="1E898919"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1D5D56F5"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20DDA470"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X. Los costos o tiempos de entrega de la información;</w:t>
      </w:r>
    </w:p>
    <w:p w14:paraId="71FA0F56"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XI. La falta de trámite a una solicitud;</w:t>
      </w:r>
    </w:p>
    <w:p w14:paraId="212B4E5B"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lastRenderedPageBreak/>
        <w:t>XII. La negativa a permitir la consulta directa de la información;</w:t>
      </w:r>
    </w:p>
    <w:p w14:paraId="1569B322" w14:textId="77777777" w:rsidR="00ED3CB9" w:rsidRPr="00A35887" w:rsidRDefault="00F636EA">
      <w:pPr>
        <w:tabs>
          <w:tab w:val="left" w:pos="2422"/>
        </w:tabs>
        <w:ind w:left="855" w:right="89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XIII. La falta, deficiencia o insuficiencia de la fundamentación y/o motivación en la respuesta; y</w:t>
      </w:r>
    </w:p>
    <w:p w14:paraId="1309CA10"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XIV. La orientación a un trámite específico.</w:t>
      </w:r>
    </w:p>
    <w:p w14:paraId="79998FD1" w14:textId="77777777" w:rsidR="00ED3CB9" w:rsidRPr="00A35887" w:rsidRDefault="00F636EA">
      <w:pPr>
        <w:tabs>
          <w:tab w:val="left" w:pos="2422"/>
        </w:tabs>
        <w:ind w:left="855"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A35887">
        <w:rPr>
          <w:rFonts w:ascii="Palatino Linotype" w:eastAsia="Palatino Linotype" w:hAnsi="Palatino Linotype" w:cs="Palatino Linotype"/>
          <w:i/>
          <w:sz w:val="22"/>
          <w:szCs w:val="22"/>
        </w:rPr>
        <w:br/>
        <w:t>(énfasis añadido)</w:t>
      </w:r>
    </w:p>
    <w:p w14:paraId="132F341F"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Por lo que, lo procedente es analizar la totalidad de las constancias que obran en el expediente electrónico del SAIMEX</w:t>
      </w:r>
      <w:r w:rsidR="001D4DBB" w:rsidRPr="00A35887">
        <w:rPr>
          <w:rFonts w:ascii="Palatino Linotype" w:eastAsia="Palatino Linotype" w:hAnsi="Palatino Linotype" w:cs="Palatino Linotype"/>
        </w:rPr>
        <w:t xml:space="preserve"> del presente asunto</w:t>
      </w:r>
      <w:r w:rsidRPr="00A35887">
        <w:rPr>
          <w:rFonts w:ascii="Palatino Linotype" w:eastAsia="Palatino Linotype" w:hAnsi="Palatino Linotype" w:cs="Palatino Linotype"/>
        </w:rPr>
        <w:t xml:space="preserve">, para determinar si con las mismas se puede tener por satisfecho el derecho de acceso a la información del particular. </w:t>
      </w:r>
    </w:p>
    <w:p w14:paraId="14EF5205"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C2A4B9B"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Así pues se advierte que el particular solicitó información relativa </w:t>
      </w:r>
      <w:r w:rsidR="001D4DBB" w:rsidRPr="00A35887">
        <w:rPr>
          <w:rFonts w:ascii="Palatino Linotype" w:eastAsia="Palatino Linotype" w:hAnsi="Palatino Linotype" w:cs="Palatino Linotype"/>
        </w:rPr>
        <w:t>del</w:t>
      </w:r>
      <w:r w:rsidRPr="00A35887">
        <w:rPr>
          <w:rFonts w:ascii="Palatino Linotype" w:eastAsia="Palatino Linotype" w:hAnsi="Palatino Linotype" w:cs="Palatino Linotype"/>
        </w:rPr>
        <w:t xml:space="preserve"> presupuesto asignado a la construcción y desarrollo de parques industriales en el Estado de México, sobre lo cual </w:t>
      </w:r>
      <w:r w:rsidRPr="00A35887">
        <w:rPr>
          <w:rFonts w:ascii="Palatino Linotype" w:eastAsia="Palatino Linotype" w:hAnsi="Palatino Linotype" w:cs="Palatino Linotype"/>
          <w:b/>
        </w:rPr>
        <w:t xml:space="preserve">EL SUJETO OBLIGADO </w:t>
      </w:r>
      <w:r w:rsidRPr="00A35887">
        <w:rPr>
          <w:rFonts w:ascii="Palatino Linotype" w:eastAsia="Palatino Linotype" w:hAnsi="Palatino Linotype" w:cs="Palatino Linotype"/>
        </w:rPr>
        <w:t>refiere su incompetencia, señalando como autoridad competente al Fideicomiso para el Desarrollo de Parques y Zonas Industriales en el Estado de México (FIDEPAR)</w:t>
      </w:r>
    </w:p>
    <w:p w14:paraId="3DA33F38"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Dicho Fideicomiso, según lo señala la página oficial del gobierno del Estado de México</w:t>
      </w:r>
      <w:r w:rsidRPr="00A35887">
        <w:rPr>
          <w:rFonts w:ascii="Palatino Linotype" w:eastAsia="Palatino Linotype" w:hAnsi="Palatino Linotype" w:cs="Palatino Linotype"/>
          <w:vertAlign w:val="superscript"/>
        </w:rPr>
        <w:footnoteReference w:id="2"/>
      </w:r>
      <w:r w:rsidRPr="00A35887">
        <w:rPr>
          <w:rFonts w:ascii="Palatino Linotype" w:eastAsia="Palatino Linotype" w:hAnsi="Palatino Linotype" w:cs="Palatino Linotype"/>
        </w:rPr>
        <w:t xml:space="preserve"> fue creado el 10 de agosto de 1982 mediante contrato privado de fideicomiso de Administración  celebrado por el Gobierno del Estado de México y ahora Banco Santander México, con el propósito de contribuir al desarrollo </w:t>
      </w:r>
      <w:r w:rsidR="001D4DBB" w:rsidRPr="00A35887">
        <w:rPr>
          <w:rFonts w:ascii="Palatino Linotype" w:eastAsia="Palatino Linotype" w:hAnsi="Palatino Linotype" w:cs="Palatino Linotype"/>
        </w:rPr>
        <w:t>industrial</w:t>
      </w:r>
      <w:r w:rsidRPr="00A35887">
        <w:rPr>
          <w:rFonts w:ascii="Palatino Linotype" w:eastAsia="Palatino Linotype" w:hAnsi="Palatino Linotype" w:cs="Palatino Linotype"/>
        </w:rPr>
        <w:t xml:space="preserve"> mediante la </w:t>
      </w:r>
      <w:r w:rsidR="001D4DBB" w:rsidRPr="00A35887">
        <w:rPr>
          <w:rFonts w:ascii="Palatino Linotype" w:eastAsia="Palatino Linotype" w:hAnsi="Palatino Linotype" w:cs="Palatino Linotype"/>
        </w:rPr>
        <w:t>creación</w:t>
      </w:r>
      <w:r w:rsidRPr="00A35887">
        <w:rPr>
          <w:rFonts w:ascii="Palatino Linotype" w:eastAsia="Palatino Linotype" w:hAnsi="Palatino Linotype" w:cs="Palatino Linotype"/>
        </w:rPr>
        <w:t xml:space="preserve"> de parques y zonas industriales. </w:t>
      </w:r>
    </w:p>
    <w:p w14:paraId="3ABD0CE1"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Según lo señala el Contrato Privado de</w:t>
      </w:r>
      <w:r w:rsidR="001D4DBB" w:rsidRPr="00A35887">
        <w:rPr>
          <w:rFonts w:ascii="Palatino Linotype" w:eastAsia="Palatino Linotype" w:hAnsi="Palatino Linotype" w:cs="Palatino Linotype"/>
        </w:rPr>
        <w:t>l</w:t>
      </w:r>
      <w:r w:rsidRPr="00A35887">
        <w:rPr>
          <w:rFonts w:ascii="Palatino Linotype" w:eastAsia="Palatino Linotype" w:hAnsi="Palatino Linotype" w:cs="Palatino Linotype"/>
        </w:rPr>
        <w:t xml:space="preserve"> Fideicomiso antes referido, </w:t>
      </w:r>
      <w:r w:rsidR="001D4DBB" w:rsidRPr="00A35887">
        <w:rPr>
          <w:rFonts w:ascii="Palatino Linotype" w:eastAsia="Palatino Linotype" w:hAnsi="Palatino Linotype" w:cs="Palatino Linotype"/>
        </w:rPr>
        <w:t>este</w:t>
      </w:r>
      <w:r w:rsidRPr="00A35887">
        <w:rPr>
          <w:rFonts w:ascii="Palatino Linotype" w:eastAsia="Palatino Linotype" w:hAnsi="Palatino Linotype" w:cs="Palatino Linotype"/>
        </w:rPr>
        <w:t xml:space="preserve"> tiene como fines los siguientes:</w:t>
      </w:r>
    </w:p>
    <w:p w14:paraId="01A3DCCC" w14:textId="77777777" w:rsidR="00ED3CB9" w:rsidRPr="00A35887" w:rsidRDefault="00F636EA">
      <w:pPr>
        <w:numPr>
          <w:ilvl w:val="0"/>
          <w:numId w:val="1"/>
        </w:numPr>
        <w:tabs>
          <w:tab w:val="left" w:pos="2422"/>
        </w:tabs>
        <w:spacing w:before="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Construir y desarrollar parques industriales en el Estado de México.</w:t>
      </w:r>
    </w:p>
    <w:p w14:paraId="065A3569" w14:textId="77777777" w:rsidR="00ED3CB9" w:rsidRPr="00A35887" w:rsidRDefault="00F636EA">
      <w:pPr>
        <w:numPr>
          <w:ilvl w:val="0"/>
          <w:numId w:val="1"/>
        </w:numPr>
        <w:tabs>
          <w:tab w:val="left" w:pos="2422"/>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Llevar a cabo la construcción de la infraestructura necesaria para el desarrollo de los parques industriales bajo su administración.</w:t>
      </w:r>
    </w:p>
    <w:p w14:paraId="4DBFB292" w14:textId="77777777" w:rsidR="00ED3CB9" w:rsidRPr="00A35887" w:rsidRDefault="00F636EA">
      <w:pPr>
        <w:numPr>
          <w:ilvl w:val="0"/>
          <w:numId w:val="1"/>
        </w:numPr>
        <w:tabs>
          <w:tab w:val="left" w:pos="2422"/>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Participar en eventos de promoción y fomento industrial.</w:t>
      </w:r>
    </w:p>
    <w:p w14:paraId="4E325D91" w14:textId="77777777" w:rsidR="00ED3CB9" w:rsidRPr="00A35887" w:rsidRDefault="00F636EA">
      <w:pPr>
        <w:numPr>
          <w:ilvl w:val="0"/>
          <w:numId w:val="1"/>
        </w:numPr>
        <w:tabs>
          <w:tab w:val="left" w:pos="2422"/>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Coordinar la rehabilitación de la infraestructura de los parques industriales del Fideicomiso.</w:t>
      </w:r>
    </w:p>
    <w:p w14:paraId="7D3C6C0C" w14:textId="77777777" w:rsidR="00ED3CB9" w:rsidRPr="00A35887" w:rsidRDefault="00F636EA">
      <w:pPr>
        <w:numPr>
          <w:ilvl w:val="0"/>
          <w:numId w:val="1"/>
        </w:numPr>
        <w:tabs>
          <w:tab w:val="left" w:pos="2422"/>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Adquirir inmuebles mediante compraventa, permuta, cesión, donación, asociación en participación para la creación de reservas territoriales para la industria.</w:t>
      </w:r>
    </w:p>
    <w:p w14:paraId="120A098A" w14:textId="77777777" w:rsidR="00ED3CB9" w:rsidRPr="00A35887" w:rsidRDefault="00F636EA">
      <w:pPr>
        <w:numPr>
          <w:ilvl w:val="0"/>
          <w:numId w:val="1"/>
        </w:numPr>
        <w:tabs>
          <w:tab w:val="left" w:pos="2422"/>
        </w:tabs>
        <w:spacing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Brindar asesoría a los municipios y al sector privado en materia de parques industriales.</w:t>
      </w:r>
    </w:p>
    <w:p w14:paraId="261CAC4E"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 xml:space="preserve">Atento a lo anterior, </w:t>
      </w:r>
      <w:r w:rsidR="001D4DBB" w:rsidRPr="00A35887">
        <w:rPr>
          <w:rFonts w:ascii="Palatino Linotype" w:eastAsia="Palatino Linotype" w:hAnsi="Palatino Linotype" w:cs="Palatino Linotype"/>
        </w:rPr>
        <w:t>este Órgano Garante</w:t>
      </w:r>
      <w:r w:rsidRPr="00A35887">
        <w:rPr>
          <w:rFonts w:ascii="Palatino Linotype" w:eastAsia="Palatino Linotype" w:hAnsi="Palatino Linotype" w:cs="Palatino Linotype"/>
        </w:rPr>
        <w:t xml:space="preserve"> consultó el Reglamento Interior del Fideicomiso para el Desarrollo de Parques y Zonas Industriales en el Estado de México donde dispone que el FIDEPAR estará compuesto por un comité </w:t>
      </w:r>
      <w:r w:rsidR="001D4DBB" w:rsidRPr="00A35887">
        <w:rPr>
          <w:rFonts w:ascii="Palatino Linotype" w:eastAsia="Palatino Linotype" w:hAnsi="Palatino Linotype" w:cs="Palatino Linotype"/>
        </w:rPr>
        <w:t>técnico</w:t>
      </w:r>
      <w:r w:rsidRPr="00A35887">
        <w:rPr>
          <w:rFonts w:ascii="Palatino Linotype" w:eastAsia="Palatino Linotype" w:hAnsi="Palatino Linotype" w:cs="Palatino Linotype"/>
        </w:rPr>
        <w:t xml:space="preserve"> y un director general, como lo refiere su artículo 6 que a la letra dice:</w:t>
      </w:r>
    </w:p>
    <w:p w14:paraId="350AF684" w14:textId="77777777" w:rsidR="00ED3CB9" w:rsidRPr="00A35887" w:rsidRDefault="00F636EA">
      <w:pPr>
        <w:tabs>
          <w:tab w:val="left" w:pos="2422"/>
        </w:tabs>
        <w:spacing w:before="280" w:after="280"/>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“Artículo 6.- La dirección y administración del FIDEPAR están a cargo de: </w:t>
      </w:r>
    </w:p>
    <w:p w14:paraId="009FF90E" w14:textId="77777777" w:rsidR="00ED3CB9" w:rsidRPr="00A35887" w:rsidRDefault="00F636EA">
      <w:pPr>
        <w:tabs>
          <w:tab w:val="left" w:pos="2422"/>
        </w:tabs>
        <w:spacing w:before="280" w:after="280"/>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 Un Comité Técnico; y </w:t>
      </w:r>
    </w:p>
    <w:p w14:paraId="14222C0F" w14:textId="77777777" w:rsidR="00ED3CB9" w:rsidRPr="00A35887" w:rsidRDefault="00F636EA">
      <w:pPr>
        <w:tabs>
          <w:tab w:val="left" w:pos="2422"/>
        </w:tabs>
        <w:spacing w:before="280" w:after="280"/>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II. Un Director General.”</w:t>
      </w:r>
    </w:p>
    <w:p w14:paraId="7E010819"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Por su parte el Director General </w:t>
      </w:r>
      <w:r w:rsidR="001D4DBB" w:rsidRPr="00A35887">
        <w:rPr>
          <w:rFonts w:ascii="Palatino Linotype" w:eastAsia="Palatino Linotype" w:hAnsi="Palatino Linotype" w:cs="Palatino Linotype"/>
        </w:rPr>
        <w:t>cuenta con las atribuciones del multicitado reglamento que a la letra dice:</w:t>
      </w:r>
      <w:r w:rsidRPr="00A35887">
        <w:rPr>
          <w:rFonts w:ascii="Palatino Linotype" w:eastAsia="Palatino Linotype" w:hAnsi="Palatino Linotype" w:cs="Palatino Linotype"/>
        </w:rPr>
        <w:t xml:space="preserve"> </w:t>
      </w:r>
    </w:p>
    <w:p w14:paraId="08A0ABD2"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b/>
          <w:i/>
          <w:sz w:val="22"/>
          <w:szCs w:val="22"/>
        </w:rPr>
        <w:t>Artículo 10.-</w:t>
      </w:r>
      <w:r w:rsidRPr="00A35887">
        <w:rPr>
          <w:rFonts w:ascii="Palatino Linotype" w:eastAsia="Palatino Linotype" w:hAnsi="Palatino Linotype" w:cs="Palatino Linotype"/>
          <w:i/>
          <w:sz w:val="22"/>
          <w:szCs w:val="22"/>
        </w:rPr>
        <w:t xml:space="preserve"> Al frente del FIDEPAR se encuentra un Director General, quien tiene las atribuciones siguientes: </w:t>
      </w:r>
    </w:p>
    <w:p w14:paraId="16EC5568"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 Administrar y representar legalmente al FIDEPAR, con las facultades de un apoderado general para pleitos y cobranzas, de administración y para actos de dominio, con todas las facultades que requieran cláusula especial conforme a la ley y sustituir y delegar esta representación en uno o más apoderados para que las ejerzan individual o conjuntamente. Para actos de dominio requerirá la autorización expresa del Comité Técnico, de acuerdo con la legislación vigente. </w:t>
      </w:r>
    </w:p>
    <w:p w14:paraId="03954084"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II. Planear, coordinar, controlar y evaluar el funcionamiento del FIDEPAR, vigilando el cumplimiento de sus fines y programas, así como la operación de sus órganos. </w:t>
      </w:r>
    </w:p>
    <w:p w14:paraId="0FD8B13E"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III. Coordinar la elaboración y someter a la consideración del Comité Técnico, los programas para la creación, desarrollo y rehabilitación de parques y zonas industriales, así como de parques logísticos. </w:t>
      </w:r>
    </w:p>
    <w:p w14:paraId="07144E3A" w14:textId="77777777" w:rsidR="00ED3CB9" w:rsidRPr="00A35887" w:rsidRDefault="00F636EA">
      <w:pPr>
        <w:tabs>
          <w:tab w:val="left" w:pos="2422"/>
        </w:tabs>
        <w:ind w:left="850" w:right="89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 xml:space="preserve">IV. Impulsar y fortalecer la promoción y comercialización de los parques industriales, logísticos, tecnológicos y científicos. </w:t>
      </w:r>
    </w:p>
    <w:p w14:paraId="3109AB1D"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V. Promover inversiones en la planta productiva de medianas y grandes empresas en territorio de la entidad. </w:t>
      </w:r>
    </w:p>
    <w:p w14:paraId="5AF6392C" w14:textId="77777777" w:rsidR="00ED3CB9" w:rsidRPr="00A35887" w:rsidRDefault="00F636EA">
      <w:pPr>
        <w:tabs>
          <w:tab w:val="left" w:pos="2422"/>
        </w:tabs>
        <w:ind w:left="850" w:right="89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lastRenderedPageBreak/>
        <w:t xml:space="preserve">VI. Adquirir reserva territorial destinada a nuevos desarrollos industriales, logísticos, científicos y tecnológicos. </w:t>
      </w:r>
    </w:p>
    <w:p w14:paraId="32FC2B52" w14:textId="77777777" w:rsidR="00ED3CB9" w:rsidRPr="00A35887" w:rsidRDefault="00F636EA">
      <w:pPr>
        <w:tabs>
          <w:tab w:val="left" w:pos="2422"/>
        </w:tabs>
        <w:ind w:left="850" w:right="89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 xml:space="preserve">VII. Promover la coordinación de acciones con autoridades federales, estatales y municipales, así como con la iniciativa privada para el cumplimiento de los fines del FIDEPAR. </w:t>
      </w:r>
    </w:p>
    <w:p w14:paraId="0F16B691"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VIII. Organizar el Premio Estatal a la Excelencia Empresarial Mexiquense. </w:t>
      </w:r>
    </w:p>
    <w:p w14:paraId="7566A0FB" w14:textId="77777777" w:rsidR="00ED3CB9" w:rsidRPr="00A35887" w:rsidRDefault="00F636EA">
      <w:pPr>
        <w:tabs>
          <w:tab w:val="left" w:pos="2422"/>
        </w:tabs>
        <w:ind w:left="850" w:right="89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 xml:space="preserve">IX. Celebrar acuerdos, convenios y contratos con autoridades federales, estatales y municipales y con los sectores social y privado, a efecto de cumplir con los fines del FIDEPAR, dando cuenta de ello al Comité Técnico. </w:t>
      </w:r>
    </w:p>
    <w:p w14:paraId="7D3AA1E2"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X. Someter a la autorización del Comité Técnico la estructura orgánica, el reglamento interior y los manuales administrativos del FIDEPAR y gestionar su aprobación por parte de la Secretaría de Finanzas. </w:t>
      </w:r>
    </w:p>
    <w:p w14:paraId="4D616019"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XI. Impulsar la ejecución de acciones de modernización administrativa, mejora regulatoria y gestión de la calidad, así como disponer lo necesario para su cumplimiento. </w:t>
      </w:r>
    </w:p>
    <w:p w14:paraId="2BB088CF"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XII. Emitir constancias o expedir copias certificadas de los documentos existentes en sus archivos, cuando se refieran a asuntos de su competencia. </w:t>
      </w:r>
    </w:p>
    <w:p w14:paraId="2E7D2BFE"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XIII. Promover que las actividades de las unidades administrativas del FIDEPAR se realicen de manera coordinada. </w:t>
      </w:r>
    </w:p>
    <w:p w14:paraId="130D6AFF"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XIV. Resolver las dudas que se originen con motivo de la interpretación o aplicación del presente Reglamento, así como los casos no previstos en el mismo. </w:t>
      </w:r>
    </w:p>
    <w:p w14:paraId="04CE6333"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XV. Las demás que le confieren otras disposiciones legales y las que le señale el Comité Técnico.”</w:t>
      </w:r>
    </w:p>
    <w:p w14:paraId="7CC05598" w14:textId="77777777" w:rsidR="00ED3CB9" w:rsidRPr="00A35887" w:rsidRDefault="00ED3CB9">
      <w:pPr>
        <w:tabs>
          <w:tab w:val="left" w:pos="2422"/>
        </w:tabs>
        <w:ind w:left="850" w:right="899"/>
        <w:jc w:val="both"/>
        <w:rPr>
          <w:rFonts w:ascii="Palatino Linotype" w:eastAsia="Palatino Linotype" w:hAnsi="Palatino Linotype" w:cs="Palatino Linotype"/>
          <w:i/>
          <w:sz w:val="22"/>
          <w:szCs w:val="22"/>
        </w:rPr>
      </w:pPr>
    </w:p>
    <w:p w14:paraId="79A09FA7" w14:textId="77777777" w:rsidR="00ED3CB9" w:rsidRPr="00A35887" w:rsidRDefault="00F636EA">
      <w:pPr>
        <w:pBdr>
          <w:top w:val="nil"/>
          <w:left w:val="nil"/>
          <w:bottom w:val="nil"/>
          <w:right w:val="nil"/>
          <w:between w:val="nil"/>
        </w:pBdr>
        <w:tabs>
          <w:tab w:val="left" w:pos="2422"/>
        </w:tabs>
        <w:spacing w:before="280" w:after="280" w:line="360" w:lineRule="auto"/>
        <w:ind w:right="4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rPr>
        <w:t xml:space="preserve">De lo anterior, se desprende que dentro de sus facultades el Director General deberá administrar </w:t>
      </w:r>
      <w:r w:rsidR="001D4DBB" w:rsidRPr="00A35887">
        <w:rPr>
          <w:rFonts w:ascii="Palatino Linotype" w:eastAsia="Palatino Linotype" w:hAnsi="Palatino Linotype" w:cs="Palatino Linotype"/>
        </w:rPr>
        <w:t>el</w:t>
      </w:r>
      <w:r w:rsidRPr="00A35887">
        <w:rPr>
          <w:rFonts w:ascii="Palatino Linotype" w:eastAsia="Palatino Linotype" w:hAnsi="Palatino Linotype" w:cs="Palatino Linotype"/>
        </w:rPr>
        <w:t xml:space="preserve"> funcionamiento del fideicomiso así como promover el crecimiento de la industria mediante las zonas y parques industriales. Para lo cual tendrá a su cargo diversas unidades </w:t>
      </w:r>
      <w:r w:rsidR="001D4DBB" w:rsidRPr="00A35887">
        <w:rPr>
          <w:rFonts w:ascii="Palatino Linotype" w:eastAsia="Palatino Linotype" w:hAnsi="Palatino Linotype" w:cs="Palatino Linotype"/>
        </w:rPr>
        <w:t>administrativas</w:t>
      </w:r>
      <w:r w:rsidRPr="00A35887">
        <w:rPr>
          <w:rFonts w:ascii="Palatino Linotype" w:eastAsia="Palatino Linotype" w:hAnsi="Palatino Linotype" w:cs="Palatino Linotype"/>
        </w:rPr>
        <w:t xml:space="preserve"> como se observa a continuación:</w:t>
      </w:r>
    </w:p>
    <w:p w14:paraId="2219B830"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Artículo 11.- Para el estudio, planeación y despacho de los asuntos de su competencia, así como para atender las funciones de control y evaluación que le corresponden, el Director General se auxiliará de las unidades administrativas básicas siguientes: </w:t>
      </w:r>
    </w:p>
    <w:p w14:paraId="4FBBE047"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lastRenderedPageBreak/>
        <w:t>I. Subdirección de Planeación Técnica.</w:t>
      </w:r>
    </w:p>
    <w:p w14:paraId="7597F1A3"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 II. Subdirección de Comercialización. </w:t>
      </w:r>
    </w:p>
    <w:p w14:paraId="611DDEFE"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III. Subdirección de Parques Científicos y Tecnológicos. </w:t>
      </w:r>
    </w:p>
    <w:p w14:paraId="52009BF3"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IV. Subdirección de Atención a Inversionistas. </w:t>
      </w:r>
    </w:p>
    <w:p w14:paraId="7C6BA5C5"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V. Unidad de Apoyo Administrativo. </w:t>
      </w:r>
    </w:p>
    <w:p w14:paraId="48C3775E"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VI. Unidad Jurídica. </w:t>
      </w:r>
    </w:p>
    <w:p w14:paraId="0DC73448"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VII. Contraloría Interna.</w:t>
      </w:r>
    </w:p>
    <w:p w14:paraId="2E2D6D8C" w14:textId="77777777" w:rsidR="00ED3CB9" w:rsidRPr="00A35887" w:rsidRDefault="001D4DBB">
      <w:pPr>
        <w:pBdr>
          <w:top w:val="nil"/>
          <w:left w:val="nil"/>
          <w:bottom w:val="nil"/>
          <w:right w:val="nil"/>
          <w:between w:val="nil"/>
        </w:pBd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Lo anterior tiene</w:t>
      </w:r>
      <w:r w:rsidR="00F636EA" w:rsidRPr="00A35887">
        <w:rPr>
          <w:rFonts w:ascii="Palatino Linotype" w:eastAsia="Palatino Linotype" w:hAnsi="Palatino Linotype" w:cs="Palatino Linotype"/>
        </w:rPr>
        <w:t xml:space="preserve"> relevancia toda vez que según lo refiere el artículo 12 del Reglamento, cada unidad deberá contar con un </w:t>
      </w:r>
      <w:r w:rsidRPr="00A35887">
        <w:rPr>
          <w:rFonts w:ascii="Palatino Linotype" w:eastAsia="Palatino Linotype" w:hAnsi="Palatino Linotype" w:cs="Palatino Linotype"/>
        </w:rPr>
        <w:t>subdirector</w:t>
      </w:r>
      <w:r w:rsidR="00F636EA" w:rsidRPr="00A35887">
        <w:rPr>
          <w:rFonts w:ascii="Palatino Linotype" w:eastAsia="Palatino Linotype" w:hAnsi="Palatino Linotype" w:cs="Palatino Linotype"/>
        </w:rPr>
        <w:t xml:space="preserve"> y jefe de unidad los </w:t>
      </w:r>
      <w:r w:rsidRPr="00A35887">
        <w:rPr>
          <w:rFonts w:ascii="Palatino Linotype" w:eastAsia="Palatino Linotype" w:hAnsi="Palatino Linotype" w:cs="Palatino Linotype"/>
        </w:rPr>
        <w:t>subdirectores</w:t>
      </w:r>
      <w:r w:rsidR="00F636EA" w:rsidRPr="00A35887">
        <w:rPr>
          <w:rFonts w:ascii="Palatino Linotype" w:eastAsia="Palatino Linotype" w:hAnsi="Palatino Linotype" w:cs="Palatino Linotype"/>
        </w:rPr>
        <w:t xml:space="preserve"> y jefes de unidad que tendrán las atribuciones conferidas por el </w:t>
      </w:r>
      <w:r w:rsidRPr="00A35887">
        <w:rPr>
          <w:rFonts w:ascii="Palatino Linotype" w:eastAsia="Palatino Linotype" w:hAnsi="Palatino Linotype" w:cs="Palatino Linotype"/>
        </w:rPr>
        <w:t>artículo</w:t>
      </w:r>
      <w:r w:rsidR="00F636EA" w:rsidRPr="00A35887">
        <w:rPr>
          <w:rFonts w:ascii="Palatino Linotype" w:eastAsia="Palatino Linotype" w:hAnsi="Palatino Linotype" w:cs="Palatino Linotype"/>
        </w:rPr>
        <w:t xml:space="preserve"> 13, de las cuales, para el caso que nos ocupa se resalta la fracción II que señala lo </w:t>
      </w:r>
      <w:r w:rsidRPr="00A35887">
        <w:rPr>
          <w:rFonts w:ascii="Palatino Linotype" w:eastAsia="Palatino Linotype" w:hAnsi="Palatino Linotype" w:cs="Palatino Linotype"/>
        </w:rPr>
        <w:t>siguiente</w:t>
      </w:r>
      <w:r w:rsidR="00F636EA" w:rsidRPr="00A35887">
        <w:rPr>
          <w:rFonts w:ascii="Palatino Linotype" w:eastAsia="Palatino Linotype" w:hAnsi="Palatino Linotype" w:cs="Palatino Linotype"/>
        </w:rPr>
        <w:t xml:space="preserve">: </w:t>
      </w:r>
    </w:p>
    <w:p w14:paraId="1FD060F6" w14:textId="77777777" w:rsidR="00ED3CB9" w:rsidRPr="00A35887" w:rsidRDefault="00F636EA">
      <w:pPr>
        <w:pBdr>
          <w:top w:val="nil"/>
          <w:left w:val="nil"/>
          <w:bottom w:val="nil"/>
          <w:right w:val="nil"/>
          <w:between w:val="nil"/>
        </w:pBdr>
        <w:tabs>
          <w:tab w:val="left" w:pos="2422"/>
        </w:tabs>
        <w:ind w:left="850" w:right="4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i/>
          <w:sz w:val="22"/>
          <w:szCs w:val="22"/>
        </w:rPr>
        <w:t>“</w:t>
      </w:r>
      <w:r w:rsidRPr="00A35887">
        <w:rPr>
          <w:rFonts w:ascii="Palatino Linotype" w:eastAsia="Palatino Linotype" w:hAnsi="Palatino Linotype" w:cs="Palatino Linotype"/>
          <w:b/>
          <w:i/>
          <w:sz w:val="22"/>
          <w:szCs w:val="22"/>
        </w:rPr>
        <w:t xml:space="preserve">CAPITULO III </w:t>
      </w:r>
    </w:p>
    <w:p w14:paraId="182493B0" w14:textId="77777777" w:rsidR="00ED3CB9" w:rsidRPr="00A35887" w:rsidRDefault="00F636EA">
      <w:pPr>
        <w:tabs>
          <w:tab w:val="left" w:pos="2422"/>
        </w:tabs>
        <w:ind w:left="850" w:right="899"/>
        <w:jc w:val="both"/>
        <w:rPr>
          <w:rFonts w:ascii="Palatino Linotype" w:eastAsia="Palatino Linotype" w:hAnsi="Palatino Linotype" w:cs="Palatino Linotype"/>
          <w:b/>
          <w:i/>
          <w:sz w:val="22"/>
          <w:szCs w:val="22"/>
        </w:rPr>
      </w:pPr>
      <w:r w:rsidRPr="00A35887">
        <w:rPr>
          <w:rFonts w:ascii="Palatino Linotype" w:eastAsia="Palatino Linotype" w:hAnsi="Palatino Linotype" w:cs="Palatino Linotype"/>
          <w:b/>
          <w:i/>
          <w:sz w:val="22"/>
          <w:szCs w:val="22"/>
        </w:rPr>
        <w:t xml:space="preserve">DE LOS SUBDIRECTORES Y JEFES DE UNIDAD </w:t>
      </w:r>
    </w:p>
    <w:p w14:paraId="4E428401" w14:textId="77777777" w:rsidR="00ED3CB9" w:rsidRPr="00A35887" w:rsidRDefault="00ED3CB9">
      <w:pPr>
        <w:tabs>
          <w:tab w:val="left" w:pos="2422"/>
        </w:tabs>
        <w:ind w:left="850" w:right="899"/>
        <w:jc w:val="both"/>
        <w:rPr>
          <w:rFonts w:ascii="Palatino Linotype" w:eastAsia="Palatino Linotype" w:hAnsi="Palatino Linotype" w:cs="Palatino Linotype"/>
          <w:b/>
          <w:i/>
          <w:sz w:val="22"/>
          <w:szCs w:val="22"/>
        </w:rPr>
      </w:pPr>
    </w:p>
    <w:p w14:paraId="68CEF5A0"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b/>
          <w:i/>
          <w:sz w:val="22"/>
          <w:szCs w:val="22"/>
        </w:rPr>
        <w:t xml:space="preserve">Artículo 12.- </w:t>
      </w:r>
      <w:r w:rsidRPr="00A35887">
        <w:rPr>
          <w:rFonts w:ascii="Palatino Linotype" w:eastAsia="Palatino Linotype" w:hAnsi="Palatino Linotype" w:cs="Palatino Linotype"/>
          <w:i/>
          <w:sz w:val="22"/>
          <w:szCs w:val="22"/>
        </w:rPr>
        <w:t xml:space="preserve">Al frente de cada Subdirección y Unidad habrá un titular, quien se auxiliará de los servidores públicos que las necesidades del servicio requieran, de acuerdo con la normatividad aplicable, estructura orgánica y presupuesto respectivo. </w:t>
      </w:r>
    </w:p>
    <w:p w14:paraId="66B1DE1A" w14:textId="77777777" w:rsidR="00ED3CB9" w:rsidRPr="00A35887" w:rsidRDefault="00ED3CB9">
      <w:pPr>
        <w:tabs>
          <w:tab w:val="left" w:pos="2422"/>
        </w:tabs>
        <w:ind w:left="850" w:right="899"/>
        <w:jc w:val="both"/>
        <w:rPr>
          <w:rFonts w:ascii="Palatino Linotype" w:eastAsia="Palatino Linotype" w:hAnsi="Palatino Linotype" w:cs="Palatino Linotype"/>
          <w:b/>
          <w:i/>
          <w:sz w:val="22"/>
          <w:szCs w:val="22"/>
        </w:rPr>
      </w:pPr>
    </w:p>
    <w:p w14:paraId="50A289A0"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b/>
          <w:i/>
          <w:sz w:val="22"/>
          <w:szCs w:val="22"/>
        </w:rPr>
        <w:t xml:space="preserve">Artículo 13.- </w:t>
      </w:r>
      <w:r w:rsidRPr="00A35887">
        <w:rPr>
          <w:rFonts w:ascii="Palatino Linotype" w:eastAsia="Palatino Linotype" w:hAnsi="Palatino Linotype" w:cs="Palatino Linotype"/>
          <w:i/>
          <w:sz w:val="22"/>
          <w:szCs w:val="22"/>
        </w:rPr>
        <w:t>Corresponde a los Subdirectores y Jefes de Unidad:</w:t>
      </w:r>
    </w:p>
    <w:p w14:paraId="06869479"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I. Planear, programar, organizar, dirigir, controlar y evaluar la ejecución de las funciones encomendadas a la unidad administrativa a su cargo. </w:t>
      </w:r>
    </w:p>
    <w:p w14:paraId="73FA9529"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b/>
          <w:i/>
          <w:sz w:val="22"/>
          <w:szCs w:val="22"/>
        </w:rPr>
        <w:t>II. Participar, en el ámbito de su competencia, en la elaboración del programa anual de actividades y de los anteproyectos de presupuesto de ingresos y de egresos del FIDEPAR</w:t>
      </w:r>
      <w:r w:rsidRPr="00A35887">
        <w:rPr>
          <w:rFonts w:ascii="Palatino Linotype" w:eastAsia="Palatino Linotype" w:hAnsi="Palatino Linotype" w:cs="Palatino Linotype"/>
          <w:i/>
          <w:sz w:val="22"/>
          <w:szCs w:val="22"/>
        </w:rPr>
        <w:t>.”</w:t>
      </w:r>
    </w:p>
    <w:p w14:paraId="6F39305D" w14:textId="77777777" w:rsidR="00ED3CB9" w:rsidRPr="00A35887" w:rsidRDefault="00F636EA">
      <w:pPr>
        <w:tabs>
          <w:tab w:val="left" w:pos="2422"/>
        </w:tabs>
        <w:ind w:left="850"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(énfasis añadido)</w:t>
      </w:r>
    </w:p>
    <w:p w14:paraId="00016456" w14:textId="77777777" w:rsidR="00ED3CB9" w:rsidRPr="00A35887" w:rsidRDefault="00ED3CB9">
      <w:pPr>
        <w:tabs>
          <w:tab w:val="left" w:pos="2422"/>
        </w:tabs>
        <w:spacing w:before="280" w:after="280" w:line="360" w:lineRule="auto"/>
        <w:ind w:right="49"/>
        <w:jc w:val="both"/>
        <w:rPr>
          <w:rFonts w:ascii="Palatino Linotype" w:eastAsia="Palatino Linotype" w:hAnsi="Palatino Linotype" w:cs="Palatino Linotype"/>
        </w:rPr>
      </w:pPr>
    </w:p>
    <w:p w14:paraId="5072F728"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sz w:val="20"/>
          <w:szCs w:val="20"/>
        </w:rPr>
      </w:pPr>
      <w:r w:rsidRPr="00A35887">
        <w:rPr>
          <w:rFonts w:ascii="Palatino Linotype" w:eastAsia="Palatino Linotype" w:hAnsi="Palatino Linotype" w:cs="Palatino Linotype"/>
        </w:rPr>
        <w:t xml:space="preserve">De la </w:t>
      </w:r>
      <w:r w:rsidR="001D4DBB" w:rsidRPr="00A35887">
        <w:rPr>
          <w:rFonts w:ascii="Palatino Linotype" w:eastAsia="Palatino Linotype" w:hAnsi="Palatino Linotype" w:cs="Palatino Linotype"/>
        </w:rPr>
        <w:t>interpretación</w:t>
      </w:r>
      <w:r w:rsidRPr="00A35887">
        <w:rPr>
          <w:rFonts w:ascii="Palatino Linotype" w:eastAsia="Palatino Linotype" w:hAnsi="Palatino Linotype" w:cs="Palatino Linotype"/>
        </w:rPr>
        <w:t xml:space="preserve"> sistemática y armónica de los preceptos antes </w:t>
      </w:r>
      <w:r w:rsidR="001D4DBB" w:rsidRPr="00A35887">
        <w:rPr>
          <w:rFonts w:ascii="Palatino Linotype" w:eastAsia="Palatino Linotype" w:hAnsi="Palatino Linotype" w:cs="Palatino Linotype"/>
        </w:rPr>
        <w:t>señalados</w:t>
      </w:r>
      <w:r w:rsidRPr="00A35887">
        <w:rPr>
          <w:rFonts w:ascii="Palatino Linotype" w:eastAsia="Palatino Linotype" w:hAnsi="Palatino Linotype" w:cs="Palatino Linotype"/>
        </w:rPr>
        <w:t xml:space="preserve">, se puede concluir que en efecto el Sujeto Obligado competente es uno diverso.  Es así que, toda </w:t>
      </w:r>
      <w:r w:rsidRPr="00A35887">
        <w:rPr>
          <w:rFonts w:ascii="Palatino Linotype" w:eastAsia="Palatino Linotype" w:hAnsi="Palatino Linotype" w:cs="Palatino Linotype"/>
        </w:rPr>
        <w:lastRenderedPageBreak/>
        <w:t>vez que el requerimiento realizado por el particular, corresponde a información q</w:t>
      </w:r>
      <w:r w:rsidR="001D4DBB" w:rsidRPr="00A35887">
        <w:rPr>
          <w:rFonts w:ascii="Palatino Linotype" w:eastAsia="Palatino Linotype" w:hAnsi="Palatino Linotype" w:cs="Palatino Linotype"/>
        </w:rPr>
        <w:t>ue pudiera</w:t>
      </w:r>
      <w:r w:rsidRPr="00A35887">
        <w:rPr>
          <w:rFonts w:ascii="Palatino Linotype" w:eastAsia="Palatino Linotype" w:hAnsi="Palatino Linotype" w:cs="Palatino Linotype"/>
        </w:rPr>
        <w:t xml:space="preserve"> poseer diverso Sujeto Obligado; es necesario traer a contexto lo dispuesto en el artículo 167 de la Ley de Transparencia y Acceso a la Información Pública del Estado de México y Municipios:</w:t>
      </w:r>
    </w:p>
    <w:p w14:paraId="6580910C" w14:textId="77777777" w:rsidR="00ED3CB9" w:rsidRPr="00A35887" w:rsidRDefault="00F636EA">
      <w:pPr>
        <w:ind w:left="851"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sz w:val="22"/>
          <w:szCs w:val="22"/>
        </w:rPr>
        <w:t>“</w:t>
      </w:r>
      <w:r w:rsidRPr="00A35887">
        <w:rPr>
          <w:rFonts w:ascii="Palatino Linotype" w:eastAsia="Palatino Linotype" w:hAnsi="Palatino Linotype" w:cs="Palatino Linotype"/>
          <w:b/>
          <w:i/>
          <w:sz w:val="22"/>
          <w:szCs w:val="22"/>
        </w:rPr>
        <w:t>Artículo 167.</w:t>
      </w:r>
      <w:r w:rsidRPr="00A35887">
        <w:rPr>
          <w:rFonts w:ascii="Palatino Linotype" w:eastAsia="Palatino Linotype" w:hAnsi="Palatino Linotype" w:cs="Palatino Linotype"/>
          <w:i/>
          <w:sz w:val="22"/>
          <w:szCs w:val="22"/>
        </w:rPr>
        <w:t xml:space="preserve"> </w:t>
      </w:r>
      <w:r w:rsidRPr="00A35887">
        <w:rPr>
          <w:rFonts w:ascii="Palatino Linotype" w:eastAsia="Palatino Linotype" w:hAnsi="Palatino Linotype" w:cs="Palatino Linotype"/>
          <w:b/>
          <w:i/>
          <w:sz w:val="22"/>
          <w:szCs w:val="22"/>
        </w:rPr>
        <w:t>Cuando las unidades de transparencia determinen la</w:t>
      </w:r>
      <w:r w:rsidRPr="00A35887">
        <w:rPr>
          <w:rFonts w:ascii="Palatino Linotype" w:eastAsia="Palatino Linotype" w:hAnsi="Palatino Linotype" w:cs="Palatino Linotype"/>
          <w:i/>
          <w:sz w:val="22"/>
          <w:szCs w:val="22"/>
        </w:rPr>
        <w:t xml:space="preserve"> notoria </w:t>
      </w:r>
      <w:r w:rsidRPr="00A35887">
        <w:rPr>
          <w:rFonts w:ascii="Palatino Linotype" w:eastAsia="Palatino Linotype" w:hAnsi="Palatino Linotype" w:cs="Palatino Linotype"/>
          <w:b/>
          <w:i/>
          <w:sz w:val="22"/>
          <w:szCs w:val="22"/>
        </w:rPr>
        <w:t>incompetencia por parte de los sujetos obligados</w:t>
      </w:r>
      <w:r w:rsidRPr="00A35887">
        <w:rPr>
          <w:rFonts w:ascii="Palatino Linotype" w:eastAsia="Palatino Linotype" w:hAnsi="Palatino Linotype" w:cs="Palatino Linotype"/>
          <w:i/>
          <w:sz w:val="22"/>
          <w:szCs w:val="22"/>
        </w:rPr>
        <w:t xml:space="preserve">, dentro del ámbito de aplicación, para atender la solicitud de acceso a la información, </w:t>
      </w:r>
      <w:r w:rsidRPr="00A35887">
        <w:rPr>
          <w:rFonts w:ascii="Palatino Linotype" w:eastAsia="Palatino Linotype" w:hAnsi="Palatino Linotype" w:cs="Palatino Linotype"/>
          <w:b/>
          <w:i/>
          <w:sz w:val="22"/>
          <w:szCs w:val="22"/>
        </w:rPr>
        <w:t>deberán comunicarlo al solicitante, dentro de los tres días hábiles posteriores a la recepción de la solicitud y, en su caso orientar al solicitante, el o los sujetos obligados competentes.</w:t>
      </w:r>
      <w:r w:rsidRPr="00A35887">
        <w:rPr>
          <w:rFonts w:ascii="Palatino Linotype" w:eastAsia="Palatino Linotype" w:hAnsi="Palatino Linotype" w:cs="Palatino Linotype"/>
          <w:i/>
          <w:sz w:val="22"/>
          <w:szCs w:val="22"/>
        </w:rPr>
        <w:t xml:space="preserve"> </w:t>
      </w:r>
    </w:p>
    <w:p w14:paraId="1049670F" w14:textId="77777777" w:rsidR="00ED3CB9" w:rsidRPr="00A35887" w:rsidRDefault="00F636EA">
      <w:pPr>
        <w:ind w:left="851" w:right="899"/>
        <w:jc w:val="both"/>
        <w:rPr>
          <w:rFonts w:ascii="Palatino Linotype" w:eastAsia="Palatino Linotype" w:hAnsi="Palatino Linotype" w:cs="Palatino Linotype"/>
          <w:i/>
          <w:sz w:val="22"/>
          <w:szCs w:val="22"/>
        </w:rPr>
      </w:pPr>
      <w:r w:rsidRPr="00A35887">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B035AED" w14:textId="77777777" w:rsidR="00ED3CB9" w:rsidRPr="00A35887" w:rsidRDefault="00F636EA">
      <w:pPr>
        <w:ind w:left="851" w:right="899"/>
        <w:jc w:val="both"/>
        <w:rPr>
          <w:rFonts w:ascii="Palatino Linotype" w:eastAsia="Palatino Linotype" w:hAnsi="Palatino Linotype" w:cs="Palatino Linotype"/>
          <w:sz w:val="22"/>
          <w:szCs w:val="22"/>
        </w:rPr>
      </w:pPr>
      <w:r w:rsidRPr="00A35887">
        <w:rPr>
          <w:rFonts w:ascii="Palatino Linotype" w:eastAsia="Palatino Linotype" w:hAnsi="Palatino Linotype" w:cs="Palatino Linotype"/>
          <w:b/>
          <w:i/>
          <w:sz w:val="22"/>
          <w:szCs w:val="22"/>
        </w:rPr>
        <w:t>Si transcurrido el plazo señalado en el primer párrafo de este artículo, el sujeto obligado no declina la competencia en los términ</w:t>
      </w:r>
      <w:r w:rsidRPr="00A35887">
        <w:rPr>
          <w:rFonts w:ascii="Palatino Linotype" w:eastAsia="Palatino Linotype" w:hAnsi="Palatino Linotype" w:cs="Palatino Linotype"/>
          <w:i/>
          <w:sz w:val="22"/>
          <w:szCs w:val="22"/>
        </w:rPr>
        <w:t>o</w:t>
      </w:r>
      <w:r w:rsidRPr="00A35887">
        <w:rPr>
          <w:rFonts w:ascii="Palatino Linotype" w:eastAsia="Palatino Linotype" w:hAnsi="Palatino Linotype" w:cs="Palatino Linotype"/>
          <w:b/>
          <w:i/>
          <w:sz w:val="22"/>
          <w:szCs w:val="22"/>
        </w:rPr>
        <w:t xml:space="preserve">s </w:t>
      </w:r>
      <w:r w:rsidRPr="00A35887">
        <w:rPr>
          <w:rFonts w:ascii="Palatino Linotype" w:eastAsia="Palatino Linotype" w:hAnsi="Palatino Linotype" w:cs="Palatino Linotype"/>
          <w:i/>
          <w:sz w:val="22"/>
          <w:szCs w:val="22"/>
        </w:rPr>
        <w:t>establecidos</w:t>
      </w:r>
      <w:r w:rsidRPr="00A35887">
        <w:rPr>
          <w:rFonts w:ascii="Palatino Linotype" w:eastAsia="Palatino Linotype" w:hAnsi="Palatino Linotype" w:cs="Palatino Linotype"/>
          <w:b/>
          <w:i/>
          <w:sz w:val="22"/>
          <w:szCs w:val="22"/>
        </w:rPr>
        <w:t>, podrá canalizar la solicitud ante el sujeto obligado competente.</w:t>
      </w:r>
      <w:r w:rsidRPr="00A35887">
        <w:rPr>
          <w:rFonts w:ascii="Palatino Linotype" w:eastAsia="Palatino Linotype" w:hAnsi="Palatino Linotype" w:cs="Palatino Linotype"/>
          <w:i/>
          <w:sz w:val="22"/>
          <w:szCs w:val="22"/>
        </w:rPr>
        <w:t>”</w:t>
      </w:r>
    </w:p>
    <w:p w14:paraId="7AC423F0" w14:textId="77777777" w:rsidR="00ED3CB9" w:rsidRPr="00A35887" w:rsidRDefault="00F636EA">
      <w:pPr>
        <w:ind w:left="851" w:right="1134"/>
        <w:jc w:val="both"/>
        <w:rPr>
          <w:rFonts w:ascii="Palatino Linotype" w:eastAsia="Palatino Linotype" w:hAnsi="Palatino Linotype" w:cs="Palatino Linotype"/>
          <w:sz w:val="22"/>
          <w:szCs w:val="22"/>
        </w:rPr>
      </w:pPr>
      <w:r w:rsidRPr="00A35887">
        <w:rPr>
          <w:rFonts w:ascii="Palatino Linotype" w:eastAsia="Palatino Linotype" w:hAnsi="Palatino Linotype" w:cs="Palatino Linotype"/>
          <w:sz w:val="22"/>
          <w:szCs w:val="22"/>
        </w:rPr>
        <w:t>(Énfasis añadido)</w:t>
      </w:r>
    </w:p>
    <w:p w14:paraId="51A3B97A" w14:textId="77777777" w:rsidR="00ED3CB9" w:rsidRPr="00A35887" w:rsidRDefault="00ED3CB9">
      <w:pPr>
        <w:ind w:right="901"/>
        <w:jc w:val="both"/>
        <w:rPr>
          <w:rFonts w:ascii="Palatino Linotype" w:eastAsia="Palatino Linotype" w:hAnsi="Palatino Linotype" w:cs="Palatino Linotype"/>
          <w:sz w:val="22"/>
          <w:szCs w:val="22"/>
        </w:rPr>
      </w:pPr>
    </w:p>
    <w:p w14:paraId="110F70F0"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El precepto anterior</w:t>
      </w:r>
      <w:r w:rsidR="001D4DBB" w:rsidRPr="00A35887">
        <w:rPr>
          <w:rFonts w:ascii="Palatino Linotype" w:eastAsia="Palatino Linotype" w:hAnsi="Palatino Linotype" w:cs="Palatino Linotype"/>
        </w:rPr>
        <w:t>,</w:t>
      </w:r>
      <w:r w:rsidRPr="00A35887">
        <w:rPr>
          <w:rFonts w:ascii="Palatino Linotype" w:eastAsia="Palatino Linotype" w:hAnsi="Palatino Linotype" w:cs="Palatino Linotype"/>
        </w:rPr>
        <w:t xml:space="preserve"> señala que cuando las Unidades de </w:t>
      </w:r>
      <w:r w:rsidR="001D4DBB" w:rsidRPr="00A35887">
        <w:rPr>
          <w:rFonts w:ascii="Palatino Linotype" w:eastAsia="Palatino Linotype" w:hAnsi="Palatino Linotype" w:cs="Palatino Linotype"/>
        </w:rPr>
        <w:t>Transparencia</w:t>
      </w:r>
      <w:r w:rsidRPr="00A35887">
        <w:rPr>
          <w:rFonts w:ascii="Palatino Linotype" w:eastAsia="Palatino Linotype" w:hAnsi="Palatino Linotype" w:cs="Palatino Linotype"/>
        </w:rPr>
        <w:t xml:space="preserve"> adviertan que no son competentes de la </w:t>
      </w:r>
      <w:r w:rsidR="001D4DBB" w:rsidRPr="00A35887">
        <w:rPr>
          <w:rFonts w:ascii="Palatino Linotype" w:eastAsia="Palatino Linotype" w:hAnsi="Palatino Linotype" w:cs="Palatino Linotype"/>
        </w:rPr>
        <w:t>información</w:t>
      </w:r>
      <w:r w:rsidRPr="00A35887">
        <w:rPr>
          <w:rFonts w:ascii="Palatino Linotype" w:eastAsia="Palatino Linotype" w:hAnsi="Palatino Linotype" w:cs="Palatino Linotype"/>
        </w:rPr>
        <w:t xml:space="preserve"> solicitada, </w:t>
      </w:r>
      <w:r w:rsidR="001D4DBB" w:rsidRPr="00A35887">
        <w:rPr>
          <w:rFonts w:ascii="Palatino Linotype" w:eastAsia="Palatino Linotype" w:hAnsi="Palatino Linotype" w:cs="Palatino Linotype"/>
        </w:rPr>
        <w:t>deberán</w:t>
      </w:r>
      <w:r w:rsidRPr="00A35887">
        <w:rPr>
          <w:rFonts w:ascii="Palatino Linotype" w:eastAsia="Palatino Linotype" w:hAnsi="Palatino Linotype" w:cs="Palatino Linotype"/>
        </w:rPr>
        <w:t xml:space="preserve"> comunicarlo al solicitante dentro de los tres días hábiles posteriores a la recepción de la solicitud y en su caso señalar el sujeto obligado competente. </w:t>
      </w:r>
    </w:p>
    <w:p w14:paraId="186C6515"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Situación que aconteció en el caso que nos ocupa, ya que la solicitud de acceso a </w:t>
      </w:r>
      <w:r w:rsidR="00FC50CE" w:rsidRPr="00A35887">
        <w:rPr>
          <w:rFonts w:ascii="Palatino Linotype" w:eastAsia="Palatino Linotype" w:hAnsi="Palatino Linotype" w:cs="Palatino Linotype"/>
        </w:rPr>
        <w:t>la</w:t>
      </w:r>
      <w:r w:rsidRPr="00A35887">
        <w:rPr>
          <w:rFonts w:ascii="Palatino Linotype" w:eastAsia="Palatino Linotype" w:hAnsi="Palatino Linotype" w:cs="Palatino Linotype"/>
        </w:rPr>
        <w:t xml:space="preserve"> información fue recibida en fecha doce de julio de dos mil </w:t>
      </w:r>
      <w:r w:rsidR="001D4DBB" w:rsidRPr="00A35887">
        <w:rPr>
          <w:rFonts w:ascii="Palatino Linotype" w:eastAsia="Palatino Linotype" w:hAnsi="Palatino Linotype" w:cs="Palatino Linotype"/>
        </w:rPr>
        <w:t>veintidós</w:t>
      </w:r>
      <w:r w:rsidRPr="00A35887">
        <w:rPr>
          <w:rFonts w:ascii="Palatino Linotype" w:eastAsia="Palatino Linotype" w:hAnsi="Palatino Linotype" w:cs="Palatino Linotype"/>
        </w:rPr>
        <w:t xml:space="preserve">  y la incompetencia fue referida el día catorce de julio de dos mil </w:t>
      </w:r>
      <w:r w:rsidR="001D4DBB" w:rsidRPr="00A35887">
        <w:rPr>
          <w:rFonts w:ascii="Palatino Linotype" w:eastAsia="Palatino Linotype" w:hAnsi="Palatino Linotype" w:cs="Palatino Linotype"/>
        </w:rPr>
        <w:t>veintidós</w:t>
      </w:r>
      <w:r w:rsidRPr="00A35887">
        <w:rPr>
          <w:rFonts w:ascii="Palatino Linotype" w:eastAsia="Palatino Linotype" w:hAnsi="Palatino Linotype" w:cs="Palatino Linotype"/>
        </w:rPr>
        <w:t>, lo que se encuentra dentro del margen previsto por la ley de la materia.</w:t>
      </w:r>
    </w:p>
    <w:p w14:paraId="116E8B75"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 xml:space="preserve">Asimismo, se observa que el ente recurrido señaló al particular el sujeto obligado competente, a efecto de que este pudiera interponer la solicitud correspondiente. </w:t>
      </w:r>
    </w:p>
    <w:p w14:paraId="58E8BD27"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No obstante, el particular se inconforma de que no le fue indicado el procedimiento para llevar a </w:t>
      </w:r>
      <w:r w:rsidR="00FC50CE" w:rsidRPr="00A35887">
        <w:rPr>
          <w:rFonts w:ascii="Palatino Linotype" w:eastAsia="Palatino Linotype" w:hAnsi="Palatino Linotype" w:cs="Palatino Linotype"/>
        </w:rPr>
        <w:t>cabo</w:t>
      </w:r>
      <w:r w:rsidRPr="00A35887">
        <w:rPr>
          <w:rFonts w:ascii="Palatino Linotype" w:eastAsia="Palatino Linotype" w:hAnsi="Palatino Linotype" w:cs="Palatino Linotype"/>
        </w:rPr>
        <w:t xml:space="preserve"> una nueva solicitud, en tal sentido de la redacción del artículo 167   antes citado no se advierte que exista la obligatoriedad para que el </w:t>
      </w:r>
      <w:r w:rsidR="00FC50CE" w:rsidRPr="00A35887">
        <w:rPr>
          <w:rFonts w:ascii="Palatino Linotype" w:eastAsia="Palatino Linotype" w:hAnsi="Palatino Linotype" w:cs="Palatino Linotype"/>
        </w:rPr>
        <w:t>Ayuntamiento</w:t>
      </w:r>
      <w:r w:rsidRPr="00A35887">
        <w:rPr>
          <w:rFonts w:ascii="Palatino Linotype" w:eastAsia="Palatino Linotype" w:hAnsi="Palatino Linotype" w:cs="Palatino Linotype"/>
        </w:rPr>
        <w:t xml:space="preserve"> le hubiera indicado los pasos a seguir para interponer una nueva solicitud. </w:t>
      </w:r>
    </w:p>
    <w:p w14:paraId="73AD5D1A" w14:textId="77777777" w:rsidR="00ED3CB9" w:rsidRPr="00A35887" w:rsidRDefault="00F636EA">
      <w:pPr>
        <w:tabs>
          <w:tab w:val="left" w:pos="2422"/>
        </w:tabs>
        <w:spacing w:before="280" w:after="280"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Siendo que, si no existe fundamento normativo que prevea la </w:t>
      </w:r>
      <w:r w:rsidR="00FC50CE" w:rsidRPr="00A35887">
        <w:rPr>
          <w:rFonts w:ascii="Palatino Linotype" w:eastAsia="Palatino Linotype" w:hAnsi="Palatino Linotype" w:cs="Palatino Linotype"/>
        </w:rPr>
        <w:t>obligación</w:t>
      </w:r>
      <w:r w:rsidRPr="00A35887">
        <w:rPr>
          <w:rFonts w:ascii="Palatino Linotype" w:eastAsia="Palatino Linotype" w:hAnsi="Palatino Linotype" w:cs="Palatino Linotype"/>
        </w:rPr>
        <w:t xml:space="preserve"> para llevar a cabo dicha orientación, este cumple </w:t>
      </w:r>
      <w:r w:rsidR="00FC50CE" w:rsidRPr="00A35887">
        <w:rPr>
          <w:rFonts w:ascii="Palatino Linotype" w:eastAsia="Palatino Linotype" w:hAnsi="Palatino Linotype" w:cs="Palatino Linotype"/>
        </w:rPr>
        <w:t>únicamente</w:t>
      </w:r>
      <w:r w:rsidRPr="00A35887">
        <w:rPr>
          <w:rFonts w:ascii="Palatino Linotype" w:eastAsia="Palatino Linotype" w:hAnsi="Palatino Linotype" w:cs="Palatino Linotype"/>
        </w:rPr>
        <w:t xml:space="preserve"> al señalar su incompetencia en el periodo señalado y en su caso indicar el sujeto obligado competente. </w:t>
      </w:r>
    </w:p>
    <w:p w14:paraId="5CD9A9C7"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Expuesto lo anterior este Instituto determina </w:t>
      </w:r>
      <w:r w:rsidRPr="00A35887">
        <w:rPr>
          <w:rFonts w:ascii="Palatino Linotype" w:eastAsia="Palatino Linotype" w:hAnsi="Palatino Linotype" w:cs="Palatino Linotype"/>
          <w:b/>
        </w:rPr>
        <w:t xml:space="preserve">CONFIRMAR </w:t>
      </w:r>
      <w:r w:rsidRPr="00A35887">
        <w:rPr>
          <w:rFonts w:ascii="Palatino Linotype" w:eastAsia="Palatino Linotype" w:hAnsi="Palatino Linotype" w:cs="Palatino Linotype"/>
        </w:rPr>
        <w:t xml:space="preserve">la respuesta del </w:t>
      </w:r>
      <w:r w:rsidRPr="00A35887">
        <w:rPr>
          <w:rFonts w:ascii="Palatino Linotype" w:eastAsia="Palatino Linotype" w:hAnsi="Palatino Linotype" w:cs="Palatino Linotype"/>
          <w:b/>
        </w:rPr>
        <w:t>SUJETO OBLIGADO</w:t>
      </w:r>
      <w:r w:rsidRPr="00A35887">
        <w:rPr>
          <w:rFonts w:ascii="Palatino Linotype" w:eastAsia="Palatino Linotype" w:hAnsi="Palatino Linotype" w:cs="Palatino Linotype"/>
        </w:rPr>
        <w:t xml:space="preserve"> a la solicitud de información número </w:t>
      </w:r>
      <w:r w:rsidRPr="00A35887">
        <w:rPr>
          <w:rFonts w:ascii="Palatino Linotype" w:eastAsia="Palatino Linotype" w:hAnsi="Palatino Linotype" w:cs="Palatino Linotype"/>
          <w:b/>
        </w:rPr>
        <w:t>03781/METEPEC/IP/2022,</w:t>
      </w:r>
      <w:r w:rsidRPr="00A35887">
        <w:rPr>
          <w:rFonts w:ascii="Palatino Linotype" w:eastAsia="Palatino Linotype" w:hAnsi="Palatino Linotype" w:cs="Palatino Linotype"/>
        </w:rPr>
        <w:t xml:space="preserve"> por resultar infundadas las manifestaciones vertidas por </w:t>
      </w:r>
      <w:r w:rsidRPr="00A35887">
        <w:rPr>
          <w:rFonts w:ascii="Palatino Linotype" w:eastAsia="Palatino Linotype" w:hAnsi="Palatino Linotype" w:cs="Palatino Linotype"/>
          <w:b/>
        </w:rPr>
        <w:t>EL</w:t>
      </w:r>
      <w:r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b/>
        </w:rPr>
        <w:t>RECURRENTE</w:t>
      </w:r>
      <w:r w:rsidRPr="00A35887">
        <w:rPr>
          <w:rFonts w:ascii="Palatino Linotype" w:eastAsia="Palatino Linotype" w:hAnsi="Palatino Linotype" w:cs="Palatino Linotype"/>
        </w:rPr>
        <w:t xml:space="preserve"> en el presente Recurso de Revisión. </w:t>
      </w:r>
    </w:p>
    <w:p w14:paraId="25531089" w14:textId="77777777" w:rsidR="00ED3CB9" w:rsidRPr="00A35887" w:rsidRDefault="00ED3CB9">
      <w:pPr>
        <w:tabs>
          <w:tab w:val="left" w:pos="709"/>
        </w:tabs>
        <w:spacing w:line="360" w:lineRule="auto"/>
        <w:ind w:right="49"/>
        <w:jc w:val="both"/>
        <w:rPr>
          <w:rFonts w:ascii="Palatino Linotype" w:eastAsia="Palatino Linotype" w:hAnsi="Palatino Linotype" w:cs="Palatino Linotype"/>
        </w:rPr>
      </w:pPr>
    </w:p>
    <w:p w14:paraId="7EAE180E"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Sin perjuicio de lo anterior, este </w:t>
      </w:r>
      <w:r w:rsidR="00FC50CE" w:rsidRPr="00A35887">
        <w:rPr>
          <w:rFonts w:ascii="Palatino Linotype" w:eastAsia="Palatino Linotype" w:hAnsi="Palatino Linotype" w:cs="Palatino Linotype"/>
        </w:rPr>
        <w:t>Órgano</w:t>
      </w:r>
      <w:r w:rsidRPr="00A35887">
        <w:rPr>
          <w:rFonts w:ascii="Palatino Linotype" w:eastAsia="Palatino Linotype" w:hAnsi="Palatino Linotype" w:cs="Palatino Linotype"/>
        </w:rPr>
        <w:t xml:space="preserve"> Garante considera conveniente indicar al particular que para poder realizar una nueva solicitud de acceso a la </w:t>
      </w:r>
      <w:r w:rsidR="00FC50CE" w:rsidRPr="00A35887">
        <w:rPr>
          <w:rFonts w:ascii="Palatino Linotype" w:eastAsia="Palatino Linotype" w:hAnsi="Palatino Linotype" w:cs="Palatino Linotype"/>
        </w:rPr>
        <w:t>información</w:t>
      </w:r>
      <w:r w:rsidRPr="00A35887">
        <w:rPr>
          <w:rFonts w:ascii="Palatino Linotype" w:eastAsia="Palatino Linotype" w:hAnsi="Palatino Linotype" w:cs="Palatino Linotype"/>
        </w:rPr>
        <w:t xml:space="preserve"> pública, puede hacerlo </w:t>
      </w:r>
      <w:r w:rsidR="00FC50CE" w:rsidRPr="00A35887">
        <w:rPr>
          <w:rFonts w:ascii="Palatino Linotype" w:eastAsia="Palatino Linotype" w:hAnsi="Palatino Linotype" w:cs="Palatino Linotype"/>
        </w:rPr>
        <w:t>por tres vías</w:t>
      </w:r>
      <w:r w:rsidRPr="00A35887">
        <w:rPr>
          <w:rFonts w:ascii="Palatino Linotype" w:eastAsia="Palatino Linotype" w:hAnsi="Palatino Linotype" w:cs="Palatino Linotype"/>
        </w:rPr>
        <w:t xml:space="preserve">: </w:t>
      </w:r>
      <w:r w:rsidR="00FC50CE" w:rsidRPr="00A35887">
        <w:rPr>
          <w:rFonts w:ascii="Palatino Linotype" w:eastAsia="Palatino Linotype" w:hAnsi="Palatino Linotype" w:cs="Palatino Linotype"/>
        </w:rPr>
        <w:t xml:space="preserve">de manera </w:t>
      </w:r>
      <w:r w:rsidRPr="00A35887">
        <w:rPr>
          <w:rFonts w:ascii="Palatino Linotype" w:eastAsia="Palatino Linotype" w:hAnsi="Palatino Linotype" w:cs="Palatino Linotype"/>
        </w:rPr>
        <w:t>verbal,</w:t>
      </w:r>
      <w:r w:rsidR="00FC50CE" w:rsidRPr="00A35887">
        <w:rPr>
          <w:rFonts w:ascii="Palatino Linotype" w:eastAsia="Palatino Linotype" w:hAnsi="Palatino Linotype" w:cs="Palatino Linotype"/>
        </w:rPr>
        <w:t xml:space="preserve"> de manera</w:t>
      </w:r>
      <w:r w:rsidRPr="00A35887">
        <w:rPr>
          <w:rFonts w:ascii="Palatino Linotype" w:eastAsia="Palatino Linotype" w:hAnsi="Palatino Linotype" w:cs="Palatino Linotype"/>
        </w:rPr>
        <w:t xml:space="preserve"> escrita y</w:t>
      </w:r>
      <w:r w:rsidR="00FC50CE" w:rsidRPr="00A35887">
        <w:rPr>
          <w:rFonts w:ascii="Palatino Linotype" w:eastAsia="Palatino Linotype" w:hAnsi="Palatino Linotype" w:cs="Palatino Linotype"/>
        </w:rPr>
        <w:t xml:space="preserve"> de manera</w:t>
      </w:r>
      <w:r w:rsidRPr="00A35887">
        <w:rPr>
          <w:rFonts w:ascii="Palatino Linotype" w:eastAsia="Palatino Linotype" w:hAnsi="Palatino Linotype" w:cs="Palatino Linotype"/>
        </w:rPr>
        <w:t xml:space="preserve"> electrónica</w:t>
      </w:r>
      <w:r w:rsidRPr="00A35887">
        <w:rPr>
          <w:rFonts w:ascii="Palatino Linotype" w:eastAsia="Palatino Linotype" w:hAnsi="Palatino Linotype" w:cs="Palatino Linotype"/>
          <w:vertAlign w:val="superscript"/>
        </w:rPr>
        <w:footnoteReference w:id="3"/>
      </w:r>
      <w:r w:rsidRPr="00A35887">
        <w:rPr>
          <w:rFonts w:ascii="Palatino Linotype" w:eastAsia="Palatino Linotype" w:hAnsi="Palatino Linotype" w:cs="Palatino Linotype"/>
        </w:rPr>
        <w:t xml:space="preserve">. </w:t>
      </w:r>
    </w:p>
    <w:p w14:paraId="77DDCB71" w14:textId="77777777" w:rsidR="00ED3CB9" w:rsidRPr="00A35887" w:rsidRDefault="00ED3CB9">
      <w:pPr>
        <w:tabs>
          <w:tab w:val="left" w:pos="709"/>
        </w:tabs>
        <w:spacing w:line="360" w:lineRule="auto"/>
        <w:ind w:right="49"/>
        <w:jc w:val="both"/>
        <w:rPr>
          <w:rFonts w:ascii="Palatino Linotype" w:eastAsia="Palatino Linotype" w:hAnsi="Palatino Linotype" w:cs="Palatino Linotype"/>
        </w:rPr>
      </w:pPr>
    </w:p>
    <w:p w14:paraId="12D29FB8"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lastRenderedPageBreak/>
        <w:t xml:space="preserve">La primera se puede realizar acudiendo directamente a la Unidad de Transparencia del sujeto obligado correspondiente donde un servidor público le ayudará en el proceso. </w:t>
      </w:r>
    </w:p>
    <w:p w14:paraId="35461E73" w14:textId="77777777" w:rsidR="00ED3CB9" w:rsidRPr="00A35887" w:rsidRDefault="00ED3CB9">
      <w:pPr>
        <w:tabs>
          <w:tab w:val="left" w:pos="709"/>
        </w:tabs>
        <w:spacing w:line="360" w:lineRule="auto"/>
        <w:ind w:right="49"/>
        <w:jc w:val="both"/>
        <w:rPr>
          <w:rFonts w:ascii="Palatino Linotype" w:eastAsia="Palatino Linotype" w:hAnsi="Palatino Linotype" w:cs="Palatino Linotype"/>
        </w:rPr>
      </w:pPr>
    </w:p>
    <w:p w14:paraId="5E0AFBFD"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La segunda presentando un escrito libre dirigido a la Unidad de Transparencia del sujeto obligado que considere o llenar los formatos establecidos para la presentación de la misma.</w:t>
      </w:r>
    </w:p>
    <w:p w14:paraId="66720D6C"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 </w:t>
      </w:r>
    </w:p>
    <w:p w14:paraId="4079D362"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Y la tercera Ingresando a las direcciones electrónicas: </w:t>
      </w:r>
      <w:hyperlink r:id="rId8">
        <w:r w:rsidRPr="00A35887">
          <w:rPr>
            <w:rFonts w:ascii="Palatino Linotype" w:eastAsia="Palatino Linotype" w:hAnsi="Palatino Linotype" w:cs="Palatino Linotype"/>
            <w:color w:val="1155CC"/>
            <w:u w:val="single"/>
          </w:rPr>
          <w:t>www.saimex.org.mx</w:t>
        </w:r>
      </w:hyperlink>
      <w:r w:rsidRPr="00A35887">
        <w:rPr>
          <w:rFonts w:ascii="Palatino Linotype" w:eastAsia="Palatino Linotype" w:hAnsi="Palatino Linotype" w:cs="Palatino Linotype"/>
        </w:rPr>
        <w:t xml:space="preserve"> o  </w:t>
      </w:r>
      <w:hyperlink r:id="rId9">
        <w:r w:rsidRPr="00A35887">
          <w:rPr>
            <w:rFonts w:ascii="Palatino Linotype" w:eastAsia="Palatino Linotype" w:hAnsi="Palatino Linotype" w:cs="Palatino Linotype"/>
            <w:color w:val="1155CC"/>
            <w:u w:val="single"/>
          </w:rPr>
          <w:t>www.plataformadetransparencia.org.mx</w:t>
        </w:r>
      </w:hyperlink>
      <w:r w:rsidRPr="00A35887">
        <w:rPr>
          <w:rFonts w:ascii="Palatino Linotype" w:eastAsia="Palatino Linotype" w:hAnsi="Palatino Linotype" w:cs="Palatino Linotype"/>
        </w:rPr>
        <w:t xml:space="preserve"> donde podrá registrarse y realizar las solicitudes que considere pertinentes. </w:t>
      </w:r>
    </w:p>
    <w:p w14:paraId="1CAF26B4" w14:textId="77777777" w:rsidR="00ED3CB9" w:rsidRPr="00A35887" w:rsidRDefault="00ED3CB9">
      <w:pPr>
        <w:tabs>
          <w:tab w:val="left" w:pos="709"/>
        </w:tabs>
        <w:spacing w:line="360" w:lineRule="auto"/>
        <w:ind w:right="49"/>
        <w:jc w:val="both"/>
        <w:rPr>
          <w:rFonts w:ascii="Palatino Linotype" w:eastAsia="Palatino Linotype" w:hAnsi="Palatino Linotype" w:cs="Palatino Linotype"/>
        </w:rPr>
      </w:pPr>
    </w:p>
    <w:p w14:paraId="0BB23CD0" w14:textId="418A724F" w:rsidR="00FC50CE"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En caso de seleccionar la tercera,  dentro de la plataforma SAIMEX a la cual </w:t>
      </w:r>
      <w:r w:rsidR="00FC50CE" w:rsidRPr="00A35887">
        <w:rPr>
          <w:rFonts w:ascii="Palatino Linotype" w:eastAsia="Palatino Linotype" w:hAnsi="Palatino Linotype" w:cs="Palatino Linotype"/>
        </w:rPr>
        <w:t>podrá</w:t>
      </w:r>
      <w:r w:rsidRPr="00A35887">
        <w:rPr>
          <w:rFonts w:ascii="Palatino Linotype" w:eastAsia="Palatino Linotype" w:hAnsi="Palatino Linotype" w:cs="Palatino Linotype"/>
        </w:rPr>
        <w:t xml:space="preserve"> acceder en el enlace antes señalado, encontrará diversas </w:t>
      </w:r>
      <w:r w:rsidR="00FC50CE" w:rsidRPr="00A35887">
        <w:rPr>
          <w:rFonts w:ascii="Palatino Linotype" w:eastAsia="Palatino Linotype" w:hAnsi="Palatino Linotype" w:cs="Palatino Linotype"/>
        </w:rPr>
        <w:t>guías</w:t>
      </w:r>
      <w:r w:rsidRPr="00A35887">
        <w:rPr>
          <w:rFonts w:ascii="Palatino Linotype" w:eastAsia="Palatino Linotype" w:hAnsi="Palatino Linotype" w:cs="Palatino Linotype"/>
        </w:rPr>
        <w:t xml:space="preserve"> para que pueda </w:t>
      </w:r>
      <w:r w:rsidR="00FC50CE" w:rsidRPr="00A35887">
        <w:rPr>
          <w:rFonts w:ascii="Palatino Linotype" w:eastAsia="Palatino Linotype" w:hAnsi="Palatino Linotype" w:cs="Palatino Linotype"/>
        </w:rPr>
        <w:t>conocer</w:t>
      </w:r>
      <w:r w:rsidRPr="00A35887">
        <w:rPr>
          <w:rFonts w:ascii="Palatino Linotype" w:eastAsia="Palatino Linotype" w:hAnsi="Palatino Linotype" w:cs="Palatino Linotype"/>
        </w:rPr>
        <w:t xml:space="preserve"> el funcionamiento de la plataforma o del procedimiento de acceso a la </w:t>
      </w:r>
      <w:r w:rsidR="00FC50CE" w:rsidRPr="00A35887">
        <w:rPr>
          <w:rFonts w:ascii="Palatino Linotype" w:eastAsia="Palatino Linotype" w:hAnsi="Palatino Linotype" w:cs="Palatino Linotype"/>
        </w:rPr>
        <w:t>información</w:t>
      </w:r>
      <w:r w:rsidRPr="00A35887">
        <w:rPr>
          <w:rFonts w:ascii="Palatino Linotype" w:eastAsia="Palatino Linotype" w:hAnsi="Palatino Linotype" w:cs="Palatino Linotype"/>
        </w:rPr>
        <w:t xml:space="preserve"> pública del Estado de México y Municipios.</w:t>
      </w:r>
    </w:p>
    <w:p w14:paraId="7750154A" w14:textId="77777777" w:rsidR="00204C7C" w:rsidRPr="00A35887" w:rsidRDefault="00204C7C">
      <w:pPr>
        <w:tabs>
          <w:tab w:val="left" w:pos="709"/>
        </w:tabs>
        <w:spacing w:line="360" w:lineRule="auto"/>
        <w:ind w:right="49"/>
        <w:jc w:val="both"/>
        <w:rPr>
          <w:rFonts w:ascii="Palatino Linotype" w:eastAsia="Palatino Linotype" w:hAnsi="Palatino Linotype" w:cs="Palatino Linotype"/>
        </w:rPr>
      </w:pPr>
    </w:p>
    <w:p w14:paraId="4FD3BB72" w14:textId="77777777" w:rsidR="00ED3CB9" w:rsidRPr="00A35887" w:rsidRDefault="00FC50CE">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Para lo cual se </w:t>
      </w:r>
      <w:r w:rsidR="00F636EA" w:rsidRPr="00A35887">
        <w:rPr>
          <w:rFonts w:ascii="Palatino Linotype" w:eastAsia="Palatino Linotype" w:hAnsi="Palatino Linotype" w:cs="Palatino Linotype"/>
        </w:rPr>
        <w:t xml:space="preserve">inserta captura de pantalla para mayor referencia: </w:t>
      </w:r>
    </w:p>
    <w:p w14:paraId="08CAF3FC" w14:textId="77777777" w:rsidR="00ED3CB9" w:rsidRPr="00A35887" w:rsidRDefault="00ED3CB9">
      <w:pPr>
        <w:tabs>
          <w:tab w:val="left" w:pos="709"/>
        </w:tabs>
        <w:spacing w:line="360" w:lineRule="auto"/>
        <w:ind w:right="49"/>
        <w:jc w:val="both"/>
        <w:rPr>
          <w:rFonts w:ascii="Palatino Linotype" w:eastAsia="Palatino Linotype" w:hAnsi="Palatino Linotype" w:cs="Palatino Linotype"/>
        </w:rPr>
      </w:pPr>
    </w:p>
    <w:p w14:paraId="6CFECFC7" w14:textId="77777777" w:rsidR="00ED3CB9" w:rsidRPr="00A35887" w:rsidRDefault="00F636EA">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noProof/>
        </w:rPr>
        <w:lastRenderedPageBreak/>
        <w:drawing>
          <wp:inline distT="114300" distB="114300" distL="114300" distR="114300" wp14:anchorId="2EAC0FE9" wp14:editId="19EB38AF">
            <wp:extent cx="5791835" cy="2235200"/>
            <wp:effectExtent l="0" t="0" r="0" b="0"/>
            <wp:docPr id="4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91835" cy="2235200"/>
                    </a:xfrm>
                    <a:prstGeom prst="rect">
                      <a:avLst/>
                    </a:prstGeom>
                    <a:ln/>
                  </pic:spPr>
                </pic:pic>
              </a:graphicData>
            </a:graphic>
          </wp:inline>
        </w:drawing>
      </w:r>
    </w:p>
    <w:p w14:paraId="0675FF35" w14:textId="77777777" w:rsidR="00ED3CB9" w:rsidRPr="00A35887" w:rsidRDefault="00ED3CB9">
      <w:pPr>
        <w:tabs>
          <w:tab w:val="left" w:pos="709"/>
        </w:tabs>
        <w:spacing w:line="360" w:lineRule="auto"/>
        <w:ind w:right="49"/>
        <w:jc w:val="both"/>
        <w:rPr>
          <w:rFonts w:ascii="Palatino Linotype" w:eastAsia="Palatino Linotype" w:hAnsi="Palatino Linotype" w:cs="Palatino Linotype"/>
        </w:rPr>
      </w:pPr>
    </w:p>
    <w:p w14:paraId="77CC35BE" w14:textId="77777777" w:rsidR="00ED3CB9" w:rsidRPr="00A35887" w:rsidRDefault="00FC50CE">
      <w:pPr>
        <w:tabs>
          <w:tab w:val="left" w:pos="709"/>
        </w:tabs>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rPr>
        <w:t>Por lo que s</w:t>
      </w:r>
      <w:r w:rsidR="00F636EA" w:rsidRPr="00A35887">
        <w:rPr>
          <w:rFonts w:ascii="Palatino Linotype" w:eastAsia="Palatino Linotype" w:hAnsi="Palatino Linotype" w:cs="Palatino Linotype"/>
        </w:rPr>
        <w:t>e dejan a salvo los derechos del particular a fin de que pued</w:t>
      </w:r>
      <w:r w:rsidRPr="00A35887">
        <w:rPr>
          <w:rFonts w:ascii="Palatino Linotype" w:eastAsia="Palatino Linotype" w:hAnsi="Palatino Linotype" w:cs="Palatino Linotype"/>
        </w:rPr>
        <w:t>a realizar las solicitudes que así considere</w:t>
      </w:r>
      <w:r w:rsidR="00F636EA" w:rsidRPr="00A35887">
        <w:rPr>
          <w:rFonts w:ascii="Palatino Linotype" w:eastAsia="Palatino Linotype" w:hAnsi="Palatino Linotype" w:cs="Palatino Linotype"/>
        </w:rPr>
        <w:t xml:space="preserve"> pertinentes. </w:t>
      </w:r>
    </w:p>
    <w:p w14:paraId="7036C1A4" w14:textId="77777777" w:rsidR="00ED3CB9" w:rsidRPr="00A35887" w:rsidRDefault="00ED3CB9">
      <w:pPr>
        <w:spacing w:line="360" w:lineRule="auto"/>
        <w:jc w:val="both"/>
        <w:rPr>
          <w:rFonts w:ascii="Palatino Linotype" w:eastAsia="Palatino Linotype" w:hAnsi="Palatino Linotype" w:cs="Palatino Linotype"/>
        </w:rPr>
      </w:pPr>
      <w:bookmarkStart w:id="7" w:name="_heading=h.1t1bb8qur85" w:colFirst="0" w:colLast="0"/>
      <w:bookmarkEnd w:id="7"/>
    </w:p>
    <w:p w14:paraId="10D04968" w14:textId="27F39CB6" w:rsidR="00ED3CB9" w:rsidRPr="00A35887" w:rsidRDefault="00FC50CE" w:rsidP="00204C7C">
      <w:pPr>
        <w:tabs>
          <w:tab w:val="left" w:pos="709"/>
        </w:tabs>
        <w:spacing w:line="360" w:lineRule="auto"/>
        <w:ind w:right="49"/>
        <w:jc w:val="both"/>
        <w:rPr>
          <w:rFonts w:ascii="Palatino Linotype" w:eastAsia="Palatino Linotype" w:hAnsi="Palatino Linotype" w:cs="Palatino Linotype"/>
          <w:b/>
          <w:sz w:val="26"/>
          <w:szCs w:val="26"/>
        </w:rPr>
      </w:pPr>
      <w:r w:rsidRPr="00A35887">
        <w:rPr>
          <w:rFonts w:ascii="Palatino Linotype" w:eastAsia="Palatino Linotype" w:hAnsi="Palatino Linotype" w:cs="Palatino Linotype"/>
        </w:rPr>
        <w:t>Por lo que</w:t>
      </w:r>
      <w:r w:rsidR="00F636EA" w:rsidRPr="00A35887">
        <w:rPr>
          <w:rFonts w:ascii="Palatino Linotype" w:eastAsia="Palatino Linotype" w:hAnsi="Palatino Linotype" w:cs="Palatino Linotype"/>
        </w:rPr>
        <w:t>,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B44E1C0" w14:textId="47CFBDB9" w:rsidR="00ED3CB9" w:rsidRPr="00204C7C" w:rsidRDefault="00F636EA" w:rsidP="00204C7C">
      <w:pPr>
        <w:spacing w:line="360" w:lineRule="auto"/>
        <w:jc w:val="center"/>
        <w:rPr>
          <w:rFonts w:ascii="Palatino Linotype" w:eastAsia="Palatino Linotype" w:hAnsi="Palatino Linotype" w:cs="Palatino Linotype"/>
          <w:b/>
          <w:sz w:val="26"/>
          <w:szCs w:val="26"/>
        </w:rPr>
      </w:pPr>
      <w:r w:rsidRPr="00A35887">
        <w:rPr>
          <w:rFonts w:ascii="Palatino Linotype" w:eastAsia="Palatino Linotype" w:hAnsi="Palatino Linotype" w:cs="Palatino Linotype"/>
          <w:b/>
          <w:sz w:val="26"/>
          <w:szCs w:val="26"/>
        </w:rPr>
        <w:t>RESUELVE</w:t>
      </w:r>
    </w:p>
    <w:p w14:paraId="3C953D45" w14:textId="77777777" w:rsidR="00ED3CB9" w:rsidRPr="00A35887" w:rsidRDefault="00F636EA">
      <w:pPr>
        <w:spacing w:line="360" w:lineRule="auto"/>
        <w:ind w:right="49"/>
        <w:jc w:val="both"/>
        <w:rPr>
          <w:rFonts w:ascii="Palatino Linotype" w:eastAsia="Palatino Linotype" w:hAnsi="Palatino Linotype" w:cs="Palatino Linotype"/>
        </w:rPr>
      </w:pPr>
      <w:r w:rsidRPr="00A35887">
        <w:rPr>
          <w:rFonts w:ascii="Palatino Linotype" w:eastAsia="Palatino Linotype" w:hAnsi="Palatino Linotype" w:cs="Palatino Linotype"/>
          <w:b/>
        </w:rPr>
        <w:t>PRIMERO.</w:t>
      </w:r>
      <w:r w:rsidRPr="00A35887">
        <w:rPr>
          <w:rFonts w:ascii="Palatino Linotype" w:eastAsia="Palatino Linotype" w:hAnsi="Palatino Linotype" w:cs="Palatino Linotype"/>
        </w:rPr>
        <w:t xml:space="preserve"> Resultan </w:t>
      </w:r>
      <w:r w:rsidRPr="00A35887">
        <w:rPr>
          <w:rFonts w:ascii="Palatino Linotype" w:eastAsia="Palatino Linotype" w:hAnsi="Palatino Linotype" w:cs="Palatino Linotype"/>
          <w:b/>
        </w:rPr>
        <w:t>infundadas</w:t>
      </w:r>
      <w:r w:rsidRPr="00A35887">
        <w:rPr>
          <w:rFonts w:ascii="Palatino Linotype" w:eastAsia="Palatino Linotype" w:hAnsi="Palatino Linotype" w:cs="Palatino Linotype"/>
        </w:rPr>
        <w:t xml:space="preserve"> las manifestaciones hechas valer por </w:t>
      </w:r>
      <w:r w:rsidRPr="00A35887">
        <w:rPr>
          <w:rFonts w:ascii="Palatino Linotype" w:eastAsia="Palatino Linotype" w:hAnsi="Palatino Linotype" w:cs="Palatino Linotype"/>
          <w:b/>
        </w:rPr>
        <w:t>EL RECURRENTE</w:t>
      </w:r>
      <w:r w:rsidRPr="00A35887">
        <w:rPr>
          <w:rFonts w:ascii="Palatino Linotype" w:eastAsia="Palatino Linotype" w:hAnsi="Palatino Linotype" w:cs="Palatino Linotype"/>
        </w:rPr>
        <w:t xml:space="preserve"> en el Recurso de Revisión </w:t>
      </w:r>
      <w:r w:rsidRPr="00A35887">
        <w:rPr>
          <w:rFonts w:ascii="Palatino Linotype" w:eastAsia="Palatino Linotype" w:hAnsi="Palatino Linotype" w:cs="Palatino Linotype"/>
          <w:b/>
        </w:rPr>
        <w:t>12957/INFOEM/IP/RR/2022</w:t>
      </w:r>
      <w:r w:rsidRPr="00A35887">
        <w:rPr>
          <w:rFonts w:ascii="Palatino Linotype" w:eastAsia="Palatino Linotype" w:hAnsi="Palatino Linotype" w:cs="Palatino Linotype"/>
        </w:rPr>
        <w:t xml:space="preserve">, en términos del considerando </w:t>
      </w:r>
      <w:r w:rsidRPr="00A35887">
        <w:rPr>
          <w:rFonts w:ascii="Palatino Linotype" w:eastAsia="Palatino Linotype" w:hAnsi="Palatino Linotype" w:cs="Palatino Linotype"/>
          <w:b/>
        </w:rPr>
        <w:t>QUINTO</w:t>
      </w:r>
      <w:r w:rsidRPr="00A35887">
        <w:rPr>
          <w:rFonts w:ascii="Palatino Linotype" w:eastAsia="Palatino Linotype" w:hAnsi="Palatino Linotype" w:cs="Palatino Linotype"/>
        </w:rPr>
        <w:t>.</w:t>
      </w:r>
    </w:p>
    <w:p w14:paraId="445C5496"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b/>
        </w:rPr>
        <w:lastRenderedPageBreak/>
        <w:t xml:space="preserve">SEGUNDO. </w:t>
      </w:r>
      <w:r w:rsidRPr="00A35887">
        <w:rPr>
          <w:rFonts w:ascii="Palatino Linotype" w:eastAsia="Palatino Linotype" w:hAnsi="Palatino Linotype" w:cs="Palatino Linotype"/>
        </w:rPr>
        <w:t xml:space="preserve">Se </w:t>
      </w:r>
      <w:r w:rsidRPr="00A35887">
        <w:rPr>
          <w:rFonts w:ascii="Palatino Linotype" w:eastAsia="Palatino Linotype" w:hAnsi="Palatino Linotype" w:cs="Palatino Linotype"/>
          <w:b/>
        </w:rPr>
        <w:t xml:space="preserve">CONFIRMA </w:t>
      </w:r>
      <w:r w:rsidRPr="00A35887">
        <w:rPr>
          <w:rFonts w:ascii="Palatino Linotype" w:eastAsia="Palatino Linotype" w:hAnsi="Palatino Linotype" w:cs="Palatino Linotype"/>
        </w:rPr>
        <w:t xml:space="preserve">la respuesta emitida por </w:t>
      </w:r>
      <w:r w:rsidRPr="00A35887">
        <w:rPr>
          <w:rFonts w:ascii="Palatino Linotype" w:eastAsia="Palatino Linotype" w:hAnsi="Palatino Linotype" w:cs="Palatino Linotype"/>
          <w:b/>
        </w:rPr>
        <w:t>EL</w:t>
      </w:r>
      <w:r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b/>
        </w:rPr>
        <w:t>SUJETO OBLIGADO, a</w:t>
      </w:r>
      <w:r w:rsidRPr="00A35887">
        <w:rPr>
          <w:rFonts w:ascii="Palatino Linotype" w:eastAsia="Palatino Linotype" w:hAnsi="Palatino Linotype" w:cs="Palatino Linotype"/>
        </w:rPr>
        <w:t xml:space="preserve"> la solicitud de acceso a la información pública que dio origen al Recurso de Revisión </w:t>
      </w:r>
      <w:r w:rsidRPr="00A35887">
        <w:rPr>
          <w:rFonts w:ascii="Palatino Linotype" w:eastAsia="Palatino Linotype" w:hAnsi="Palatino Linotype" w:cs="Palatino Linotype"/>
          <w:b/>
        </w:rPr>
        <w:t>12957/INFOEM/IP/RR/2022,</w:t>
      </w:r>
      <w:r w:rsidRPr="00A35887">
        <w:rPr>
          <w:rFonts w:ascii="Palatino Linotype" w:eastAsia="Palatino Linotype" w:hAnsi="Palatino Linotype" w:cs="Palatino Linotype"/>
        </w:rPr>
        <w:t xml:space="preserve"> en términos del considerando </w:t>
      </w:r>
      <w:r w:rsidRPr="00A35887">
        <w:rPr>
          <w:rFonts w:ascii="Palatino Linotype" w:eastAsia="Palatino Linotype" w:hAnsi="Palatino Linotype" w:cs="Palatino Linotype"/>
          <w:b/>
        </w:rPr>
        <w:t>QUINTO</w:t>
      </w:r>
      <w:r w:rsidRPr="00A35887">
        <w:rPr>
          <w:rFonts w:ascii="Palatino Linotype" w:eastAsia="Palatino Linotype" w:hAnsi="Palatino Linotype" w:cs="Palatino Linotype"/>
        </w:rPr>
        <w:t>.</w:t>
      </w:r>
    </w:p>
    <w:p w14:paraId="2525D423" w14:textId="77777777" w:rsidR="00ED3CB9" w:rsidRPr="00A35887" w:rsidRDefault="00ED3CB9">
      <w:pPr>
        <w:spacing w:line="360" w:lineRule="auto"/>
        <w:jc w:val="both"/>
        <w:rPr>
          <w:rFonts w:ascii="Palatino Linotype" w:eastAsia="Palatino Linotype" w:hAnsi="Palatino Linotype" w:cs="Palatino Linotype"/>
        </w:rPr>
      </w:pPr>
    </w:p>
    <w:p w14:paraId="37480DCB" w14:textId="77777777" w:rsidR="00ED3CB9" w:rsidRPr="00A35887" w:rsidRDefault="00F636EA">
      <w:pPr>
        <w:spacing w:line="360" w:lineRule="auto"/>
        <w:jc w:val="both"/>
        <w:rPr>
          <w:rFonts w:ascii="Palatino Linotype" w:eastAsia="Palatino Linotype" w:hAnsi="Palatino Linotype" w:cs="Palatino Linotype"/>
          <w:sz w:val="22"/>
          <w:szCs w:val="22"/>
        </w:rPr>
      </w:pPr>
      <w:r w:rsidRPr="00A35887">
        <w:rPr>
          <w:rFonts w:ascii="Palatino Linotype" w:eastAsia="Palatino Linotype" w:hAnsi="Palatino Linotype" w:cs="Palatino Linotype"/>
          <w:b/>
        </w:rPr>
        <w:t>TERCERO.</w:t>
      </w:r>
      <w:r w:rsidRPr="00A35887">
        <w:rPr>
          <w:rFonts w:ascii="Palatino Linotype" w:eastAsia="Palatino Linotype" w:hAnsi="Palatino Linotype" w:cs="Palatino Linotype"/>
        </w:rPr>
        <w:t xml:space="preserve"> </w:t>
      </w:r>
      <w:r w:rsidRPr="00A35887">
        <w:rPr>
          <w:rFonts w:ascii="Palatino Linotype" w:eastAsia="Palatino Linotype" w:hAnsi="Palatino Linotype" w:cs="Palatino Linotype"/>
          <w:b/>
        </w:rPr>
        <w:t xml:space="preserve">NOTIFÍQUESE </w:t>
      </w:r>
      <w:r w:rsidRPr="00A35887">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6245FEBC" w14:textId="77777777" w:rsidR="00ED3CB9" w:rsidRPr="00A35887" w:rsidRDefault="00ED3CB9">
      <w:pPr>
        <w:spacing w:line="360" w:lineRule="auto"/>
        <w:jc w:val="both"/>
        <w:rPr>
          <w:rFonts w:ascii="Palatino Linotype" w:eastAsia="Palatino Linotype" w:hAnsi="Palatino Linotype" w:cs="Palatino Linotype"/>
          <w:b/>
        </w:rPr>
      </w:pPr>
    </w:p>
    <w:p w14:paraId="324A51E8" w14:textId="77777777" w:rsidR="00ED3CB9" w:rsidRPr="00A35887" w:rsidRDefault="00F636EA">
      <w:pPr>
        <w:spacing w:line="360" w:lineRule="auto"/>
        <w:jc w:val="both"/>
        <w:rPr>
          <w:rFonts w:ascii="Palatino Linotype" w:eastAsia="Palatino Linotype" w:hAnsi="Palatino Linotype" w:cs="Palatino Linotype"/>
          <w:b/>
        </w:rPr>
      </w:pPr>
      <w:r w:rsidRPr="00A35887">
        <w:rPr>
          <w:rFonts w:ascii="Palatino Linotype" w:eastAsia="Palatino Linotype" w:hAnsi="Palatino Linotype" w:cs="Palatino Linotype"/>
          <w:b/>
        </w:rPr>
        <w:t>CUARTO. NOTIFÍQUESE</w:t>
      </w:r>
      <w:r w:rsidRPr="00A35887">
        <w:rPr>
          <w:rFonts w:ascii="Palatino Linotype" w:eastAsia="Palatino Linotype" w:hAnsi="Palatino Linotype" w:cs="Palatino Linotype"/>
        </w:rPr>
        <w:t xml:space="preserve"> al </w:t>
      </w:r>
      <w:r w:rsidR="00FC50CE" w:rsidRPr="00A35887">
        <w:rPr>
          <w:rFonts w:ascii="Palatino Linotype" w:eastAsia="Palatino Linotype" w:hAnsi="Palatino Linotype" w:cs="Palatino Linotype"/>
          <w:b/>
        </w:rPr>
        <w:t>RECURRENTE</w:t>
      </w:r>
      <w:r w:rsidRPr="00A35887">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35026D" w14:textId="77777777" w:rsidR="00ED3CB9" w:rsidRPr="00A35887" w:rsidRDefault="00ED3CB9">
      <w:pPr>
        <w:spacing w:line="360" w:lineRule="auto"/>
        <w:jc w:val="both"/>
        <w:rPr>
          <w:rFonts w:ascii="Palatino Linotype" w:eastAsia="Palatino Linotype" w:hAnsi="Palatino Linotype" w:cs="Palatino Linotype"/>
          <w:sz w:val="22"/>
          <w:szCs w:val="22"/>
        </w:rPr>
      </w:pPr>
    </w:p>
    <w:p w14:paraId="54AB04EF" w14:textId="77777777" w:rsidR="00ED3CB9" w:rsidRPr="00A35887" w:rsidRDefault="00F636EA">
      <w:pPr>
        <w:spacing w:line="360" w:lineRule="auto"/>
        <w:jc w:val="both"/>
        <w:rPr>
          <w:rFonts w:ascii="Palatino Linotype" w:eastAsia="Palatino Linotype" w:hAnsi="Palatino Linotype" w:cs="Palatino Linotype"/>
        </w:rPr>
      </w:pPr>
      <w:r w:rsidRPr="00A3588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FC50CE" w:rsidRPr="00A35887">
        <w:rPr>
          <w:rFonts w:ascii="Palatino Linotype" w:eastAsia="Palatino Linotype" w:hAnsi="Palatino Linotype" w:cs="Palatino Linotype"/>
        </w:rPr>
        <w:t>TERCERA</w:t>
      </w:r>
      <w:r w:rsidRPr="00A35887">
        <w:rPr>
          <w:rFonts w:ascii="Palatino Linotype" w:eastAsia="Palatino Linotype" w:hAnsi="Palatino Linotype" w:cs="Palatino Linotype"/>
        </w:rPr>
        <w:t xml:space="preserve"> SESIÓN ORDINARIA CELEBRADA EL </w:t>
      </w:r>
      <w:r w:rsidR="00FC50CE" w:rsidRPr="00A35887">
        <w:rPr>
          <w:rFonts w:ascii="Palatino Linotype" w:eastAsia="Palatino Linotype" w:hAnsi="Palatino Linotype" w:cs="Palatino Linotype"/>
        </w:rPr>
        <w:t>TREINTA</w:t>
      </w:r>
      <w:r w:rsidRPr="00A35887">
        <w:rPr>
          <w:rFonts w:ascii="Palatino Linotype" w:eastAsia="Palatino Linotype" w:hAnsi="Palatino Linotype" w:cs="Palatino Linotype"/>
        </w:rPr>
        <w:t xml:space="preserve"> DE NOVIEMBRE DE DOS MIL VEINTIDÓS, ANTE EL SECRETARIO TÉCNICO DEL PLENO, ALEXIS TAPIA RAMÍREZ.</w:t>
      </w:r>
    </w:p>
    <w:p w14:paraId="0D29B4B2" w14:textId="7F0650E0" w:rsidR="00ED3CB9" w:rsidRDefault="00ED3CB9" w:rsidP="00204C7C">
      <w:pPr>
        <w:rPr>
          <w:rFonts w:ascii="Palatino Linotype" w:eastAsia="Palatino Linotype" w:hAnsi="Palatino Linotype" w:cs="Palatino Linotype"/>
        </w:rPr>
      </w:pPr>
      <w:bookmarkStart w:id="8" w:name="_heading=h.30j0zll" w:colFirst="0" w:colLast="0"/>
      <w:bookmarkEnd w:id="8"/>
    </w:p>
    <w:p w14:paraId="1405BBAD" w14:textId="77777777" w:rsidR="00ED3CB9" w:rsidRDefault="00ED3CB9">
      <w:pPr>
        <w:spacing w:line="360" w:lineRule="auto"/>
        <w:jc w:val="both"/>
        <w:rPr>
          <w:rFonts w:ascii="Palatino Linotype" w:eastAsia="Palatino Linotype" w:hAnsi="Palatino Linotype" w:cs="Palatino Linotype"/>
        </w:rPr>
      </w:pPr>
    </w:p>
    <w:p w14:paraId="3AFD995D" w14:textId="77777777" w:rsidR="00ED3CB9" w:rsidRDefault="00ED3CB9">
      <w:pPr>
        <w:spacing w:line="360" w:lineRule="auto"/>
        <w:jc w:val="both"/>
        <w:rPr>
          <w:rFonts w:ascii="Palatino Linotype" w:eastAsia="Palatino Linotype" w:hAnsi="Palatino Linotype" w:cs="Palatino Linotype"/>
        </w:rPr>
      </w:pPr>
    </w:p>
    <w:p w14:paraId="2DF1637F" w14:textId="77777777" w:rsidR="00ED3CB9" w:rsidRDefault="00ED3CB9">
      <w:pPr>
        <w:spacing w:line="360" w:lineRule="auto"/>
        <w:jc w:val="both"/>
        <w:rPr>
          <w:rFonts w:ascii="Palatino Linotype" w:eastAsia="Palatino Linotype" w:hAnsi="Palatino Linotype" w:cs="Palatino Linotype"/>
        </w:rPr>
      </w:pPr>
    </w:p>
    <w:p w14:paraId="2082C965" w14:textId="77777777" w:rsidR="00ED3CB9" w:rsidRDefault="00ED3CB9">
      <w:pPr>
        <w:spacing w:line="360" w:lineRule="auto"/>
        <w:jc w:val="both"/>
        <w:rPr>
          <w:rFonts w:ascii="Palatino Linotype" w:eastAsia="Palatino Linotype" w:hAnsi="Palatino Linotype" w:cs="Palatino Linotype"/>
        </w:rPr>
      </w:pPr>
    </w:p>
    <w:p w14:paraId="5474DB64" w14:textId="77777777" w:rsidR="00ED3CB9" w:rsidRDefault="00ED3CB9">
      <w:pPr>
        <w:spacing w:line="360" w:lineRule="auto"/>
        <w:jc w:val="both"/>
        <w:rPr>
          <w:rFonts w:ascii="Palatino Linotype" w:eastAsia="Palatino Linotype" w:hAnsi="Palatino Linotype" w:cs="Palatino Linotype"/>
        </w:rPr>
      </w:pPr>
    </w:p>
    <w:p w14:paraId="221171E8" w14:textId="77777777" w:rsidR="00ED3CB9" w:rsidRDefault="00ED3CB9">
      <w:pPr>
        <w:spacing w:line="360" w:lineRule="auto"/>
        <w:jc w:val="both"/>
        <w:rPr>
          <w:rFonts w:ascii="Palatino Linotype" w:eastAsia="Palatino Linotype" w:hAnsi="Palatino Linotype" w:cs="Palatino Linotype"/>
        </w:rPr>
      </w:pPr>
    </w:p>
    <w:p w14:paraId="124B9E50" w14:textId="77777777" w:rsidR="00ED3CB9" w:rsidRDefault="00ED3CB9">
      <w:pPr>
        <w:spacing w:line="360" w:lineRule="auto"/>
        <w:jc w:val="both"/>
        <w:rPr>
          <w:rFonts w:ascii="Palatino Linotype" w:eastAsia="Palatino Linotype" w:hAnsi="Palatino Linotype" w:cs="Palatino Linotype"/>
        </w:rPr>
      </w:pPr>
    </w:p>
    <w:p w14:paraId="7A050C0C" w14:textId="77777777" w:rsidR="00ED3CB9" w:rsidRDefault="00ED3CB9">
      <w:pPr>
        <w:spacing w:line="360" w:lineRule="auto"/>
        <w:jc w:val="both"/>
        <w:rPr>
          <w:rFonts w:ascii="Palatino Linotype" w:eastAsia="Palatino Linotype" w:hAnsi="Palatino Linotype" w:cs="Palatino Linotype"/>
        </w:rPr>
      </w:pPr>
    </w:p>
    <w:sectPr w:rsidR="00ED3CB9">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FB32" w14:textId="77777777" w:rsidR="00544EE8" w:rsidRDefault="00544EE8">
      <w:r>
        <w:separator/>
      </w:r>
    </w:p>
  </w:endnote>
  <w:endnote w:type="continuationSeparator" w:id="0">
    <w:p w14:paraId="61F6A4B7" w14:textId="77777777" w:rsidR="00544EE8" w:rsidRDefault="0054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A49A" w14:textId="77777777" w:rsidR="00ED3CB9" w:rsidRDefault="00F636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35887">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5887">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2F7C" w14:textId="77777777" w:rsidR="00ED3CB9" w:rsidRDefault="00F636E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3588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5887">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5FA6" w14:textId="77777777" w:rsidR="00544EE8" w:rsidRDefault="00544EE8">
      <w:r>
        <w:separator/>
      </w:r>
    </w:p>
  </w:footnote>
  <w:footnote w:type="continuationSeparator" w:id="0">
    <w:p w14:paraId="5B173457" w14:textId="77777777" w:rsidR="00544EE8" w:rsidRDefault="00544EE8">
      <w:r>
        <w:continuationSeparator/>
      </w:r>
    </w:p>
  </w:footnote>
  <w:footnote w:id="1">
    <w:p w14:paraId="441768A8" w14:textId="77777777" w:rsidR="00ED3CB9" w:rsidRDefault="00F636E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5116D3F7" w14:textId="77777777" w:rsidR="00ED3CB9" w:rsidRDefault="00F636EA">
      <w:pPr>
        <w:rPr>
          <w:sz w:val="20"/>
          <w:szCs w:val="20"/>
        </w:rPr>
      </w:pPr>
      <w:r>
        <w:rPr>
          <w:vertAlign w:val="superscript"/>
        </w:rPr>
        <w:footnoteRef/>
      </w:r>
      <w:r>
        <w:rPr>
          <w:sz w:val="20"/>
          <w:szCs w:val="20"/>
        </w:rPr>
        <w:t xml:space="preserve"> Disponible en: https://fidepar.edomex.gob.mx/</w:t>
      </w:r>
    </w:p>
  </w:footnote>
  <w:footnote w:id="3">
    <w:p w14:paraId="73CE89E3" w14:textId="77777777" w:rsidR="00ED3CB9" w:rsidRDefault="00F636EA">
      <w:pPr>
        <w:rPr>
          <w:sz w:val="20"/>
          <w:szCs w:val="20"/>
        </w:rPr>
      </w:pPr>
      <w:r>
        <w:rPr>
          <w:vertAlign w:val="superscript"/>
        </w:rPr>
        <w:footnoteRef/>
      </w:r>
      <w:r>
        <w:rPr>
          <w:sz w:val="20"/>
          <w:szCs w:val="20"/>
        </w:rPr>
        <w:t xml:space="preserve"> Para mayor información consultar: https://www.infoem.org.mx/es/content/informacion-publica#comoRealizoSolicitud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3FC" w14:textId="77777777" w:rsidR="00ED3CB9" w:rsidRDefault="00204C7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3FD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4725" w14:textId="77777777" w:rsidR="00ED3CB9" w:rsidRDefault="00204C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4D6A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4"/>
      <w:tblW w:w="9534" w:type="dxa"/>
      <w:tblInd w:w="-142" w:type="dxa"/>
      <w:tblLayout w:type="fixed"/>
      <w:tblLook w:val="0400" w:firstRow="0" w:lastRow="0" w:firstColumn="0" w:lastColumn="0" w:noHBand="0" w:noVBand="1"/>
    </w:tblPr>
    <w:tblGrid>
      <w:gridCol w:w="3261"/>
      <w:gridCol w:w="2551"/>
      <w:gridCol w:w="3722"/>
    </w:tblGrid>
    <w:tr w:rsidR="00ED3CB9" w14:paraId="4A7E75FC" w14:textId="77777777">
      <w:tc>
        <w:tcPr>
          <w:tcW w:w="3261" w:type="dxa"/>
          <w:vMerge w:val="restart"/>
        </w:tcPr>
        <w:p w14:paraId="074C4557"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A192357" wp14:editId="116DA084">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40CC77E"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94DD8AE"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12957/INFOEM/IP/RR/2022</w:t>
          </w:r>
        </w:p>
      </w:tc>
    </w:tr>
    <w:tr w:rsidR="00ED3CB9" w14:paraId="064E0A94" w14:textId="77777777">
      <w:tc>
        <w:tcPr>
          <w:tcW w:w="3261" w:type="dxa"/>
          <w:vMerge/>
        </w:tcPr>
        <w:p w14:paraId="7081182A"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388F85F"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8AD2AC1"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ED3CB9" w14:paraId="6BB96AD0" w14:textId="77777777">
      <w:trPr>
        <w:trHeight w:val="790"/>
      </w:trPr>
      <w:tc>
        <w:tcPr>
          <w:tcW w:w="3261" w:type="dxa"/>
          <w:vMerge/>
        </w:tcPr>
        <w:p w14:paraId="7AF888C8"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BA469A0"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D74FA76"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343A79F" w14:textId="77777777" w:rsidR="00ED3CB9" w:rsidRDefault="00ED3CB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5BA9" w14:textId="77777777" w:rsidR="00ED3CB9" w:rsidRDefault="00204C7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5B3A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5"/>
      <w:tblW w:w="9900" w:type="dxa"/>
      <w:tblInd w:w="-833" w:type="dxa"/>
      <w:tblLayout w:type="fixed"/>
      <w:tblLook w:val="0400" w:firstRow="0" w:lastRow="0" w:firstColumn="0" w:lastColumn="0" w:noHBand="0" w:noVBand="1"/>
    </w:tblPr>
    <w:tblGrid>
      <w:gridCol w:w="3805"/>
      <w:gridCol w:w="3000"/>
      <w:gridCol w:w="3095"/>
    </w:tblGrid>
    <w:tr w:rsidR="00ED3CB9" w14:paraId="78AA7E30" w14:textId="77777777">
      <w:tc>
        <w:tcPr>
          <w:tcW w:w="3805" w:type="dxa"/>
          <w:vMerge w:val="restart"/>
          <w:shd w:val="clear" w:color="auto" w:fill="auto"/>
        </w:tcPr>
        <w:p w14:paraId="0BB72C81" w14:textId="77777777" w:rsidR="00ED3CB9" w:rsidRDefault="00F636E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93E7B86" wp14:editId="7D15B03F">
                <wp:extent cx="1692162" cy="852673"/>
                <wp:effectExtent l="0" t="0" r="0" b="0"/>
                <wp:docPr id="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D32F6A1"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72C46F1"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12957/INFOEM/IP/RR/2022 </w:t>
          </w:r>
        </w:p>
      </w:tc>
    </w:tr>
    <w:tr w:rsidR="00ED3CB9" w14:paraId="7791D2C5" w14:textId="77777777">
      <w:tc>
        <w:tcPr>
          <w:tcW w:w="3805" w:type="dxa"/>
          <w:vMerge/>
          <w:shd w:val="clear" w:color="auto" w:fill="auto"/>
        </w:tcPr>
        <w:p w14:paraId="3FB7F458"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F25A605"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25EBD52" w14:textId="77777777" w:rsidR="00ED3CB9" w:rsidRDefault="00ED3CB9">
          <w:pPr>
            <w:jc w:val="both"/>
            <w:rPr>
              <w:rFonts w:ascii="Palatino Linotype" w:eastAsia="Palatino Linotype" w:hAnsi="Palatino Linotype" w:cs="Palatino Linotype"/>
              <w:b/>
            </w:rPr>
          </w:pPr>
        </w:p>
      </w:tc>
    </w:tr>
    <w:tr w:rsidR="00ED3CB9" w14:paraId="03D6218D" w14:textId="77777777">
      <w:trPr>
        <w:trHeight w:val="228"/>
      </w:trPr>
      <w:tc>
        <w:tcPr>
          <w:tcW w:w="3805" w:type="dxa"/>
          <w:vMerge/>
          <w:shd w:val="clear" w:color="auto" w:fill="auto"/>
        </w:tcPr>
        <w:p w14:paraId="304FC38F"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F0DFF51"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08B35F"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ED3CB9" w14:paraId="236097D7" w14:textId="77777777">
      <w:tc>
        <w:tcPr>
          <w:tcW w:w="3805" w:type="dxa"/>
          <w:vMerge/>
          <w:shd w:val="clear" w:color="auto" w:fill="auto"/>
        </w:tcPr>
        <w:p w14:paraId="48D1D020"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42A346B"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229A9B6"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BADDC16" w14:textId="77777777" w:rsidR="00ED3CB9" w:rsidRDefault="00ED3CB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16D73"/>
    <w:multiLevelType w:val="multilevel"/>
    <w:tmpl w:val="6966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089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B9"/>
    <w:rsid w:val="000368FF"/>
    <w:rsid w:val="000E35AC"/>
    <w:rsid w:val="001D4DBB"/>
    <w:rsid w:val="00204C7C"/>
    <w:rsid w:val="003C77C7"/>
    <w:rsid w:val="00544EE8"/>
    <w:rsid w:val="006C6688"/>
    <w:rsid w:val="00893787"/>
    <w:rsid w:val="00A35887"/>
    <w:rsid w:val="00CE743F"/>
    <w:rsid w:val="00D51B4F"/>
    <w:rsid w:val="00ED3CB9"/>
    <w:rsid w:val="00F636EA"/>
    <w:rsid w:val="00FC5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4B00B7"/>
  <w15:docId w15:val="{AEC0C7E1-923E-47F5-AC80-1A391821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7"/>
    <w:tblPr>
      <w:tblStyleRowBandSize w:val="1"/>
      <w:tblStyleColBandSize w:val="1"/>
      <w:tblCellMar>
        <w:top w:w="100" w:type="dxa"/>
        <w:left w:w="100" w:type="dxa"/>
        <w:bottom w:w="100" w:type="dxa"/>
        <w:right w:w="100" w:type="dxa"/>
      </w:tblCellMar>
    </w:tblPr>
  </w:style>
  <w:style w:type="table" w:customStyle="1" w:styleId="a0">
    <w:basedOn w:val="TableNormalfff7"/>
    <w:tblPr>
      <w:tblStyleRowBandSize w:val="1"/>
      <w:tblStyleColBandSize w:val="1"/>
      <w:tblCellMar>
        <w:left w:w="115" w:type="dxa"/>
        <w:right w:w="115" w:type="dxa"/>
      </w:tblCellMar>
    </w:tblPr>
  </w:style>
  <w:style w:type="table" w:customStyle="1" w:styleId="a1">
    <w:basedOn w:val="TableNormalfff7"/>
    <w:tblPr>
      <w:tblStyleRowBandSize w:val="1"/>
      <w:tblStyleColBandSize w:val="1"/>
      <w:tblCellMar>
        <w:left w:w="115" w:type="dxa"/>
        <w:right w:w="115" w:type="dxa"/>
      </w:tblCellMar>
    </w:tblPr>
  </w:style>
  <w:style w:type="table" w:customStyle="1" w:styleId="a2">
    <w:basedOn w:val="TableNormalfff7"/>
    <w:tblPr>
      <w:tblStyleRowBandSize w:val="1"/>
      <w:tblStyleColBandSize w:val="1"/>
      <w:tblCellMar>
        <w:left w:w="115" w:type="dxa"/>
        <w:right w:w="115" w:type="dxa"/>
      </w:tblCellMar>
    </w:tblPr>
  </w:style>
  <w:style w:type="table" w:customStyle="1" w:styleId="a3">
    <w:basedOn w:val="TableNormalfff7"/>
    <w:tblPr>
      <w:tblStyleRowBandSize w:val="1"/>
      <w:tblStyleColBandSize w:val="1"/>
      <w:tblCellMar>
        <w:left w:w="115" w:type="dxa"/>
        <w:right w:w="115" w:type="dxa"/>
      </w:tblCellMar>
    </w:tblPr>
  </w:style>
  <w:style w:type="table" w:customStyle="1" w:styleId="a4">
    <w:basedOn w:val="TableNormalfff7"/>
    <w:tblPr>
      <w:tblStyleRowBandSize w:val="1"/>
      <w:tblStyleColBandSize w:val="1"/>
      <w:tblCellMar>
        <w:left w:w="115" w:type="dxa"/>
        <w:right w:w="115" w:type="dxa"/>
      </w:tblCellMar>
    </w:tblPr>
  </w:style>
  <w:style w:type="table" w:customStyle="1" w:styleId="a5">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7"/>
    <w:tblPr>
      <w:tblStyleRowBandSize w:val="1"/>
      <w:tblStyleColBandSize w:val="1"/>
      <w:tblCellMar>
        <w:left w:w="115" w:type="dxa"/>
        <w:right w:w="115" w:type="dxa"/>
      </w:tblCellMar>
    </w:tblPr>
  </w:style>
  <w:style w:type="table" w:customStyle="1" w:styleId="a7">
    <w:basedOn w:val="TableNormalfff7"/>
    <w:tblPr>
      <w:tblStyleRowBandSize w:val="1"/>
      <w:tblStyleColBandSize w:val="1"/>
      <w:tblCellMar>
        <w:left w:w="115" w:type="dxa"/>
        <w:right w:w="115" w:type="dxa"/>
      </w:tblCellMar>
    </w:tblPr>
  </w:style>
  <w:style w:type="table" w:customStyle="1" w:styleId="a8">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6"/>
    <w:tblPr>
      <w:tblStyleRowBandSize w:val="1"/>
      <w:tblStyleColBandSize w:val="1"/>
      <w:tblCellMar>
        <w:left w:w="115" w:type="dxa"/>
        <w:right w:w="115" w:type="dxa"/>
      </w:tblCellMar>
    </w:tblPr>
  </w:style>
  <w:style w:type="table" w:customStyle="1" w:styleId="afff3">
    <w:basedOn w:val="TableNormalff6"/>
    <w:tblPr>
      <w:tblStyleRowBandSize w:val="1"/>
      <w:tblStyleColBandSize w:val="1"/>
      <w:tblCellMar>
        <w:top w:w="100" w:type="dxa"/>
        <w:left w:w="100" w:type="dxa"/>
        <w:bottom w:w="100" w:type="dxa"/>
        <w:right w:w="100" w:type="dxa"/>
      </w:tblCellMar>
    </w:tblPr>
  </w:style>
  <w:style w:type="table" w:customStyle="1" w:styleId="a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6"/>
    <w:tblPr>
      <w:tblStyleRowBandSize w:val="1"/>
      <w:tblStyleColBandSize w:val="1"/>
      <w:tblCellMar>
        <w:top w:w="100" w:type="dxa"/>
        <w:left w:w="100" w:type="dxa"/>
        <w:bottom w:w="100" w:type="dxa"/>
        <w:right w:w="100" w:type="dxa"/>
      </w:tblCellMar>
    </w:tblPr>
  </w:style>
  <w:style w:type="table" w:customStyle="1" w:styleId="a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imex.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lataformadetransparencia.org.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h0jen/2ru4v5NKpQK2FnM91i4A==">AMUW2mVEP3ZsOU7ZxHHM+1kZPdLbtI0cd0AVJrWtDV2IuNamtf5ObALH+UGNp9CojT5W6mI8nye9Si6642EKa71a2B5ZlyCK2WOiVyah+DyxZSVvbolPHR704R+sMUSKggdV8YsOj7WpqKcL20a+5JnpcEp0Q2Towi0CdV/K2oIb7JMuUjXEKDvPDM6LXUTDnMZj0sljCvUjnbtEwmfzM8v+mGYLou4rQQQj7wNAwYSEsX2VZwDGxKZDXG9JhDvtpMAAnvIGdK/01NehhJcgig3htXVBmJeB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5445</Words>
  <Characters>29953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2022-12-02T06:01:00Z</cp:lastPrinted>
  <dcterms:created xsi:type="dcterms:W3CDTF">2022-11-17T20:38:00Z</dcterms:created>
  <dcterms:modified xsi:type="dcterms:W3CDTF">2022-12-02T06:01:00Z</dcterms:modified>
</cp:coreProperties>
</file>