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EA399" w14:textId="77777777" w:rsidR="009417CA" w:rsidRPr="000C136F" w:rsidRDefault="009417CA" w:rsidP="007573CA">
      <w:pPr>
        <w:tabs>
          <w:tab w:val="left" w:pos="3465"/>
        </w:tabs>
        <w:spacing w:line="360" w:lineRule="auto"/>
        <w:jc w:val="both"/>
        <w:rPr>
          <w:rFonts w:ascii="Palatino Linotype" w:hAnsi="Palatino Linotype"/>
          <w:color w:val="000000" w:themeColor="text1"/>
        </w:rPr>
      </w:pPr>
      <w:r w:rsidRPr="000C136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0C136F">
        <w:rPr>
          <w:rFonts w:ascii="Palatino Linotype" w:hAnsi="Palatino Linotype"/>
          <w:color w:val="000000" w:themeColor="text1"/>
        </w:rPr>
        <w:t xml:space="preserve">de fecha </w:t>
      </w:r>
      <w:r w:rsidR="00344116" w:rsidRPr="000C136F">
        <w:rPr>
          <w:rFonts w:ascii="Palatino Linotype" w:hAnsi="Palatino Linotype"/>
          <w:b/>
          <w:color w:val="000000" w:themeColor="text1"/>
        </w:rPr>
        <w:t>siete</w:t>
      </w:r>
      <w:r w:rsidRPr="000C136F">
        <w:rPr>
          <w:rFonts w:ascii="Palatino Linotype" w:hAnsi="Palatino Linotype"/>
          <w:b/>
          <w:color w:val="000000" w:themeColor="text1"/>
        </w:rPr>
        <w:t xml:space="preserve"> (</w:t>
      </w:r>
      <w:r w:rsidR="00344116" w:rsidRPr="000C136F">
        <w:rPr>
          <w:rFonts w:ascii="Palatino Linotype" w:hAnsi="Palatino Linotype"/>
          <w:b/>
          <w:color w:val="000000" w:themeColor="text1"/>
        </w:rPr>
        <w:t>07</w:t>
      </w:r>
      <w:r w:rsidRPr="000C136F">
        <w:rPr>
          <w:rFonts w:ascii="Palatino Linotype" w:hAnsi="Palatino Linotype"/>
          <w:b/>
          <w:color w:val="000000" w:themeColor="text1"/>
        </w:rPr>
        <w:t xml:space="preserve">) de </w:t>
      </w:r>
      <w:r w:rsidR="00344116" w:rsidRPr="000C136F">
        <w:rPr>
          <w:rFonts w:ascii="Palatino Linotype" w:hAnsi="Palatino Linotype"/>
          <w:b/>
          <w:color w:val="000000" w:themeColor="text1"/>
        </w:rPr>
        <w:t>septiembre</w:t>
      </w:r>
      <w:r w:rsidR="00EB3E9C" w:rsidRPr="000C136F">
        <w:rPr>
          <w:rFonts w:ascii="Palatino Linotype" w:hAnsi="Palatino Linotype"/>
          <w:color w:val="000000" w:themeColor="text1"/>
        </w:rPr>
        <w:t xml:space="preserve"> de dos mil veintidós</w:t>
      </w:r>
      <w:r w:rsidRPr="000C136F">
        <w:rPr>
          <w:rFonts w:ascii="Palatino Linotype" w:hAnsi="Palatino Linotype"/>
          <w:color w:val="000000" w:themeColor="text1"/>
        </w:rPr>
        <w:t>.</w:t>
      </w:r>
    </w:p>
    <w:p w14:paraId="5E970E3B" w14:textId="77777777" w:rsidR="00906364" w:rsidRPr="000C136F" w:rsidRDefault="00906364" w:rsidP="007573CA">
      <w:pPr>
        <w:tabs>
          <w:tab w:val="left" w:pos="3465"/>
        </w:tabs>
        <w:spacing w:line="360" w:lineRule="auto"/>
        <w:jc w:val="both"/>
        <w:rPr>
          <w:rFonts w:ascii="Palatino Linotype" w:hAnsi="Palatino Linotype"/>
          <w:color w:val="000000" w:themeColor="text1"/>
        </w:rPr>
      </w:pPr>
    </w:p>
    <w:p w14:paraId="6409CB9E" w14:textId="30427FFC" w:rsidR="009417CA" w:rsidRPr="000C136F" w:rsidRDefault="009417CA" w:rsidP="007573CA">
      <w:pPr>
        <w:spacing w:line="360" w:lineRule="auto"/>
        <w:jc w:val="both"/>
        <w:rPr>
          <w:rFonts w:ascii="Palatino Linotype" w:hAnsi="Palatino Linotype"/>
        </w:rPr>
      </w:pPr>
      <w:r w:rsidRPr="000C136F">
        <w:rPr>
          <w:rFonts w:ascii="Palatino Linotype" w:hAnsi="Palatino Linotype"/>
          <w:b/>
        </w:rPr>
        <w:t>VISTO</w:t>
      </w:r>
      <w:r w:rsidRPr="000C136F">
        <w:rPr>
          <w:rFonts w:ascii="Palatino Linotype" w:hAnsi="Palatino Linotype"/>
        </w:rPr>
        <w:t xml:space="preserve"> el expediente electrónico formado con motivo del </w:t>
      </w:r>
      <w:r w:rsidR="007D4707" w:rsidRPr="000C136F">
        <w:rPr>
          <w:rFonts w:ascii="Palatino Linotype" w:hAnsi="Palatino Linotype"/>
        </w:rPr>
        <w:t>R</w:t>
      </w:r>
      <w:r w:rsidRPr="000C136F">
        <w:rPr>
          <w:rFonts w:ascii="Palatino Linotype" w:hAnsi="Palatino Linotype"/>
        </w:rPr>
        <w:t xml:space="preserve">ecurso de </w:t>
      </w:r>
      <w:r w:rsidR="007D4707" w:rsidRPr="000C136F">
        <w:rPr>
          <w:rFonts w:ascii="Palatino Linotype" w:hAnsi="Palatino Linotype"/>
        </w:rPr>
        <w:t>R</w:t>
      </w:r>
      <w:r w:rsidRPr="000C136F">
        <w:rPr>
          <w:rFonts w:ascii="Palatino Linotype" w:hAnsi="Palatino Linotype"/>
        </w:rPr>
        <w:t xml:space="preserve">evisión </w:t>
      </w:r>
      <w:r w:rsidR="00344116" w:rsidRPr="000C136F">
        <w:rPr>
          <w:rFonts w:ascii="Palatino Linotype" w:hAnsi="Palatino Linotype"/>
          <w:b/>
          <w:bCs/>
          <w:color w:val="000000" w:themeColor="text1"/>
        </w:rPr>
        <w:t>12778/INFOEM/IP/RR/2022</w:t>
      </w:r>
      <w:r w:rsidRPr="000C136F">
        <w:rPr>
          <w:rFonts w:ascii="Palatino Linotype" w:hAnsi="Palatino Linotype"/>
          <w:b/>
        </w:rPr>
        <w:t>,</w:t>
      </w:r>
      <w:r w:rsidRPr="000C136F">
        <w:rPr>
          <w:rFonts w:ascii="Palatino Linotype" w:hAnsi="Palatino Linotype" w:cs="Arial"/>
          <w:b/>
          <w:bCs/>
        </w:rPr>
        <w:t xml:space="preserve"> </w:t>
      </w:r>
      <w:r w:rsidRPr="000C136F">
        <w:rPr>
          <w:rFonts w:ascii="Palatino Linotype" w:hAnsi="Palatino Linotype"/>
        </w:rPr>
        <w:t>promovido por</w:t>
      </w:r>
      <w:r w:rsidR="00A77AA8" w:rsidRPr="000C136F">
        <w:rPr>
          <w:rFonts w:ascii="Palatino Linotype" w:hAnsi="Palatino Linotype"/>
        </w:rPr>
        <w:t xml:space="preserve"> </w:t>
      </w:r>
      <w:r w:rsidR="000C136F" w:rsidRPr="000C136F">
        <w:rPr>
          <w:rFonts w:ascii="Palatino Linotype" w:hAnsi="Palatino Linotype"/>
          <w:b/>
        </w:rPr>
        <w:t>XXXX XXXXXX XXXX</w:t>
      </w:r>
      <w:r w:rsidR="00A77AA8" w:rsidRPr="000C136F">
        <w:rPr>
          <w:rFonts w:ascii="Palatino Linotype" w:hAnsi="Palatino Linotype"/>
        </w:rPr>
        <w:t xml:space="preserve"> en </w:t>
      </w:r>
      <w:r w:rsidR="00906364" w:rsidRPr="000C136F">
        <w:rPr>
          <w:rFonts w:ascii="Palatino Linotype" w:hAnsi="Palatino Linotype"/>
        </w:rPr>
        <w:t>lo sucesivo</w:t>
      </w:r>
      <w:r w:rsidR="00A77AA8" w:rsidRPr="000C136F">
        <w:rPr>
          <w:rFonts w:ascii="Palatino Linotype" w:hAnsi="Palatino Linotype"/>
          <w:b/>
        </w:rPr>
        <w:t xml:space="preserve"> </w:t>
      </w:r>
      <w:r w:rsidR="00906364" w:rsidRPr="000C136F">
        <w:rPr>
          <w:rFonts w:ascii="Palatino Linotype" w:hAnsi="Palatino Linotype"/>
          <w:b/>
        </w:rPr>
        <w:t>LA</w:t>
      </w:r>
      <w:r w:rsidR="00D712C2" w:rsidRPr="000C136F">
        <w:rPr>
          <w:rFonts w:ascii="Palatino Linotype" w:hAnsi="Palatino Linotype"/>
          <w:b/>
        </w:rPr>
        <w:t xml:space="preserve"> RECURRENTE</w:t>
      </w:r>
      <w:r w:rsidRPr="000C136F">
        <w:rPr>
          <w:rFonts w:ascii="Palatino Linotype" w:hAnsi="Palatino Linotype" w:cs="Arial"/>
        </w:rPr>
        <w:t>, en contra de la respuesta de</w:t>
      </w:r>
      <w:r w:rsidR="00932678" w:rsidRPr="000C136F">
        <w:rPr>
          <w:rFonts w:ascii="Palatino Linotype" w:hAnsi="Palatino Linotype" w:cs="Arial"/>
        </w:rPr>
        <w:t xml:space="preserve"> la </w:t>
      </w:r>
      <w:r w:rsidR="00B541C7" w:rsidRPr="000C136F">
        <w:rPr>
          <w:rFonts w:ascii="Palatino Linotype" w:hAnsi="Palatino Linotype" w:cs="Arial"/>
          <w:b/>
        </w:rPr>
        <w:t xml:space="preserve"> </w:t>
      </w:r>
      <w:r w:rsidR="00344116" w:rsidRPr="000C136F">
        <w:rPr>
          <w:rFonts w:ascii="Palatino Linotype" w:hAnsi="Palatino Linotype" w:cs="Arial"/>
          <w:b/>
        </w:rPr>
        <w:t>Secretaría de las Mujeres</w:t>
      </w:r>
      <w:r w:rsidRPr="000C136F">
        <w:rPr>
          <w:rFonts w:ascii="Palatino Linotype" w:hAnsi="Palatino Linotype" w:cs="Arial"/>
          <w:b/>
        </w:rPr>
        <w:t>,</w:t>
      </w:r>
      <w:r w:rsidRPr="000C136F">
        <w:rPr>
          <w:rFonts w:ascii="Palatino Linotype" w:hAnsi="Palatino Linotype"/>
          <w:b/>
        </w:rPr>
        <w:t xml:space="preserve"> </w:t>
      </w:r>
      <w:r w:rsidRPr="000C136F">
        <w:rPr>
          <w:rFonts w:ascii="Palatino Linotype" w:hAnsi="Palatino Linotype"/>
        </w:rPr>
        <w:t xml:space="preserve">en lo sucesivo </w:t>
      </w:r>
      <w:r w:rsidRPr="000C136F">
        <w:rPr>
          <w:rFonts w:ascii="Palatino Linotype" w:hAnsi="Palatino Linotype"/>
          <w:b/>
        </w:rPr>
        <w:t>EL SUJETO OBLIGADO</w:t>
      </w:r>
      <w:r w:rsidRPr="000C136F">
        <w:rPr>
          <w:rFonts w:ascii="Palatino Linotype" w:hAnsi="Palatino Linotype"/>
        </w:rPr>
        <w:t>, se procede a dictar la presente resolución, con base en los siguientes:</w:t>
      </w:r>
    </w:p>
    <w:p w14:paraId="66D55299" w14:textId="77777777" w:rsidR="008F573F" w:rsidRPr="000C136F" w:rsidRDefault="008F573F" w:rsidP="007573CA">
      <w:pPr>
        <w:spacing w:line="360" w:lineRule="auto"/>
        <w:jc w:val="both"/>
        <w:rPr>
          <w:rFonts w:ascii="Palatino Linotype" w:hAnsi="Palatino Linotype"/>
          <w:b/>
        </w:rPr>
      </w:pPr>
    </w:p>
    <w:p w14:paraId="20CEAE7F" w14:textId="77777777" w:rsidR="009417CA" w:rsidRPr="000C136F" w:rsidRDefault="009417CA" w:rsidP="007573CA">
      <w:pPr>
        <w:pStyle w:val="Ttulo1"/>
        <w:spacing w:before="0" w:line="360" w:lineRule="auto"/>
        <w:jc w:val="center"/>
        <w:rPr>
          <w:rFonts w:ascii="Palatino Linotype" w:hAnsi="Palatino Linotype"/>
          <w:b/>
          <w:color w:val="000000" w:themeColor="text1"/>
          <w:sz w:val="24"/>
          <w:szCs w:val="24"/>
          <w:lang w:val="es-ES"/>
        </w:rPr>
      </w:pPr>
      <w:bookmarkStart w:id="0" w:name="_Toc81401515"/>
      <w:r w:rsidRPr="000C136F">
        <w:rPr>
          <w:rFonts w:ascii="Palatino Linotype" w:hAnsi="Palatino Linotype"/>
          <w:b/>
          <w:color w:val="000000" w:themeColor="text1"/>
          <w:sz w:val="24"/>
          <w:szCs w:val="24"/>
          <w:lang w:val="es-ES"/>
        </w:rPr>
        <w:t>A N T E C E D E N T E S</w:t>
      </w:r>
      <w:bookmarkEnd w:id="0"/>
    </w:p>
    <w:p w14:paraId="3408FBBB" w14:textId="77777777" w:rsidR="008F573F" w:rsidRPr="000C136F" w:rsidRDefault="008F573F" w:rsidP="007573CA">
      <w:pPr>
        <w:spacing w:line="360" w:lineRule="auto"/>
        <w:rPr>
          <w:rFonts w:ascii="Palatino Linotype" w:hAnsi="Palatino Linotype"/>
          <w:lang w:val="es-ES" w:eastAsia="es-ES"/>
        </w:rPr>
      </w:pPr>
    </w:p>
    <w:p w14:paraId="57ADF43F" w14:textId="77777777" w:rsidR="009417CA" w:rsidRPr="000C136F" w:rsidRDefault="009417CA" w:rsidP="007573CA">
      <w:pPr>
        <w:pStyle w:val="Prrafodelista"/>
        <w:numPr>
          <w:ilvl w:val="0"/>
          <w:numId w:val="7"/>
        </w:numPr>
        <w:spacing w:line="360" w:lineRule="auto"/>
        <w:ind w:left="0" w:firstLine="0"/>
        <w:jc w:val="both"/>
        <w:rPr>
          <w:rFonts w:ascii="Palatino Linotype" w:hAnsi="Palatino Linotype"/>
          <w:b/>
        </w:rPr>
      </w:pPr>
      <w:r w:rsidRPr="000C136F">
        <w:rPr>
          <w:rFonts w:ascii="Palatino Linotype" w:eastAsia="Calibri" w:hAnsi="Palatino Linotype" w:cs="Arial"/>
        </w:rPr>
        <w:t xml:space="preserve">El día </w:t>
      </w:r>
      <w:r w:rsidR="00344116" w:rsidRPr="000C136F">
        <w:rPr>
          <w:rFonts w:ascii="Palatino Linotype" w:eastAsia="Calibri" w:hAnsi="Palatino Linotype" w:cs="Arial"/>
          <w:b/>
        </w:rPr>
        <w:t>once</w:t>
      </w:r>
      <w:r w:rsidR="00E6090E" w:rsidRPr="000C136F">
        <w:rPr>
          <w:rFonts w:ascii="Palatino Linotype" w:eastAsia="Calibri" w:hAnsi="Palatino Linotype" w:cs="Arial"/>
          <w:b/>
        </w:rPr>
        <w:t xml:space="preserve"> </w:t>
      </w:r>
      <w:r w:rsidRPr="000C136F">
        <w:rPr>
          <w:rFonts w:ascii="Palatino Linotype" w:eastAsia="Calibri" w:hAnsi="Palatino Linotype" w:cs="Arial"/>
          <w:b/>
        </w:rPr>
        <w:t>(</w:t>
      </w:r>
      <w:r w:rsidR="00344116" w:rsidRPr="000C136F">
        <w:rPr>
          <w:rFonts w:ascii="Palatino Linotype" w:eastAsia="Calibri" w:hAnsi="Palatino Linotype" w:cs="Arial"/>
          <w:b/>
        </w:rPr>
        <w:t>11) de julio</w:t>
      </w:r>
      <w:r w:rsidR="00E6090E" w:rsidRPr="000C136F">
        <w:rPr>
          <w:rFonts w:ascii="Palatino Linotype" w:eastAsia="Calibri" w:hAnsi="Palatino Linotype" w:cs="Arial"/>
        </w:rPr>
        <w:t xml:space="preserve"> </w:t>
      </w:r>
      <w:r w:rsidR="00B541C7" w:rsidRPr="000C136F">
        <w:rPr>
          <w:rFonts w:ascii="Palatino Linotype" w:eastAsia="Calibri" w:hAnsi="Palatino Linotype" w:cs="Arial"/>
        </w:rPr>
        <w:t>de dos mil veintidós</w:t>
      </w:r>
      <w:r w:rsidRPr="000C136F">
        <w:rPr>
          <w:rFonts w:ascii="Palatino Linotype" w:hAnsi="Palatino Linotype"/>
          <w:b/>
        </w:rPr>
        <w:t xml:space="preserve">, </w:t>
      </w:r>
      <w:r w:rsidR="002D39CF" w:rsidRPr="000C136F">
        <w:rPr>
          <w:rFonts w:ascii="Palatino Linotype" w:hAnsi="Palatino Linotype"/>
        </w:rPr>
        <w:t>la particular</w:t>
      </w:r>
      <w:r w:rsidR="00E6090E" w:rsidRPr="000C136F">
        <w:rPr>
          <w:rFonts w:ascii="Palatino Linotype" w:hAnsi="Palatino Linotype"/>
        </w:rPr>
        <w:t xml:space="preserve"> presentó a través del</w:t>
      </w:r>
      <w:r w:rsidR="008D0C02" w:rsidRPr="000C136F">
        <w:rPr>
          <w:rFonts w:ascii="Palatino Linotype" w:hAnsi="Palatino Linotype"/>
        </w:rPr>
        <w:t xml:space="preserve"> </w:t>
      </w:r>
      <w:r w:rsidR="00E6090E" w:rsidRPr="000C136F">
        <w:rPr>
          <w:rFonts w:ascii="Palatino Linotype" w:hAnsi="Palatino Linotype"/>
        </w:rPr>
        <w:t>Sistema de Acc</w:t>
      </w:r>
      <w:r w:rsidR="008D0C02" w:rsidRPr="000C136F">
        <w:rPr>
          <w:rFonts w:ascii="Palatino Linotype" w:hAnsi="Palatino Linotype"/>
        </w:rPr>
        <w:t>eso a la Información Mexiquense</w:t>
      </w:r>
      <w:r w:rsidR="008D0C02" w:rsidRPr="000C136F">
        <w:rPr>
          <w:rFonts w:ascii="Palatino Linotype" w:hAnsi="Palatino Linotype"/>
          <w:b/>
        </w:rPr>
        <w:t xml:space="preserve"> </w:t>
      </w:r>
      <w:r w:rsidR="00E6090E" w:rsidRPr="000C136F">
        <w:rPr>
          <w:rFonts w:ascii="Palatino Linotype" w:hAnsi="Palatino Linotype"/>
          <w:b/>
        </w:rPr>
        <w:t>(SAIMEX),</w:t>
      </w:r>
      <w:r w:rsidRPr="000C136F">
        <w:rPr>
          <w:rFonts w:ascii="Palatino Linotype" w:eastAsia="Calibri" w:hAnsi="Palatino Linotype" w:cs="Arial"/>
        </w:rPr>
        <w:t xml:space="preserve"> la solicitud de información pública registrada con el número</w:t>
      </w:r>
      <w:r w:rsidR="00344116" w:rsidRPr="000C136F">
        <w:rPr>
          <w:rStyle w:val="medium"/>
          <w:rFonts w:ascii="Palatino Linotype" w:hAnsi="Palatino Linotype"/>
          <w:b/>
        </w:rPr>
        <w:t xml:space="preserve"> </w:t>
      </w:r>
      <w:r w:rsidR="00344116" w:rsidRPr="000C136F">
        <w:rPr>
          <w:rFonts w:ascii="Palatino Linotype" w:hAnsi="Palatino Linotype"/>
          <w:b/>
          <w:bCs/>
          <w:lang w:val="es-MX"/>
        </w:rPr>
        <w:t>00145/SEMUJ/IP/2022</w:t>
      </w:r>
      <w:r w:rsidRPr="000C136F">
        <w:rPr>
          <w:rFonts w:ascii="Palatino Linotype" w:hAnsi="Palatino Linotype"/>
          <w:b/>
          <w:bCs/>
          <w:color w:val="000000" w:themeColor="text1"/>
        </w:rPr>
        <w:t>,</w:t>
      </w:r>
      <w:r w:rsidRPr="000C136F">
        <w:rPr>
          <w:rFonts w:ascii="Palatino Linotype" w:eastAsia="Calibri" w:hAnsi="Palatino Linotype" w:cs="Arial"/>
        </w:rPr>
        <w:t xml:space="preserve"> mediante la cual se solicitó la siguiente información:</w:t>
      </w:r>
    </w:p>
    <w:p w14:paraId="47800162" w14:textId="77777777" w:rsidR="008F573F" w:rsidRPr="000C136F" w:rsidRDefault="008F573F" w:rsidP="007573CA">
      <w:pPr>
        <w:pStyle w:val="Prrafodelista"/>
        <w:spacing w:line="360" w:lineRule="auto"/>
        <w:ind w:left="0"/>
        <w:jc w:val="both"/>
        <w:rPr>
          <w:rFonts w:ascii="Palatino Linotype" w:hAnsi="Palatino Linotype"/>
          <w:b/>
        </w:rPr>
      </w:pPr>
    </w:p>
    <w:p w14:paraId="14C1E70B" w14:textId="77777777" w:rsidR="009925E5" w:rsidRPr="000C136F" w:rsidRDefault="009417CA" w:rsidP="007573CA">
      <w:pPr>
        <w:pStyle w:val="Prrafodelista"/>
        <w:tabs>
          <w:tab w:val="left" w:pos="8080"/>
        </w:tabs>
        <w:spacing w:line="360" w:lineRule="auto"/>
        <w:ind w:left="567" w:right="758"/>
        <w:jc w:val="both"/>
        <w:rPr>
          <w:rFonts w:ascii="Palatino Linotype" w:eastAsia="Calibri" w:hAnsi="Palatino Linotype" w:cs="Arial"/>
          <w:i/>
        </w:rPr>
      </w:pPr>
      <w:r w:rsidRPr="000C136F">
        <w:rPr>
          <w:rFonts w:ascii="Palatino Linotype" w:eastAsia="Calibri" w:hAnsi="Palatino Linotype" w:cs="Arial"/>
          <w:i/>
        </w:rPr>
        <w:t>“</w:t>
      </w:r>
      <w:r w:rsidR="00344116" w:rsidRPr="000C136F">
        <w:rPr>
          <w:rFonts w:ascii="Palatino Linotype" w:eastAsia="Calibri" w:hAnsi="Palatino Linotype" w:cs="Arial"/>
          <w:i/>
        </w:rPr>
        <w:t xml:space="preserve">Por medio del presente y conforme el artículo 6 de la Constitución de los Estados Unidos Mexicanos así como de los artículos 4, 5 y 6 de la Ley General de Transparencia y Acceso a la Información Publica, y los artículos 4 y 7 de la Ley de Transparencia y Acceso a la Información Publica del Estado de México y Municipios, solicito en el ámbito de sus atribuciones, remita la siguiente </w:t>
      </w:r>
      <w:r w:rsidR="00344116" w:rsidRPr="000C136F">
        <w:rPr>
          <w:rFonts w:ascii="Palatino Linotype" w:eastAsia="Calibri" w:hAnsi="Palatino Linotype" w:cs="Arial"/>
          <w:i/>
        </w:rPr>
        <w:lastRenderedPageBreak/>
        <w:t xml:space="preserve">información. 1. Contrato celebrado con la empresa encargada de contratar y pagar a los coordinadores regionales, coordinadores municipales, promotoras territoriales entre otros. 2. Nombres de todos los coordinadores regionales y municipales que esta empresa contrato 3. Listados de todas las beneficiales del programa salario rosa (desde que se implemento el programa hasta la fecha) 4. Prepuesto erogado para la ejecución del programa por cada año desde que se implemento hasta la fecha 5. Toda la documentación financiera remitida al OSFEM relacionados con el programa salario rosa 6. Contrato celebrado con la empresa BROXEL 7. Contrato celebrado con la empresa proveedora de las despensas que integran el programa “CANASTA EDOMEX”, “CANASTA PARA EL ADULTO MAYOR” 8. Si están mal escritos los nombres de los programas antes citados, favor de remitir la información del programa correcto 9. Presupuesto asignado a los programas de citados en los numerales 7 10. Nombre, cargo y salario de todos los servidores públicos que participan en los programas citados en los numerales 3 y 7 No solicito documentación ad hoc, toda la información que requiero es la que obra en sus archivos, todos son programas que erogan recursos públicos por que pido la mayor transparencia en el uso de los mismos. Conforme el principio de GRATUIDAD, toda la información debe ser gratuita, en caso de que la información supere la capacidad del sistema SAIMEX solicito me habiliten vínculos para descargarla En caso de que reserven información, solicito la documentación que remitieron al OSFEM en formato pdf. Información que sea negada será impugnada, incluso si el INFOEM encubre la negativa de información daré vista al INAI y al </w:t>
      </w:r>
      <w:r w:rsidR="00344116" w:rsidRPr="000C136F">
        <w:rPr>
          <w:rFonts w:ascii="Palatino Linotype" w:eastAsia="Calibri" w:hAnsi="Palatino Linotype" w:cs="Arial"/>
          <w:i/>
        </w:rPr>
        <w:lastRenderedPageBreak/>
        <w:t>Supremo Tribunal de Justicia de la Nación. Les recuerdo que las personas físicas o morales que reciban y ejerzan recursos públicos o realicen actos de autoridad, en lo que se refiere exclusivamente a los mismos, están obligadas a cumplir, con las obligaciones de transparencia y acceso a la información establecidas en la Ley General y la Ley Federal por lo que deben remitir sobre todo la información relativa al numeral 2 Finalmente, esta solicitud fue originada a causa de la Prepotencia y Arrogancia de la Coordinadora Municipal de Cuautitlán Izcalli la C. YURIKO JIMÉNEZ REAL, quien en una entrega de despensas del programa “Canasta Edomex” me dio un trato prepotente y arrogante, al pedirle sus datos me informo que no trabajaba para el gobierno del estado por lo que no procedería una denuncia ante la Contraloría del Estado de México (después me entere que era parte de una empresa que trabaja para el gobierno del Estado de México), sin embargo conforme la Ley General de Responsabilidades Administrativas, toda persona física o moral que ejerzan actos de autoridad podrán ser sancionados, por lo que esta solicitud será turnada también a la Contraloría del Gobierno del Estado para que le de tratamiento como DENUNCIA</w:t>
      </w:r>
      <w:r w:rsidRPr="000C136F">
        <w:rPr>
          <w:rFonts w:ascii="Palatino Linotype" w:eastAsia="Calibri" w:hAnsi="Palatino Linotype" w:cs="Arial"/>
          <w:i/>
        </w:rPr>
        <w:t>”</w:t>
      </w:r>
      <w:r w:rsidR="00287C4B" w:rsidRPr="000C136F">
        <w:rPr>
          <w:rFonts w:ascii="Palatino Linotype" w:eastAsia="Calibri" w:hAnsi="Palatino Linotype" w:cs="Arial"/>
          <w:i/>
        </w:rPr>
        <w:t xml:space="preserve"> </w:t>
      </w:r>
      <w:r w:rsidR="00287C4B" w:rsidRPr="000C136F">
        <w:rPr>
          <w:rFonts w:ascii="Palatino Linotype" w:eastAsia="Calibri" w:hAnsi="Palatino Linotype" w:cs="Arial"/>
        </w:rPr>
        <w:t>(Sic)</w:t>
      </w:r>
    </w:p>
    <w:p w14:paraId="6DC94DAF" w14:textId="77777777" w:rsidR="008F573F" w:rsidRPr="000C136F" w:rsidRDefault="008F573F" w:rsidP="007573CA">
      <w:pPr>
        <w:pStyle w:val="Prrafodelista"/>
        <w:tabs>
          <w:tab w:val="left" w:pos="8080"/>
        </w:tabs>
        <w:spacing w:line="360" w:lineRule="auto"/>
        <w:ind w:left="567" w:right="758"/>
        <w:jc w:val="both"/>
        <w:rPr>
          <w:rFonts w:ascii="Palatino Linotype" w:eastAsia="Calibri" w:hAnsi="Palatino Linotype" w:cs="Arial"/>
          <w:i/>
        </w:rPr>
      </w:pPr>
    </w:p>
    <w:p w14:paraId="5EB637B8" w14:textId="77777777" w:rsidR="007E7BD7" w:rsidRPr="000C136F" w:rsidRDefault="007B7725" w:rsidP="007573CA">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0C136F">
        <w:rPr>
          <w:rFonts w:ascii="Palatino Linotype" w:hAnsi="Palatino Linotype" w:cs="Arial"/>
          <w:color w:val="000000" w:themeColor="text1"/>
        </w:rPr>
        <w:t xml:space="preserve">Se hace constar que </w:t>
      </w:r>
      <w:r w:rsidR="007E7BD7" w:rsidRPr="000C136F">
        <w:rPr>
          <w:rFonts w:ascii="Palatino Linotype" w:hAnsi="Palatino Linotype" w:cs="Arial"/>
          <w:color w:val="000000" w:themeColor="text1"/>
        </w:rPr>
        <w:t>l</w:t>
      </w:r>
      <w:r w:rsidRPr="000C136F">
        <w:rPr>
          <w:rFonts w:ascii="Palatino Linotype" w:hAnsi="Palatino Linotype" w:cs="Arial"/>
          <w:color w:val="000000" w:themeColor="text1"/>
        </w:rPr>
        <w:t>a</w:t>
      </w:r>
      <w:r w:rsidR="007E7BD7" w:rsidRPr="000C136F">
        <w:rPr>
          <w:rFonts w:ascii="Palatino Linotype" w:hAnsi="Palatino Linotype" w:cs="Arial"/>
          <w:color w:val="000000" w:themeColor="text1"/>
        </w:rPr>
        <w:t xml:space="preserve"> entonces </w:t>
      </w:r>
      <w:r w:rsidR="007E7BD7" w:rsidRPr="000C136F">
        <w:rPr>
          <w:rFonts w:ascii="Palatino Linotype" w:hAnsi="Palatino Linotype" w:cs="Arial"/>
          <w:b/>
          <w:color w:val="000000" w:themeColor="text1"/>
        </w:rPr>
        <w:t>SOLICITANTE</w:t>
      </w:r>
      <w:r w:rsidR="007E7BD7" w:rsidRPr="000C136F">
        <w:rPr>
          <w:rFonts w:ascii="Palatino Linotype" w:hAnsi="Palatino Linotype" w:cs="Arial"/>
          <w:color w:val="000000" w:themeColor="text1"/>
        </w:rPr>
        <w:t xml:space="preserve"> señaló como modalidad de entrega de la información: </w:t>
      </w:r>
      <w:r w:rsidR="007E7BD7" w:rsidRPr="000C136F">
        <w:rPr>
          <w:rFonts w:ascii="Palatino Linotype" w:hAnsi="Palatino Linotype" w:cs="Arial"/>
          <w:b/>
          <w:color w:val="000000" w:themeColor="text1"/>
        </w:rPr>
        <w:t>A través del SAIMEX</w:t>
      </w:r>
      <w:r w:rsidR="007E7BD7" w:rsidRPr="000C136F">
        <w:rPr>
          <w:rFonts w:ascii="Palatino Linotype" w:hAnsi="Palatino Linotype" w:cs="Arial"/>
          <w:color w:val="000000" w:themeColor="text1"/>
        </w:rPr>
        <w:t>.</w:t>
      </w:r>
    </w:p>
    <w:p w14:paraId="0F848582" w14:textId="77777777" w:rsidR="007E7BD7" w:rsidRPr="000C136F" w:rsidRDefault="007E7BD7" w:rsidP="007573CA">
      <w:pPr>
        <w:tabs>
          <w:tab w:val="left" w:pos="142"/>
        </w:tabs>
        <w:spacing w:line="360" w:lineRule="auto"/>
        <w:contextualSpacing/>
        <w:jc w:val="both"/>
        <w:rPr>
          <w:rFonts w:ascii="Palatino Linotype" w:hAnsi="Palatino Linotype" w:cs="Arial"/>
          <w:color w:val="000000" w:themeColor="text1"/>
        </w:rPr>
      </w:pPr>
    </w:p>
    <w:p w14:paraId="6A0282C6" w14:textId="77777777" w:rsidR="006A5CF6" w:rsidRPr="000C136F" w:rsidRDefault="00B04BDC" w:rsidP="007573CA">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0C136F">
        <w:rPr>
          <w:rFonts w:ascii="Palatino Linotype" w:eastAsiaTheme="minorEastAsia" w:hAnsi="Palatino Linotype" w:cs="Arial"/>
          <w:lang w:val="es-ES_tradnl" w:eastAsia="es-ES"/>
        </w:rPr>
        <w:lastRenderedPageBreak/>
        <w:t xml:space="preserve">En fecha </w:t>
      </w:r>
      <w:r w:rsidR="00344116" w:rsidRPr="000C136F">
        <w:rPr>
          <w:rFonts w:ascii="Palatino Linotype" w:eastAsiaTheme="minorEastAsia" w:hAnsi="Palatino Linotype" w:cs="Arial"/>
          <w:b/>
          <w:lang w:val="es-ES_tradnl" w:eastAsia="es-ES"/>
        </w:rPr>
        <w:t>catorce</w:t>
      </w:r>
      <w:r w:rsidR="007E7BD7" w:rsidRPr="000C136F">
        <w:rPr>
          <w:rFonts w:ascii="Palatino Linotype" w:eastAsiaTheme="minorEastAsia" w:hAnsi="Palatino Linotype" w:cs="Arial"/>
          <w:b/>
          <w:lang w:val="es-ES_tradnl" w:eastAsia="es-ES"/>
        </w:rPr>
        <w:t xml:space="preserve"> </w:t>
      </w:r>
      <w:r w:rsidR="00202C4E" w:rsidRPr="000C136F">
        <w:rPr>
          <w:rFonts w:ascii="Palatino Linotype" w:eastAsiaTheme="minorEastAsia" w:hAnsi="Palatino Linotype" w:cs="Arial"/>
          <w:b/>
          <w:lang w:val="es-ES_tradnl" w:eastAsia="es-ES"/>
        </w:rPr>
        <w:t>(</w:t>
      </w:r>
      <w:r w:rsidR="00344116" w:rsidRPr="000C136F">
        <w:rPr>
          <w:rFonts w:ascii="Palatino Linotype" w:eastAsiaTheme="minorEastAsia" w:hAnsi="Palatino Linotype" w:cs="Arial"/>
          <w:b/>
          <w:lang w:val="es-ES_tradnl" w:eastAsia="es-ES"/>
        </w:rPr>
        <w:t>14) de julio</w:t>
      </w:r>
      <w:r w:rsidR="007E7BD7" w:rsidRPr="000C136F">
        <w:rPr>
          <w:rFonts w:ascii="Palatino Linotype" w:eastAsiaTheme="minorEastAsia" w:hAnsi="Palatino Linotype" w:cs="Arial"/>
          <w:b/>
          <w:lang w:val="es-ES_tradnl" w:eastAsia="es-ES"/>
        </w:rPr>
        <w:t xml:space="preserve"> </w:t>
      </w:r>
      <w:r w:rsidRPr="000C136F">
        <w:rPr>
          <w:rFonts w:ascii="Palatino Linotype" w:eastAsiaTheme="minorEastAsia" w:hAnsi="Palatino Linotype" w:cs="Arial"/>
          <w:lang w:val="es-ES_tradnl" w:eastAsia="es-ES"/>
        </w:rPr>
        <w:t>de dos mil veintidós</w:t>
      </w:r>
      <w:r w:rsidR="00202C4E" w:rsidRPr="000C136F">
        <w:rPr>
          <w:rFonts w:ascii="Palatino Linotype" w:eastAsiaTheme="minorEastAsia" w:hAnsi="Palatino Linotype" w:cs="Arial"/>
          <w:lang w:val="es-ES_tradnl" w:eastAsia="es-ES"/>
        </w:rPr>
        <w:t xml:space="preserve">, el </w:t>
      </w:r>
      <w:r w:rsidR="00412918" w:rsidRPr="000C136F">
        <w:rPr>
          <w:rFonts w:ascii="Palatino Linotype" w:eastAsiaTheme="minorEastAsia" w:hAnsi="Palatino Linotype" w:cs="Arial"/>
          <w:b/>
          <w:lang w:val="es-ES_tradnl" w:eastAsia="es-ES"/>
        </w:rPr>
        <w:t>SUJETO</w:t>
      </w:r>
      <w:r w:rsidR="00412918" w:rsidRPr="000C136F">
        <w:rPr>
          <w:rFonts w:ascii="Palatino Linotype" w:eastAsiaTheme="minorEastAsia" w:hAnsi="Palatino Linotype" w:cs="Arial"/>
          <w:b/>
          <w:lang w:eastAsia="es-ES"/>
        </w:rPr>
        <w:t xml:space="preserve"> OBLIGADO </w:t>
      </w:r>
      <w:r w:rsidR="007D4707" w:rsidRPr="000C136F">
        <w:rPr>
          <w:rFonts w:ascii="Palatino Linotype" w:eastAsiaTheme="minorEastAsia" w:hAnsi="Palatino Linotype" w:cs="Arial"/>
          <w:lang w:eastAsia="es-ES"/>
        </w:rPr>
        <w:t xml:space="preserve"> </w:t>
      </w:r>
      <w:r w:rsidR="00344116" w:rsidRPr="000C136F">
        <w:rPr>
          <w:rFonts w:ascii="Palatino Linotype" w:eastAsiaTheme="minorEastAsia" w:hAnsi="Palatino Linotype" w:cs="Arial"/>
          <w:lang w:eastAsia="es-ES"/>
        </w:rPr>
        <w:t xml:space="preserve"> manifestó su incompetencia, en la que procedió a orientar</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113C8E" w:rsidRPr="000C136F">
        <w:rPr>
          <w:rFonts w:ascii="Palatino Linotype" w:eastAsiaTheme="minorEastAsia" w:hAnsi="Palatino Linotype" w:cs="Arial"/>
          <w:lang w:eastAsia="es-ES"/>
        </w:rPr>
        <w:t xml:space="preserve">, </w:t>
      </w:r>
      <w:r w:rsidR="002E14C5" w:rsidRPr="000C136F">
        <w:rPr>
          <w:rFonts w:ascii="Palatino Linotype" w:eastAsiaTheme="minorEastAsia" w:hAnsi="Palatino Linotype" w:cs="Arial"/>
          <w:lang w:eastAsia="es-ES"/>
        </w:rPr>
        <w:t xml:space="preserve">en los siguientes </w:t>
      </w:r>
      <w:r w:rsidR="00E12BA7" w:rsidRPr="000C136F">
        <w:rPr>
          <w:rFonts w:ascii="Palatino Linotype" w:eastAsiaTheme="minorEastAsia" w:hAnsi="Palatino Linotype" w:cs="Arial"/>
          <w:lang w:eastAsia="es-ES"/>
        </w:rPr>
        <w:t>términos</w:t>
      </w:r>
      <w:r w:rsidR="00202C4E" w:rsidRPr="000C136F">
        <w:rPr>
          <w:rFonts w:ascii="Palatino Linotype" w:eastAsiaTheme="minorEastAsia" w:hAnsi="Palatino Linotype" w:cs="Arial"/>
          <w:lang w:eastAsia="es-ES"/>
        </w:rPr>
        <w:t>:</w:t>
      </w:r>
      <w:r w:rsidR="00617794" w:rsidRPr="000C136F">
        <w:rPr>
          <w:rFonts w:ascii="Palatino Linotype" w:eastAsiaTheme="minorEastAsia" w:hAnsi="Palatino Linotype" w:cs="Arial"/>
          <w:lang w:eastAsia="es-ES"/>
        </w:rPr>
        <w:t xml:space="preserve"> </w:t>
      </w:r>
    </w:p>
    <w:p w14:paraId="7D5FC8C2" w14:textId="77777777" w:rsidR="00113C8E" w:rsidRPr="000C136F" w:rsidRDefault="00B04BDC" w:rsidP="007573CA">
      <w:pPr>
        <w:tabs>
          <w:tab w:val="left" w:pos="142"/>
        </w:tabs>
        <w:spacing w:line="360" w:lineRule="auto"/>
        <w:ind w:left="567"/>
        <w:contextualSpacing/>
        <w:jc w:val="right"/>
        <w:rPr>
          <w:rFonts w:ascii="Palatino Linotype" w:hAnsi="Palatino Linotype" w:cs="Arial"/>
          <w:i/>
          <w:color w:val="000000" w:themeColor="text1"/>
        </w:rPr>
      </w:pPr>
      <w:r w:rsidRPr="000C136F">
        <w:rPr>
          <w:rFonts w:ascii="Palatino Linotype" w:hAnsi="Palatino Linotype" w:cs="Arial"/>
          <w:i/>
          <w:color w:val="000000" w:themeColor="text1"/>
        </w:rPr>
        <w:t>“</w:t>
      </w:r>
      <w:r w:rsidR="00113C8E" w:rsidRPr="000C136F">
        <w:rPr>
          <w:rFonts w:ascii="Palatino Linotype" w:hAnsi="Palatino Linotype" w:cs="Arial"/>
          <w:i/>
          <w:color w:val="000000" w:themeColor="text1"/>
        </w:rPr>
        <w:t>Metepec, México a 14 de Julio de 2022</w:t>
      </w:r>
    </w:p>
    <w:p w14:paraId="5EA5AAB8" w14:textId="77777777" w:rsidR="00113C8E" w:rsidRPr="000C136F" w:rsidRDefault="00113C8E" w:rsidP="007573CA">
      <w:pPr>
        <w:tabs>
          <w:tab w:val="left" w:pos="142"/>
        </w:tabs>
        <w:spacing w:line="360" w:lineRule="auto"/>
        <w:ind w:left="567"/>
        <w:contextualSpacing/>
        <w:jc w:val="right"/>
        <w:rPr>
          <w:rFonts w:ascii="Palatino Linotype" w:hAnsi="Palatino Linotype" w:cs="Arial"/>
          <w:i/>
          <w:color w:val="000000" w:themeColor="text1"/>
        </w:rPr>
      </w:pPr>
      <w:r w:rsidRPr="000C136F">
        <w:rPr>
          <w:rFonts w:ascii="Palatino Linotype" w:hAnsi="Palatino Linotype" w:cs="Arial"/>
          <w:i/>
          <w:color w:val="000000" w:themeColor="text1"/>
        </w:rPr>
        <w:t>Nombre del solicitante: C. Solicitante</w:t>
      </w:r>
    </w:p>
    <w:p w14:paraId="14933295" w14:textId="77777777" w:rsidR="00113C8E" w:rsidRPr="000C136F" w:rsidRDefault="00113C8E" w:rsidP="007573CA">
      <w:pPr>
        <w:tabs>
          <w:tab w:val="left" w:pos="142"/>
        </w:tabs>
        <w:spacing w:line="360" w:lineRule="auto"/>
        <w:ind w:left="567"/>
        <w:contextualSpacing/>
        <w:jc w:val="right"/>
        <w:rPr>
          <w:rFonts w:ascii="Palatino Linotype" w:hAnsi="Palatino Linotype" w:cs="Arial"/>
          <w:i/>
          <w:color w:val="000000" w:themeColor="text1"/>
        </w:rPr>
      </w:pPr>
      <w:r w:rsidRPr="000C136F">
        <w:rPr>
          <w:rFonts w:ascii="Palatino Linotype" w:hAnsi="Palatino Linotype" w:cs="Arial"/>
          <w:i/>
          <w:color w:val="000000" w:themeColor="text1"/>
        </w:rPr>
        <w:t>Folio de la solicitud: 00145/SEMUJ/IP/2022</w:t>
      </w:r>
    </w:p>
    <w:p w14:paraId="6E083A85" w14:textId="77777777" w:rsidR="00113C8E" w:rsidRPr="000C136F" w:rsidRDefault="00113C8E" w:rsidP="007573CA">
      <w:pPr>
        <w:tabs>
          <w:tab w:val="left" w:pos="142"/>
        </w:tabs>
        <w:spacing w:line="360" w:lineRule="auto"/>
        <w:ind w:left="567"/>
        <w:contextualSpacing/>
        <w:jc w:val="both"/>
        <w:rPr>
          <w:rFonts w:ascii="Palatino Linotype" w:hAnsi="Palatino Linotype" w:cs="Arial"/>
          <w:i/>
          <w:color w:val="000000" w:themeColor="text1"/>
        </w:rPr>
      </w:pPr>
    </w:p>
    <w:p w14:paraId="4CB9E997" w14:textId="19E9308F" w:rsidR="00113C8E" w:rsidRPr="000C136F" w:rsidRDefault="000C136F" w:rsidP="007573CA">
      <w:pPr>
        <w:tabs>
          <w:tab w:val="left" w:pos="142"/>
        </w:tabs>
        <w:spacing w:line="360" w:lineRule="auto"/>
        <w:ind w:left="567"/>
        <w:contextualSpacing/>
        <w:jc w:val="both"/>
        <w:rPr>
          <w:rFonts w:ascii="Palatino Linotype" w:hAnsi="Palatino Linotype" w:cs="Arial"/>
          <w:i/>
          <w:color w:val="000000" w:themeColor="text1"/>
        </w:rPr>
      </w:pPr>
      <w:r w:rsidRPr="000C136F">
        <w:rPr>
          <w:rFonts w:ascii="Palatino Linotype" w:hAnsi="Palatino Linotype" w:cs="Arial"/>
          <w:i/>
          <w:color w:val="000000" w:themeColor="text1"/>
        </w:rPr>
        <w:t>XXX XXXX XXXX</w:t>
      </w:r>
      <w:r w:rsidR="00113C8E" w:rsidRPr="000C136F">
        <w:rPr>
          <w:rFonts w:ascii="Palatino Linotype" w:hAnsi="Palatino Linotype" w:cs="Arial"/>
          <w:i/>
          <w:color w:val="000000" w:themeColor="text1"/>
        </w:rPr>
        <w:t xml:space="preserve"> Con relación a su solicitud de información con número de folio 00145/SEMUJ/IP/2022 y con fundamento en lo dispuesto por los artículos 12 segundo párrafo, 23 fracción I y 167 de la Ley de Transparencia y Acceso a la Información Pública del Estado de México y Municipios, me permito hacer de su conocimiento que de acuerdo con el Decreto 191, a la reforma al artículo 33 de la Ley Orgánica de la Administración Pública del Estado de México, al Reglamento Interior y Manual General de Organización de la Secretaría de la Mujer (actualmente Secretaría de las Mujeres), publicados en el Periódico Oficial “Gaceta del Gobierno” de fecha 29 de septiembre de 2020, 12 de marzo y 7 de junio de 2021; respectivamente, y al Decreto 51 de fecha 6 de mayo de 2022; esta Secretaría no cuenta con atribuciones y facultades para la ejecución de los Programas de Desarrollo Social “Familias Fuertes Salario Rosa”, “Familias Fuertes Apoyo a Personas Adultas Mayores” y “Familias Fuertes Canasta EdoMéx”, por lo que no es posible proporcionarle la información requerida al respecto. Se anexa oficio de respuesta. Quedo a sus órdenes.</w:t>
      </w:r>
    </w:p>
    <w:p w14:paraId="134327A4" w14:textId="77777777" w:rsidR="00113C8E" w:rsidRPr="000C136F" w:rsidRDefault="00113C8E" w:rsidP="007573CA">
      <w:pPr>
        <w:tabs>
          <w:tab w:val="left" w:pos="142"/>
        </w:tabs>
        <w:spacing w:line="360" w:lineRule="auto"/>
        <w:ind w:left="567"/>
        <w:contextualSpacing/>
        <w:jc w:val="both"/>
        <w:rPr>
          <w:rFonts w:ascii="Palatino Linotype" w:hAnsi="Palatino Linotype" w:cs="Arial"/>
          <w:i/>
          <w:color w:val="000000" w:themeColor="text1"/>
        </w:rPr>
      </w:pPr>
    </w:p>
    <w:p w14:paraId="125473A1" w14:textId="77777777" w:rsidR="00113C8E" w:rsidRPr="000C136F" w:rsidRDefault="00113C8E" w:rsidP="007573CA">
      <w:pPr>
        <w:tabs>
          <w:tab w:val="left" w:pos="142"/>
        </w:tabs>
        <w:spacing w:line="360" w:lineRule="auto"/>
        <w:ind w:left="567"/>
        <w:contextualSpacing/>
        <w:rPr>
          <w:rFonts w:ascii="Palatino Linotype" w:hAnsi="Palatino Linotype" w:cs="Arial"/>
          <w:i/>
          <w:color w:val="000000" w:themeColor="text1"/>
        </w:rPr>
      </w:pPr>
      <w:r w:rsidRPr="000C136F">
        <w:rPr>
          <w:rFonts w:ascii="Palatino Linotype" w:hAnsi="Palatino Linotype" w:cs="Arial"/>
          <w:i/>
          <w:color w:val="000000" w:themeColor="text1"/>
        </w:rPr>
        <w:t>ATENTAMENTE</w:t>
      </w:r>
    </w:p>
    <w:p w14:paraId="4CE4B20B" w14:textId="77777777" w:rsidR="00B04BDC" w:rsidRPr="000C136F" w:rsidRDefault="00113C8E" w:rsidP="007573CA">
      <w:pPr>
        <w:tabs>
          <w:tab w:val="left" w:pos="142"/>
        </w:tabs>
        <w:spacing w:line="360" w:lineRule="auto"/>
        <w:ind w:left="567"/>
        <w:contextualSpacing/>
        <w:rPr>
          <w:rFonts w:ascii="Palatino Linotype" w:hAnsi="Palatino Linotype" w:cs="Arial"/>
          <w:i/>
          <w:color w:val="000000" w:themeColor="text1"/>
        </w:rPr>
      </w:pPr>
      <w:r w:rsidRPr="000C136F">
        <w:rPr>
          <w:rFonts w:ascii="Palatino Linotype" w:hAnsi="Palatino Linotype" w:cs="Arial"/>
          <w:i/>
          <w:color w:val="000000" w:themeColor="text1"/>
        </w:rPr>
        <w:lastRenderedPageBreak/>
        <w:t>DRA. ALICIA TREJO PATIÑO</w:t>
      </w:r>
      <w:r w:rsidR="00B04BDC" w:rsidRPr="000C136F">
        <w:rPr>
          <w:rFonts w:ascii="Palatino Linotype" w:hAnsi="Palatino Linotype" w:cs="Arial"/>
          <w:i/>
          <w:color w:val="000000" w:themeColor="text1"/>
        </w:rPr>
        <w:t>”(Sic)</w:t>
      </w:r>
    </w:p>
    <w:p w14:paraId="7C8F1F91" w14:textId="77777777" w:rsidR="006A5CF6" w:rsidRPr="000C136F" w:rsidRDefault="006A5CF6" w:rsidP="007573CA">
      <w:pPr>
        <w:tabs>
          <w:tab w:val="left" w:pos="142"/>
        </w:tabs>
        <w:spacing w:line="360" w:lineRule="auto"/>
        <w:contextualSpacing/>
        <w:jc w:val="both"/>
        <w:rPr>
          <w:rFonts w:ascii="Palatino Linotype" w:hAnsi="Palatino Linotype" w:cs="Arial"/>
          <w:i/>
          <w:color w:val="000000" w:themeColor="text1"/>
        </w:rPr>
      </w:pPr>
    </w:p>
    <w:p w14:paraId="19BAFA22" w14:textId="77777777" w:rsidR="002E14C5" w:rsidRPr="000C136F" w:rsidRDefault="002E14C5" w:rsidP="007573CA">
      <w:pPr>
        <w:numPr>
          <w:ilvl w:val="0"/>
          <w:numId w:val="7"/>
        </w:numPr>
        <w:tabs>
          <w:tab w:val="left" w:pos="142"/>
        </w:tabs>
        <w:spacing w:line="360" w:lineRule="auto"/>
        <w:ind w:left="142" w:firstLine="0"/>
        <w:contextualSpacing/>
        <w:jc w:val="both"/>
        <w:rPr>
          <w:rFonts w:ascii="Palatino Linotype" w:hAnsi="Palatino Linotype" w:cs="Arial"/>
          <w:color w:val="000000" w:themeColor="text1"/>
        </w:rPr>
      </w:pPr>
      <w:r w:rsidRPr="000C136F">
        <w:rPr>
          <w:rFonts w:ascii="Palatino Linotype" w:hAnsi="Palatino Linotype" w:cs="Arial"/>
          <w:color w:val="000000" w:themeColor="text1"/>
        </w:rPr>
        <w:t xml:space="preserve">Asimismo, </w:t>
      </w:r>
      <w:r w:rsidR="007B7725" w:rsidRPr="000C136F">
        <w:rPr>
          <w:rFonts w:ascii="Palatino Linotype" w:hAnsi="Palatino Linotype" w:cs="Arial"/>
          <w:color w:val="000000" w:themeColor="text1"/>
        </w:rPr>
        <w:t>se</w:t>
      </w:r>
      <w:r w:rsidR="00EE2AED" w:rsidRPr="000C136F">
        <w:rPr>
          <w:rFonts w:ascii="Palatino Linotype" w:hAnsi="Palatino Linotype" w:cs="Arial"/>
          <w:color w:val="000000" w:themeColor="text1"/>
        </w:rPr>
        <w:t xml:space="preserve"> adjuntó el</w:t>
      </w:r>
      <w:r w:rsidR="00617794" w:rsidRPr="000C136F">
        <w:rPr>
          <w:rFonts w:ascii="Palatino Linotype" w:eastAsiaTheme="minorEastAsia" w:hAnsi="Palatino Linotype" w:cs="Arial"/>
          <w:lang w:eastAsia="es-ES"/>
        </w:rPr>
        <w:t xml:space="preserve"> archivo </w:t>
      </w:r>
      <w:r w:rsidR="00113C8E" w:rsidRPr="000C136F">
        <w:rPr>
          <w:rFonts w:ascii="Palatino Linotype" w:hAnsi="Palatino Linotype" w:cs="Arial"/>
          <w:color w:val="000000" w:themeColor="text1"/>
        </w:rPr>
        <w:t xml:space="preserve">electrónico </w:t>
      </w:r>
      <w:hyperlink r:id="rId8" w:tgtFrame="_blank" w:history="1">
        <w:r w:rsidR="00113C8E" w:rsidRPr="000C136F">
          <w:rPr>
            <w:rStyle w:val="Hipervnculo"/>
            <w:rFonts w:ascii="Palatino Linotype" w:hAnsi="Palatino Linotype" w:cs="Arial"/>
            <w:b/>
            <w:bCs/>
            <w:color w:val="auto"/>
          </w:rPr>
          <w:t>00145-UNIDAD DE TRANSPARENCIA-1.pdf</w:t>
        </w:r>
      </w:hyperlink>
      <w:r w:rsidR="006B5A85" w:rsidRPr="000C136F">
        <w:rPr>
          <w:rFonts w:ascii="Palatino Linotype" w:hAnsi="Palatino Linotype" w:cs="Arial"/>
          <w:color w:val="000000" w:themeColor="text1"/>
        </w:rPr>
        <w:t xml:space="preserve"> </w:t>
      </w:r>
      <w:r w:rsidR="000368F1" w:rsidRPr="000C136F">
        <w:rPr>
          <w:rFonts w:ascii="Palatino Linotype" w:hAnsi="Palatino Linotype" w:cs="Arial"/>
          <w:color w:val="000000" w:themeColor="text1"/>
        </w:rPr>
        <w:t>documento</w:t>
      </w:r>
      <w:r w:rsidR="00EE2AED" w:rsidRPr="000C136F">
        <w:rPr>
          <w:rFonts w:ascii="Palatino Linotype" w:eastAsiaTheme="minorEastAsia" w:hAnsi="Palatino Linotype" w:cs="Arial"/>
          <w:lang w:eastAsia="es-ES"/>
        </w:rPr>
        <w:t xml:space="preserve"> </w:t>
      </w:r>
      <w:r w:rsidRPr="000C136F">
        <w:rPr>
          <w:rFonts w:ascii="Palatino Linotype" w:hAnsi="Palatino Linotype" w:cs="Arial"/>
          <w:color w:val="000000" w:themeColor="text1"/>
        </w:rPr>
        <w:t>que se describe a continuación:</w:t>
      </w:r>
    </w:p>
    <w:p w14:paraId="351AB8F4" w14:textId="77777777" w:rsidR="00113C8E" w:rsidRPr="000C136F" w:rsidRDefault="00113C8E" w:rsidP="007573CA">
      <w:pPr>
        <w:pStyle w:val="Prrafodelista"/>
        <w:numPr>
          <w:ilvl w:val="0"/>
          <w:numId w:val="28"/>
        </w:numPr>
        <w:tabs>
          <w:tab w:val="left" w:pos="142"/>
        </w:tabs>
        <w:spacing w:line="360" w:lineRule="auto"/>
        <w:ind w:firstLine="0"/>
        <w:contextualSpacing/>
        <w:jc w:val="both"/>
        <w:rPr>
          <w:rFonts w:ascii="Palatino Linotype" w:hAnsi="Palatino Linotype" w:cs="Arial"/>
          <w:color w:val="000000" w:themeColor="text1"/>
        </w:rPr>
      </w:pPr>
      <w:r w:rsidRPr="000C136F">
        <w:rPr>
          <w:rFonts w:ascii="Palatino Linotype" w:hAnsi="Palatino Linotype" w:cs="Arial"/>
          <w:color w:val="000000" w:themeColor="text1"/>
        </w:rPr>
        <w:t xml:space="preserve">Documento que contiene tres fojas (03), suscrito por la Titular de la </w:t>
      </w:r>
      <w:r w:rsidR="00932678" w:rsidRPr="000C136F">
        <w:rPr>
          <w:rFonts w:ascii="Palatino Linotype" w:hAnsi="Palatino Linotype" w:cs="Arial"/>
          <w:color w:val="000000" w:themeColor="text1"/>
        </w:rPr>
        <w:t>U</w:t>
      </w:r>
      <w:r w:rsidRPr="000C136F">
        <w:rPr>
          <w:rFonts w:ascii="Palatino Linotype" w:hAnsi="Palatino Linotype" w:cs="Arial"/>
          <w:color w:val="000000" w:themeColor="text1"/>
        </w:rPr>
        <w:t>nidad de transparencia, mediante el cual manifiesta su incompetencia para poseer dicha información solicitada, al mismo t</w:t>
      </w:r>
      <w:r w:rsidR="00A13DB3" w:rsidRPr="000C136F">
        <w:rPr>
          <w:rFonts w:ascii="Palatino Linotype" w:hAnsi="Palatino Linotype" w:cs="Arial"/>
          <w:color w:val="000000" w:themeColor="text1"/>
        </w:rPr>
        <w:t xml:space="preserve">iempo que orienta al particular sobre el Sujeto obligado, que puede poseer y administrar dicha información. </w:t>
      </w:r>
    </w:p>
    <w:p w14:paraId="5D3630DF" w14:textId="77777777" w:rsidR="008F573F" w:rsidRPr="000C136F" w:rsidRDefault="008F573F" w:rsidP="007573CA">
      <w:pPr>
        <w:tabs>
          <w:tab w:val="left" w:pos="142"/>
        </w:tabs>
        <w:spacing w:line="360" w:lineRule="auto"/>
        <w:contextualSpacing/>
        <w:jc w:val="both"/>
        <w:rPr>
          <w:rFonts w:ascii="Palatino Linotype" w:hAnsi="Palatino Linotype" w:cs="Arial"/>
          <w:color w:val="000000" w:themeColor="text1"/>
        </w:rPr>
      </w:pPr>
    </w:p>
    <w:p w14:paraId="02FDB8C0" w14:textId="77777777" w:rsidR="009417CA" w:rsidRPr="000C136F" w:rsidRDefault="007B32ED" w:rsidP="007573CA">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0C136F">
        <w:rPr>
          <w:rFonts w:ascii="Palatino Linotype" w:hAnsi="Palatino Linotype" w:cs="Arial"/>
          <w:color w:val="000000" w:themeColor="text1"/>
        </w:rPr>
        <w:t xml:space="preserve">Inconforme con la respuesta, </w:t>
      </w:r>
      <w:r w:rsidR="002D39CF" w:rsidRPr="000C136F">
        <w:rPr>
          <w:rFonts w:ascii="Palatino Linotype" w:hAnsi="Palatino Linotype" w:cs="Arial"/>
          <w:color w:val="000000" w:themeColor="text1"/>
        </w:rPr>
        <w:t>la particular</w:t>
      </w:r>
      <w:r w:rsidRPr="000C136F">
        <w:rPr>
          <w:rFonts w:ascii="Palatino Linotype" w:hAnsi="Palatino Linotype" w:cs="Arial"/>
          <w:color w:val="000000" w:themeColor="text1"/>
        </w:rPr>
        <w:t xml:space="preserve"> e</w:t>
      </w:r>
      <w:r w:rsidR="009417CA" w:rsidRPr="000C136F">
        <w:rPr>
          <w:rFonts w:ascii="Palatino Linotype" w:hAnsi="Palatino Linotype" w:cs="Arial"/>
          <w:color w:val="000000" w:themeColor="text1"/>
        </w:rPr>
        <w:t xml:space="preserve">n fecha </w:t>
      </w:r>
      <w:r w:rsidR="00A13DB3" w:rsidRPr="000C136F">
        <w:rPr>
          <w:rFonts w:ascii="Palatino Linotype" w:hAnsi="Palatino Linotype" w:cs="Arial"/>
          <w:b/>
          <w:color w:val="000000" w:themeColor="text1"/>
        </w:rPr>
        <w:t>uno</w:t>
      </w:r>
      <w:r w:rsidR="009417CA" w:rsidRPr="000C136F">
        <w:rPr>
          <w:rFonts w:ascii="Palatino Linotype" w:hAnsi="Palatino Linotype" w:cs="Arial"/>
          <w:b/>
          <w:color w:val="000000" w:themeColor="text1"/>
        </w:rPr>
        <w:t xml:space="preserve"> (</w:t>
      </w:r>
      <w:r w:rsidR="00A13DB3" w:rsidRPr="000C136F">
        <w:rPr>
          <w:rFonts w:ascii="Palatino Linotype" w:hAnsi="Palatino Linotype" w:cs="Arial"/>
          <w:b/>
          <w:color w:val="000000" w:themeColor="text1"/>
        </w:rPr>
        <w:t>01</w:t>
      </w:r>
      <w:r w:rsidR="009417CA" w:rsidRPr="000C136F">
        <w:rPr>
          <w:rFonts w:ascii="Palatino Linotype" w:hAnsi="Palatino Linotype" w:cs="Arial"/>
          <w:b/>
          <w:color w:val="000000" w:themeColor="text1"/>
        </w:rPr>
        <w:t xml:space="preserve">) de </w:t>
      </w:r>
      <w:r w:rsidR="00A13DB3" w:rsidRPr="000C136F">
        <w:rPr>
          <w:rFonts w:ascii="Palatino Linotype" w:hAnsi="Palatino Linotype" w:cs="Arial"/>
          <w:b/>
          <w:color w:val="000000" w:themeColor="text1"/>
        </w:rPr>
        <w:t>agosto</w:t>
      </w:r>
      <w:r w:rsidR="001C11E3" w:rsidRPr="000C136F">
        <w:rPr>
          <w:rFonts w:ascii="Palatino Linotype" w:hAnsi="Palatino Linotype" w:cs="Arial"/>
          <w:color w:val="000000" w:themeColor="text1"/>
        </w:rPr>
        <w:t xml:space="preserve"> de dos mil veintidós</w:t>
      </w:r>
      <w:r w:rsidRPr="000C136F">
        <w:rPr>
          <w:rFonts w:ascii="Palatino Linotype" w:hAnsi="Palatino Linotype" w:cs="Arial"/>
          <w:color w:val="000000" w:themeColor="text1"/>
        </w:rPr>
        <w:t xml:space="preserve">, </w:t>
      </w:r>
      <w:r w:rsidR="009417CA" w:rsidRPr="000C136F">
        <w:rPr>
          <w:rFonts w:ascii="Palatino Linotype" w:hAnsi="Palatino Linotype" w:cs="Arial"/>
          <w:color w:val="000000" w:themeColor="text1"/>
        </w:rPr>
        <w:t>interpuso el recurso de revisión, señalando como:</w:t>
      </w:r>
    </w:p>
    <w:p w14:paraId="5AA55A24" w14:textId="77777777" w:rsidR="009417CA" w:rsidRPr="000C136F" w:rsidRDefault="009417CA" w:rsidP="007573CA">
      <w:pPr>
        <w:spacing w:line="360" w:lineRule="auto"/>
        <w:ind w:right="333"/>
        <w:rPr>
          <w:rFonts w:ascii="Palatino Linotype" w:hAnsi="Palatino Linotype" w:cs="Arial"/>
          <w:color w:val="000000" w:themeColor="text1"/>
        </w:rPr>
      </w:pPr>
    </w:p>
    <w:p w14:paraId="1480005C" w14:textId="77777777" w:rsidR="009417CA" w:rsidRPr="000C136F" w:rsidRDefault="009417CA" w:rsidP="00932678">
      <w:pPr>
        <w:pStyle w:val="Prrafodelista"/>
        <w:tabs>
          <w:tab w:val="left" w:pos="8222"/>
        </w:tabs>
        <w:spacing w:line="360" w:lineRule="auto"/>
        <w:ind w:left="720" w:right="616"/>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r w:rsidRPr="000C136F">
        <w:rPr>
          <w:rStyle w:val="Ttulo2Car"/>
          <w:rFonts w:ascii="Palatino Linotype" w:hAnsi="Palatino Linotype"/>
          <w:b/>
          <w:color w:val="000000" w:themeColor="text1"/>
          <w:sz w:val="24"/>
          <w:szCs w:val="24"/>
        </w:rPr>
        <w:t>Acto impugnado</w:t>
      </w:r>
      <w:bookmarkEnd w:id="1"/>
      <w:r w:rsidRPr="000C136F">
        <w:rPr>
          <w:rStyle w:val="Ttulo2Car"/>
          <w:rFonts w:ascii="Palatino Linotype" w:hAnsi="Palatino Linotype"/>
          <w:b/>
          <w:color w:val="000000" w:themeColor="text1"/>
          <w:sz w:val="24"/>
          <w:szCs w:val="24"/>
        </w:rPr>
        <w:t xml:space="preserve">: </w:t>
      </w:r>
      <w:r w:rsidRPr="000C136F">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00A13DB3" w:rsidRPr="000C136F">
        <w:rPr>
          <w:rStyle w:val="Ttulo2Car"/>
          <w:rFonts w:ascii="Palatino Linotype" w:hAnsi="Palatino Linotype"/>
          <w:i/>
          <w:color w:val="000000" w:themeColor="text1"/>
          <w:sz w:val="24"/>
          <w:szCs w:val="24"/>
        </w:rPr>
        <w:t>Respuesta brindada</w:t>
      </w:r>
      <w:r w:rsidRPr="000C136F">
        <w:rPr>
          <w:rFonts w:ascii="Palatino Linotype" w:hAnsi="Palatino Linotype"/>
          <w:i/>
          <w:color w:val="000000" w:themeColor="text1"/>
        </w:rPr>
        <w:t>”</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3663B9" w:rsidRPr="000C136F">
        <w:rPr>
          <w:rFonts w:ascii="Palatino Linotype" w:hAnsi="Palatino Linotype"/>
          <w:color w:val="000000" w:themeColor="text1"/>
        </w:rPr>
        <w:t>(Sic)</w:t>
      </w:r>
    </w:p>
    <w:p w14:paraId="0D9A7568" w14:textId="77777777" w:rsidR="00906364" w:rsidRPr="000C136F" w:rsidRDefault="00906364" w:rsidP="007573CA">
      <w:pPr>
        <w:pStyle w:val="Prrafodelista"/>
        <w:tabs>
          <w:tab w:val="left" w:pos="8222"/>
        </w:tabs>
        <w:spacing w:line="360" w:lineRule="auto"/>
        <w:ind w:left="567" w:right="616"/>
        <w:contextualSpacing/>
        <w:jc w:val="both"/>
        <w:rPr>
          <w:rFonts w:ascii="Palatino Linotype" w:hAnsi="Palatino Linotype"/>
          <w:i/>
          <w:color w:val="000000" w:themeColor="text1"/>
        </w:rPr>
      </w:pPr>
    </w:p>
    <w:p w14:paraId="7996E228" w14:textId="77777777" w:rsidR="009417CA" w:rsidRPr="000C136F" w:rsidRDefault="009417CA" w:rsidP="00932678">
      <w:pPr>
        <w:pStyle w:val="Prrafodelista"/>
        <w:tabs>
          <w:tab w:val="left" w:pos="0"/>
          <w:tab w:val="left" w:pos="8222"/>
        </w:tabs>
        <w:spacing w:line="360" w:lineRule="auto"/>
        <w:ind w:left="720" w:right="616"/>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01466"/>
      <w:bookmarkStart w:id="191" w:name="_Toc81401501"/>
      <w:bookmarkStart w:id="192" w:name="_Toc81401517"/>
      <w:r w:rsidRPr="000C136F">
        <w:rPr>
          <w:rStyle w:val="Ttulo2Car"/>
          <w:rFonts w:ascii="Palatino Linotype" w:hAnsi="Palatino Linotype"/>
          <w:b/>
          <w:color w:val="000000" w:themeColor="text1"/>
          <w:sz w:val="24"/>
          <w:szCs w:val="24"/>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0C136F">
        <w:rPr>
          <w:rFonts w:ascii="Palatino Linotype" w:hAnsi="Palatino Linotype"/>
          <w:b/>
          <w:color w:val="000000" w:themeColor="text1"/>
        </w:rPr>
        <w:t xml:space="preserve"> </w:t>
      </w:r>
      <w:r w:rsidRPr="000C136F">
        <w:rPr>
          <w:rFonts w:ascii="Palatino Linotype" w:hAnsi="Palatino Linotype"/>
          <w:i/>
          <w:color w:val="000000" w:themeColor="text1"/>
        </w:rPr>
        <w:t>“</w:t>
      </w:r>
      <w:r w:rsidR="00A13DB3" w:rsidRPr="000C136F">
        <w:rPr>
          <w:rFonts w:ascii="Palatino Linotype" w:hAnsi="Palatino Linotype"/>
          <w:i/>
          <w:color w:val="000000" w:themeColor="text1"/>
        </w:rPr>
        <w:t>Se declraran incompetentes cuando les compete completamente, ademas remiten un acuerdo a destiempo</w:t>
      </w:r>
      <w:r w:rsidR="00EA25C3" w:rsidRPr="000C136F">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C91306" w:rsidRPr="000C136F">
        <w:rPr>
          <w:rFonts w:ascii="Palatino Linotype" w:hAnsi="Palatino Linotype"/>
          <w:color w:val="000000" w:themeColor="text1"/>
        </w:rPr>
        <w:t>(Sic)</w:t>
      </w:r>
    </w:p>
    <w:p w14:paraId="2C6F0E65" w14:textId="77777777" w:rsidR="007B4CF4" w:rsidRPr="000C136F" w:rsidRDefault="007B4CF4" w:rsidP="007573CA">
      <w:pPr>
        <w:pStyle w:val="Prrafodelista"/>
        <w:spacing w:line="360" w:lineRule="auto"/>
        <w:rPr>
          <w:rFonts w:ascii="Palatino Linotype" w:hAnsi="Palatino Linotype" w:cs="Arial"/>
          <w:color w:val="000000" w:themeColor="text1"/>
        </w:rPr>
      </w:pPr>
    </w:p>
    <w:p w14:paraId="3B8807E4" w14:textId="77777777" w:rsidR="001C11E3" w:rsidRPr="000C136F" w:rsidRDefault="009417CA" w:rsidP="007573CA">
      <w:pPr>
        <w:pStyle w:val="Prrafodelista"/>
        <w:numPr>
          <w:ilvl w:val="0"/>
          <w:numId w:val="7"/>
        </w:numPr>
        <w:spacing w:line="360" w:lineRule="auto"/>
        <w:ind w:left="0" w:firstLine="0"/>
        <w:jc w:val="both"/>
        <w:rPr>
          <w:rFonts w:ascii="Palatino Linotype" w:eastAsia="Calibri" w:hAnsi="Palatino Linotype" w:cs="Arial"/>
        </w:rPr>
      </w:pPr>
      <w:r w:rsidRPr="000C136F">
        <w:rPr>
          <w:rFonts w:ascii="Palatino Linotype" w:eastAsia="Calibri" w:hAnsi="Palatino Linotype" w:cs="Arial"/>
        </w:rPr>
        <w:t xml:space="preserve">Se </w:t>
      </w:r>
      <w:r w:rsidRPr="000C136F">
        <w:rPr>
          <w:rFonts w:ascii="Palatino Linotype" w:hAnsi="Palatino Linotype" w:cs="Arial"/>
          <w:color w:val="000000" w:themeColor="text1"/>
        </w:rPr>
        <w:t>registró</w:t>
      </w:r>
      <w:r w:rsidRPr="000C136F">
        <w:rPr>
          <w:rFonts w:ascii="Palatino Linotype" w:eastAsia="Calibri" w:hAnsi="Palatino Linotype" w:cs="Arial"/>
        </w:rPr>
        <w:t xml:space="preserve"> el recurso de revisión bajo el número de expediente al rubro indicado, </w:t>
      </w:r>
      <w:r w:rsidR="007D4707" w:rsidRPr="000C136F">
        <w:rPr>
          <w:rFonts w:ascii="Palatino Linotype" w:eastAsia="Calibri" w:hAnsi="Palatino Linotype" w:cs="Arial"/>
        </w:rPr>
        <w:t xml:space="preserve">y </w:t>
      </w:r>
      <w:r w:rsidRPr="000C136F">
        <w:rPr>
          <w:rFonts w:ascii="Palatino Linotype" w:eastAsia="Calibri" w:hAnsi="Palatino Linotype" w:cs="Arial"/>
        </w:rPr>
        <w:t xml:space="preserve">con fundamento en lo dispuesto por el artículo 185 fracción I de la </w:t>
      </w:r>
      <w:r w:rsidRPr="000C136F">
        <w:rPr>
          <w:rFonts w:ascii="Palatino Linotype" w:eastAsia="Calibri" w:hAnsi="Palatino Linotype" w:cs="Arial"/>
          <w:b/>
        </w:rPr>
        <w:t xml:space="preserve">Ley de Transparencia y Acceso a la Información Pública del Estado de México y </w:t>
      </w:r>
      <w:r w:rsidRPr="000C136F">
        <w:rPr>
          <w:rFonts w:ascii="Palatino Linotype" w:eastAsia="Calibri" w:hAnsi="Palatino Linotype" w:cs="Arial"/>
          <w:b/>
        </w:rPr>
        <w:lastRenderedPageBreak/>
        <w:t>Municipios</w:t>
      </w:r>
      <w:r w:rsidRPr="000C136F">
        <w:rPr>
          <w:rFonts w:ascii="Palatino Linotype" w:eastAsia="Calibri" w:hAnsi="Palatino Linotype" w:cs="Arial"/>
        </w:rPr>
        <w:t>, se turnó a</w:t>
      </w:r>
      <w:r w:rsidR="007B32ED" w:rsidRPr="000C136F">
        <w:rPr>
          <w:rFonts w:ascii="Palatino Linotype" w:eastAsia="Calibri" w:hAnsi="Palatino Linotype" w:cs="Arial"/>
        </w:rPr>
        <w:t xml:space="preserve"> </w:t>
      </w:r>
      <w:r w:rsidRPr="000C136F">
        <w:rPr>
          <w:rFonts w:ascii="Palatino Linotype" w:eastAsia="Calibri" w:hAnsi="Palatino Linotype" w:cs="Arial"/>
        </w:rPr>
        <w:t>l</w:t>
      </w:r>
      <w:r w:rsidR="007B32ED" w:rsidRPr="000C136F">
        <w:rPr>
          <w:rFonts w:ascii="Palatino Linotype" w:eastAsia="Calibri" w:hAnsi="Palatino Linotype" w:cs="Arial"/>
        </w:rPr>
        <w:t>a</w:t>
      </w:r>
      <w:r w:rsidR="00C91306" w:rsidRPr="000C136F">
        <w:rPr>
          <w:rFonts w:ascii="Palatino Linotype" w:eastAsia="Calibri" w:hAnsi="Palatino Linotype" w:cs="Arial"/>
        </w:rPr>
        <w:t xml:space="preserve"> </w:t>
      </w:r>
      <w:r w:rsidR="00C91306" w:rsidRPr="000C136F">
        <w:rPr>
          <w:rFonts w:ascii="Palatino Linotype" w:eastAsia="Calibri" w:hAnsi="Palatino Linotype" w:cs="Arial"/>
          <w:b/>
        </w:rPr>
        <w:t>Comisionada María del Rosario Mejía Ayala</w:t>
      </w:r>
      <w:r w:rsidRPr="000C136F">
        <w:rPr>
          <w:rFonts w:ascii="Palatino Linotype" w:eastAsia="Calibri" w:hAnsi="Palatino Linotype" w:cs="Arial"/>
          <w:b/>
        </w:rPr>
        <w:t>,</w:t>
      </w:r>
      <w:r w:rsidRPr="000C136F">
        <w:rPr>
          <w:rFonts w:ascii="Palatino Linotype" w:eastAsia="Calibri" w:hAnsi="Palatino Linotype" w:cs="Arial"/>
        </w:rPr>
        <w:t xml:space="preserve"> con el objeto de su análisis.</w:t>
      </w:r>
    </w:p>
    <w:p w14:paraId="6CA38F71" w14:textId="77777777" w:rsidR="001C11E3" w:rsidRPr="000C136F" w:rsidRDefault="001C11E3" w:rsidP="007573CA">
      <w:pPr>
        <w:pStyle w:val="Prrafodelista"/>
        <w:numPr>
          <w:ilvl w:val="0"/>
          <w:numId w:val="7"/>
        </w:numPr>
        <w:spacing w:line="360" w:lineRule="auto"/>
        <w:ind w:left="0" w:firstLine="0"/>
        <w:jc w:val="both"/>
        <w:rPr>
          <w:rFonts w:ascii="Palatino Linotype" w:eastAsia="Calibri" w:hAnsi="Palatino Linotype" w:cs="Arial"/>
        </w:rPr>
      </w:pPr>
      <w:r w:rsidRPr="000C136F">
        <w:rPr>
          <w:rFonts w:ascii="Palatino Linotype" w:eastAsia="Calibri" w:hAnsi="Palatino Linotype" w:cs="Arial"/>
          <w:color w:val="000000" w:themeColor="text1"/>
        </w:rPr>
        <w:t xml:space="preserve">De las constancias que obran en el expediente digital del recurso de revisión que hoy se resuelve, se aprecia que el </w:t>
      </w:r>
      <w:r w:rsidRPr="000C136F">
        <w:rPr>
          <w:rFonts w:ascii="Palatino Linotype" w:eastAsia="Calibri" w:hAnsi="Palatino Linotype" w:cs="Arial"/>
          <w:b/>
          <w:color w:val="000000" w:themeColor="text1"/>
        </w:rPr>
        <w:t xml:space="preserve">SUJETO OBLIGADO </w:t>
      </w:r>
      <w:r w:rsidRPr="000C136F">
        <w:rPr>
          <w:rFonts w:ascii="Palatino Linotype" w:eastAsia="Calibri" w:hAnsi="Palatino Linotype" w:cs="Arial"/>
          <w:color w:val="000000" w:themeColor="text1"/>
        </w:rPr>
        <w:t xml:space="preserve">no rindió informe justificado para manifestar lo que a su derecho conviniera; por su parte, el </w:t>
      </w:r>
      <w:r w:rsidRPr="000C136F">
        <w:rPr>
          <w:rFonts w:ascii="Palatino Linotype" w:eastAsia="Calibri" w:hAnsi="Palatino Linotype" w:cs="Arial"/>
          <w:b/>
          <w:color w:val="000000" w:themeColor="text1"/>
        </w:rPr>
        <w:t xml:space="preserve">RECURRENTE </w:t>
      </w:r>
      <w:r w:rsidRPr="000C136F">
        <w:rPr>
          <w:rFonts w:ascii="Palatino Linotype" w:eastAsia="Calibri" w:hAnsi="Palatino Linotype" w:cs="Arial"/>
          <w:color w:val="000000" w:themeColor="text1"/>
        </w:rPr>
        <w:t xml:space="preserve">no presentó alegatos ni ofreció medios de prueba. Se adjunta captura del apartado de </w:t>
      </w:r>
      <w:r w:rsidRPr="000C136F">
        <w:rPr>
          <w:rFonts w:ascii="Palatino Linotype" w:eastAsia="Calibri" w:hAnsi="Palatino Linotype" w:cs="Arial"/>
          <w:i/>
          <w:iCs/>
          <w:color w:val="000000" w:themeColor="text1"/>
        </w:rPr>
        <w:t>Manifestaciones</w:t>
      </w:r>
      <w:r w:rsidRPr="000C136F">
        <w:rPr>
          <w:rFonts w:ascii="Palatino Linotype" w:eastAsia="Calibri" w:hAnsi="Palatino Linotype" w:cs="Arial"/>
          <w:color w:val="000000" w:themeColor="text1"/>
        </w:rPr>
        <w:t xml:space="preserve"> del </w:t>
      </w:r>
      <w:r w:rsidRPr="000C136F">
        <w:rPr>
          <w:rFonts w:ascii="Palatino Linotype" w:eastAsia="Calibri" w:hAnsi="Palatino Linotype" w:cs="Arial"/>
          <w:i/>
          <w:iCs/>
          <w:color w:val="000000" w:themeColor="text1"/>
        </w:rPr>
        <w:t>SAIMEX</w:t>
      </w:r>
      <w:r w:rsidRPr="000C136F">
        <w:rPr>
          <w:rFonts w:ascii="Palatino Linotype" w:eastAsia="Calibri" w:hAnsi="Palatino Linotype" w:cs="Arial"/>
          <w:color w:val="000000" w:themeColor="text1"/>
        </w:rPr>
        <w:t xml:space="preserve"> del expediente como mera referencia:</w:t>
      </w:r>
    </w:p>
    <w:p w14:paraId="59C2C52E" w14:textId="77777777" w:rsidR="001C11E3" w:rsidRPr="000C136F" w:rsidRDefault="00A13DB3" w:rsidP="007573CA">
      <w:pPr>
        <w:pStyle w:val="Prrafodelista"/>
        <w:spacing w:line="360" w:lineRule="auto"/>
        <w:ind w:left="0"/>
        <w:jc w:val="center"/>
        <w:rPr>
          <w:rFonts w:ascii="Palatino Linotype" w:eastAsia="Calibri" w:hAnsi="Palatino Linotype" w:cs="Arial"/>
        </w:rPr>
      </w:pPr>
      <w:r w:rsidRPr="000C136F">
        <w:rPr>
          <w:rFonts w:ascii="Palatino Linotype" w:hAnsi="Palatino Linotype"/>
          <w:noProof/>
          <w:lang w:val="es-MX" w:eastAsia="es-MX"/>
        </w:rPr>
        <w:drawing>
          <wp:inline distT="0" distB="0" distL="0" distR="0" wp14:anchorId="61B7441A" wp14:editId="4EBC9287">
            <wp:extent cx="5349240" cy="1485900"/>
            <wp:effectExtent l="19050" t="19050" r="2286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142" t="36224" r="18703" b="32080"/>
                    <a:stretch/>
                  </pic:blipFill>
                  <pic:spPr bwMode="auto">
                    <a:xfrm>
                      <a:off x="0" y="0"/>
                      <a:ext cx="5356375" cy="1487882"/>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20135B8A" w14:textId="77777777" w:rsidR="007B7725" w:rsidRPr="000C136F" w:rsidRDefault="007B7725" w:rsidP="007573CA">
      <w:pPr>
        <w:spacing w:line="360" w:lineRule="auto"/>
        <w:rPr>
          <w:rFonts w:ascii="Palatino Linotype" w:hAnsi="Palatino Linotype"/>
          <w:color w:val="000000"/>
        </w:rPr>
      </w:pPr>
    </w:p>
    <w:p w14:paraId="21AB9134" w14:textId="77777777" w:rsidR="008F573F" w:rsidRPr="000C136F" w:rsidRDefault="008F573F" w:rsidP="007573CA">
      <w:pPr>
        <w:pStyle w:val="Prrafodelista"/>
        <w:spacing w:line="360" w:lineRule="auto"/>
        <w:rPr>
          <w:rFonts w:ascii="Palatino Linotype" w:hAnsi="Palatino Linotype"/>
          <w:color w:val="000000" w:themeColor="text1"/>
        </w:rPr>
      </w:pPr>
    </w:p>
    <w:p w14:paraId="4DEE4A16" w14:textId="77777777" w:rsidR="001769CF" w:rsidRPr="000C136F" w:rsidRDefault="005B25CC" w:rsidP="007573CA">
      <w:pPr>
        <w:pStyle w:val="Prrafodelista"/>
        <w:numPr>
          <w:ilvl w:val="0"/>
          <w:numId w:val="7"/>
        </w:numPr>
        <w:spacing w:line="360" w:lineRule="auto"/>
        <w:ind w:left="0" w:firstLine="0"/>
        <w:jc w:val="both"/>
        <w:rPr>
          <w:rFonts w:ascii="Palatino Linotype" w:hAnsi="Palatino Linotype" w:cs="Arial"/>
          <w:color w:val="000000" w:themeColor="text1"/>
        </w:rPr>
      </w:pPr>
      <w:r w:rsidRPr="000C136F">
        <w:rPr>
          <w:rFonts w:ascii="Palatino Linotype" w:hAnsi="Palatino Linotype"/>
        </w:rPr>
        <w:t>La Comisionada</w:t>
      </w:r>
      <w:r w:rsidR="00AA6396" w:rsidRPr="000C136F">
        <w:rPr>
          <w:rFonts w:ascii="Palatino Linotype" w:hAnsi="Palatino Linotype"/>
        </w:rPr>
        <w:t xml:space="preserve"> Ponente mediante a</w:t>
      </w:r>
      <w:r w:rsidR="009417CA" w:rsidRPr="000C136F">
        <w:rPr>
          <w:rFonts w:ascii="Palatino Linotype" w:hAnsi="Palatino Linotype"/>
        </w:rPr>
        <w:t>cuerdo</w:t>
      </w:r>
      <w:r w:rsidR="00AA6396" w:rsidRPr="000C136F">
        <w:rPr>
          <w:rFonts w:ascii="Palatino Linotype" w:hAnsi="Palatino Linotype"/>
        </w:rPr>
        <w:t>s</w:t>
      </w:r>
      <w:r w:rsidR="009417CA" w:rsidRPr="000C136F">
        <w:rPr>
          <w:rFonts w:ascii="Palatino Linotype" w:hAnsi="Palatino Linotype"/>
        </w:rPr>
        <w:t xml:space="preserve"> de fecha </w:t>
      </w:r>
      <w:r w:rsidR="00A13DB3" w:rsidRPr="000C136F">
        <w:rPr>
          <w:rFonts w:ascii="Palatino Linotype" w:hAnsi="Palatino Linotype"/>
          <w:b/>
        </w:rPr>
        <w:t>uno</w:t>
      </w:r>
      <w:r w:rsidR="009417CA" w:rsidRPr="000C136F">
        <w:rPr>
          <w:rFonts w:ascii="Palatino Linotype" w:hAnsi="Palatino Linotype"/>
          <w:b/>
        </w:rPr>
        <w:t xml:space="preserve"> (</w:t>
      </w:r>
      <w:r w:rsidR="00A13DB3" w:rsidRPr="000C136F">
        <w:rPr>
          <w:rFonts w:ascii="Palatino Linotype" w:hAnsi="Palatino Linotype"/>
          <w:b/>
        </w:rPr>
        <w:t>01</w:t>
      </w:r>
      <w:r w:rsidR="009417CA" w:rsidRPr="000C136F">
        <w:rPr>
          <w:rFonts w:ascii="Palatino Linotype" w:hAnsi="Palatino Linotype"/>
          <w:b/>
        </w:rPr>
        <w:t xml:space="preserve">) de </w:t>
      </w:r>
      <w:r w:rsidR="00A13DB3" w:rsidRPr="000C136F">
        <w:rPr>
          <w:rFonts w:ascii="Palatino Linotype" w:hAnsi="Palatino Linotype"/>
          <w:b/>
          <w:color w:val="000000" w:themeColor="text1"/>
        </w:rPr>
        <w:t>septiembre</w:t>
      </w:r>
      <w:r w:rsidR="007F73E5" w:rsidRPr="000C136F">
        <w:rPr>
          <w:rFonts w:ascii="Palatino Linotype" w:hAnsi="Palatino Linotype"/>
          <w:b/>
        </w:rPr>
        <w:t xml:space="preserve"> </w:t>
      </w:r>
      <w:r w:rsidR="007F73E5" w:rsidRPr="000C136F">
        <w:rPr>
          <w:rFonts w:ascii="Palatino Linotype" w:hAnsi="Palatino Linotype"/>
        </w:rPr>
        <w:t>de dos mil veintidós</w:t>
      </w:r>
      <w:r w:rsidR="003E7EB6" w:rsidRPr="000C136F">
        <w:rPr>
          <w:rFonts w:ascii="Palatino Linotype" w:hAnsi="Palatino Linotype"/>
        </w:rPr>
        <w:t>,</w:t>
      </w:r>
      <w:r w:rsidR="00AA6396" w:rsidRPr="000C136F">
        <w:rPr>
          <w:rFonts w:ascii="Palatino Linotype" w:hAnsi="Palatino Linotype"/>
        </w:rPr>
        <w:t xml:space="preserve"> amplió el termino para resolver como asimismo </w:t>
      </w:r>
      <w:r w:rsidR="009417CA" w:rsidRPr="000C136F">
        <w:rPr>
          <w:rFonts w:ascii="Palatino Linotype" w:hAnsi="Palatino Linotype"/>
        </w:rPr>
        <w:t xml:space="preserve"> decretó el cierre de instrucción</w:t>
      </w:r>
      <w:r w:rsidR="00AA6396" w:rsidRPr="000C136F">
        <w:rPr>
          <w:rFonts w:ascii="Palatino Linotype" w:hAnsi="Palatino Linotype" w:cs="Arial"/>
        </w:rPr>
        <w:t>,</w:t>
      </w:r>
      <w:r w:rsidR="00AA6396" w:rsidRPr="000C136F">
        <w:rPr>
          <w:rFonts w:ascii="Palatino Linotype" w:hAnsi="Palatino Linotype" w:cs="Arial"/>
          <w:color w:val="000000" w:themeColor="text1"/>
        </w:rPr>
        <w:t xml:space="preserve"> </w:t>
      </w:r>
      <w:r w:rsidR="009417CA" w:rsidRPr="000C136F">
        <w:rPr>
          <w:rFonts w:ascii="Palatino Linotype" w:hAnsi="Palatino Linotype" w:cs="Arial"/>
        </w:rPr>
        <w:t>por lo que no habiendo más que hacer constar, y ------------</w:t>
      </w:r>
      <w:bookmarkStart w:id="193" w:name="_Toc491791302"/>
      <w:bookmarkStart w:id="194" w:name="_Toc74778592"/>
      <w:r w:rsidR="008F573F" w:rsidRPr="000C136F">
        <w:rPr>
          <w:rFonts w:ascii="Palatino Linotype" w:hAnsi="Palatino Linotype" w:cs="Arial"/>
        </w:rPr>
        <w:t>-------------</w:t>
      </w:r>
    </w:p>
    <w:p w14:paraId="499D11CC" w14:textId="77777777" w:rsidR="008F573F" w:rsidRPr="000C136F" w:rsidRDefault="008F573F" w:rsidP="007573CA">
      <w:pPr>
        <w:pStyle w:val="Prrafodelista"/>
        <w:spacing w:line="360" w:lineRule="auto"/>
        <w:rPr>
          <w:rFonts w:ascii="Palatino Linotype" w:hAnsi="Palatino Linotype" w:cs="Arial"/>
          <w:color w:val="000000" w:themeColor="text1"/>
        </w:rPr>
      </w:pPr>
    </w:p>
    <w:p w14:paraId="29C096DA" w14:textId="77777777" w:rsidR="009417CA" w:rsidRPr="000C136F" w:rsidRDefault="009417CA" w:rsidP="007573CA">
      <w:pPr>
        <w:pStyle w:val="Ttulo1"/>
        <w:spacing w:before="0" w:line="360" w:lineRule="auto"/>
        <w:jc w:val="center"/>
        <w:rPr>
          <w:rFonts w:ascii="Palatino Linotype" w:hAnsi="Palatino Linotype"/>
          <w:b/>
          <w:color w:val="000000" w:themeColor="text1"/>
          <w:sz w:val="24"/>
          <w:szCs w:val="24"/>
        </w:rPr>
      </w:pPr>
      <w:bookmarkStart w:id="195" w:name="_Toc81401518"/>
      <w:r w:rsidRPr="000C136F">
        <w:rPr>
          <w:rFonts w:ascii="Palatino Linotype" w:hAnsi="Palatino Linotype"/>
          <w:b/>
          <w:color w:val="000000" w:themeColor="text1"/>
          <w:sz w:val="24"/>
          <w:szCs w:val="24"/>
        </w:rPr>
        <w:t>CONSIDERANDO</w:t>
      </w:r>
      <w:bookmarkEnd w:id="193"/>
      <w:bookmarkEnd w:id="194"/>
      <w:bookmarkEnd w:id="195"/>
    </w:p>
    <w:p w14:paraId="5C67F792" w14:textId="77777777" w:rsidR="009417CA" w:rsidRPr="000C136F" w:rsidRDefault="009417CA" w:rsidP="007573CA">
      <w:pPr>
        <w:spacing w:line="360" w:lineRule="auto"/>
        <w:rPr>
          <w:rFonts w:ascii="Palatino Linotype" w:hAnsi="Palatino Linotype"/>
          <w:lang w:eastAsia="en-US"/>
        </w:rPr>
      </w:pPr>
    </w:p>
    <w:p w14:paraId="1B9175BB" w14:textId="77777777" w:rsidR="009417CA" w:rsidRPr="000C136F" w:rsidRDefault="009417CA" w:rsidP="007573CA">
      <w:pPr>
        <w:pStyle w:val="Ttulo2"/>
        <w:spacing w:before="0" w:line="360" w:lineRule="auto"/>
        <w:rPr>
          <w:rFonts w:ascii="Palatino Linotype" w:hAnsi="Palatino Linotype"/>
          <w:b/>
          <w:color w:val="auto"/>
          <w:sz w:val="24"/>
          <w:szCs w:val="24"/>
        </w:rPr>
      </w:pPr>
      <w:bookmarkStart w:id="196" w:name="_Toc491791303"/>
      <w:bookmarkStart w:id="197" w:name="_Toc74778593"/>
      <w:bookmarkStart w:id="198" w:name="_Toc81401519"/>
      <w:r w:rsidRPr="000C136F">
        <w:rPr>
          <w:rFonts w:ascii="Palatino Linotype" w:hAnsi="Palatino Linotype"/>
          <w:b/>
          <w:color w:val="auto"/>
          <w:sz w:val="24"/>
          <w:szCs w:val="24"/>
        </w:rPr>
        <w:lastRenderedPageBreak/>
        <w:t>PRIMERO. De la competencia</w:t>
      </w:r>
      <w:bookmarkEnd w:id="196"/>
      <w:bookmarkEnd w:id="197"/>
      <w:bookmarkEnd w:id="198"/>
    </w:p>
    <w:p w14:paraId="365E4AAB" w14:textId="77777777" w:rsidR="009417CA" w:rsidRPr="000C136F" w:rsidRDefault="009417CA" w:rsidP="007573CA">
      <w:pPr>
        <w:spacing w:line="360" w:lineRule="auto"/>
        <w:rPr>
          <w:rFonts w:ascii="Palatino Linotype" w:hAnsi="Palatino Linotype"/>
          <w:lang w:eastAsia="en-US"/>
        </w:rPr>
      </w:pPr>
    </w:p>
    <w:p w14:paraId="5A6363C0" w14:textId="77777777" w:rsidR="002D36A0" w:rsidRPr="000C136F" w:rsidRDefault="002D36A0" w:rsidP="007573CA">
      <w:pPr>
        <w:pStyle w:val="Prrafodelista"/>
        <w:numPr>
          <w:ilvl w:val="0"/>
          <w:numId w:val="19"/>
        </w:numPr>
        <w:tabs>
          <w:tab w:val="left" w:pos="0"/>
        </w:tabs>
        <w:spacing w:line="360" w:lineRule="auto"/>
        <w:ind w:left="0" w:firstLine="0"/>
        <w:contextualSpacing/>
        <w:jc w:val="both"/>
        <w:rPr>
          <w:rFonts w:ascii="Palatino Linotype" w:eastAsia="MS Mincho" w:hAnsi="Palatino Linotype"/>
          <w:lang w:val="es-ES_tradnl"/>
        </w:rPr>
      </w:pPr>
      <w:bookmarkStart w:id="199" w:name="_Toc491791304"/>
      <w:bookmarkStart w:id="200" w:name="_Toc74778594"/>
      <w:r w:rsidRPr="000C136F">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136F">
        <w:rPr>
          <w:rFonts w:ascii="Palatino Linotype" w:eastAsia="Calibri" w:hAnsi="Palatino Linotype"/>
          <w:b/>
        </w:rPr>
        <w:t>Constitución Política de los Estados Unidos Mexicanos</w:t>
      </w:r>
      <w:r w:rsidRPr="000C136F">
        <w:rPr>
          <w:rFonts w:ascii="Palatino Linotype" w:eastAsia="Calibri" w:hAnsi="Palatino Linotype"/>
        </w:rPr>
        <w:t xml:space="preserve">; </w:t>
      </w:r>
      <w:r w:rsidRPr="000C136F">
        <w:rPr>
          <w:rFonts w:ascii="Palatino Linotype" w:eastAsia="Calibri" w:hAnsi="Palatino Linotype" w:cs="Arial"/>
          <w:bCs/>
          <w:color w:val="222222"/>
          <w:shd w:val="clear" w:color="auto" w:fill="FFFFFF"/>
          <w:lang w:eastAsia="en-US"/>
        </w:rPr>
        <w:t>5, párrafo</w:t>
      </w:r>
      <w:r w:rsidRPr="000C136F">
        <w:rPr>
          <w:rFonts w:ascii="Palatino Linotype" w:eastAsia="Calibri" w:hAnsi="Palatino Linotype"/>
          <w:lang w:val="es-MX" w:eastAsia="en-US"/>
        </w:rPr>
        <w:t xml:space="preserve"> trigésimo, trigésimo primero y trigésimo segundo, fracciones I, II, III, IV y V</w:t>
      </w:r>
      <w:r w:rsidRPr="000C136F">
        <w:rPr>
          <w:rFonts w:ascii="Palatino Linotype" w:eastAsia="MS Mincho" w:hAnsi="Palatino Linotype"/>
          <w:lang w:val="es-ES_tradnl"/>
        </w:rPr>
        <w:t xml:space="preserve"> </w:t>
      </w:r>
      <w:r w:rsidRPr="000C136F">
        <w:rPr>
          <w:rFonts w:ascii="Palatino Linotype" w:eastAsia="Calibri" w:hAnsi="Palatino Linotype"/>
        </w:rPr>
        <w:t xml:space="preserve">de la </w:t>
      </w:r>
      <w:r w:rsidRPr="000C136F">
        <w:rPr>
          <w:rFonts w:ascii="Palatino Linotype" w:eastAsia="Calibri" w:hAnsi="Palatino Linotype"/>
          <w:b/>
        </w:rPr>
        <w:t>Constitución Política del Estado Libre y Soberano de México</w:t>
      </w:r>
      <w:r w:rsidRPr="000C136F">
        <w:rPr>
          <w:rFonts w:ascii="Palatino Linotype" w:eastAsia="Calibri" w:hAnsi="Palatino Linotype"/>
        </w:rPr>
        <w:t xml:space="preserve">; artículos 1, 2 fracción II, 13, 29, 36 fracciones I y II, 176, 178, 179, 181 párrafo tercero y 185 </w:t>
      </w:r>
      <w:r w:rsidRPr="000C136F">
        <w:rPr>
          <w:rFonts w:ascii="Palatino Linotype" w:eastAsia="Calibri" w:hAnsi="Palatino Linotype" w:cs="Arial"/>
        </w:rPr>
        <w:t xml:space="preserve">de la </w:t>
      </w:r>
      <w:r w:rsidRPr="000C136F">
        <w:rPr>
          <w:rFonts w:ascii="Palatino Linotype" w:eastAsia="Calibri" w:hAnsi="Palatino Linotype" w:cs="Arial"/>
          <w:b/>
        </w:rPr>
        <w:t>Ley de Transparencia y Acceso a la Información Pública del Estado de México y Municipios</w:t>
      </w:r>
      <w:r w:rsidRPr="000C136F">
        <w:rPr>
          <w:rFonts w:ascii="Palatino Linotype" w:eastAsia="Calibri" w:hAnsi="Palatino Linotype" w:cs="Arial"/>
        </w:rPr>
        <w:t xml:space="preserve">; </w:t>
      </w:r>
      <w:r w:rsidRPr="000C136F">
        <w:rPr>
          <w:rFonts w:ascii="Palatino Linotype" w:eastAsia="Calibri" w:hAnsi="Palatino Linotype" w:cs="Arial"/>
          <w:b/>
        </w:rPr>
        <w:t>7, 9 fracciones I y XXIV, y 11</w:t>
      </w:r>
      <w:r w:rsidRPr="000C136F">
        <w:rPr>
          <w:rFonts w:ascii="Palatino Linotype" w:eastAsia="Calibri" w:hAnsi="Palatino Linotype" w:cs="Arial"/>
        </w:rPr>
        <w:t xml:space="preserve"> del </w:t>
      </w:r>
      <w:r w:rsidRPr="000C136F">
        <w:rPr>
          <w:rFonts w:ascii="Palatino Linotype" w:eastAsia="Calibri" w:hAnsi="Palatino Linotype" w:cs="Arial"/>
          <w:b/>
        </w:rPr>
        <w:t>Reglamento Interior del Instituto de Transparencia, Acceso a la Información Pública y Protección de Datos Personales del Estado de México y Municipios.</w:t>
      </w:r>
    </w:p>
    <w:p w14:paraId="31F6B097" w14:textId="77777777" w:rsidR="005B25CC" w:rsidRPr="000C136F" w:rsidRDefault="005B25CC" w:rsidP="007573CA">
      <w:pPr>
        <w:pStyle w:val="Prrafodelista"/>
        <w:spacing w:line="360" w:lineRule="auto"/>
        <w:ind w:left="0"/>
        <w:jc w:val="both"/>
        <w:rPr>
          <w:rFonts w:ascii="Palatino Linotype" w:hAnsi="Palatino Linotype"/>
          <w:b/>
          <w:color w:val="000000" w:themeColor="text1"/>
        </w:rPr>
      </w:pPr>
    </w:p>
    <w:p w14:paraId="5FE163A6" w14:textId="77777777" w:rsidR="009417CA" w:rsidRPr="000C136F" w:rsidRDefault="009417CA" w:rsidP="007573CA">
      <w:pPr>
        <w:pStyle w:val="Ttulo1"/>
        <w:spacing w:before="0" w:line="360" w:lineRule="auto"/>
        <w:rPr>
          <w:rFonts w:ascii="Palatino Linotype" w:hAnsi="Palatino Linotype"/>
          <w:b/>
          <w:color w:val="000000" w:themeColor="text1"/>
          <w:sz w:val="24"/>
          <w:szCs w:val="24"/>
        </w:rPr>
      </w:pPr>
      <w:bookmarkStart w:id="201" w:name="_Toc81401520"/>
      <w:r w:rsidRPr="000C136F">
        <w:rPr>
          <w:rFonts w:ascii="Palatino Linotype" w:hAnsi="Palatino Linotype"/>
          <w:b/>
          <w:color w:val="000000" w:themeColor="text1"/>
          <w:sz w:val="24"/>
          <w:szCs w:val="24"/>
        </w:rPr>
        <w:t>SEGUNDO. De la oportunidad y procedencia.</w:t>
      </w:r>
      <w:bookmarkEnd w:id="199"/>
      <w:bookmarkEnd w:id="200"/>
      <w:bookmarkEnd w:id="201"/>
    </w:p>
    <w:p w14:paraId="64B8CC7E" w14:textId="77777777" w:rsidR="007573CA" w:rsidRPr="000C136F" w:rsidRDefault="007573CA" w:rsidP="007573CA">
      <w:pPr>
        <w:spacing w:line="360" w:lineRule="auto"/>
        <w:rPr>
          <w:rFonts w:ascii="Palatino Linotype" w:hAnsi="Palatino Linotype"/>
          <w:lang w:eastAsia="es-ES"/>
        </w:rPr>
      </w:pPr>
    </w:p>
    <w:p w14:paraId="2089DAE9" w14:textId="77777777" w:rsidR="004E57C2" w:rsidRPr="000C136F" w:rsidRDefault="004E57C2" w:rsidP="007573CA">
      <w:pPr>
        <w:pStyle w:val="Prrafodelista"/>
        <w:numPr>
          <w:ilvl w:val="0"/>
          <w:numId w:val="19"/>
        </w:numPr>
        <w:spacing w:line="360" w:lineRule="auto"/>
        <w:ind w:left="0" w:firstLine="0"/>
        <w:jc w:val="both"/>
        <w:rPr>
          <w:rFonts w:ascii="Palatino Linotype" w:hAnsi="Palatino Linotype"/>
        </w:rPr>
      </w:pPr>
      <w:bookmarkStart w:id="202" w:name="_Toc521431830"/>
      <w:bookmarkStart w:id="203" w:name="_Toc27653760"/>
      <w:r w:rsidRPr="000C136F">
        <w:rPr>
          <w:rFonts w:ascii="Palatino Linotype" w:eastAsia="Calibri" w:hAnsi="Palatino Linotype" w:cs="Arial"/>
        </w:rPr>
        <w:t xml:space="preserve">El medio de impugnación fue presentado a través del </w:t>
      </w:r>
      <w:r w:rsidRPr="000C136F">
        <w:rPr>
          <w:rFonts w:ascii="Palatino Linotype" w:eastAsia="Calibri" w:hAnsi="Palatino Linotype" w:cs="Arial"/>
          <w:b/>
        </w:rPr>
        <w:t>SAIMEX,</w:t>
      </w:r>
      <w:r w:rsidRPr="000C136F">
        <w:rPr>
          <w:rFonts w:ascii="Palatino Linotype" w:eastAsia="Calibri" w:hAnsi="Palatino Linotype" w:cs="Arial"/>
        </w:rPr>
        <w:t xml:space="preserve"> en el formato </w:t>
      </w:r>
      <w:r w:rsidRPr="000C136F">
        <w:rPr>
          <w:rFonts w:ascii="Palatino Linotype" w:eastAsia="Calibri" w:hAnsi="Palatino Linotype"/>
        </w:rPr>
        <w:t>previamente</w:t>
      </w:r>
      <w:r w:rsidRPr="000C136F">
        <w:rPr>
          <w:rFonts w:ascii="Palatino Linotype" w:eastAsia="Calibri" w:hAnsi="Palatino Linotype" w:cs="Arial"/>
        </w:rPr>
        <w:t xml:space="preserve"> aprobado para tal efecto y dentro del plazo legal de quince días hábiles otorgados; para el caso en particular es de señalar que el </w:t>
      </w:r>
      <w:r w:rsidRPr="000C136F">
        <w:rPr>
          <w:rFonts w:ascii="Palatino Linotype" w:eastAsia="Calibri" w:hAnsi="Palatino Linotype" w:cs="Arial"/>
          <w:b/>
        </w:rPr>
        <w:t>SUJETO OBLIGADO</w:t>
      </w:r>
      <w:r w:rsidRPr="000C136F">
        <w:rPr>
          <w:rFonts w:ascii="Palatino Linotype" w:eastAsia="Calibri" w:hAnsi="Palatino Linotype" w:cs="Arial"/>
        </w:rPr>
        <w:t xml:space="preserve"> en</w:t>
      </w:r>
      <w:r w:rsidR="00E240BF" w:rsidRPr="000C136F">
        <w:rPr>
          <w:rFonts w:ascii="Palatino Linotype" w:eastAsia="Calibri" w:hAnsi="Palatino Linotype" w:cs="Arial"/>
        </w:rPr>
        <w:t>tre</w:t>
      </w:r>
      <w:r w:rsidR="001C11E3" w:rsidRPr="000C136F">
        <w:rPr>
          <w:rFonts w:ascii="Palatino Linotype" w:eastAsia="Calibri" w:hAnsi="Palatino Linotype" w:cs="Arial"/>
        </w:rPr>
        <w:t xml:space="preserve">go su respuesta el día </w:t>
      </w:r>
      <w:r w:rsidR="00A13DB3" w:rsidRPr="000C136F">
        <w:rPr>
          <w:rFonts w:ascii="Palatino Linotype" w:eastAsia="Calibri" w:hAnsi="Palatino Linotype" w:cs="Arial"/>
          <w:b/>
        </w:rPr>
        <w:t>once</w:t>
      </w:r>
      <w:r w:rsidR="001C11E3" w:rsidRPr="000C136F">
        <w:rPr>
          <w:rFonts w:ascii="Palatino Linotype" w:eastAsia="Calibri" w:hAnsi="Palatino Linotype" w:cs="Arial"/>
          <w:b/>
        </w:rPr>
        <w:t xml:space="preserve"> </w:t>
      </w:r>
      <w:r w:rsidRPr="000C136F">
        <w:rPr>
          <w:rFonts w:ascii="Palatino Linotype" w:eastAsia="Calibri" w:hAnsi="Palatino Linotype" w:cs="Arial"/>
          <w:b/>
        </w:rPr>
        <w:t>(</w:t>
      </w:r>
      <w:r w:rsidR="00A13DB3" w:rsidRPr="000C136F">
        <w:rPr>
          <w:rFonts w:ascii="Palatino Linotype" w:eastAsia="Calibri" w:hAnsi="Palatino Linotype" w:cs="Arial"/>
          <w:b/>
        </w:rPr>
        <w:t>11) de julio</w:t>
      </w:r>
      <w:r w:rsidR="001C11E3" w:rsidRPr="000C136F">
        <w:rPr>
          <w:rFonts w:ascii="Palatino Linotype" w:eastAsia="Calibri" w:hAnsi="Palatino Linotype" w:cs="Arial"/>
        </w:rPr>
        <w:t xml:space="preserve"> de dos mil veintidós</w:t>
      </w:r>
      <w:r w:rsidRPr="000C136F">
        <w:rPr>
          <w:rFonts w:ascii="Palatino Linotype" w:eastAsia="Calibri" w:hAnsi="Palatino Linotype" w:cs="Arial"/>
        </w:rPr>
        <w:t xml:space="preserve">, </w:t>
      </w:r>
      <w:r w:rsidRPr="000C136F">
        <w:rPr>
          <w:rFonts w:ascii="Palatino Linotype" w:hAnsi="Palatino Linotype" w:cs="Arial"/>
        </w:rPr>
        <w:t xml:space="preserve">de tal forma que el plazo para interponer el recurso transcurrió del día </w:t>
      </w:r>
      <w:r w:rsidR="00A13DB3" w:rsidRPr="000C136F">
        <w:rPr>
          <w:rFonts w:ascii="Palatino Linotype" w:hAnsi="Palatino Linotype" w:cs="Arial"/>
        </w:rPr>
        <w:t>doce (12) de julio al quince (15) de agosto</w:t>
      </w:r>
      <w:r w:rsidR="001C11E3" w:rsidRPr="000C136F">
        <w:rPr>
          <w:rFonts w:ascii="Palatino Linotype" w:hAnsi="Palatino Linotype" w:cs="Arial"/>
        </w:rPr>
        <w:t xml:space="preserve"> de dos mil veintidós</w:t>
      </w:r>
      <w:r w:rsidRPr="000C136F">
        <w:rPr>
          <w:rFonts w:ascii="Palatino Linotype" w:hAnsi="Palatino Linotype" w:cs="Arial"/>
        </w:rPr>
        <w:t xml:space="preserve">; en consecuencia, el ahora recurrente presentó su </w:t>
      </w:r>
      <w:r w:rsidRPr="000C136F">
        <w:rPr>
          <w:rFonts w:ascii="Palatino Linotype" w:hAnsi="Palatino Linotype" w:cs="Arial"/>
        </w:rPr>
        <w:lastRenderedPageBreak/>
        <w:t xml:space="preserve">inconformidad el día </w:t>
      </w:r>
      <w:r w:rsidR="005578FB" w:rsidRPr="000C136F">
        <w:rPr>
          <w:rFonts w:ascii="Palatino Linotype" w:hAnsi="Palatino Linotype" w:cs="Arial"/>
        </w:rPr>
        <w:t>uno</w:t>
      </w:r>
      <w:r w:rsidRPr="000C136F">
        <w:rPr>
          <w:rFonts w:ascii="Palatino Linotype" w:hAnsi="Palatino Linotype" w:cs="Arial"/>
        </w:rPr>
        <w:t xml:space="preserve"> (</w:t>
      </w:r>
      <w:r w:rsidR="005578FB" w:rsidRPr="000C136F">
        <w:rPr>
          <w:rFonts w:ascii="Palatino Linotype" w:hAnsi="Palatino Linotype" w:cs="Arial"/>
        </w:rPr>
        <w:t>01</w:t>
      </w:r>
      <w:r w:rsidRPr="000C136F">
        <w:rPr>
          <w:rFonts w:ascii="Palatino Linotype" w:hAnsi="Palatino Linotype" w:cs="Arial"/>
        </w:rPr>
        <w:t xml:space="preserve">) de </w:t>
      </w:r>
      <w:r w:rsidR="005578FB" w:rsidRPr="000C136F">
        <w:rPr>
          <w:rFonts w:ascii="Palatino Linotype" w:hAnsi="Palatino Linotype" w:cs="Arial"/>
        </w:rPr>
        <w:t>agosto de dos mil veintidó</w:t>
      </w:r>
      <w:r w:rsidR="001C11E3" w:rsidRPr="000C136F">
        <w:rPr>
          <w:rFonts w:ascii="Palatino Linotype" w:hAnsi="Palatino Linotype" w:cs="Arial"/>
        </w:rPr>
        <w:t>s</w:t>
      </w:r>
      <w:r w:rsidRPr="000C136F">
        <w:rPr>
          <w:rFonts w:ascii="Palatino Linotype" w:hAnsi="Palatino Linotype" w:cs="Arial"/>
        </w:rPr>
        <w:t>; es decir dentro del lapso legalmente establecido para tal efecto.</w:t>
      </w:r>
    </w:p>
    <w:p w14:paraId="639FEE04" w14:textId="77777777" w:rsidR="008F573F" w:rsidRPr="000C136F" w:rsidRDefault="008F573F" w:rsidP="007573CA">
      <w:pPr>
        <w:pStyle w:val="Prrafodelista"/>
        <w:spacing w:line="360" w:lineRule="auto"/>
        <w:ind w:left="0"/>
        <w:jc w:val="both"/>
        <w:rPr>
          <w:rFonts w:ascii="Palatino Linotype" w:hAnsi="Palatino Linotype"/>
        </w:rPr>
      </w:pPr>
    </w:p>
    <w:p w14:paraId="097AF356" w14:textId="77777777" w:rsidR="004E57C2" w:rsidRPr="000C136F" w:rsidRDefault="004E57C2" w:rsidP="007573CA">
      <w:pPr>
        <w:pStyle w:val="Prrafodelista"/>
        <w:numPr>
          <w:ilvl w:val="0"/>
          <w:numId w:val="19"/>
        </w:numPr>
        <w:spacing w:line="360" w:lineRule="auto"/>
        <w:ind w:left="0" w:firstLine="0"/>
        <w:jc w:val="both"/>
        <w:rPr>
          <w:rFonts w:ascii="Palatino Linotype" w:hAnsi="Palatino Linotype"/>
        </w:rPr>
      </w:pPr>
      <w:r w:rsidRPr="000C136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CD5E296" w14:textId="77777777" w:rsidR="007D5C7A" w:rsidRPr="000C136F" w:rsidRDefault="007D5C7A" w:rsidP="007573CA">
      <w:pPr>
        <w:spacing w:after="160" w:line="360" w:lineRule="auto"/>
        <w:ind w:right="49"/>
        <w:contextualSpacing/>
        <w:jc w:val="both"/>
        <w:rPr>
          <w:rFonts w:ascii="Palatino Linotype" w:hAnsi="Palatino Linotype"/>
          <w:lang w:val="es-ES_tradnl" w:eastAsia="es-ES"/>
        </w:rPr>
      </w:pPr>
    </w:p>
    <w:p w14:paraId="4462851C" w14:textId="77777777" w:rsidR="007D5C7A" w:rsidRPr="000C136F" w:rsidRDefault="007D5C7A" w:rsidP="007573CA">
      <w:pPr>
        <w:keepNext/>
        <w:keepLines/>
        <w:spacing w:before="240" w:line="360" w:lineRule="auto"/>
        <w:ind w:right="49"/>
        <w:jc w:val="both"/>
        <w:outlineLvl w:val="0"/>
        <w:rPr>
          <w:rFonts w:ascii="Palatino Linotype" w:eastAsia="Calibri" w:hAnsi="Palatino Linotype" w:cs="Arial"/>
          <w:lang w:val="es-ES" w:eastAsia="es-ES"/>
        </w:rPr>
      </w:pPr>
      <w:bookmarkStart w:id="204" w:name="_Toc90319523"/>
      <w:bookmarkStart w:id="205" w:name="_Toc99564201"/>
      <w:bookmarkStart w:id="206" w:name="_Toc99564864"/>
      <w:bookmarkStart w:id="207" w:name="_Toc102070728"/>
      <w:bookmarkStart w:id="208" w:name="_Toc102644135"/>
      <w:r w:rsidRPr="000C136F">
        <w:rPr>
          <w:rFonts w:ascii="Palatino Linotype" w:eastAsia="Calibri" w:hAnsi="Palatino Linotype"/>
          <w:b/>
          <w:lang w:val="es-ES" w:eastAsia="es-ES"/>
        </w:rPr>
        <w:t xml:space="preserve">III. </w:t>
      </w:r>
      <w:bookmarkStart w:id="209" w:name="_Toc89964363"/>
      <w:bookmarkStart w:id="210" w:name="_Toc98350362"/>
      <w:bookmarkStart w:id="211" w:name="_Toc67587987"/>
      <w:bookmarkStart w:id="212" w:name="_Toc68804763"/>
      <w:bookmarkEnd w:id="204"/>
      <w:r w:rsidRPr="000C136F">
        <w:rPr>
          <w:rFonts w:ascii="Palatino Linotype" w:eastAsiaTheme="majorEastAsia" w:hAnsi="Palatino Linotype" w:cstheme="majorBidi"/>
          <w:b/>
          <w:color w:val="000000" w:themeColor="text1"/>
          <w:lang w:eastAsia="en-US"/>
        </w:rPr>
        <w:t>De la determinación sobre la procedibilidad del recurso.</w:t>
      </w:r>
      <w:bookmarkEnd w:id="205"/>
      <w:bookmarkEnd w:id="206"/>
      <w:bookmarkEnd w:id="207"/>
      <w:bookmarkEnd w:id="208"/>
      <w:bookmarkEnd w:id="209"/>
      <w:bookmarkEnd w:id="210"/>
      <w:bookmarkEnd w:id="211"/>
      <w:bookmarkEnd w:id="212"/>
      <w:r w:rsidRPr="000C136F">
        <w:rPr>
          <w:rFonts w:ascii="Palatino Linotype" w:eastAsiaTheme="majorEastAsia" w:hAnsi="Palatino Linotype" w:cstheme="majorBidi"/>
          <w:b/>
          <w:color w:val="000000" w:themeColor="text1"/>
          <w:lang w:eastAsia="en-US"/>
        </w:rPr>
        <w:t xml:space="preserve"> </w:t>
      </w:r>
    </w:p>
    <w:p w14:paraId="12995D3D" w14:textId="77777777" w:rsidR="007D5C7A" w:rsidRPr="000C136F" w:rsidRDefault="007D5C7A" w:rsidP="007573CA">
      <w:pPr>
        <w:spacing w:line="360" w:lineRule="auto"/>
        <w:rPr>
          <w:rFonts w:ascii="Palatino Linotype" w:hAnsi="Palatino Linotype"/>
          <w:lang w:eastAsia="en-US"/>
        </w:rPr>
      </w:pPr>
    </w:p>
    <w:p w14:paraId="209AAD60" w14:textId="77777777" w:rsidR="007D5C7A" w:rsidRPr="000C136F" w:rsidRDefault="007D5C7A" w:rsidP="007573CA">
      <w:pPr>
        <w:numPr>
          <w:ilvl w:val="0"/>
          <w:numId w:val="29"/>
        </w:numPr>
        <w:spacing w:after="160" w:line="360" w:lineRule="auto"/>
        <w:ind w:left="0" w:right="49" w:firstLine="0"/>
        <w:contextualSpacing/>
        <w:jc w:val="both"/>
        <w:rPr>
          <w:rFonts w:ascii="Palatino Linotype" w:hAnsi="Palatino Linotype"/>
          <w:lang w:val="es-ES_tradnl" w:eastAsia="es-ES"/>
        </w:rPr>
      </w:pPr>
      <w:r w:rsidRPr="000C136F">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FA08E6" w14:textId="77777777" w:rsidR="007D5C7A" w:rsidRPr="000C136F" w:rsidRDefault="007D5C7A" w:rsidP="007573CA">
      <w:pPr>
        <w:spacing w:after="160" w:line="360" w:lineRule="auto"/>
        <w:ind w:right="49"/>
        <w:contextualSpacing/>
        <w:jc w:val="both"/>
        <w:rPr>
          <w:rFonts w:ascii="Palatino Linotype" w:hAnsi="Palatino Linotype"/>
          <w:lang w:val="es-ES_tradnl" w:eastAsia="es-ES"/>
        </w:rPr>
      </w:pPr>
    </w:p>
    <w:p w14:paraId="5B345544" w14:textId="77777777" w:rsidR="007573CA" w:rsidRPr="000C136F" w:rsidRDefault="007D5C7A" w:rsidP="007573CA">
      <w:pPr>
        <w:keepNext/>
        <w:keepLines/>
        <w:spacing w:before="240" w:line="360" w:lineRule="auto"/>
        <w:outlineLvl w:val="0"/>
        <w:rPr>
          <w:rFonts w:ascii="Palatino Linotype" w:eastAsiaTheme="majorEastAsia" w:hAnsi="Palatino Linotype" w:cstheme="majorBidi"/>
          <w:b/>
          <w:i/>
          <w:color w:val="000000" w:themeColor="text1"/>
          <w:lang w:eastAsia="en-US"/>
        </w:rPr>
      </w:pPr>
      <w:bookmarkStart w:id="213" w:name="_Toc102644136"/>
      <w:r w:rsidRPr="000C136F">
        <w:rPr>
          <w:rFonts w:ascii="Palatino Linotype" w:eastAsia="MS Mincho" w:hAnsi="Palatino Linotype" w:cstheme="majorBidi"/>
          <w:b/>
          <w:color w:val="000000" w:themeColor="text1"/>
          <w:lang w:val="es-ES_tradnl" w:eastAsia="es-ES"/>
        </w:rPr>
        <w:t>TERCERO</w:t>
      </w:r>
      <w:r w:rsidRPr="000C136F">
        <w:rPr>
          <w:rFonts w:ascii="Palatino Linotype" w:eastAsiaTheme="majorEastAsia" w:hAnsi="Palatino Linotype"/>
          <w:b/>
          <w:color w:val="000000" w:themeColor="text1"/>
          <w:lang w:val="es-ES" w:eastAsia="es-ES"/>
        </w:rPr>
        <w:t>.</w:t>
      </w:r>
      <w:bookmarkStart w:id="214" w:name="_Toc67587990"/>
      <w:bookmarkStart w:id="215" w:name="_Toc68804766"/>
      <w:bookmarkStart w:id="216" w:name="_Toc455991148"/>
      <w:bookmarkStart w:id="217" w:name="_Toc450120669"/>
      <w:bookmarkStart w:id="218" w:name="_Toc461555896"/>
      <w:bookmarkStart w:id="219" w:name="_Toc462154385"/>
      <w:bookmarkStart w:id="220" w:name="_Toc462660376"/>
      <w:bookmarkStart w:id="221" w:name="_Toc462660687"/>
      <w:bookmarkStart w:id="222" w:name="_Toc462660766"/>
      <w:bookmarkStart w:id="223" w:name="_Toc465264624"/>
      <w:bookmarkStart w:id="224" w:name="_Toc465264870"/>
      <w:bookmarkStart w:id="225" w:name="_Toc465266520"/>
      <w:bookmarkStart w:id="226" w:name="_Toc466302258"/>
      <w:bookmarkStart w:id="227" w:name="_Toc466371866"/>
      <w:bookmarkStart w:id="228" w:name="_Toc466371925"/>
      <w:bookmarkStart w:id="229" w:name="_Toc466377654"/>
      <w:bookmarkStart w:id="230" w:name="_Toc478549736"/>
      <w:bookmarkStart w:id="231" w:name="_Toc478572850"/>
      <w:bookmarkStart w:id="232" w:name="_Toc479238537"/>
      <w:r w:rsidRPr="000C136F">
        <w:rPr>
          <w:rFonts w:ascii="Palatino Linotype" w:eastAsiaTheme="majorEastAsia" w:hAnsi="Palatino Linotype"/>
          <w:b/>
          <w:color w:val="000000" w:themeColor="text1"/>
          <w:lang w:val="es-ES" w:eastAsia="es-ES"/>
        </w:rPr>
        <w:t xml:space="preserve"> </w:t>
      </w:r>
      <w:r w:rsidRPr="000C136F">
        <w:rPr>
          <w:rFonts w:ascii="Palatino Linotype" w:eastAsiaTheme="majorEastAsia" w:hAnsi="Palatino Linotype" w:cstheme="majorBidi"/>
          <w:b/>
          <w:color w:val="000000" w:themeColor="text1"/>
          <w:lang w:eastAsia="en-US"/>
        </w:rPr>
        <w:t xml:space="preserve">Del planteamiento de la </w:t>
      </w:r>
      <w:r w:rsidRPr="000C136F">
        <w:rPr>
          <w:rFonts w:ascii="Palatino Linotype" w:eastAsiaTheme="majorEastAsia" w:hAnsi="Palatino Linotype" w:cstheme="majorBidi"/>
          <w:b/>
          <w:i/>
          <w:color w:val="000000" w:themeColor="text1"/>
          <w:lang w:eastAsia="en-US"/>
        </w:rPr>
        <w:t>Litis.</w:t>
      </w:r>
      <w:bookmarkEnd w:id="213"/>
      <w:bookmarkEnd w:id="214"/>
      <w:bookmarkEnd w:id="215"/>
    </w:p>
    <w:p w14:paraId="01B7F942" w14:textId="77777777" w:rsidR="007573CA" w:rsidRPr="000C136F" w:rsidRDefault="007573CA" w:rsidP="007573CA">
      <w:pPr>
        <w:keepNext/>
        <w:keepLines/>
        <w:spacing w:before="240" w:line="360" w:lineRule="auto"/>
        <w:outlineLvl w:val="0"/>
        <w:rPr>
          <w:rFonts w:ascii="Palatino Linotype" w:eastAsiaTheme="majorEastAsia" w:hAnsi="Palatino Linotype" w:cstheme="majorBidi"/>
          <w:b/>
          <w:i/>
          <w:color w:val="000000" w:themeColor="text1"/>
          <w:lang w:eastAsia="en-US"/>
        </w:rPr>
      </w:pPr>
    </w:p>
    <w:p w14:paraId="09E20D81" w14:textId="77777777" w:rsidR="007D5C7A" w:rsidRPr="000C136F" w:rsidRDefault="007D5C7A" w:rsidP="007573CA">
      <w:pPr>
        <w:numPr>
          <w:ilvl w:val="0"/>
          <w:numId w:val="29"/>
        </w:numPr>
        <w:spacing w:before="240" w:after="240" w:line="360" w:lineRule="auto"/>
        <w:ind w:left="0" w:firstLine="0"/>
        <w:contextualSpacing/>
        <w:jc w:val="both"/>
        <w:rPr>
          <w:rFonts w:ascii="Palatino Linotype" w:hAnsi="Palatino Linotype"/>
          <w:i/>
          <w:lang w:val="es-ES_tradnl" w:eastAsia="es-ES"/>
        </w:rPr>
      </w:pPr>
      <w:r w:rsidRPr="000C136F">
        <w:rPr>
          <w:rFonts w:ascii="Palatino Linotype" w:hAnsi="Palatino Linotype" w:cs="Arial"/>
          <w:lang w:val="es-ES_tradnl" w:eastAsia="es-ES"/>
        </w:rPr>
        <w:t xml:space="preserve">El recurso revisión tiene como finalidad reparar cualquier posible afectación al derecho de acceso a la información pública en términos del Título Octavo de la </w:t>
      </w:r>
      <w:r w:rsidRPr="000C136F">
        <w:rPr>
          <w:rFonts w:ascii="Palatino Linotype" w:eastAsia="Calibri" w:hAnsi="Palatino Linotype" w:cs="Arial"/>
          <w:b/>
          <w:lang w:val="es-ES" w:eastAsia="es-ES"/>
        </w:rPr>
        <w:t xml:space="preserve">Ley de Transparencia y Acceso a la Información Pública del Estado de México y </w:t>
      </w:r>
      <w:r w:rsidRPr="000C136F">
        <w:rPr>
          <w:rFonts w:ascii="Palatino Linotype" w:eastAsia="Calibri" w:hAnsi="Palatino Linotype" w:cs="Arial"/>
          <w:b/>
          <w:lang w:val="es-ES" w:eastAsia="es-ES"/>
        </w:rPr>
        <w:lastRenderedPageBreak/>
        <w:t>Municipios</w:t>
      </w:r>
      <w:r w:rsidRPr="000C136F">
        <w:rPr>
          <w:rFonts w:ascii="Palatino Linotype" w:hAnsi="Palatino Linotype" w:cs="Arial"/>
          <w:lang w:val="es-ES_tradnl" w:eastAsia="es-ES"/>
        </w:rPr>
        <w:t xml:space="preserve"> y determinar la confirmación; revocación o modificación; desechamiento o sobreseimiento; y en su </w:t>
      </w:r>
      <w:r w:rsidRPr="000C136F">
        <w:rPr>
          <w:rFonts w:ascii="Palatino Linotype" w:hAnsi="Palatino Linotype" w:cs="Arial"/>
          <w:b/>
          <w:lang w:val="es-ES_tradnl" w:eastAsia="es-ES"/>
        </w:rPr>
        <w:t>caso ordenar la entrega de la información,</w:t>
      </w:r>
      <w:r w:rsidRPr="000C136F">
        <w:rPr>
          <w:rFonts w:ascii="Palatino Linotype" w:hAnsi="Palatino Linotype" w:cs="Arial"/>
          <w:lang w:val="es-ES_tradnl" w:eastAsia="es-ES"/>
        </w:rPr>
        <w:t xml:space="preserve"> respecto a las respuestas o falta de ellas de los Sujetos Obligados. </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402CCE01" w14:textId="77777777" w:rsidR="007D5C7A" w:rsidRPr="000C136F" w:rsidRDefault="007D5C7A" w:rsidP="007573CA">
      <w:pPr>
        <w:spacing w:before="240" w:after="240" w:line="360" w:lineRule="auto"/>
        <w:contextualSpacing/>
        <w:jc w:val="both"/>
        <w:rPr>
          <w:rFonts w:ascii="Palatino Linotype" w:hAnsi="Palatino Linotype"/>
          <w:i/>
          <w:lang w:val="es-ES_tradnl" w:eastAsia="es-ES"/>
        </w:rPr>
      </w:pPr>
    </w:p>
    <w:p w14:paraId="11E7D96B" w14:textId="77777777" w:rsidR="007D5C7A" w:rsidRPr="000C136F" w:rsidRDefault="007D5C7A" w:rsidP="007573CA">
      <w:pPr>
        <w:numPr>
          <w:ilvl w:val="0"/>
          <w:numId w:val="29"/>
        </w:numPr>
        <w:spacing w:before="240" w:after="240" w:line="360" w:lineRule="auto"/>
        <w:ind w:left="0" w:right="49" w:firstLine="0"/>
        <w:contextualSpacing/>
        <w:jc w:val="both"/>
        <w:rPr>
          <w:rFonts w:ascii="Palatino Linotype" w:hAnsi="Palatino Linotype"/>
          <w:i/>
          <w:lang w:val="es-ES_tradnl" w:eastAsia="es-ES"/>
        </w:rPr>
      </w:pPr>
      <w:r w:rsidRPr="000C136F">
        <w:rPr>
          <w:rFonts w:ascii="Palatino Linotype" w:eastAsia="MS Gothic" w:hAnsi="Palatino Linotype"/>
          <w:lang w:val="es-ES" w:eastAsia="es-ES"/>
        </w:rPr>
        <w:t>Del estudio de las constancias que obran dentro del expediente digital formado en el SAIMEX, se puede apreciar que el particular solicitó conocer lo siguiente:</w:t>
      </w:r>
    </w:p>
    <w:p w14:paraId="068C98FE" w14:textId="77777777" w:rsidR="007D5C7A" w:rsidRPr="000C136F" w:rsidRDefault="007D5C7A" w:rsidP="007573CA">
      <w:pPr>
        <w:spacing w:before="240" w:after="240" w:line="360" w:lineRule="auto"/>
        <w:ind w:left="567" w:right="616"/>
        <w:contextualSpacing/>
        <w:jc w:val="both"/>
        <w:rPr>
          <w:rFonts w:ascii="Palatino Linotype" w:hAnsi="Palatino Linotype"/>
          <w:i/>
          <w:lang w:val="es-ES" w:eastAsia="es-ES"/>
        </w:rPr>
      </w:pPr>
      <w:r w:rsidRPr="000C136F">
        <w:rPr>
          <w:rFonts w:ascii="Palatino Linotype" w:hAnsi="Palatino Linotype"/>
          <w:i/>
          <w:lang w:val="es-ES" w:eastAsia="es-ES"/>
        </w:rPr>
        <w:t xml:space="preserve">“Por medio del presente y conforme el artículo 6 de la Constitución de los Estados Unidos Mexicanos así como de los artículos 4, 5 y 6 de la Ley General de Transparencia y Acceso a la Información Publica, y los artículos 4 y 7 de la Ley de Transparencia y Acceso a la Información Publica del Estado de México y Municipios, solicito en el ámbito de sus atribuciones, remita la siguiente información. 1. Contrato celebrado con la empresa encargada de contratar y pagar a los coordinadores regionales, coordinadores municipales, promotoras territoriales entre otros. 2. Nombres de todos los coordinadores regionales y municipales que esta empresa contrato 3. Listados de todas las beneficiales del programa salario rosa (desde que se implemento el programa hasta la fecha) 4. Prepuesto erogado para la ejecución del programa por cada año desde que se implemento hasta la fecha 5. Toda la documentación financiera remitida al OSFEM relacionados con el programa salario rosa 6. Contrato celebrado con la empresa BROXEL 7. Contrato celebrado con la empresa proveedora de las despensas que integran el programa “CANASTA EDOMEX”, “CANASTA PARA EL ADULTO MAYOR” 8. Si están mal escritos los nombres de los </w:t>
      </w:r>
      <w:r w:rsidRPr="000C136F">
        <w:rPr>
          <w:rFonts w:ascii="Palatino Linotype" w:hAnsi="Palatino Linotype"/>
          <w:i/>
          <w:lang w:val="es-ES" w:eastAsia="es-ES"/>
        </w:rPr>
        <w:lastRenderedPageBreak/>
        <w:t xml:space="preserve">programas antes citados, favor de remitir la información del programa correcto 9. Presupuesto asignado a los programas de citados en los numerales 7 10. Nombre, cargo y salario de todos los servidores públicos que participan en los programas citados en los numerales 3 y 7 No solicito documentación ad hoc, toda la información que requiero es la que obra en sus archivos, todos son programas que erogan recursos públicos por que pido la mayor transparencia en el uso de los mismos. Conforme el principio de GRATUIDAD, toda la información debe ser gratuita, en caso de que la información supere la capacidad del sistema SAIMEX solicito me habiliten vínculos para descargarla En caso de que reserven información, solicito la documentación que remitieron al OSFEM en formato pdf. Información que sea negada será impugnada, incluso si el INFOEM encubre la negativa de información daré vista al INAI y al Supremo Tribunal de Justicia de la Nación. Les recuerdo que las personas físicas o morales que reciban y ejerzan recursos públicos o realicen actos de autoridad, en lo que se refiere exclusivamente a los mismos, están obligadas a cumplir, con las obligaciones de transparencia y acceso a la información establecidas en la Ley General y la Ley Federal por lo que deben remitir sobre todo la información relativa al numeral 2 Finalmente, esta solicitud fue originada a causa de la Prepotencia y Arrogancia de la Coordinadora Municipal de Cuautitlán Izcalli la C. YURIKO JIMÉNEZ REAL, quien en una entrega de despensas del programa “Canasta Edomex” me dio un trato prepotente y arrogante, al pedirle sus datos me informo que no trabajaba para el gobierno del estado por lo que no procedería una denuncia ante la Contraloría del Estado de México (después me entere que era parte de una </w:t>
      </w:r>
      <w:r w:rsidRPr="000C136F">
        <w:rPr>
          <w:rFonts w:ascii="Palatino Linotype" w:hAnsi="Palatino Linotype"/>
          <w:i/>
          <w:lang w:val="es-ES" w:eastAsia="es-ES"/>
        </w:rPr>
        <w:lastRenderedPageBreak/>
        <w:t>empresa que trabaja para el gobierno del Estado de México), sin embargo conforme la Ley General de Responsabilidades Administrativas, toda persona física o moral que ejerzan actos de autoridad podrán ser sancionados, por lo que esta solicitud será turnada también a la Contraloría del Gobierno del Estado para que le de tratamiento como DENUNCIA”(Sic).</w:t>
      </w:r>
    </w:p>
    <w:p w14:paraId="5AD607D0" w14:textId="77777777" w:rsidR="007D5C7A" w:rsidRPr="000C136F" w:rsidRDefault="007D5C7A" w:rsidP="007573CA">
      <w:pPr>
        <w:spacing w:before="240" w:after="240" w:line="360" w:lineRule="auto"/>
        <w:ind w:right="49"/>
        <w:contextualSpacing/>
        <w:jc w:val="both"/>
        <w:rPr>
          <w:rFonts w:ascii="Palatino Linotype" w:hAnsi="Palatino Linotype"/>
          <w:i/>
          <w:lang w:val="es-ES_tradnl" w:eastAsia="es-ES"/>
        </w:rPr>
      </w:pPr>
    </w:p>
    <w:p w14:paraId="5FF69199" w14:textId="77777777" w:rsidR="007D5C7A" w:rsidRPr="000C136F" w:rsidRDefault="007D5C7A" w:rsidP="007573CA">
      <w:pPr>
        <w:numPr>
          <w:ilvl w:val="0"/>
          <w:numId w:val="29"/>
        </w:numPr>
        <w:spacing w:before="240" w:after="240" w:line="360" w:lineRule="auto"/>
        <w:ind w:left="0" w:firstLine="0"/>
        <w:contextualSpacing/>
        <w:jc w:val="both"/>
        <w:rPr>
          <w:rFonts w:ascii="Palatino Linotype" w:hAnsi="Palatino Linotype"/>
          <w:i/>
          <w:lang w:val="es-ES_tradnl" w:eastAsia="es-ES"/>
        </w:rPr>
      </w:pPr>
      <w:r w:rsidRPr="000C136F">
        <w:rPr>
          <w:rFonts w:ascii="Palatino Linotype" w:eastAsiaTheme="minorEastAsia" w:hAnsi="Palatino Linotype" w:cstheme="minorBidi"/>
          <w:lang w:val="es-ES_tradnl" w:eastAsia="es-ES"/>
        </w:rPr>
        <w:t xml:space="preserve">En respuesta, el </w:t>
      </w:r>
      <w:r w:rsidRPr="000C136F">
        <w:rPr>
          <w:rFonts w:ascii="Palatino Linotype" w:eastAsiaTheme="minorEastAsia" w:hAnsi="Palatino Linotype" w:cstheme="minorBidi"/>
          <w:b/>
          <w:lang w:val="es-ES_tradnl" w:eastAsia="es-ES"/>
        </w:rPr>
        <w:t>SUJETO OBLIGADO</w:t>
      </w:r>
      <w:r w:rsidRPr="000C136F">
        <w:rPr>
          <w:rFonts w:ascii="Palatino Linotype" w:eastAsiaTheme="minorEastAsia" w:hAnsi="Palatino Linotype" w:cstheme="minorBidi"/>
          <w:lang w:val="es-ES_tradnl" w:eastAsia="es-ES"/>
        </w:rPr>
        <w:t xml:space="preserve"> remitió los documentos electrónicos ya descritos y que serán motivo de análisis </w:t>
      </w:r>
    </w:p>
    <w:p w14:paraId="113C8F06" w14:textId="77777777" w:rsidR="007D5C7A" w:rsidRPr="000C136F" w:rsidRDefault="007D5C7A" w:rsidP="007573CA">
      <w:pPr>
        <w:spacing w:before="240" w:after="240" w:line="360" w:lineRule="auto"/>
        <w:contextualSpacing/>
        <w:jc w:val="both"/>
        <w:rPr>
          <w:rFonts w:ascii="Palatino Linotype" w:hAnsi="Palatino Linotype"/>
          <w:i/>
          <w:lang w:val="es-ES_tradnl" w:eastAsia="es-ES"/>
        </w:rPr>
      </w:pPr>
    </w:p>
    <w:p w14:paraId="5B4796FF" w14:textId="77777777" w:rsidR="007D5C7A" w:rsidRPr="000C136F" w:rsidRDefault="007D5C7A" w:rsidP="007573CA">
      <w:pPr>
        <w:numPr>
          <w:ilvl w:val="0"/>
          <w:numId w:val="29"/>
        </w:numPr>
        <w:spacing w:before="240" w:after="240" w:line="360" w:lineRule="auto"/>
        <w:ind w:left="0" w:firstLine="0"/>
        <w:contextualSpacing/>
        <w:jc w:val="both"/>
        <w:rPr>
          <w:rFonts w:ascii="Palatino Linotype" w:hAnsi="Palatino Linotype"/>
          <w:i/>
          <w:lang w:val="es-ES_tradnl" w:eastAsia="es-ES"/>
        </w:rPr>
      </w:pPr>
      <w:r w:rsidRPr="000C136F">
        <w:rPr>
          <w:rFonts w:ascii="Palatino Linotype" w:eastAsia="MS Mincho" w:hAnsi="Palatino Linotype"/>
          <w:lang w:val="es-ES_tradnl" w:eastAsia="es-ES"/>
        </w:rPr>
        <w:t xml:space="preserve">En ese sentido, el agravio del recurrente consiste en que la respuesta proporcionada por el </w:t>
      </w:r>
      <w:r w:rsidRPr="000C136F">
        <w:rPr>
          <w:rFonts w:ascii="Palatino Linotype" w:eastAsia="MS Mincho" w:hAnsi="Palatino Linotype"/>
          <w:b/>
          <w:lang w:val="es-ES_tradnl" w:eastAsia="es-ES"/>
        </w:rPr>
        <w:t>SUJETO OBLIGADO</w:t>
      </w:r>
      <w:r w:rsidRPr="000C136F">
        <w:rPr>
          <w:rFonts w:ascii="Palatino Linotype" w:eastAsia="MS Mincho" w:hAnsi="Palatino Linotype"/>
          <w:lang w:val="es-ES_tradnl" w:eastAsia="es-ES"/>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w:t>
      </w:r>
      <w:r w:rsidR="004553E1" w:rsidRPr="000C136F">
        <w:rPr>
          <w:rFonts w:ascii="Palatino Linotype" w:eastAsia="MS Mincho" w:hAnsi="Palatino Linotype"/>
          <w:lang w:val="es-ES_tradnl" w:eastAsia="es-ES"/>
        </w:rPr>
        <w:t xml:space="preserve"> sea </w:t>
      </w:r>
      <w:r w:rsidRPr="000C136F">
        <w:rPr>
          <w:rFonts w:ascii="Palatino Linotype" w:eastAsia="MS Mincho" w:hAnsi="Palatino Linotype"/>
          <w:lang w:val="es-ES_tradnl" w:eastAsia="es-ES"/>
        </w:rPr>
        <w:t xml:space="preserve">confiable. </w:t>
      </w:r>
    </w:p>
    <w:p w14:paraId="647888DB" w14:textId="77777777" w:rsidR="007D5C7A" w:rsidRPr="000C136F" w:rsidRDefault="007D5C7A" w:rsidP="007573CA">
      <w:pPr>
        <w:spacing w:line="360" w:lineRule="auto"/>
        <w:ind w:left="708"/>
        <w:rPr>
          <w:rFonts w:ascii="Palatino Linotype" w:eastAsia="MS Mincho" w:hAnsi="Palatino Linotype"/>
          <w:lang w:val="es-ES_tradnl" w:eastAsia="es-ES"/>
        </w:rPr>
      </w:pPr>
    </w:p>
    <w:p w14:paraId="7F2719B0" w14:textId="77777777" w:rsidR="007D5C7A" w:rsidRPr="000C136F" w:rsidRDefault="007D5C7A" w:rsidP="007573CA">
      <w:pPr>
        <w:numPr>
          <w:ilvl w:val="0"/>
          <w:numId w:val="29"/>
        </w:numPr>
        <w:spacing w:before="240" w:after="240" w:line="360" w:lineRule="auto"/>
        <w:ind w:left="0" w:firstLine="0"/>
        <w:contextualSpacing/>
        <w:jc w:val="both"/>
        <w:rPr>
          <w:rFonts w:ascii="Palatino Linotype" w:hAnsi="Palatino Linotype"/>
          <w:i/>
          <w:lang w:val="es-ES_tradnl" w:eastAsia="es-ES"/>
        </w:rPr>
      </w:pPr>
      <w:r w:rsidRPr="000C136F">
        <w:rPr>
          <w:rFonts w:ascii="Palatino Linotype" w:eastAsia="MS Mincho" w:hAnsi="Palatino Linotype"/>
          <w:lang w:val="es-ES_tradnl" w:eastAsia="es-ES"/>
        </w:rPr>
        <w:t xml:space="preserve">Por lo que de este modo, el presente recurso de revisión se circunscribe a determinar si el </w:t>
      </w:r>
      <w:r w:rsidRPr="000C136F">
        <w:rPr>
          <w:rFonts w:ascii="Palatino Linotype" w:eastAsia="MS Mincho" w:hAnsi="Palatino Linotype"/>
          <w:b/>
          <w:lang w:val="es-ES_tradnl" w:eastAsia="es-ES"/>
        </w:rPr>
        <w:t>SUJETO OBLIGADO</w:t>
      </w:r>
      <w:r w:rsidRPr="000C136F">
        <w:rPr>
          <w:rFonts w:ascii="Palatino Linotype" w:eastAsia="MS Mincho" w:hAnsi="Palatino Linotype"/>
          <w:lang w:val="es-ES_tradnl" w:eastAsia="es-ES"/>
        </w:rPr>
        <w:t xml:space="preserve"> con la respuesta otorgada, vulnera el derecho de acceso a la información accionado por el particular actualizando la causal de procedencia prevista en el artículo 179 fracción I</w:t>
      </w:r>
      <w:r w:rsidR="004553E1" w:rsidRPr="000C136F">
        <w:rPr>
          <w:rFonts w:ascii="Palatino Linotype" w:eastAsia="MS Mincho" w:hAnsi="Palatino Linotype"/>
          <w:lang w:val="es-ES_tradnl" w:eastAsia="es-ES"/>
        </w:rPr>
        <w:t>II</w:t>
      </w:r>
      <w:r w:rsidRPr="000C136F">
        <w:rPr>
          <w:rFonts w:ascii="Palatino Linotype" w:eastAsia="MS Mincho" w:hAnsi="Palatino Linotype"/>
          <w:lang w:val="es-ES_tradnl" w:eastAsia="es-ES"/>
        </w:rPr>
        <w:t xml:space="preserve"> de la Ley de Transparencia y Acceso a la Información del Estado de México y Municipios.</w:t>
      </w:r>
    </w:p>
    <w:p w14:paraId="1A1176DE" w14:textId="77777777" w:rsidR="007D5C7A" w:rsidRPr="000C136F" w:rsidRDefault="007D5C7A" w:rsidP="007573CA">
      <w:pPr>
        <w:keepNext/>
        <w:keepLines/>
        <w:spacing w:before="240" w:line="360" w:lineRule="auto"/>
        <w:outlineLvl w:val="0"/>
        <w:rPr>
          <w:rFonts w:ascii="Palatino Linotype" w:eastAsiaTheme="majorEastAsia" w:hAnsi="Palatino Linotype" w:cstheme="majorBidi"/>
          <w:b/>
          <w:color w:val="000000" w:themeColor="text1"/>
          <w:lang w:eastAsia="en-US"/>
        </w:rPr>
      </w:pPr>
      <w:bookmarkStart w:id="233" w:name="_Toc68804767"/>
      <w:bookmarkStart w:id="234" w:name="_Toc102644137"/>
      <w:r w:rsidRPr="000C136F">
        <w:rPr>
          <w:rFonts w:ascii="Palatino Linotype" w:eastAsiaTheme="majorEastAsia" w:hAnsi="Palatino Linotype" w:cstheme="majorBidi"/>
          <w:b/>
          <w:color w:val="000000" w:themeColor="text1"/>
          <w:lang w:eastAsia="en-US"/>
        </w:rPr>
        <w:t>CUARTO. Estudio y resolución del asunto.</w:t>
      </w:r>
      <w:bookmarkEnd w:id="233"/>
      <w:bookmarkEnd w:id="234"/>
    </w:p>
    <w:p w14:paraId="2B09D4ED" w14:textId="77777777" w:rsidR="007D5C7A" w:rsidRPr="000C136F" w:rsidRDefault="007D5C7A" w:rsidP="007573CA">
      <w:pPr>
        <w:spacing w:line="360" w:lineRule="auto"/>
        <w:rPr>
          <w:rFonts w:ascii="Palatino Linotype" w:hAnsi="Palatino Linotype"/>
          <w:lang w:eastAsia="en-US"/>
        </w:rPr>
      </w:pPr>
    </w:p>
    <w:p w14:paraId="333A5D5E" w14:textId="77777777" w:rsidR="007D5C7A" w:rsidRPr="000C136F" w:rsidRDefault="007D5C7A" w:rsidP="007573CA">
      <w:pPr>
        <w:keepNext/>
        <w:keepLines/>
        <w:spacing w:before="240" w:line="360" w:lineRule="auto"/>
        <w:outlineLvl w:val="0"/>
        <w:rPr>
          <w:rFonts w:ascii="Palatino Linotype" w:eastAsiaTheme="majorEastAsia" w:hAnsi="Palatino Linotype" w:cstheme="majorBidi"/>
          <w:b/>
          <w:lang w:eastAsia="en-US"/>
        </w:rPr>
      </w:pPr>
      <w:bookmarkStart w:id="235" w:name="_Toc102644138"/>
      <w:r w:rsidRPr="000C136F">
        <w:rPr>
          <w:rFonts w:ascii="Palatino Linotype" w:eastAsiaTheme="majorEastAsia" w:hAnsi="Palatino Linotype" w:cstheme="majorBidi"/>
          <w:b/>
          <w:lang w:eastAsia="en-US"/>
        </w:rPr>
        <w:lastRenderedPageBreak/>
        <w:t>De la solicitud de información y la respuesta otorgada.</w:t>
      </w:r>
      <w:bookmarkEnd w:id="235"/>
      <w:r w:rsidRPr="000C136F">
        <w:rPr>
          <w:rFonts w:ascii="Palatino Linotype" w:eastAsiaTheme="majorEastAsia" w:hAnsi="Palatino Linotype" w:cstheme="majorBidi"/>
          <w:b/>
          <w:lang w:eastAsia="en-US"/>
        </w:rPr>
        <w:t xml:space="preserve"> </w:t>
      </w:r>
    </w:p>
    <w:p w14:paraId="611CADBF" w14:textId="77777777" w:rsidR="007573CA" w:rsidRPr="000C136F" w:rsidRDefault="007573CA" w:rsidP="007573CA">
      <w:pPr>
        <w:pStyle w:val="Prrafodelista"/>
        <w:spacing w:line="360" w:lineRule="auto"/>
        <w:ind w:left="0"/>
        <w:jc w:val="both"/>
        <w:rPr>
          <w:rFonts w:ascii="Palatino Linotype" w:eastAsiaTheme="minorEastAsia" w:hAnsi="Palatino Linotype"/>
          <w:lang w:val="es-ES_tradnl"/>
        </w:rPr>
      </w:pPr>
    </w:p>
    <w:p w14:paraId="244266FC" w14:textId="77777777" w:rsidR="00553049" w:rsidRPr="000C136F" w:rsidRDefault="00553049" w:rsidP="007573CA">
      <w:pPr>
        <w:pStyle w:val="Prrafodelista"/>
        <w:numPr>
          <w:ilvl w:val="0"/>
          <w:numId w:val="29"/>
        </w:numPr>
        <w:spacing w:line="360" w:lineRule="auto"/>
        <w:ind w:left="0" w:firstLine="0"/>
        <w:jc w:val="both"/>
        <w:rPr>
          <w:rFonts w:ascii="Palatino Linotype" w:hAnsi="Palatino Linotype"/>
          <w:color w:val="000000"/>
        </w:rPr>
      </w:pPr>
      <w:r w:rsidRPr="000C136F">
        <w:rPr>
          <w:rFonts w:ascii="Palatino Linotype" w:eastAsia="Calibri" w:hAnsi="Palatino Linotype" w:cs="Arial"/>
          <w:lang w:val="es-ES_tradnl"/>
        </w:rPr>
        <w:t>Se</w:t>
      </w:r>
      <w:r w:rsidRPr="000C136F">
        <w:rPr>
          <w:rFonts w:ascii="Palatino Linotype" w:hAnsi="Palatino Linotype" w:cs="Arial"/>
        </w:rPr>
        <w:t xml:space="preserve"> solicitó, la </w:t>
      </w:r>
      <w:r w:rsidR="001C11E3" w:rsidRPr="000C136F">
        <w:rPr>
          <w:rFonts w:ascii="Palatino Linotype" w:hAnsi="Palatino Linotype" w:cs="Arial"/>
        </w:rPr>
        <w:t>siguiente información:</w:t>
      </w:r>
    </w:p>
    <w:p w14:paraId="227588EC" w14:textId="77777777" w:rsidR="001C11E3" w:rsidRPr="000C136F" w:rsidRDefault="001C11E3" w:rsidP="007573CA">
      <w:pPr>
        <w:pStyle w:val="Prrafodelista"/>
        <w:spacing w:line="360" w:lineRule="auto"/>
        <w:ind w:left="0"/>
        <w:jc w:val="both"/>
        <w:rPr>
          <w:rFonts w:ascii="Palatino Linotype" w:hAnsi="Palatino Linotype"/>
          <w:color w:val="000000"/>
        </w:rPr>
      </w:pPr>
    </w:p>
    <w:p w14:paraId="12128221" w14:textId="77777777" w:rsidR="005578FB" w:rsidRPr="000C136F" w:rsidRDefault="005578FB" w:rsidP="007573CA">
      <w:pPr>
        <w:pStyle w:val="Prrafodelista"/>
        <w:numPr>
          <w:ilvl w:val="0"/>
          <w:numId w:val="23"/>
        </w:numPr>
        <w:spacing w:line="360" w:lineRule="auto"/>
        <w:ind w:firstLine="0"/>
        <w:jc w:val="both"/>
        <w:rPr>
          <w:rFonts w:ascii="Palatino Linotype" w:hAnsi="Palatino Linotype"/>
          <w:color w:val="000000"/>
        </w:rPr>
      </w:pPr>
      <w:r w:rsidRPr="000C136F">
        <w:rPr>
          <w:rFonts w:ascii="Palatino Linotype" w:hAnsi="Palatino Linotype"/>
          <w:color w:val="000000"/>
        </w:rPr>
        <w:t xml:space="preserve">“Por medio del presente y conforme el artículo 6 de la Constitución de los Estados Unidos Mexicanos así como de los artículos 4, 5 y 6 de la Ley General de Transparencia y Acceso a la Información Publica, y los artículos 4 y 7 de la Ley de Transparencia y Acceso a la Información Publica del Estado de México y Municipios, solicito en el ámbito de sus atribuciones, remita la siguiente información. 1. Contrato celebrado con la empresa encargada de contratar y pagar a los coordinadores regionales, coordinadores municipales, promotoras territoriales entre otros. 2. Nombres de todos los coordinadores regionales y municipales que esta empresa contrato 3. Listados de todas las beneficiales del programa salario rosa (desde que se implemento el programa hasta la fecha) 4. Prepuesto erogado para la ejecución del programa por cada año desde que se implemento hasta la fecha 5. Toda la documentación financiera remitida al OSFEM relacionados con el programa salario rosa 6. Contrato celebrado con la empresa BROXEL 7. Contrato celebrado con la empresa proveedora de las despensas que integran el programa “CANASTA EDOMEX”, “CANASTA PARA EL ADULTO MAYOR” 8. Si están mal escritos los nombres de los programas antes citados, favor de remitir la información del programa correcto 9. Presupuesto asignado a los programas de citados en los numerales 7 10. Nombre, cargo y salario de todos los </w:t>
      </w:r>
      <w:r w:rsidRPr="000C136F">
        <w:rPr>
          <w:rFonts w:ascii="Palatino Linotype" w:hAnsi="Palatino Linotype"/>
          <w:color w:val="000000"/>
        </w:rPr>
        <w:lastRenderedPageBreak/>
        <w:t xml:space="preserve">servidores públicos que participan en los programas citados en los numerales 3 y 7 No solicito documentación ad hoc, toda la información que requiero es la que obra en sus archivos, todos son programas que erogan recursos públicos por que pido la mayor transparencia en el uso de los mismos. Conforme el principio de GRATUIDAD, toda la información debe ser gratuita, en caso de que la información supere la capacidad del sistema SAIMEX solicito me habiliten vínculos para descargarla En caso de que reserven información, solicito la documentación que remitieron al OSFEM en formato pdf. Información que sea negada será impugnada, incluso si el INFOEM encubre la negativa de información daré vista al INAI y al Supremo Tribunal de Justicia de la Nación. Les recuerdo que las personas físicas o morales que reciban y ejerzan recursos públicos o realicen actos de autoridad, en lo que se refiere exclusivamente a los mismos, están obligadas a cumplir, con las obligaciones de transparencia y acceso a la información establecidas en la Ley General y la Ley Federal por lo que deben remitir sobre todo la información relativa al numeral 2 Finalmente, esta solicitud fue originada a causa de la Prepotencia y Arrogancia de la Coordinadora Municipal de Cuautitlán Izcalli la C. YURIKO JIMÉNEZ REAL, quien en una entrega de despensas del programa “Canasta Edomex” me dio un trato prepotente y arrogante, al pedirle sus datos me informo que no trabajaba para el gobierno del estado por lo que no procedería una denuncia ante la Contraloría del Estado de México (después me entere que era parte de una empresa que trabaja para el gobierno del Estado de México), sin embargo conforme la Ley </w:t>
      </w:r>
      <w:r w:rsidRPr="000C136F">
        <w:rPr>
          <w:rFonts w:ascii="Palatino Linotype" w:hAnsi="Palatino Linotype"/>
          <w:color w:val="000000"/>
        </w:rPr>
        <w:lastRenderedPageBreak/>
        <w:t>General de Responsabilidades Administrativas, toda persona física o moral que ejerzan actos de autoridad podrán ser sancionados, por lo que esta solicitud será turnada también a la Contraloría del Gobierno del Estado para que le de tratamiento como DENUNCIA”(Sic).</w:t>
      </w:r>
    </w:p>
    <w:p w14:paraId="6B16EEE6" w14:textId="77777777" w:rsidR="00593D95" w:rsidRPr="000C136F" w:rsidRDefault="00593D95" w:rsidP="007573CA">
      <w:pPr>
        <w:pStyle w:val="Prrafodelista"/>
        <w:spacing w:line="360" w:lineRule="auto"/>
        <w:ind w:left="0"/>
        <w:jc w:val="both"/>
        <w:rPr>
          <w:rFonts w:ascii="Palatino Linotype" w:hAnsi="Palatino Linotype"/>
          <w:color w:val="000000"/>
        </w:rPr>
      </w:pPr>
    </w:p>
    <w:p w14:paraId="69D7CF42" w14:textId="77777777" w:rsidR="007B7F14" w:rsidRPr="000C136F" w:rsidRDefault="00553049" w:rsidP="007573CA">
      <w:pPr>
        <w:pStyle w:val="Prrafodelista"/>
        <w:numPr>
          <w:ilvl w:val="0"/>
          <w:numId w:val="29"/>
        </w:numPr>
        <w:spacing w:line="360" w:lineRule="auto"/>
        <w:ind w:left="0" w:firstLine="0"/>
        <w:jc w:val="both"/>
        <w:rPr>
          <w:rFonts w:ascii="Palatino Linotype" w:hAnsi="Palatino Linotype" w:cs="Arial"/>
        </w:rPr>
      </w:pPr>
      <w:r w:rsidRPr="000C136F">
        <w:rPr>
          <w:rFonts w:ascii="Palatino Linotype" w:hAnsi="Palatino Linotype" w:cs="Arial"/>
        </w:rPr>
        <w:t xml:space="preserve">El </w:t>
      </w:r>
      <w:r w:rsidRPr="000C136F">
        <w:rPr>
          <w:rFonts w:ascii="Palatino Linotype" w:hAnsi="Palatino Linotype" w:cs="Arial"/>
          <w:b/>
        </w:rPr>
        <w:t>SUJETO OBLIGADO</w:t>
      </w:r>
      <w:r w:rsidRPr="000C136F">
        <w:rPr>
          <w:rFonts w:ascii="Palatino Linotype" w:hAnsi="Palatino Linotype" w:cs="Arial"/>
        </w:rPr>
        <w:t xml:space="preserve"> </w:t>
      </w:r>
      <w:r w:rsidR="00345318" w:rsidRPr="000C136F">
        <w:rPr>
          <w:rFonts w:ascii="Palatino Linotype" w:hAnsi="Palatino Linotype" w:cs="Arial"/>
        </w:rPr>
        <w:t xml:space="preserve">emitió su contestación, en la que </w:t>
      </w:r>
      <w:r w:rsidR="000E056D" w:rsidRPr="000C136F">
        <w:rPr>
          <w:rFonts w:ascii="Palatino Linotype" w:hAnsi="Palatino Linotype" w:cs="Arial"/>
        </w:rPr>
        <w:t>a</w:t>
      </w:r>
      <w:r w:rsidR="007B7F14" w:rsidRPr="000C136F">
        <w:rPr>
          <w:rFonts w:ascii="Palatino Linotype" w:hAnsi="Palatino Linotype" w:cs="Arial"/>
        </w:rPr>
        <w:t>bordo de manera específica lo que se expresa a continuación:</w:t>
      </w:r>
    </w:p>
    <w:p w14:paraId="173711C9" w14:textId="77777777" w:rsidR="007B7F14" w:rsidRPr="000C136F" w:rsidRDefault="007B7F14" w:rsidP="007573CA">
      <w:pPr>
        <w:pStyle w:val="Prrafodelista"/>
        <w:spacing w:line="360" w:lineRule="auto"/>
        <w:ind w:left="567" w:right="758"/>
        <w:jc w:val="both"/>
        <w:rPr>
          <w:rFonts w:ascii="Palatino Linotype" w:hAnsi="Palatino Linotype" w:cs="Arial"/>
        </w:rPr>
      </w:pPr>
      <w:r w:rsidRPr="000C136F">
        <w:rPr>
          <w:rFonts w:ascii="Palatino Linotype" w:hAnsi="Palatino Linotype" w:cs="Arial"/>
        </w:rPr>
        <w:t>“(…)</w:t>
      </w:r>
    </w:p>
    <w:p w14:paraId="36B21AB2" w14:textId="77777777" w:rsidR="005578FB" w:rsidRPr="000C136F" w:rsidRDefault="00116DBC" w:rsidP="007573CA">
      <w:pPr>
        <w:pStyle w:val="Prrafodelista"/>
        <w:spacing w:line="360" w:lineRule="auto"/>
        <w:ind w:left="567" w:right="758"/>
        <w:jc w:val="both"/>
        <w:rPr>
          <w:rFonts w:ascii="Palatino Linotype" w:hAnsi="Palatino Linotype" w:cs="Arial"/>
        </w:rPr>
      </w:pPr>
      <w:r w:rsidRPr="000C136F">
        <w:rPr>
          <w:rFonts w:ascii="Palatino Linotype" w:hAnsi="Palatino Linotype" w:cs="Arial"/>
        </w:rPr>
        <w:t>“</w:t>
      </w:r>
      <w:r w:rsidR="005578FB" w:rsidRPr="000C136F">
        <w:rPr>
          <w:rFonts w:ascii="Palatino Linotype" w:hAnsi="Palatino Linotype" w:cs="Arial"/>
        </w:rPr>
        <w:t>Cabe mencionar, de acuerdo al artículo 33 del decreto 51de la secretaria de la Mujer establece lo siguiente:</w:t>
      </w:r>
    </w:p>
    <w:p w14:paraId="69B6EDDC" w14:textId="77777777" w:rsidR="00CE4BA1" w:rsidRPr="000C136F" w:rsidRDefault="005578FB" w:rsidP="007573CA">
      <w:pPr>
        <w:pStyle w:val="Prrafodelista"/>
        <w:spacing w:line="360" w:lineRule="auto"/>
        <w:ind w:left="567" w:right="758"/>
        <w:jc w:val="both"/>
        <w:rPr>
          <w:rFonts w:ascii="Palatino Linotype" w:hAnsi="Palatino Linotype" w:cs="Arial"/>
        </w:rPr>
      </w:pPr>
      <w:r w:rsidRPr="000C136F">
        <w:rPr>
          <w:rFonts w:ascii="Palatino Linotype" w:hAnsi="Palatino Linotype" w:cs="Arial"/>
        </w:rPr>
        <w:t>Articulo33. La Secretaria de las Mujeres es la dependencia encargada de promover, coordinar, impulsar, formular, ejecutar y evaluar las políticas públicas, programas y acciones relativas a la igualdad sustantiva entre mujeres y hombres, la transversalización de las perspectiva de género y condición social, la interpretación de acciones afirmativas que acorten las brechas sociales, la protección integral de mujeres y la eliminación de cualquier tipo de discriminación que obstaculice el acceso igualitario</w:t>
      </w:r>
      <w:r w:rsidR="00116DBC" w:rsidRPr="000C136F">
        <w:rPr>
          <w:rFonts w:ascii="Palatino Linotype" w:hAnsi="Palatino Linotype" w:cs="Arial"/>
        </w:rPr>
        <w:t xml:space="preserve"> </w:t>
      </w:r>
      <w:r w:rsidRPr="000C136F">
        <w:rPr>
          <w:rFonts w:ascii="Palatino Linotype" w:hAnsi="Palatino Linotype" w:cs="Arial"/>
        </w:rPr>
        <w:t>a las oportunidades, el empoderamiento, y el ejercicio de sus der</w:t>
      </w:r>
      <w:r w:rsidR="00116DBC" w:rsidRPr="000C136F">
        <w:rPr>
          <w:rFonts w:ascii="Palatino Linotype" w:hAnsi="Palatino Linotype" w:cs="Arial"/>
        </w:rPr>
        <w:t>echos.</w:t>
      </w:r>
      <w:r w:rsidR="007B7F14" w:rsidRPr="000C136F">
        <w:rPr>
          <w:rFonts w:ascii="Palatino Linotype" w:hAnsi="Palatino Linotype" w:cs="Arial"/>
        </w:rPr>
        <w:t>“</w:t>
      </w:r>
      <w:r w:rsidR="00116DBC" w:rsidRPr="000C136F">
        <w:rPr>
          <w:rFonts w:ascii="Palatino Linotype" w:hAnsi="Palatino Linotype" w:cs="Arial"/>
        </w:rPr>
        <w:t>(Sic)</w:t>
      </w:r>
    </w:p>
    <w:p w14:paraId="29D010E7" w14:textId="77777777" w:rsidR="00116DBC" w:rsidRPr="000C136F" w:rsidRDefault="00116DBC" w:rsidP="007573CA">
      <w:pPr>
        <w:pStyle w:val="Prrafodelista"/>
        <w:spacing w:line="360" w:lineRule="auto"/>
        <w:ind w:left="567" w:right="758"/>
        <w:jc w:val="both"/>
        <w:rPr>
          <w:rFonts w:ascii="Palatino Linotype" w:hAnsi="Palatino Linotype" w:cs="Arial"/>
        </w:rPr>
      </w:pPr>
      <w:r w:rsidRPr="000C136F">
        <w:rPr>
          <w:rFonts w:ascii="Palatino Linotype" w:hAnsi="Palatino Linotype" w:cs="Arial"/>
        </w:rPr>
        <w:t xml:space="preserve">Por otro lado, y bajo el principios de máxima publicidad, sugiero respetuosamente dirija su solicitud al Módulo de Información Pública de la Secretaria de Desarrollo Social del Estado de México, quien es Sujeto Obligado en términos del artículo 23 fracción I de la Ley de </w:t>
      </w:r>
      <w:r w:rsidRPr="000C136F">
        <w:rPr>
          <w:rFonts w:ascii="Palatino Linotype" w:hAnsi="Palatino Linotype" w:cs="Arial"/>
        </w:rPr>
        <w:lastRenderedPageBreak/>
        <w:t>Transparencia y Acceso</w:t>
      </w:r>
      <w:r w:rsidR="002925CC" w:rsidRPr="000C136F">
        <w:rPr>
          <w:rFonts w:ascii="Palatino Linotype" w:hAnsi="Palatino Linotype" w:cs="Arial"/>
        </w:rPr>
        <w:t xml:space="preserve"> a  la información Pública del Estado de México y Municipios, y de acuerdo a las Reglas de Operación de los programas de Desarrollo Social “Familias Fuertes Canasta EdoMéx”, Las instancias ejecutorias de dichos programas son la Dirección General de Programas Estratégicos, la Dirección de Bienestar Social para Adultas Mayores y la Dirección de Fortalecimiento a Grupos Vulnerables </w:t>
      </w:r>
      <w:r w:rsidR="00215483" w:rsidRPr="000C136F">
        <w:rPr>
          <w:rFonts w:ascii="Palatino Linotype" w:hAnsi="Palatino Linotype" w:cs="Arial"/>
        </w:rPr>
        <w:t xml:space="preserve">y proyectos de Desarrollo; respectivamente, adscritas a la Secretaria de Desarrollo Social y podría atender </w:t>
      </w:r>
      <w:r w:rsidR="002925CC" w:rsidRPr="000C136F">
        <w:rPr>
          <w:rFonts w:ascii="Palatino Linotype" w:hAnsi="Palatino Linotype" w:cs="Arial"/>
        </w:rPr>
        <w:t xml:space="preserve"> </w:t>
      </w:r>
      <w:r w:rsidR="00215483" w:rsidRPr="000C136F">
        <w:rPr>
          <w:rFonts w:ascii="Palatino Linotype" w:hAnsi="Palatino Linotype" w:cs="Arial"/>
        </w:rPr>
        <w:t>en el ámbito de sus competencias su requerimiento de información relacionada con los programas requeridos.</w:t>
      </w:r>
    </w:p>
    <w:p w14:paraId="2E252AB0" w14:textId="77777777" w:rsidR="00215483" w:rsidRPr="000C136F" w:rsidRDefault="00215483" w:rsidP="007573CA">
      <w:pPr>
        <w:pStyle w:val="Prrafodelista"/>
        <w:spacing w:line="360" w:lineRule="auto"/>
        <w:ind w:left="567" w:right="758"/>
        <w:jc w:val="both"/>
        <w:rPr>
          <w:rFonts w:ascii="Palatino Linotype" w:hAnsi="Palatino Linotype" w:cs="Arial"/>
        </w:rPr>
      </w:pPr>
      <w:r w:rsidRPr="000C136F">
        <w:rPr>
          <w:rFonts w:ascii="Palatino Linotype" w:hAnsi="Palatino Linotype" w:cs="Arial"/>
        </w:rPr>
        <w:t xml:space="preserve">En caso de ser su interés, podrá acudir a las oficinas de dichas secretaría, ubicadas en la avenida Heriberto Enriquez, No. 209, colonia Cuauhtémoc, código postal 5130, Toluca de Lerdo, Estado de México o dirigir su solicitud a través del sistema de Acceso a la Información Mexiquense (SAIMEZ). </w:t>
      </w:r>
    </w:p>
    <w:p w14:paraId="62E36153" w14:textId="77777777" w:rsidR="00215483" w:rsidRPr="000C136F" w:rsidRDefault="00215483" w:rsidP="007573CA">
      <w:pPr>
        <w:pStyle w:val="Prrafodelista"/>
        <w:spacing w:line="360" w:lineRule="auto"/>
        <w:ind w:left="567" w:right="758"/>
        <w:jc w:val="both"/>
        <w:rPr>
          <w:rFonts w:ascii="Palatino Linotype" w:hAnsi="Palatino Linotype" w:cs="Arial"/>
        </w:rPr>
      </w:pPr>
      <w:r w:rsidRPr="000C136F">
        <w:rPr>
          <w:rFonts w:ascii="Palatino Linotype" w:hAnsi="Palatino Linotype" w:cs="Arial"/>
        </w:rPr>
        <w:t>(…)”</w:t>
      </w:r>
    </w:p>
    <w:p w14:paraId="4819A09E" w14:textId="77777777" w:rsidR="002D39CF" w:rsidRPr="000C136F" w:rsidRDefault="002D39CF" w:rsidP="007573CA">
      <w:pPr>
        <w:pStyle w:val="Prrafodelista"/>
        <w:spacing w:line="360" w:lineRule="auto"/>
        <w:ind w:left="502"/>
        <w:jc w:val="both"/>
        <w:rPr>
          <w:rFonts w:ascii="Palatino Linotype" w:hAnsi="Palatino Linotype" w:cs="Arial"/>
        </w:rPr>
      </w:pPr>
    </w:p>
    <w:p w14:paraId="1A33A3B8" w14:textId="77777777" w:rsidR="00A0096D" w:rsidRPr="000C136F" w:rsidRDefault="009F25BF" w:rsidP="007573CA">
      <w:pPr>
        <w:pStyle w:val="Prrafodelista"/>
        <w:numPr>
          <w:ilvl w:val="0"/>
          <w:numId w:val="29"/>
        </w:numPr>
        <w:spacing w:line="360" w:lineRule="auto"/>
        <w:ind w:left="0" w:firstLine="0"/>
        <w:jc w:val="both"/>
        <w:rPr>
          <w:rFonts w:ascii="Palatino Linotype" w:eastAsia="Calibri" w:hAnsi="Palatino Linotype" w:cs="Arial"/>
          <w:i/>
        </w:rPr>
      </w:pPr>
      <w:r w:rsidRPr="000C136F">
        <w:rPr>
          <w:rFonts w:ascii="Palatino Linotype" w:hAnsi="Palatino Linotype" w:cs="Arial"/>
        </w:rPr>
        <w:t xml:space="preserve">Inconforme con la respuesta, </w:t>
      </w:r>
      <w:r w:rsidR="002D39CF" w:rsidRPr="000C136F">
        <w:rPr>
          <w:rFonts w:ascii="Palatino Linotype" w:hAnsi="Palatino Linotype" w:cs="Arial"/>
        </w:rPr>
        <w:t>la particular</w:t>
      </w:r>
      <w:r w:rsidRPr="000C136F">
        <w:rPr>
          <w:rFonts w:ascii="Palatino Linotype" w:hAnsi="Palatino Linotype" w:cs="Arial"/>
        </w:rPr>
        <w:t xml:space="preserve"> interpuso</w:t>
      </w:r>
      <w:r w:rsidR="00CE6956" w:rsidRPr="000C136F">
        <w:rPr>
          <w:rFonts w:ascii="Palatino Linotype" w:hAnsi="Palatino Linotype" w:cs="Arial"/>
        </w:rPr>
        <w:t xml:space="preserve"> recurso de revisión, señalando</w:t>
      </w:r>
      <w:r w:rsidR="002D39CF" w:rsidRPr="000C136F">
        <w:rPr>
          <w:rFonts w:ascii="Palatino Linotype" w:hAnsi="Palatino Linotype" w:cs="Arial"/>
        </w:rPr>
        <w:t xml:space="preserve"> </w:t>
      </w:r>
      <w:r w:rsidR="00215483" w:rsidRPr="000C136F">
        <w:rPr>
          <w:rFonts w:ascii="Palatino Linotype" w:hAnsi="Palatino Linotype" w:cs="Arial"/>
          <w:i/>
        </w:rPr>
        <w:t xml:space="preserve">que se declara incompetente, cuando les compete, además emite un acuerdo a destiempo. </w:t>
      </w:r>
    </w:p>
    <w:p w14:paraId="4A1C86E9" w14:textId="77777777" w:rsidR="007D5C7A" w:rsidRPr="000C136F" w:rsidRDefault="007D5C7A" w:rsidP="007573CA">
      <w:pPr>
        <w:pStyle w:val="Prrafodelista"/>
        <w:spacing w:line="360" w:lineRule="auto"/>
        <w:ind w:left="502" w:right="616"/>
        <w:jc w:val="both"/>
        <w:rPr>
          <w:rFonts w:ascii="Palatino Linotype" w:hAnsi="Palatino Linotype" w:cs="Arial"/>
          <w:color w:val="000000" w:themeColor="text1"/>
        </w:rPr>
      </w:pPr>
    </w:p>
    <w:p w14:paraId="437073E8" w14:textId="77777777" w:rsidR="007D5C7A" w:rsidRPr="000C136F" w:rsidRDefault="007D5C7A" w:rsidP="007573CA">
      <w:pPr>
        <w:pStyle w:val="Prrafodelista"/>
        <w:numPr>
          <w:ilvl w:val="0"/>
          <w:numId w:val="29"/>
        </w:numPr>
        <w:tabs>
          <w:tab w:val="left" w:pos="0"/>
        </w:tabs>
        <w:spacing w:line="360" w:lineRule="auto"/>
        <w:ind w:left="0" w:firstLine="0"/>
        <w:contextualSpacing/>
        <w:jc w:val="both"/>
        <w:rPr>
          <w:rFonts w:ascii="Palatino Linotype" w:hAnsi="Palatino Linotype"/>
        </w:rPr>
      </w:pPr>
      <w:r w:rsidRPr="000C136F">
        <w:rPr>
          <w:rFonts w:ascii="Palatino Linotype" w:hAnsi="Palatino Linotype"/>
        </w:rPr>
        <w:t xml:space="preserve">Así las cosas el estudio de mérito,  manifestó su incompetencia  dentro de los tres días hábiles posteriores a la recepción de la solicitud, establecido en el Articulo  </w:t>
      </w:r>
      <w:r w:rsidRPr="000C136F">
        <w:rPr>
          <w:rFonts w:ascii="Palatino Linotype" w:hAnsi="Palatino Linotype"/>
        </w:rPr>
        <w:lastRenderedPageBreak/>
        <w:t xml:space="preserve">167de la </w:t>
      </w:r>
      <w:r w:rsidRPr="000C136F">
        <w:rPr>
          <w:rFonts w:ascii="Palatino Linotype" w:hAnsi="Palatino Linotype"/>
          <w:lang w:val="es-MX"/>
        </w:rPr>
        <w:t xml:space="preserve">Ley de Transparencia y Acceso a la Información Pública del Estado de México y Municipios, en este mismo también se expresa que </w:t>
      </w:r>
      <w:r w:rsidRPr="000C136F">
        <w:rPr>
          <w:rFonts w:ascii="Palatino Linotype" w:hAnsi="Palatino Linotype"/>
          <w:b/>
          <w:lang w:val="es-MX"/>
        </w:rPr>
        <w:t xml:space="preserve">en su </w:t>
      </w:r>
      <w:r w:rsidRPr="000C136F">
        <w:rPr>
          <w:rFonts w:ascii="Palatino Linotype" w:hAnsi="Palatino Linotype"/>
          <w:b/>
        </w:rPr>
        <w:t>caso orienta</w:t>
      </w:r>
      <w:r w:rsidRPr="000C136F">
        <w:rPr>
          <w:rFonts w:ascii="Palatino Linotype" w:hAnsi="Palatino Linotype"/>
        </w:rPr>
        <w:t xml:space="preserve">r al solicitante, el o los </w:t>
      </w:r>
      <w:r w:rsidRPr="000C136F">
        <w:rPr>
          <w:rFonts w:ascii="Palatino Linotype" w:hAnsi="Palatino Linotype"/>
          <w:b/>
        </w:rPr>
        <w:t>SUJETOS OBLIGADOS</w:t>
      </w:r>
      <w:r w:rsidRPr="000C136F">
        <w:rPr>
          <w:rFonts w:ascii="Palatino Linotype" w:hAnsi="Palatino Linotype"/>
        </w:rPr>
        <w:t xml:space="preserve"> competentes, si bien lo relacionado a proporcionar una orientación al </w:t>
      </w:r>
      <w:r w:rsidRPr="000C136F">
        <w:rPr>
          <w:rFonts w:ascii="Palatino Linotype" w:hAnsi="Palatino Linotype"/>
          <w:b/>
        </w:rPr>
        <w:t>RECURRENTE</w:t>
      </w:r>
      <w:r w:rsidRPr="000C136F">
        <w:rPr>
          <w:rFonts w:ascii="Palatino Linotype" w:hAnsi="Palatino Linotype"/>
        </w:rPr>
        <w:t xml:space="preserve"> del </w:t>
      </w:r>
      <w:r w:rsidRPr="000C136F">
        <w:rPr>
          <w:rFonts w:ascii="Palatino Linotype" w:hAnsi="Palatino Linotype"/>
          <w:b/>
        </w:rPr>
        <w:t>SUJETO OBLIGADO</w:t>
      </w:r>
      <w:r w:rsidRPr="000C136F">
        <w:rPr>
          <w:rFonts w:ascii="Palatino Linotype" w:hAnsi="Palatino Linotype"/>
        </w:rPr>
        <w:t xml:space="preserve"> idóneo para atender la solicitud,  como lo menciona la ley en la materia, queda a consideración del </w:t>
      </w:r>
      <w:r w:rsidRPr="000C136F">
        <w:rPr>
          <w:rFonts w:ascii="Palatino Linotype" w:hAnsi="Palatino Linotype"/>
          <w:b/>
        </w:rPr>
        <w:t xml:space="preserve">SUJETO OBLIGADO </w:t>
      </w:r>
      <w:r w:rsidRPr="000C136F">
        <w:rPr>
          <w:rFonts w:ascii="Palatino Linotype" w:hAnsi="Palatino Linotype"/>
        </w:rPr>
        <w:t xml:space="preserve">debido a que no corresponde estrictamente a una obligación, sin embargo en el presente caso sí hizo alusión al mismo, de tal forma que orienta al Recurrente. </w:t>
      </w:r>
    </w:p>
    <w:p w14:paraId="4C1B6E43" w14:textId="77777777" w:rsidR="004553E1" w:rsidRPr="000C136F" w:rsidRDefault="004553E1" w:rsidP="007573CA">
      <w:pPr>
        <w:pStyle w:val="Prrafodelista"/>
        <w:spacing w:line="360" w:lineRule="auto"/>
        <w:rPr>
          <w:rFonts w:ascii="Palatino Linotype" w:hAnsi="Palatino Linotype"/>
        </w:rPr>
      </w:pPr>
    </w:p>
    <w:p w14:paraId="5361D828" w14:textId="77777777" w:rsidR="004553E1" w:rsidRPr="000C136F" w:rsidRDefault="004553E1" w:rsidP="007573CA">
      <w:pPr>
        <w:pStyle w:val="Prrafodelista"/>
        <w:numPr>
          <w:ilvl w:val="0"/>
          <w:numId w:val="29"/>
        </w:numPr>
        <w:tabs>
          <w:tab w:val="left" w:pos="0"/>
        </w:tabs>
        <w:spacing w:line="360" w:lineRule="auto"/>
        <w:ind w:left="0" w:firstLine="0"/>
        <w:contextualSpacing/>
        <w:jc w:val="both"/>
        <w:rPr>
          <w:rFonts w:ascii="Palatino Linotype" w:hAnsi="Palatino Linotype"/>
        </w:rPr>
      </w:pPr>
      <w:r w:rsidRPr="000C136F">
        <w:rPr>
          <w:rFonts w:ascii="Palatino Linotype" w:hAnsi="Palatino Linotype"/>
        </w:rPr>
        <w:t xml:space="preserve">Para robustecer lo manifestado por el </w:t>
      </w:r>
      <w:r w:rsidRPr="000C136F">
        <w:rPr>
          <w:rFonts w:ascii="Palatino Linotype" w:hAnsi="Palatino Linotype"/>
          <w:b/>
        </w:rPr>
        <w:t>SUJETO OBLIGADO</w:t>
      </w:r>
      <w:r w:rsidRPr="000C136F">
        <w:rPr>
          <w:rFonts w:ascii="Palatino Linotype" w:hAnsi="Palatino Linotype"/>
        </w:rPr>
        <w:t xml:space="preserve"> se considera importante </w:t>
      </w:r>
      <w:r w:rsidR="001E58D1" w:rsidRPr="000C136F">
        <w:rPr>
          <w:rFonts w:ascii="Palatino Linotype" w:hAnsi="Palatino Linotype"/>
        </w:rPr>
        <w:t>traer a colación lo subsecuente:</w:t>
      </w:r>
    </w:p>
    <w:p w14:paraId="6BAE4BDF" w14:textId="77777777" w:rsidR="001E58D1" w:rsidRPr="000C136F" w:rsidRDefault="001E58D1" w:rsidP="007573CA">
      <w:pPr>
        <w:pStyle w:val="Prrafodelista"/>
        <w:spacing w:line="360" w:lineRule="auto"/>
        <w:rPr>
          <w:rFonts w:ascii="Palatino Linotype" w:hAnsi="Palatino Linotype"/>
        </w:rPr>
      </w:pPr>
    </w:p>
    <w:p w14:paraId="18A1A5F2" w14:textId="77777777" w:rsidR="001E58D1" w:rsidRPr="000C136F" w:rsidRDefault="001E58D1" w:rsidP="007573CA">
      <w:pPr>
        <w:pStyle w:val="Prrafodelista"/>
        <w:tabs>
          <w:tab w:val="left" w:pos="0"/>
        </w:tabs>
        <w:spacing w:line="360" w:lineRule="auto"/>
        <w:contextualSpacing/>
        <w:jc w:val="both"/>
        <w:rPr>
          <w:rFonts w:ascii="Palatino Linotype" w:hAnsi="Palatino Linotype"/>
          <w:lang w:val="es-MX"/>
        </w:rPr>
      </w:pPr>
      <w:r w:rsidRPr="000C136F">
        <w:rPr>
          <w:rFonts w:ascii="Palatino Linotype" w:hAnsi="Palatino Linotype"/>
          <w:b/>
          <w:bCs/>
          <w:lang w:val="es-MX"/>
        </w:rPr>
        <w:t>Misión</w:t>
      </w:r>
    </w:p>
    <w:p w14:paraId="0C67F92D" w14:textId="77777777" w:rsidR="001E58D1" w:rsidRPr="000C136F" w:rsidRDefault="001E58D1" w:rsidP="007573CA">
      <w:pPr>
        <w:pStyle w:val="Prrafodelista"/>
        <w:tabs>
          <w:tab w:val="left" w:pos="0"/>
        </w:tabs>
        <w:spacing w:line="360" w:lineRule="auto"/>
        <w:contextualSpacing/>
        <w:jc w:val="both"/>
        <w:rPr>
          <w:rFonts w:ascii="Palatino Linotype" w:hAnsi="Palatino Linotype"/>
          <w:lang w:val="es-MX"/>
        </w:rPr>
      </w:pPr>
      <w:r w:rsidRPr="000C136F">
        <w:rPr>
          <w:rFonts w:ascii="Palatino Linotype" w:hAnsi="Palatino Linotype"/>
          <w:lang w:val="es-MX"/>
        </w:rPr>
        <w:t>La misión de la </w:t>
      </w:r>
      <w:r w:rsidRPr="000C136F">
        <w:rPr>
          <w:rFonts w:ascii="Palatino Linotype" w:hAnsi="Palatino Linotype"/>
          <w:b/>
          <w:bCs/>
          <w:lang w:val="es-MX"/>
        </w:rPr>
        <w:t>Secretaría de las Mujeres</w:t>
      </w:r>
      <w:r w:rsidRPr="000C136F">
        <w:rPr>
          <w:rFonts w:ascii="Palatino Linotype" w:hAnsi="Palatino Linotype"/>
          <w:lang w:val="es-MX"/>
        </w:rPr>
        <w:t> es garantizar a las mexiquenses el acceso igualitario a oportunidades en todos los ámbitos, así como el empoderamiento de niñas, adolescentes y mujeres y el ejercicio pleno de sus derechos.</w:t>
      </w:r>
      <w:r w:rsidRPr="000C136F">
        <w:rPr>
          <w:rFonts w:ascii="Palatino Linotype" w:hAnsi="Palatino Linotype"/>
          <w:lang w:val="es-MX"/>
        </w:rPr>
        <w:br/>
        <w:t> </w:t>
      </w:r>
    </w:p>
    <w:p w14:paraId="0BCEF909" w14:textId="77777777" w:rsidR="001E58D1" w:rsidRPr="000C136F" w:rsidRDefault="001E58D1" w:rsidP="007573CA">
      <w:pPr>
        <w:pStyle w:val="Prrafodelista"/>
        <w:tabs>
          <w:tab w:val="left" w:pos="0"/>
        </w:tabs>
        <w:spacing w:line="360" w:lineRule="auto"/>
        <w:contextualSpacing/>
        <w:jc w:val="both"/>
        <w:rPr>
          <w:rFonts w:ascii="Palatino Linotype" w:hAnsi="Palatino Linotype"/>
          <w:lang w:val="es-MX"/>
        </w:rPr>
      </w:pPr>
      <w:r w:rsidRPr="000C136F">
        <w:rPr>
          <w:rFonts w:ascii="Palatino Linotype" w:hAnsi="Palatino Linotype"/>
          <w:b/>
          <w:bCs/>
          <w:lang w:val="es-MX"/>
        </w:rPr>
        <w:t>Visión</w:t>
      </w:r>
    </w:p>
    <w:p w14:paraId="1E347EE6" w14:textId="77777777" w:rsidR="001E58D1" w:rsidRPr="000C136F" w:rsidRDefault="001E58D1" w:rsidP="007573CA">
      <w:pPr>
        <w:pStyle w:val="Prrafodelista"/>
        <w:tabs>
          <w:tab w:val="left" w:pos="0"/>
        </w:tabs>
        <w:spacing w:line="360" w:lineRule="auto"/>
        <w:contextualSpacing/>
        <w:jc w:val="both"/>
        <w:rPr>
          <w:rFonts w:ascii="Palatino Linotype" w:hAnsi="Palatino Linotype"/>
          <w:lang w:val="es-MX"/>
        </w:rPr>
      </w:pPr>
      <w:r w:rsidRPr="000C136F">
        <w:rPr>
          <w:rFonts w:ascii="Palatino Linotype" w:hAnsi="Palatino Linotype"/>
          <w:lang w:val="es-MX"/>
        </w:rPr>
        <w:t>Tenemos como visión promover una vida libre de violencias y garantizar la igualdad de género a través de la promoción de los derechos de las mujeres.</w:t>
      </w:r>
      <w:r w:rsidRPr="000C136F">
        <w:rPr>
          <w:rFonts w:ascii="Palatino Linotype" w:hAnsi="Palatino Linotype"/>
          <w:lang w:val="es-MX"/>
        </w:rPr>
        <w:br/>
        <w:t> </w:t>
      </w:r>
    </w:p>
    <w:p w14:paraId="5EF512F9" w14:textId="77777777" w:rsidR="001E58D1" w:rsidRPr="000C136F" w:rsidRDefault="001E58D1" w:rsidP="007573CA">
      <w:pPr>
        <w:pStyle w:val="Prrafodelista"/>
        <w:tabs>
          <w:tab w:val="left" w:pos="0"/>
        </w:tabs>
        <w:spacing w:line="360" w:lineRule="auto"/>
        <w:contextualSpacing/>
        <w:jc w:val="both"/>
        <w:rPr>
          <w:rFonts w:ascii="Palatino Linotype" w:hAnsi="Palatino Linotype"/>
          <w:lang w:val="es-MX"/>
        </w:rPr>
      </w:pPr>
      <w:r w:rsidRPr="000C136F">
        <w:rPr>
          <w:rFonts w:ascii="Palatino Linotype" w:hAnsi="Palatino Linotype"/>
          <w:b/>
          <w:bCs/>
          <w:lang w:val="es-MX"/>
        </w:rPr>
        <w:t>Objetivo</w:t>
      </w:r>
    </w:p>
    <w:p w14:paraId="7AE5B6FD" w14:textId="77777777" w:rsidR="001E58D1" w:rsidRPr="000C136F" w:rsidRDefault="001E58D1" w:rsidP="007573CA">
      <w:pPr>
        <w:pStyle w:val="Prrafodelista"/>
        <w:tabs>
          <w:tab w:val="left" w:pos="0"/>
        </w:tabs>
        <w:spacing w:line="360" w:lineRule="auto"/>
        <w:contextualSpacing/>
        <w:jc w:val="both"/>
        <w:rPr>
          <w:rFonts w:ascii="Palatino Linotype" w:hAnsi="Palatino Linotype"/>
          <w:lang w:val="es-MX"/>
        </w:rPr>
      </w:pPr>
      <w:r w:rsidRPr="000C136F">
        <w:rPr>
          <w:rFonts w:ascii="Palatino Linotype" w:hAnsi="Palatino Linotype"/>
          <w:lang w:val="es-MX"/>
        </w:rPr>
        <w:lastRenderedPageBreak/>
        <w:t>Nuestro objetivo es coordinar, impulsar, promover y ejecutar las políticas públicas, programas y acciones relacionadas a la igualdad sustantiva entre mujeres y hombres con el fin de que tengan acceso a una mejor calidad de vida.</w:t>
      </w:r>
    </w:p>
    <w:p w14:paraId="59AA14A0" w14:textId="77777777" w:rsidR="001E58D1" w:rsidRPr="000C136F" w:rsidRDefault="001E58D1" w:rsidP="007573CA">
      <w:pPr>
        <w:pStyle w:val="Prrafodelista"/>
        <w:tabs>
          <w:tab w:val="left" w:pos="0"/>
        </w:tabs>
        <w:spacing w:line="360" w:lineRule="auto"/>
        <w:contextualSpacing/>
        <w:jc w:val="both"/>
        <w:rPr>
          <w:rFonts w:ascii="Palatino Linotype" w:hAnsi="Palatino Linotype"/>
          <w:b/>
        </w:rPr>
      </w:pPr>
      <w:r w:rsidRPr="000C136F">
        <w:rPr>
          <w:rFonts w:ascii="Palatino Linotype" w:hAnsi="Palatino Linotype"/>
          <w:b/>
        </w:rPr>
        <w:t>Funciones</w:t>
      </w:r>
    </w:p>
    <w:p w14:paraId="6CE61CC2"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Integrar las investigaciones promovidas por las dependencias de la Administración Pública Estatal y Organismos Descentralizados, Organismos Autónomos, Organizaciones de la Sociedad Civil, Universidades e Instituciones de Educación Superior e Investigación, sobre las causas, características y consecuencias de la violencia de género, así como la evaluación de las medidas de prevención, atención, sanción y erradicación, y la información derivada de cada una de las instituciones encargadas de promover los Derechos Humanos de las mujeres y las niñas en el Estado y los Municipios. Los resultados de dichas investigaciones serán dados a conocer públicamente para tomar las medidas pertinentes hacia la erradicación de la violencia.</w:t>
      </w:r>
    </w:p>
    <w:p w14:paraId="52EA2820"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Proponer a las autoridades encargadas de la aplicación de la presente Ley, los programas, las medidas y las acciones que considere pertinentes, con la finalidad de erradicar la violencia de género.</w:t>
      </w:r>
    </w:p>
    <w:p w14:paraId="7C1231F5"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Colaborar con los integrantes del Sistema Estatal en el diseño y evaluación del modelo de atención a víctimas en los refugios.</w:t>
      </w:r>
    </w:p>
    <w:p w14:paraId="61137824"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Crear unidades de atención integral y protección a las víctimas de violencia prevista en la Ley.</w:t>
      </w:r>
    </w:p>
    <w:p w14:paraId="42F4EBE6"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lastRenderedPageBreak/>
        <w:t>- Canalizar a las víctimas a programas de atención integral que les permitan participar activamente en la vida pública, privada y social.</w:t>
      </w:r>
    </w:p>
    <w:p w14:paraId="490AA2D5"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Promover y vigilar que la atención ofrecida en las diversas instituciones públicas o privadas sea proporcionada por especialistas en la materia, sin prejuicios ni discriminación alguna.</w:t>
      </w:r>
    </w:p>
    <w:p w14:paraId="38159BC6"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Difundir el respeto a los Derechos Humanos de las mujeres y promover que las instancias de gobierno garanticen la integridad, la dignidad y la libertad de las mujeres.</w:t>
      </w:r>
    </w:p>
    <w:p w14:paraId="3005BEF7"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Crear refugios para las mujeres en situación de violencia conforme al modelo de atención diseñado por el Sistema Estatal.</w:t>
      </w:r>
    </w:p>
    <w:p w14:paraId="677BE0DF"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Coadyuvar en la promoción del conocimiento de los derechos, de los procesos y los mecanismos para acceder a la atención, prevención y erradicación de la violencia contra las mujeres.</w:t>
      </w:r>
    </w:p>
    <w:p w14:paraId="166EAE5F"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Difundir el respeto de los Derechos Humanos de las mujeres y promover que las acciones de las organizaciones de la sociedad garanticen la integridad, la dignidad y la libertad de las mujeres.</w:t>
      </w:r>
    </w:p>
    <w:p w14:paraId="2F242072"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Rendir un informe anual sobre los avances del programa estatal relativo a la atención, prevención, sanción y erradicación de la violencia contra las mujeres.</w:t>
      </w:r>
    </w:p>
    <w:p w14:paraId="17FD7628"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Promover investigaciones sobre las causas y las consecuencias de la violencia contra las mujeres y las niñas.</w:t>
      </w:r>
    </w:p>
    <w:p w14:paraId="71AA8D9B"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lastRenderedPageBreak/>
        <w:t>- Revisar y evaluar la eficacia en la eliminación de las causas de la violencia de género y en el impulso del adelanto de las mujeres y la equidad entre los géneros, de las acciones, las políticas públicas y los programas estatales.</w:t>
      </w:r>
    </w:p>
    <w:p w14:paraId="3707728A"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Impulsar la participación de las organizaciones de la sociedad civil dedicadas a la promoción y defensa de los Derechos Humanos de las mujeres y las niñas, en la ejecución de los programas estatales, así como generar un padrón único de las organizaciones dedicadas a la promoción y derechos de la mujer.</w:t>
      </w:r>
    </w:p>
    <w:p w14:paraId="33C1DC18" w14:textId="77777777" w:rsidR="007D5C7A" w:rsidRPr="000C136F" w:rsidRDefault="001E58D1" w:rsidP="007573CA">
      <w:pPr>
        <w:pStyle w:val="Prrafodelista"/>
        <w:tabs>
          <w:tab w:val="left" w:pos="0"/>
        </w:tabs>
        <w:spacing w:line="360" w:lineRule="auto"/>
        <w:contextualSpacing/>
        <w:jc w:val="both"/>
        <w:rPr>
          <w:rFonts w:ascii="Palatino Linotype" w:hAnsi="Palatino Linotype"/>
        </w:rPr>
      </w:pPr>
      <w:r w:rsidRPr="000C136F">
        <w:rPr>
          <w:rFonts w:ascii="Palatino Linotype" w:hAnsi="Palatino Linotype"/>
        </w:rPr>
        <w:t>- Recibir de las organizaciones de la sociedad civil, las propuestas y recomendaciones sobre la prevención, atención y sanción de la violencia contra mujeres y las niñas, a fin de mejorar los mecanismos para su erradicación.</w:t>
      </w:r>
    </w:p>
    <w:p w14:paraId="2F2554E5" w14:textId="77777777" w:rsidR="001E58D1" w:rsidRPr="000C136F" w:rsidRDefault="001E58D1" w:rsidP="007573CA">
      <w:pPr>
        <w:pStyle w:val="Prrafodelista"/>
        <w:tabs>
          <w:tab w:val="left" w:pos="0"/>
        </w:tabs>
        <w:spacing w:line="360" w:lineRule="auto"/>
        <w:contextualSpacing/>
        <w:jc w:val="both"/>
        <w:rPr>
          <w:rFonts w:ascii="Palatino Linotype" w:hAnsi="Palatino Linotype"/>
        </w:rPr>
      </w:pPr>
    </w:p>
    <w:p w14:paraId="4636964E" w14:textId="77777777" w:rsidR="007D5C7A" w:rsidRPr="000C136F" w:rsidRDefault="001E58D1" w:rsidP="007573CA">
      <w:pPr>
        <w:pStyle w:val="Prrafodelista"/>
        <w:numPr>
          <w:ilvl w:val="0"/>
          <w:numId w:val="29"/>
        </w:numPr>
        <w:tabs>
          <w:tab w:val="left" w:pos="0"/>
        </w:tabs>
        <w:spacing w:line="360" w:lineRule="auto"/>
        <w:ind w:left="0" w:firstLine="0"/>
        <w:contextualSpacing/>
        <w:jc w:val="both"/>
        <w:rPr>
          <w:rFonts w:ascii="Palatino Linotype" w:hAnsi="Palatino Linotype"/>
        </w:rPr>
      </w:pPr>
      <w:r w:rsidRPr="000C136F">
        <w:rPr>
          <w:rFonts w:ascii="Palatino Linotype" w:hAnsi="Palatino Linotype"/>
        </w:rPr>
        <w:t>Es de referir, que lo solicitado por el Recurrente no guarda relación con las funciones que le competen a la Secretaria de la Mujer, s</w:t>
      </w:r>
      <w:r w:rsidR="007D5C7A" w:rsidRPr="000C136F">
        <w:rPr>
          <w:rFonts w:ascii="Palatino Linotype" w:hAnsi="Palatino Linotype" w:cs="Arial"/>
        </w:rPr>
        <w:t>irviendo</w:t>
      </w:r>
      <w:r w:rsidR="007D5C7A" w:rsidRPr="000C136F">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37310242" w14:textId="77777777" w:rsidR="007D5C7A" w:rsidRPr="000C136F" w:rsidRDefault="007D5C7A" w:rsidP="007573CA">
      <w:pPr>
        <w:pStyle w:val="Prrafodelista"/>
        <w:spacing w:line="360" w:lineRule="auto"/>
        <w:rPr>
          <w:rFonts w:ascii="Palatino Linotype" w:hAnsi="Palatino Linotype"/>
        </w:rPr>
      </w:pPr>
    </w:p>
    <w:p w14:paraId="6E30623C" w14:textId="77777777" w:rsidR="007D5C7A" w:rsidRPr="000C136F" w:rsidRDefault="007D5C7A" w:rsidP="007573CA">
      <w:pPr>
        <w:pStyle w:val="Default"/>
        <w:spacing w:line="360" w:lineRule="auto"/>
        <w:ind w:left="851" w:right="850"/>
        <w:jc w:val="both"/>
        <w:rPr>
          <w:rFonts w:ascii="Palatino Linotype" w:hAnsi="Palatino Linotype"/>
          <w:i/>
        </w:rPr>
      </w:pPr>
      <w:r w:rsidRPr="000C136F">
        <w:rPr>
          <w:rFonts w:ascii="Palatino Linotype" w:hAnsi="Palatino Linotype"/>
          <w:i/>
        </w:rPr>
        <w:t xml:space="preserve">“El Instituto Federal de Acceso a la Información y Protección de Datos </w:t>
      </w:r>
      <w:r w:rsidRPr="000C136F">
        <w:rPr>
          <w:rFonts w:ascii="Palatino Linotype" w:hAnsi="Palatino Linotype"/>
          <w:b/>
          <w:i/>
        </w:rPr>
        <w:t>no cuenta con facultades para pronunciarse respecto de la veracidad de los documentos proporcionados por los sujetos obligados.</w:t>
      </w:r>
      <w:r w:rsidRPr="000C136F">
        <w:rPr>
          <w:rFonts w:ascii="Palatino Linotype" w:hAnsi="Palatino Linotype"/>
          <w:i/>
        </w:rPr>
        <w:t xml:space="preserve"> El Instituto Federal de Acceso a la Información y Protección de Datos es un </w:t>
      </w:r>
      <w:r w:rsidRPr="000C136F">
        <w:rPr>
          <w:rFonts w:ascii="Palatino Linotype" w:hAnsi="Palatino Linotype"/>
          <w:i/>
        </w:rPr>
        <w:lastRenderedPageBreak/>
        <w:t>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13583D8" w14:textId="77777777" w:rsidR="007D5C7A" w:rsidRPr="000C136F" w:rsidRDefault="007D5C7A" w:rsidP="007573CA">
      <w:pPr>
        <w:pStyle w:val="Default"/>
        <w:spacing w:line="360" w:lineRule="auto"/>
        <w:ind w:left="851" w:right="850"/>
        <w:jc w:val="both"/>
        <w:rPr>
          <w:rFonts w:ascii="Palatino Linotype" w:hAnsi="Palatino Linotype"/>
          <w:i/>
        </w:rPr>
      </w:pPr>
    </w:p>
    <w:p w14:paraId="0D0FCC9D" w14:textId="77777777" w:rsidR="007D5C7A" w:rsidRPr="000C136F" w:rsidRDefault="007D5C7A" w:rsidP="007573CA">
      <w:pPr>
        <w:pStyle w:val="Prrafodelista"/>
        <w:numPr>
          <w:ilvl w:val="0"/>
          <w:numId w:val="29"/>
        </w:numPr>
        <w:tabs>
          <w:tab w:val="left" w:pos="0"/>
        </w:tabs>
        <w:spacing w:line="360" w:lineRule="auto"/>
        <w:ind w:left="0" w:firstLine="0"/>
        <w:contextualSpacing/>
        <w:jc w:val="both"/>
        <w:rPr>
          <w:rFonts w:ascii="Palatino Linotype" w:hAnsi="Palatino Linotype"/>
          <w:i/>
        </w:rPr>
      </w:pPr>
      <w:r w:rsidRPr="000C136F">
        <w:rPr>
          <w:rFonts w:ascii="Palatino Linotype" w:hAnsi="Palatino Linotype" w:cs="Arial"/>
        </w:rPr>
        <w:t>Asimismo</w:t>
      </w:r>
      <w:r w:rsidRPr="000C136F">
        <w:rPr>
          <w:rFonts w:ascii="Palatino Linotype" w:hAnsi="Palatino Linotype"/>
        </w:rPr>
        <w:t xml:space="preserve">, la </w:t>
      </w:r>
      <w:r w:rsidRPr="000C136F">
        <w:rPr>
          <w:rFonts w:ascii="Palatino Linotype" w:hAnsi="Palatino Linotype"/>
          <w:b/>
        </w:rPr>
        <w:t>Ley de Transparencia y Acceso a la Información Pública del Estado de México y Municipios</w:t>
      </w:r>
      <w:r w:rsidRPr="000C136F">
        <w:rPr>
          <w:rFonts w:ascii="Palatino Linotype" w:hAnsi="Palatino Linotype"/>
        </w:rPr>
        <w:t xml:space="preserve"> artículo 3,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2296007" w14:textId="77777777" w:rsidR="007D5C7A" w:rsidRPr="000C136F" w:rsidRDefault="007D5C7A" w:rsidP="007573CA">
      <w:pPr>
        <w:pStyle w:val="Prrafodelista"/>
        <w:spacing w:line="360" w:lineRule="auto"/>
        <w:ind w:left="851" w:right="902"/>
        <w:jc w:val="both"/>
        <w:rPr>
          <w:rFonts w:ascii="Palatino Linotype" w:hAnsi="Palatino Linotype" w:cs="Arial"/>
          <w:i/>
        </w:rPr>
      </w:pPr>
    </w:p>
    <w:p w14:paraId="7855C0D6" w14:textId="77777777" w:rsidR="007D5C7A" w:rsidRPr="000C136F" w:rsidRDefault="007D5C7A" w:rsidP="007573CA">
      <w:pPr>
        <w:pStyle w:val="Prrafodelista"/>
        <w:spacing w:line="360" w:lineRule="auto"/>
        <w:ind w:left="709" w:right="680"/>
        <w:jc w:val="both"/>
        <w:rPr>
          <w:rFonts w:ascii="Palatino Linotype" w:hAnsi="Palatino Linotype" w:cs="Arial"/>
          <w:b/>
          <w:i/>
        </w:rPr>
      </w:pPr>
      <w:r w:rsidRPr="000C136F">
        <w:rPr>
          <w:rFonts w:ascii="Palatino Linotype" w:hAnsi="Palatino Linotype" w:cs="Arial"/>
          <w:i/>
        </w:rPr>
        <w:t xml:space="preserve">Artículo 3.- La información pública generada, administrada o en posesión de los Sujetos Obligados en ejercicio de sus atribuciones, será accesible de manera </w:t>
      </w:r>
      <w:r w:rsidRPr="000C136F">
        <w:rPr>
          <w:rFonts w:ascii="Palatino Linotype" w:hAnsi="Palatino Linotype" w:cs="Arial"/>
          <w:i/>
        </w:rPr>
        <w:lastRenderedPageBreak/>
        <w:t xml:space="preserve">permanente a cualquier persona, privilegiando el principio de máxima publicidad de la información. </w:t>
      </w:r>
      <w:r w:rsidRPr="000C136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CD3B8D9" w14:textId="77777777" w:rsidR="007D5C7A" w:rsidRPr="000C136F" w:rsidRDefault="007D5C7A" w:rsidP="007573CA">
      <w:pPr>
        <w:pStyle w:val="Prrafodelista"/>
        <w:spacing w:line="360" w:lineRule="auto"/>
        <w:ind w:left="851" w:right="902"/>
        <w:jc w:val="both"/>
        <w:rPr>
          <w:rFonts w:ascii="Palatino Linotype" w:hAnsi="Palatino Linotype" w:cs="Arial"/>
          <w:b/>
          <w:i/>
        </w:rPr>
      </w:pPr>
    </w:p>
    <w:p w14:paraId="3048DEA8" w14:textId="77777777" w:rsidR="005E0F53" w:rsidRPr="000C136F" w:rsidRDefault="005E0F53" w:rsidP="005E0F53">
      <w:pPr>
        <w:pStyle w:val="Prrafodelista"/>
        <w:numPr>
          <w:ilvl w:val="0"/>
          <w:numId w:val="29"/>
        </w:numPr>
        <w:tabs>
          <w:tab w:val="left" w:pos="0"/>
        </w:tabs>
        <w:spacing w:line="360" w:lineRule="auto"/>
        <w:ind w:left="0" w:firstLine="0"/>
        <w:contextualSpacing/>
        <w:jc w:val="both"/>
        <w:rPr>
          <w:rFonts w:ascii="Palatino Linotype" w:hAnsi="Palatino Linotype"/>
        </w:rPr>
      </w:pPr>
      <w:r w:rsidRPr="000C136F">
        <w:rPr>
          <w:rFonts w:ascii="Palatino Linotype" w:hAnsi="Palatino Linotype"/>
        </w:rPr>
        <w:t xml:space="preserve">De conformidad con el artículo 22 de la Ley Orgánica de la Administración Pública del Estado de México, la </w:t>
      </w:r>
      <w:r w:rsidRPr="000C136F">
        <w:rPr>
          <w:rFonts w:ascii="Palatino Linotype" w:hAnsi="Palatino Linotype"/>
          <w:b/>
          <w:bCs/>
        </w:rPr>
        <w:t>Secretaría de Desarrollo Social</w:t>
      </w:r>
      <w:r w:rsidRPr="000C136F">
        <w:rPr>
          <w:rFonts w:ascii="Palatino Linotype" w:hAnsi="Palatino Linotype"/>
        </w:rPr>
        <w:t xml:space="preserve"> es la dependencia encargada de planear, coordinar, dirigir y evaluar la política en materia de desarrollo social, desarrollo regional e infraestructura para el desarrollo, así como vincular las prioridades, estrategias y recursos para elevar el nivel de vida de la población más desprotegida en el Estado, y  le corresponde el despacho de los asuntos siguientes:</w:t>
      </w:r>
    </w:p>
    <w:p w14:paraId="7166B68E" w14:textId="77777777" w:rsidR="005E0F53" w:rsidRPr="000C136F" w:rsidRDefault="005E0F53" w:rsidP="005E0F53">
      <w:pPr>
        <w:pStyle w:val="Prrafodelista"/>
        <w:tabs>
          <w:tab w:val="left" w:pos="0"/>
        </w:tabs>
        <w:spacing w:line="360" w:lineRule="auto"/>
        <w:ind w:left="0"/>
        <w:contextualSpacing/>
        <w:jc w:val="both"/>
        <w:rPr>
          <w:rFonts w:ascii="Palatino Linotype" w:hAnsi="Palatino Linotype" w:cs="Arial"/>
          <w:noProof/>
          <w:lang w:eastAsia="es-MX"/>
        </w:rPr>
      </w:pPr>
    </w:p>
    <w:p w14:paraId="77837728" w14:textId="77777777" w:rsidR="004B4457"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 I. Coordinar e integrar las acciones de la planeación estatal en materia de desarrollo social; </w:t>
      </w:r>
    </w:p>
    <w:p w14:paraId="340C5510" w14:textId="0CF3940D"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II. Proponer al Gobernador del Estado políticas y programas de desarrollo social, para atender las necesidades básicas de la población más desprotegida de la entidad; </w:t>
      </w:r>
    </w:p>
    <w:p w14:paraId="28BD7078"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b/>
          <w:bCs/>
          <w:i/>
        </w:rPr>
      </w:pPr>
      <w:r w:rsidRPr="000C136F">
        <w:rPr>
          <w:rFonts w:ascii="Palatino Linotype" w:hAnsi="Palatino Linotype" w:cs="Arial"/>
          <w:i/>
        </w:rPr>
        <w:t xml:space="preserve">III. </w:t>
      </w:r>
      <w:r w:rsidRPr="000C136F">
        <w:rPr>
          <w:rFonts w:ascii="Palatino Linotype" w:hAnsi="Palatino Linotype" w:cs="Arial"/>
          <w:b/>
          <w:bCs/>
          <w:i/>
        </w:rPr>
        <w:t xml:space="preserve">Dirigir los programas y acciones de desarrollo social instrumentados por el Ejecutivo Estatal; </w:t>
      </w:r>
    </w:p>
    <w:p w14:paraId="6EA70FAA"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IV. Concertar programas prioritarios para la atención de grupos indígenas y habitantes de zonas rurales y urbanas marginadas;</w:t>
      </w:r>
    </w:p>
    <w:p w14:paraId="121C8C29"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lastRenderedPageBreak/>
        <w:t xml:space="preserve"> V. </w:t>
      </w:r>
      <w:r w:rsidRPr="000C136F">
        <w:rPr>
          <w:rFonts w:ascii="Palatino Linotype" w:hAnsi="Palatino Linotype" w:cs="Arial"/>
          <w:b/>
          <w:bCs/>
          <w:i/>
        </w:rPr>
        <w:t>Coordinar los programas y acciones de combate a la pobreza que se ejecuten en la Entidad;</w:t>
      </w:r>
      <w:r w:rsidRPr="000C136F">
        <w:rPr>
          <w:rFonts w:ascii="Palatino Linotype" w:hAnsi="Palatino Linotype" w:cs="Arial"/>
          <w:i/>
        </w:rPr>
        <w:t xml:space="preserve"> </w:t>
      </w:r>
    </w:p>
    <w:p w14:paraId="7BE65C66"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VI. Proponer e impulsar acciones y obras para el desarrollo regional en la Entidad, en coordinación con las dependencias y organismos auxiliares del Ejecutivo Estatal y los municipios; </w:t>
      </w:r>
    </w:p>
    <w:p w14:paraId="21FB1963"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VII. </w:t>
      </w:r>
      <w:r w:rsidRPr="000C136F">
        <w:rPr>
          <w:rFonts w:ascii="Palatino Linotype" w:hAnsi="Palatino Linotype" w:cs="Arial"/>
          <w:b/>
          <w:bCs/>
          <w:i/>
        </w:rPr>
        <w:t xml:space="preserve">Coordinar los programas y proyectos de desarrollo social en la regiones de la Entidad </w:t>
      </w:r>
      <w:r w:rsidRPr="000C136F">
        <w:rPr>
          <w:rFonts w:ascii="Palatino Linotype" w:hAnsi="Palatino Linotype" w:cs="Arial"/>
          <w:i/>
        </w:rPr>
        <w:t xml:space="preserve">y establecer mecanismos de participación social para su ejecución; </w:t>
      </w:r>
    </w:p>
    <w:p w14:paraId="40D3C970"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VIII. Fomentar en coordinación con los municipios, la construcción de obras de infraestructura y equipamiento urbano, para elevar el nivel de vida de la población con mayores necesidades; </w:t>
      </w:r>
    </w:p>
    <w:p w14:paraId="1506078D"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IX. Proponer y vigilar las acciones para el crecimiento social equilibrado de las comunidades y centros de población en la Entidad; </w:t>
      </w:r>
    </w:p>
    <w:p w14:paraId="2D092296"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 Dirigir y evaluar los programas en materia de asistencia social en el Estado; </w:t>
      </w:r>
    </w:p>
    <w:p w14:paraId="3C6693AC"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XI. Promover el abastecimiento de productos de consumo básico entre población de escasos recursos; </w:t>
      </w:r>
    </w:p>
    <w:p w14:paraId="065C7F10"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XII. Impulsar mecanismos de financiamiento para la ejecución de proyectos productivos orientados al desarrollo rural y urbano de las comunidades con mayores necesidades; </w:t>
      </w:r>
    </w:p>
    <w:p w14:paraId="5D59630A" w14:textId="77777777" w:rsidR="004B4457"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XIII. Coordinar las acciones que deriven de los convenios suscritos con el gobierno federal y con los municipios, cuyo objeto sea el desarrollo social en las diversas regiones del Estado; </w:t>
      </w:r>
    </w:p>
    <w:p w14:paraId="2566D70A" w14:textId="1ED14539"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lastRenderedPageBreak/>
        <w:t xml:space="preserve">XIV. Promover la participación y el apoyo de los sectores social y privado en la atención de las necesidades y demandas básicas de la población más desprotegida en la Entidad; </w:t>
      </w:r>
    </w:p>
    <w:p w14:paraId="6DA9D634"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XV. Promover acciones para incrementar la participación social en la ejecución de proyectos y obras instrumentadas por las instituciones públicas, mediante el fomento de una cultura de autogestión y coparticipación de la ciudadanía; </w:t>
      </w:r>
    </w:p>
    <w:p w14:paraId="77A5EBC2"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XVI. Concertar y coordinar la participación de las organizaciones sociales y de la ciudadanía en general en la operación de los programas de desarrollo social; </w:t>
      </w:r>
    </w:p>
    <w:p w14:paraId="4C0F0CBE"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XVII. Formular, coordinar y evaluar estudios e investigaciones para identificar zonas marginadas y diseñar programas y estrategias para su desarrollo; </w:t>
      </w:r>
    </w:p>
    <w:p w14:paraId="63EC3BBD"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b/>
          <w:bCs/>
          <w:i/>
        </w:rPr>
        <w:t>XVIII. Supervisar, controlar y evaluar los programas y acciones de desarrollo social, verificando los resultados e impactos obtenidos</w:t>
      </w:r>
      <w:r w:rsidRPr="000C136F">
        <w:rPr>
          <w:rFonts w:ascii="Palatino Linotype" w:hAnsi="Palatino Linotype" w:cs="Arial"/>
          <w:i/>
        </w:rPr>
        <w:t xml:space="preserve">; </w:t>
      </w:r>
    </w:p>
    <w:p w14:paraId="798BEDCD"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XIX. Proporcionar asesoría en materia de desarrollo social a las dependencias y organismos auxiliares de la administración pública estatal, a los municipios, a los sectores y grupos sociales y privados que lo soliciten;</w:t>
      </w:r>
    </w:p>
    <w:p w14:paraId="08C1197E"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b/>
          <w:bCs/>
          <w:i/>
        </w:rPr>
      </w:pPr>
      <w:r w:rsidRPr="000C136F">
        <w:rPr>
          <w:rFonts w:ascii="Palatino Linotype" w:hAnsi="Palatino Linotype" w:cs="Arial"/>
          <w:i/>
        </w:rPr>
        <w:t xml:space="preserve"> </w:t>
      </w:r>
      <w:r w:rsidRPr="000C136F">
        <w:rPr>
          <w:rFonts w:ascii="Palatino Linotype" w:hAnsi="Palatino Linotype" w:cs="Arial"/>
          <w:b/>
          <w:bCs/>
          <w:i/>
        </w:rPr>
        <w:t>XX. Promover que los recursos públicos destinados a los programas sociales, se apliquen dando cobertura de prioridad a los municipios en este orden: de muy alta, alta, media, baja y muy baja marginalidad;</w:t>
      </w:r>
    </w:p>
    <w:p w14:paraId="3C7FC242" w14:textId="77777777"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 xml:space="preserve"> XXI. Promover, coordinar, operar y evaluar políticas o programas de apoyo, fomento, atención y desarrollo de las personas adultas mayores; </w:t>
      </w:r>
    </w:p>
    <w:p w14:paraId="7ACF39C6" w14:textId="0C4C2FE0" w:rsidR="005E0F53" w:rsidRPr="000C136F" w:rsidRDefault="005E0F53" w:rsidP="005E0F53">
      <w:pPr>
        <w:pStyle w:val="Prrafodelista"/>
        <w:tabs>
          <w:tab w:val="left" w:pos="993"/>
        </w:tabs>
        <w:spacing w:line="360" w:lineRule="auto"/>
        <w:ind w:left="1134"/>
        <w:contextualSpacing/>
        <w:jc w:val="both"/>
        <w:rPr>
          <w:rFonts w:ascii="Palatino Linotype" w:hAnsi="Palatino Linotype" w:cs="Arial"/>
          <w:i/>
        </w:rPr>
      </w:pPr>
      <w:r w:rsidRPr="000C136F">
        <w:rPr>
          <w:rFonts w:ascii="Palatino Linotype" w:hAnsi="Palatino Linotype" w:cs="Arial"/>
          <w:i/>
        </w:rPr>
        <w:t>XXII. Las demás que señalen otros ordenamientos legales.</w:t>
      </w:r>
    </w:p>
    <w:p w14:paraId="61D56C4E" w14:textId="77777777" w:rsidR="005E0F53" w:rsidRPr="000C136F" w:rsidRDefault="005E0F53" w:rsidP="005E0F53">
      <w:pPr>
        <w:pStyle w:val="Prrafodelista"/>
        <w:tabs>
          <w:tab w:val="left" w:pos="0"/>
        </w:tabs>
        <w:spacing w:line="360" w:lineRule="auto"/>
        <w:ind w:left="0"/>
        <w:contextualSpacing/>
        <w:jc w:val="both"/>
        <w:rPr>
          <w:rFonts w:ascii="Palatino Linotype" w:hAnsi="Palatino Linotype" w:cs="Arial"/>
          <w:i/>
        </w:rPr>
      </w:pPr>
    </w:p>
    <w:p w14:paraId="110DC0C1" w14:textId="0B4350EA" w:rsidR="004B4457" w:rsidRPr="000C136F" w:rsidRDefault="004B4457" w:rsidP="00226171">
      <w:pPr>
        <w:pStyle w:val="Prrafodelista"/>
        <w:numPr>
          <w:ilvl w:val="0"/>
          <w:numId w:val="29"/>
        </w:numPr>
        <w:tabs>
          <w:tab w:val="left" w:pos="851"/>
        </w:tabs>
        <w:spacing w:line="360" w:lineRule="auto"/>
        <w:ind w:left="0" w:firstLine="0"/>
        <w:contextualSpacing/>
        <w:jc w:val="both"/>
        <w:rPr>
          <w:rFonts w:ascii="Palatino Linotype" w:hAnsi="Palatino Linotype" w:cs="Arial"/>
          <w:noProof/>
          <w:lang w:eastAsia="es-MX"/>
        </w:rPr>
      </w:pPr>
      <w:r w:rsidRPr="000C136F">
        <w:lastRenderedPageBreak/>
        <w:t>Por otra parte la Ley de Desarrollo Social del Estado de México refiere en su artículo 2 fracciones  VI  y VII</w:t>
      </w:r>
      <w:r w:rsidR="00226171" w:rsidRPr="000C136F">
        <w:t xml:space="preserve">, </w:t>
      </w:r>
      <w:r w:rsidRPr="000C136F">
        <w:t xml:space="preserve"> que tiene por objeto: </w:t>
      </w:r>
    </w:p>
    <w:p w14:paraId="268D217E" w14:textId="77777777" w:rsidR="00226171" w:rsidRPr="000C136F" w:rsidRDefault="00226171" w:rsidP="00226171">
      <w:pPr>
        <w:pStyle w:val="Prrafodelista"/>
        <w:tabs>
          <w:tab w:val="left" w:pos="0"/>
        </w:tabs>
        <w:spacing w:line="360" w:lineRule="auto"/>
        <w:ind w:left="0"/>
        <w:contextualSpacing/>
        <w:jc w:val="both"/>
        <w:rPr>
          <w:rFonts w:ascii="Palatino Linotype" w:hAnsi="Palatino Linotype" w:cs="Arial"/>
          <w:noProof/>
          <w:lang w:eastAsia="es-MX"/>
        </w:rPr>
      </w:pPr>
    </w:p>
    <w:p w14:paraId="6697D11C" w14:textId="1B360804" w:rsidR="004B4457" w:rsidRPr="000C136F" w:rsidRDefault="004B4457" w:rsidP="00226171">
      <w:pPr>
        <w:pStyle w:val="Prrafodelista"/>
        <w:tabs>
          <w:tab w:val="left" w:pos="993"/>
        </w:tabs>
        <w:spacing w:line="360" w:lineRule="auto"/>
        <w:ind w:left="1134"/>
        <w:contextualSpacing/>
        <w:jc w:val="both"/>
        <w:rPr>
          <w:i/>
          <w:iCs/>
        </w:rPr>
      </w:pPr>
      <w:r w:rsidRPr="000C136F">
        <w:rPr>
          <w:i/>
          <w:iCs/>
        </w:rPr>
        <w:t xml:space="preserve">VI. Promover políticas públicas, programas y acciones de desarrollo social que favorezcan la inclusión y participación social, a fin de alcanzar una mayor cohesión social; y </w:t>
      </w:r>
    </w:p>
    <w:p w14:paraId="02DE4CFC" w14:textId="77777777" w:rsidR="00226171" w:rsidRPr="000C136F" w:rsidRDefault="00226171" w:rsidP="00226171">
      <w:pPr>
        <w:pStyle w:val="Prrafodelista"/>
        <w:tabs>
          <w:tab w:val="left" w:pos="993"/>
        </w:tabs>
        <w:spacing w:line="360" w:lineRule="auto"/>
        <w:ind w:left="1134"/>
        <w:contextualSpacing/>
        <w:jc w:val="both"/>
        <w:rPr>
          <w:i/>
          <w:iCs/>
        </w:rPr>
      </w:pPr>
    </w:p>
    <w:p w14:paraId="11FE09BA" w14:textId="700A0625" w:rsidR="004B4457" w:rsidRPr="000C136F" w:rsidRDefault="004B4457" w:rsidP="00226171">
      <w:pPr>
        <w:pStyle w:val="Prrafodelista"/>
        <w:tabs>
          <w:tab w:val="left" w:pos="993"/>
        </w:tabs>
        <w:spacing w:line="360" w:lineRule="auto"/>
        <w:ind w:left="1134"/>
        <w:contextualSpacing/>
        <w:jc w:val="both"/>
        <w:rPr>
          <w:i/>
          <w:iCs/>
        </w:rPr>
      </w:pPr>
      <w:r w:rsidRPr="000C136F">
        <w:rPr>
          <w:i/>
          <w:iCs/>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4B9AA38A" w14:textId="77777777" w:rsidR="00226171" w:rsidRPr="000C136F" w:rsidRDefault="00226171" w:rsidP="004B4457">
      <w:pPr>
        <w:pStyle w:val="Prrafodelista"/>
        <w:tabs>
          <w:tab w:val="left" w:pos="0"/>
        </w:tabs>
        <w:spacing w:line="360" w:lineRule="auto"/>
        <w:ind w:left="0"/>
        <w:contextualSpacing/>
        <w:jc w:val="both"/>
        <w:rPr>
          <w:i/>
          <w:iCs/>
        </w:rPr>
      </w:pPr>
    </w:p>
    <w:p w14:paraId="09F6D4B9" w14:textId="196DAC83" w:rsidR="004B4457" w:rsidRPr="000C136F" w:rsidRDefault="00226171" w:rsidP="004B4457">
      <w:pPr>
        <w:pStyle w:val="Prrafodelista"/>
        <w:tabs>
          <w:tab w:val="left" w:pos="0"/>
        </w:tabs>
        <w:spacing w:line="360" w:lineRule="auto"/>
        <w:ind w:left="0"/>
        <w:contextualSpacing/>
        <w:jc w:val="both"/>
      </w:pPr>
      <w:r w:rsidRPr="000C136F">
        <w:t xml:space="preserve">Asimismo, de conformidad con el Artículo 5 del mismo ordenamiento legal, la aplicación de la presente Ley corresponde al Ejecutivo Estatal a través de la </w:t>
      </w:r>
      <w:r w:rsidRPr="000C136F">
        <w:rPr>
          <w:b/>
          <w:bCs/>
        </w:rPr>
        <w:t xml:space="preserve">Secretaría de Desarrollo </w:t>
      </w:r>
      <w:r w:rsidR="00516CB5" w:rsidRPr="000C136F">
        <w:rPr>
          <w:b/>
          <w:bCs/>
        </w:rPr>
        <w:t>S</w:t>
      </w:r>
      <w:r w:rsidRPr="000C136F">
        <w:rPr>
          <w:b/>
          <w:bCs/>
        </w:rPr>
        <w:t>ocial</w:t>
      </w:r>
      <w:r w:rsidRPr="000C136F">
        <w:t>, de sus dependencias, organismos y a los municipios en el ámbito de sus respectivas competencias.</w:t>
      </w:r>
    </w:p>
    <w:p w14:paraId="4EEE0E86" w14:textId="77777777" w:rsidR="00226171" w:rsidRPr="000C136F" w:rsidRDefault="00226171" w:rsidP="004B4457">
      <w:pPr>
        <w:pStyle w:val="Prrafodelista"/>
        <w:tabs>
          <w:tab w:val="left" w:pos="0"/>
        </w:tabs>
        <w:spacing w:line="360" w:lineRule="auto"/>
        <w:ind w:left="0"/>
        <w:contextualSpacing/>
        <w:jc w:val="both"/>
        <w:rPr>
          <w:rFonts w:ascii="Palatino Linotype" w:hAnsi="Palatino Linotype" w:cs="Arial"/>
          <w:noProof/>
          <w:lang w:eastAsia="es-MX"/>
        </w:rPr>
      </w:pPr>
    </w:p>
    <w:p w14:paraId="78E58C14" w14:textId="08FB9DFF" w:rsidR="005E0F53" w:rsidRPr="000C136F" w:rsidRDefault="00226171" w:rsidP="007573CA">
      <w:pPr>
        <w:pStyle w:val="Prrafodelista"/>
        <w:numPr>
          <w:ilvl w:val="0"/>
          <w:numId w:val="29"/>
        </w:numPr>
        <w:tabs>
          <w:tab w:val="left" w:pos="0"/>
        </w:tabs>
        <w:spacing w:line="360" w:lineRule="auto"/>
        <w:ind w:left="0" w:firstLine="0"/>
        <w:contextualSpacing/>
        <w:jc w:val="both"/>
        <w:rPr>
          <w:rFonts w:ascii="Palatino Linotype" w:hAnsi="Palatino Linotype" w:cs="Arial"/>
          <w:noProof/>
          <w:lang w:eastAsia="es-MX"/>
        </w:rPr>
      </w:pPr>
      <w:r w:rsidRPr="000C136F">
        <w:t>Mientras que los</w:t>
      </w:r>
      <w:r w:rsidR="005E0F53" w:rsidRPr="000C136F">
        <w:t xml:space="preserve"> artículos 13 fracción VIII, 38, 39 y 40 de la Ley de Desarrollo Social del Estado de México; y 43 de su Reglamento, se establece como obligación de la Secretaría de Desarrollo Social, expedir los Lineamientos y Criterios para la Integración y Actualización de los Padrones de las Personas Beneficiarias y para la Administración del Padrón Único de Personas Beneficiarias de los Programas y/o Acciones de Desarrollo Social del Gobierno del Estado de México.</w:t>
      </w:r>
    </w:p>
    <w:p w14:paraId="598D7C82" w14:textId="77777777" w:rsidR="006B6562" w:rsidRPr="000C136F" w:rsidRDefault="006B6562" w:rsidP="007573CA">
      <w:pPr>
        <w:pStyle w:val="Prrafodelista"/>
        <w:tabs>
          <w:tab w:val="left" w:pos="0"/>
        </w:tabs>
        <w:spacing w:line="360" w:lineRule="auto"/>
        <w:ind w:left="0"/>
        <w:contextualSpacing/>
        <w:jc w:val="both"/>
        <w:rPr>
          <w:rFonts w:ascii="Palatino Linotype" w:hAnsi="Palatino Linotype" w:cs="Arial"/>
          <w:noProof/>
          <w:lang w:eastAsia="es-MX"/>
        </w:rPr>
      </w:pPr>
    </w:p>
    <w:p w14:paraId="23EE7167" w14:textId="3EAF56A8" w:rsidR="006B6562" w:rsidRPr="000C136F" w:rsidRDefault="00226171" w:rsidP="007573CA">
      <w:pPr>
        <w:pStyle w:val="Prrafodelista"/>
        <w:numPr>
          <w:ilvl w:val="0"/>
          <w:numId w:val="29"/>
        </w:numPr>
        <w:tabs>
          <w:tab w:val="left" w:pos="0"/>
        </w:tabs>
        <w:spacing w:line="360" w:lineRule="auto"/>
        <w:ind w:left="0" w:firstLine="0"/>
        <w:contextualSpacing/>
        <w:jc w:val="both"/>
        <w:rPr>
          <w:rFonts w:ascii="Palatino Linotype" w:hAnsi="Palatino Linotype" w:cs="Arial"/>
          <w:noProof/>
          <w:lang w:eastAsia="es-MX"/>
        </w:rPr>
      </w:pPr>
      <w:r w:rsidRPr="000C136F">
        <w:rPr>
          <w:rFonts w:ascii="Palatino Linotype" w:eastAsia="Calibri" w:hAnsi="Palatino Linotype" w:cs="Arial"/>
        </w:rPr>
        <w:lastRenderedPageBreak/>
        <w:t>Por tanto</w:t>
      </w:r>
      <w:r w:rsidR="006B6562" w:rsidRPr="000C136F">
        <w:rPr>
          <w:rFonts w:ascii="Palatino Linotype" w:eastAsia="Calibri" w:hAnsi="Palatino Linotype" w:cs="Arial"/>
        </w:rPr>
        <w:t>, a efecto de no vulnerar los derechos del particular, este Órgano Garante deja a salvo sus derechos para que, si así lo desea, presente una nueva solicitud de acceso a la información requiriendo información que sea de su interés.</w:t>
      </w:r>
    </w:p>
    <w:p w14:paraId="0D813EA8" w14:textId="77777777" w:rsidR="006B6562" w:rsidRPr="000C136F" w:rsidRDefault="006B6562" w:rsidP="007573CA">
      <w:pPr>
        <w:pStyle w:val="Prrafodelista"/>
        <w:spacing w:line="360" w:lineRule="auto"/>
        <w:rPr>
          <w:rFonts w:ascii="Palatino Linotype" w:eastAsia="Calibri" w:hAnsi="Palatino Linotype" w:cs="Arial"/>
        </w:rPr>
      </w:pPr>
    </w:p>
    <w:p w14:paraId="324D7C63" w14:textId="77777777" w:rsidR="007D5C7A" w:rsidRPr="000C136F" w:rsidRDefault="006B6562" w:rsidP="007573CA">
      <w:pPr>
        <w:pStyle w:val="Prrafodelista"/>
        <w:numPr>
          <w:ilvl w:val="0"/>
          <w:numId w:val="29"/>
        </w:numPr>
        <w:tabs>
          <w:tab w:val="left" w:pos="0"/>
        </w:tabs>
        <w:spacing w:line="360" w:lineRule="auto"/>
        <w:ind w:left="0" w:firstLine="0"/>
        <w:contextualSpacing/>
        <w:jc w:val="both"/>
        <w:rPr>
          <w:rFonts w:ascii="Palatino Linotype" w:hAnsi="Palatino Linotype" w:cs="Arial"/>
          <w:noProof/>
          <w:lang w:eastAsia="es-MX"/>
        </w:rPr>
      </w:pPr>
      <w:r w:rsidRPr="000C136F">
        <w:rPr>
          <w:rFonts w:ascii="Palatino Linotype" w:eastAsia="Calibri" w:hAnsi="Palatino Linotype" w:cs="Arial"/>
        </w:rPr>
        <w:t xml:space="preserve">Por lo anteriormente expuesto y fundado, este </w:t>
      </w:r>
      <w:r w:rsidRPr="000C136F">
        <w:rPr>
          <w:rFonts w:ascii="Palatino Linotype" w:eastAsia="Calibri" w:hAnsi="Palatino Linotype" w:cs="Arial"/>
          <w:b/>
        </w:rPr>
        <w:t>ÓRGANO GARANTE</w:t>
      </w:r>
      <w:r w:rsidRPr="000C136F">
        <w:rPr>
          <w:rFonts w:ascii="Palatino Linotype" w:eastAsia="Calibri" w:hAnsi="Palatino Linotype" w:cs="Arial"/>
        </w:rPr>
        <w:t xml:space="preserve"> emite</w:t>
      </w:r>
      <w:r w:rsidRPr="000C136F">
        <w:rPr>
          <w:rFonts w:ascii="Palatino Linotype" w:hAnsi="Palatino Linotype" w:cs="Arial"/>
          <w:noProof/>
          <w:lang w:eastAsia="es-MX"/>
        </w:rPr>
        <w:t xml:space="preserve"> </w:t>
      </w:r>
      <w:r w:rsidRPr="000C136F">
        <w:rPr>
          <w:rFonts w:ascii="Palatino Linotype" w:eastAsia="Calibri" w:hAnsi="Palatino Linotype" w:cs="Arial"/>
        </w:rPr>
        <w:t>los siguientes:</w:t>
      </w:r>
    </w:p>
    <w:p w14:paraId="61A9B522" w14:textId="77777777" w:rsidR="002D39CF" w:rsidRPr="000C136F" w:rsidRDefault="002D39CF" w:rsidP="007573CA">
      <w:pPr>
        <w:pStyle w:val="Prrafodelista"/>
        <w:spacing w:line="360" w:lineRule="auto"/>
        <w:ind w:left="0"/>
        <w:jc w:val="both"/>
        <w:rPr>
          <w:rFonts w:ascii="Palatino Linotype" w:eastAsia="Calibri" w:hAnsi="Palatino Linotype" w:cs="Arial"/>
        </w:rPr>
      </w:pPr>
    </w:p>
    <w:p w14:paraId="4696CB05" w14:textId="77777777" w:rsidR="006B6562" w:rsidRPr="000C136F" w:rsidRDefault="006B6562" w:rsidP="007573CA">
      <w:pPr>
        <w:keepNext/>
        <w:keepLines/>
        <w:spacing w:line="360" w:lineRule="auto"/>
        <w:jc w:val="center"/>
        <w:outlineLvl w:val="0"/>
        <w:rPr>
          <w:rFonts w:ascii="Palatino Linotype" w:eastAsiaTheme="majorEastAsia" w:hAnsi="Palatino Linotype" w:cstheme="majorBidi"/>
          <w:b/>
          <w:color w:val="000000" w:themeColor="text1"/>
          <w:lang w:val="es-ES" w:eastAsia="en-US"/>
        </w:rPr>
      </w:pPr>
      <w:r w:rsidRPr="000C136F">
        <w:rPr>
          <w:rFonts w:ascii="Palatino Linotype" w:eastAsiaTheme="majorEastAsia" w:hAnsi="Palatino Linotype" w:cstheme="majorBidi"/>
          <w:b/>
          <w:color w:val="000000" w:themeColor="text1"/>
          <w:lang w:val="es-ES" w:eastAsia="en-US"/>
        </w:rPr>
        <w:t>R E S O L U T I V O S</w:t>
      </w:r>
    </w:p>
    <w:p w14:paraId="21F74759" w14:textId="77777777" w:rsidR="006B6562" w:rsidRPr="000C136F" w:rsidRDefault="006B6562" w:rsidP="007573CA">
      <w:pPr>
        <w:keepNext/>
        <w:keepLines/>
        <w:spacing w:line="360" w:lineRule="auto"/>
        <w:jc w:val="center"/>
        <w:outlineLvl w:val="0"/>
        <w:rPr>
          <w:rFonts w:ascii="Palatino Linotype" w:eastAsiaTheme="majorEastAsia" w:hAnsi="Palatino Linotype" w:cstheme="majorBidi"/>
          <w:b/>
          <w:color w:val="000000" w:themeColor="text1"/>
          <w:lang w:val="es-ES" w:eastAsia="en-US"/>
        </w:rPr>
      </w:pPr>
    </w:p>
    <w:p w14:paraId="2678F494" w14:textId="77777777" w:rsidR="006B6562" w:rsidRPr="000C136F" w:rsidRDefault="006B6562" w:rsidP="007573CA">
      <w:pPr>
        <w:spacing w:line="360" w:lineRule="auto"/>
        <w:jc w:val="both"/>
        <w:rPr>
          <w:rFonts w:ascii="Palatino Linotype" w:eastAsiaTheme="minorEastAsia" w:hAnsi="Palatino Linotype" w:cs="Arial"/>
          <w:bCs/>
          <w:lang w:val="es-ES_tradnl" w:eastAsia="es-ES"/>
        </w:rPr>
      </w:pPr>
      <w:r w:rsidRPr="000C136F">
        <w:rPr>
          <w:rFonts w:ascii="Palatino Linotype" w:hAnsi="Palatino Linotype" w:cs="Arial"/>
          <w:b/>
          <w:lang w:val="es-ES_tradnl" w:eastAsia="es-ES"/>
        </w:rPr>
        <w:t xml:space="preserve">PRIMERO. </w:t>
      </w:r>
      <w:r w:rsidRPr="000C136F">
        <w:rPr>
          <w:rFonts w:ascii="Palatino Linotype" w:hAnsi="Palatino Linotype" w:cs="Arial"/>
          <w:lang w:val="es-ES_tradnl" w:eastAsia="es-ES"/>
        </w:rPr>
        <w:t>Resultan infundadas las</w:t>
      </w:r>
      <w:r w:rsidRPr="000C136F">
        <w:rPr>
          <w:rFonts w:ascii="Palatino Linotype" w:hAnsi="Palatino Linotype" w:cs="Arial"/>
          <w:b/>
          <w:lang w:val="es-ES_tradnl" w:eastAsia="es-ES"/>
        </w:rPr>
        <w:t xml:space="preserve"> </w:t>
      </w:r>
      <w:r w:rsidRPr="000C136F">
        <w:rPr>
          <w:rFonts w:ascii="Palatino Linotype" w:hAnsi="Palatino Linotype" w:cs="Arial"/>
          <w:lang w:val="es-ES" w:eastAsia="es-ES"/>
        </w:rPr>
        <w:t xml:space="preserve">razones o motivos de inconformidad hechos valer </w:t>
      </w:r>
      <w:r w:rsidRPr="000C136F">
        <w:rPr>
          <w:rFonts w:ascii="Palatino Linotype" w:eastAsia="Calibri" w:hAnsi="Palatino Linotype" w:cs="Arial"/>
          <w:lang w:val="es-ES" w:eastAsia="es-ES"/>
        </w:rPr>
        <w:t xml:space="preserve">en el recurso de revisión </w:t>
      </w:r>
      <w:r w:rsidRPr="000C136F">
        <w:rPr>
          <w:rFonts w:ascii="Palatino Linotype" w:eastAsia="Calibri" w:hAnsi="Palatino Linotype" w:cs="Arial"/>
          <w:b/>
          <w:bCs/>
          <w:lang w:val="es-ES" w:eastAsia="es-ES"/>
        </w:rPr>
        <w:t>12778/INFOEM/IP/RR/2022</w:t>
      </w:r>
      <w:r w:rsidRPr="000C136F">
        <w:rPr>
          <w:rFonts w:ascii="Palatino Linotype" w:eastAsiaTheme="minorEastAsia" w:hAnsi="Palatino Linotype" w:cs="Arial"/>
          <w:b/>
          <w:bCs/>
          <w:lang w:val="es-ES_tradnl" w:eastAsia="es-ES"/>
        </w:rPr>
        <w:t xml:space="preserve"> </w:t>
      </w:r>
      <w:r w:rsidRPr="000C136F">
        <w:rPr>
          <w:rFonts w:ascii="Palatino Linotype" w:eastAsiaTheme="minorEastAsia" w:hAnsi="Palatino Linotype" w:cs="Arial"/>
          <w:bCs/>
          <w:lang w:val="es-ES_tradnl" w:eastAsia="es-ES"/>
        </w:rPr>
        <w:t xml:space="preserve">en términos del </w:t>
      </w:r>
      <w:r w:rsidRPr="000C136F">
        <w:rPr>
          <w:rFonts w:ascii="Palatino Linotype" w:eastAsiaTheme="minorEastAsia" w:hAnsi="Palatino Linotype" w:cs="Arial"/>
          <w:b/>
          <w:bCs/>
          <w:lang w:val="es-ES_tradnl" w:eastAsia="es-ES"/>
        </w:rPr>
        <w:t>Considerando</w:t>
      </w:r>
      <w:r w:rsidRPr="000C136F">
        <w:rPr>
          <w:rFonts w:ascii="Palatino Linotype" w:eastAsiaTheme="minorEastAsia" w:hAnsi="Palatino Linotype" w:cs="Arial"/>
          <w:bCs/>
          <w:lang w:val="es-ES_tradnl" w:eastAsia="es-ES"/>
        </w:rPr>
        <w:t xml:space="preserve"> </w:t>
      </w:r>
      <w:r w:rsidRPr="000C136F">
        <w:rPr>
          <w:rFonts w:ascii="Palatino Linotype" w:eastAsiaTheme="minorEastAsia" w:hAnsi="Palatino Linotype" w:cs="Arial"/>
          <w:b/>
          <w:bCs/>
          <w:lang w:val="es-ES_tradnl" w:eastAsia="es-ES"/>
        </w:rPr>
        <w:t>CUARTO</w:t>
      </w:r>
      <w:r w:rsidRPr="000C136F">
        <w:rPr>
          <w:rFonts w:ascii="Palatino Linotype" w:eastAsiaTheme="minorEastAsia" w:hAnsi="Palatino Linotype" w:cs="Arial"/>
          <w:bCs/>
          <w:lang w:val="es-ES_tradnl" w:eastAsia="es-ES"/>
        </w:rPr>
        <w:t xml:space="preserve"> de la presente resolución.</w:t>
      </w:r>
    </w:p>
    <w:p w14:paraId="094BA40A" w14:textId="77777777" w:rsidR="006B6562" w:rsidRPr="000C136F" w:rsidRDefault="006B6562" w:rsidP="007573CA">
      <w:pPr>
        <w:spacing w:line="360" w:lineRule="auto"/>
        <w:jc w:val="both"/>
        <w:rPr>
          <w:rFonts w:ascii="Palatino Linotype" w:hAnsi="Palatino Linotype"/>
          <w:lang w:val="es-ES_tradnl" w:eastAsia="es-ES"/>
        </w:rPr>
      </w:pPr>
    </w:p>
    <w:p w14:paraId="35E0D80B" w14:textId="03A62927" w:rsidR="006B6562" w:rsidRPr="000C136F" w:rsidRDefault="006B6562" w:rsidP="007573CA">
      <w:pPr>
        <w:spacing w:line="360" w:lineRule="auto"/>
        <w:jc w:val="both"/>
        <w:rPr>
          <w:rFonts w:ascii="Palatino Linotype" w:eastAsia="Calibri" w:hAnsi="Palatino Linotype" w:cs="Arial"/>
          <w:lang w:val="es-ES" w:eastAsia="es-ES"/>
        </w:rPr>
      </w:pPr>
      <w:r w:rsidRPr="000C136F">
        <w:rPr>
          <w:rFonts w:ascii="Palatino Linotype" w:eastAsiaTheme="minorEastAsia" w:hAnsi="Palatino Linotype"/>
          <w:b/>
          <w:lang w:val="es-ES_tradnl" w:eastAsia="es-ES"/>
        </w:rPr>
        <w:t>SEGUNDO.</w:t>
      </w:r>
      <w:r w:rsidRPr="000C136F">
        <w:rPr>
          <w:rFonts w:ascii="Palatino Linotype" w:eastAsiaTheme="majorEastAsia" w:hAnsi="Palatino Linotype" w:cstheme="majorBidi"/>
          <w:b/>
          <w:color w:val="365F91" w:themeColor="accent1" w:themeShade="BF"/>
          <w:lang w:val="es-ES_tradnl" w:eastAsia="es-ES"/>
        </w:rPr>
        <w:t xml:space="preserve"> </w:t>
      </w:r>
      <w:r w:rsidRPr="000C136F">
        <w:rPr>
          <w:rFonts w:ascii="Palatino Linotype" w:eastAsia="Calibri" w:hAnsi="Palatino Linotype" w:cs="Arial"/>
          <w:lang w:val="es-ES" w:eastAsia="es-ES"/>
        </w:rPr>
        <w:t>Se</w:t>
      </w:r>
      <w:r w:rsidRPr="000C136F">
        <w:rPr>
          <w:rFonts w:ascii="Palatino Linotype" w:eastAsia="Calibri" w:hAnsi="Palatino Linotype" w:cs="Arial"/>
          <w:b/>
          <w:lang w:val="es-ES" w:eastAsia="es-ES"/>
        </w:rPr>
        <w:t xml:space="preserve"> CONFIRMA </w:t>
      </w:r>
      <w:r w:rsidRPr="000C136F">
        <w:rPr>
          <w:rFonts w:ascii="Palatino Linotype" w:eastAsia="Calibri" w:hAnsi="Palatino Linotype" w:cs="Arial"/>
          <w:lang w:val="es-ES" w:eastAsia="es-ES"/>
        </w:rPr>
        <w:t xml:space="preserve">la respuesta emitida por la </w:t>
      </w:r>
      <w:r w:rsidRPr="000C136F">
        <w:rPr>
          <w:rFonts w:ascii="Palatino Linotype" w:eastAsiaTheme="minorEastAsia" w:hAnsi="Palatino Linotype" w:cs="Arial"/>
          <w:b/>
          <w:bCs/>
          <w:lang w:val="es-ES_tradnl" w:eastAsia="es-ES"/>
        </w:rPr>
        <w:t>Secretaría de las Mujeres</w:t>
      </w:r>
      <w:r w:rsidRPr="000C136F">
        <w:rPr>
          <w:rFonts w:ascii="Palatino Linotype" w:eastAsiaTheme="minorEastAsia" w:hAnsi="Palatino Linotype" w:cs="Arial"/>
          <w:b/>
          <w:bCs/>
          <w:lang w:val="es-ES" w:eastAsia="es-ES"/>
        </w:rPr>
        <w:t xml:space="preserve"> </w:t>
      </w:r>
      <w:r w:rsidRPr="000C136F">
        <w:rPr>
          <w:rFonts w:ascii="Palatino Linotype" w:eastAsia="Calibri" w:hAnsi="Palatino Linotype" w:cs="Arial"/>
          <w:lang w:val="es-ES" w:eastAsia="es-ES"/>
        </w:rPr>
        <w:t>la solicitud</w:t>
      </w:r>
      <w:r w:rsidRPr="000C136F">
        <w:rPr>
          <w:rFonts w:ascii="Palatino Linotype" w:eastAsia="Calibri" w:hAnsi="Palatino Linotype" w:cs="Arial"/>
          <w:b/>
          <w:lang w:val="es-ES" w:eastAsia="es-ES"/>
        </w:rPr>
        <w:t xml:space="preserve"> </w:t>
      </w:r>
      <w:r w:rsidR="00FA3AFB" w:rsidRPr="000C136F">
        <w:rPr>
          <w:rFonts w:ascii="Palatino Linotype" w:hAnsi="Palatino Linotype"/>
          <w:b/>
          <w:bCs/>
        </w:rPr>
        <w:t>00145/SEMUJ/IP/2022</w:t>
      </w:r>
      <w:r w:rsidRPr="000C136F">
        <w:rPr>
          <w:rFonts w:ascii="Palatino Linotype" w:eastAsia="Calibri" w:hAnsi="Palatino Linotype" w:cs="Arial"/>
          <w:lang w:val="es-ES" w:eastAsia="es-ES"/>
        </w:rPr>
        <w:t>.</w:t>
      </w:r>
    </w:p>
    <w:p w14:paraId="0DCCF19F" w14:textId="77777777" w:rsidR="006B6562" w:rsidRPr="000C136F" w:rsidRDefault="006B6562" w:rsidP="007573CA">
      <w:pPr>
        <w:spacing w:line="360" w:lineRule="auto"/>
        <w:jc w:val="both"/>
        <w:rPr>
          <w:rFonts w:ascii="Palatino Linotype" w:eastAsia="Calibri" w:hAnsi="Palatino Linotype" w:cs="Arial"/>
          <w:lang w:val="es-ES" w:eastAsia="es-ES"/>
        </w:rPr>
      </w:pPr>
    </w:p>
    <w:p w14:paraId="0A5E0927" w14:textId="77777777" w:rsidR="006B6562" w:rsidRPr="000C136F" w:rsidRDefault="006B6562" w:rsidP="007573CA">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C136F">
        <w:rPr>
          <w:rFonts w:ascii="Palatino Linotype" w:eastAsia="Palatino Linotype" w:hAnsi="Palatino Linotype" w:cs="Palatino Linotype"/>
          <w:b/>
          <w:lang w:val="es-ES_tradnl" w:eastAsia="es-ES"/>
        </w:rPr>
        <w:t xml:space="preserve">TERCERO. </w:t>
      </w:r>
      <w:r w:rsidRPr="000C136F">
        <w:rPr>
          <w:rFonts w:ascii="Palatino Linotype" w:eastAsia="Palatino Linotype" w:hAnsi="Palatino Linotype" w:cs="Palatino Linotype"/>
          <w:b/>
          <w:color w:val="000000" w:themeColor="text1"/>
          <w:lang w:val="es-ES_tradnl" w:eastAsia="es-ES"/>
        </w:rPr>
        <w:t xml:space="preserve">REMÍTASE, </w:t>
      </w:r>
      <w:r w:rsidRPr="000C136F">
        <w:rPr>
          <w:rFonts w:ascii="Palatino Linotype" w:eastAsia="Palatino Linotype" w:hAnsi="Palatino Linotype" w:cs="Palatino Linotype"/>
          <w:color w:val="000000" w:themeColor="text1"/>
          <w:lang w:val="es-ES_tradnl" w:eastAsia="es-ES"/>
        </w:rPr>
        <w:t xml:space="preserve">vía Sistema de Acceso a la Información Mexiquense </w:t>
      </w:r>
      <w:r w:rsidRPr="000C136F">
        <w:rPr>
          <w:rFonts w:ascii="Palatino Linotype" w:eastAsia="Palatino Linotype" w:hAnsi="Palatino Linotype" w:cs="Palatino Linotype"/>
          <w:b/>
          <w:bCs/>
          <w:color w:val="000000" w:themeColor="text1"/>
          <w:lang w:val="es-ES_tradnl" w:eastAsia="es-ES"/>
        </w:rPr>
        <w:t>(SAIMEX),</w:t>
      </w:r>
      <w:r w:rsidRPr="000C136F">
        <w:rPr>
          <w:rFonts w:ascii="Palatino Linotype" w:eastAsia="Palatino Linotype" w:hAnsi="Palatino Linotype" w:cs="Palatino Linotype"/>
          <w:color w:val="000000" w:themeColor="text1"/>
          <w:lang w:val="es-ES_tradnl" w:eastAsia="es-ES"/>
        </w:rPr>
        <w:t xml:space="preserve"> la presente resolución al Titular de la Unidad de Transparencia del </w:t>
      </w:r>
      <w:r w:rsidRPr="000C136F">
        <w:rPr>
          <w:rFonts w:ascii="Palatino Linotype" w:eastAsia="Palatino Linotype" w:hAnsi="Palatino Linotype" w:cs="Palatino Linotype"/>
          <w:b/>
          <w:color w:val="000000" w:themeColor="text1"/>
          <w:lang w:val="es-ES_tradnl" w:eastAsia="es-ES"/>
        </w:rPr>
        <w:t>SUJETO OBLIGADO.</w:t>
      </w:r>
    </w:p>
    <w:p w14:paraId="5491CCF9" w14:textId="77777777" w:rsidR="006B6562" w:rsidRPr="000C136F" w:rsidRDefault="006B6562" w:rsidP="007573CA">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787141F2" w14:textId="77777777" w:rsidR="006B6562" w:rsidRPr="000C136F" w:rsidRDefault="006B6562" w:rsidP="007573CA">
      <w:pPr>
        <w:shd w:val="clear" w:color="auto" w:fill="FFFFFF"/>
        <w:spacing w:line="360" w:lineRule="auto"/>
        <w:jc w:val="both"/>
        <w:rPr>
          <w:rFonts w:ascii="Palatino Linotype" w:eastAsiaTheme="minorEastAsia" w:hAnsi="Palatino Linotype"/>
          <w:color w:val="000000" w:themeColor="text1"/>
          <w:lang w:val="es-ES_tradnl" w:eastAsia="es-ES"/>
        </w:rPr>
      </w:pPr>
      <w:r w:rsidRPr="000C136F">
        <w:rPr>
          <w:rFonts w:ascii="Palatino Linotype" w:hAnsi="Palatino Linotype" w:cs="Arial"/>
          <w:b/>
          <w:color w:val="000000" w:themeColor="text1"/>
          <w:lang w:val="es-ES_tradnl" w:eastAsia="es-ES"/>
        </w:rPr>
        <w:t xml:space="preserve">CUARTO. </w:t>
      </w:r>
      <w:r w:rsidRPr="000C136F">
        <w:rPr>
          <w:rFonts w:ascii="Palatino Linotype" w:hAnsi="Palatino Linotype"/>
          <w:b/>
          <w:bCs/>
          <w:color w:val="000000" w:themeColor="text1"/>
          <w:lang w:val="es-ES" w:eastAsia="es-ES"/>
        </w:rPr>
        <w:t>Notifíquese al RECURRENTE</w:t>
      </w:r>
      <w:r w:rsidRPr="000C136F">
        <w:rPr>
          <w:rFonts w:ascii="Palatino Linotype" w:eastAsiaTheme="minorEastAsia" w:hAnsi="Palatino Linotype"/>
          <w:b/>
          <w:color w:val="000000" w:themeColor="text1"/>
          <w:lang w:val="es-ES_tradnl" w:eastAsia="es-ES"/>
        </w:rPr>
        <w:t xml:space="preserve"> </w:t>
      </w:r>
      <w:r w:rsidRPr="000C136F">
        <w:rPr>
          <w:rFonts w:ascii="Palatino Linotype" w:eastAsiaTheme="minorEastAsia" w:hAnsi="Palatino Linotype"/>
          <w:color w:val="000000" w:themeColor="text1"/>
          <w:lang w:val="es-ES_tradnl" w:eastAsia="es-ES"/>
        </w:rPr>
        <w:t xml:space="preserve">la presente resolución vía Sistema de Acceso a la Información Mexiquense </w:t>
      </w:r>
      <w:r w:rsidRPr="000C136F">
        <w:rPr>
          <w:rFonts w:ascii="Palatino Linotype" w:eastAsiaTheme="minorEastAsia" w:hAnsi="Palatino Linotype"/>
          <w:b/>
          <w:bCs/>
          <w:color w:val="000000" w:themeColor="text1"/>
          <w:lang w:val="es-ES_tradnl" w:eastAsia="es-ES"/>
        </w:rPr>
        <w:t>(SAIMEX).</w:t>
      </w:r>
    </w:p>
    <w:p w14:paraId="2BFBEAC9" w14:textId="77777777" w:rsidR="006B6562" w:rsidRPr="000C136F" w:rsidRDefault="006B6562" w:rsidP="007573CA">
      <w:pPr>
        <w:shd w:val="clear" w:color="auto" w:fill="FFFFFF"/>
        <w:spacing w:line="360" w:lineRule="auto"/>
        <w:jc w:val="both"/>
        <w:rPr>
          <w:rFonts w:ascii="Palatino Linotype" w:eastAsiaTheme="minorEastAsia" w:hAnsi="Palatino Linotype"/>
          <w:lang w:val="es-ES_tradnl" w:eastAsia="es-ES"/>
        </w:rPr>
      </w:pPr>
    </w:p>
    <w:p w14:paraId="7A6ADCE2" w14:textId="77777777" w:rsidR="006B6562" w:rsidRPr="000C136F" w:rsidRDefault="006B6562" w:rsidP="007573CA">
      <w:pPr>
        <w:spacing w:line="360" w:lineRule="auto"/>
        <w:jc w:val="both"/>
        <w:rPr>
          <w:rFonts w:ascii="Palatino Linotype" w:eastAsia="MS Mincho" w:hAnsi="Palatino Linotype"/>
          <w:lang w:val="es-ES" w:eastAsia="es-ES"/>
        </w:rPr>
      </w:pPr>
      <w:r w:rsidRPr="000C136F">
        <w:rPr>
          <w:rFonts w:ascii="Palatino Linotype" w:eastAsia="MS Mincho" w:hAnsi="Palatino Linotype"/>
          <w:b/>
          <w:lang w:val="es-ES" w:eastAsia="es-ES"/>
        </w:rPr>
        <w:lastRenderedPageBreak/>
        <w:t>QUINTO.</w:t>
      </w:r>
      <w:r w:rsidRPr="000C136F">
        <w:rPr>
          <w:rFonts w:ascii="Palatino Linotype" w:eastAsia="MS Mincho" w:hAnsi="Palatino Linotype"/>
          <w:lang w:val="es-ES" w:eastAsia="es-ES"/>
        </w:rPr>
        <w:t xml:space="preserve"> Se hace del conocimiento del </w:t>
      </w:r>
      <w:r w:rsidRPr="000C136F">
        <w:rPr>
          <w:rFonts w:ascii="Palatino Linotype" w:hAnsi="Palatino Linotype"/>
          <w:b/>
          <w:bCs/>
          <w:color w:val="222222"/>
          <w:lang w:val="es-ES" w:eastAsia="es-ES"/>
        </w:rPr>
        <w:t>RECURRENTE</w:t>
      </w:r>
      <w:r w:rsidRPr="000C136F">
        <w:rPr>
          <w:rFonts w:ascii="Palatino Linotype" w:eastAsiaTheme="minorEastAsia" w:hAnsi="Palatino Linotype"/>
          <w:b/>
          <w:lang w:val="es-ES_tradnl" w:eastAsia="es-ES"/>
        </w:rPr>
        <w:t xml:space="preserve"> </w:t>
      </w:r>
      <w:r w:rsidRPr="000C136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C136F">
        <w:rPr>
          <w:rFonts w:ascii="Palatino Linotype" w:eastAsia="MS Mincho" w:hAnsi="Palatino Linotype"/>
          <w:bCs/>
          <w:lang w:val="es-ES" w:eastAsia="es-ES"/>
        </w:rPr>
        <w:t>vía juicio de amparo</w:t>
      </w:r>
      <w:r w:rsidRPr="000C136F">
        <w:rPr>
          <w:rFonts w:ascii="Palatino Linotype" w:eastAsia="MS Mincho" w:hAnsi="Palatino Linotype"/>
          <w:lang w:val="es-ES" w:eastAsia="es-ES"/>
        </w:rPr>
        <w:t> en los términos de las leyes aplicables.</w:t>
      </w:r>
    </w:p>
    <w:p w14:paraId="70A8CF52" w14:textId="77777777" w:rsidR="006B6562" w:rsidRPr="000C136F" w:rsidRDefault="006B6562" w:rsidP="007573CA">
      <w:pPr>
        <w:spacing w:line="360" w:lineRule="auto"/>
        <w:jc w:val="both"/>
        <w:rPr>
          <w:rFonts w:ascii="Palatino Linotype" w:eastAsia="MS Mincho" w:hAnsi="Palatino Linotype"/>
          <w:lang w:val="es-ES" w:eastAsia="es-ES"/>
        </w:rPr>
      </w:pPr>
    </w:p>
    <w:p w14:paraId="627B9655" w14:textId="77777777" w:rsidR="00261053" w:rsidRDefault="00261053" w:rsidP="00261053">
      <w:pPr>
        <w:spacing w:before="240" w:after="240" w:line="360" w:lineRule="auto"/>
        <w:jc w:val="both"/>
        <w:rPr>
          <w:rFonts w:ascii="Palatino Linotype" w:hAnsi="Palatino Linotype"/>
        </w:rPr>
      </w:pPr>
      <w:r w:rsidRPr="000C136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bookmarkStart w:id="236" w:name="_GoBack"/>
      <w:bookmarkEnd w:id="236"/>
      <w:r w:rsidRPr="00624AAD">
        <w:rPr>
          <w:rFonts w:ascii="Palatino Linotype" w:hAnsi="Palatino Linotype"/>
        </w:rPr>
        <w:t xml:space="preserve"> </w:t>
      </w:r>
    </w:p>
    <w:p w14:paraId="753E4265" w14:textId="77777777" w:rsidR="006B6562" w:rsidRPr="007573CA" w:rsidRDefault="006B6562" w:rsidP="007573CA">
      <w:pPr>
        <w:pStyle w:val="Prrafodelista"/>
        <w:spacing w:line="360" w:lineRule="auto"/>
        <w:ind w:left="0"/>
        <w:jc w:val="both"/>
        <w:rPr>
          <w:rFonts w:ascii="Palatino Linotype" w:eastAsia="Calibri" w:hAnsi="Palatino Linotype" w:cs="Arial"/>
        </w:rPr>
      </w:pPr>
    </w:p>
    <w:bookmarkEnd w:id="202"/>
    <w:bookmarkEnd w:id="203"/>
    <w:p w14:paraId="708608E3" w14:textId="77777777" w:rsidR="004A5F74" w:rsidRPr="007573CA" w:rsidRDefault="004A5F74" w:rsidP="007573CA">
      <w:pPr>
        <w:spacing w:line="360" w:lineRule="auto"/>
        <w:rPr>
          <w:rFonts w:ascii="Palatino Linotype" w:hAnsi="Palatino Linotype"/>
        </w:rPr>
      </w:pPr>
    </w:p>
    <w:p w14:paraId="610FD164" w14:textId="77777777" w:rsidR="004A5F74" w:rsidRPr="007573CA" w:rsidRDefault="004A5F74" w:rsidP="007573CA">
      <w:pPr>
        <w:spacing w:line="360" w:lineRule="auto"/>
        <w:rPr>
          <w:rFonts w:ascii="Palatino Linotype" w:hAnsi="Palatino Linotype"/>
        </w:rPr>
      </w:pPr>
    </w:p>
    <w:p w14:paraId="36E0DCF1" w14:textId="77777777" w:rsidR="004A5F74" w:rsidRPr="007573CA" w:rsidRDefault="004A5F74" w:rsidP="007573CA">
      <w:pPr>
        <w:spacing w:line="360" w:lineRule="auto"/>
        <w:rPr>
          <w:rFonts w:ascii="Palatino Linotype" w:hAnsi="Palatino Linotype"/>
        </w:rPr>
      </w:pPr>
    </w:p>
    <w:p w14:paraId="6B88EDCD" w14:textId="77777777" w:rsidR="004A5F74" w:rsidRPr="007573CA" w:rsidRDefault="004A5F74" w:rsidP="007573CA">
      <w:pPr>
        <w:spacing w:line="360" w:lineRule="auto"/>
        <w:rPr>
          <w:rFonts w:ascii="Palatino Linotype" w:hAnsi="Palatino Linotype"/>
        </w:rPr>
      </w:pPr>
    </w:p>
    <w:p w14:paraId="7F17D305" w14:textId="77777777" w:rsidR="004A5F74" w:rsidRPr="007573CA" w:rsidRDefault="004A5F74" w:rsidP="007573CA">
      <w:pPr>
        <w:spacing w:line="360" w:lineRule="auto"/>
        <w:rPr>
          <w:rFonts w:ascii="Palatino Linotype" w:hAnsi="Palatino Linotype"/>
        </w:rPr>
      </w:pPr>
    </w:p>
    <w:p w14:paraId="50076944" w14:textId="77777777" w:rsidR="004A5F74" w:rsidRPr="007573CA" w:rsidRDefault="004A5F74" w:rsidP="007573CA">
      <w:pPr>
        <w:spacing w:line="360" w:lineRule="auto"/>
        <w:rPr>
          <w:rFonts w:ascii="Palatino Linotype" w:hAnsi="Palatino Linotype"/>
        </w:rPr>
      </w:pPr>
    </w:p>
    <w:p w14:paraId="475E38AF" w14:textId="77777777" w:rsidR="004A5F74" w:rsidRPr="007573CA" w:rsidRDefault="004A5F74" w:rsidP="007573CA">
      <w:pPr>
        <w:spacing w:line="360" w:lineRule="auto"/>
        <w:rPr>
          <w:rFonts w:ascii="Palatino Linotype" w:hAnsi="Palatino Linotype"/>
        </w:rPr>
      </w:pPr>
    </w:p>
    <w:p w14:paraId="04B16965" w14:textId="77777777" w:rsidR="004A5F74" w:rsidRPr="007573CA" w:rsidRDefault="004A5F74" w:rsidP="007573CA">
      <w:pPr>
        <w:spacing w:line="360" w:lineRule="auto"/>
        <w:rPr>
          <w:rFonts w:ascii="Palatino Linotype" w:hAnsi="Palatino Linotype"/>
        </w:rPr>
      </w:pPr>
    </w:p>
    <w:p w14:paraId="2524F6AC" w14:textId="77777777" w:rsidR="004A5F74" w:rsidRPr="007573CA" w:rsidRDefault="004A5F74" w:rsidP="007573CA">
      <w:pPr>
        <w:spacing w:line="360" w:lineRule="auto"/>
        <w:rPr>
          <w:rFonts w:ascii="Palatino Linotype" w:hAnsi="Palatino Linotype"/>
        </w:rPr>
      </w:pPr>
    </w:p>
    <w:p w14:paraId="1617FA0E" w14:textId="77777777" w:rsidR="004A5F74" w:rsidRPr="007573CA" w:rsidRDefault="004A5F74" w:rsidP="007573CA">
      <w:pPr>
        <w:spacing w:line="360" w:lineRule="auto"/>
        <w:rPr>
          <w:rFonts w:ascii="Palatino Linotype" w:hAnsi="Palatino Linotype"/>
        </w:rPr>
      </w:pPr>
    </w:p>
    <w:p w14:paraId="30E0AF32" w14:textId="77777777" w:rsidR="004A5F74" w:rsidRPr="007573CA" w:rsidRDefault="004A5F74" w:rsidP="007573CA">
      <w:pPr>
        <w:spacing w:line="360" w:lineRule="auto"/>
        <w:rPr>
          <w:rFonts w:ascii="Palatino Linotype" w:hAnsi="Palatino Linotype"/>
        </w:rPr>
      </w:pPr>
    </w:p>
    <w:p w14:paraId="36ADEF46" w14:textId="77777777" w:rsidR="004A5F74" w:rsidRPr="007573CA" w:rsidRDefault="004A5F74" w:rsidP="007573CA">
      <w:pPr>
        <w:spacing w:line="360" w:lineRule="auto"/>
        <w:rPr>
          <w:rFonts w:ascii="Palatino Linotype" w:hAnsi="Palatino Linotype"/>
        </w:rPr>
      </w:pPr>
    </w:p>
    <w:p w14:paraId="49C12FAA" w14:textId="77777777" w:rsidR="004A5F74" w:rsidRPr="007573CA" w:rsidRDefault="004A5F74" w:rsidP="007573CA">
      <w:pPr>
        <w:spacing w:line="360" w:lineRule="auto"/>
        <w:rPr>
          <w:rFonts w:ascii="Palatino Linotype" w:hAnsi="Palatino Linotype"/>
        </w:rPr>
      </w:pPr>
    </w:p>
    <w:p w14:paraId="134E616E" w14:textId="77777777" w:rsidR="004A5F74" w:rsidRPr="007573CA" w:rsidRDefault="004A5F74" w:rsidP="007573CA">
      <w:pPr>
        <w:spacing w:line="360" w:lineRule="auto"/>
        <w:rPr>
          <w:rFonts w:ascii="Palatino Linotype" w:hAnsi="Palatino Linotype"/>
        </w:rPr>
      </w:pPr>
    </w:p>
    <w:p w14:paraId="40FC762D" w14:textId="77777777" w:rsidR="004A5F74" w:rsidRPr="007573CA" w:rsidRDefault="004A5F74" w:rsidP="007573CA">
      <w:pPr>
        <w:spacing w:line="360" w:lineRule="auto"/>
        <w:rPr>
          <w:rFonts w:ascii="Palatino Linotype" w:hAnsi="Palatino Linotype"/>
        </w:rPr>
      </w:pPr>
    </w:p>
    <w:p w14:paraId="304E858C" w14:textId="77777777" w:rsidR="004A5F74" w:rsidRPr="007573CA" w:rsidRDefault="004A5F74" w:rsidP="007573CA">
      <w:pPr>
        <w:spacing w:line="360" w:lineRule="auto"/>
        <w:rPr>
          <w:rFonts w:ascii="Palatino Linotype" w:hAnsi="Palatino Linotype"/>
        </w:rPr>
      </w:pPr>
    </w:p>
    <w:p w14:paraId="4F662699" w14:textId="77777777" w:rsidR="004A5F74" w:rsidRPr="007573CA" w:rsidRDefault="004A5F74" w:rsidP="007573CA">
      <w:pPr>
        <w:spacing w:line="360" w:lineRule="auto"/>
        <w:rPr>
          <w:rFonts w:ascii="Palatino Linotype" w:hAnsi="Palatino Linotype"/>
        </w:rPr>
      </w:pPr>
    </w:p>
    <w:p w14:paraId="1CE39426" w14:textId="77777777" w:rsidR="004A5F74" w:rsidRPr="007573CA" w:rsidRDefault="004A5F74" w:rsidP="007573CA">
      <w:pPr>
        <w:spacing w:line="360" w:lineRule="auto"/>
        <w:rPr>
          <w:rFonts w:ascii="Palatino Linotype" w:hAnsi="Palatino Linotype"/>
        </w:rPr>
      </w:pPr>
    </w:p>
    <w:sectPr w:rsidR="004A5F74" w:rsidRPr="007573CA" w:rsidSect="007B7725">
      <w:headerReference w:type="default" r:id="rId10"/>
      <w:footerReference w:type="default" r:id="rId11"/>
      <w:headerReference w:type="first" r:id="rId12"/>
      <w:footerReference w:type="first" r:id="rId13"/>
      <w:pgSz w:w="12240" w:h="15840"/>
      <w:pgMar w:top="2977"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4408C" w14:textId="77777777" w:rsidR="008069DB" w:rsidRDefault="008069DB" w:rsidP="00C80F8C">
      <w:r>
        <w:separator/>
      </w:r>
    </w:p>
  </w:endnote>
  <w:endnote w:type="continuationSeparator" w:id="0">
    <w:p w14:paraId="6EF45469" w14:textId="77777777" w:rsidR="008069DB" w:rsidRDefault="008069D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7DD77" w14:textId="77777777" w:rsidR="00116DBC" w:rsidRDefault="00116DB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C136F">
      <w:rPr>
        <w:rFonts w:ascii="Arial" w:hAnsi="Arial" w:cs="Arial"/>
        <w:b/>
        <w:bCs/>
        <w:noProof/>
        <w:sz w:val="20"/>
        <w:szCs w:val="20"/>
      </w:rPr>
      <w:t>26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C136F">
      <w:rPr>
        <w:rFonts w:ascii="Arial" w:hAnsi="Arial" w:cs="Arial"/>
        <w:b/>
        <w:bCs/>
        <w:noProof/>
        <w:sz w:val="20"/>
        <w:szCs w:val="20"/>
      </w:rPr>
      <w:t>27</w:t>
    </w:r>
    <w:r>
      <w:rPr>
        <w:rFonts w:ascii="Arial" w:hAnsi="Arial" w:cs="Arial"/>
        <w:b/>
        <w:bCs/>
        <w:sz w:val="20"/>
        <w:szCs w:val="20"/>
      </w:rPr>
      <w:fldChar w:fldCharType="end"/>
    </w:r>
  </w:p>
  <w:p w14:paraId="2A07F3E0" w14:textId="77777777" w:rsidR="00116DBC" w:rsidRDefault="00116DBC" w:rsidP="00935A0D">
    <w:pPr>
      <w:pStyle w:val="Piedepgina"/>
      <w:rPr>
        <w:rFonts w:ascii="Times New Roman" w:hAnsi="Times New Roman" w:cs="Times New Roman"/>
      </w:rPr>
    </w:pPr>
  </w:p>
  <w:p w14:paraId="0E23A375" w14:textId="77777777" w:rsidR="00116DBC" w:rsidRDefault="00116DB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0A6C7" w14:textId="77777777" w:rsidR="00116DBC" w:rsidRDefault="00116DB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C136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C136F">
      <w:rPr>
        <w:rFonts w:ascii="Arial" w:hAnsi="Arial" w:cs="Arial"/>
        <w:b/>
        <w:bCs/>
        <w:noProof/>
        <w:sz w:val="20"/>
        <w:szCs w:val="20"/>
      </w:rPr>
      <w:t>27</w:t>
    </w:r>
    <w:r>
      <w:rPr>
        <w:rFonts w:ascii="Arial" w:hAnsi="Arial" w:cs="Arial"/>
        <w:b/>
        <w:bCs/>
        <w:sz w:val="20"/>
        <w:szCs w:val="20"/>
      </w:rPr>
      <w:fldChar w:fldCharType="end"/>
    </w:r>
  </w:p>
  <w:p w14:paraId="43CAF82F" w14:textId="77777777" w:rsidR="00116DBC" w:rsidRDefault="00116D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CE84F" w14:textId="77777777" w:rsidR="008069DB" w:rsidRDefault="008069DB" w:rsidP="00C80F8C">
      <w:r>
        <w:separator/>
      </w:r>
    </w:p>
  </w:footnote>
  <w:footnote w:type="continuationSeparator" w:id="0">
    <w:p w14:paraId="4ABC5CC6" w14:textId="77777777" w:rsidR="008069DB" w:rsidRDefault="008069D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116DBC" w14:paraId="68C70759" w14:textId="77777777" w:rsidTr="007E2BE8">
      <w:tc>
        <w:tcPr>
          <w:tcW w:w="2552" w:type="dxa"/>
          <w:vAlign w:val="center"/>
          <w:hideMark/>
        </w:tcPr>
        <w:p w14:paraId="0B13C3AA" w14:textId="77777777" w:rsidR="00116DBC" w:rsidRPr="008C5395" w:rsidRDefault="00116DBC"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104601FD" w14:textId="77777777" w:rsidR="00116DBC" w:rsidRPr="00B541C7" w:rsidRDefault="00116DBC" w:rsidP="00D712C2">
          <w:pPr>
            <w:jc w:val="both"/>
            <w:rPr>
              <w:rFonts w:ascii="Palatino Linotype" w:hAnsi="Palatino Linotype"/>
              <w:b/>
              <w:sz w:val="21"/>
              <w:szCs w:val="21"/>
              <w:lang w:val="es-ES_tradnl"/>
            </w:rPr>
          </w:pPr>
          <w:r w:rsidRPr="00344116">
            <w:rPr>
              <w:rFonts w:ascii="Palatino Linotype" w:hAnsi="Palatino Linotype"/>
              <w:b/>
              <w:sz w:val="21"/>
              <w:szCs w:val="21"/>
              <w:lang w:val="es-ES_tradnl"/>
            </w:rPr>
            <w:t>12778/INFOEM/IP/RR/2022</w:t>
          </w:r>
        </w:p>
      </w:tc>
    </w:tr>
    <w:tr w:rsidR="00116DBC" w14:paraId="13D8AA9E" w14:textId="77777777" w:rsidTr="007E2BE8">
      <w:trPr>
        <w:trHeight w:val="228"/>
      </w:trPr>
      <w:tc>
        <w:tcPr>
          <w:tcW w:w="2552" w:type="dxa"/>
          <w:vAlign w:val="center"/>
          <w:hideMark/>
        </w:tcPr>
        <w:p w14:paraId="3671C344" w14:textId="77777777" w:rsidR="00116DBC" w:rsidRPr="008C5395" w:rsidRDefault="00116DBC"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455CCAB0" w14:textId="77777777" w:rsidR="00116DBC" w:rsidRPr="00B541C7" w:rsidRDefault="00116DBC" w:rsidP="00FB7FB8">
          <w:pPr>
            <w:jc w:val="both"/>
            <w:rPr>
              <w:rFonts w:ascii="Palatino Linotype" w:hAnsi="Palatino Linotype"/>
              <w:b/>
              <w:sz w:val="21"/>
              <w:szCs w:val="21"/>
              <w:lang w:val="es-ES_tradnl"/>
            </w:rPr>
          </w:pPr>
          <w:r w:rsidRPr="00344116">
            <w:rPr>
              <w:rFonts w:ascii="Palatino Linotype" w:hAnsi="Palatino Linotype"/>
              <w:b/>
              <w:sz w:val="21"/>
              <w:szCs w:val="21"/>
              <w:lang w:val="es-ES_tradnl"/>
            </w:rPr>
            <w:t>Secretaría de las Mujeres</w:t>
          </w:r>
        </w:p>
      </w:tc>
    </w:tr>
    <w:tr w:rsidR="00116DBC" w14:paraId="3926C6B6" w14:textId="77777777" w:rsidTr="007E2BE8">
      <w:tc>
        <w:tcPr>
          <w:tcW w:w="2552" w:type="dxa"/>
          <w:vAlign w:val="center"/>
          <w:hideMark/>
        </w:tcPr>
        <w:p w14:paraId="7A16195B" w14:textId="77777777" w:rsidR="00116DBC" w:rsidRPr="008C5395" w:rsidRDefault="00116DBC"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3CD7AD79" w14:textId="77777777" w:rsidR="00116DBC" w:rsidRPr="00B541C7" w:rsidRDefault="00116DBC" w:rsidP="00FB7FB8">
          <w:pPr>
            <w:ind w:right="-533"/>
            <w:jc w:val="both"/>
            <w:rPr>
              <w:rFonts w:ascii="Palatino Linotype" w:hAnsi="Palatino Linotype"/>
              <w:b/>
              <w:sz w:val="21"/>
              <w:szCs w:val="21"/>
              <w:lang w:val="es-ES_tradnl"/>
            </w:rPr>
          </w:pPr>
          <w:r w:rsidRPr="00B541C7">
            <w:rPr>
              <w:rFonts w:ascii="Palatino Linotype" w:hAnsi="Palatino Linotype"/>
              <w:b/>
              <w:sz w:val="21"/>
              <w:szCs w:val="21"/>
            </w:rPr>
            <w:t>María del Rosario Mejía Ayala</w:t>
          </w:r>
        </w:p>
      </w:tc>
    </w:tr>
  </w:tbl>
  <w:p w14:paraId="1FA20019" w14:textId="77777777" w:rsidR="00116DBC" w:rsidRDefault="00116DBC"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28D488FE" wp14:editId="7C9852DC">
          <wp:simplePos x="0" y="0"/>
          <wp:positionH relativeFrom="page">
            <wp:posOffset>-78105</wp:posOffset>
          </wp:positionH>
          <wp:positionV relativeFrom="paragraph">
            <wp:posOffset>-1085850</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79898" w14:textId="77777777" w:rsidR="00116DBC" w:rsidRDefault="00116DBC" w:rsidP="00C47D1B">
    <w:pPr>
      <w:pStyle w:val="Encabezado"/>
      <w:jc w:val="both"/>
    </w:pPr>
    <w:r>
      <w:rPr>
        <w:rFonts w:ascii="Palatino Linotype" w:hAnsi="Palatino Linotype"/>
        <w:noProof/>
        <w:lang w:val="es-MX" w:eastAsia="es-MX"/>
      </w:rPr>
      <w:drawing>
        <wp:anchor distT="0" distB="0" distL="114300" distR="114300" simplePos="0" relativeHeight="251663360" behindDoc="1" locked="0" layoutInCell="1" allowOverlap="1" wp14:anchorId="7AAFBE69" wp14:editId="4328CDBC">
          <wp:simplePos x="0" y="0"/>
          <wp:positionH relativeFrom="page">
            <wp:posOffset>311785</wp:posOffset>
          </wp:positionH>
          <wp:positionV relativeFrom="paragraph">
            <wp:posOffset>-153035</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116DBC" w14:paraId="0CFBB94E" w14:textId="77777777" w:rsidTr="00750CDE">
      <w:tc>
        <w:tcPr>
          <w:tcW w:w="2551" w:type="dxa"/>
          <w:vAlign w:val="center"/>
          <w:hideMark/>
        </w:tcPr>
        <w:p w14:paraId="6DB5F6BA" w14:textId="77777777" w:rsidR="00116DBC" w:rsidRPr="00B541C7" w:rsidRDefault="00116DBC" w:rsidP="00C47D1B">
          <w:pPr>
            <w:rPr>
              <w:rFonts w:ascii="Palatino Linotype" w:hAnsi="Palatino Linotype"/>
              <w:b/>
              <w:sz w:val="21"/>
              <w:szCs w:val="21"/>
              <w:lang w:val="es-ES_tradnl"/>
            </w:rPr>
          </w:pPr>
          <w:r w:rsidRPr="00B541C7">
            <w:rPr>
              <w:rFonts w:ascii="Palatino Linotype" w:hAnsi="Palatino Linotype"/>
              <w:b/>
              <w:sz w:val="21"/>
              <w:szCs w:val="21"/>
              <w:lang w:val="es-ES_tradnl"/>
            </w:rPr>
            <w:t>Recurso de Revisión:</w:t>
          </w:r>
        </w:p>
      </w:tc>
      <w:tc>
        <w:tcPr>
          <w:tcW w:w="3544" w:type="dxa"/>
          <w:vAlign w:val="center"/>
          <w:hideMark/>
        </w:tcPr>
        <w:p w14:paraId="78C732FB" w14:textId="77777777" w:rsidR="00116DBC" w:rsidRPr="00B541C7" w:rsidRDefault="00116DBC" w:rsidP="00040464">
          <w:pPr>
            <w:jc w:val="both"/>
            <w:rPr>
              <w:rFonts w:ascii="Palatino Linotype" w:hAnsi="Palatino Linotype"/>
              <w:b/>
              <w:sz w:val="21"/>
              <w:szCs w:val="21"/>
              <w:lang w:val="es-ES_tradnl"/>
            </w:rPr>
          </w:pPr>
          <w:r w:rsidRPr="00344116">
            <w:rPr>
              <w:rFonts w:ascii="Palatino Linotype" w:hAnsi="Palatino Linotype"/>
              <w:b/>
              <w:sz w:val="21"/>
              <w:szCs w:val="21"/>
              <w:lang w:val="es-ES_tradnl"/>
            </w:rPr>
            <w:t>12778/INFOEM/IP/RR/2022</w:t>
          </w:r>
        </w:p>
      </w:tc>
    </w:tr>
    <w:tr w:rsidR="00116DBC" w14:paraId="47B1FC4E" w14:textId="77777777" w:rsidTr="00750CDE">
      <w:tc>
        <w:tcPr>
          <w:tcW w:w="2551" w:type="dxa"/>
          <w:vAlign w:val="center"/>
          <w:hideMark/>
        </w:tcPr>
        <w:p w14:paraId="30008B07" w14:textId="77777777" w:rsidR="00116DBC" w:rsidRPr="00B541C7" w:rsidRDefault="00116DBC" w:rsidP="00087A2F">
          <w:pPr>
            <w:ind w:left="35" w:hanging="35"/>
            <w:rPr>
              <w:rFonts w:ascii="Palatino Linotype" w:hAnsi="Palatino Linotype"/>
              <w:b/>
              <w:sz w:val="21"/>
              <w:szCs w:val="21"/>
              <w:lang w:val="es-ES_tradnl"/>
            </w:rPr>
          </w:pPr>
          <w:r w:rsidRPr="00B541C7">
            <w:rPr>
              <w:rFonts w:ascii="Palatino Linotype" w:hAnsi="Palatino Linotype"/>
              <w:b/>
              <w:sz w:val="21"/>
              <w:szCs w:val="21"/>
              <w:lang w:val="es-ES_tradnl"/>
            </w:rPr>
            <w:t>Recurrente:</w:t>
          </w:r>
        </w:p>
      </w:tc>
      <w:tc>
        <w:tcPr>
          <w:tcW w:w="3544" w:type="dxa"/>
          <w:vAlign w:val="center"/>
          <w:hideMark/>
        </w:tcPr>
        <w:p w14:paraId="1FE24D08" w14:textId="7F931F75" w:rsidR="00116DBC" w:rsidRPr="00B541C7" w:rsidRDefault="000C136F" w:rsidP="000A3F51">
          <w:pPr>
            <w:rPr>
              <w:rFonts w:ascii="Palatino Linotype" w:hAnsi="Palatino Linotype"/>
              <w:b/>
              <w:sz w:val="21"/>
              <w:szCs w:val="21"/>
            </w:rPr>
          </w:pPr>
          <w:r>
            <w:rPr>
              <w:rFonts w:ascii="Palatino Linotype" w:hAnsi="Palatino Linotype"/>
              <w:b/>
              <w:sz w:val="21"/>
              <w:szCs w:val="21"/>
            </w:rPr>
            <w:t>XXXX XXXX XXXX</w:t>
          </w:r>
        </w:p>
      </w:tc>
    </w:tr>
    <w:tr w:rsidR="00116DBC" w14:paraId="620216C8" w14:textId="77777777" w:rsidTr="00750CDE">
      <w:trPr>
        <w:trHeight w:val="228"/>
      </w:trPr>
      <w:tc>
        <w:tcPr>
          <w:tcW w:w="2551" w:type="dxa"/>
          <w:vAlign w:val="center"/>
          <w:hideMark/>
        </w:tcPr>
        <w:p w14:paraId="1229125B" w14:textId="77777777" w:rsidR="00116DBC" w:rsidRPr="00B541C7" w:rsidRDefault="00116DBC" w:rsidP="00750CDE">
          <w:pPr>
            <w:rPr>
              <w:rFonts w:ascii="Palatino Linotype" w:hAnsi="Palatino Linotype"/>
              <w:b/>
              <w:sz w:val="21"/>
              <w:szCs w:val="21"/>
              <w:lang w:val="es-ES_tradnl"/>
            </w:rPr>
          </w:pPr>
          <w:r w:rsidRPr="00B541C7">
            <w:rPr>
              <w:rFonts w:ascii="Palatino Linotype" w:hAnsi="Palatino Linotype"/>
              <w:b/>
              <w:sz w:val="21"/>
              <w:szCs w:val="21"/>
              <w:lang w:val="es-ES_tradnl"/>
            </w:rPr>
            <w:t>Sujeto Obligado:</w:t>
          </w:r>
        </w:p>
      </w:tc>
      <w:tc>
        <w:tcPr>
          <w:tcW w:w="3544" w:type="dxa"/>
          <w:vAlign w:val="center"/>
          <w:hideMark/>
        </w:tcPr>
        <w:p w14:paraId="4CB1F49D" w14:textId="77777777" w:rsidR="00116DBC" w:rsidRPr="00B541C7" w:rsidRDefault="00116DBC" w:rsidP="008C5395">
          <w:pPr>
            <w:ind w:left="35" w:hanging="35"/>
            <w:jc w:val="both"/>
            <w:rPr>
              <w:rFonts w:ascii="Palatino Linotype" w:hAnsi="Palatino Linotype"/>
              <w:b/>
              <w:sz w:val="21"/>
              <w:szCs w:val="21"/>
            </w:rPr>
          </w:pPr>
          <w:r w:rsidRPr="00344116">
            <w:rPr>
              <w:rFonts w:ascii="Palatino Linotype" w:hAnsi="Palatino Linotype"/>
              <w:b/>
              <w:sz w:val="21"/>
              <w:szCs w:val="21"/>
            </w:rPr>
            <w:t>Secretaría de las Mujeres</w:t>
          </w:r>
        </w:p>
      </w:tc>
    </w:tr>
    <w:tr w:rsidR="00116DBC" w14:paraId="6CE5346F" w14:textId="77777777" w:rsidTr="00750CDE">
      <w:tc>
        <w:tcPr>
          <w:tcW w:w="2551" w:type="dxa"/>
          <w:vAlign w:val="center"/>
          <w:hideMark/>
        </w:tcPr>
        <w:p w14:paraId="0530D824" w14:textId="77777777" w:rsidR="00116DBC" w:rsidRPr="00B541C7" w:rsidRDefault="00116DBC" w:rsidP="00750CDE">
          <w:pPr>
            <w:rPr>
              <w:rFonts w:ascii="Palatino Linotype" w:hAnsi="Palatino Linotype"/>
              <w:b/>
              <w:sz w:val="21"/>
              <w:szCs w:val="21"/>
              <w:lang w:val="es-ES_tradnl"/>
            </w:rPr>
          </w:pPr>
          <w:r w:rsidRPr="00B541C7">
            <w:rPr>
              <w:rFonts w:ascii="Palatino Linotype" w:hAnsi="Palatino Linotype"/>
              <w:b/>
              <w:sz w:val="21"/>
              <w:szCs w:val="21"/>
              <w:lang w:val="es-ES_tradnl"/>
            </w:rPr>
            <w:t>Comisionada Ponente:</w:t>
          </w:r>
        </w:p>
      </w:tc>
      <w:tc>
        <w:tcPr>
          <w:tcW w:w="3544" w:type="dxa"/>
          <w:vAlign w:val="center"/>
          <w:hideMark/>
        </w:tcPr>
        <w:p w14:paraId="3DE09C9E" w14:textId="77777777" w:rsidR="00116DBC" w:rsidRPr="00B541C7" w:rsidRDefault="00116DBC" w:rsidP="00750CDE">
          <w:pPr>
            <w:ind w:right="-533"/>
            <w:jc w:val="both"/>
            <w:rPr>
              <w:rFonts w:ascii="Palatino Linotype" w:hAnsi="Palatino Linotype"/>
              <w:b/>
              <w:sz w:val="21"/>
              <w:szCs w:val="21"/>
              <w:lang w:val="es-ES_tradnl"/>
            </w:rPr>
          </w:pPr>
          <w:r w:rsidRPr="00B541C7">
            <w:rPr>
              <w:rFonts w:ascii="Palatino Linotype" w:hAnsi="Palatino Linotype"/>
              <w:b/>
              <w:sz w:val="21"/>
              <w:szCs w:val="21"/>
              <w:lang w:val="es-ES_tradnl"/>
            </w:rPr>
            <w:t>María del Rosario Mejía Ayala</w:t>
          </w:r>
        </w:p>
      </w:tc>
    </w:tr>
  </w:tbl>
  <w:p w14:paraId="30197AC4" w14:textId="77777777" w:rsidR="00116DBC" w:rsidRDefault="00116DB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17B1"/>
    <w:multiLevelType w:val="hybridMultilevel"/>
    <w:tmpl w:val="F44489B4"/>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927D1D"/>
    <w:multiLevelType w:val="hybridMultilevel"/>
    <w:tmpl w:val="948C27FC"/>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30F015D8"/>
    <w:multiLevelType w:val="hybridMultilevel"/>
    <w:tmpl w:val="62E6A2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32290487"/>
    <w:multiLevelType w:val="hybridMultilevel"/>
    <w:tmpl w:val="C8482834"/>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9C0984"/>
    <w:multiLevelType w:val="hybridMultilevel"/>
    <w:tmpl w:val="7EC85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C86822"/>
    <w:multiLevelType w:val="hybridMultilevel"/>
    <w:tmpl w:val="3840721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3">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14669A5"/>
    <w:multiLevelType w:val="hybridMultilevel"/>
    <w:tmpl w:val="3DCAC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1E3AF7"/>
    <w:multiLevelType w:val="hybridMultilevel"/>
    <w:tmpl w:val="88AE23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6F718C"/>
    <w:multiLevelType w:val="hybridMultilevel"/>
    <w:tmpl w:val="49AE0FB4"/>
    <w:lvl w:ilvl="0" w:tplc="731C5DC2">
      <w:start w:val="1"/>
      <w:numFmt w:val="lowerLetter"/>
      <w:lvlText w:val="%1)"/>
      <w:lvlJc w:val="left"/>
      <w:pPr>
        <w:ind w:left="720" w:hanging="360"/>
      </w:pPr>
      <w:rPr>
        <w:b/>
        <w:i w:val="0"/>
      </w:rPr>
    </w:lvl>
    <w:lvl w:ilvl="1" w:tplc="5922F400">
      <w:start w:val="1"/>
      <w:numFmt w:val="lowerLetter"/>
      <w:lvlText w:val="%2."/>
      <w:lvlJc w:val="left"/>
      <w:pPr>
        <w:ind w:left="1440" w:hanging="360"/>
      </w:pPr>
      <w:rPr>
        <w:rFonts w:hint="default"/>
      </w:rPr>
    </w:lvl>
    <w:lvl w:ilvl="2" w:tplc="F1A8767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3FF61F5"/>
    <w:multiLevelType w:val="hybridMultilevel"/>
    <w:tmpl w:val="5E9E70A0"/>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8">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0">
    <w:nsid w:val="560839D1"/>
    <w:multiLevelType w:val="hybridMultilevel"/>
    <w:tmpl w:val="34B8FB8E"/>
    <w:lvl w:ilvl="0" w:tplc="080A000F">
      <w:start w:val="1"/>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A61BE9"/>
    <w:multiLevelType w:val="hybridMultilevel"/>
    <w:tmpl w:val="CF66110E"/>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4">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6">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16"/>
  </w:num>
  <w:num w:numId="4">
    <w:abstractNumId w:val="22"/>
  </w:num>
  <w:num w:numId="5">
    <w:abstractNumId w:val="5"/>
  </w:num>
  <w:num w:numId="6">
    <w:abstractNumId w:val="24"/>
  </w:num>
  <w:num w:numId="7">
    <w:abstractNumId w:val="20"/>
  </w:num>
  <w:num w:numId="8">
    <w:abstractNumId w:val="2"/>
  </w:num>
  <w:num w:numId="9">
    <w:abstractNumId w:val="7"/>
  </w:num>
  <w:num w:numId="10">
    <w:abstractNumId w:val="3"/>
  </w:num>
  <w:num w:numId="11">
    <w:abstractNumId w:val="10"/>
  </w:num>
  <w:num w:numId="12">
    <w:abstractNumId w:val="1"/>
  </w:num>
  <w:num w:numId="13">
    <w:abstractNumId w:val="27"/>
  </w:num>
  <w:num w:numId="14">
    <w:abstractNumId w:val="26"/>
  </w:num>
  <w:num w:numId="15">
    <w:abstractNumId w:val="13"/>
  </w:num>
  <w:num w:numId="16">
    <w:abstractNumId w:val="21"/>
  </w:num>
  <w:num w:numId="17">
    <w:abstractNumId w:val="28"/>
  </w:num>
  <w:num w:numId="18">
    <w:abstractNumId w:val="18"/>
  </w:num>
  <w:num w:numId="19">
    <w:abstractNumId w:val="6"/>
  </w:num>
  <w:num w:numId="20">
    <w:abstractNumId w:val="0"/>
  </w:num>
  <w:num w:numId="21">
    <w:abstractNumId w:val="8"/>
  </w:num>
  <w:num w:numId="22">
    <w:abstractNumId w:val="11"/>
  </w:num>
  <w:num w:numId="23">
    <w:abstractNumId w:val="14"/>
  </w:num>
  <w:num w:numId="24">
    <w:abstractNumId w:val="15"/>
  </w:num>
  <w:num w:numId="25">
    <w:abstractNumId w:val="17"/>
  </w:num>
  <w:num w:numId="26">
    <w:abstractNumId w:val="9"/>
  </w:num>
  <w:num w:numId="27">
    <w:abstractNumId w:val="23"/>
  </w:num>
  <w:num w:numId="28">
    <w:abstractNumId w:val="12"/>
  </w:num>
  <w:num w:numId="2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n-US" w:vendorID="64" w:dllVersion="6" w:nlCheck="1" w:checkStyle="1"/>
  <w:activeWritingStyle w:appName="MSWord" w:lang="es-CO"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368F1"/>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092"/>
    <w:rsid w:val="000657E3"/>
    <w:rsid w:val="0006581C"/>
    <w:rsid w:val="00066209"/>
    <w:rsid w:val="000679F8"/>
    <w:rsid w:val="00067BAE"/>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10E5"/>
    <w:rsid w:val="000941C8"/>
    <w:rsid w:val="0009491F"/>
    <w:rsid w:val="000955C2"/>
    <w:rsid w:val="00095E81"/>
    <w:rsid w:val="00096F4F"/>
    <w:rsid w:val="00097258"/>
    <w:rsid w:val="000A03FA"/>
    <w:rsid w:val="000A0CBA"/>
    <w:rsid w:val="000A1656"/>
    <w:rsid w:val="000A2711"/>
    <w:rsid w:val="000A3F51"/>
    <w:rsid w:val="000A41B3"/>
    <w:rsid w:val="000A4ADB"/>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36F"/>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56D"/>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3C8E"/>
    <w:rsid w:val="001145E0"/>
    <w:rsid w:val="00114D84"/>
    <w:rsid w:val="00114E1D"/>
    <w:rsid w:val="00114F4F"/>
    <w:rsid w:val="00114FD0"/>
    <w:rsid w:val="00115611"/>
    <w:rsid w:val="00116DBC"/>
    <w:rsid w:val="00116E39"/>
    <w:rsid w:val="00120577"/>
    <w:rsid w:val="00121F35"/>
    <w:rsid w:val="00122178"/>
    <w:rsid w:val="0012597C"/>
    <w:rsid w:val="00130D91"/>
    <w:rsid w:val="00131A23"/>
    <w:rsid w:val="00132888"/>
    <w:rsid w:val="00132ABE"/>
    <w:rsid w:val="0013510C"/>
    <w:rsid w:val="0013532D"/>
    <w:rsid w:val="00135560"/>
    <w:rsid w:val="00135834"/>
    <w:rsid w:val="00135983"/>
    <w:rsid w:val="00136C1F"/>
    <w:rsid w:val="00136E02"/>
    <w:rsid w:val="00137EEF"/>
    <w:rsid w:val="001409A7"/>
    <w:rsid w:val="001455DE"/>
    <w:rsid w:val="00146B18"/>
    <w:rsid w:val="00147BF2"/>
    <w:rsid w:val="00150121"/>
    <w:rsid w:val="00150C25"/>
    <w:rsid w:val="00152D03"/>
    <w:rsid w:val="00152EB9"/>
    <w:rsid w:val="001549A5"/>
    <w:rsid w:val="00154A89"/>
    <w:rsid w:val="0015543A"/>
    <w:rsid w:val="00155EE8"/>
    <w:rsid w:val="00160770"/>
    <w:rsid w:val="0016185D"/>
    <w:rsid w:val="001623C4"/>
    <w:rsid w:val="00164786"/>
    <w:rsid w:val="001650BF"/>
    <w:rsid w:val="00172CF4"/>
    <w:rsid w:val="001735DB"/>
    <w:rsid w:val="0017533A"/>
    <w:rsid w:val="001764BD"/>
    <w:rsid w:val="001766A8"/>
    <w:rsid w:val="001769CF"/>
    <w:rsid w:val="00176A2B"/>
    <w:rsid w:val="00177653"/>
    <w:rsid w:val="001810BD"/>
    <w:rsid w:val="00181731"/>
    <w:rsid w:val="00183588"/>
    <w:rsid w:val="001849FA"/>
    <w:rsid w:val="001877E3"/>
    <w:rsid w:val="001909D8"/>
    <w:rsid w:val="00190C0E"/>
    <w:rsid w:val="001910A9"/>
    <w:rsid w:val="00196246"/>
    <w:rsid w:val="00197801"/>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1E3"/>
    <w:rsid w:val="001C12F4"/>
    <w:rsid w:val="001C1D66"/>
    <w:rsid w:val="001C32EB"/>
    <w:rsid w:val="001C78B4"/>
    <w:rsid w:val="001D12BB"/>
    <w:rsid w:val="001D2B8F"/>
    <w:rsid w:val="001D3EDB"/>
    <w:rsid w:val="001D43F1"/>
    <w:rsid w:val="001D465D"/>
    <w:rsid w:val="001D546F"/>
    <w:rsid w:val="001D5475"/>
    <w:rsid w:val="001D560C"/>
    <w:rsid w:val="001D5E49"/>
    <w:rsid w:val="001D6C31"/>
    <w:rsid w:val="001D7454"/>
    <w:rsid w:val="001D74B1"/>
    <w:rsid w:val="001E06A6"/>
    <w:rsid w:val="001E0BAC"/>
    <w:rsid w:val="001E21D6"/>
    <w:rsid w:val="001E27A2"/>
    <w:rsid w:val="001E3163"/>
    <w:rsid w:val="001E58D1"/>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45D9"/>
    <w:rsid w:val="00205A12"/>
    <w:rsid w:val="00205AEA"/>
    <w:rsid w:val="00205E96"/>
    <w:rsid w:val="00206FC2"/>
    <w:rsid w:val="00212533"/>
    <w:rsid w:val="00213307"/>
    <w:rsid w:val="00213675"/>
    <w:rsid w:val="0021467C"/>
    <w:rsid w:val="00215049"/>
    <w:rsid w:val="00215483"/>
    <w:rsid w:val="0021624F"/>
    <w:rsid w:val="00216732"/>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71"/>
    <w:rsid w:val="002271A1"/>
    <w:rsid w:val="00227C43"/>
    <w:rsid w:val="0023011B"/>
    <w:rsid w:val="00230740"/>
    <w:rsid w:val="00231386"/>
    <w:rsid w:val="00231C27"/>
    <w:rsid w:val="002322FA"/>
    <w:rsid w:val="0023264F"/>
    <w:rsid w:val="002328ED"/>
    <w:rsid w:val="00233CE8"/>
    <w:rsid w:val="002345CA"/>
    <w:rsid w:val="00234B1D"/>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053"/>
    <w:rsid w:val="002612A6"/>
    <w:rsid w:val="00261EE8"/>
    <w:rsid w:val="00263087"/>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7C4B"/>
    <w:rsid w:val="002901AF"/>
    <w:rsid w:val="00290B7F"/>
    <w:rsid w:val="00292319"/>
    <w:rsid w:val="002925CC"/>
    <w:rsid w:val="00293B56"/>
    <w:rsid w:val="002A091E"/>
    <w:rsid w:val="002A1F00"/>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5948"/>
    <w:rsid w:val="002C6154"/>
    <w:rsid w:val="002D0922"/>
    <w:rsid w:val="002D117E"/>
    <w:rsid w:val="002D19F0"/>
    <w:rsid w:val="002D36A0"/>
    <w:rsid w:val="002D39CF"/>
    <w:rsid w:val="002D3B5F"/>
    <w:rsid w:val="002D3CBA"/>
    <w:rsid w:val="002D5989"/>
    <w:rsid w:val="002D5AD7"/>
    <w:rsid w:val="002D5D77"/>
    <w:rsid w:val="002D6B0B"/>
    <w:rsid w:val="002D7500"/>
    <w:rsid w:val="002D7B29"/>
    <w:rsid w:val="002E0FAE"/>
    <w:rsid w:val="002E102B"/>
    <w:rsid w:val="002E1225"/>
    <w:rsid w:val="002E14C5"/>
    <w:rsid w:val="002E1568"/>
    <w:rsid w:val="002E1A5F"/>
    <w:rsid w:val="002E3916"/>
    <w:rsid w:val="002E475B"/>
    <w:rsid w:val="002E4E4F"/>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04EA"/>
    <w:rsid w:val="0032140B"/>
    <w:rsid w:val="003229C3"/>
    <w:rsid w:val="00322A09"/>
    <w:rsid w:val="00323309"/>
    <w:rsid w:val="003245BF"/>
    <w:rsid w:val="003256D6"/>
    <w:rsid w:val="00325833"/>
    <w:rsid w:val="00326031"/>
    <w:rsid w:val="00326CE7"/>
    <w:rsid w:val="00330ADB"/>
    <w:rsid w:val="00331625"/>
    <w:rsid w:val="00331BBE"/>
    <w:rsid w:val="003328AD"/>
    <w:rsid w:val="00334142"/>
    <w:rsid w:val="0033414E"/>
    <w:rsid w:val="0033559E"/>
    <w:rsid w:val="003358DE"/>
    <w:rsid w:val="003377AD"/>
    <w:rsid w:val="00337C66"/>
    <w:rsid w:val="0034063F"/>
    <w:rsid w:val="003412C2"/>
    <w:rsid w:val="00341718"/>
    <w:rsid w:val="00342372"/>
    <w:rsid w:val="00342C94"/>
    <w:rsid w:val="00343ED6"/>
    <w:rsid w:val="00344116"/>
    <w:rsid w:val="00344721"/>
    <w:rsid w:val="003450C0"/>
    <w:rsid w:val="00345234"/>
    <w:rsid w:val="00345318"/>
    <w:rsid w:val="00345E3B"/>
    <w:rsid w:val="00346AAB"/>
    <w:rsid w:val="00347266"/>
    <w:rsid w:val="003507DE"/>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3B9"/>
    <w:rsid w:val="00366D78"/>
    <w:rsid w:val="00370254"/>
    <w:rsid w:val="003705F6"/>
    <w:rsid w:val="00371420"/>
    <w:rsid w:val="00371446"/>
    <w:rsid w:val="00372657"/>
    <w:rsid w:val="00372AA5"/>
    <w:rsid w:val="00372FB1"/>
    <w:rsid w:val="00373004"/>
    <w:rsid w:val="0037499B"/>
    <w:rsid w:val="00375B4E"/>
    <w:rsid w:val="00376685"/>
    <w:rsid w:val="00376ED0"/>
    <w:rsid w:val="0038104F"/>
    <w:rsid w:val="00383E79"/>
    <w:rsid w:val="00384578"/>
    <w:rsid w:val="00384B94"/>
    <w:rsid w:val="00385D61"/>
    <w:rsid w:val="00387230"/>
    <w:rsid w:val="00390B9F"/>
    <w:rsid w:val="00391A7B"/>
    <w:rsid w:val="00392F1B"/>
    <w:rsid w:val="00393A05"/>
    <w:rsid w:val="0039552D"/>
    <w:rsid w:val="00395E91"/>
    <w:rsid w:val="0039701C"/>
    <w:rsid w:val="00397C2B"/>
    <w:rsid w:val="003A15A6"/>
    <w:rsid w:val="003A397A"/>
    <w:rsid w:val="003A4D68"/>
    <w:rsid w:val="003A6040"/>
    <w:rsid w:val="003A60BD"/>
    <w:rsid w:val="003A659F"/>
    <w:rsid w:val="003A746A"/>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0B12"/>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153E"/>
    <w:rsid w:val="004332A1"/>
    <w:rsid w:val="004349CB"/>
    <w:rsid w:val="00434DA7"/>
    <w:rsid w:val="00435296"/>
    <w:rsid w:val="004352B9"/>
    <w:rsid w:val="004353C8"/>
    <w:rsid w:val="00436967"/>
    <w:rsid w:val="00436B9A"/>
    <w:rsid w:val="00436F09"/>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3E1"/>
    <w:rsid w:val="004554CC"/>
    <w:rsid w:val="004559FA"/>
    <w:rsid w:val="00456125"/>
    <w:rsid w:val="004569BD"/>
    <w:rsid w:val="00462B69"/>
    <w:rsid w:val="004642D1"/>
    <w:rsid w:val="0046487E"/>
    <w:rsid w:val="00464F80"/>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96270"/>
    <w:rsid w:val="004A0C64"/>
    <w:rsid w:val="004A0F2E"/>
    <w:rsid w:val="004A1ED9"/>
    <w:rsid w:val="004A21C5"/>
    <w:rsid w:val="004A2300"/>
    <w:rsid w:val="004A284F"/>
    <w:rsid w:val="004A2A04"/>
    <w:rsid w:val="004A2CDA"/>
    <w:rsid w:val="004A3ABC"/>
    <w:rsid w:val="004A4371"/>
    <w:rsid w:val="004A5F74"/>
    <w:rsid w:val="004A7606"/>
    <w:rsid w:val="004B02AB"/>
    <w:rsid w:val="004B0B9F"/>
    <w:rsid w:val="004B2513"/>
    <w:rsid w:val="004B2C6B"/>
    <w:rsid w:val="004B35DB"/>
    <w:rsid w:val="004B4457"/>
    <w:rsid w:val="004B44CC"/>
    <w:rsid w:val="004B5FE1"/>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44AE"/>
    <w:rsid w:val="004D576E"/>
    <w:rsid w:val="004D693B"/>
    <w:rsid w:val="004D7BA8"/>
    <w:rsid w:val="004E056B"/>
    <w:rsid w:val="004E06FF"/>
    <w:rsid w:val="004E3C35"/>
    <w:rsid w:val="004E57C2"/>
    <w:rsid w:val="004E5A46"/>
    <w:rsid w:val="004E6596"/>
    <w:rsid w:val="004E69A4"/>
    <w:rsid w:val="004E701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07BD2"/>
    <w:rsid w:val="005106D8"/>
    <w:rsid w:val="00511714"/>
    <w:rsid w:val="00511843"/>
    <w:rsid w:val="00511DE1"/>
    <w:rsid w:val="005123A8"/>
    <w:rsid w:val="0051306F"/>
    <w:rsid w:val="005144C8"/>
    <w:rsid w:val="00515505"/>
    <w:rsid w:val="00515B7B"/>
    <w:rsid w:val="00516C78"/>
    <w:rsid w:val="00516CB5"/>
    <w:rsid w:val="00516E27"/>
    <w:rsid w:val="005215E1"/>
    <w:rsid w:val="00522489"/>
    <w:rsid w:val="00522C1B"/>
    <w:rsid w:val="00525DE6"/>
    <w:rsid w:val="00525FB3"/>
    <w:rsid w:val="0052733B"/>
    <w:rsid w:val="00530283"/>
    <w:rsid w:val="005310A7"/>
    <w:rsid w:val="00531137"/>
    <w:rsid w:val="00531716"/>
    <w:rsid w:val="0053189E"/>
    <w:rsid w:val="0053273E"/>
    <w:rsid w:val="005334F7"/>
    <w:rsid w:val="00533D3A"/>
    <w:rsid w:val="0053472C"/>
    <w:rsid w:val="00535C24"/>
    <w:rsid w:val="005375E9"/>
    <w:rsid w:val="00537621"/>
    <w:rsid w:val="0053793E"/>
    <w:rsid w:val="00540286"/>
    <w:rsid w:val="00541548"/>
    <w:rsid w:val="00543294"/>
    <w:rsid w:val="005436CD"/>
    <w:rsid w:val="005442D6"/>
    <w:rsid w:val="00544EC7"/>
    <w:rsid w:val="005457D7"/>
    <w:rsid w:val="00546359"/>
    <w:rsid w:val="0054643E"/>
    <w:rsid w:val="0054655C"/>
    <w:rsid w:val="0055040E"/>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578FB"/>
    <w:rsid w:val="00560589"/>
    <w:rsid w:val="00561B7E"/>
    <w:rsid w:val="00561EAB"/>
    <w:rsid w:val="0056298A"/>
    <w:rsid w:val="00564E97"/>
    <w:rsid w:val="005651B9"/>
    <w:rsid w:val="005653C4"/>
    <w:rsid w:val="005657D3"/>
    <w:rsid w:val="00565D50"/>
    <w:rsid w:val="00566907"/>
    <w:rsid w:val="0057032D"/>
    <w:rsid w:val="00572247"/>
    <w:rsid w:val="005728FE"/>
    <w:rsid w:val="00573C2A"/>
    <w:rsid w:val="00574665"/>
    <w:rsid w:val="00576E6F"/>
    <w:rsid w:val="00577907"/>
    <w:rsid w:val="00577B41"/>
    <w:rsid w:val="0058160D"/>
    <w:rsid w:val="00582674"/>
    <w:rsid w:val="005826AB"/>
    <w:rsid w:val="00582972"/>
    <w:rsid w:val="005837C0"/>
    <w:rsid w:val="00583A8F"/>
    <w:rsid w:val="00584687"/>
    <w:rsid w:val="00584C98"/>
    <w:rsid w:val="00584EBE"/>
    <w:rsid w:val="0059179D"/>
    <w:rsid w:val="00591A91"/>
    <w:rsid w:val="00591D6C"/>
    <w:rsid w:val="00591F82"/>
    <w:rsid w:val="00593D95"/>
    <w:rsid w:val="00595FA1"/>
    <w:rsid w:val="005A09F9"/>
    <w:rsid w:val="005A1017"/>
    <w:rsid w:val="005A17B0"/>
    <w:rsid w:val="005A19AB"/>
    <w:rsid w:val="005A4041"/>
    <w:rsid w:val="005A5205"/>
    <w:rsid w:val="005A56A5"/>
    <w:rsid w:val="005A6184"/>
    <w:rsid w:val="005B03F8"/>
    <w:rsid w:val="005B12DE"/>
    <w:rsid w:val="005B1466"/>
    <w:rsid w:val="005B1671"/>
    <w:rsid w:val="005B1A95"/>
    <w:rsid w:val="005B1B1A"/>
    <w:rsid w:val="005B25CC"/>
    <w:rsid w:val="005B30BF"/>
    <w:rsid w:val="005B3295"/>
    <w:rsid w:val="005B345E"/>
    <w:rsid w:val="005B36BD"/>
    <w:rsid w:val="005B6974"/>
    <w:rsid w:val="005B6CE9"/>
    <w:rsid w:val="005B7BD2"/>
    <w:rsid w:val="005C132F"/>
    <w:rsid w:val="005C2780"/>
    <w:rsid w:val="005C3E9C"/>
    <w:rsid w:val="005C436B"/>
    <w:rsid w:val="005C4682"/>
    <w:rsid w:val="005C55AE"/>
    <w:rsid w:val="005C5E5B"/>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0DBC"/>
    <w:rsid w:val="005E0F53"/>
    <w:rsid w:val="005E28D6"/>
    <w:rsid w:val="005E4D65"/>
    <w:rsid w:val="005E5433"/>
    <w:rsid w:val="005E6BF5"/>
    <w:rsid w:val="005E6C14"/>
    <w:rsid w:val="005E734F"/>
    <w:rsid w:val="005F1715"/>
    <w:rsid w:val="005F1B5D"/>
    <w:rsid w:val="005F21B5"/>
    <w:rsid w:val="005F34C9"/>
    <w:rsid w:val="005F46DE"/>
    <w:rsid w:val="005F4823"/>
    <w:rsid w:val="005F54A3"/>
    <w:rsid w:val="005F5D92"/>
    <w:rsid w:val="005F5F7F"/>
    <w:rsid w:val="005F7E12"/>
    <w:rsid w:val="00600E3D"/>
    <w:rsid w:val="006010C3"/>
    <w:rsid w:val="00602D6A"/>
    <w:rsid w:val="00603C41"/>
    <w:rsid w:val="00603DA7"/>
    <w:rsid w:val="00604BF6"/>
    <w:rsid w:val="00606585"/>
    <w:rsid w:val="00607E69"/>
    <w:rsid w:val="00610025"/>
    <w:rsid w:val="0061174B"/>
    <w:rsid w:val="00613D0E"/>
    <w:rsid w:val="006149DE"/>
    <w:rsid w:val="00617794"/>
    <w:rsid w:val="00620555"/>
    <w:rsid w:val="00623B8D"/>
    <w:rsid w:val="00624A65"/>
    <w:rsid w:val="00625043"/>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44CC"/>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97FC2"/>
    <w:rsid w:val="006A1780"/>
    <w:rsid w:val="006A19C6"/>
    <w:rsid w:val="006A1EA6"/>
    <w:rsid w:val="006A34E7"/>
    <w:rsid w:val="006A4466"/>
    <w:rsid w:val="006A448C"/>
    <w:rsid w:val="006A5CF6"/>
    <w:rsid w:val="006A6078"/>
    <w:rsid w:val="006A66F8"/>
    <w:rsid w:val="006A6AB5"/>
    <w:rsid w:val="006B0CD6"/>
    <w:rsid w:val="006B0DBD"/>
    <w:rsid w:val="006B1316"/>
    <w:rsid w:val="006B2831"/>
    <w:rsid w:val="006B2B26"/>
    <w:rsid w:val="006B34A2"/>
    <w:rsid w:val="006B3541"/>
    <w:rsid w:val="006B38BA"/>
    <w:rsid w:val="006B4B3F"/>
    <w:rsid w:val="006B5A85"/>
    <w:rsid w:val="006B5F37"/>
    <w:rsid w:val="006B5FF0"/>
    <w:rsid w:val="006B6562"/>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2C06"/>
    <w:rsid w:val="00703BB9"/>
    <w:rsid w:val="00704AF9"/>
    <w:rsid w:val="007131E4"/>
    <w:rsid w:val="007137D7"/>
    <w:rsid w:val="007145F0"/>
    <w:rsid w:val="0071531F"/>
    <w:rsid w:val="00716640"/>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3CA"/>
    <w:rsid w:val="00757C2D"/>
    <w:rsid w:val="0076044C"/>
    <w:rsid w:val="007609DF"/>
    <w:rsid w:val="00760CC2"/>
    <w:rsid w:val="0076141F"/>
    <w:rsid w:val="0076247B"/>
    <w:rsid w:val="00762991"/>
    <w:rsid w:val="007631E9"/>
    <w:rsid w:val="00764230"/>
    <w:rsid w:val="007655CF"/>
    <w:rsid w:val="00765F19"/>
    <w:rsid w:val="0076638E"/>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64A9"/>
    <w:rsid w:val="007A713D"/>
    <w:rsid w:val="007A73BE"/>
    <w:rsid w:val="007A7B20"/>
    <w:rsid w:val="007B1FF9"/>
    <w:rsid w:val="007B271A"/>
    <w:rsid w:val="007B32ED"/>
    <w:rsid w:val="007B4CD6"/>
    <w:rsid w:val="007B4CF4"/>
    <w:rsid w:val="007B5680"/>
    <w:rsid w:val="007B584D"/>
    <w:rsid w:val="007B71DF"/>
    <w:rsid w:val="007B75DC"/>
    <w:rsid w:val="007B7725"/>
    <w:rsid w:val="007B7F14"/>
    <w:rsid w:val="007C06FD"/>
    <w:rsid w:val="007C077C"/>
    <w:rsid w:val="007C2155"/>
    <w:rsid w:val="007C3045"/>
    <w:rsid w:val="007C5C23"/>
    <w:rsid w:val="007C6891"/>
    <w:rsid w:val="007C75CA"/>
    <w:rsid w:val="007C7783"/>
    <w:rsid w:val="007C7F08"/>
    <w:rsid w:val="007D088F"/>
    <w:rsid w:val="007D0C42"/>
    <w:rsid w:val="007D11B3"/>
    <w:rsid w:val="007D18CC"/>
    <w:rsid w:val="007D1A80"/>
    <w:rsid w:val="007D1D57"/>
    <w:rsid w:val="007D3051"/>
    <w:rsid w:val="007D3535"/>
    <w:rsid w:val="007D4707"/>
    <w:rsid w:val="007D489A"/>
    <w:rsid w:val="007D4C85"/>
    <w:rsid w:val="007D5C7A"/>
    <w:rsid w:val="007D63CB"/>
    <w:rsid w:val="007D6C06"/>
    <w:rsid w:val="007E131E"/>
    <w:rsid w:val="007E27E3"/>
    <w:rsid w:val="007E2BE8"/>
    <w:rsid w:val="007E3B3A"/>
    <w:rsid w:val="007E3DFE"/>
    <w:rsid w:val="007E563E"/>
    <w:rsid w:val="007E6D03"/>
    <w:rsid w:val="007E7BD7"/>
    <w:rsid w:val="007F052A"/>
    <w:rsid w:val="007F12E9"/>
    <w:rsid w:val="007F2B33"/>
    <w:rsid w:val="007F407A"/>
    <w:rsid w:val="007F4866"/>
    <w:rsid w:val="007F528B"/>
    <w:rsid w:val="007F5E2F"/>
    <w:rsid w:val="007F67B9"/>
    <w:rsid w:val="007F73E5"/>
    <w:rsid w:val="007F7E34"/>
    <w:rsid w:val="0080035C"/>
    <w:rsid w:val="008007B0"/>
    <w:rsid w:val="00803D96"/>
    <w:rsid w:val="0080484A"/>
    <w:rsid w:val="00806247"/>
    <w:rsid w:val="008069DB"/>
    <w:rsid w:val="0081015C"/>
    <w:rsid w:val="00810888"/>
    <w:rsid w:val="008112A9"/>
    <w:rsid w:val="0081205D"/>
    <w:rsid w:val="00812CD5"/>
    <w:rsid w:val="00813EBD"/>
    <w:rsid w:val="008176B3"/>
    <w:rsid w:val="00822012"/>
    <w:rsid w:val="008222FB"/>
    <w:rsid w:val="00822975"/>
    <w:rsid w:val="00823116"/>
    <w:rsid w:val="00823BF2"/>
    <w:rsid w:val="008251F0"/>
    <w:rsid w:val="0082577D"/>
    <w:rsid w:val="00825EB2"/>
    <w:rsid w:val="0082662C"/>
    <w:rsid w:val="0082741B"/>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2534"/>
    <w:rsid w:val="0084358A"/>
    <w:rsid w:val="00843803"/>
    <w:rsid w:val="00843B89"/>
    <w:rsid w:val="00845368"/>
    <w:rsid w:val="00845D5D"/>
    <w:rsid w:val="00846969"/>
    <w:rsid w:val="00852765"/>
    <w:rsid w:val="0085285D"/>
    <w:rsid w:val="0085287A"/>
    <w:rsid w:val="00860343"/>
    <w:rsid w:val="00860AD2"/>
    <w:rsid w:val="0086172D"/>
    <w:rsid w:val="008628AB"/>
    <w:rsid w:val="00862AF0"/>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C02"/>
    <w:rsid w:val="008D0E05"/>
    <w:rsid w:val="008D1526"/>
    <w:rsid w:val="008D19D8"/>
    <w:rsid w:val="008D1F97"/>
    <w:rsid w:val="008D410C"/>
    <w:rsid w:val="008D4C64"/>
    <w:rsid w:val="008D4EF5"/>
    <w:rsid w:val="008D5488"/>
    <w:rsid w:val="008D6948"/>
    <w:rsid w:val="008E04BB"/>
    <w:rsid w:val="008E1452"/>
    <w:rsid w:val="008E20E3"/>
    <w:rsid w:val="008E4727"/>
    <w:rsid w:val="008E64B7"/>
    <w:rsid w:val="008E652E"/>
    <w:rsid w:val="008E6E98"/>
    <w:rsid w:val="008F0130"/>
    <w:rsid w:val="008F0A05"/>
    <w:rsid w:val="008F0F5A"/>
    <w:rsid w:val="008F1373"/>
    <w:rsid w:val="008F435C"/>
    <w:rsid w:val="008F4BA0"/>
    <w:rsid w:val="008F50CF"/>
    <w:rsid w:val="008F573F"/>
    <w:rsid w:val="008F57F9"/>
    <w:rsid w:val="00901152"/>
    <w:rsid w:val="009013D8"/>
    <w:rsid w:val="009017A8"/>
    <w:rsid w:val="0090220B"/>
    <w:rsid w:val="009042DC"/>
    <w:rsid w:val="009042FC"/>
    <w:rsid w:val="00904D56"/>
    <w:rsid w:val="00904ED9"/>
    <w:rsid w:val="009062DC"/>
    <w:rsid w:val="00906364"/>
    <w:rsid w:val="00906B6B"/>
    <w:rsid w:val="00911102"/>
    <w:rsid w:val="00911665"/>
    <w:rsid w:val="00912D93"/>
    <w:rsid w:val="00914437"/>
    <w:rsid w:val="00914F3A"/>
    <w:rsid w:val="00914F3F"/>
    <w:rsid w:val="00915548"/>
    <w:rsid w:val="00916438"/>
    <w:rsid w:val="0091664E"/>
    <w:rsid w:val="009173DC"/>
    <w:rsid w:val="00917FDA"/>
    <w:rsid w:val="0092084B"/>
    <w:rsid w:val="0092222E"/>
    <w:rsid w:val="0092233B"/>
    <w:rsid w:val="0092387E"/>
    <w:rsid w:val="009238DD"/>
    <w:rsid w:val="009251B9"/>
    <w:rsid w:val="009255F3"/>
    <w:rsid w:val="00927AEF"/>
    <w:rsid w:val="00932678"/>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84"/>
    <w:rsid w:val="00971BD9"/>
    <w:rsid w:val="00971D31"/>
    <w:rsid w:val="00974EFA"/>
    <w:rsid w:val="00975EB9"/>
    <w:rsid w:val="00976DAB"/>
    <w:rsid w:val="0098068E"/>
    <w:rsid w:val="00980B26"/>
    <w:rsid w:val="00980B96"/>
    <w:rsid w:val="00981A72"/>
    <w:rsid w:val="0098283A"/>
    <w:rsid w:val="009831F8"/>
    <w:rsid w:val="009838C8"/>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1810"/>
    <w:rsid w:val="009A1A1D"/>
    <w:rsid w:val="009A3291"/>
    <w:rsid w:val="009A61EC"/>
    <w:rsid w:val="009A65F3"/>
    <w:rsid w:val="009A6C40"/>
    <w:rsid w:val="009A7934"/>
    <w:rsid w:val="009B0753"/>
    <w:rsid w:val="009B0D17"/>
    <w:rsid w:val="009B1592"/>
    <w:rsid w:val="009B1B4F"/>
    <w:rsid w:val="009B21C8"/>
    <w:rsid w:val="009B274A"/>
    <w:rsid w:val="009B351E"/>
    <w:rsid w:val="009B35BC"/>
    <w:rsid w:val="009B3A3B"/>
    <w:rsid w:val="009B5C0F"/>
    <w:rsid w:val="009B5D9D"/>
    <w:rsid w:val="009B6032"/>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6B17"/>
    <w:rsid w:val="009E7BFE"/>
    <w:rsid w:val="009F121C"/>
    <w:rsid w:val="009F25BF"/>
    <w:rsid w:val="009F3049"/>
    <w:rsid w:val="009F30E0"/>
    <w:rsid w:val="009F3738"/>
    <w:rsid w:val="009F3A5D"/>
    <w:rsid w:val="009F500F"/>
    <w:rsid w:val="009F7008"/>
    <w:rsid w:val="00A00684"/>
    <w:rsid w:val="00A00801"/>
    <w:rsid w:val="00A008B4"/>
    <w:rsid w:val="00A0096D"/>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3DB3"/>
    <w:rsid w:val="00A15FEC"/>
    <w:rsid w:val="00A166A3"/>
    <w:rsid w:val="00A17788"/>
    <w:rsid w:val="00A17B62"/>
    <w:rsid w:val="00A22137"/>
    <w:rsid w:val="00A22414"/>
    <w:rsid w:val="00A24823"/>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AA8"/>
    <w:rsid w:val="00A803AD"/>
    <w:rsid w:val="00A80521"/>
    <w:rsid w:val="00A80DEE"/>
    <w:rsid w:val="00A80FAC"/>
    <w:rsid w:val="00A81140"/>
    <w:rsid w:val="00A81992"/>
    <w:rsid w:val="00A81E6A"/>
    <w:rsid w:val="00A826C0"/>
    <w:rsid w:val="00A82D3C"/>
    <w:rsid w:val="00A8489D"/>
    <w:rsid w:val="00A85708"/>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6396"/>
    <w:rsid w:val="00AB00FD"/>
    <w:rsid w:val="00AB0B76"/>
    <w:rsid w:val="00AB10AD"/>
    <w:rsid w:val="00AB155A"/>
    <w:rsid w:val="00AB2A1E"/>
    <w:rsid w:val="00AB414B"/>
    <w:rsid w:val="00AB5BD9"/>
    <w:rsid w:val="00AB6BDA"/>
    <w:rsid w:val="00AB7050"/>
    <w:rsid w:val="00AC588D"/>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42FA"/>
    <w:rsid w:val="00AF03F7"/>
    <w:rsid w:val="00AF18E4"/>
    <w:rsid w:val="00AF247E"/>
    <w:rsid w:val="00AF47F7"/>
    <w:rsid w:val="00AF4A47"/>
    <w:rsid w:val="00AF58B2"/>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4BDC"/>
    <w:rsid w:val="00B04EC4"/>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1EE7"/>
    <w:rsid w:val="00B428E1"/>
    <w:rsid w:val="00B43757"/>
    <w:rsid w:val="00B44786"/>
    <w:rsid w:val="00B456E6"/>
    <w:rsid w:val="00B45F76"/>
    <w:rsid w:val="00B45F90"/>
    <w:rsid w:val="00B4631A"/>
    <w:rsid w:val="00B46384"/>
    <w:rsid w:val="00B4654F"/>
    <w:rsid w:val="00B47261"/>
    <w:rsid w:val="00B476AE"/>
    <w:rsid w:val="00B47B70"/>
    <w:rsid w:val="00B526C6"/>
    <w:rsid w:val="00B541C7"/>
    <w:rsid w:val="00B54BB5"/>
    <w:rsid w:val="00B556D1"/>
    <w:rsid w:val="00B56F3C"/>
    <w:rsid w:val="00B572BC"/>
    <w:rsid w:val="00B57332"/>
    <w:rsid w:val="00B6052F"/>
    <w:rsid w:val="00B60F13"/>
    <w:rsid w:val="00B63E00"/>
    <w:rsid w:val="00B655D5"/>
    <w:rsid w:val="00B66292"/>
    <w:rsid w:val="00B66CED"/>
    <w:rsid w:val="00B67138"/>
    <w:rsid w:val="00B672C8"/>
    <w:rsid w:val="00B67FFB"/>
    <w:rsid w:val="00B705C7"/>
    <w:rsid w:val="00B70F8F"/>
    <w:rsid w:val="00B71AED"/>
    <w:rsid w:val="00B73A31"/>
    <w:rsid w:val="00B73D8D"/>
    <w:rsid w:val="00B7454D"/>
    <w:rsid w:val="00B74608"/>
    <w:rsid w:val="00B753C7"/>
    <w:rsid w:val="00B75EB2"/>
    <w:rsid w:val="00B76EF7"/>
    <w:rsid w:val="00B77CC9"/>
    <w:rsid w:val="00B819FF"/>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ABB"/>
    <w:rsid w:val="00BB1F47"/>
    <w:rsid w:val="00BB20BE"/>
    <w:rsid w:val="00BB2F04"/>
    <w:rsid w:val="00BC0A2D"/>
    <w:rsid w:val="00BC2982"/>
    <w:rsid w:val="00BC2E08"/>
    <w:rsid w:val="00BC53C8"/>
    <w:rsid w:val="00BC5E2F"/>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0CAE"/>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2C33"/>
    <w:rsid w:val="00C4407D"/>
    <w:rsid w:val="00C44B12"/>
    <w:rsid w:val="00C4607D"/>
    <w:rsid w:val="00C46E25"/>
    <w:rsid w:val="00C47A07"/>
    <w:rsid w:val="00C47D1B"/>
    <w:rsid w:val="00C503FF"/>
    <w:rsid w:val="00C5112D"/>
    <w:rsid w:val="00C5196A"/>
    <w:rsid w:val="00C51DD7"/>
    <w:rsid w:val="00C5368C"/>
    <w:rsid w:val="00C56A1D"/>
    <w:rsid w:val="00C56EA6"/>
    <w:rsid w:val="00C60714"/>
    <w:rsid w:val="00C60D1F"/>
    <w:rsid w:val="00C61143"/>
    <w:rsid w:val="00C62E41"/>
    <w:rsid w:val="00C64863"/>
    <w:rsid w:val="00C65197"/>
    <w:rsid w:val="00C657AA"/>
    <w:rsid w:val="00C65F73"/>
    <w:rsid w:val="00C7131E"/>
    <w:rsid w:val="00C71B23"/>
    <w:rsid w:val="00C72F08"/>
    <w:rsid w:val="00C75879"/>
    <w:rsid w:val="00C75DF4"/>
    <w:rsid w:val="00C76046"/>
    <w:rsid w:val="00C778D5"/>
    <w:rsid w:val="00C77CAB"/>
    <w:rsid w:val="00C77F8C"/>
    <w:rsid w:val="00C801F1"/>
    <w:rsid w:val="00C808D7"/>
    <w:rsid w:val="00C80956"/>
    <w:rsid w:val="00C80F8C"/>
    <w:rsid w:val="00C8321A"/>
    <w:rsid w:val="00C83F08"/>
    <w:rsid w:val="00C857DA"/>
    <w:rsid w:val="00C8734B"/>
    <w:rsid w:val="00C90970"/>
    <w:rsid w:val="00C91163"/>
    <w:rsid w:val="00C91306"/>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390D"/>
    <w:rsid w:val="00CE4BA1"/>
    <w:rsid w:val="00CE62C7"/>
    <w:rsid w:val="00CE62F4"/>
    <w:rsid w:val="00CE6956"/>
    <w:rsid w:val="00CE7327"/>
    <w:rsid w:val="00CE7CF4"/>
    <w:rsid w:val="00CF02AF"/>
    <w:rsid w:val="00CF0AC2"/>
    <w:rsid w:val="00CF0F8C"/>
    <w:rsid w:val="00CF22AA"/>
    <w:rsid w:val="00CF23DD"/>
    <w:rsid w:val="00CF2BF3"/>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2302"/>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51AA"/>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3B16"/>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0E3"/>
    <w:rsid w:val="00E014FE"/>
    <w:rsid w:val="00E01A8B"/>
    <w:rsid w:val="00E02778"/>
    <w:rsid w:val="00E029F0"/>
    <w:rsid w:val="00E035C5"/>
    <w:rsid w:val="00E1266D"/>
    <w:rsid w:val="00E12BA7"/>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0BF"/>
    <w:rsid w:val="00E24B95"/>
    <w:rsid w:val="00E24DC6"/>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43FF"/>
    <w:rsid w:val="00E4493F"/>
    <w:rsid w:val="00E5024B"/>
    <w:rsid w:val="00E51FC4"/>
    <w:rsid w:val="00E54D3C"/>
    <w:rsid w:val="00E5565C"/>
    <w:rsid w:val="00E56CD4"/>
    <w:rsid w:val="00E60710"/>
    <w:rsid w:val="00E608D8"/>
    <w:rsid w:val="00E6090E"/>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5962"/>
    <w:rsid w:val="00E76824"/>
    <w:rsid w:val="00E771E0"/>
    <w:rsid w:val="00E776E4"/>
    <w:rsid w:val="00E822FC"/>
    <w:rsid w:val="00E8244F"/>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1F50"/>
    <w:rsid w:val="00EA25C3"/>
    <w:rsid w:val="00EA3FF8"/>
    <w:rsid w:val="00EA5426"/>
    <w:rsid w:val="00EA5464"/>
    <w:rsid w:val="00EA7E3D"/>
    <w:rsid w:val="00EB0769"/>
    <w:rsid w:val="00EB20EB"/>
    <w:rsid w:val="00EB22EA"/>
    <w:rsid w:val="00EB2C90"/>
    <w:rsid w:val="00EB3173"/>
    <w:rsid w:val="00EB3E9C"/>
    <w:rsid w:val="00EB4790"/>
    <w:rsid w:val="00EB49E8"/>
    <w:rsid w:val="00EB59F3"/>
    <w:rsid w:val="00EB5FF2"/>
    <w:rsid w:val="00EB6471"/>
    <w:rsid w:val="00EB70B4"/>
    <w:rsid w:val="00EB7113"/>
    <w:rsid w:val="00EB71E4"/>
    <w:rsid w:val="00EC0739"/>
    <w:rsid w:val="00EC1018"/>
    <w:rsid w:val="00EC1087"/>
    <w:rsid w:val="00EC1099"/>
    <w:rsid w:val="00EC1F9D"/>
    <w:rsid w:val="00EC25BC"/>
    <w:rsid w:val="00EC2B23"/>
    <w:rsid w:val="00EC61EA"/>
    <w:rsid w:val="00EC65B1"/>
    <w:rsid w:val="00EC69F7"/>
    <w:rsid w:val="00EC717D"/>
    <w:rsid w:val="00EC74C6"/>
    <w:rsid w:val="00ED0428"/>
    <w:rsid w:val="00ED14E6"/>
    <w:rsid w:val="00ED16B2"/>
    <w:rsid w:val="00ED2AAC"/>
    <w:rsid w:val="00ED456A"/>
    <w:rsid w:val="00ED5B1C"/>
    <w:rsid w:val="00ED610B"/>
    <w:rsid w:val="00ED63B2"/>
    <w:rsid w:val="00ED6D1E"/>
    <w:rsid w:val="00ED6ED9"/>
    <w:rsid w:val="00ED71CB"/>
    <w:rsid w:val="00EE197F"/>
    <w:rsid w:val="00EE1E1A"/>
    <w:rsid w:val="00EE2AED"/>
    <w:rsid w:val="00EE3F2B"/>
    <w:rsid w:val="00EE5179"/>
    <w:rsid w:val="00EE5956"/>
    <w:rsid w:val="00EE6402"/>
    <w:rsid w:val="00EE69FF"/>
    <w:rsid w:val="00EF08D2"/>
    <w:rsid w:val="00EF1322"/>
    <w:rsid w:val="00EF210B"/>
    <w:rsid w:val="00EF24F5"/>
    <w:rsid w:val="00EF35A8"/>
    <w:rsid w:val="00EF4435"/>
    <w:rsid w:val="00EF63C9"/>
    <w:rsid w:val="00EF7A7F"/>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759"/>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2602"/>
    <w:rsid w:val="00F63659"/>
    <w:rsid w:val="00F653FD"/>
    <w:rsid w:val="00F654BB"/>
    <w:rsid w:val="00F661AD"/>
    <w:rsid w:val="00F67866"/>
    <w:rsid w:val="00F72513"/>
    <w:rsid w:val="00F731E0"/>
    <w:rsid w:val="00F7656E"/>
    <w:rsid w:val="00F76B67"/>
    <w:rsid w:val="00F7750F"/>
    <w:rsid w:val="00F77A97"/>
    <w:rsid w:val="00F81494"/>
    <w:rsid w:val="00F8179D"/>
    <w:rsid w:val="00F8300B"/>
    <w:rsid w:val="00F83FA0"/>
    <w:rsid w:val="00F87384"/>
    <w:rsid w:val="00F8739B"/>
    <w:rsid w:val="00F874B7"/>
    <w:rsid w:val="00F87768"/>
    <w:rsid w:val="00F87BA5"/>
    <w:rsid w:val="00F9071C"/>
    <w:rsid w:val="00F90C9F"/>
    <w:rsid w:val="00F9254D"/>
    <w:rsid w:val="00F972F3"/>
    <w:rsid w:val="00F97A74"/>
    <w:rsid w:val="00FA035C"/>
    <w:rsid w:val="00FA362E"/>
    <w:rsid w:val="00FA3AFB"/>
    <w:rsid w:val="00FA4D4A"/>
    <w:rsid w:val="00FA5E09"/>
    <w:rsid w:val="00FA62D8"/>
    <w:rsid w:val="00FA6F87"/>
    <w:rsid w:val="00FA74AB"/>
    <w:rsid w:val="00FB0158"/>
    <w:rsid w:val="00FB037E"/>
    <w:rsid w:val="00FB0A21"/>
    <w:rsid w:val="00FB4712"/>
    <w:rsid w:val="00FB48D6"/>
    <w:rsid w:val="00FB6057"/>
    <w:rsid w:val="00FB6933"/>
    <w:rsid w:val="00FB755A"/>
    <w:rsid w:val="00FB7C29"/>
    <w:rsid w:val="00FB7FB8"/>
    <w:rsid w:val="00FC05DA"/>
    <w:rsid w:val="00FC098D"/>
    <w:rsid w:val="00FC10CB"/>
    <w:rsid w:val="00FC19E9"/>
    <w:rsid w:val="00FC204E"/>
    <w:rsid w:val="00FC4058"/>
    <w:rsid w:val="00FC4CC4"/>
    <w:rsid w:val="00FC5A0A"/>
    <w:rsid w:val="00FC5D55"/>
    <w:rsid w:val="00FC6429"/>
    <w:rsid w:val="00FC6493"/>
    <w:rsid w:val="00FC6FE2"/>
    <w:rsid w:val="00FC7E7D"/>
    <w:rsid w:val="00FD0052"/>
    <w:rsid w:val="00FD355F"/>
    <w:rsid w:val="00FD3AE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899901"/>
  <w15:docId w15:val="{928BCD14-C637-4746-A9EE-21450412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customStyle="1" w:styleId="Tabladelista1clara-nfasis11">
    <w:name w:val="Tabla de lista 1 clara - Énfasis 1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rPr>
  </w:style>
  <w:style w:type="paragraph" w:customStyle="1" w:styleId="ANOTACION">
    <w:name w:val="ANOTACION"/>
    <w:basedOn w:val="Normal"/>
    <w:link w:val="ANOTACIONCar"/>
    <w:rsid w:val="00A07966"/>
    <w:pPr>
      <w:spacing w:before="101" w:after="101"/>
      <w:jc w:val="center"/>
    </w:pPr>
    <w:rPr>
      <w:b/>
      <w:sz w:val="18"/>
      <w:szCs w:val="18"/>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customStyle="1" w:styleId="Tabladecuadrcula1clara-nfasis11">
    <w:name w:val="Tabla de cuadrícula 1 clara - Énfasis 1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customStyle="1" w:styleId="Tabladecuadrcula1clara2">
    <w:name w:val="Tabla de cuadrícula 1 clara2"/>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character" w:customStyle="1" w:styleId="medium">
    <w:name w:val="medium"/>
    <w:basedOn w:val="Fuentedeprrafopredeter"/>
    <w:rsid w:val="008D0C02"/>
  </w:style>
  <w:style w:type="table" w:customStyle="1" w:styleId="Tablaconcuadrcula2111">
    <w:name w:val="Tabla con cuadrícula2111"/>
    <w:basedOn w:val="Tablanormal"/>
    <w:next w:val="Tablaconcuadrcula"/>
    <w:uiPriority w:val="39"/>
    <w:rsid w:val="000A03F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4878343">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193927848">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45326753">
      <w:bodyDiv w:val="1"/>
      <w:marLeft w:val="0"/>
      <w:marRight w:val="0"/>
      <w:marTop w:val="0"/>
      <w:marBottom w:val="0"/>
      <w:divBdr>
        <w:top w:val="none" w:sz="0" w:space="0" w:color="auto"/>
        <w:left w:val="none" w:sz="0" w:space="0" w:color="auto"/>
        <w:bottom w:val="none" w:sz="0" w:space="0" w:color="auto"/>
        <w:right w:val="none" w:sz="0" w:space="0" w:color="auto"/>
      </w:divBdr>
      <w:divsChild>
        <w:div w:id="1523665829">
          <w:marLeft w:val="0"/>
          <w:marRight w:val="0"/>
          <w:marTop w:val="0"/>
          <w:marBottom w:val="0"/>
          <w:divBdr>
            <w:top w:val="none" w:sz="0" w:space="0" w:color="auto"/>
            <w:left w:val="none" w:sz="0" w:space="0" w:color="auto"/>
            <w:bottom w:val="none" w:sz="0" w:space="0" w:color="auto"/>
            <w:right w:val="none" w:sz="0" w:space="0" w:color="auto"/>
          </w:divBdr>
          <w:divsChild>
            <w:div w:id="1613705715">
              <w:marLeft w:val="0"/>
              <w:marRight w:val="0"/>
              <w:marTop w:val="0"/>
              <w:marBottom w:val="0"/>
              <w:divBdr>
                <w:top w:val="none" w:sz="0" w:space="0" w:color="auto"/>
                <w:left w:val="none" w:sz="0" w:space="0" w:color="auto"/>
                <w:bottom w:val="none" w:sz="0" w:space="0" w:color="auto"/>
                <w:right w:val="none" w:sz="0" w:space="0" w:color="auto"/>
              </w:divBdr>
              <w:divsChild>
                <w:div w:id="1768185365">
                  <w:marLeft w:val="0"/>
                  <w:marRight w:val="0"/>
                  <w:marTop w:val="0"/>
                  <w:marBottom w:val="0"/>
                  <w:divBdr>
                    <w:top w:val="none" w:sz="0" w:space="0" w:color="auto"/>
                    <w:left w:val="none" w:sz="0" w:space="0" w:color="auto"/>
                    <w:bottom w:val="none" w:sz="0" w:space="0" w:color="auto"/>
                    <w:right w:val="none" w:sz="0" w:space="0" w:color="auto"/>
                  </w:divBdr>
                  <w:divsChild>
                    <w:div w:id="2140025996">
                      <w:marLeft w:val="0"/>
                      <w:marRight w:val="0"/>
                      <w:marTop w:val="0"/>
                      <w:marBottom w:val="0"/>
                      <w:divBdr>
                        <w:top w:val="none" w:sz="0" w:space="0" w:color="auto"/>
                        <w:left w:val="none" w:sz="0" w:space="0" w:color="auto"/>
                        <w:bottom w:val="none" w:sz="0" w:space="0" w:color="auto"/>
                        <w:right w:val="none" w:sz="0" w:space="0" w:color="auto"/>
                      </w:divBdr>
                      <w:divsChild>
                        <w:div w:id="795105796">
                          <w:marLeft w:val="0"/>
                          <w:marRight w:val="0"/>
                          <w:marTop w:val="0"/>
                          <w:marBottom w:val="0"/>
                          <w:divBdr>
                            <w:top w:val="none" w:sz="0" w:space="0" w:color="auto"/>
                            <w:left w:val="none" w:sz="0" w:space="0" w:color="auto"/>
                            <w:bottom w:val="none" w:sz="0" w:space="0" w:color="auto"/>
                            <w:right w:val="none" w:sz="0" w:space="0" w:color="auto"/>
                          </w:divBdr>
                          <w:divsChild>
                            <w:div w:id="436482556">
                              <w:marLeft w:val="0"/>
                              <w:marRight w:val="0"/>
                              <w:marTop w:val="0"/>
                              <w:marBottom w:val="0"/>
                              <w:divBdr>
                                <w:top w:val="none" w:sz="0" w:space="0" w:color="auto"/>
                                <w:left w:val="none" w:sz="0" w:space="0" w:color="auto"/>
                                <w:bottom w:val="none" w:sz="0" w:space="0" w:color="auto"/>
                                <w:right w:val="none" w:sz="0" w:space="0" w:color="auto"/>
                              </w:divBdr>
                              <w:divsChild>
                                <w:div w:id="462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29426148">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13957791">
      <w:bodyDiv w:val="1"/>
      <w:marLeft w:val="0"/>
      <w:marRight w:val="0"/>
      <w:marTop w:val="0"/>
      <w:marBottom w:val="0"/>
      <w:divBdr>
        <w:top w:val="none" w:sz="0" w:space="0" w:color="auto"/>
        <w:left w:val="none" w:sz="0" w:space="0" w:color="auto"/>
        <w:bottom w:val="none" w:sz="0" w:space="0" w:color="auto"/>
        <w:right w:val="none" w:sz="0" w:space="0" w:color="auto"/>
      </w:divBdr>
    </w:div>
    <w:div w:id="83191831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2729648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09931620">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13370.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A106B-56BE-4B85-8355-C1DA42A3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27</Pages>
  <Words>5317</Words>
  <Characters>29249</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cp:lastPrinted>2022-01-17T17:10:00Z</cp:lastPrinted>
  <dcterms:created xsi:type="dcterms:W3CDTF">2022-09-01T15:26:00Z</dcterms:created>
  <dcterms:modified xsi:type="dcterms:W3CDTF">2022-10-11T16:56:00Z</dcterms:modified>
</cp:coreProperties>
</file>